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BBFB" w14:textId="77777777" w:rsidR="00C82BB3" w:rsidRPr="00C82BB3" w:rsidRDefault="00C82BB3" w:rsidP="00C82BB3">
      <w:pPr>
        <w:jc w:val="center"/>
        <w:rPr>
          <w:rFonts w:ascii="Times New Roman" w:hAnsi="Times New Roman" w:cs="Times New Roman"/>
          <w:b/>
          <w:bCs/>
          <w:i/>
          <w:iCs/>
          <w:u w:val="single"/>
          <w:lang w:val="en-US"/>
        </w:rPr>
      </w:pPr>
      <w:bookmarkStart w:id="0" w:name="_Hlk197625096"/>
      <w:r w:rsidRPr="00C82BB3">
        <w:rPr>
          <w:rFonts w:ascii="Times New Roman" w:hAnsi="Times New Roman" w:cs="Times New Roman"/>
          <w:b/>
          <w:bCs/>
          <w:i/>
          <w:iCs/>
          <w:u w:val="single"/>
          <w:lang w:val="en-US"/>
        </w:rPr>
        <w:t>Original Research Article</w:t>
      </w:r>
    </w:p>
    <w:p w14:paraId="493211F0" w14:textId="707F4429" w:rsidR="00FF7381" w:rsidRDefault="00FF7381" w:rsidP="00FF7381">
      <w:pPr>
        <w:jc w:val="center"/>
        <w:rPr>
          <w:rFonts w:ascii="Times New Roman" w:hAnsi="Times New Roman" w:cs="Times New Roman"/>
          <w:b/>
          <w:lang w:val="en-US"/>
        </w:rPr>
      </w:pPr>
      <w:r w:rsidRPr="00FF7381">
        <w:rPr>
          <w:rFonts w:ascii="Times New Roman" w:hAnsi="Times New Roman" w:cs="Times New Roman"/>
          <w:b/>
          <w:lang w:val="en-US"/>
        </w:rPr>
        <w:t xml:space="preserve">Effect </w:t>
      </w:r>
      <w:r>
        <w:rPr>
          <w:rFonts w:ascii="Times New Roman" w:hAnsi="Times New Roman" w:cs="Times New Roman"/>
          <w:b/>
          <w:lang w:val="en-US"/>
        </w:rPr>
        <w:t>o</w:t>
      </w:r>
      <w:r w:rsidRPr="00FF7381">
        <w:rPr>
          <w:rFonts w:ascii="Times New Roman" w:hAnsi="Times New Roman" w:cs="Times New Roman"/>
          <w:b/>
          <w:lang w:val="en-US"/>
        </w:rPr>
        <w:t xml:space="preserve">f Nitrogen and Potassium on </w:t>
      </w:r>
      <w:r>
        <w:rPr>
          <w:rFonts w:ascii="Times New Roman" w:hAnsi="Times New Roman" w:cs="Times New Roman"/>
          <w:b/>
          <w:lang w:val="en-US"/>
        </w:rPr>
        <w:t xml:space="preserve">growth attribute and nutrient availability </w:t>
      </w:r>
      <w:r w:rsidRPr="00FF7381">
        <w:rPr>
          <w:rFonts w:ascii="Times New Roman" w:hAnsi="Times New Roman" w:cs="Times New Roman"/>
          <w:b/>
          <w:lang w:val="en-US"/>
        </w:rPr>
        <w:t>of Pearl Millet</w:t>
      </w:r>
    </w:p>
    <w:p w14:paraId="3F9BBB0A" w14:textId="4ABE3790" w:rsidR="00176BA1" w:rsidRDefault="00176BA1" w:rsidP="00FF7381">
      <w:pPr>
        <w:jc w:val="center"/>
        <w:rPr>
          <w:rFonts w:ascii="Times New Roman" w:hAnsi="Times New Roman" w:cs="Times New Roman"/>
          <w:b/>
          <w:lang w:val="en-US"/>
        </w:rPr>
      </w:pPr>
      <w:r>
        <w:rPr>
          <w:rFonts w:ascii="Times New Roman" w:hAnsi="Times New Roman" w:cs="Times New Roman"/>
          <w:b/>
          <w:lang w:val="en-US"/>
        </w:rPr>
        <w:t xml:space="preserve">Abstract </w:t>
      </w:r>
    </w:p>
    <w:p w14:paraId="36010EB1" w14:textId="31B49279" w:rsidR="00446AC9" w:rsidRPr="00446AC9" w:rsidRDefault="00446AC9" w:rsidP="00446AC9">
      <w:pPr>
        <w:jc w:val="both"/>
        <w:rPr>
          <w:rFonts w:ascii="Times New Roman" w:hAnsi="Times New Roman" w:cs="Times New Roman"/>
          <w:bCs/>
        </w:rPr>
      </w:pPr>
      <w:r w:rsidRPr="00446AC9">
        <w:rPr>
          <w:rFonts w:ascii="Times New Roman" w:hAnsi="Times New Roman" w:cs="Times New Roman"/>
          <w:bCs/>
        </w:rPr>
        <w:t xml:space="preserve">A field experiment was conducted during the </w:t>
      </w:r>
      <w:r w:rsidRPr="00446AC9">
        <w:rPr>
          <w:rFonts w:ascii="Times New Roman" w:hAnsi="Times New Roman" w:cs="Times New Roman"/>
          <w:bCs/>
          <w:i/>
          <w:iCs/>
        </w:rPr>
        <w:t>kharif</w:t>
      </w:r>
      <w:r w:rsidRPr="00446AC9">
        <w:rPr>
          <w:rFonts w:ascii="Times New Roman" w:hAnsi="Times New Roman" w:cs="Times New Roman"/>
          <w:bCs/>
        </w:rPr>
        <w:t xml:space="preserve"> season of 2023 at MJRP College of Agriculture and Research, Jaipur, to evaluate the effect of nitrogen and potassium on growth parameters and soil nutrient availability in pearl millet (</w:t>
      </w:r>
      <w:r w:rsidRPr="00446AC9">
        <w:rPr>
          <w:rFonts w:ascii="Times New Roman" w:hAnsi="Times New Roman" w:cs="Times New Roman"/>
          <w:bCs/>
          <w:i/>
          <w:iCs/>
        </w:rPr>
        <w:t>Pennisetum glaucum</w:t>
      </w:r>
      <w:r w:rsidRPr="00446AC9">
        <w:rPr>
          <w:rFonts w:ascii="Times New Roman" w:hAnsi="Times New Roman" w:cs="Times New Roman"/>
          <w:bCs/>
        </w:rPr>
        <w:t xml:space="preserve"> L.). The experiment comprised eight treatments arranged in a Randomized Block Design with three replications. Treatments included varying levels of nitrogen (60, 80, and 100 kg ha⁻¹) and potassium (20 and 40 kg ha⁻¹), along with a fixed phosphorus dose (30 kg P₂O₅ ha⁻¹) and a soil test-based treatment. The hybrid variety PHB-3 was used, and observations were recorded on plant population, height, dry matter production, and post-harvest soil properties at two depths (0–15 cm and 15–30 cm).</w:t>
      </w:r>
      <w:r>
        <w:rPr>
          <w:rFonts w:ascii="Times New Roman" w:hAnsi="Times New Roman" w:cs="Times New Roman"/>
          <w:bCs/>
        </w:rPr>
        <w:t xml:space="preserve"> </w:t>
      </w:r>
      <w:r w:rsidRPr="00446AC9">
        <w:rPr>
          <w:rFonts w:ascii="Times New Roman" w:hAnsi="Times New Roman" w:cs="Times New Roman"/>
          <w:bCs/>
        </w:rPr>
        <w:t>Results indicated that nutrient management significantly influenced all growth parameters. The treatment T7 (100 kg N + 30 kg P₂O₅ + 40 kg K₂O ha⁻¹) produced the highest plant population (117628 ha⁻¹), plant height (172.60 cm), and dry matter yield (7539.67 kg ha⁻¹). Soil analysis revealed that this treatment also resulted in higher values of organic carbon, cation exchange capacity, and available nitrogen and potassium, especially at the 15–30 cm depth. The soil test-based treatment (T8</w:t>
      </w:r>
      <w:r w:rsidR="00E960D3">
        <w:rPr>
          <w:rFonts w:ascii="Times New Roman" w:hAnsi="Times New Roman" w:cs="Times New Roman"/>
          <w:bCs/>
        </w:rPr>
        <w:t>-</w:t>
      </w:r>
      <w:r w:rsidR="00E960D3" w:rsidRPr="00E960D3">
        <w:rPr>
          <w:rFonts w:ascii="Times New Roman" w:hAnsi="Times New Roman" w:cs="Times New Roman"/>
        </w:rPr>
        <w:t xml:space="preserve"> </w:t>
      </w:r>
      <w:r w:rsidR="00E960D3" w:rsidRPr="00211C3B">
        <w:rPr>
          <w:rFonts w:ascii="Times New Roman" w:hAnsi="Times New Roman" w:cs="Times New Roman"/>
        </w:rPr>
        <w:t>Application of N, P</w:t>
      </w:r>
      <w:r w:rsidR="00E960D3" w:rsidRPr="00211C3B">
        <w:rPr>
          <w:rFonts w:ascii="Times New Roman" w:hAnsi="Times New Roman" w:cs="Times New Roman"/>
          <w:vertAlign w:val="subscript"/>
        </w:rPr>
        <w:t>2</w:t>
      </w:r>
      <w:r w:rsidR="00E960D3" w:rsidRPr="00211C3B">
        <w:rPr>
          <w:rFonts w:ascii="Times New Roman" w:hAnsi="Times New Roman" w:cs="Times New Roman"/>
        </w:rPr>
        <w:t>O</w:t>
      </w:r>
      <w:r w:rsidR="00E960D3" w:rsidRPr="00211C3B">
        <w:rPr>
          <w:rFonts w:ascii="Times New Roman" w:hAnsi="Times New Roman" w:cs="Times New Roman"/>
          <w:vertAlign w:val="subscript"/>
        </w:rPr>
        <w:t>5</w:t>
      </w:r>
      <w:r w:rsidR="00E960D3" w:rsidRPr="00211C3B">
        <w:rPr>
          <w:rFonts w:ascii="Times New Roman" w:hAnsi="Times New Roman" w:cs="Times New Roman"/>
        </w:rPr>
        <w:t xml:space="preserve"> and K</w:t>
      </w:r>
      <w:r w:rsidR="00E960D3" w:rsidRPr="00211C3B">
        <w:rPr>
          <w:rFonts w:ascii="Times New Roman" w:hAnsi="Times New Roman" w:cs="Times New Roman"/>
          <w:vertAlign w:val="subscript"/>
        </w:rPr>
        <w:t>2</w:t>
      </w:r>
      <w:r w:rsidR="00E960D3" w:rsidRPr="00211C3B">
        <w:rPr>
          <w:rFonts w:ascii="Times New Roman" w:hAnsi="Times New Roman" w:cs="Times New Roman"/>
        </w:rPr>
        <w:t>O based on Soil Test Values.</w:t>
      </w:r>
      <w:r w:rsidRPr="00446AC9">
        <w:rPr>
          <w:rFonts w:ascii="Times New Roman" w:hAnsi="Times New Roman" w:cs="Times New Roman"/>
          <w:bCs/>
        </w:rPr>
        <w:t>) also improved soil fertility indicators, highlighting the benefit of targeted nutrient application.</w:t>
      </w:r>
      <w:r>
        <w:rPr>
          <w:rFonts w:ascii="Times New Roman" w:hAnsi="Times New Roman" w:cs="Times New Roman"/>
          <w:bCs/>
        </w:rPr>
        <w:t xml:space="preserve"> </w:t>
      </w:r>
      <w:r w:rsidRPr="00446AC9">
        <w:rPr>
          <w:rFonts w:ascii="Times New Roman" w:hAnsi="Times New Roman" w:cs="Times New Roman"/>
          <w:bCs/>
        </w:rPr>
        <w:t>The balanced application of nitrogen and potassium significantly enhances both crop performance and soil fertility under rainfed conditions. The results emphasize the importance of integrated nutrient management, particularly in semi-arid regions where soil fertility is often limiting. Adoption of such practices can help achieve higher and more sustainable productivity in pearl millet cultivation, while also maintaining long-term soil health.</w:t>
      </w:r>
    </w:p>
    <w:p w14:paraId="619D7E61" w14:textId="720C3598" w:rsidR="00446AC9" w:rsidRPr="00446AC9" w:rsidRDefault="00446AC9" w:rsidP="00446AC9">
      <w:pPr>
        <w:jc w:val="both"/>
        <w:rPr>
          <w:rFonts w:ascii="Times New Roman" w:hAnsi="Times New Roman" w:cs="Times New Roman"/>
          <w:bCs/>
        </w:rPr>
      </w:pPr>
      <w:r w:rsidRPr="00446AC9">
        <w:rPr>
          <w:rFonts w:ascii="Times New Roman" w:hAnsi="Times New Roman" w:cs="Times New Roman"/>
          <w:b/>
          <w:bCs/>
        </w:rPr>
        <w:t>Keywords</w:t>
      </w:r>
      <w:r w:rsidRPr="00446AC9">
        <w:rPr>
          <w:rFonts w:ascii="Times New Roman" w:hAnsi="Times New Roman" w:cs="Times New Roman"/>
          <w:bCs/>
        </w:rPr>
        <w:t xml:space="preserve">: </w:t>
      </w:r>
      <w:r w:rsidRPr="00446AC9">
        <w:rPr>
          <w:rFonts w:ascii="Times New Roman" w:hAnsi="Times New Roman" w:cs="Times New Roman"/>
          <w:bCs/>
          <w:i/>
          <w:iCs/>
        </w:rPr>
        <w:t xml:space="preserve">Pearl </w:t>
      </w:r>
      <w:r w:rsidR="00536581" w:rsidRPr="00446AC9">
        <w:rPr>
          <w:rFonts w:ascii="Times New Roman" w:hAnsi="Times New Roman" w:cs="Times New Roman"/>
          <w:bCs/>
          <w:i/>
          <w:iCs/>
        </w:rPr>
        <w:t>Millet, Nitrogen, Potassium, Dry Matter Production, Soil Fertility,</w:t>
      </w:r>
      <w:r w:rsidR="006B02C5">
        <w:rPr>
          <w:rFonts w:ascii="Times New Roman" w:hAnsi="Times New Roman" w:cs="Times New Roman"/>
          <w:bCs/>
          <w:i/>
          <w:iCs/>
        </w:rPr>
        <w:t xml:space="preserve"> Nutrient Management, Semi-Arid</w:t>
      </w:r>
      <w:bookmarkStart w:id="1" w:name="_GoBack"/>
      <w:bookmarkEnd w:id="1"/>
    </w:p>
    <w:p w14:paraId="79B6AD94" w14:textId="77777777" w:rsidR="00176BA1" w:rsidRPr="00176BA1" w:rsidRDefault="00176BA1" w:rsidP="00176BA1">
      <w:pPr>
        <w:rPr>
          <w:rFonts w:ascii="Times New Roman" w:hAnsi="Times New Roman" w:cs="Times New Roman"/>
          <w:b/>
          <w:lang w:val="en-US"/>
        </w:rPr>
      </w:pPr>
      <w:r w:rsidRPr="00176BA1">
        <w:rPr>
          <w:rFonts w:ascii="Times New Roman" w:hAnsi="Times New Roman" w:cs="Times New Roman"/>
          <w:b/>
          <w:lang w:val="en-US"/>
        </w:rPr>
        <w:t>INTRODUCTION</w:t>
      </w:r>
    </w:p>
    <w:bookmarkEnd w:id="0"/>
    <w:p w14:paraId="7EF8799F" w14:textId="77777777" w:rsidR="00A677D3" w:rsidRDefault="00A677D3" w:rsidP="00A677D3">
      <w:pPr>
        <w:widowControl w:val="0"/>
        <w:autoSpaceDE w:val="0"/>
        <w:autoSpaceDN w:val="0"/>
        <w:spacing w:after="0" w:line="360" w:lineRule="auto"/>
        <w:ind w:right="228"/>
        <w:jc w:val="both"/>
        <w:rPr>
          <w:rFonts w:ascii="Times New Roman" w:hAnsi="Times New Roman" w:cs="Times New Roman"/>
          <w:bCs/>
        </w:rPr>
      </w:pPr>
      <w:r w:rsidRPr="00A677D3">
        <w:rPr>
          <w:rFonts w:ascii="Times New Roman" w:hAnsi="Times New Roman" w:cs="Times New Roman"/>
          <w:bCs/>
        </w:rPr>
        <w:t>Pearl millet (</w:t>
      </w:r>
      <w:r w:rsidRPr="00A677D3">
        <w:rPr>
          <w:rFonts w:ascii="Times New Roman" w:hAnsi="Times New Roman" w:cs="Times New Roman"/>
          <w:bCs/>
          <w:i/>
          <w:iCs/>
        </w:rPr>
        <w:t>Pennisetum glaucum</w:t>
      </w:r>
      <w:r w:rsidRPr="00A677D3">
        <w:rPr>
          <w:rFonts w:ascii="Times New Roman" w:hAnsi="Times New Roman" w:cs="Times New Roman"/>
          <w:bCs/>
        </w:rPr>
        <w:t xml:space="preserve"> L.), commonly referred to as bajra, holds a critical position among staple cereal crops cultivated in arid and semi-arid agro-climatic zones across the globe, where its adaptability to extreme environmental conditions sets it apart from many other grains (</w:t>
      </w:r>
      <w:proofErr w:type="spellStart"/>
      <w:r w:rsidRPr="00A677D3">
        <w:rPr>
          <w:rFonts w:ascii="Times New Roman" w:hAnsi="Times New Roman" w:cs="Times New Roman"/>
          <w:bCs/>
        </w:rPr>
        <w:t>Jukanti</w:t>
      </w:r>
      <w:proofErr w:type="spellEnd"/>
      <w:r w:rsidRPr="00A677D3">
        <w:rPr>
          <w:rFonts w:ascii="Times New Roman" w:hAnsi="Times New Roman" w:cs="Times New Roman"/>
          <w:bCs/>
        </w:rPr>
        <w:t xml:space="preserve"> et al., 2016). Positioned as the fifth most important cereal after rice, wheat, maize, and sorghum, pearl millet has earned distinction due to its inherent climate resilience. The crop is capable of enduring prolonged drought, high ambient temperatures, and nutrient-depleted soils, conditions under which other cereal crops like maize and sorghum often exhibit severe yield declines (</w:t>
      </w:r>
      <w:proofErr w:type="spellStart"/>
      <w:r w:rsidRPr="00A677D3">
        <w:rPr>
          <w:rFonts w:ascii="Times New Roman" w:hAnsi="Times New Roman" w:cs="Times New Roman"/>
          <w:bCs/>
        </w:rPr>
        <w:t>Muitire</w:t>
      </w:r>
      <w:proofErr w:type="spellEnd"/>
      <w:r w:rsidRPr="00A677D3">
        <w:rPr>
          <w:rFonts w:ascii="Times New Roman" w:hAnsi="Times New Roman" w:cs="Times New Roman"/>
          <w:bCs/>
        </w:rPr>
        <w:t xml:space="preserve"> et al., 2021). It owes this hardiness to a robust and deeply penetrating root system that maximizes water extraction from soil strata and an efficient mechanism for utilizing limited water, making it ideally suited to grow in environments receiving annual rainfall ranging from just 200 to 600 mm (Prasad et al., 2020).</w:t>
      </w:r>
    </w:p>
    <w:p w14:paraId="4C0E25BC" w14:textId="77777777" w:rsidR="00222033" w:rsidRDefault="00222033" w:rsidP="00A677D3">
      <w:pPr>
        <w:widowControl w:val="0"/>
        <w:autoSpaceDE w:val="0"/>
        <w:autoSpaceDN w:val="0"/>
        <w:spacing w:after="0" w:line="360" w:lineRule="auto"/>
        <w:ind w:right="228"/>
        <w:jc w:val="both"/>
        <w:rPr>
          <w:rFonts w:ascii="Times New Roman" w:hAnsi="Times New Roman" w:cs="Times New Roman"/>
          <w:bCs/>
        </w:rPr>
      </w:pPr>
    </w:p>
    <w:p w14:paraId="1D5EC705" w14:textId="7A774139" w:rsidR="00A677D3" w:rsidRDefault="00A677D3" w:rsidP="00A677D3">
      <w:pPr>
        <w:widowControl w:val="0"/>
        <w:autoSpaceDE w:val="0"/>
        <w:autoSpaceDN w:val="0"/>
        <w:spacing w:after="0" w:line="360" w:lineRule="auto"/>
        <w:ind w:right="228"/>
        <w:jc w:val="both"/>
        <w:rPr>
          <w:rFonts w:ascii="Times New Roman" w:hAnsi="Times New Roman" w:cs="Times New Roman"/>
          <w:bCs/>
        </w:rPr>
      </w:pPr>
      <w:r w:rsidRPr="00A677D3">
        <w:rPr>
          <w:rFonts w:ascii="Times New Roman" w:hAnsi="Times New Roman" w:cs="Times New Roman"/>
          <w:bCs/>
        </w:rPr>
        <w:t xml:space="preserve">Geographically, its cultivation is heavily concentrated in the African and Asian continents, which together account for nearly 95% of the global area under pearl millet, with major contributions from countries such as Niger, Nigeria, Mali, and India (National Research Council, 2023). Current estimates suggest that pearl millet is grown globally on approximately 29 million hectares of land. </w:t>
      </w:r>
      <w:r w:rsidRPr="00A677D3">
        <w:rPr>
          <w:rFonts w:ascii="Times New Roman" w:hAnsi="Times New Roman" w:cs="Times New Roman"/>
          <w:bCs/>
        </w:rPr>
        <w:lastRenderedPageBreak/>
        <w:t>Of this, about 60% is located in Africa and 35% in Asia, underscoring its significance as a key cereal in marginal farming systems (Satyavathi et al., 2024). For more than 500 million people, particularly those living in subsistence farming systems, pearl millet serves as a major dietary staple owing to its high energy value and nutritional composition (</w:t>
      </w:r>
      <w:proofErr w:type="spellStart"/>
      <w:r w:rsidRPr="00A677D3">
        <w:rPr>
          <w:rFonts w:ascii="Times New Roman" w:hAnsi="Times New Roman" w:cs="Times New Roman"/>
          <w:bCs/>
        </w:rPr>
        <w:t>Tonapi</w:t>
      </w:r>
      <w:proofErr w:type="spellEnd"/>
      <w:r w:rsidRPr="00A677D3">
        <w:rPr>
          <w:rFonts w:ascii="Times New Roman" w:hAnsi="Times New Roman" w:cs="Times New Roman"/>
          <w:bCs/>
        </w:rPr>
        <w:t xml:space="preserve"> et al., 2024). Nutritionally, the grain is known for its rich content of protein (ranging from 11–19%), carbohydrates (60–78%), fat (3.0–4.6%), and essential micronutrients such as phosphorus and iron, which are especially important in regions where micronutrient deficiencies are prevalent (Tripathi et al., 2021).</w:t>
      </w:r>
    </w:p>
    <w:p w14:paraId="564BA8BA" w14:textId="77777777" w:rsidR="00222033" w:rsidRDefault="00222033" w:rsidP="00A677D3">
      <w:pPr>
        <w:widowControl w:val="0"/>
        <w:autoSpaceDE w:val="0"/>
        <w:autoSpaceDN w:val="0"/>
        <w:spacing w:after="0" w:line="360" w:lineRule="auto"/>
        <w:ind w:right="228"/>
        <w:jc w:val="both"/>
        <w:rPr>
          <w:rFonts w:ascii="Times New Roman" w:hAnsi="Times New Roman" w:cs="Times New Roman"/>
          <w:bCs/>
        </w:rPr>
      </w:pPr>
    </w:p>
    <w:p w14:paraId="5805C0D7" w14:textId="55CA8B37" w:rsidR="00A677D3" w:rsidRDefault="00A677D3" w:rsidP="00A677D3">
      <w:pPr>
        <w:widowControl w:val="0"/>
        <w:autoSpaceDE w:val="0"/>
        <w:autoSpaceDN w:val="0"/>
        <w:spacing w:after="0" w:line="360" w:lineRule="auto"/>
        <w:ind w:right="228"/>
        <w:jc w:val="both"/>
        <w:rPr>
          <w:rFonts w:ascii="Times New Roman" w:hAnsi="Times New Roman" w:cs="Times New Roman"/>
          <w:bCs/>
        </w:rPr>
      </w:pPr>
      <w:r w:rsidRPr="00A677D3">
        <w:rPr>
          <w:rFonts w:ascii="Times New Roman" w:hAnsi="Times New Roman" w:cs="Times New Roman"/>
          <w:bCs/>
        </w:rPr>
        <w:t>Beyond human consumption, pearl millet is also an integral component of livestock feed in mixed farming systems, providing a dual-purpose role as both food and fodder. Within the Indian agricultural landscape, the crop is cultivated on an estimated 9.3 million hectares, producing approximately 9.3 million tonnes annually, with an average national productivity of around 1044 kg ha⁻¹ (Malik, 2020). It ranks fourth among cereals and stands second among coarse cereals in terms of cultivation area and production volume. Rajasthan, characterized by its vast stretches of sandy and loamy soils, leads the country in area under pearl millet cultivation. Despite its extensive cultivation, the productivity in Rajasthan (1749 kg ha⁻¹) lags behind states such as Haryana (2040 kg ha⁻¹) and Madhya Pradesh (1924 kg ha⁻¹), indicating a strong need for interventions in crop and nutrient management strategies to bridge the productivity gap and improve efficiency.</w:t>
      </w:r>
    </w:p>
    <w:p w14:paraId="6FC3D085" w14:textId="77777777" w:rsidR="00A677D3" w:rsidRDefault="00A677D3" w:rsidP="00A677D3">
      <w:pPr>
        <w:widowControl w:val="0"/>
        <w:autoSpaceDE w:val="0"/>
        <w:autoSpaceDN w:val="0"/>
        <w:spacing w:after="0" w:line="360" w:lineRule="auto"/>
        <w:ind w:right="228"/>
        <w:jc w:val="both"/>
        <w:rPr>
          <w:rFonts w:ascii="Times New Roman" w:hAnsi="Times New Roman" w:cs="Times New Roman"/>
          <w:bCs/>
        </w:rPr>
      </w:pPr>
      <w:r w:rsidRPr="00A677D3">
        <w:rPr>
          <w:rFonts w:ascii="Times New Roman" w:hAnsi="Times New Roman" w:cs="Times New Roman"/>
          <w:bCs/>
        </w:rPr>
        <w:t xml:space="preserve">Pearl millet's relatively short life cycle enhances its compatibility with intercropping and sequential cropping systems, which are prevalent in semi-arid zones (De Rouw, 2004). Nevertheless, despite its natural robustness, the full yield potential of pearl millet is often hampered by factors such as low soil fertility, poor nutrient retention capacity, and inadequate nutrient management practices. Among the primary macronutrients, nitrogen (N) significantly influences vegetative </w:t>
      </w:r>
      <w:proofErr w:type="spellStart"/>
      <w:r w:rsidRPr="00A677D3">
        <w:rPr>
          <w:rFonts w:ascii="Times New Roman" w:hAnsi="Times New Roman" w:cs="Times New Roman"/>
          <w:bCs/>
        </w:rPr>
        <w:t>vigor</w:t>
      </w:r>
      <w:proofErr w:type="spellEnd"/>
      <w:r w:rsidRPr="00A677D3">
        <w:rPr>
          <w:rFonts w:ascii="Times New Roman" w:hAnsi="Times New Roman" w:cs="Times New Roman"/>
          <w:bCs/>
        </w:rPr>
        <w:t xml:space="preserve"> and biomass production, whereas potassium (K) plays an essential role in water-use efficiency, enzyme activation, stress mitigation, and nutrient assimilation. Particularly in sandy loam soils that dominate regions like western India, inherent nitrogen levels tend to be insufficient, and potassium availability is often affected by leaching losses and complex soil interactions (Singhal et al., 2023).</w:t>
      </w:r>
    </w:p>
    <w:p w14:paraId="4623650B" w14:textId="2BCFCB22" w:rsidR="00A677D3" w:rsidRDefault="00A677D3" w:rsidP="00A677D3">
      <w:pPr>
        <w:widowControl w:val="0"/>
        <w:autoSpaceDE w:val="0"/>
        <w:autoSpaceDN w:val="0"/>
        <w:spacing w:after="0" w:line="360" w:lineRule="auto"/>
        <w:ind w:right="228"/>
        <w:jc w:val="both"/>
        <w:rPr>
          <w:rFonts w:ascii="Times New Roman" w:hAnsi="Times New Roman" w:cs="Times New Roman"/>
          <w:bCs/>
        </w:rPr>
      </w:pPr>
      <w:r w:rsidRPr="00A677D3">
        <w:rPr>
          <w:rFonts w:ascii="Times New Roman" w:hAnsi="Times New Roman" w:cs="Times New Roman"/>
          <w:bCs/>
        </w:rPr>
        <w:t>To address these limitations and promote sustainable intensification of pearl millet-based systems, optimizing the management of nitrogen and potassium becomes imperative. While substantial work has explored the isolated effects of nitrogen fertilization on cereal productivity, the synergistic interaction between nitrogen and potassium</w:t>
      </w:r>
      <w:r w:rsidR="00BC0C3C">
        <w:rPr>
          <w:rFonts w:ascii="Times New Roman" w:hAnsi="Times New Roman" w:cs="Times New Roman"/>
          <w:bCs/>
        </w:rPr>
        <w:t xml:space="preserve"> </w:t>
      </w:r>
      <w:r w:rsidRPr="00A677D3">
        <w:rPr>
          <w:rFonts w:ascii="Times New Roman" w:hAnsi="Times New Roman" w:cs="Times New Roman"/>
          <w:bCs/>
        </w:rPr>
        <w:t xml:space="preserve">especially in relation to pearl millet's physiological performance, dry matter accumulation, and soil nutrient dynamics under rainfed conditions—has received comparatively limited attention. In this context, the present study was conducted to assess the influence of varying combinations of nitrogen and potassium on the </w:t>
      </w:r>
      <w:r w:rsidRPr="00A677D3">
        <w:rPr>
          <w:rFonts w:ascii="Times New Roman" w:hAnsi="Times New Roman" w:cs="Times New Roman"/>
          <w:bCs/>
        </w:rPr>
        <w:lastRenderedPageBreak/>
        <w:t>growth parameters, biomass yield, and soil nutrient availability in pearl millet cultivation. The overarching goal was to contribute to the formulation of region-specific, evidence-based nutrient management strategies that enhance crop productivity while maintaining long-term soil fertility in the challenging agro-ecologies of semi-arid regions.</w:t>
      </w:r>
    </w:p>
    <w:p w14:paraId="79F1DD9F" w14:textId="77777777" w:rsidR="00222033" w:rsidRDefault="00222033" w:rsidP="0098165F">
      <w:pPr>
        <w:widowControl w:val="0"/>
        <w:autoSpaceDE w:val="0"/>
        <w:autoSpaceDN w:val="0"/>
        <w:spacing w:after="0" w:line="360" w:lineRule="auto"/>
        <w:ind w:right="228"/>
        <w:jc w:val="both"/>
        <w:rPr>
          <w:rFonts w:ascii="Times New Roman" w:eastAsia="Times New Roman" w:hAnsi="Times New Roman" w:cs="Times New Roman"/>
          <w:b/>
          <w:bCs/>
          <w:spacing w:val="-2"/>
          <w:kern w:val="0"/>
          <w:sz w:val="20"/>
          <w:szCs w:val="20"/>
          <w14:ligatures w14:val="none"/>
        </w:rPr>
      </w:pPr>
    </w:p>
    <w:p w14:paraId="04D17122" w14:textId="2F94C90E"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b/>
          <w:bCs/>
          <w:spacing w:val="-2"/>
          <w:kern w:val="0"/>
          <w:sz w:val="20"/>
          <w:szCs w:val="20"/>
          <w14:ligatures w14:val="none"/>
        </w:rPr>
      </w:pPr>
      <w:r w:rsidRPr="0098165F">
        <w:rPr>
          <w:rFonts w:ascii="Times New Roman" w:eastAsia="Times New Roman" w:hAnsi="Times New Roman" w:cs="Times New Roman"/>
          <w:b/>
          <w:bCs/>
          <w:spacing w:val="-2"/>
          <w:kern w:val="0"/>
          <w:sz w:val="20"/>
          <w:szCs w:val="20"/>
          <w14:ligatures w14:val="none"/>
        </w:rPr>
        <w:t>MATERIALS AND METHODS</w:t>
      </w:r>
    </w:p>
    <w:p w14:paraId="71EDD72D" w14:textId="28F6143C" w:rsid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field experiment was conducted during the </w:t>
      </w:r>
      <w:r w:rsidRPr="0098165F">
        <w:rPr>
          <w:rFonts w:ascii="Times New Roman" w:eastAsia="Times New Roman" w:hAnsi="Times New Roman" w:cs="Times New Roman"/>
          <w:i/>
          <w:iCs/>
          <w:spacing w:val="-2"/>
          <w:kern w:val="0"/>
          <w14:ligatures w14:val="none"/>
        </w:rPr>
        <w:t>kharif</w:t>
      </w:r>
      <w:r w:rsidRPr="0098165F">
        <w:rPr>
          <w:rFonts w:ascii="Times New Roman" w:eastAsia="Times New Roman" w:hAnsi="Times New Roman" w:cs="Times New Roman"/>
          <w:spacing w:val="-2"/>
          <w:kern w:val="0"/>
          <w14:ligatures w14:val="none"/>
        </w:rPr>
        <w:t xml:space="preserve"> season of 2023 at the MJRP College of Agriculture and Research, Jaipur, located </w:t>
      </w:r>
      <w:r w:rsidR="003464D0">
        <w:rPr>
          <w:rFonts w:ascii="Times New Roman" w:hAnsi="Times New Roman" w:cs="Times New Roman"/>
          <w:bCs/>
          <w:kern w:val="0"/>
          <w14:ligatures w14:val="none"/>
        </w:rPr>
        <w:t>26° 53' 55" N latitude and 75° 46' 22"E longitude with an elevation of 264 meters above mean sea level</w:t>
      </w:r>
      <w:r w:rsidRPr="0098165F">
        <w:rPr>
          <w:rFonts w:ascii="Times New Roman" w:eastAsia="Times New Roman" w:hAnsi="Times New Roman" w:cs="Times New Roman"/>
          <w:spacing w:val="-2"/>
          <w:kern w:val="0"/>
          <w14:ligatures w14:val="none"/>
        </w:rPr>
        <w:t>. The area lies in a semi-arid, subtropical region. Weather data during the crop growth period recorded weekly average maximum and minimum temperatures ranging from 30.54 °C to 38.50 °C and 23.41 °C to 27.93 °C, respectively. The average relative humidity was 79.09%, sunshine duration ranged from 0.61 to 7.56 hours per day, and the total rainfall received was 456 mm, with 280.5 mm falling over six rainy days.</w:t>
      </w:r>
    </w:p>
    <w:p w14:paraId="40825598" w14:textId="77777777" w:rsidR="00222033" w:rsidRPr="0098165F" w:rsidRDefault="00222033"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p>
    <w:p w14:paraId="4C64D188" w14:textId="77777777" w:rsid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experimental field had sandy loam soil with neutral pH (7.35), electrical conductivity of 0.068 </w:t>
      </w:r>
      <w:proofErr w:type="spellStart"/>
      <w:r w:rsidRPr="0098165F">
        <w:rPr>
          <w:rFonts w:ascii="Times New Roman" w:eastAsia="Times New Roman" w:hAnsi="Times New Roman" w:cs="Times New Roman"/>
          <w:spacing w:val="-2"/>
          <w:kern w:val="0"/>
          <w14:ligatures w14:val="none"/>
        </w:rPr>
        <w:t>dS</w:t>
      </w:r>
      <w:proofErr w:type="spellEnd"/>
      <w:r w:rsidRPr="0098165F">
        <w:rPr>
          <w:rFonts w:ascii="Times New Roman" w:eastAsia="Times New Roman" w:hAnsi="Times New Roman" w:cs="Times New Roman"/>
          <w:spacing w:val="-2"/>
          <w:kern w:val="0"/>
          <w14:ligatures w14:val="none"/>
        </w:rPr>
        <w:t xml:space="preserve"> m⁻¹, and organic carbon content of 0.63%. It was low in available nitrogen (150.52 kg ha⁻¹), and high in available phosphorus (159.97 kg P₂O₅ ha⁻¹) and potassium (422.01 kg K₂O ha⁻¹). The experiment was laid out in a Randomized Block Design (RBD) with eight treatments and three replications. The net plot size was 5.0 m × 4.5 m (22.5 m²). Treatments included different combinations of nitrogen (60, 80, and 100 kg ha⁻¹) and potassium (20 and 40 kg ha⁻¹) with a fixed phosphorus dose (30 kg P₂O₅ ha⁻¹), alongside a control and one soil test-based treatment (78 kg N, 21 kg P₂O₅, and 14 kg K₂O ha⁻¹).</w:t>
      </w:r>
    </w:p>
    <w:p w14:paraId="07E5CEB0" w14:textId="77777777" w:rsidR="00222033" w:rsidRPr="0098165F" w:rsidRDefault="00222033"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p>
    <w:p w14:paraId="3F653348" w14:textId="0D7F3190" w:rsid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pearl millet hybrid PHB-3 was sown on June 17, 2023, using a seed rate of 4 kg ha⁻¹. Seeds were treated with carbendazim @ 2 g kg⁻¹ to prevent seed-borne diseases. The land was prepared with two passes of a tractor-drawn cultivator, harrowing, and </w:t>
      </w:r>
      <w:r w:rsidR="002F5FC8" w:rsidRPr="006A5798">
        <w:rPr>
          <w:rFonts w:ascii="Times New Roman" w:eastAsia="Times New Roman" w:hAnsi="Times New Roman" w:cs="Times New Roman"/>
          <w:spacing w:val="-2"/>
          <w:kern w:val="0"/>
          <w14:ligatures w14:val="none"/>
        </w:rPr>
        <w:t>levelling</w:t>
      </w:r>
      <w:r w:rsidRPr="0098165F">
        <w:rPr>
          <w:rFonts w:ascii="Times New Roman" w:eastAsia="Times New Roman" w:hAnsi="Times New Roman" w:cs="Times New Roman"/>
          <w:spacing w:val="-2"/>
          <w:kern w:val="0"/>
          <w14:ligatures w14:val="none"/>
        </w:rPr>
        <w:t>, followed by furrow formation at 45 cm spacing. Urea (46% N) was used as the nitrogen source, applied in two equal splits</w:t>
      </w:r>
      <w:r w:rsidR="00EB5EB6">
        <w:rPr>
          <w:rFonts w:ascii="Times New Roman" w:eastAsia="Times New Roman" w:hAnsi="Times New Roman" w:cs="Times New Roman"/>
          <w:spacing w:val="-2"/>
          <w:kern w:val="0"/>
          <w14:ligatures w14:val="none"/>
        </w:rPr>
        <w:t xml:space="preserve"> </w:t>
      </w:r>
      <w:r w:rsidRPr="0098165F">
        <w:rPr>
          <w:rFonts w:ascii="Times New Roman" w:eastAsia="Times New Roman" w:hAnsi="Times New Roman" w:cs="Times New Roman"/>
          <w:spacing w:val="-2"/>
          <w:kern w:val="0"/>
          <w14:ligatures w14:val="none"/>
        </w:rPr>
        <w:t>at sowing and at 30 days after transplanting (DAT). Phosphorus was supplied through single super phosphate (16% P₂O₅), and potassium through muriate of potash (60% K₂O), both applied basally. One protective irrigation was applied after sowing, and the rest of the crop was grown under rainfed conditions. Hand weeding was done at 15 days after sowing, and stem borer infestation was controlled with chlorpyriphos @ 2.5 ml L⁻¹. Bird scaring was arranged from the 65th day until harvest.</w:t>
      </w:r>
      <w:r w:rsidR="00222033">
        <w:rPr>
          <w:rFonts w:ascii="Times New Roman" w:eastAsia="Times New Roman" w:hAnsi="Times New Roman" w:cs="Times New Roman"/>
          <w:spacing w:val="-2"/>
          <w:kern w:val="0"/>
          <w14:ligatures w14:val="none"/>
        </w:rPr>
        <w:t xml:space="preserve"> </w:t>
      </w:r>
      <w:r w:rsidRPr="0098165F">
        <w:rPr>
          <w:rFonts w:ascii="Times New Roman" w:eastAsia="Times New Roman" w:hAnsi="Times New Roman" w:cs="Times New Roman"/>
          <w:spacing w:val="-2"/>
          <w:kern w:val="0"/>
          <w14:ligatures w14:val="none"/>
        </w:rPr>
        <w:t>Biometric observations included plant height and dry matter accumulation. Plant height was recorded from five randomly selected plants per plot at 30 and 60 DAT and at harvest. Dry matter was estimated by collecting five plants per plot at each stage, drying them first in sunlight and then in an oven at 60 °C to constant weight, and expressing the values as kg ha⁻¹.</w:t>
      </w:r>
    </w:p>
    <w:p w14:paraId="1D332F8C" w14:textId="77777777" w:rsidR="00222033" w:rsidRPr="0098165F" w:rsidRDefault="00222033"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p>
    <w:p w14:paraId="286D1DA9" w14:textId="1B895960" w:rsid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lastRenderedPageBreak/>
        <w:t xml:space="preserve">Post-harvest soil samples were collected from two depths (0–15 cm and 15–30 cm) from each plot. The samples were air-dried, ground, sieved (2 mm), and stored for laboratory analysis. Soil pH was measured in 1:2 soil-water suspension using a glass electrode pH meter as described by Jackson (1973). Electrical conductivity (EC) was determined using a digital EC meter in 1:2 soil-water suspension following Richards et al. (1954). Organic carbon was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by the wet oxidation method proposed by Walkley and Black (1934), as modified by Jackson (1973). Cation Exchange Capacity (CEC) was determined by the ammonium acetate method using sodium saturation and flame photometry according to Bower et al. (1952).</w:t>
      </w:r>
    </w:p>
    <w:p w14:paraId="398FBC5F" w14:textId="77777777" w:rsidR="00D451D2" w:rsidRPr="0098165F" w:rsidRDefault="00D451D2"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p>
    <w:p w14:paraId="0E94F18E" w14:textId="2121FF69" w:rsid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mechanical composition of the soil (texture) was determined by the hydrometer method as per Piper (1950). Available nitrogen was estimated using the alkaline permanganate method developed by Subbiah and Asija (1956). Available phosphorus was extracted with 0.5 M </w:t>
      </w:r>
      <w:proofErr w:type="spellStart"/>
      <w:r w:rsidRPr="0098165F">
        <w:rPr>
          <w:rFonts w:ascii="Times New Roman" w:eastAsia="Times New Roman" w:hAnsi="Times New Roman" w:cs="Times New Roman"/>
          <w:spacing w:val="-2"/>
          <w:kern w:val="0"/>
          <w14:ligatures w14:val="none"/>
        </w:rPr>
        <w:t>NaHCO</w:t>
      </w:r>
      <w:proofErr w:type="spellEnd"/>
      <w:r w:rsidRPr="0098165F">
        <w:rPr>
          <w:rFonts w:ascii="Times New Roman" w:eastAsia="Times New Roman" w:hAnsi="Times New Roman" w:cs="Times New Roman"/>
          <w:spacing w:val="-2"/>
          <w:kern w:val="0"/>
          <w14:ligatures w14:val="none"/>
        </w:rPr>
        <w:t xml:space="preserve">₃ (pH 8.5) and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w:t>
      </w:r>
      <w:r w:rsidR="002F5FC8" w:rsidRPr="006A5798">
        <w:rPr>
          <w:rFonts w:ascii="Times New Roman" w:eastAsia="Times New Roman" w:hAnsi="Times New Roman" w:cs="Times New Roman"/>
          <w:spacing w:val="-2"/>
          <w:kern w:val="0"/>
          <w14:ligatures w14:val="none"/>
        </w:rPr>
        <w:t>calorimetrically</w:t>
      </w:r>
      <w:r w:rsidRPr="0098165F">
        <w:rPr>
          <w:rFonts w:ascii="Times New Roman" w:eastAsia="Times New Roman" w:hAnsi="Times New Roman" w:cs="Times New Roman"/>
          <w:spacing w:val="-2"/>
          <w:kern w:val="0"/>
          <w14:ligatures w14:val="none"/>
        </w:rPr>
        <w:t xml:space="preserve"> using a spectrophotometer at 660 nm, as described by Olsen et al. (1954). Available potassium was extracted with neutral normal ammonium acetate and determined using a flame photometer following the procedure of Jackson (1973).</w:t>
      </w:r>
      <w:r w:rsidR="00222033">
        <w:rPr>
          <w:rFonts w:ascii="Times New Roman" w:eastAsia="Times New Roman" w:hAnsi="Times New Roman" w:cs="Times New Roman"/>
          <w:spacing w:val="-2"/>
          <w:kern w:val="0"/>
          <w14:ligatures w14:val="none"/>
        </w:rPr>
        <w:t xml:space="preserve"> </w:t>
      </w:r>
      <w:r w:rsidRPr="0098165F">
        <w:rPr>
          <w:rFonts w:ascii="Times New Roman" w:eastAsia="Times New Roman" w:hAnsi="Times New Roman" w:cs="Times New Roman"/>
          <w:spacing w:val="-2"/>
          <w:kern w:val="0"/>
          <w14:ligatures w14:val="none"/>
        </w:rPr>
        <w:t xml:space="preserve">All experimental data were statistically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using analysis of variance (ANOVA) as described by </w:t>
      </w:r>
      <w:proofErr w:type="spellStart"/>
      <w:r w:rsidRPr="0098165F">
        <w:rPr>
          <w:rFonts w:ascii="Times New Roman" w:eastAsia="Times New Roman" w:hAnsi="Times New Roman" w:cs="Times New Roman"/>
          <w:spacing w:val="-2"/>
          <w:kern w:val="0"/>
          <w14:ligatures w14:val="none"/>
        </w:rPr>
        <w:t>Panse</w:t>
      </w:r>
      <w:proofErr w:type="spellEnd"/>
      <w:r w:rsidRPr="0098165F">
        <w:rPr>
          <w:rFonts w:ascii="Times New Roman" w:eastAsia="Times New Roman" w:hAnsi="Times New Roman" w:cs="Times New Roman"/>
          <w:spacing w:val="-2"/>
          <w:kern w:val="0"/>
          <w14:ligatures w14:val="none"/>
        </w:rPr>
        <w:t xml:space="preserve"> and </w:t>
      </w:r>
      <w:proofErr w:type="spellStart"/>
      <w:r w:rsidRPr="0098165F">
        <w:rPr>
          <w:rFonts w:ascii="Times New Roman" w:eastAsia="Times New Roman" w:hAnsi="Times New Roman" w:cs="Times New Roman"/>
          <w:spacing w:val="-2"/>
          <w:kern w:val="0"/>
          <w14:ligatures w14:val="none"/>
        </w:rPr>
        <w:t>Sukhatme</w:t>
      </w:r>
      <w:proofErr w:type="spellEnd"/>
      <w:r w:rsidRPr="0098165F">
        <w:rPr>
          <w:rFonts w:ascii="Times New Roman" w:eastAsia="Times New Roman" w:hAnsi="Times New Roman" w:cs="Times New Roman"/>
          <w:spacing w:val="-2"/>
          <w:kern w:val="0"/>
          <w14:ligatures w14:val="none"/>
        </w:rPr>
        <w:t xml:space="preserve"> (1978) for the Randomized Block Design. Significance of treatment differences was tested at the 5% probability level. Where significant, the critical difference (CD) was calculated and reported.</w:t>
      </w:r>
    </w:p>
    <w:p w14:paraId="56B05622" w14:textId="77777777" w:rsidR="00222033" w:rsidRPr="0098165F" w:rsidRDefault="00222033"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p>
    <w:p w14:paraId="0A4531BC" w14:textId="1CC2798A" w:rsidR="00FF0B69" w:rsidRDefault="00FF0B69" w:rsidP="00FF0B69">
      <w:pPr>
        <w:widowControl w:val="0"/>
        <w:autoSpaceDE w:val="0"/>
        <w:autoSpaceDN w:val="0"/>
        <w:spacing w:after="0" w:line="360" w:lineRule="auto"/>
        <w:ind w:right="228"/>
        <w:jc w:val="both"/>
        <w:rPr>
          <w:rFonts w:ascii="Times New Roman" w:eastAsia="Times New Roman" w:hAnsi="Times New Roman" w:cs="Times New Roman"/>
          <w:b/>
          <w:bCs/>
          <w:kern w:val="0"/>
          <w:sz w:val="27"/>
          <w:szCs w:val="27"/>
          <w:lang w:val="en-US"/>
          <w14:ligatures w14:val="none"/>
        </w:rPr>
      </w:pPr>
      <w:r w:rsidRPr="00FF0B69">
        <w:rPr>
          <w:rFonts w:ascii="Times New Roman" w:eastAsia="Times New Roman" w:hAnsi="Times New Roman" w:cs="Times New Roman"/>
          <w:b/>
          <w:bCs/>
          <w:kern w:val="0"/>
          <w:sz w:val="27"/>
          <w:szCs w:val="27"/>
          <w:lang w:val="en-US"/>
          <w14:ligatures w14:val="none"/>
        </w:rPr>
        <w:t>Result and Discussion</w:t>
      </w:r>
    </w:p>
    <w:p w14:paraId="7C73B1DE" w14:textId="0E4A6D34"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Population at Harvest</w:t>
      </w:r>
    </w:p>
    <w:p w14:paraId="07C55376" w14:textId="36DEECCF"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Significant variations in plant population at harvest were observed under different nutrient management treatments (Table 1). The highest plant population (117628.45 ha⁻¹) was recorded in treatment T7 (100 kg N ha⁻¹ + 30 kg P₂O₅ ha⁻¹ + 40 kg K₂O ha⁻¹), closely followed by T8 (soil test-based nutrient application) and T5. The lowest plant population (101184.17 ha⁻¹) was observed in the control (T1), which received no fertilizer.</w:t>
      </w:r>
      <w:r w:rsidR="002D3E0B">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 increased plant population in fertilized plots could be attributed to improved early plant </w:t>
      </w:r>
      <w:r w:rsidR="00E0350A" w:rsidRPr="00D70F09">
        <w:rPr>
          <w:rFonts w:ascii="Times New Roman" w:eastAsia="Times New Roman" w:hAnsi="Times New Roman" w:cs="Times New Roman"/>
          <w:kern w:val="0"/>
          <w14:ligatures w14:val="none"/>
        </w:rPr>
        <w:t>Vigor</w:t>
      </w:r>
      <w:r w:rsidRPr="00D70F09">
        <w:rPr>
          <w:rFonts w:ascii="Times New Roman" w:eastAsia="Times New Roman" w:hAnsi="Times New Roman" w:cs="Times New Roman"/>
          <w:kern w:val="0"/>
          <w14:ligatures w14:val="none"/>
        </w:rPr>
        <w:t xml:space="preserve"> and better survival due to enhanced nutrient availability, particularly nitrogen and potassium, which play crucial roles in cell division and root development. Potassium, in particular, enhances water retention and disease resistance, which likely contributed to better plant stand in T7 (</w:t>
      </w:r>
      <w:r w:rsidR="002F5FC8" w:rsidRPr="00FB2F94">
        <w:t>Maiya,</w:t>
      </w:r>
      <w:r w:rsidR="002F5FC8">
        <w:t xml:space="preserve"> </w:t>
      </w:r>
      <w:r w:rsidR="002F5FC8" w:rsidRPr="00FB2F94">
        <w:t>2024</w:t>
      </w:r>
      <w:r w:rsidRPr="00D70F09">
        <w:rPr>
          <w:rFonts w:ascii="Times New Roman" w:eastAsia="Times New Roman" w:hAnsi="Times New Roman" w:cs="Times New Roman"/>
          <w:kern w:val="0"/>
          <w14:ligatures w14:val="none"/>
        </w:rPr>
        <w:t xml:space="preserve">). Similar results were reported by </w:t>
      </w:r>
      <w:r w:rsidR="002F5FC8">
        <w:rPr>
          <w:rFonts w:ascii="Times New Roman" w:eastAsia="Times New Roman" w:hAnsi="Times New Roman" w:cs="Times New Roman"/>
          <w:kern w:val="0"/>
          <w14:ligatures w14:val="none"/>
        </w:rPr>
        <w:t>(</w:t>
      </w:r>
      <w:r w:rsidR="002F5FC8" w:rsidRPr="002F5FC8">
        <w:rPr>
          <w:rFonts w:ascii="Times New Roman" w:eastAsia="Times New Roman" w:hAnsi="Times New Roman" w:cs="Times New Roman"/>
          <w:kern w:val="0"/>
          <w14:ligatures w14:val="none"/>
        </w:rPr>
        <w:t>Bhargavi,</w:t>
      </w:r>
      <w:r w:rsidR="002F5FC8">
        <w:rPr>
          <w:rFonts w:ascii="Times New Roman" w:eastAsia="Times New Roman" w:hAnsi="Times New Roman" w:cs="Times New Roman"/>
          <w:kern w:val="0"/>
          <w14:ligatures w14:val="none"/>
        </w:rPr>
        <w:t xml:space="preserve"> </w:t>
      </w:r>
      <w:r w:rsidR="002F5FC8" w:rsidRPr="002F5FC8">
        <w:rPr>
          <w:rFonts w:ascii="Times New Roman" w:eastAsia="Times New Roman" w:hAnsi="Times New Roman" w:cs="Times New Roman"/>
          <w:kern w:val="0"/>
          <w14:ligatures w14:val="none"/>
        </w:rPr>
        <w:t>2021)</w:t>
      </w:r>
      <w:r w:rsidRPr="00D70F09">
        <w:rPr>
          <w:rFonts w:ascii="Times New Roman" w:eastAsia="Times New Roman" w:hAnsi="Times New Roman" w:cs="Times New Roman"/>
          <w:kern w:val="0"/>
          <w14:ligatures w14:val="none"/>
        </w:rPr>
        <w:t>, where integrated N and K application improved emergence and plant establishment in pearl millet.</w:t>
      </w:r>
    </w:p>
    <w:p w14:paraId="269C30C8" w14:textId="77777777" w:rsidR="00821106" w:rsidRDefault="00821106"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381F90D6" w14:textId="50068EAC"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Height at Harvest</w:t>
      </w:r>
    </w:p>
    <w:p w14:paraId="7326B808" w14:textId="101034F3"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Plant height was significantly influenced by different levels of nitrogen and potassium</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xml:space="preserve">. The tallest plants (179.60 cm) were recorded in T4 (100 kg N ha⁻¹ + 30 kg P₂O₅ ha⁻¹ + 20 kg K₂O ha⁻¹), followed by T7 (172.60 cm) and T3 (172.60 cm). The shortest plants were observed in the </w:t>
      </w:r>
      <w:r w:rsidRPr="00D70F09">
        <w:rPr>
          <w:rFonts w:ascii="Times New Roman" w:eastAsia="Times New Roman" w:hAnsi="Times New Roman" w:cs="Times New Roman"/>
          <w:kern w:val="0"/>
          <w14:ligatures w14:val="none"/>
        </w:rPr>
        <w:lastRenderedPageBreak/>
        <w:t>control treatment (158.28 cm).</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The enhanced plant height in N and K treated plots could be attributed to the role of nitrogen in promoting vegetative growth through enhanced chlorophyll synthesis, which in turn increases photosynthesis and cell elongation (</w:t>
      </w:r>
      <w:r w:rsidR="00450BD9" w:rsidRPr="00450BD9">
        <w:rPr>
          <w:rFonts w:ascii="Times New Roman" w:eastAsia="Times New Roman" w:hAnsi="Times New Roman" w:cs="Times New Roman"/>
          <w:kern w:val="0"/>
          <w14:ligatures w14:val="none"/>
        </w:rPr>
        <w:t>Bhanu</w:t>
      </w:r>
      <w:r w:rsidR="00B90E65">
        <w:rPr>
          <w:rFonts w:ascii="Times New Roman" w:eastAsia="Times New Roman" w:hAnsi="Times New Roman" w:cs="Times New Roman"/>
          <w:kern w:val="0"/>
          <w14:ligatures w14:val="none"/>
        </w:rPr>
        <w:t xml:space="preserve">, </w:t>
      </w:r>
      <w:r w:rsidR="00450BD9" w:rsidRPr="00450BD9">
        <w:rPr>
          <w:rFonts w:ascii="Times New Roman" w:eastAsia="Times New Roman" w:hAnsi="Times New Roman" w:cs="Times New Roman"/>
          <w:kern w:val="0"/>
          <w14:ligatures w14:val="none"/>
        </w:rPr>
        <w:t>2014).</w:t>
      </w:r>
      <w:r w:rsidR="00450BD9">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Potassium contributes to enzyme activation and osmoregulation, further supporting growth processes (</w:t>
      </w:r>
      <w:r w:rsidR="00450BD9" w:rsidRPr="00450BD9">
        <w:rPr>
          <w:rFonts w:ascii="Times New Roman" w:eastAsia="Times New Roman" w:hAnsi="Times New Roman" w:cs="Times New Roman"/>
          <w:kern w:val="0"/>
          <w14:ligatures w14:val="none"/>
        </w:rPr>
        <w:t>Maiya, 2024</w:t>
      </w:r>
      <w:r w:rsidRPr="00D70F09">
        <w:rPr>
          <w:rFonts w:ascii="Times New Roman" w:eastAsia="Times New Roman" w:hAnsi="Times New Roman" w:cs="Times New Roman"/>
          <w:kern w:val="0"/>
          <w14:ligatures w14:val="none"/>
        </w:rPr>
        <w:t>). The slight difference between T4 and T7 also highlights that while higher potassium enhances biomass, excessive K may not necessarily promote additional plant height beyond optimal levels.</w:t>
      </w:r>
      <w:r w:rsidR="00450BD9">
        <w:rPr>
          <w:rFonts w:ascii="Times New Roman" w:eastAsia="Times New Roman" w:hAnsi="Times New Roman" w:cs="Times New Roman"/>
          <w:kern w:val="0"/>
          <w14:ligatures w14:val="none"/>
        </w:rPr>
        <w:t xml:space="preserve"> </w:t>
      </w:r>
    </w:p>
    <w:p w14:paraId="689C82CB" w14:textId="5E85B17B" w:rsidR="00C26094" w:rsidRDefault="000B329D"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2F6EFE99" w14:textId="4CDD80A1"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Dry Matter Production at Harvest</w:t>
      </w:r>
    </w:p>
    <w:p w14:paraId="55520149" w14:textId="5F439A65"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Dry matter accumulation was significantly influenced by the nutrient management practices</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The maximum dry matter production (7539.67 kg ha⁻¹) was recorded in T7, followed by T4 (7108.45 kg ha⁻¹) and T6 (6696.67 kg ha⁻¹). The lowest dry matter production (4108.59 kg ha⁻¹) was observed in the unfertilized control (T1).</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Higher dry matter production under T7 can be attributed to the synergistic effect of nitrogen and potassium application, which enhances photosynthetic activity, leaf area development, and translocation of assimilates towards biomass accumulation (</w:t>
      </w:r>
      <w:r w:rsidR="00C267F2" w:rsidRPr="00450BD9">
        <w:rPr>
          <w:rFonts w:ascii="Times New Roman" w:eastAsia="Times New Roman" w:hAnsi="Times New Roman" w:cs="Times New Roman"/>
          <w:kern w:val="0"/>
          <w14:ligatures w14:val="none"/>
        </w:rPr>
        <w:t>Maiya, 2024</w:t>
      </w:r>
      <w:r w:rsidR="00C267F2">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Nitrogen promotes shoot growth, while potassium plays a significant role in improving water use efficiency and nutrient translocation (</w:t>
      </w:r>
      <w:r w:rsidR="00B90E65" w:rsidRPr="00B90E65">
        <w:rPr>
          <w:rFonts w:ascii="Times New Roman" w:eastAsia="Times New Roman" w:hAnsi="Times New Roman" w:cs="Times New Roman"/>
          <w:kern w:val="0"/>
          <w14:ligatures w14:val="none"/>
        </w:rPr>
        <w:t>Singh</w:t>
      </w:r>
      <w:r w:rsidR="00B90E65">
        <w:rPr>
          <w:rFonts w:ascii="Times New Roman" w:eastAsia="Times New Roman" w:hAnsi="Times New Roman" w:cs="Times New Roman"/>
          <w:kern w:val="0"/>
          <w14:ligatures w14:val="none"/>
        </w:rPr>
        <w:t xml:space="preserve"> and </w:t>
      </w:r>
      <w:r w:rsidR="00B90E65" w:rsidRPr="00B90E65">
        <w:rPr>
          <w:rFonts w:ascii="Times New Roman" w:eastAsia="Times New Roman" w:hAnsi="Times New Roman" w:cs="Times New Roman"/>
          <w:kern w:val="0"/>
          <w14:ligatures w14:val="none"/>
        </w:rPr>
        <w:t>Pal</w:t>
      </w:r>
      <w:r w:rsidR="00B90E65">
        <w:rPr>
          <w:rFonts w:ascii="Times New Roman" w:eastAsia="Times New Roman" w:hAnsi="Times New Roman" w:cs="Times New Roman"/>
          <w:kern w:val="0"/>
          <w14:ligatures w14:val="none"/>
        </w:rPr>
        <w:t xml:space="preserve">, </w:t>
      </w:r>
      <w:r w:rsidR="00B90E65" w:rsidRPr="00B90E65">
        <w:rPr>
          <w:rFonts w:ascii="Times New Roman" w:eastAsia="Times New Roman" w:hAnsi="Times New Roman" w:cs="Times New Roman"/>
          <w:kern w:val="0"/>
          <w14:ligatures w14:val="none"/>
        </w:rPr>
        <w:t>2015</w:t>
      </w:r>
      <w:r w:rsidRPr="00D70F09">
        <w:rPr>
          <w:rFonts w:ascii="Times New Roman" w:eastAsia="Times New Roman" w:hAnsi="Times New Roman" w:cs="Times New Roman"/>
          <w:kern w:val="0"/>
          <w14:ligatures w14:val="none"/>
        </w:rPr>
        <w:t>). The improvement in dry matter production in the soil test-based treatment (T8) also indicates the effectiveness of site-specific nutrient management.</w:t>
      </w:r>
      <w:r w:rsidR="00F46550">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These findings are consistent with those of </w:t>
      </w:r>
      <w:r w:rsidR="00B90E65">
        <w:rPr>
          <w:rFonts w:ascii="Times New Roman" w:eastAsia="Times New Roman" w:hAnsi="Times New Roman" w:cs="Times New Roman"/>
          <w:kern w:val="0"/>
          <w14:ligatures w14:val="none"/>
        </w:rPr>
        <w:t>(</w:t>
      </w:r>
      <w:r w:rsidR="00B90E65" w:rsidRPr="00B90E65">
        <w:rPr>
          <w:rFonts w:ascii="Times New Roman" w:eastAsia="Times New Roman" w:hAnsi="Times New Roman" w:cs="Times New Roman"/>
          <w:kern w:val="0"/>
          <w14:ligatures w14:val="none"/>
        </w:rPr>
        <w:t>Bhanu, 2014</w:t>
      </w:r>
      <w:r w:rsidRPr="00D70F09">
        <w:rPr>
          <w:rFonts w:ascii="Times New Roman" w:eastAsia="Times New Roman" w:hAnsi="Times New Roman" w:cs="Times New Roman"/>
          <w:kern w:val="0"/>
          <w14:ligatures w14:val="none"/>
        </w:rPr>
        <w:t>), who reported that balanced fertilization significantly enhances the biomass accumulation and overall productivity of pearl millet in semi-arid regions.</w:t>
      </w:r>
    </w:p>
    <w:p w14:paraId="7713823C" w14:textId="77777777" w:rsidR="00A14CF7" w:rsidRDefault="00A14CF7"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2234876F" w14:textId="77777777"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131D17">
        <w:rPr>
          <w:rFonts w:ascii="Times New Roman" w:eastAsia="Times New Roman" w:hAnsi="Times New Roman" w:cs="Times New Roman"/>
          <w:b/>
          <w:bCs/>
          <w:kern w:val="0"/>
          <w14:ligatures w14:val="none"/>
        </w:rPr>
        <w:t>Soil Properties at 0–15 cm Depth as Influenced by Nutrient Management</w:t>
      </w:r>
    </w:p>
    <w:p w14:paraId="543C6A9D" w14:textId="186E0EE5"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131D17">
        <w:rPr>
          <w:rFonts w:ascii="Times New Roman" w:eastAsia="Times New Roman" w:hAnsi="Times New Roman" w:cs="Times New Roman"/>
          <w:kern w:val="0"/>
          <w14:ligatures w14:val="none"/>
        </w:rPr>
        <w:t>Post-harvest soil analysis at the 0–15 cm depth revealed that nutrient management significantly influenced key soil properties</w:t>
      </w:r>
      <w:r w:rsidR="00B95ABB">
        <w:rPr>
          <w:rFonts w:ascii="Times New Roman" w:eastAsia="Times New Roman" w:hAnsi="Times New Roman" w:cs="Times New Roman"/>
          <w:kern w:val="0"/>
          <w14:ligatures w14:val="none"/>
        </w:rPr>
        <w:t xml:space="preserve"> (Table </w:t>
      </w:r>
      <w:r w:rsidR="00C73E46">
        <w:rPr>
          <w:rFonts w:ascii="Times New Roman" w:eastAsia="Times New Roman" w:hAnsi="Times New Roman" w:cs="Times New Roman"/>
          <w:kern w:val="0"/>
          <w14:ligatures w14:val="none"/>
        </w:rPr>
        <w:t>2</w:t>
      </w:r>
      <w:r w:rsidR="00B95ABB">
        <w:rPr>
          <w:rFonts w:ascii="Times New Roman" w:eastAsia="Times New Roman" w:hAnsi="Times New Roman" w:cs="Times New Roman"/>
          <w:kern w:val="0"/>
          <w14:ligatures w14:val="none"/>
        </w:rPr>
        <w:t>)</w:t>
      </w:r>
      <w:r w:rsidRPr="00131D17">
        <w:rPr>
          <w:rFonts w:ascii="Times New Roman" w:eastAsia="Times New Roman" w:hAnsi="Times New Roman" w:cs="Times New Roman"/>
          <w:kern w:val="0"/>
          <w14:ligatures w14:val="none"/>
        </w:rPr>
        <w:t>. Soil pH remained near neutral, ranging from 6.85 in T5 (60 kg N ha⁻¹ + 30 kg P₂O₅ ha⁻¹ + 40 kg K₂O ha⁻¹) to 7.19 in T6 (80 kg N ha⁻¹ + 30 kg P₂O₅ ha⁻¹ + 40 kg K₂O ha⁻¹), showing that fertilization had minimal impact on soil acidity due to the buffering capacity of sandy loam soils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Electrical conductivity (EC) values were low across treatments (0.043–0.058 </w:t>
      </w:r>
      <w:proofErr w:type="spellStart"/>
      <w:r w:rsidRPr="00131D17">
        <w:rPr>
          <w:rFonts w:ascii="Times New Roman" w:eastAsia="Times New Roman" w:hAnsi="Times New Roman" w:cs="Times New Roman"/>
          <w:kern w:val="0"/>
          <w14:ligatures w14:val="none"/>
        </w:rPr>
        <w:t>dS</w:t>
      </w:r>
      <w:proofErr w:type="spellEnd"/>
      <w:r w:rsidRPr="00131D17">
        <w:rPr>
          <w:rFonts w:ascii="Times New Roman" w:eastAsia="Times New Roman" w:hAnsi="Times New Roman" w:cs="Times New Roman"/>
          <w:kern w:val="0"/>
          <w14:ligatures w14:val="none"/>
        </w:rPr>
        <w:t xml:space="preserve"> m⁻¹), with the highest in T7 (100 kg N ha⁻¹ + 30 kg P₂O₅ ha⁻¹ + 40 kg K₂O ha⁻¹), suggesting increased ionic concentration from residual fertilizer salts, though still within non-saline limits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Organic carbon ranged from 0.44% in T2 (RDF: 60 kg N + 30 kg P₂O₅ + 20 kg K₂O ha⁻¹) and T5 to 0.58% in T8 (soil test-based application: 78 kg N + 21 kg P₂O₅ + 14 kg K₂O ha⁻¹), likely due to enhanced root biomass and organic matter input in well-fertilized plots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Cation exchange capacity (CEC) varied from 4.44 </w:t>
      </w:r>
      <w:proofErr w:type="spellStart"/>
      <w:r w:rsidRPr="00131D17">
        <w:rPr>
          <w:rFonts w:ascii="Times New Roman" w:eastAsia="Times New Roman" w:hAnsi="Times New Roman" w:cs="Times New Roman"/>
          <w:kern w:val="0"/>
          <w14:ligatures w14:val="none"/>
        </w:rPr>
        <w:t>cmol</w:t>
      </w:r>
      <w:proofErr w:type="spellEnd"/>
      <w:r w:rsidRPr="00131D17">
        <w:rPr>
          <w:rFonts w:ascii="Times New Roman" w:eastAsia="Times New Roman" w:hAnsi="Times New Roman" w:cs="Times New Roman"/>
          <w:kern w:val="0"/>
          <w14:ligatures w14:val="none"/>
        </w:rPr>
        <w:t xml:space="preserve">(p⁺) kg⁻¹ in T1 (Control: no fertilizers) to 10.65 </w:t>
      </w:r>
      <w:proofErr w:type="spellStart"/>
      <w:r w:rsidRPr="00131D17">
        <w:rPr>
          <w:rFonts w:ascii="Times New Roman" w:eastAsia="Times New Roman" w:hAnsi="Times New Roman" w:cs="Times New Roman"/>
          <w:kern w:val="0"/>
          <w14:ligatures w14:val="none"/>
        </w:rPr>
        <w:t>cmol</w:t>
      </w:r>
      <w:proofErr w:type="spellEnd"/>
      <w:r w:rsidR="005E35F1">
        <w:rPr>
          <w:rFonts w:ascii="Times New Roman" w:eastAsia="Times New Roman" w:hAnsi="Times New Roman" w:cs="Times New Roman"/>
          <w:kern w:val="0"/>
          <w14:ligatures w14:val="none"/>
        </w:rPr>
        <w:t xml:space="preserve"> </w:t>
      </w:r>
      <w:r w:rsidRPr="00131D17">
        <w:rPr>
          <w:rFonts w:ascii="Times New Roman" w:eastAsia="Times New Roman" w:hAnsi="Times New Roman" w:cs="Times New Roman"/>
          <w:kern w:val="0"/>
          <w14:ligatures w14:val="none"/>
        </w:rPr>
        <w:t>(p⁺) kg⁻¹ in T7, indicating improved nutrient-holding capacity with higher organic matter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xml:space="preserve">). Available nitrogen content increased substantially from 197.79 kg ha⁻¹ in the control to 295.41 kg ha⁻¹ in T7, reflecting </w:t>
      </w:r>
      <w:r w:rsidRPr="00131D17">
        <w:rPr>
          <w:rFonts w:ascii="Times New Roman" w:eastAsia="Times New Roman" w:hAnsi="Times New Roman" w:cs="Times New Roman"/>
          <w:kern w:val="0"/>
          <w14:ligatures w14:val="none"/>
        </w:rPr>
        <w:lastRenderedPageBreak/>
        <w:t>residual N buildup due to greater fertilization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Phosphorus availability was highest (111.8 kg ha⁻¹) in T5, potentially due to limited uptake or fixation, and lowest in T3 (80 kg N ha⁻¹ + 30 kg P₂O₅ ha⁻¹ + 20 kg K₂O ha⁻¹). Available potassium content ranged from 115.1 kg ha⁻¹ in T3 to 165.8 kg ha⁻¹ in T4 (100 kg N ha⁻¹ + 30 kg P₂O₅ ha⁻¹ + 20 kg K₂O ha⁻¹), suggesting residual benefits from applied K as well as variable uptake rates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Overall, T7 and T8 proved most effective in enhancing soil fertility indicators at surface depth, supporting the benefits of balanced or soil test-based nutrient management.</w:t>
      </w:r>
    </w:p>
    <w:p w14:paraId="4128DF22" w14:textId="77777777" w:rsidR="00821106" w:rsidRDefault="00821106"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4C6A6F0F" w14:textId="51082965" w:rsidR="00240E73" w:rsidRP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240E73">
        <w:rPr>
          <w:rFonts w:ascii="Times New Roman" w:eastAsia="Times New Roman" w:hAnsi="Times New Roman" w:cs="Times New Roman"/>
          <w:b/>
          <w:bCs/>
          <w:kern w:val="0"/>
          <w14:ligatures w14:val="none"/>
        </w:rPr>
        <w:t>Soil Properties at 15–30 cm Depth as Influenced by Nutrient Management</w:t>
      </w:r>
    </w:p>
    <w:p w14:paraId="2A3382B2" w14:textId="679B0461" w:rsid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240E73">
        <w:rPr>
          <w:rFonts w:ascii="Times New Roman" w:eastAsia="Times New Roman" w:hAnsi="Times New Roman" w:cs="Times New Roman"/>
          <w:kern w:val="0"/>
          <w14:ligatures w14:val="none"/>
        </w:rPr>
        <w:t>At the 15–30 cm soil depth, nutrient management practices showed noticeable effects on soil physicochemical properties</w:t>
      </w:r>
      <w:r w:rsidRPr="00A14CF7">
        <w:rPr>
          <w:rFonts w:ascii="Times New Roman" w:eastAsia="Times New Roman" w:hAnsi="Times New Roman" w:cs="Times New Roman"/>
          <w:kern w:val="0"/>
          <w14:ligatures w14:val="none"/>
        </w:rPr>
        <w:t xml:space="preserve"> (Table</w:t>
      </w:r>
      <w:r w:rsidR="00F060AE">
        <w:rPr>
          <w:rFonts w:ascii="Times New Roman" w:eastAsia="Times New Roman" w:hAnsi="Times New Roman" w:cs="Times New Roman"/>
          <w:kern w:val="0"/>
          <w14:ligatures w14:val="none"/>
        </w:rPr>
        <w:t xml:space="preserve"> 3</w:t>
      </w:r>
      <w:r w:rsidRPr="00A14CF7">
        <w:rPr>
          <w:rFonts w:ascii="Times New Roman" w:eastAsia="Times New Roman" w:hAnsi="Times New Roman" w:cs="Times New Roman"/>
          <w:kern w:val="0"/>
          <w14:ligatures w14:val="none"/>
        </w:rPr>
        <w:t>)</w:t>
      </w:r>
      <w:r w:rsidRPr="00240E73">
        <w:rPr>
          <w:rFonts w:ascii="Times New Roman" w:eastAsia="Times New Roman" w:hAnsi="Times New Roman" w:cs="Times New Roman"/>
          <w:kern w:val="0"/>
          <w14:ligatures w14:val="none"/>
        </w:rPr>
        <w:t>. Soil pH ranged from 6.92 to 7.21, with the lowest in T5 (60 kg N ha⁻¹ + 30 kg P₂O₅ ha⁻¹ + 40 kg K₂O ha⁻¹) and the highest in T7 (100 kg N ha⁻¹ + 30 kg P₂O₅ ha⁻¹ + 40 kg K₂O ha⁻¹), indicating a slight acidifying effect of higher nitrogen and potassium applications, moderated by the subsoil's buffering capacity (</w:t>
      </w:r>
      <w:r w:rsidR="00D03CB6" w:rsidRPr="00D03CB6">
        <w:t>Bhargavi</w:t>
      </w:r>
      <w:r w:rsidR="00D03CB6">
        <w:t xml:space="preserve"> </w:t>
      </w:r>
      <w:r w:rsidR="00D03CB6" w:rsidRPr="00D03CB6">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xml:space="preserve">). Electrical conductivity (EC) remained low and within non-saline limits (0.027 to 0.041 </w:t>
      </w:r>
      <w:proofErr w:type="spellStart"/>
      <w:r w:rsidRPr="00240E73">
        <w:rPr>
          <w:rFonts w:ascii="Times New Roman" w:eastAsia="Times New Roman" w:hAnsi="Times New Roman" w:cs="Times New Roman"/>
          <w:kern w:val="0"/>
          <w14:ligatures w14:val="none"/>
        </w:rPr>
        <w:t>dS</w:t>
      </w:r>
      <w:proofErr w:type="spellEnd"/>
      <w:r w:rsidRPr="00240E73">
        <w:rPr>
          <w:rFonts w:ascii="Times New Roman" w:eastAsia="Times New Roman" w:hAnsi="Times New Roman" w:cs="Times New Roman"/>
          <w:kern w:val="0"/>
          <w14:ligatures w14:val="none"/>
        </w:rPr>
        <w:t xml:space="preserve"> m⁻¹), with the highest EC in T6 (80 kg N ha⁻¹ + 30 kg P₂O₅ ha⁻¹ + 40 kg K₂O ha⁻¹) due to possible accumulation of residual fertilizer salts (Richards et al., 1954). Organic carbon content varied from 0.25% to 0.47%, highest under T7 and T8 (Soil test-based application: 78 kg N ha⁻¹ + 21 kg P₂O₅ ha⁻¹ + 14 kg K₂O ha⁻¹), likely due to increased root biomass and organic inputs, consistent with the findings of </w:t>
      </w:r>
      <w:r w:rsidR="00BE364D">
        <w:rPr>
          <w:rFonts w:ascii="Times New Roman" w:eastAsia="Times New Roman" w:hAnsi="Times New Roman" w:cs="Times New Roman"/>
          <w:kern w:val="0"/>
          <w14:ligatures w14:val="none"/>
        </w:rPr>
        <w:t>(</w:t>
      </w:r>
      <w:r w:rsidR="00BE364D" w:rsidRPr="00BE364D">
        <w:rPr>
          <w:rFonts w:ascii="Times New Roman" w:eastAsia="Times New Roman" w:hAnsi="Times New Roman" w:cs="Times New Roman"/>
          <w:kern w:val="0"/>
          <w14:ligatures w14:val="none"/>
        </w:rPr>
        <w:t>Bhargavi,</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xml:space="preserve">). Cation exchange capacity (CEC) ranged from 6.17 to 10.63 </w:t>
      </w:r>
      <w:proofErr w:type="spellStart"/>
      <w:r w:rsidRPr="00240E73">
        <w:rPr>
          <w:rFonts w:ascii="Times New Roman" w:eastAsia="Times New Roman" w:hAnsi="Times New Roman" w:cs="Times New Roman"/>
          <w:kern w:val="0"/>
          <w14:ligatures w14:val="none"/>
        </w:rPr>
        <w:t>cmol</w:t>
      </w:r>
      <w:proofErr w:type="spellEnd"/>
      <w:r w:rsidR="00BE364D">
        <w:rPr>
          <w:rFonts w:ascii="Times New Roman" w:eastAsia="Times New Roman" w:hAnsi="Times New Roman" w:cs="Times New Roman"/>
          <w:kern w:val="0"/>
          <w14:ligatures w14:val="none"/>
        </w:rPr>
        <w:t xml:space="preserve"> </w:t>
      </w:r>
      <w:r w:rsidRPr="00240E73">
        <w:rPr>
          <w:rFonts w:ascii="Times New Roman" w:eastAsia="Times New Roman" w:hAnsi="Times New Roman" w:cs="Times New Roman"/>
          <w:kern w:val="0"/>
          <w14:ligatures w14:val="none"/>
        </w:rPr>
        <w:t>(p⁺) kg⁻¹, with the highest value in T7, reflecting the strong influence of organic matter on nutrient retention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 Available nitrogen increased significantly with nitrogen application, from 208.07 kg ha⁻¹ in T1 (Control – no fertilizers applied) to 300.56 kg ha⁻¹ in T7, indicating downward movement due to leaching (Subbiah and Asija, 1956). Available phosphorus ranged from 81.01 to 141.86 kg ha⁻¹, highest in T7, likely due to increased root activity and moisture (Olsen et al., 1954). Available potassium ranged from 101.24 to 184.12 kg ha⁻¹, highest in T4 (100 kg N ha⁻¹ + 30 kg P₂O₅ ha⁻¹ + 20 kg K₂O ha⁻¹), possibly due to mineralization or reduced uptake, while elevated values in T6 and T7 suggest residual effects of potassium application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w:t>
      </w:r>
    </w:p>
    <w:p w14:paraId="052BC523"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1595E88A" w14:textId="5AF0FCB8" w:rsidR="00C3711C" w:rsidRPr="003002E3" w:rsidRDefault="00C3711C" w:rsidP="002441E8">
      <w:pPr>
        <w:jc w:val="both"/>
        <w:rPr>
          <w:rFonts w:ascii="Times New Roman" w:hAnsi="Times New Roman" w:cs="Times New Roman"/>
          <w:b/>
          <w:lang w:val="en-US"/>
        </w:rPr>
      </w:pPr>
      <w:r w:rsidRPr="003002E3">
        <w:rPr>
          <w:rFonts w:ascii="Times New Roman" w:hAnsi="Times New Roman" w:cs="Times New Roman"/>
          <w:b/>
          <w:lang w:val="en-US"/>
        </w:rPr>
        <w:t>Table</w:t>
      </w:r>
      <w:r w:rsidR="00BC5947" w:rsidRPr="003002E3">
        <w:rPr>
          <w:rFonts w:ascii="Times New Roman" w:hAnsi="Times New Roman" w:cs="Times New Roman"/>
          <w:b/>
          <w:lang w:val="en-US"/>
        </w:rPr>
        <w:t>:</w:t>
      </w:r>
      <w:r w:rsidR="002441E8" w:rsidRPr="002441E8">
        <w:rPr>
          <w:rFonts w:ascii="Times New Roman" w:hAnsi="Times New Roman" w:cs="Times New Roman"/>
          <w:bCs/>
          <w:lang w:val="en-US"/>
        </w:rPr>
        <w:t>1</w:t>
      </w:r>
      <w:r w:rsidR="00DD4732" w:rsidRPr="002441E8">
        <w:rPr>
          <w:rFonts w:ascii="Times New Roman" w:hAnsi="Times New Roman" w:cs="Times New Roman"/>
          <w:bCs/>
          <w:lang w:val="en-US"/>
        </w:rPr>
        <w:t xml:space="preserve"> </w:t>
      </w:r>
      <w:r w:rsidR="002441E8" w:rsidRPr="002441E8">
        <w:rPr>
          <w:rFonts w:ascii="Times New Roman" w:hAnsi="Times New Roman" w:cs="Times New Roman"/>
          <w:bCs/>
          <w:lang w:val="en-US"/>
        </w:rPr>
        <w:t>Plant Population</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Plant height (cm)</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Dry matter production</w:t>
      </w:r>
      <w:r w:rsidR="002441E8">
        <w:rPr>
          <w:rFonts w:ascii="Times New Roman" w:hAnsi="Times New Roman" w:cs="Times New Roman"/>
          <w:bCs/>
          <w:lang w:val="en-US"/>
        </w:rPr>
        <w:t xml:space="preserve"> </w:t>
      </w:r>
      <w:r w:rsidR="002441E8" w:rsidRPr="002441E8">
        <w:rPr>
          <w:rFonts w:ascii="Times New Roman" w:hAnsi="Times New Roman" w:cs="Times New Roman"/>
          <w:bCs/>
          <w:lang w:val="en-US"/>
        </w:rPr>
        <w:t>(kg ha</w:t>
      </w:r>
      <w:r w:rsidR="002441E8" w:rsidRPr="002441E8">
        <w:rPr>
          <w:rFonts w:ascii="Times New Roman" w:hAnsi="Times New Roman" w:cs="Times New Roman"/>
          <w:bCs/>
          <w:vertAlign w:val="superscript"/>
          <w:lang w:val="en-US"/>
        </w:rPr>
        <w:t>-1</w:t>
      </w:r>
      <w:r w:rsidR="002441E8" w:rsidRPr="002441E8">
        <w:rPr>
          <w:rFonts w:ascii="Times New Roman" w:hAnsi="Times New Roman" w:cs="Times New Roman"/>
          <w:bCs/>
          <w:lang w:val="en-US"/>
        </w:rPr>
        <w:t xml:space="preserve">) at harvest </w:t>
      </w:r>
      <w:r w:rsidRPr="002441E8">
        <w:rPr>
          <w:rFonts w:ascii="Times New Roman" w:hAnsi="Times New Roman" w:cs="Times New Roman"/>
          <w:bCs/>
          <w:lang w:val="en-US"/>
        </w:rPr>
        <w:t>at different stages of crop growth as influenced by nutrient management practices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5"/>
        <w:gridCol w:w="1467"/>
        <w:gridCol w:w="2595"/>
        <w:gridCol w:w="2013"/>
      </w:tblGrid>
      <w:tr w:rsidR="00B113AA" w:rsidRPr="00211C3B" w14:paraId="7BEF2997" w14:textId="77777777" w:rsidTr="00211C3B">
        <w:trPr>
          <w:trHeight w:val="527"/>
          <w:jc w:val="center"/>
        </w:trPr>
        <w:tc>
          <w:tcPr>
            <w:tcW w:w="1520" w:type="pct"/>
            <w:vAlign w:val="center"/>
          </w:tcPr>
          <w:p w14:paraId="21D0B568"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Treatment</w:t>
            </w:r>
          </w:p>
        </w:tc>
        <w:tc>
          <w:tcPr>
            <w:tcW w:w="840" w:type="pct"/>
            <w:vAlign w:val="center"/>
          </w:tcPr>
          <w:p w14:paraId="32025E28" w14:textId="7AA9C5FD" w:rsidR="00C3711C" w:rsidRPr="00211C3B" w:rsidRDefault="00882FC9" w:rsidP="003002E3">
            <w:pPr>
              <w:jc w:val="center"/>
              <w:rPr>
                <w:rFonts w:ascii="Times New Roman" w:hAnsi="Times New Roman" w:cs="Times New Roman"/>
                <w:b/>
                <w:lang w:val="en-US"/>
              </w:rPr>
            </w:pPr>
            <w:r w:rsidRPr="00211C3B">
              <w:rPr>
                <w:rFonts w:ascii="Times New Roman" w:hAnsi="Times New Roman" w:cs="Times New Roman"/>
                <w:b/>
                <w:lang w:val="en-US"/>
              </w:rPr>
              <w:t xml:space="preserve">Plant Population </w:t>
            </w:r>
            <w:r w:rsidR="00C3711C" w:rsidRPr="00211C3B">
              <w:rPr>
                <w:rFonts w:ascii="Times New Roman" w:hAnsi="Times New Roman" w:cs="Times New Roman"/>
                <w:b/>
                <w:lang w:val="en-US"/>
              </w:rPr>
              <w:t>At harvest</w:t>
            </w:r>
          </w:p>
        </w:tc>
        <w:tc>
          <w:tcPr>
            <w:tcW w:w="1486" w:type="pct"/>
            <w:vAlign w:val="center"/>
          </w:tcPr>
          <w:p w14:paraId="6C3341AC" w14:textId="5F1F4E31"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Plant</w:t>
            </w:r>
            <w:r w:rsidRPr="00211C3B">
              <w:rPr>
                <w:rFonts w:ascii="Times New Roman" w:eastAsia="Times New Roman" w:hAnsi="Times New Roman" w:cs="Times New Roman"/>
                <w:b/>
                <w:spacing w:val="-4"/>
                <w:kern w:val="0"/>
                <w:lang w:val="en-US"/>
                <w14:ligatures w14:val="none"/>
              </w:rPr>
              <w:t xml:space="preserve"> </w:t>
            </w:r>
            <w:r w:rsidRPr="00211C3B">
              <w:rPr>
                <w:rFonts w:ascii="Times New Roman" w:eastAsia="Times New Roman" w:hAnsi="Times New Roman" w:cs="Times New Roman"/>
                <w:b/>
                <w:kern w:val="0"/>
                <w:lang w:val="en-US"/>
                <w14:ligatures w14:val="none"/>
              </w:rPr>
              <w:t>height</w:t>
            </w:r>
            <w:r w:rsidRPr="00211C3B">
              <w:rPr>
                <w:rFonts w:ascii="Times New Roman" w:eastAsia="Times New Roman" w:hAnsi="Times New Roman" w:cs="Times New Roman"/>
                <w:b/>
                <w:spacing w:val="-8"/>
                <w:kern w:val="0"/>
                <w:lang w:val="en-US"/>
                <w14:ligatures w14:val="none"/>
              </w:rPr>
              <w:t xml:space="preserve"> </w:t>
            </w:r>
            <w:r w:rsidRPr="00211C3B">
              <w:rPr>
                <w:rFonts w:ascii="Times New Roman" w:eastAsia="Times New Roman" w:hAnsi="Times New Roman" w:cs="Times New Roman"/>
                <w:b/>
                <w:kern w:val="0"/>
                <w:lang w:val="en-US"/>
                <w14:ligatures w14:val="none"/>
              </w:rPr>
              <w:t>(cm)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c>
          <w:tcPr>
            <w:tcW w:w="1153" w:type="pct"/>
            <w:vAlign w:val="center"/>
          </w:tcPr>
          <w:p w14:paraId="5ECC18B7" w14:textId="0D40FD5E"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Dry</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kern w:val="0"/>
                <w:lang w:val="en-US"/>
                <w14:ligatures w14:val="none"/>
              </w:rPr>
              <w:t>matter</w:t>
            </w:r>
            <w:r w:rsidRPr="00211C3B">
              <w:rPr>
                <w:rFonts w:ascii="Times New Roman" w:eastAsia="Times New Roman" w:hAnsi="Times New Roman" w:cs="Times New Roman"/>
                <w:b/>
                <w:spacing w:val="-2"/>
                <w:kern w:val="0"/>
                <w:lang w:val="en-US"/>
                <w14:ligatures w14:val="none"/>
              </w:rPr>
              <w:t xml:space="preserve"> </w:t>
            </w:r>
            <w:r w:rsidRPr="00211C3B">
              <w:rPr>
                <w:rFonts w:ascii="Times New Roman" w:eastAsia="Times New Roman" w:hAnsi="Times New Roman" w:cs="Times New Roman"/>
                <w:b/>
                <w:kern w:val="0"/>
                <w:lang w:val="en-US"/>
                <w14:ligatures w14:val="none"/>
              </w:rPr>
              <w:t>production</w:t>
            </w:r>
            <w:r w:rsidRPr="00211C3B">
              <w:rPr>
                <w:rFonts w:ascii="Times New Roman" w:eastAsia="Times New Roman" w:hAnsi="Times New Roman" w:cs="Times New Roman"/>
                <w:b/>
                <w:spacing w:val="-9"/>
                <w:kern w:val="0"/>
                <w:lang w:val="en-US"/>
                <w14:ligatures w14:val="none"/>
              </w:rPr>
              <w:t xml:space="preserve"> </w:t>
            </w:r>
            <w:r w:rsidRPr="00211C3B">
              <w:rPr>
                <w:rFonts w:ascii="Times New Roman" w:eastAsia="Times New Roman" w:hAnsi="Times New Roman" w:cs="Times New Roman"/>
                <w:b/>
                <w:kern w:val="0"/>
                <w:lang w:val="en-US"/>
                <w14:ligatures w14:val="none"/>
              </w:rPr>
              <w:t>(kg ha</w:t>
            </w:r>
            <w:r w:rsidRPr="00211C3B">
              <w:rPr>
                <w:rFonts w:ascii="Times New Roman" w:eastAsia="Times New Roman" w:hAnsi="Times New Roman" w:cs="Times New Roman"/>
                <w:b/>
                <w:kern w:val="0"/>
                <w:vertAlign w:val="superscript"/>
                <w:lang w:val="en-US"/>
                <w14:ligatures w14:val="none"/>
              </w:rPr>
              <w:t>-1</w:t>
            </w:r>
            <w:r w:rsidRPr="00211C3B">
              <w:rPr>
                <w:rFonts w:ascii="Times New Roman" w:eastAsia="Times New Roman" w:hAnsi="Times New Roman" w:cs="Times New Roman"/>
                <w:b/>
                <w:kern w:val="0"/>
                <w:lang w:val="en-US"/>
                <w14:ligatures w14:val="none"/>
              </w:rPr>
              <w:t>)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r>
      <w:tr w:rsidR="00B113AA" w:rsidRPr="00211C3B" w14:paraId="5B4AF064" w14:textId="77777777" w:rsidTr="00EB1603">
        <w:trPr>
          <w:trHeight w:val="578"/>
          <w:jc w:val="center"/>
        </w:trPr>
        <w:tc>
          <w:tcPr>
            <w:tcW w:w="1520" w:type="pct"/>
          </w:tcPr>
          <w:p w14:paraId="211B7606"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1</w:t>
            </w:r>
            <w:r w:rsidRPr="00211C3B">
              <w:rPr>
                <w:sz w:val="22"/>
                <w:szCs w:val="22"/>
              </w:rPr>
              <w:t>: Control (no fertilizers).</w:t>
            </w:r>
          </w:p>
        </w:tc>
        <w:tc>
          <w:tcPr>
            <w:tcW w:w="840" w:type="pct"/>
            <w:vAlign w:val="center"/>
          </w:tcPr>
          <w:p w14:paraId="62427450" w14:textId="27C34C78"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101184.17</w:t>
            </w:r>
          </w:p>
        </w:tc>
        <w:tc>
          <w:tcPr>
            <w:tcW w:w="1486" w:type="pct"/>
            <w:vAlign w:val="center"/>
          </w:tcPr>
          <w:p w14:paraId="7F02608D" w14:textId="41867FBF"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158.28</w:t>
            </w:r>
          </w:p>
        </w:tc>
        <w:tc>
          <w:tcPr>
            <w:tcW w:w="1153" w:type="pct"/>
            <w:vAlign w:val="center"/>
          </w:tcPr>
          <w:p w14:paraId="358B9ADF" w14:textId="4792F357"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4108.59</w:t>
            </w:r>
          </w:p>
        </w:tc>
      </w:tr>
      <w:tr w:rsidR="00B113AA" w:rsidRPr="00211C3B" w14:paraId="3A0B003F" w14:textId="77777777" w:rsidTr="00EB1603">
        <w:trPr>
          <w:trHeight w:val="574"/>
          <w:jc w:val="center"/>
        </w:trPr>
        <w:tc>
          <w:tcPr>
            <w:tcW w:w="1520" w:type="pct"/>
          </w:tcPr>
          <w:p w14:paraId="64F5112E" w14:textId="465AA90E"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2</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r w:rsidR="006C1CCE">
              <w:rPr>
                <w:sz w:val="22"/>
                <w:szCs w:val="22"/>
                <w:vertAlign w:val="superscript"/>
              </w:rPr>
              <w:t xml:space="preserve"> </w:t>
            </w:r>
            <w:r w:rsidRPr="00211C3B">
              <w:rPr>
                <w:sz w:val="22"/>
                <w:szCs w:val="22"/>
              </w:rPr>
              <w:t>(</w:t>
            </w:r>
            <w:r w:rsidRPr="00211C3B">
              <w:rPr>
                <w:b/>
                <w:sz w:val="22"/>
                <w:szCs w:val="22"/>
              </w:rPr>
              <w:t>RDF</w:t>
            </w:r>
            <w:r w:rsidRPr="00211C3B">
              <w:rPr>
                <w:sz w:val="22"/>
                <w:szCs w:val="22"/>
              </w:rPr>
              <w:t>)</w:t>
            </w:r>
          </w:p>
        </w:tc>
        <w:tc>
          <w:tcPr>
            <w:tcW w:w="840" w:type="pct"/>
            <w:vAlign w:val="center"/>
          </w:tcPr>
          <w:p w14:paraId="65571B40" w14:textId="0A594E85"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113035.91</w:t>
            </w:r>
          </w:p>
        </w:tc>
        <w:tc>
          <w:tcPr>
            <w:tcW w:w="1486" w:type="pct"/>
            <w:vAlign w:val="center"/>
          </w:tcPr>
          <w:p w14:paraId="1EB6C07C" w14:textId="5FDF8B37"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161.00</w:t>
            </w:r>
          </w:p>
        </w:tc>
        <w:tc>
          <w:tcPr>
            <w:tcW w:w="1153" w:type="pct"/>
            <w:vAlign w:val="center"/>
          </w:tcPr>
          <w:p w14:paraId="28A0FE49" w14:textId="6B8E2A24"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5830.45</w:t>
            </w:r>
          </w:p>
        </w:tc>
      </w:tr>
      <w:tr w:rsidR="00B113AA" w:rsidRPr="00211C3B" w14:paraId="51713FA1" w14:textId="77777777" w:rsidTr="00EB1603">
        <w:trPr>
          <w:trHeight w:val="578"/>
          <w:jc w:val="center"/>
        </w:trPr>
        <w:tc>
          <w:tcPr>
            <w:tcW w:w="1520" w:type="pct"/>
          </w:tcPr>
          <w:p w14:paraId="5315500B" w14:textId="77777777" w:rsidR="00C3711C" w:rsidRPr="00211C3B" w:rsidRDefault="00C3711C" w:rsidP="003002E3">
            <w:pPr>
              <w:pStyle w:val="BodyText"/>
              <w:jc w:val="center"/>
              <w:rPr>
                <w:sz w:val="22"/>
                <w:szCs w:val="22"/>
              </w:rPr>
            </w:pPr>
            <w:r w:rsidRPr="00211C3B">
              <w:rPr>
                <w:sz w:val="22"/>
                <w:szCs w:val="22"/>
              </w:rPr>
              <w:lastRenderedPageBreak/>
              <w:t>T</w:t>
            </w:r>
            <w:r w:rsidRPr="00211C3B">
              <w:rPr>
                <w:sz w:val="22"/>
                <w:szCs w:val="22"/>
                <w:vertAlign w:val="subscript"/>
              </w:rPr>
              <w:t>3</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vAlign w:val="center"/>
          </w:tcPr>
          <w:p w14:paraId="507AF40C" w14:textId="1F25FD44"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115998.84</w:t>
            </w:r>
          </w:p>
        </w:tc>
        <w:tc>
          <w:tcPr>
            <w:tcW w:w="1486" w:type="pct"/>
            <w:vAlign w:val="center"/>
          </w:tcPr>
          <w:p w14:paraId="67394282" w14:textId="1DECAC1A"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vAlign w:val="center"/>
          </w:tcPr>
          <w:p w14:paraId="73ACAA0F" w14:textId="47F3A99A"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6460.12</w:t>
            </w:r>
          </w:p>
        </w:tc>
      </w:tr>
      <w:tr w:rsidR="00B113AA" w:rsidRPr="00211C3B" w14:paraId="3517B5B4" w14:textId="77777777" w:rsidTr="00EB1603">
        <w:trPr>
          <w:trHeight w:val="572"/>
          <w:jc w:val="center"/>
        </w:trPr>
        <w:tc>
          <w:tcPr>
            <w:tcW w:w="1520" w:type="pct"/>
          </w:tcPr>
          <w:p w14:paraId="00A2E1C1"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4</w:t>
            </w:r>
            <w:r w:rsidRPr="00211C3B">
              <w:rPr>
                <w:sz w:val="22"/>
                <w:szCs w:val="22"/>
              </w:rPr>
              <w:t>: 100 kg N ha</w:t>
            </w:r>
            <w:r w:rsidRPr="00211C3B">
              <w:rPr>
                <w:sz w:val="22"/>
                <w:szCs w:val="22"/>
                <w:vertAlign w:val="superscript"/>
              </w:rPr>
              <w:t>-1</w:t>
            </w:r>
            <w:r w:rsidRPr="00211C3B">
              <w:rPr>
                <w:sz w:val="22"/>
                <w:szCs w:val="22"/>
              </w:rPr>
              <w:t xml:space="preserve">  + 30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vAlign w:val="center"/>
          </w:tcPr>
          <w:p w14:paraId="1F7EAF47" w14:textId="0F71CEFB"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115702.54</w:t>
            </w:r>
          </w:p>
        </w:tc>
        <w:tc>
          <w:tcPr>
            <w:tcW w:w="1486" w:type="pct"/>
            <w:vAlign w:val="center"/>
          </w:tcPr>
          <w:p w14:paraId="55654AF4" w14:textId="1B93233C"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179.60</w:t>
            </w:r>
          </w:p>
        </w:tc>
        <w:tc>
          <w:tcPr>
            <w:tcW w:w="1153" w:type="pct"/>
            <w:vAlign w:val="center"/>
          </w:tcPr>
          <w:p w14:paraId="03BB4990" w14:textId="69BE62F7"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7108.45</w:t>
            </w:r>
          </w:p>
        </w:tc>
      </w:tr>
      <w:tr w:rsidR="00B113AA" w:rsidRPr="00211C3B" w14:paraId="66450A80" w14:textId="77777777" w:rsidTr="00EB1603">
        <w:trPr>
          <w:trHeight w:val="579"/>
          <w:jc w:val="center"/>
        </w:trPr>
        <w:tc>
          <w:tcPr>
            <w:tcW w:w="1520" w:type="pct"/>
          </w:tcPr>
          <w:p w14:paraId="69A27D39"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5</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vAlign w:val="center"/>
          </w:tcPr>
          <w:p w14:paraId="3F762496" w14:textId="1C1E2C48"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116295.13</w:t>
            </w:r>
          </w:p>
        </w:tc>
        <w:tc>
          <w:tcPr>
            <w:tcW w:w="1486" w:type="pct"/>
            <w:vAlign w:val="center"/>
          </w:tcPr>
          <w:p w14:paraId="5EEBDA57" w14:textId="76BB7AB4"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169.80</w:t>
            </w:r>
          </w:p>
        </w:tc>
        <w:tc>
          <w:tcPr>
            <w:tcW w:w="1153" w:type="pct"/>
            <w:vAlign w:val="center"/>
          </w:tcPr>
          <w:p w14:paraId="19AAF4D0" w14:textId="47E79EC2"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5982.51</w:t>
            </w:r>
          </w:p>
        </w:tc>
      </w:tr>
      <w:tr w:rsidR="00B113AA" w:rsidRPr="00211C3B" w14:paraId="3CB842EE" w14:textId="77777777" w:rsidTr="00EB1603">
        <w:trPr>
          <w:trHeight w:val="572"/>
          <w:jc w:val="center"/>
        </w:trPr>
        <w:tc>
          <w:tcPr>
            <w:tcW w:w="1520" w:type="pct"/>
          </w:tcPr>
          <w:p w14:paraId="01B0C997"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6</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vAlign w:val="center"/>
          </w:tcPr>
          <w:p w14:paraId="1F7522C4" w14:textId="4C95895E"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110665.56</w:t>
            </w:r>
          </w:p>
        </w:tc>
        <w:tc>
          <w:tcPr>
            <w:tcW w:w="1486" w:type="pct"/>
            <w:vAlign w:val="center"/>
          </w:tcPr>
          <w:p w14:paraId="1C933755" w14:textId="115F374A"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165.92</w:t>
            </w:r>
          </w:p>
        </w:tc>
        <w:tc>
          <w:tcPr>
            <w:tcW w:w="1153" w:type="pct"/>
            <w:vAlign w:val="center"/>
          </w:tcPr>
          <w:p w14:paraId="76324758" w14:textId="1BC24A13"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6696.67</w:t>
            </w:r>
          </w:p>
        </w:tc>
      </w:tr>
      <w:tr w:rsidR="00B113AA" w:rsidRPr="00211C3B" w14:paraId="18FBC690" w14:textId="77777777" w:rsidTr="00EB1603">
        <w:trPr>
          <w:trHeight w:val="578"/>
          <w:jc w:val="center"/>
        </w:trPr>
        <w:tc>
          <w:tcPr>
            <w:tcW w:w="1520" w:type="pct"/>
          </w:tcPr>
          <w:p w14:paraId="03EC89C5" w14:textId="2C49C0C3"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7</w:t>
            </w:r>
            <w:r w:rsidRPr="00211C3B">
              <w:rPr>
                <w:sz w:val="22"/>
                <w:szCs w:val="22"/>
              </w:rPr>
              <w:t>: 100 kg N ha</w:t>
            </w:r>
            <w:r w:rsidRPr="00211C3B">
              <w:rPr>
                <w:sz w:val="22"/>
                <w:szCs w:val="22"/>
                <w:vertAlign w:val="superscript"/>
              </w:rPr>
              <w:t>-1</w:t>
            </w:r>
            <w:r w:rsidRPr="00211C3B">
              <w:rPr>
                <w:sz w:val="22"/>
                <w:szCs w:val="22"/>
              </w:rPr>
              <w:t xml:space="preserve">  + 30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00147556">
              <w:rPr>
                <w:sz w:val="22"/>
                <w:szCs w:val="22"/>
                <w:vertAlign w:val="superscript"/>
              </w:rPr>
              <w:t xml:space="preserve"> </w:t>
            </w:r>
            <w:r w:rsidRPr="00211C3B">
              <w:rPr>
                <w:sz w:val="22"/>
                <w:szCs w:val="22"/>
              </w:rPr>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vAlign w:val="center"/>
          </w:tcPr>
          <w:p w14:paraId="465A9C49" w14:textId="1FC3B25E"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117628.45</w:t>
            </w:r>
          </w:p>
        </w:tc>
        <w:tc>
          <w:tcPr>
            <w:tcW w:w="1486" w:type="pct"/>
            <w:vAlign w:val="center"/>
          </w:tcPr>
          <w:p w14:paraId="64FAD345" w14:textId="0CD8DAF1"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vAlign w:val="center"/>
          </w:tcPr>
          <w:p w14:paraId="246E04DD" w14:textId="07A08D54"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7539.67</w:t>
            </w:r>
          </w:p>
        </w:tc>
      </w:tr>
      <w:tr w:rsidR="00B113AA" w:rsidRPr="00211C3B" w14:paraId="19111561" w14:textId="77777777" w:rsidTr="00EB1603">
        <w:trPr>
          <w:trHeight w:val="572"/>
          <w:jc w:val="center"/>
        </w:trPr>
        <w:tc>
          <w:tcPr>
            <w:tcW w:w="1520" w:type="pct"/>
          </w:tcPr>
          <w:p w14:paraId="0DFD4C45"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8</w:t>
            </w:r>
            <w:r w:rsidRPr="00211C3B">
              <w:rPr>
                <w:sz w:val="22"/>
                <w:szCs w:val="22"/>
              </w:rPr>
              <w:t>: Application of N,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and K</w:t>
            </w:r>
            <w:r w:rsidRPr="00211C3B">
              <w:rPr>
                <w:sz w:val="22"/>
                <w:szCs w:val="22"/>
                <w:vertAlign w:val="subscript"/>
              </w:rPr>
              <w:t>2</w:t>
            </w:r>
            <w:r w:rsidRPr="00211C3B">
              <w:rPr>
                <w:sz w:val="22"/>
                <w:szCs w:val="22"/>
              </w:rPr>
              <w:t>O based on Soil Test Values.</w:t>
            </w:r>
          </w:p>
        </w:tc>
        <w:tc>
          <w:tcPr>
            <w:tcW w:w="840" w:type="pct"/>
            <w:vAlign w:val="center"/>
          </w:tcPr>
          <w:p w14:paraId="7EAFD440" w14:textId="319E841C"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117035.86</w:t>
            </w:r>
          </w:p>
        </w:tc>
        <w:tc>
          <w:tcPr>
            <w:tcW w:w="1486" w:type="pct"/>
            <w:vAlign w:val="center"/>
          </w:tcPr>
          <w:p w14:paraId="47980F46" w14:textId="765406D8"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170.00</w:t>
            </w:r>
          </w:p>
        </w:tc>
        <w:tc>
          <w:tcPr>
            <w:tcW w:w="1153" w:type="pct"/>
            <w:vAlign w:val="center"/>
          </w:tcPr>
          <w:p w14:paraId="4963B142" w14:textId="355A7B80"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6430.40</w:t>
            </w:r>
          </w:p>
        </w:tc>
      </w:tr>
      <w:tr w:rsidR="00B113AA" w:rsidRPr="00211C3B" w14:paraId="58AD91FB" w14:textId="77777777" w:rsidTr="00EB1603">
        <w:trPr>
          <w:trHeight w:val="578"/>
          <w:jc w:val="center"/>
        </w:trPr>
        <w:tc>
          <w:tcPr>
            <w:tcW w:w="1520" w:type="pct"/>
          </w:tcPr>
          <w:p w14:paraId="3F6DE150" w14:textId="77777777" w:rsidR="00C3711C" w:rsidRPr="00211C3B" w:rsidRDefault="00C3711C" w:rsidP="003002E3">
            <w:pPr>
              <w:jc w:val="center"/>
              <w:rPr>
                <w:rFonts w:ascii="Times New Roman" w:hAnsi="Times New Roman" w:cs="Times New Roman"/>
                <w:b/>
                <w:lang w:val="en-US"/>
              </w:rPr>
            </w:pPr>
            <w:proofErr w:type="spellStart"/>
            <w:r w:rsidRPr="00211C3B">
              <w:rPr>
                <w:rFonts w:ascii="Times New Roman" w:hAnsi="Times New Roman" w:cs="Times New Roman"/>
                <w:b/>
                <w:lang w:val="en-US"/>
              </w:rPr>
              <w:t>SEm</w:t>
            </w:r>
            <w:proofErr w:type="spellEnd"/>
            <w:r w:rsidRPr="00211C3B">
              <w:rPr>
                <w:rFonts w:ascii="Times New Roman" w:hAnsi="Times New Roman" w:cs="Times New Roman"/>
                <w:b/>
                <w:lang w:val="en-US"/>
              </w:rPr>
              <w:t>±</w:t>
            </w:r>
          </w:p>
        </w:tc>
        <w:tc>
          <w:tcPr>
            <w:tcW w:w="840" w:type="pct"/>
            <w:vAlign w:val="center"/>
          </w:tcPr>
          <w:p w14:paraId="3DB3A0E4" w14:textId="293EF659"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4805.27</w:t>
            </w:r>
          </w:p>
        </w:tc>
        <w:tc>
          <w:tcPr>
            <w:tcW w:w="1486" w:type="pct"/>
            <w:vAlign w:val="center"/>
          </w:tcPr>
          <w:p w14:paraId="1199C5C5" w14:textId="10978E9F"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0.793</w:t>
            </w:r>
          </w:p>
        </w:tc>
        <w:tc>
          <w:tcPr>
            <w:tcW w:w="1153" w:type="pct"/>
            <w:vAlign w:val="center"/>
          </w:tcPr>
          <w:p w14:paraId="756980F1" w14:textId="6B40A8E0"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59.786</w:t>
            </w:r>
          </w:p>
        </w:tc>
      </w:tr>
      <w:tr w:rsidR="00B113AA" w:rsidRPr="00211C3B" w14:paraId="3CBC6A60" w14:textId="77777777" w:rsidTr="00EB1603">
        <w:trPr>
          <w:trHeight w:val="579"/>
          <w:jc w:val="center"/>
        </w:trPr>
        <w:tc>
          <w:tcPr>
            <w:tcW w:w="1520" w:type="pct"/>
          </w:tcPr>
          <w:p w14:paraId="15C633C3"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CD (P = 0.05)</w:t>
            </w:r>
          </w:p>
        </w:tc>
        <w:tc>
          <w:tcPr>
            <w:tcW w:w="840" w:type="pct"/>
            <w:vAlign w:val="center"/>
          </w:tcPr>
          <w:p w14:paraId="65829FB6" w14:textId="6F7D7571" w:rsidR="00C3711C" w:rsidRPr="00211C3B" w:rsidRDefault="00C3711C" w:rsidP="00EB1603">
            <w:pPr>
              <w:jc w:val="center"/>
              <w:rPr>
                <w:rFonts w:ascii="Times New Roman" w:hAnsi="Times New Roman" w:cs="Times New Roman"/>
                <w:lang w:val="en-US"/>
              </w:rPr>
            </w:pPr>
            <w:r w:rsidRPr="00211C3B">
              <w:rPr>
                <w:rFonts w:ascii="Times New Roman" w:hAnsi="Times New Roman" w:cs="Times New Roman"/>
                <w:lang w:val="en-US"/>
              </w:rPr>
              <w:t>N.S.</w:t>
            </w:r>
          </w:p>
        </w:tc>
        <w:tc>
          <w:tcPr>
            <w:tcW w:w="1486" w:type="pct"/>
            <w:vAlign w:val="center"/>
          </w:tcPr>
          <w:p w14:paraId="138E9C93" w14:textId="214730DF"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2.429</w:t>
            </w:r>
          </w:p>
        </w:tc>
        <w:tc>
          <w:tcPr>
            <w:tcW w:w="1153" w:type="pct"/>
            <w:vAlign w:val="center"/>
          </w:tcPr>
          <w:p w14:paraId="6FBC70B1" w14:textId="2A9B8F3D" w:rsidR="00C3711C" w:rsidRPr="00211C3B" w:rsidRDefault="00C3711C" w:rsidP="00EB160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183.100</w:t>
            </w:r>
          </w:p>
        </w:tc>
      </w:tr>
    </w:tbl>
    <w:p w14:paraId="0F88958E" w14:textId="77777777" w:rsidR="00C3711C" w:rsidRPr="003002E3" w:rsidRDefault="00C3711C" w:rsidP="003002E3">
      <w:pPr>
        <w:jc w:val="center"/>
        <w:rPr>
          <w:rFonts w:ascii="Times New Roman" w:hAnsi="Times New Roman" w:cs="Times New Roman"/>
          <w:lang w:val="en-US"/>
        </w:rPr>
      </w:pPr>
    </w:p>
    <w:p w14:paraId="0D37769B" w14:textId="77777777" w:rsidR="00B456F7" w:rsidRPr="003002E3" w:rsidRDefault="00B456F7" w:rsidP="003002E3">
      <w:pPr>
        <w:jc w:val="center"/>
        <w:rPr>
          <w:rFonts w:ascii="Times New Roman" w:hAnsi="Times New Roman" w:cs="Times New Roman"/>
          <w:lang w:val="en-US"/>
        </w:rPr>
      </w:pPr>
    </w:p>
    <w:p w14:paraId="28AB1438" w14:textId="77777777" w:rsidR="00B456F7" w:rsidRPr="003002E3" w:rsidRDefault="00B456F7" w:rsidP="003002E3">
      <w:pPr>
        <w:jc w:val="center"/>
        <w:rPr>
          <w:rFonts w:ascii="Times New Roman" w:hAnsi="Times New Roman" w:cs="Times New Roman"/>
          <w:lang w:val="en-US"/>
        </w:rPr>
      </w:pPr>
    </w:p>
    <w:p w14:paraId="0706DCFE"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997670">
          <w:headerReference w:type="even" r:id="rId8"/>
          <w:headerReference w:type="default" r:id="rId9"/>
          <w:footerReference w:type="even" r:id="rId10"/>
          <w:footerReference w:type="default" r:id="rId11"/>
          <w:headerReference w:type="first" r:id="rId12"/>
          <w:footerReference w:type="first" r:id="rId13"/>
          <w:pgSz w:w="11910" w:h="16840" w:code="9"/>
          <w:pgMar w:top="1340" w:right="1830" w:bottom="1320" w:left="1340" w:header="720" w:footer="720" w:gutter="0"/>
          <w:cols w:space="720"/>
          <w:docGrid w:linePitch="299"/>
        </w:sectPr>
      </w:pPr>
    </w:p>
    <w:p w14:paraId="038F90D0" w14:textId="111E6E93"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w:t>
      </w:r>
      <w:r w:rsidR="00F37E85">
        <w:rPr>
          <w:rFonts w:ascii="Times New Roman" w:hAnsi="Times New Roman" w:cs="Times New Roman"/>
          <w:b/>
          <w:lang w:val="en-US"/>
        </w:rPr>
        <w:t>2</w:t>
      </w:r>
      <w:r w:rsidR="00323880" w:rsidRPr="003002E3">
        <w:rPr>
          <w:rFonts w:ascii="Times New Roman" w:hAnsi="Times New Roman" w:cs="Times New Roman"/>
          <w:b/>
          <w:lang w:val="en-US"/>
        </w:rPr>
        <w:t xml:space="preserve"> </w:t>
      </w:r>
      <w:r w:rsidRPr="00F37E85">
        <w:rPr>
          <w:rFonts w:ascii="Times New Roman" w:hAnsi="Times New Roman" w:cs="Times New Roman"/>
          <w:bCs/>
          <w:lang w:val="en-US"/>
        </w:rPr>
        <w:t>Soil pH, EC (dSm</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at 25° C), organic carbon (%), CEC (</w:t>
      </w:r>
      <w:proofErr w:type="spellStart"/>
      <w:r w:rsidRPr="00F37E85">
        <w:rPr>
          <w:rFonts w:ascii="Times New Roman" w:hAnsi="Times New Roman" w:cs="Times New Roman"/>
          <w:bCs/>
          <w:lang w:val="en-US"/>
        </w:rPr>
        <w:t>cmol</w:t>
      </w:r>
      <w:proofErr w:type="spellEnd"/>
      <w:r w:rsidRPr="00F37E85">
        <w:rPr>
          <w:rFonts w:ascii="Times New Roman" w:hAnsi="Times New Roman" w:cs="Times New Roman"/>
          <w:bCs/>
          <w:lang w:val="en-US"/>
        </w:rPr>
        <w:t xml:space="preserve"> (p+) kg</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and available N, P</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w:t>
      </w:r>
      <w:r w:rsidRPr="00F37E85">
        <w:rPr>
          <w:rFonts w:ascii="Times New Roman" w:hAnsi="Times New Roman" w:cs="Times New Roman"/>
          <w:bCs/>
          <w:vertAlign w:val="subscript"/>
          <w:lang w:val="en-US"/>
        </w:rPr>
        <w:t>5</w:t>
      </w:r>
      <w:r w:rsidRPr="00F37E85">
        <w:rPr>
          <w:rFonts w:ascii="Times New Roman" w:hAnsi="Times New Roman" w:cs="Times New Roman"/>
          <w:bCs/>
          <w:lang w:val="en-US"/>
        </w:rPr>
        <w:t xml:space="preserve"> and K</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 (kg ha</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xml:space="preserve">) </w:t>
      </w:r>
      <w:bookmarkStart w:id="2" w:name="_Hlk197632995"/>
      <w:r w:rsidRPr="00F37E85">
        <w:rPr>
          <w:rFonts w:ascii="Times New Roman" w:hAnsi="Times New Roman" w:cs="Times New Roman"/>
          <w:bCs/>
          <w:lang w:val="en-US"/>
        </w:rPr>
        <w:t>at 0-15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5"/>
        <w:gridCol w:w="956"/>
        <w:gridCol w:w="956"/>
        <w:gridCol w:w="957"/>
        <w:gridCol w:w="1067"/>
        <w:gridCol w:w="1067"/>
        <w:gridCol w:w="914"/>
        <w:gridCol w:w="875"/>
      </w:tblGrid>
      <w:tr w:rsidR="00C3711C" w:rsidRPr="003002E3" w14:paraId="05B12AB6" w14:textId="77777777" w:rsidTr="002724A1">
        <w:trPr>
          <w:trHeight w:val="436"/>
        </w:trPr>
        <w:tc>
          <w:tcPr>
            <w:tcW w:w="7135" w:type="dxa"/>
          </w:tcPr>
          <w:bookmarkEnd w:id="2"/>
          <w:p w14:paraId="36BE7D3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6" w:type="dxa"/>
          </w:tcPr>
          <w:p w14:paraId="44D59D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6" w:type="dxa"/>
          </w:tcPr>
          <w:p w14:paraId="521031F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7" w:type="dxa"/>
          </w:tcPr>
          <w:p w14:paraId="5259012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7" w:type="dxa"/>
          </w:tcPr>
          <w:p w14:paraId="3B8E391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7" w:type="dxa"/>
          </w:tcPr>
          <w:p w14:paraId="5A3208B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4" w:type="dxa"/>
          </w:tcPr>
          <w:p w14:paraId="4C8545F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5" w:type="dxa"/>
          </w:tcPr>
          <w:p w14:paraId="2FDB289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154EBEC2" w14:textId="77777777" w:rsidTr="002724A1">
        <w:trPr>
          <w:trHeight w:val="474"/>
        </w:trPr>
        <w:tc>
          <w:tcPr>
            <w:tcW w:w="7135" w:type="dxa"/>
          </w:tcPr>
          <w:p w14:paraId="78C033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6" w:type="dxa"/>
          </w:tcPr>
          <w:p w14:paraId="007BF64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7.08</w:t>
            </w:r>
          </w:p>
        </w:tc>
        <w:tc>
          <w:tcPr>
            <w:tcW w:w="956" w:type="dxa"/>
          </w:tcPr>
          <w:p w14:paraId="2EA2A56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30B13EE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0.50</w:t>
            </w:r>
          </w:p>
        </w:tc>
        <w:tc>
          <w:tcPr>
            <w:tcW w:w="1067" w:type="dxa"/>
          </w:tcPr>
          <w:p w14:paraId="1AC831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4.44</w:t>
            </w:r>
          </w:p>
        </w:tc>
        <w:tc>
          <w:tcPr>
            <w:tcW w:w="1067" w:type="dxa"/>
          </w:tcPr>
          <w:p w14:paraId="0D154A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197.79</w:t>
            </w:r>
          </w:p>
        </w:tc>
        <w:tc>
          <w:tcPr>
            <w:tcW w:w="914" w:type="dxa"/>
          </w:tcPr>
          <w:p w14:paraId="04D65E8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79.0</w:t>
            </w:r>
          </w:p>
        </w:tc>
        <w:tc>
          <w:tcPr>
            <w:tcW w:w="875" w:type="dxa"/>
          </w:tcPr>
          <w:p w14:paraId="2EF5587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121.0</w:t>
            </w:r>
          </w:p>
        </w:tc>
      </w:tr>
      <w:tr w:rsidR="00C3711C" w:rsidRPr="003002E3" w14:paraId="2EBA7F01" w14:textId="77777777" w:rsidTr="002724A1">
        <w:trPr>
          <w:trHeight w:val="480"/>
        </w:trPr>
        <w:tc>
          <w:tcPr>
            <w:tcW w:w="7135" w:type="dxa"/>
          </w:tcPr>
          <w:p w14:paraId="08F8D030" w14:textId="4DC03E9F"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vertAlign w:val="superscript"/>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w:t>
            </w:r>
            <w:r w:rsidRPr="00EB5EB6">
              <w:rPr>
                <w:rFonts w:ascii="Times New Roman" w:hAnsi="Times New Roman" w:cs="Times New Roman"/>
                <w:vertAlign w:val="superscript"/>
                <w:lang w:val="en-US"/>
              </w:rPr>
              <w:t>1</w:t>
            </w:r>
            <w:r w:rsidRPr="00EB5EB6">
              <w:rPr>
                <w:rFonts w:ascii="Times New Roman" w:hAnsi="Times New Roman" w:cs="Times New Roman"/>
                <w:lang w:val="en-US"/>
              </w:rPr>
              <w:t xml:space="preserve"> (RDF)</w:t>
            </w:r>
          </w:p>
        </w:tc>
        <w:tc>
          <w:tcPr>
            <w:tcW w:w="956" w:type="dxa"/>
          </w:tcPr>
          <w:p w14:paraId="4C578A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7.09</w:t>
            </w:r>
          </w:p>
        </w:tc>
        <w:tc>
          <w:tcPr>
            <w:tcW w:w="956" w:type="dxa"/>
          </w:tcPr>
          <w:p w14:paraId="555632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66D38AC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5C801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7.59</w:t>
            </w:r>
          </w:p>
        </w:tc>
        <w:tc>
          <w:tcPr>
            <w:tcW w:w="1067" w:type="dxa"/>
          </w:tcPr>
          <w:p w14:paraId="38BE85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232.47</w:t>
            </w:r>
          </w:p>
        </w:tc>
        <w:tc>
          <w:tcPr>
            <w:tcW w:w="914" w:type="dxa"/>
          </w:tcPr>
          <w:p w14:paraId="000773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875" w:type="dxa"/>
          </w:tcPr>
          <w:p w14:paraId="38EE72E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142.5</w:t>
            </w:r>
          </w:p>
        </w:tc>
      </w:tr>
      <w:tr w:rsidR="00C3711C" w:rsidRPr="003002E3" w14:paraId="6745056B" w14:textId="77777777" w:rsidTr="002724A1">
        <w:trPr>
          <w:trHeight w:val="474"/>
        </w:trPr>
        <w:tc>
          <w:tcPr>
            <w:tcW w:w="7135" w:type="dxa"/>
          </w:tcPr>
          <w:p w14:paraId="43A7193D" w14:textId="1C5D00AC"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C8004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6" w:type="dxa"/>
          </w:tcPr>
          <w:p w14:paraId="5643913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0.045</w:t>
            </w:r>
          </w:p>
        </w:tc>
        <w:tc>
          <w:tcPr>
            <w:tcW w:w="957" w:type="dxa"/>
          </w:tcPr>
          <w:p w14:paraId="7927E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0.52</w:t>
            </w:r>
          </w:p>
        </w:tc>
        <w:tc>
          <w:tcPr>
            <w:tcW w:w="1067" w:type="dxa"/>
          </w:tcPr>
          <w:p w14:paraId="09E214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7.17</w:t>
            </w:r>
          </w:p>
        </w:tc>
        <w:tc>
          <w:tcPr>
            <w:tcW w:w="1067" w:type="dxa"/>
          </w:tcPr>
          <w:p w14:paraId="4128F9B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246.60</w:t>
            </w:r>
          </w:p>
        </w:tc>
        <w:tc>
          <w:tcPr>
            <w:tcW w:w="914" w:type="dxa"/>
          </w:tcPr>
          <w:p w14:paraId="5C01A38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58.8</w:t>
            </w:r>
          </w:p>
        </w:tc>
        <w:tc>
          <w:tcPr>
            <w:tcW w:w="875" w:type="dxa"/>
          </w:tcPr>
          <w:p w14:paraId="45EB19A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115.1</w:t>
            </w:r>
          </w:p>
        </w:tc>
      </w:tr>
      <w:tr w:rsidR="00C3711C" w:rsidRPr="003002E3" w14:paraId="66F9FE6A" w14:textId="77777777" w:rsidTr="002724A1">
        <w:trPr>
          <w:trHeight w:val="480"/>
        </w:trPr>
        <w:tc>
          <w:tcPr>
            <w:tcW w:w="7135" w:type="dxa"/>
          </w:tcPr>
          <w:p w14:paraId="5DEDD893" w14:textId="1C2C63C8"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089A5F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7.16</w:t>
            </w:r>
          </w:p>
        </w:tc>
        <w:tc>
          <w:tcPr>
            <w:tcW w:w="956" w:type="dxa"/>
          </w:tcPr>
          <w:p w14:paraId="254186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5DE411E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119029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8.55</w:t>
            </w:r>
          </w:p>
        </w:tc>
        <w:tc>
          <w:tcPr>
            <w:tcW w:w="1067" w:type="dxa"/>
          </w:tcPr>
          <w:p w14:paraId="62A192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282.56</w:t>
            </w:r>
          </w:p>
        </w:tc>
        <w:tc>
          <w:tcPr>
            <w:tcW w:w="914" w:type="dxa"/>
          </w:tcPr>
          <w:p w14:paraId="6B7CC1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74.2</w:t>
            </w:r>
          </w:p>
        </w:tc>
        <w:tc>
          <w:tcPr>
            <w:tcW w:w="875" w:type="dxa"/>
          </w:tcPr>
          <w:p w14:paraId="2C056B8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165.8</w:t>
            </w:r>
          </w:p>
        </w:tc>
      </w:tr>
      <w:tr w:rsidR="00C3711C" w:rsidRPr="003002E3" w14:paraId="538794FD" w14:textId="77777777" w:rsidTr="002724A1">
        <w:trPr>
          <w:trHeight w:val="474"/>
        </w:trPr>
        <w:tc>
          <w:tcPr>
            <w:tcW w:w="7135" w:type="dxa"/>
          </w:tcPr>
          <w:p w14:paraId="1FA21E72" w14:textId="02A6CB4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2976D1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6.85</w:t>
            </w:r>
          </w:p>
        </w:tc>
        <w:tc>
          <w:tcPr>
            <w:tcW w:w="956" w:type="dxa"/>
          </w:tcPr>
          <w:p w14:paraId="4E5036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0.052</w:t>
            </w:r>
          </w:p>
        </w:tc>
        <w:tc>
          <w:tcPr>
            <w:tcW w:w="957" w:type="dxa"/>
          </w:tcPr>
          <w:p w14:paraId="76514B5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27C583B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9.38</w:t>
            </w:r>
          </w:p>
        </w:tc>
        <w:tc>
          <w:tcPr>
            <w:tcW w:w="1067" w:type="dxa"/>
          </w:tcPr>
          <w:p w14:paraId="5F5B7F7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237.61</w:t>
            </w:r>
          </w:p>
        </w:tc>
        <w:tc>
          <w:tcPr>
            <w:tcW w:w="914" w:type="dxa"/>
          </w:tcPr>
          <w:p w14:paraId="5435CC9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111.8</w:t>
            </w:r>
          </w:p>
        </w:tc>
        <w:tc>
          <w:tcPr>
            <w:tcW w:w="875" w:type="dxa"/>
          </w:tcPr>
          <w:p w14:paraId="2EF6F7A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118.7</w:t>
            </w:r>
          </w:p>
        </w:tc>
      </w:tr>
      <w:tr w:rsidR="00C3711C" w:rsidRPr="003002E3" w14:paraId="4C7EF23A" w14:textId="77777777" w:rsidTr="002724A1">
        <w:trPr>
          <w:trHeight w:val="479"/>
        </w:trPr>
        <w:tc>
          <w:tcPr>
            <w:tcW w:w="7135" w:type="dxa"/>
          </w:tcPr>
          <w:p w14:paraId="136B8727" w14:textId="097F88DB"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1F2CA3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7.19</w:t>
            </w:r>
          </w:p>
        </w:tc>
        <w:tc>
          <w:tcPr>
            <w:tcW w:w="956" w:type="dxa"/>
          </w:tcPr>
          <w:p w14:paraId="0E87938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0.043</w:t>
            </w:r>
          </w:p>
        </w:tc>
        <w:tc>
          <w:tcPr>
            <w:tcW w:w="957" w:type="dxa"/>
          </w:tcPr>
          <w:p w14:paraId="023260B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61B5A77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8.93</w:t>
            </w:r>
          </w:p>
        </w:tc>
        <w:tc>
          <w:tcPr>
            <w:tcW w:w="1067" w:type="dxa"/>
          </w:tcPr>
          <w:p w14:paraId="10E78A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256.88</w:t>
            </w:r>
          </w:p>
        </w:tc>
        <w:tc>
          <w:tcPr>
            <w:tcW w:w="914" w:type="dxa"/>
          </w:tcPr>
          <w:p w14:paraId="1DB95F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87.5</w:t>
            </w:r>
          </w:p>
        </w:tc>
        <w:tc>
          <w:tcPr>
            <w:tcW w:w="875" w:type="dxa"/>
          </w:tcPr>
          <w:p w14:paraId="6B9BA11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150.5</w:t>
            </w:r>
          </w:p>
        </w:tc>
      </w:tr>
      <w:tr w:rsidR="00C3711C" w:rsidRPr="003002E3" w14:paraId="2F7A8075" w14:textId="77777777" w:rsidTr="002724A1">
        <w:trPr>
          <w:trHeight w:val="475"/>
        </w:trPr>
        <w:tc>
          <w:tcPr>
            <w:tcW w:w="7135" w:type="dxa"/>
          </w:tcPr>
          <w:p w14:paraId="3D1F6806" w14:textId="53F2E081"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8E676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6.96</w:t>
            </w:r>
          </w:p>
        </w:tc>
        <w:tc>
          <w:tcPr>
            <w:tcW w:w="956" w:type="dxa"/>
          </w:tcPr>
          <w:p w14:paraId="3C5F379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0.058</w:t>
            </w:r>
          </w:p>
        </w:tc>
        <w:tc>
          <w:tcPr>
            <w:tcW w:w="957" w:type="dxa"/>
          </w:tcPr>
          <w:p w14:paraId="2BE5A95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0.56</w:t>
            </w:r>
          </w:p>
        </w:tc>
        <w:tc>
          <w:tcPr>
            <w:tcW w:w="1067" w:type="dxa"/>
          </w:tcPr>
          <w:p w14:paraId="249EAC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10.65</w:t>
            </w:r>
          </w:p>
        </w:tc>
        <w:tc>
          <w:tcPr>
            <w:tcW w:w="1067" w:type="dxa"/>
          </w:tcPr>
          <w:p w14:paraId="7645C2B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295.41</w:t>
            </w:r>
          </w:p>
        </w:tc>
        <w:tc>
          <w:tcPr>
            <w:tcW w:w="914" w:type="dxa"/>
          </w:tcPr>
          <w:p w14:paraId="6D4AF8A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92.5</w:t>
            </w:r>
          </w:p>
        </w:tc>
        <w:tc>
          <w:tcPr>
            <w:tcW w:w="875" w:type="dxa"/>
          </w:tcPr>
          <w:p w14:paraId="7031544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148.7</w:t>
            </w:r>
          </w:p>
        </w:tc>
      </w:tr>
      <w:tr w:rsidR="00C3711C" w:rsidRPr="003002E3" w14:paraId="6310833E" w14:textId="77777777" w:rsidTr="002724A1">
        <w:trPr>
          <w:trHeight w:val="479"/>
        </w:trPr>
        <w:tc>
          <w:tcPr>
            <w:tcW w:w="7135" w:type="dxa"/>
          </w:tcPr>
          <w:p w14:paraId="099ED4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6" w:type="dxa"/>
          </w:tcPr>
          <w:p w14:paraId="2D4D337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7.03</w:t>
            </w:r>
          </w:p>
        </w:tc>
        <w:tc>
          <w:tcPr>
            <w:tcW w:w="956" w:type="dxa"/>
          </w:tcPr>
          <w:p w14:paraId="05BB201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0.044</w:t>
            </w:r>
          </w:p>
        </w:tc>
        <w:tc>
          <w:tcPr>
            <w:tcW w:w="957" w:type="dxa"/>
          </w:tcPr>
          <w:p w14:paraId="76CAC2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0.58</w:t>
            </w:r>
          </w:p>
        </w:tc>
        <w:tc>
          <w:tcPr>
            <w:tcW w:w="1067" w:type="dxa"/>
          </w:tcPr>
          <w:p w14:paraId="5B81B4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7.83</w:t>
            </w:r>
          </w:p>
        </w:tc>
        <w:tc>
          <w:tcPr>
            <w:tcW w:w="1067" w:type="dxa"/>
          </w:tcPr>
          <w:p w14:paraId="19FC09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236.33</w:t>
            </w:r>
          </w:p>
        </w:tc>
        <w:tc>
          <w:tcPr>
            <w:tcW w:w="914" w:type="dxa"/>
          </w:tcPr>
          <w:p w14:paraId="750F664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76.4</w:t>
            </w:r>
          </w:p>
        </w:tc>
        <w:tc>
          <w:tcPr>
            <w:tcW w:w="875" w:type="dxa"/>
          </w:tcPr>
          <w:p w14:paraId="6AD406A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116.0</w:t>
            </w:r>
          </w:p>
        </w:tc>
      </w:tr>
      <w:tr w:rsidR="00C3711C" w:rsidRPr="003002E3" w14:paraId="251A2F8C" w14:textId="77777777" w:rsidTr="002724A1">
        <w:trPr>
          <w:trHeight w:val="474"/>
        </w:trPr>
        <w:tc>
          <w:tcPr>
            <w:tcW w:w="7135" w:type="dxa"/>
          </w:tcPr>
          <w:p w14:paraId="0B87D97D"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SEm</w:t>
            </w:r>
            <w:proofErr w:type="spellEnd"/>
            <w:r w:rsidRPr="003002E3">
              <w:rPr>
                <w:rFonts w:ascii="Times New Roman" w:hAnsi="Times New Roman" w:cs="Times New Roman"/>
                <w:b/>
                <w:lang w:val="en-US"/>
              </w:rPr>
              <w:t>±</w:t>
            </w:r>
          </w:p>
        </w:tc>
        <w:tc>
          <w:tcPr>
            <w:tcW w:w="956" w:type="dxa"/>
          </w:tcPr>
          <w:p w14:paraId="75AF3C7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0.107</w:t>
            </w:r>
          </w:p>
        </w:tc>
        <w:tc>
          <w:tcPr>
            <w:tcW w:w="956" w:type="dxa"/>
          </w:tcPr>
          <w:p w14:paraId="5EAF99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7" w:type="dxa"/>
          </w:tcPr>
          <w:p w14:paraId="11B17E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0.08</w:t>
            </w:r>
          </w:p>
        </w:tc>
        <w:tc>
          <w:tcPr>
            <w:tcW w:w="1067" w:type="dxa"/>
          </w:tcPr>
          <w:p w14:paraId="613BC2D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0.106</w:t>
            </w:r>
          </w:p>
        </w:tc>
        <w:tc>
          <w:tcPr>
            <w:tcW w:w="1067" w:type="dxa"/>
          </w:tcPr>
          <w:p w14:paraId="4CAE30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1.763</w:t>
            </w:r>
          </w:p>
        </w:tc>
        <w:tc>
          <w:tcPr>
            <w:tcW w:w="914" w:type="dxa"/>
          </w:tcPr>
          <w:p w14:paraId="5182F29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0.89</w:t>
            </w:r>
          </w:p>
        </w:tc>
        <w:tc>
          <w:tcPr>
            <w:tcW w:w="875" w:type="dxa"/>
          </w:tcPr>
          <w:p w14:paraId="27A2A17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1.123</w:t>
            </w:r>
          </w:p>
        </w:tc>
      </w:tr>
      <w:tr w:rsidR="00C3711C" w:rsidRPr="003002E3" w14:paraId="549CD5BE" w14:textId="77777777" w:rsidTr="002724A1">
        <w:trPr>
          <w:trHeight w:val="480"/>
        </w:trPr>
        <w:tc>
          <w:tcPr>
            <w:tcW w:w="7135" w:type="dxa"/>
          </w:tcPr>
          <w:p w14:paraId="789EE05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6" w:type="dxa"/>
          </w:tcPr>
          <w:p w14:paraId="0211DC6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6" w:type="dxa"/>
          </w:tcPr>
          <w:p w14:paraId="0240162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7" w:type="dxa"/>
          </w:tcPr>
          <w:p w14:paraId="6F9DE6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7" w:type="dxa"/>
          </w:tcPr>
          <w:p w14:paraId="179621AD"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0.325</w:t>
            </w:r>
          </w:p>
        </w:tc>
        <w:tc>
          <w:tcPr>
            <w:tcW w:w="1067" w:type="dxa"/>
          </w:tcPr>
          <w:p w14:paraId="7596975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5.400</w:t>
            </w:r>
          </w:p>
        </w:tc>
        <w:tc>
          <w:tcPr>
            <w:tcW w:w="914" w:type="dxa"/>
          </w:tcPr>
          <w:p w14:paraId="2D38552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2.725</w:t>
            </w:r>
          </w:p>
        </w:tc>
        <w:tc>
          <w:tcPr>
            <w:tcW w:w="875" w:type="dxa"/>
          </w:tcPr>
          <w:p w14:paraId="652842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3.439</w:t>
            </w:r>
          </w:p>
        </w:tc>
      </w:tr>
      <w:tr w:rsidR="00C3711C" w:rsidRPr="003002E3" w14:paraId="39CF85D1" w14:textId="77777777" w:rsidTr="002724A1">
        <w:trPr>
          <w:trHeight w:val="479"/>
        </w:trPr>
        <w:tc>
          <w:tcPr>
            <w:tcW w:w="7135" w:type="dxa"/>
          </w:tcPr>
          <w:p w14:paraId="1FC0AAB9"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Intial</w:t>
            </w:r>
            <w:proofErr w:type="spellEnd"/>
            <w:r w:rsidRPr="003002E3">
              <w:rPr>
                <w:rFonts w:ascii="Times New Roman" w:hAnsi="Times New Roman" w:cs="Times New Roman"/>
                <w:b/>
                <w:lang w:val="en-US"/>
              </w:rPr>
              <w:t xml:space="preserve"> soil analysis</w:t>
            </w:r>
          </w:p>
        </w:tc>
        <w:tc>
          <w:tcPr>
            <w:tcW w:w="956" w:type="dxa"/>
          </w:tcPr>
          <w:p w14:paraId="3D6246B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7.35</w:t>
            </w:r>
          </w:p>
        </w:tc>
        <w:tc>
          <w:tcPr>
            <w:tcW w:w="956" w:type="dxa"/>
          </w:tcPr>
          <w:p w14:paraId="7E4077B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0.068</w:t>
            </w:r>
          </w:p>
        </w:tc>
        <w:tc>
          <w:tcPr>
            <w:tcW w:w="957" w:type="dxa"/>
          </w:tcPr>
          <w:p w14:paraId="0A3E2E2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0.63</w:t>
            </w:r>
          </w:p>
        </w:tc>
        <w:tc>
          <w:tcPr>
            <w:tcW w:w="1067" w:type="dxa"/>
          </w:tcPr>
          <w:p w14:paraId="0E7E6E4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4.62</w:t>
            </w:r>
          </w:p>
        </w:tc>
        <w:tc>
          <w:tcPr>
            <w:tcW w:w="1067" w:type="dxa"/>
          </w:tcPr>
          <w:p w14:paraId="2358A1C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150.52</w:t>
            </w:r>
          </w:p>
        </w:tc>
        <w:tc>
          <w:tcPr>
            <w:tcW w:w="914" w:type="dxa"/>
          </w:tcPr>
          <w:p w14:paraId="1A4269C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159.97</w:t>
            </w:r>
          </w:p>
        </w:tc>
        <w:tc>
          <w:tcPr>
            <w:tcW w:w="875" w:type="dxa"/>
          </w:tcPr>
          <w:p w14:paraId="00E0595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422.01</w:t>
            </w:r>
          </w:p>
        </w:tc>
      </w:tr>
    </w:tbl>
    <w:p w14:paraId="694D7366"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C3711C">
          <w:pgSz w:w="16840" w:h="11910" w:orient="landscape"/>
          <w:pgMar w:top="1340" w:right="1340" w:bottom="280" w:left="1320" w:header="720" w:footer="720" w:gutter="0"/>
          <w:cols w:space="720"/>
        </w:sectPr>
      </w:pPr>
    </w:p>
    <w:p w14:paraId="5C5CCC9C" w14:textId="093B35A2"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 xml:space="preserve">: </w:t>
      </w:r>
      <w:proofErr w:type="gramStart"/>
      <w:r w:rsidR="00A14CF7">
        <w:rPr>
          <w:rFonts w:ascii="Times New Roman" w:hAnsi="Times New Roman" w:cs="Times New Roman"/>
          <w:b/>
          <w:lang w:val="en-US"/>
        </w:rPr>
        <w:t xml:space="preserve">3 </w:t>
      </w:r>
      <w:r w:rsidRPr="003002E3">
        <w:rPr>
          <w:rFonts w:ascii="Times New Roman" w:hAnsi="Times New Roman" w:cs="Times New Roman"/>
          <w:b/>
          <w:lang w:val="en-US"/>
        </w:rPr>
        <w:t xml:space="preserve"> </w:t>
      </w:r>
      <w:r w:rsidRPr="00F060AE">
        <w:rPr>
          <w:rFonts w:ascii="Times New Roman" w:hAnsi="Times New Roman" w:cs="Times New Roman"/>
          <w:bCs/>
          <w:lang w:val="en-US"/>
        </w:rPr>
        <w:t>Soil</w:t>
      </w:r>
      <w:proofErr w:type="gramEnd"/>
      <w:r w:rsidRPr="00F060AE">
        <w:rPr>
          <w:rFonts w:ascii="Times New Roman" w:hAnsi="Times New Roman" w:cs="Times New Roman"/>
          <w:bCs/>
          <w:lang w:val="en-US"/>
        </w:rPr>
        <w:t xml:space="preserve"> pH, EC (dSm</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at 25° C), organic carbon (%), CEC (</w:t>
      </w:r>
      <w:proofErr w:type="spellStart"/>
      <w:r w:rsidRPr="00F060AE">
        <w:rPr>
          <w:rFonts w:ascii="Times New Roman" w:hAnsi="Times New Roman" w:cs="Times New Roman"/>
          <w:bCs/>
          <w:lang w:val="en-US"/>
        </w:rPr>
        <w:t>cmol</w:t>
      </w:r>
      <w:proofErr w:type="spellEnd"/>
      <w:r w:rsidRPr="00F060AE">
        <w:rPr>
          <w:rFonts w:ascii="Times New Roman" w:hAnsi="Times New Roman" w:cs="Times New Roman"/>
          <w:bCs/>
          <w:lang w:val="en-US"/>
        </w:rPr>
        <w:t xml:space="preserve"> (p+) kg</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and available N, P</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w:t>
      </w:r>
      <w:r w:rsidRPr="00F060AE">
        <w:rPr>
          <w:rFonts w:ascii="Times New Roman" w:hAnsi="Times New Roman" w:cs="Times New Roman"/>
          <w:bCs/>
          <w:vertAlign w:val="subscript"/>
          <w:lang w:val="en-US"/>
        </w:rPr>
        <w:t>5</w:t>
      </w:r>
      <w:r w:rsidRPr="00F060AE">
        <w:rPr>
          <w:rFonts w:ascii="Times New Roman" w:hAnsi="Times New Roman" w:cs="Times New Roman"/>
          <w:bCs/>
          <w:lang w:val="en-US"/>
        </w:rPr>
        <w:t xml:space="preserve"> and K</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 (kg ha</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at 15-30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953"/>
        <w:gridCol w:w="953"/>
        <w:gridCol w:w="954"/>
        <w:gridCol w:w="1064"/>
        <w:gridCol w:w="1064"/>
        <w:gridCol w:w="911"/>
        <w:gridCol w:w="872"/>
      </w:tblGrid>
      <w:tr w:rsidR="00C3711C" w:rsidRPr="003002E3" w14:paraId="6C298DD7" w14:textId="77777777" w:rsidTr="00EF226A">
        <w:trPr>
          <w:trHeight w:val="361"/>
        </w:trPr>
        <w:tc>
          <w:tcPr>
            <w:tcW w:w="7117" w:type="dxa"/>
          </w:tcPr>
          <w:p w14:paraId="1793A0C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3" w:type="dxa"/>
          </w:tcPr>
          <w:p w14:paraId="158B4DC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3" w:type="dxa"/>
          </w:tcPr>
          <w:p w14:paraId="1C34A01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4" w:type="dxa"/>
          </w:tcPr>
          <w:p w14:paraId="29ED89E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4" w:type="dxa"/>
          </w:tcPr>
          <w:p w14:paraId="18D0926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4" w:type="dxa"/>
          </w:tcPr>
          <w:p w14:paraId="148D3C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1" w:type="dxa"/>
          </w:tcPr>
          <w:p w14:paraId="095044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2" w:type="dxa"/>
          </w:tcPr>
          <w:p w14:paraId="6756132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524565B5" w14:textId="77777777" w:rsidTr="00EF226A">
        <w:trPr>
          <w:trHeight w:val="392"/>
        </w:trPr>
        <w:tc>
          <w:tcPr>
            <w:tcW w:w="7117" w:type="dxa"/>
          </w:tcPr>
          <w:p w14:paraId="113366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3" w:type="dxa"/>
          </w:tcPr>
          <w:p w14:paraId="7BF687C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7.18</w:t>
            </w:r>
          </w:p>
        </w:tc>
        <w:tc>
          <w:tcPr>
            <w:tcW w:w="953" w:type="dxa"/>
          </w:tcPr>
          <w:p w14:paraId="3BC4FA4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0.032</w:t>
            </w:r>
          </w:p>
        </w:tc>
        <w:tc>
          <w:tcPr>
            <w:tcW w:w="954" w:type="dxa"/>
          </w:tcPr>
          <w:p w14:paraId="0EC3173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0.36</w:t>
            </w:r>
          </w:p>
        </w:tc>
        <w:tc>
          <w:tcPr>
            <w:tcW w:w="1064" w:type="dxa"/>
          </w:tcPr>
          <w:p w14:paraId="6D5F72F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6.17</w:t>
            </w:r>
          </w:p>
        </w:tc>
        <w:tc>
          <w:tcPr>
            <w:tcW w:w="1064" w:type="dxa"/>
          </w:tcPr>
          <w:p w14:paraId="01CB99C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208.07</w:t>
            </w:r>
          </w:p>
        </w:tc>
        <w:tc>
          <w:tcPr>
            <w:tcW w:w="911" w:type="dxa"/>
          </w:tcPr>
          <w:p w14:paraId="7AD7F6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99.64</w:t>
            </w:r>
          </w:p>
        </w:tc>
        <w:tc>
          <w:tcPr>
            <w:tcW w:w="872" w:type="dxa"/>
          </w:tcPr>
          <w:p w14:paraId="4A058E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129.02</w:t>
            </w:r>
          </w:p>
        </w:tc>
      </w:tr>
      <w:tr w:rsidR="00C3711C" w:rsidRPr="003002E3" w14:paraId="71C0F193" w14:textId="77777777" w:rsidTr="00EF226A">
        <w:trPr>
          <w:trHeight w:val="397"/>
        </w:trPr>
        <w:tc>
          <w:tcPr>
            <w:tcW w:w="7117" w:type="dxa"/>
          </w:tcPr>
          <w:p w14:paraId="4B5BB2E9" w14:textId="19C179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r w:rsidRPr="003002E3">
              <w:rPr>
                <w:rFonts w:ascii="Times New Roman" w:hAnsi="Times New Roman" w:cs="Times New Roman"/>
                <w:b/>
                <w:lang w:val="en-US"/>
              </w:rPr>
              <w:t>RDF</w:t>
            </w:r>
            <w:r w:rsidRPr="003002E3">
              <w:rPr>
                <w:rFonts w:ascii="Times New Roman" w:hAnsi="Times New Roman" w:cs="Times New Roman"/>
                <w:lang w:val="en-US"/>
              </w:rPr>
              <w:t>)</w:t>
            </w:r>
          </w:p>
        </w:tc>
        <w:tc>
          <w:tcPr>
            <w:tcW w:w="953" w:type="dxa"/>
          </w:tcPr>
          <w:p w14:paraId="17EB6C8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3DAFA01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0.027</w:t>
            </w:r>
          </w:p>
        </w:tc>
        <w:tc>
          <w:tcPr>
            <w:tcW w:w="954" w:type="dxa"/>
          </w:tcPr>
          <w:p w14:paraId="159D17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0.27</w:t>
            </w:r>
          </w:p>
        </w:tc>
        <w:tc>
          <w:tcPr>
            <w:tcW w:w="1064" w:type="dxa"/>
          </w:tcPr>
          <w:p w14:paraId="468B1E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7.78</w:t>
            </w:r>
          </w:p>
        </w:tc>
        <w:tc>
          <w:tcPr>
            <w:tcW w:w="1064" w:type="dxa"/>
          </w:tcPr>
          <w:p w14:paraId="6227865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231.19</w:t>
            </w:r>
          </w:p>
        </w:tc>
        <w:tc>
          <w:tcPr>
            <w:tcW w:w="911" w:type="dxa"/>
          </w:tcPr>
          <w:p w14:paraId="2159823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81.01</w:t>
            </w:r>
          </w:p>
        </w:tc>
        <w:tc>
          <w:tcPr>
            <w:tcW w:w="872" w:type="dxa"/>
          </w:tcPr>
          <w:p w14:paraId="01E60E5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118.68</w:t>
            </w:r>
          </w:p>
        </w:tc>
      </w:tr>
      <w:tr w:rsidR="00C3711C" w:rsidRPr="003002E3" w14:paraId="52230A0E" w14:textId="77777777" w:rsidTr="00EF226A">
        <w:trPr>
          <w:trHeight w:val="392"/>
        </w:trPr>
        <w:tc>
          <w:tcPr>
            <w:tcW w:w="7117" w:type="dxa"/>
          </w:tcPr>
          <w:p w14:paraId="120089AC" w14:textId="648B20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9AE39D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6BEEBD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0.031</w:t>
            </w:r>
          </w:p>
        </w:tc>
        <w:tc>
          <w:tcPr>
            <w:tcW w:w="954" w:type="dxa"/>
          </w:tcPr>
          <w:p w14:paraId="40F579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0.32</w:t>
            </w:r>
          </w:p>
        </w:tc>
        <w:tc>
          <w:tcPr>
            <w:tcW w:w="1064" w:type="dxa"/>
          </w:tcPr>
          <w:p w14:paraId="244158B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1064" w:type="dxa"/>
          </w:tcPr>
          <w:p w14:paraId="79F45A4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250.45</w:t>
            </w:r>
          </w:p>
        </w:tc>
        <w:tc>
          <w:tcPr>
            <w:tcW w:w="911" w:type="dxa"/>
          </w:tcPr>
          <w:p w14:paraId="2E398B0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126.81</w:t>
            </w:r>
          </w:p>
        </w:tc>
        <w:tc>
          <w:tcPr>
            <w:tcW w:w="872" w:type="dxa"/>
          </w:tcPr>
          <w:p w14:paraId="7096540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101.24</w:t>
            </w:r>
          </w:p>
        </w:tc>
      </w:tr>
      <w:tr w:rsidR="00C3711C" w:rsidRPr="003002E3" w14:paraId="6434757F" w14:textId="77777777" w:rsidTr="00EF226A">
        <w:trPr>
          <w:trHeight w:val="397"/>
        </w:trPr>
        <w:tc>
          <w:tcPr>
            <w:tcW w:w="7117" w:type="dxa"/>
          </w:tcPr>
          <w:p w14:paraId="25458FD5" w14:textId="10344E3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78ABA2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3" w:type="dxa"/>
          </w:tcPr>
          <w:p w14:paraId="6B88536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7F3FE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0.34</w:t>
            </w:r>
          </w:p>
        </w:tc>
        <w:tc>
          <w:tcPr>
            <w:tcW w:w="1064" w:type="dxa"/>
          </w:tcPr>
          <w:p w14:paraId="1677EA0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8.27</w:t>
            </w:r>
          </w:p>
        </w:tc>
        <w:tc>
          <w:tcPr>
            <w:tcW w:w="1064" w:type="dxa"/>
          </w:tcPr>
          <w:p w14:paraId="115A648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292.84</w:t>
            </w:r>
          </w:p>
        </w:tc>
        <w:tc>
          <w:tcPr>
            <w:tcW w:w="911" w:type="dxa"/>
          </w:tcPr>
          <w:p w14:paraId="53CFD2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99.82</w:t>
            </w:r>
          </w:p>
        </w:tc>
        <w:tc>
          <w:tcPr>
            <w:tcW w:w="872" w:type="dxa"/>
          </w:tcPr>
          <w:p w14:paraId="66DDC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184.12</w:t>
            </w:r>
          </w:p>
        </w:tc>
      </w:tr>
      <w:tr w:rsidR="00C3711C" w:rsidRPr="003002E3" w14:paraId="2D5F6B45" w14:textId="77777777" w:rsidTr="00EF226A">
        <w:trPr>
          <w:trHeight w:val="392"/>
        </w:trPr>
        <w:tc>
          <w:tcPr>
            <w:tcW w:w="7117" w:type="dxa"/>
          </w:tcPr>
          <w:p w14:paraId="4B8C7722" w14:textId="06A96176"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66C31F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6.92</w:t>
            </w:r>
          </w:p>
        </w:tc>
        <w:tc>
          <w:tcPr>
            <w:tcW w:w="953" w:type="dxa"/>
          </w:tcPr>
          <w:p w14:paraId="66A419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0.030</w:t>
            </w:r>
          </w:p>
        </w:tc>
        <w:tc>
          <w:tcPr>
            <w:tcW w:w="954" w:type="dxa"/>
          </w:tcPr>
          <w:p w14:paraId="407CC1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0.25</w:t>
            </w:r>
          </w:p>
        </w:tc>
        <w:tc>
          <w:tcPr>
            <w:tcW w:w="1064" w:type="dxa"/>
          </w:tcPr>
          <w:p w14:paraId="0D06011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8.16</w:t>
            </w:r>
          </w:p>
        </w:tc>
        <w:tc>
          <w:tcPr>
            <w:tcW w:w="1064" w:type="dxa"/>
          </w:tcPr>
          <w:p w14:paraId="3A637C4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244.04</w:t>
            </w:r>
          </w:p>
        </w:tc>
        <w:tc>
          <w:tcPr>
            <w:tcW w:w="911" w:type="dxa"/>
          </w:tcPr>
          <w:p w14:paraId="15A3BC3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85.79</w:t>
            </w:r>
          </w:p>
        </w:tc>
        <w:tc>
          <w:tcPr>
            <w:tcW w:w="872" w:type="dxa"/>
          </w:tcPr>
          <w:p w14:paraId="457826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107.96</w:t>
            </w:r>
          </w:p>
        </w:tc>
      </w:tr>
      <w:tr w:rsidR="00C3711C" w:rsidRPr="003002E3" w14:paraId="2594C6EC" w14:textId="77777777" w:rsidTr="00EF226A">
        <w:trPr>
          <w:trHeight w:val="397"/>
        </w:trPr>
        <w:tc>
          <w:tcPr>
            <w:tcW w:w="7117" w:type="dxa"/>
          </w:tcPr>
          <w:p w14:paraId="40A2F4A2" w14:textId="409BEBC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468FB8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1293C1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0.041</w:t>
            </w:r>
          </w:p>
        </w:tc>
        <w:tc>
          <w:tcPr>
            <w:tcW w:w="954" w:type="dxa"/>
          </w:tcPr>
          <w:p w14:paraId="497FC1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0.30</w:t>
            </w:r>
          </w:p>
        </w:tc>
        <w:tc>
          <w:tcPr>
            <w:tcW w:w="1064" w:type="dxa"/>
          </w:tcPr>
          <w:p w14:paraId="452868C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9.70</w:t>
            </w:r>
          </w:p>
        </w:tc>
        <w:tc>
          <w:tcPr>
            <w:tcW w:w="1064" w:type="dxa"/>
          </w:tcPr>
          <w:p w14:paraId="3A48ECD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262.02</w:t>
            </w:r>
          </w:p>
        </w:tc>
        <w:tc>
          <w:tcPr>
            <w:tcW w:w="911" w:type="dxa"/>
          </w:tcPr>
          <w:p w14:paraId="1AB2DDA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109.72</w:t>
            </w:r>
          </w:p>
        </w:tc>
        <w:tc>
          <w:tcPr>
            <w:tcW w:w="872" w:type="dxa"/>
          </w:tcPr>
          <w:p w14:paraId="5AEF336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128.12</w:t>
            </w:r>
          </w:p>
        </w:tc>
      </w:tr>
      <w:tr w:rsidR="00C3711C" w:rsidRPr="003002E3" w14:paraId="3FC1A207" w14:textId="77777777" w:rsidTr="00EF226A">
        <w:trPr>
          <w:trHeight w:val="393"/>
        </w:trPr>
        <w:tc>
          <w:tcPr>
            <w:tcW w:w="7117" w:type="dxa"/>
          </w:tcPr>
          <w:p w14:paraId="57A01BE8" w14:textId="20CAB5F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45B7A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7.21</w:t>
            </w:r>
          </w:p>
        </w:tc>
        <w:tc>
          <w:tcPr>
            <w:tcW w:w="953" w:type="dxa"/>
          </w:tcPr>
          <w:p w14:paraId="3481386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0.037</w:t>
            </w:r>
          </w:p>
        </w:tc>
        <w:tc>
          <w:tcPr>
            <w:tcW w:w="954" w:type="dxa"/>
          </w:tcPr>
          <w:p w14:paraId="5C5D6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4" w:type="dxa"/>
          </w:tcPr>
          <w:p w14:paraId="06049A1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10.63</w:t>
            </w:r>
          </w:p>
        </w:tc>
        <w:tc>
          <w:tcPr>
            <w:tcW w:w="1064" w:type="dxa"/>
          </w:tcPr>
          <w:p w14:paraId="7998FB2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300.56</w:t>
            </w:r>
          </w:p>
        </w:tc>
        <w:tc>
          <w:tcPr>
            <w:tcW w:w="911" w:type="dxa"/>
          </w:tcPr>
          <w:p w14:paraId="7CE84F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141.86</w:t>
            </w:r>
          </w:p>
        </w:tc>
        <w:tc>
          <w:tcPr>
            <w:tcW w:w="872" w:type="dxa"/>
          </w:tcPr>
          <w:p w14:paraId="77457C6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112.89</w:t>
            </w:r>
          </w:p>
        </w:tc>
      </w:tr>
      <w:tr w:rsidR="00C3711C" w:rsidRPr="003002E3" w14:paraId="63D05733" w14:textId="77777777" w:rsidTr="00EF226A">
        <w:trPr>
          <w:trHeight w:val="397"/>
        </w:trPr>
        <w:tc>
          <w:tcPr>
            <w:tcW w:w="7117" w:type="dxa"/>
          </w:tcPr>
          <w:p w14:paraId="0271CC1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3" w:type="dxa"/>
          </w:tcPr>
          <w:p w14:paraId="62AEAD1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7.10</w:t>
            </w:r>
          </w:p>
        </w:tc>
        <w:tc>
          <w:tcPr>
            <w:tcW w:w="953" w:type="dxa"/>
          </w:tcPr>
          <w:p w14:paraId="62337AC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BF9842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0.45</w:t>
            </w:r>
          </w:p>
        </w:tc>
        <w:tc>
          <w:tcPr>
            <w:tcW w:w="1064" w:type="dxa"/>
          </w:tcPr>
          <w:p w14:paraId="5E4F829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6.70</w:t>
            </w:r>
          </w:p>
        </w:tc>
        <w:tc>
          <w:tcPr>
            <w:tcW w:w="1064" w:type="dxa"/>
          </w:tcPr>
          <w:p w14:paraId="2B50C9B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245.32</w:t>
            </w:r>
          </w:p>
        </w:tc>
        <w:tc>
          <w:tcPr>
            <w:tcW w:w="911" w:type="dxa"/>
          </w:tcPr>
          <w:p w14:paraId="555777E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109.55</w:t>
            </w:r>
          </w:p>
        </w:tc>
        <w:tc>
          <w:tcPr>
            <w:tcW w:w="872" w:type="dxa"/>
          </w:tcPr>
          <w:p w14:paraId="179FAD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108.86</w:t>
            </w:r>
          </w:p>
        </w:tc>
      </w:tr>
      <w:tr w:rsidR="00C3711C" w:rsidRPr="003002E3" w14:paraId="40497BEC" w14:textId="77777777" w:rsidTr="00EF226A">
        <w:trPr>
          <w:trHeight w:val="392"/>
        </w:trPr>
        <w:tc>
          <w:tcPr>
            <w:tcW w:w="7117" w:type="dxa"/>
          </w:tcPr>
          <w:p w14:paraId="4AAE2CD9"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SEm</w:t>
            </w:r>
            <w:proofErr w:type="spellEnd"/>
            <w:r w:rsidRPr="003002E3">
              <w:rPr>
                <w:rFonts w:ascii="Times New Roman" w:hAnsi="Times New Roman" w:cs="Times New Roman"/>
                <w:b/>
                <w:lang w:val="en-US"/>
              </w:rPr>
              <w:t>±</w:t>
            </w:r>
          </w:p>
        </w:tc>
        <w:tc>
          <w:tcPr>
            <w:tcW w:w="953" w:type="dxa"/>
          </w:tcPr>
          <w:p w14:paraId="16FB5B3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0.138</w:t>
            </w:r>
          </w:p>
        </w:tc>
        <w:tc>
          <w:tcPr>
            <w:tcW w:w="953" w:type="dxa"/>
          </w:tcPr>
          <w:p w14:paraId="43E6694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4" w:type="dxa"/>
          </w:tcPr>
          <w:p w14:paraId="79609F2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w:t>
            </w:r>
          </w:p>
        </w:tc>
        <w:tc>
          <w:tcPr>
            <w:tcW w:w="1064" w:type="dxa"/>
          </w:tcPr>
          <w:p w14:paraId="0AC692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0.091</w:t>
            </w:r>
          </w:p>
        </w:tc>
        <w:tc>
          <w:tcPr>
            <w:tcW w:w="1064" w:type="dxa"/>
          </w:tcPr>
          <w:p w14:paraId="7EEA6CC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1.767</w:t>
            </w:r>
          </w:p>
        </w:tc>
        <w:tc>
          <w:tcPr>
            <w:tcW w:w="911" w:type="dxa"/>
          </w:tcPr>
          <w:p w14:paraId="025BEA7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1.165</w:t>
            </w:r>
          </w:p>
        </w:tc>
        <w:tc>
          <w:tcPr>
            <w:tcW w:w="872" w:type="dxa"/>
          </w:tcPr>
          <w:p w14:paraId="1B3E4E2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1.514</w:t>
            </w:r>
          </w:p>
        </w:tc>
      </w:tr>
      <w:tr w:rsidR="00C3711C" w:rsidRPr="003002E3" w14:paraId="11090EF1" w14:textId="77777777" w:rsidTr="00EF226A">
        <w:trPr>
          <w:trHeight w:val="397"/>
        </w:trPr>
        <w:tc>
          <w:tcPr>
            <w:tcW w:w="7117" w:type="dxa"/>
          </w:tcPr>
          <w:p w14:paraId="5E23F5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3" w:type="dxa"/>
          </w:tcPr>
          <w:p w14:paraId="2487AD99"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3" w:type="dxa"/>
          </w:tcPr>
          <w:p w14:paraId="041B99C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4" w:type="dxa"/>
          </w:tcPr>
          <w:p w14:paraId="31E64C6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4" w:type="dxa"/>
          </w:tcPr>
          <w:p w14:paraId="6B0E6D6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0.280</w:t>
            </w:r>
          </w:p>
        </w:tc>
        <w:tc>
          <w:tcPr>
            <w:tcW w:w="1064" w:type="dxa"/>
          </w:tcPr>
          <w:p w14:paraId="2387DBA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5.411</w:t>
            </w:r>
          </w:p>
        </w:tc>
        <w:tc>
          <w:tcPr>
            <w:tcW w:w="911" w:type="dxa"/>
          </w:tcPr>
          <w:p w14:paraId="2E02DB1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3.569</w:t>
            </w:r>
          </w:p>
        </w:tc>
        <w:tc>
          <w:tcPr>
            <w:tcW w:w="872" w:type="dxa"/>
          </w:tcPr>
          <w:p w14:paraId="3E9C663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4.636</w:t>
            </w:r>
          </w:p>
        </w:tc>
      </w:tr>
      <w:tr w:rsidR="00C3711C" w:rsidRPr="003002E3" w14:paraId="5AA904A0" w14:textId="77777777" w:rsidTr="00EF226A">
        <w:trPr>
          <w:trHeight w:val="397"/>
        </w:trPr>
        <w:tc>
          <w:tcPr>
            <w:tcW w:w="7117" w:type="dxa"/>
          </w:tcPr>
          <w:p w14:paraId="238EDC50"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Intial</w:t>
            </w:r>
            <w:proofErr w:type="spellEnd"/>
            <w:r w:rsidRPr="003002E3">
              <w:rPr>
                <w:rFonts w:ascii="Times New Roman" w:hAnsi="Times New Roman" w:cs="Times New Roman"/>
                <w:b/>
                <w:lang w:val="en-US"/>
              </w:rPr>
              <w:t xml:space="preserve"> soil analysis</w:t>
            </w:r>
          </w:p>
        </w:tc>
        <w:tc>
          <w:tcPr>
            <w:tcW w:w="953" w:type="dxa"/>
          </w:tcPr>
          <w:p w14:paraId="3AA6BB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7.31</w:t>
            </w:r>
          </w:p>
        </w:tc>
        <w:tc>
          <w:tcPr>
            <w:tcW w:w="953" w:type="dxa"/>
          </w:tcPr>
          <w:p w14:paraId="297BF6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0.072</w:t>
            </w:r>
          </w:p>
        </w:tc>
        <w:tc>
          <w:tcPr>
            <w:tcW w:w="954" w:type="dxa"/>
          </w:tcPr>
          <w:p w14:paraId="139969B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0.43</w:t>
            </w:r>
          </w:p>
        </w:tc>
        <w:tc>
          <w:tcPr>
            <w:tcW w:w="1064" w:type="dxa"/>
          </w:tcPr>
          <w:p w14:paraId="7F7A6EA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6.54</w:t>
            </w:r>
          </w:p>
        </w:tc>
        <w:tc>
          <w:tcPr>
            <w:tcW w:w="1064" w:type="dxa"/>
          </w:tcPr>
          <w:p w14:paraId="16F39AD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125.61</w:t>
            </w:r>
          </w:p>
        </w:tc>
        <w:tc>
          <w:tcPr>
            <w:tcW w:w="911" w:type="dxa"/>
          </w:tcPr>
          <w:p w14:paraId="1A88F1E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106.13</w:t>
            </w:r>
          </w:p>
        </w:tc>
        <w:tc>
          <w:tcPr>
            <w:tcW w:w="872" w:type="dxa"/>
          </w:tcPr>
          <w:p w14:paraId="12B591D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286.27</w:t>
            </w:r>
          </w:p>
        </w:tc>
      </w:tr>
    </w:tbl>
    <w:p w14:paraId="1E7ECC9B" w14:textId="115C6276" w:rsidR="00C3711C" w:rsidRDefault="00C3711C" w:rsidP="003002E3">
      <w:pPr>
        <w:tabs>
          <w:tab w:val="left" w:pos="9435"/>
        </w:tabs>
        <w:jc w:val="center"/>
        <w:rPr>
          <w:rFonts w:ascii="Times New Roman" w:hAnsi="Times New Roman" w:cs="Times New Roman"/>
          <w:lang w:val="en-US"/>
        </w:rPr>
      </w:pPr>
    </w:p>
    <w:p w14:paraId="1C59AAA4" w14:textId="77777777" w:rsidR="0098165F" w:rsidRDefault="0098165F" w:rsidP="003002E3">
      <w:pPr>
        <w:tabs>
          <w:tab w:val="left" w:pos="9435"/>
        </w:tabs>
        <w:jc w:val="center"/>
        <w:rPr>
          <w:rFonts w:ascii="Times New Roman" w:hAnsi="Times New Roman" w:cs="Times New Roman"/>
          <w:lang w:val="en-US"/>
        </w:rPr>
      </w:pPr>
    </w:p>
    <w:p w14:paraId="4C064482" w14:textId="77777777" w:rsidR="0098165F" w:rsidRDefault="0098165F" w:rsidP="003002E3">
      <w:pPr>
        <w:tabs>
          <w:tab w:val="left" w:pos="9435"/>
        </w:tabs>
        <w:jc w:val="center"/>
        <w:rPr>
          <w:rFonts w:ascii="Times New Roman" w:hAnsi="Times New Roman" w:cs="Times New Roman"/>
          <w:lang w:val="en-US"/>
        </w:rPr>
      </w:pPr>
    </w:p>
    <w:p w14:paraId="4D7D9A84" w14:textId="77777777" w:rsidR="0098165F" w:rsidRDefault="0098165F" w:rsidP="003002E3">
      <w:pPr>
        <w:tabs>
          <w:tab w:val="left" w:pos="9435"/>
        </w:tabs>
        <w:jc w:val="center"/>
        <w:rPr>
          <w:rFonts w:ascii="Times New Roman" w:hAnsi="Times New Roman" w:cs="Times New Roman"/>
          <w:lang w:val="en-US"/>
        </w:rPr>
      </w:pPr>
    </w:p>
    <w:p w14:paraId="44335BD3" w14:textId="77777777" w:rsidR="0098165F" w:rsidRDefault="0098165F" w:rsidP="003002E3">
      <w:pPr>
        <w:tabs>
          <w:tab w:val="left" w:pos="9435"/>
        </w:tabs>
        <w:jc w:val="center"/>
        <w:rPr>
          <w:rFonts w:ascii="Times New Roman" w:hAnsi="Times New Roman" w:cs="Times New Roman"/>
          <w:lang w:val="en-US"/>
        </w:rPr>
      </w:pPr>
    </w:p>
    <w:p w14:paraId="721401DD" w14:textId="77777777" w:rsidR="0098165F" w:rsidRDefault="0098165F" w:rsidP="003002E3">
      <w:pPr>
        <w:tabs>
          <w:tab w:val="left" w:pos="9435"/>
        </w:tabs>
        <w:jc w:val="center"/>
        <w:rPr>
          <w:rFonts w:ascii="Times New Roman" w:hAnsi="Times New Roman" w:cs="Times New Roman"/>
          <w:lang w:val="en-US"/>
        </w:rPr>
      </w:pPr>
    </w:p>
    <w:p w14:paraId="64739969" w14:textId="77777777" w:rsidR="0098165F" w:rsidRDefault="0098165F" w:rsidP="003002E3">
      <w:pPr>
        <w:tabs>
          <w:tab w:val="left" w:pos="9435"/>
        </w:tabs>
        <w:jc w:val="center"/>
        <w:rPr>
          <w:rFonts w:ascii="Times New Roman" w:hAnsi="Times New Roman" w:cs="Times New Roman"/>
          <w:lang w:val="en-US"/>
        </w:rPr>
      </w:pPr>
    </w:p>
    <w:p w14:paraId="123F6224" w14:textId="77777777" w:rsidR="0098165F" w:rsidRDefault="0098165F" w:rsidP="003002E3">
      <w:pPr>
        <w:tabs>
          <w:tab w:val="left" w:pos="9435"/>
        </w:tabs>
        <w:jc w:val="center"/>
        <w:rPr>
          <w:rFonts w:ascii="Times New Roman" w:hAnsi="Times New Roman" w:cs="Times New Roman"/>
          <w:lang w:val="en-US"/>
        </w:rPr>
      </w:pPr>
    </w:p>
    <w:p w14:paraId="616A0D57" w14:textId="6C5C4E59" w:rsidR="0098165F" w:rsidRDefault="0098165F" w:rsidP="0098165F">
      <w:pPr>
        <w:tabs>
          <w:tab w:val="left" w:pos="9435"/>
        </w:tabs>
        <w:jc w:val="both"/>
        <w:rPr>
          <w:rFonts w:ascii="Times New Roman" w:hAnsi="Times New Roman" w:cs="Times New Roman"/>
          <w:b/>
          <w:bCs/>
          <w:lang w:val="en-US"/>
        </w:rPr>
      </w:pPr>
      <w:r w:rsidRPr="0098165F">
        <w:rPr>
          <w:rFonts w:ascii="Times New Roman" w:hAnsi="Times New Roman" w:cs="Times New Roman"/>
          <w:b/>
          <w:bCs/>
          <w:lang w:val="en-US"/>
        </w:rPr>
        <w:lastRenderedPageBreak/>
        <w:t>Conclusion</w:t>
      </w:r>
    </w:p>
    <w:p w14:paraId="47B6DED4" w14:textId="0CEDA414" w:rsidR="0098165F" w:rsidRPr="002666B9" w:rsidRDefault="00475922" w:rsidP="00384ABC">
      <w:pPr>
        <w:jc w:val="both"/>
        <w:rPr>
          <w:rFonts w:ascii="Times New Roman" w:hAnsi="Times New Roman" w:cs="Times New Roman"/>
          <w:lang w:val="en-US"/>
        </w:rPr>
      </w:pPr>
      <w:r w:rsidRPr="00475922">
        <w:rPr>
          <w:rFonts w:ascii="Times New Roman" w:hAnsi="Times New Roman" w:cs="Times New Roman"/>
          <w:lang w:val="en-US"/>
        </w:rPr>
        <w:t>The present study demonstrated that integrated application of nitrogen and potassium significantly influenced the growth attributes and soil nutrient dynamics of pearl millet. Among all treatments, T7 (100 kg N ha⁻¹ + 30 kg P₂O₅ ha⁻¹ + 40 kg K₂O ha⁻¹) recorded the highest plant height, dry matter production, and improved soil fertility at both 0–15 cm and 15–30 cm depths. Enhanced organic carbon, cation exchange capacity, and availability of nitrogen and potassium in fertilized plots indicate the effectiveness of balanced nutrient management in sustaining soil health. Soil test-based treatment (T8</w:t>
      </w:r>
      <w:r w:rsidR="008B4773">
        <w:rPr>
          <w:rFonts w:ascii="Times New Roman" w:hAnsi="Times New Roman" w:cs="Times New Roman"/>
          <w:lang w:val="en-US"/>
        </w:rPr>
        <w:t>-</w:t>
      </w:r>
      <w:r w:rsidR="008B4773" w:rsidRPr="008B4773">
        <w:rPr>
          <w:rFonts w:ascii="Times New Roman" w:hAnsi="Times New Roman" w:cs="Times New Roman"/>
          <w:lang w:val="en-US"/>
        </w:rPr>
        <w:t xml:space="preserve"> </w:t>
      </w:r>
      <w:r w:rsidR="008B4773" w:rsidRPr="003002E3">
        <w:rPr>
          <w:rFonts w:ascii="Times New Roman" w:hAnsi="Times New Roman" w:cs="Times New Roman"/>
          <w:lang w:val="en-US"/>
        </w:rPr>
        <w:t>Application of N, P</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w:t>
      </w:r>
      <w:r w:rsidR="008B4773" w:rsidRPr="003002E3">
        <w:rPr>
          <w:rFonts w:ascii="Times New Roman" w:hAnsi="Times New Roman" w:cs="Times New Roman"/>
          <w:vertAlign w:val="subscript"/>
          <w:lang w:val="en-US"/>
        </w:rPr>
        <w:t>5</w:t>
      </w:r>
      <w:r w:rsidR="008B4773" w:rsidRPr="003002E3">
        <w:rPr>
          <w:rFonts w:ascii="Times New Roman" w:hAnsi="Times New Roman" w:cs="Times New Roman"/>
          <w:lang w:val="en-US"/>
        </w:rPr>
        <w:t xml:space="preserve"> and K</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 based on Soil Test Values.</w:t>
      </w:r>
      <w:r w:rsidRPr="00475922">
        <w:rPr>
          <w:rFonts w:ascii="Times New Roman" w:hAnsi="Times New Roman" w:cs="Times New Roman"/>
          <w:lang w:val="en-US"/>
        </w:rPr>
        <w:t xml:space="preserve">) also showed favorable results, supporting the need for site-specific recommendations. These findings suggest that higher nitrogen combined with adequate potassium not only boosts crop performance but also improves soil nutrient status under rainfed conditions. </w:t>
      </w:r>
      <w:r w:rsidR="00384ABC">
        <w:rPr>
          <w:rFonts w:ascii="Times New Roman" w:hAnsi="Times New Roman" w:cs="Times New Roman"/>
          <w:lang w:val="en-US"/>
        </w:rPr>
        <w:t>A</w:t>
      </w:r>
      <w:r w:rsidRPr="00475922">
        <w:rPr>
          <w:rFonts w:ascii="Times New Roman" w:hAnsi="Times New Roman" w:cs="Times New Roman"/>
          <w:lang w:val="en-US"/>
        </w:rPr>
        <w:t>dopting balanced fertilization strategies is essential for optimizing pearl millet productivity and maintaining long-term soil fertility in semi-arid regions.</w:t>
      </w:r>
    </w:p>
    <w:p w14:paraId="3E8ACD89" w14:textId="77777777" w:rsidR="0037434C" w:rsidRPr="00AA06B8" w:rsidRDefault="0037434C" w:rsidP="0037434C">
      <w:pPr>
        <w:spacing w:after="200" w:line="276" w:lineRule="auto"/>
        <w:rPr>
          <w:rFonts w:ascii="Calibri" w:eastAsia="Calibri" w:hAnsi="Calibri" w:cs="Times New Roman"/>
          <w:lang w:val="en-US"/>
        </w:rPr>
      </w:pPr>
      <w:r w:rsidRPr="00AA06B8">
        <w:rPr>
          <w:rFonts w:ascii="Calibri" w:eastAsia="Calibri" w:hAnsi="Calibri" w:cs="Times New Roman"/>
          <w:lang w:val="en-US"/>
        </w:rPr>
        <w:t>Disclaimer (Artificial intelligence)</w:t>
      </w:r>
    </w:p>
    <w:p w14:paraId="6F272510" w14:textId="77777777" w:rsidR="0037434C" w:rsidRPr="00AA06B8" w:rsidRDefault="0037434C" w:rsidP="0037434C">
      <w:pPr>
        <w:spacing w:after="200" w:line="276" w:lineRule="auto"/>
        <w:rPr>
          <w:rFonts w:ascii="Calibri" w:eastAsia="Calibri" w:hAnsi="Calibri" w:cs="Times New Roman"/>
          <w:lang w:val="en-US"/>
        </w:rPr>
      </w:pPr>
      <w:r w:rsidRPr="00AA06B8">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14:paraId="27E45420" w14:textId="25AE3351" w:rsidR="0098165F" w:rsidRPr="0098165F" w:rsidRDefault="0098165F" w:rsidP="0098165F">
      <w:pPr>
        <w:rPr>
          <w:rFonts w:ascii="Times New Roman" w:hAnsi="Times New Roman" w:cs="Times New Roman"/>
          <w:b/>
          <w:bCs/>
          <w:lang w:val="en-US"/>
        </w:rPr>
      </w:pPr>
      <w:r w:rsidRPr="0098165F">
        <w:rPr>
          <w:rFonts w:ascii="Times New Roman" w:hAnsi="Times New Roman" w:cs="Times New Roman"/>
          <w:b/>
          <w:bCs/>
          <w:lang w:val="en-US"/>
        </w:rPr>
        <w:t>REFERENCES</w:t>
      </w:r>
    </w:p>
    <w:p w14:paraId="045D4CFA" w14:textId="0018CAB3" w:rsidR="00AA06B8" w:rsidRPr="00147F3D" w:rsidRDefault="00D24A12" w:rsidP="00576612">
      <w:pPr>
        <w:jc w:val="both"/>
        <w:rPr>
          <w:rFonts w:ascii="Times New Roman" w:hAnsi="Times New Roman" w:cs="Times New Roman"/>
        </w:rPr>
      </w:pPr>
      <w:r w:rsidRPr="00147F3D">
        <w:rPr>
          <w:rFonts w:ascii="Times New Roman" w:hAnsi="Times New Roman" w:cs="Times New Roman"/>
        </w:rPr>
        <w:t>Bhanu Prasad Reddy</w:t>
      </w:r>
      <w:r w:rsidR="00AA06B8" w:rsidRPr="00147F3D">
        <w:rPr>
          <w:rFonts w:ascii="Times New Roman" w:hAnsi="Times New Roman" w:cs="Times New Roman"/>
        </w:rPr>
        <w:t xml:space="preserve">, S. (2014). Effect </w:t>
      </w:r>
      <w:r>
        <w:rPr>
          <w:rFonts w:ascii="Times New Roman" w:hAnsi="Times New Roman" w:cs="Times New Roman"/>
        </w:rPr>
        <w:t>o</w:t>
      </w:r>
      <w:r w:rsidR="00AA06B8" w:rsidRPr="00147F3D">
        <w:rPr>
          <w:rFonts w:ascii="Times New Roman" w:hAnsi="Times New Roman" w:cs="Times New Roman"/>
        </w:rPr>
        <w:t xml:space="preserve">f Nitrogen </w:t>
      </w:r>
      <w:r>
        <w:rPr>
          <w:rFonts w:ascii="Times New Roman" w:hAnsi="Times New Roman" w:cs="Times New Roman"/>
        </w:rPr>
        <w:t>a</w:t>
      </w:r>
      <w:r w:rsidR="00AA06B8" w:rsidRPr="00147F3D">
        <w:rPr>
          <w:rFonts w:ascii="Times New Roman" w:hAnsi="Times New Roman" w:cs="Times New Roman"/>
        </w:rPr>
        <w:t xml:space="preserve">nd Potassium </w:t>
      </w:r>
      <w:r>
        <w:rPr>
          <w:rFonts w:ascii="Times New Roman" w:hAnsi="Times New Roman" w:cs="Times New Roman"/>
        </w:rPr>
        <w:t>o</w:t>
      </w:r>
      <w:r w:rsidR="00AA06B8" w:rsidRPr="00147F3D">
        <w:rPr>
          <w:rFonts w:ascii="Times New Roman" w:hAnsi="Times New Roman" w:cs="Times New Roman"/>
        </w:rPr>
        <w:t xml:space="preserve">n Yield </w:t>
      </w:r>
      <w:r>
        <w:rPr>
          <w:rFonts w:ascii="Times New Roman" w:hAnsi="Times New Roman" w:cs="Times New Roman"/>
        </w:rPr>
        <w:t>a</w:t>
      </w:r>
      <w:r w:rsidR="00AA06B8" w:rsidRPr="00147F3D">
        <w:rPr>
          <w:rFonts w:ascii="Times New Roman" w:hAnsi="Times New Roman" w:cs="Times New Roman"/>
        </w:rPr>
        <w:t xml:space="preserve">nd Quality </w:t>
      </w:r>
      <w:proofErr w:type="gramStart"/>
      <w:r w:rsidR="00AA06B8" w:rsidRPr="00147F3D">
        <w:rPr>
          <w:rFonts w:ascii="Times New Roman" w:hAnsi="Times New Roman" w:cs="Times New Roman"/>
        </w:rPr>
        <w:t>Of</w:t>
      </w:r>
      <w:proofErr w:type="gramEnd"/>
      <w:r w:rsidR="00AA06B8" w:rsidRPr="00147F3D">
        <w:rPr>
          <w:rFonts w:ascii="Times New Roman" w:hAnsi="Times New Roman" w:cs="Times New Roman"/>
        </w:rPr>
        <w:t xml:space="preserve"> Pearl Millet (Doctoral Dissertation, Acharya Ng Ranga Agricultural University).</w:t>
      </w:r>
    </w:p>
    <w:p w14:paraId="0A5EC21B" w14:textId="2B6BD235" w:rsidR="00AA06B8" w:rsidRPr="00147F3D" w:rsidRDefault="00D24A12" w:rsidP="00576612">
      <w:pPr>
        <w:jc w:val="both"/>
        <w:rPr>
          <w:rFonts w:ascii="Times New Roman" w:hAnsi="Times New Roman" w:cs="Times New Roman"/>
        </w:rPr>
      </w:pPr>
      <w:r w:rsidRPr="00147F3D">
        <w:rPr>
          <w:rFonts w:ascii="Times New Roman" w:hAnsi="Times New Roman" w:cs="Times New Roman"/>
        </w:rPr>
        <w:t>Bhargavi,</w:t>
      </w:r>
      <w:r w:rsidR="00AA06B8" w:rsidRPr="00147F3D">
        <w:rPr>
          <w:rFonts w:ascii="Times New Roman" w:hAnsi="Times New Roman" w:cs="Times New Roman"/>
        </w:rPr>
        <w:t xml:space="preserve"> T. (2021). </w:t>
      </w:r>
      <w:r w:rsidRPr="00147F3D">
        <w:rPr>
          <w:rFonts w:ascii="Times New Roman" w:hAnsi="Times New Roman" w:cs="Times New Roman"/>
        </w:rPr>
        <w:t xml:space="preserve">Response Of Pearl Millet </w:t>
      </w:r>
      <w:r>
        <w:rPr>
          <w:rFonts w:ascii="Times New Roman" w:hAnsi="Times New Roman" w:cs="Times New Roman"/>
        </w:rPr>
        <w:t>t</w:t>
      </w:r>
      <w:r w:rsidRPr="00147F3D">
        <w:rPr>
          <w:rFonts w:ascii="Times New Roman" w:hAnsi="Times New Roman" w:cs="Times New Roman"/>
        </w:rPr>
        <w:t xml:space="preserve">o Organic </w:t>
      </w:r>
      <w:r>
        <w:rPr>
          <w:rFonts w:ascii="Times New Roman" w:hAnsi="Times New Roman" w:cs="Times New Roman"/>
        </w:rPr>
        <w:t>a</w:t>
      </w:r>
      <w:r w:rsidRPr="00147F3D">
        <w:rPr>
          <w:rFonts w:ascii="Times New Roman" w:hAnsi="Times New Roman" w:cs="Times New Roman"/>
        </w:rPr>
        <w:t xml:space="preserve">nd Inorganic Sources </w:t>
      </w:r>
      <w:r>
        <w:rPr>
          <w:rFonts w:ascii="Times New Roman" w:hAnsi="Times New Roman" w:cs="Times New Roman"/>
        </w:rPr>
        <w:t>o</w:t>
      </w:r>
      <w:r w:rsidRPr="00147F3D">
        <w:rPr>
          <w:rFonts w:ascii="Times New Roman" w:hAnsi="Times New Roman" w:cs="Times New Roman"/>
        </w:rPr>
        <w:t xml:space="preserve">f Nitrogen </w:t>
      </w:r>
      <w:r w:rsidR="00AA06B8" w:rsidRPr="00147F3D">
        <w:rPr>
          <w:rFonts w:ascii="Times New Roman" w:hAnsi="Times New Roman" w:cs="Times New Roman"/>
        </w:rPr>
        <w:t>(Doctoral dissertation, Acharya NG Ranga Agricultural University, Guntur).</w:t>
      </w:r>
    </w:p>
    <w:p w14:paraId="70492A85"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 xml:space="preserve">Bower, C. A., </w:t>
      </w:r>
      <w:proofErr w:type="spellStart"/>
      <w:r w:rsidRPr="0098165F">
        <w:rPr>
          <w:rFonts w:ascii="Times New Roman" w:hAnsi="Times New Roman" w:cs="Times New Roman"/>
          <w:lang w:val="en-US"/>
        </w:rPr>
        <w:t>Reitemeier</w:t>
      </w:r>
      <w:proofErr w:type="spellEnd"/>
      <w:r w:rsidRPr="0098165F">
        <w:rPr>
          <w:rFonts w:ascii="Times New Roman" w:hAnsi="Times New Roman" w:cs="Times New Roman"/>
          <w:lang w:val="en-US"/>
        </w:rPr>
        <w:t>, R. F., &amp; Fireman, M. (1952). Exchangeable cation analysis of saline and alkali soils. Soil Science, 73(4), 251–261.</w:t>
      </w:r>
    </w:p>
    <w:p w14:paraId="41F130AB" w14:textId="77777777" w:rsidR="00AA06B8" w:rsidRPr="00147F3D" w:rsidRDefault="00AA06B8" w:rsidP="00576612">
      <w:pPr>
        <w:jc w:val="both"/>
        <w:rPr>
          <w:rFonts w:ascii="Times New Roman" w:hAnsi="Times New Roman" w:cs="Times New Roman"/>
        </w:rPr>
      </w:pPr>
      <w:r w:rsidRPr="00147F3D">
        <w:rPr>
          <w:rFonts w:ascii="Times New Roman" w:hAnsi="Times New Roman" w:cs="Times New Roman"/>
        </w:rPr>
        <w:t>De Rouw, A. (2004). Improving yields and reducing risks in pearl millet farming in the African Sahel. Agricultural systems, 81(1), 73-93.</w:t>
      </w:r>
    </w:p>
    <w:p w14:paraId="5CE4EFCE"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Jackson, M. L. (1973). Soil Chemical Analysis. Prentice Hall of India Pvt. Ltd., New Delhi, India.</w:t>
      </w:r>
    </w:p>
    <w:p w14:paraId="55D089F3" w14:textId="77777777" w:rsidR="00AA06B8" w:rsidRPr="00AA06B8" w:rsidRDefault="00AA06B8" w:rsidP="00AA06B8">
      <w:pPr>
        <w:jc w:val="both"/>
        <w:rPr>
          <w:rFonts w:ascii="Times New Roman" w:hAnsi="Times New Roman" w:cs="Times New Roman"/>
        </w:rPr>
      </w:pPr>
      <w:r w:rsidRPr="00AA06B8">
        <w:rPr>
          <w:rFonts w:ascii="Times New Roman" w:hAnsi="Times New Roman" w:cs="Times New Roman"/>
          <w:lang w:val="fi-FI"/>
        </w:rPr>
        <w:t xml:space="preserve">Jukanti, A. K., Gowda, C. L., Rai, K. N., Manga, V. K., &amp; Bhatt, R. K. (2016). </w:t>
      </w:r>
      <w:r w:rsidRPr="00AA06B8">
        <w:rPr>
          <w:rFonts w:ascii="Times New Roman" w:hAnsi="Times New Roman" w:cs="Times New Roman"/>
        </w:rPr>
        <w:t>Crops that feed the world 11. Pearl Millet (Pennisetum glaucum L.): an important source of food security, nutrition and health in the arid and semi-arid tropics. Food Security, 8, 307-329.</w:t>
      </w:r>
    </w:p>
    <w:p w14:paraId="3C49207F" w14:textId="77777777" w:rsidR="00AA06B8" w:rsidRPr="00147F3D" w:rsidRDefault="00AA06B8" w:rsidP="00576612">
      <w:pPr>
        <w:jc w:val="both"/>
        <w:rPr>
          <w:rFonts w:ascii="Times New Roman" w:hAnsi="Times New Roman" w:cs="Times New Roman"/>
        </w:rPr>
      </w:pPr>
      <w:r w:rsidRPr="00147F3D">
        <w:rPr>
          <w:rFonts w:ascii="Times New Roman" w:hAnsi="Times New Roman" w:cs="Times New Roman"/>
        </w:rPr>
        <w:t>Maiya, V. (2024). Effect of organic and inorganic nutrient sources on growth, yield and quality of Pearl millet (Pennisetum glaucum L.) under rainfed sub tropics of Jammu (Doctoral dissertation, Sher-e-Kashmir University of Agricultural Sciences &amp; Technology of Jammu).</w:t>
      </w:r>
    </w:p>
    <w:p w14:paraId="5C706D38" w14:textId="77777777" w:rsidR="00AA06B8" w:rsidRPr="00AA06B8" w:rsidRDefault="00AA06B8" w:rsidP="00AA06B8">
      <w:pPr>
        <w:jc w:val="both"/>
        <w:rPr>
          <w:rFonts w:ascii="Times New Roman" w:hAnsi="Times New Roman" w:cs="Times New Roman"/>
        </w:rPr>
      </w:pPr>
      <w:r w:rsidRPr="00AA06B8">
        <w:rPr>
          <w:rFonts w:ascii="Times New Roman" w:hAnsi="Times New Roman" w:cs="Times New Roman"/>
        </w:rPr>
        <w:t xml:space="preserve">Malik, D. P. (2020). Production, returns and policy initiatives for </w:t>
      </w:r>
      <w:proofErr w:type="spellStart"/>
      <w:r w:rsidRPr="00AA06B8">
        <w:rPr>
          <w:rFonts w:ascii="Times New Roman" w:hAnsi="Times New Roman" w:cs="Times New Roman"/>
        </w:rPr>
        <w:t>nutri</w:t>
      </w:r>
      <w:proofErr w:type="spellEnd"/>
      <w:r w:rsidRPr="00AA06B8">
        <w:rPr>
          <w:rFonts w:ascii="Times New Roman" w:hAnsi="Times New Roman" w:cs="Times New Roman"/>
        </w:rPr>
        <w:t>-cereals (</w:t>
      </w:r>
      <w:proofErr w:type="spellStart"/>
      <w:r w:rsidRPr="00AA06B8">
        <w:rPr>
          <w:rFonts w:ascii="Times New Roman" w:hAnsi="Times New Roman" w:cs="Times New Roman"/>
        </w:rPr>
        <w:t>pearlmillet</w:t>
      </w:r>
      <w:proofErr w:type="spellEnd"/>
      <w:r w:rsidRPr="00AA06B8">
        <w:rPr>
          <w:rFonts w:ascii="Times New Roman" w:hAnsi="Times New Roman" w:cs="Times New Roman"/>
        </w:rPr>
        <w:t>) in India. </w:t>
      </w:r>
      <w:r w:rsidRPr="00AA06B8">
        <w:rPr>
          <w:rFonts w:ascii="Times New Roman" w:hAnsi="Times New Roman" w:cs="Times New Roman"/>
          <w:i/>
          <w:iCs/>
        </w:rPr>
        <w:t>African-Asian Rural Development Organization, New Delhi</w:t>
      </w:r>
      <w:r w:rsidRPr="00AA06B8">
        <w:rPr>
          <w:rFonts w:ascii="Times New Roman" w:hAnsi="Times New Roman" w:cs="Times New Roman"/>
        </w:rPr>
        <w:t>, </w:t>
      </w:r>
      <w:r w:rsidRPr="00AA06B8">
        <w:rPr>
          <w:rFonts w:ascii="Times New Roman" w:hAnsi="Times New Roman" w:cs="Times New Roman"/>
          <w:i/>
          <w:iCs/>
        </w:rPr>
        <w:t>43</w:t>
      </w:r>
      <w:r w:rsidRPr="00AA06B8">
        <w:rPr>
          <w:rFonts w:ascii="Times New Roman" w:hAnsi="Times New Roman" w:cs="Times New Roman"/>
        </w:rPr>
        <w:t>.</w:t>
      </w:r>
    </w:p>
    <w:p w14:paraId="601AE950" w14:textId="77777777" w:rsidR="00AA06B8" w:rsidRPr="00147F3D" w:rsidRDefault="00AA06B8" w:rsidP="00576612">
      <w:pPr>
        <w:jc w:val="both"/>
        <w:rPr>
          <w:rFonts w:ascii="Times New Roman" w:hAnsi="Times New Roman" w:cs="Times New Roman"/>
        </w:rPr>
      </w:pPr>
      <w:proofErr w:type="spellStart"/>
      <w:r w:rsidRPr="00147F3D">
        <w:rPr>
          <w:rFonts w:ascii="Times New Roman" w:hAnsi="Times New Roman" w:cs="Times New Roman"/>
        </w:rPr>
        <w:lastRenderedPageBreak/>
        <w:t>Muitire</w:t>
      </w:r>
      <w:proofErr w:type="spellEnd"/>
      <w:r w:rsidRPr="00147F3D">
        <w:rPr>
          <w:rFonts w:ascii="Times New Roman" w:hAnsi="Times New Roman" w:cs="Times New Roman"/>
        </w:rPr>
        <w:t xml:space="preserve">, C., </w:t>
      </w:r>
      <w:proofErr w:type="spellStart"/>
      <w:r w:rsidRPr="00147F3D">
        <w:rPr>
          <w:rFonts w:ascii="Times New Roman" w:hAnsi="Times New Roman" w:cs="Times New Roman"/>
        </w:rPr>
        <w:t>Kamutando</w:t>
      </w:r>
      <w:proofErr w:type="spellEnd"/>
      <w:r w:rsidRPr="00147F3D">
        <w:rPr>
          <w:rFonts w:ascii="Times New Roman" w:hAnsi="Times New Roman" w:cs="Times New Roman"/>
        </w:rPr>
        <w:t xml:space="preserve">, C., &amp; Moyo, M. (2021). Building stress resilience of cereals under future climatic </w:t>
      </w:r>
      <w:proofErr w:type="spellStart"/>
      <w:r w:rsidRPr="00147F3D">
        <w:rPr>
          <w:rFonts w:ascii="Times New Roman" w:hAnsi="Times New Roman" w:cs="Times New Roman"/>
        </w:rPr>
        <w:t>scenarios</w:t>
      </w:r>
      <w:proofErr w:type="gramStart"/>
      <w:r w:rsidRPr="00147F3D">
        <w:rPr>
          <w:rFonts w:ascii="Times New Roman" w:hAnsi="Times New Roman" w:cs="Times New Roman"/>
        </w:rPr>
        <w:t>:‘the</w:t>
      </w:r>
      <w:proofErr w:type="spellEnd"/>
      <w:proofErr w:type="gramEnd"/>
      <w:r w:rsidRPr="00147F3D">
        <w:rPr>
          <w:rFonts w:ascii="Times New Roman" w:hAnsi="Times New Roman" w:cs="Times New Roman"/>
        </w:rPr>
        <w:t xml:space="preserve"> case of maize, wheat, rice and sorghum’. In Cereal Grains-Volume 1. </w:t>
      </w:r>
      <w:proofErr w:type="spellStart"/>
      <w:r w:rsidRPr="00147F3D">
        <w:rPr>
          <w:rFonts w:ascii="Times New Roman" w:hAnsi="Times New Roman" w:cs="Times New Roman"/>
        </w:rPr>
        <w:t>IntechOpen</w:t>
      </w:r>
      <w:proofErr w:type="spellEnd"/>
      <w:r w:rsidRPr="00147F3D">
        <w:rPr>
          <w:rFonts w:ascii="Times New Roman" w:hAnsi="Times New Roman" w:cs="Times New Roman"/>
        </w:rPr>
        <w:t>.</w:t>
      </w:r>
    </w:p>
    <w:p w14:paraId="03759874" w14:textId="77777777" w:rsidR="00AA06B8" w:rsidRDefault="00AA06B8" w:rsidP="00576612">
      <w:pPr>
        <w:jc w:val="both"/>
        <w:rPr>
          <w:rFonts w:ascii="Times New Roman" w:hAnsi="Times New Roman" w:cs="Times New Roman"/>
          <w:lang w:val="en-US"/>
        </w:rPr>
      </w:pPr>
      <w:r w:rsidRPr="002817C4">
        <w:rPr>
          <w:rFonts w:ascii="Times New Roman" w:hAnsi="Times New Roman" w:cs="Times New Roman"/>
          <w:lang w:val="en-US"/>
        </w:rPr>
        <w:t>National Research Council. (2023). Lost Crops of Africa: Volume I: Grains. The National Academies Press, Washington, D.C. https://doi.org/10.17226/2305</w:t>
      </w:r>
    </w:p>
    <w:p w14:paraId="51664D51"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Olsen, S. R., Cole, C. V., Watanabe, F. S., &amp; Dean, L. A. (1954). Estimation of available phosphorus in soils by extraction with sodium bicarbonate. U.S. Department of Agriculture Circular, 939, 1–19.</w:t>
      </w:r>
    </w:p>
    <w:p w14:paraId="5CB0F896"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 xml:space="preserve">Panse, V. G., &amp; </w:t>
      </w:r>
      <w:proofErr w:type="spellStart"/>
      <w:r w:rsidRPr="0098165F">
        <w:rPr>
          <w:rFonts w:ascii="Times New Roman" w:hAnsi="Times New Roman" w:cs="Times New Roman"/>
          <w:lang w:val="en-US"/>
        </w:rPr>
        <w:t>Sukhatme</w:t>
      </w:r>
      <w:proofErr w:type="spellEnd"/>
      <w:r w:rsidRPr="0098165F">
        <w:rPr>
          <w:rFonts w:ascii="Times New Roman" w:hAnsi="Times New Roman" w:cs="Times New Roman"/>
          <w:lang w:val="en-US"/>
        </w:rPr>
        <w:t>, P. V. (1978). Statistical Methods for Agricultural Workers (3rd ed.). ICAR Publication, New Delhi, India.</w:t>
      </w:r>
    </w:p>
    <w:p w14:paraId="0C3D7C5F"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 xml:space="preserve">Piper, C. S. (1950). Soil and Plant Analysis. </w:t>
      </w:r>
      <w:proofErr w:type="spellStart"/>
      <w:r w:rsidRPr="0098165F">
        <w:rPr>
          <w:rFonts w:ascii="Times New Roman" w:hAnsi="Times New Roman" w:cs="Times New Roman"/>
          <w:lang w:val="en-US"/>
        </w:rPr>
        <w:t>Interscience</w:t>
      </w:r>
      <w:proofErr w:type="spellEnd"/>
      <w:r w:rsidRPr="0098165F">
        <w:rPr>
          <w:rFonts w:ascii="Times New Roman" w:hAnsi="Times New Roman" w:cs="Times New Roman"/>
          <w:lang w:val="en-US"/>
        </w:rPr>
        <w:t xml:space="preserve"> Publishers, New York.</w:t>
      </w:r>
    </w:p>
    <w:p w14:paraId="2DD8EEE0" w14:textId="77777777" w:rsidR="00AA06B8" w:rsidRPr="00AA06B8" w:rsidRDefault="00AA06B8" w:rsidP="00AA06B8">
      <w:pPr>
        <w:jc w:val="both"/>
        <w:rPr>
          <w:rFonts w:ascii="Times New Roman" w:hAnsi="Times New Roman" w:cs="Times New Roman"/>
        </w:rPr>
      </w:pPr>
      <w:r w:rsidRPr="00AA06B8">
        <w:rPr>
          <w:rFonts w:ascii="Times New Roman" w:hAnsi="Times New Roman" w:cs="Times New Roman"/>
        </w:rPr>
        <w:t xml:space="preserve">Prasad, P. V. V., </w:t>
      </w:r>
      <w:proofErr w:type="spellStart"/>
      <w:r w:rsidRPr="00AA06B8">
        <w:rPr>
          <w:rFonts w:ascii="Times New Roman" w:hAnsi="Times New Roman" w:cs="Times New Roman"/>
        </w:rPr>
        <w:t>Djanaguiraman</w:t>
      </w:r>
      <w:proofErr w:type="spellEnd"/>
      <w:r w:rsidRPr="00AA06B8">
        <w:rPr>
          <w:rFonts w:ascii="Times New Roman" w:hAnsi="Times New Roman" w:cs="Times New Roman"/>
        </w:rPr>
        <w:t xml:space="preserve">, M., Stewart, Z. P., &amp; </w:t>
      </w:r>
      <w:proofErr w:type="spellStart"/>
      <w:r w:rsidRPr="00AA06B8">
        <w:rPr>
          <w:rFonts w:ascii="Times New Roman" w:hAnsi="Times New Roman" w:cs="Times New Roman"/>
        </w:rPr>
        <w:t>Ciampitti</w:t>
      </w:r>
      <w:proofErr w:type="spellEnd"/>
      <w:r w:rsidRPr="00AA06B8">
        <w:rPr>
          <w:rFonts w:ascii="Times New Roman" w:hAnsi="Times New Roman" w:cs="Times New Roman"/>
        </w:rPr>
        <w:t>, I. A. (2020). Agroclimatology of maize, sorghum, and pearl millet. </w:t>
      </w:r>
      <w:r w:rsidRPr="00AA06B8">
        <w:rPr>
          <w:rFonts w:ascii="Times New Roman" w:hAnsi="Times New Roman" w:cs="Times New Roman"/>
          <w:i/>
          <w:iCs/>
        </w:rPr>
        <w:t>Agroclimatology: linking agriculture to climate</w:t>
      </w:r>
      <w:r w:rsidRPr="00AA06B8">
        <w:rPr>
          <w:rFonts w:ascii="Times New Roman" w:hAnsi="Times New Roman" w:cs="Times New Roman"/>
        </w:rPr>
        <w:t>, </w:t>
      </w:r>
      <w:r w:rsidRPr="00AA06B8">
        <w:rPr>
          <w:rFonts w:ascii="Times New Roman" w:hAnsi="Times New Roman" w:cs="Times New Roman"/>
          <w:i/>
          <w:iCs/>
        </w:rPr>
        <w:t>60</w:t>
      </w:r>
      <w:r w:rsidRPr="00AA06B8">
        <w:rPr>
          <w:rFonts w:ascii="Times New Roman" w:hAnsi="Times New Roman" w:cs="Times New Roman"/>
        </w:rPr>
        <w:t>, 201-241.</w:t>
      </w:r>
    </w:p>
    <w:p w14:paraId="7650E136"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Richards, L. A. (Ed.). (1954). Diagnosis and Improvement of Saline and Alkali Soils. USDA Handbook No. 60. U.S. Department of Agriculture, Washington, D.C.</w:t>
      </w:r>
    </w:p>
    <w:p w14:paraId="17DCCCA8" w14:textId="77777777" w:rsidR="00AA06B8" w:rsidRPr="00AA06B8" w:rsidRDefault="00AA06B8" w:rsidP="00AA06B8">
      <w:pPr>
        <w:jc w:val="both"/>
        <w:rPr>
          <w:rFonts w:ascii="Times New Roman" w:hAnsi="Times New Roman" w:cs="Times New Roman"/>
        </w:rPr>
      </w:pPr>
      <w:r w:rsidRPr="00AA06B8">
        <w:rPr>
          <w:rFonts w:ascii="Times New Roman" w:hAnsi="Times New Roman" w:cs="Times New Roman"/>
        </w:rPr>
        <w:t xml:space="preserve">Satyavathi, C. T., </w:t>
      </w:r>
      <w:proofErr w:type="spellStart"/>
      <w:r w:rsidRPr="00AA06B8">
        <w:rPr>
          <w:rFonts w:ascii="Times New Roman" w:hAnsi="Times New Roman" w:cs="Times New Roman"/>
        </w:rPr>
        <w:t>Ambawat</w:t>
      </w:r>
      <w:proofErr w:type="spellEnd"/>
      <w:r w:rsidRPr="00AA06B8">
        <w:rPr>
          <w:rFonts w:ascii="Times New Roman" w:hAnsi="Times New Roman" w:cs="Times New Roman"/>
        </w:rPr>
        <w:t xml:space="preserve">, S., Thirunavukkarasu, N., Khandelwal, V., Reddy, S., &amp; </w:t>
      </w:r>
      <w:proofErr w:type="spellStart"/>
      <w:r w:rsidRPr="00AA06B8">
        <w:rPr>
          <w:rFonts w:ascii="Times New Roman" w:hAnsi="Times New Roman" w:cs="Times New Roman"/>
        </w:rPr>
        <w:t>Narala</w:t>
      </w:r>
      <w:proofErr w:type="spellEnd"/>
      <w:r w:rsidRPr="00AA06B8">
        <w:rPr>
          <w:rFonts w:ascii="Times New Roman" w:hAnsi="Times New Roman" w:cs="Times New Roman"/>
        </w:rPr>
        <w:t>, A. (2024). Global Production, Status, and Utilization Pattern of Pearl Millet. Pearl Millet: A Resilient Cereal Crop for Food, Nutrition, and Climate Security, 1-21.</w:t>
      </w:r>
    </w:p>
    <w:p w14:paraId="0CA3FC36" w14:textId="77777777" w:rsidR="00AA06B8" w:rsidRDefault="00AA06B8" w:rsidP="00576612">
      <w:pPr>
        <w:jc w:val="both"/>
        <w:rPr>
          <w:rFonts w:ascii="Times New Roman" w:hAnsi="Times New Roman" w:cs="Times New Roman"/>
        </w:rPr>
      </w:pPr>
      <w:r w:rsidRPr="00147F3D">
        <w:rPr>
          <w:rFonts w:ascii="Times New Roman" w:hAnsi="Times New Roman" w:cs="Times New Roman"/>
        </w:rPr>
        <w:t>Singh, A., &amp; Pal, S. K. (2015). Effect of Nutrient Management on Indian Mustard [Brassica juncea (L.)]: A Review. International Journal of Plant &amp; Soil Science, 36(7), 429-438.</w:t>
      </w:r>
    </w:p>
    <w:p w14:paraId="0A0F596B" w14:textId="77777777" w:rsidR="00AA06B8" w:rsidRPr="00147F3D" w:rsidRDefault="00AA06B8" w:rsidP="00576612">
      <w:pPr>
        <w:jc w:val="both"/>
        <w:rPr>
          <w:rFonts w:ascii="Times New Roman" w:hAnsi="Times New Roman" w:cs="Times New Roman"/>
        </w:rPr>
      </w:pPr>
      <w:r w:rsidRPr="00147F3D">
        <w:rPr>
          <w:rFonts w:ascii="Times New Roman" w:hAnsi="Times New Roman" w:cs="Times New Roman"/>
        </w:rPr>
        <w:t xml:space="preserve">Singhal, R. K., Fahad, S., Kumar, P., </w:t>
      </w:r>
      <w:proofErr w:type="spellStart"/>
      <w:r w:rsidRPr="00147F3D">
        <w:rPr>
          <w:rFonts w:ascii="Times New Roman" w:hAnsi="Times New Roman" w:cs="Times New Roman"/>
        </w:rPr>
        <w:t>Choyal</w:t>
      </w:r>
      <w:proofErr w:type="spellEnd"/>
      <w:r w:rsidRPr="00147F3D">
        <w:rPr>
          <w:rFonts w:ascii="Times New Roman" w:hAnsi="Times New Roman" w:cs="Times New Roman"/>
        </w:rPr>
        <w:t>, P., Javed, T., Jinger, D., ... &amp; Nawaz, T. (2023). Beneficial elements: New Players in improving nutrient use efficiency and abiotic stress tolerance. Plant Growth Regulation, 100(2), 237-265.</w:t>
      </w:r>
    </w:p>
    <w:p w14:paraId="09E62163" w14:textId="77777777" w:rsidR="00AA06B8" w:rsidRPr="0098165F" w:rsidRDefault="00AA06B8" w:rsidP="00576612">
      <w:pPr>
        <w:jc w:val="both"/>
        <w:rPr>
          <w:rFonts w:ascii="Times New Roman" w:hAnsi="Times New Roman" w:cs="Times New Roman"/>
          <w:lang w:val="en-US"/>
        </w:rPr>
      </w:pPr>
      <w:r w:rsidRPr="0098165F">
        <w:rPr>
          <w:rFonts w:ascii="Times New Roman" w:hAnsi="Times New Roman" w:cs="Times New Roman"/>
          <w:lang w:val="en-US"/>
        </w:rPr>
        <w:t>Subbiah, B. V., &amp; Asija, G. L. (1956). A rapid procedure for estimation of available nitrogen in soils. Current Science, 25, 259–260.</w:t>
      </w:r>
    </w:p>
    <w:p w14:paraId="5C9B7954" w14:textId="77777777" w:rsidR="00AA06B8" w:rsidRPr="00147F3D" w:rsidRDefault="00AA06B8" w:rsidP="00576612">
      <w:pPr>
        <w:jc w:val="both"/>
        <w:rPr>
          <w:rFonts w:ascii="Times New Roman" w:hAnsi="Times New Roman" w:cs="Times New Roman"/>
        </w:rPr>
      </w:pPr>
      <w:proofErr w:type="spellStart"/>
      <w:r w:rsidRPr="00D24A12">
        <w:rPr>
          <w:rFonts w:ascii="Times New Roman" w:hAnsi="Times New Roman" w:cs="Times New Roman"/>
        </w:rPr>
        <w:t>Tonapi</w:t>
      </w:r>
      <w:proofErr w:type="spellEnd"/>
      <w:r w:rsidRPr="00D24A12">
        <w:rPr>
          <w:rFonts w:ascii="Times New Roman" w:hAnsi="Times New Roman" w:cs="Times New Roman"/>
        </w:rPr>
        <w:t xml:space="preserve">, V. A., Thirunavukkarasu, N., Gupta, S. K., </w:t>
      </w:r>
      <w:proofErr w:type="spellStart"/>
      <w:r w:rsidRPr="00D24A12">
        <w:rPr>
          <w:rFonts w:ascii="Times New Roman" w:hAnsi="Times New Roman" w:cs="Times New Roman"/>
        </w:rPr>
        <w:t>Gangashetty</w:t>
      </w:r>
      <w:proofErr w:type="spellEnd"/>
      <w:r w:rsidRPr="00D24A12">
        <w:rPr>
          <w:rFonts w:ascii="Times New Roman" w:hAnsi="Times New Roman" w:cs="Times New Roman"/>
        </w:rPr>
        <w:t xml:space="preserve">, P. I., &amp; Yadav, O. P. (2024). </w:t>
      </w:r>
      <w:r w:rsidRPr="00147F3D">
        <w:rPr>
          <w:rFonts w:ascii="Times New Roman" w:hAnsi="Times New Roman" w:cs="Times New Roman"/>
        </w:rPr>
        <w:t>Pearl Millet in the 21st Century. Springer Nature: Singapore.</w:t>
      </w:r>
    </w:p>
    <w:p w14:paraId="538A655B" w14:textId="77777777" w:rsidR="00AA06B8" w:rsidRPr="00AA06B8" w:rsidRDefault="00AA06B8" w:rsidP="00AA06B8">
      <w:pPr>
        <w:jc w:val="both"/>
        <w:rPr>
          <w:rFonts w:ascii="Times New Roman" w:hAnsi="Times New Roman" w:cs="Times New Roman"/>
        </w:rPr>
      </w:pPr>
      <w:r w:rsidRPr="00AA06B8">
        <w:rPr>
          <w:rFonts w:ascii="Times New Roman" w:hAnsi="Times New Roman" w:cs="Times New Roman"/>
        </w:rPr>
        <w:t>Tripathi, M. K., Mohapatra, D., Jadam, R. S., Pandey, S., Singh, V., Kumar, V., &amp; Kumar, A. (2021). Nutritional composition of millets. </w:t>
      </w:r>
      <w:r w:rsidRPr="00AA06B8">
        <w:rPr>
          <w:rFonts w:ascii="Times New Roman" w:hAnsi="Times New Roman" w:cs="Times New Roman"/>
          <w:i/>
          <w:iCs/>
        </w:rPr>
        <w:t>Millets and millet technology</w:t>
      </w:r>
      <w:r w:rsidRPr="00AA06B8">
        <w:rPr>
          <w:rFonts w:ascii="Times New Roman" w:hAnsi="Times New Roman" w:cs="Times New Roman"/>
        </w:rPr>
        <w:t>, 101-119.</w:t>
      </w:r>
    </w:p>
    <w:p w14:paraId="7F5F25BA" w14:textId="77777777" w:rsidR="00AA06B8" w:rsidRDefault="00AA06B8" w:rsidP="00576612">
      <w:pPr>
        <w:jc w:val="both"/>
        <w:rPr>
          <w:rFonts w:ascii="Times New Roman" w:hAnsi="Times New Roman" w:cs="Times New Roman"/>
          <w:lang w:val="en-US"/>
        </w:rPr>
      </w:pPr>
      <w:r w:rsidRPr="0098165F">
        <w:rPr>
          <w:rFonts w:ascii="Times New Roman" w:hAnsi="Times New Roman" w:cs="Times New Roman"/>
          <w:lang w:val="en-US"/>
        </w:rPr>
        <w:t xml:space="preserve">Walkley, A., &amp; Black, I. A. (1934). An examination of </w:t>
      </w:r>
      <w:proofErr w:type="spellStart"/>
      <w:r w:rsidRPr="0098165F">
        <w:rPr>
          <w:rFonts w:ascii="Times New Roman" w:hAnsi="Times New Roman" w:cs="Times New Roman"/>
          <w:lang w:val="en-US"/>
        </w:rPr>
        <w:t>Degtjareff</w:t>
      </w:r>
      <w:proofErr w:type="spellEnd"/>
      <w:r w:rsidRPr="0098165F">
        <w:rPr>
          <w:rFonts w:ascii="Times New Roman" w:hAnsi="Times New Roman" w:cs="Times New Roman"/>
          <w:lang w:val="en-US"/>
        </w:rPr>
        <w:t xml:space="preserve"> method for determining soil organic matter and a proposed modification of the chromic acid titration method. Soil Science, 37, 29–38.</w:t>
      </w:r>
    </w:p>
    <w:p w14:paraId="4D76B1B7" w14:textId="77777777" w:rsidR="00AA06B8" w:rsidRPr="00147F3D" w:rsidRDefault="00AA06B8" w:rsidP="00576612">
      <w:pPr>
        <w:jc w:val="both"/>
        <w:rPr>
          <w:rFonts w:ascii="Times New Roman" w:hAnsi="Times New Roman" w:cs="Times New Roman"/>
        </w:rPr>
      </w:pPr>
    </w:p>
    <w:p w14:paraId="5484FB54" w14:textId="77777777" w:rsidR="00147F3D" w:rsidRPr="00147F3D" w:rsidRDefault="00147F3D" w:rsidP="00147F3D">
      <w:pPr>
        <w:rPr>
          <w:rFonts w:ascii="Times New Roman" w:hAnsi="Times New Roman" w:cs="Times New Roman"/>
          <w:lang w:val="en-US"/>
        </w:rPr>
      </w:pPr>
    </w:p>
    <w:sectPr w:rsidR="00147F3D" w:rsidRPr="00147F3D" w:rsidSect="00C3711C">
      <w:pgSz w:w="16840" w:h="11910" w:orient="landscape"/>
      <w:pgMar w:top="13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283A8" w14:textId="77777777" w:rsidR="0016521B" w:rsidRDefault="0016521B" w:rsidP="00421F94">
      <w:pPr>
        <w:spacing w:after="0" w:line="240" w:lineRule="auto"/>
      </w:pPr>
      <w:r>
        <w:separator/>
      </w:r>
    </w:p>
  </w:endnote>
  <w:endnote w:type="continuationSeparator" w:id="0">
    <w:p w14:paraId="4D7510C0" w14:textId="77777777" w:rsidR="0016521B" w:rsidRDefault="0016521B" w:rsidP="004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5D74" w14:textId="77777777" w:rsidR="00421F94" w:rsidRDefault="0042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A086" w14:textId="77777777" w:rsidR="00421F94" w:rsidRDefault="00421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503BC" w14:textId="77777777" w:rsidR="00421F94" w:rsidRDefault="0042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B26E" w14:textId="77777777" w:rsidR="0016521B" w:rsidRDefault="0016521B" w:rsidP="00421F94">
      <w:pPr>
        <w:spacing w:after="0" w:line="240" w:lineRule="auto"/>
      </w:pPr>
      <w:r>
        <w:separator/>
      </w:r>
    </w:p>
  </w:footnote>
  <w:footnote w:type="continuationSeparator" w:id="0">
    <w:p w14:paraId="1AF1A852" w14:textId="77777777" w:rsidR="0016521B" w:rsidRDefault="0016521B" w:rsidP="0042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B4A3" w14:textId="745A4D46" w:rsidR="00421F94" w:rsidRDefault="0016521B">
    <w:pPr>
      <w:pStyle w:val="Header"/>
    </w:pPr>
    <w:r>
      <w:rPr>
        <w:noProof/>
      </w:rPr>
      <w:pict w14:anchorId="3F45D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6"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9EDB" w14:textId="13F6A94F" w:rsidR="00421F94" w:rsidRDefault="0016521B">
    <w:pPr>
      <w:pStyle w:val="Header"/>
    </w:pPr>
    <w:r>
      <w:rPr>
        <w:noProof/>
      </w:rPr>
      <w:pict w14:anchorId="12B0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7"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1039" w14:textId="0F8BD44D" w:rsidR="00421F94" w:rsidRDefault="0016521B">
    <w:pPr>
      <w:pStyle w:val="Header"/>
    </w:pPr>
    <w:r>
      <w:rPr>
        <w:noProof/>
      </w:rPr>
      <w:pict w14:anchorId="397D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5"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990"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6"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abstractNumId w:val="6"/>
  </w:num>
  <w:num w:numId="2">
    <w:abstractNumId w:val="0"/>
  </w:num>
  <w:num w:numId="3">
    <w:abstractNumId w:val="4"/>
  </w:num>
  <w:num w:numId="4">
    <w:abstractNumId w:val="5"/>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B6"/>
    <w:rsid w:val="000115BD"/>
    <w:rsid w:val="00014803"/>
    <w:rsid w:val="00015822"/>
    <w:rsid w:val="00041AFF"/>
    <w:rsid w:val="00051D28"/>
    <w:rsid w:val="00095E7F"/>
    <w:rsid w:val="000A1F77"/>
    <w:rsid w:val="000B263E"/>
    <w:rsid w:val="000B329D"/>
    <w:rsid w:val="000C0B2A"/>
    <w:rsid w:val="000C71B8"/>
    <w:rsid w:val="000E1A00"/>
    <w:rsid w:val="0011428F"/>
    <w:rsid w:val="00131D17"/>
    <w:rsid w:val="00147556"/>
    <w:rsid w:val="00147F3D"/>
    <w:rsid w:val="0016521B"/>
    <w:rsid w:val="00176BA1"/>
    <w:rsid w:val="00181E53"/>
    <w:rsid w:val="001916AF"/>
    <w:rsid w:val="001954A2"/>
    <w:rsid w:val="001C4345"/>
    <w:rsid w:val="001E7F64"/>
    <w:rsid w:val="001F5EC0"/>
    <w:rsid w:val="0020591D"/>
    <w:rsid w:val="00211C3B"/>
    <w:rsid w:val="00212F15"/>
    <w:rsid w:val="00222033"/>
    <w:rsid w:val="00240E73"/>
    <w:rsid w:val="00241919"/>
    <w:rsid w:val="002441E8"/>
    <w:rsid w:val="002666B9"/>
    <w:rsid w:val="002817C4"/>
    <w:rsid w:val="002C27E1"/>
    <w:rsid w:val="002D3E0B"/>
    <w:rsid w:val="002F3E71"/>
    <w:rsid w:val="002F5B8A"/>
    <w:rsid w:val="002F5FC8"/>
    <w:rsid w:val="003002E3"/>
    <w:rsid w:val="00323880"/>
    <w:rsid w:val="00335688"/>
    <w:rsid w:val="003417D1"/>
    <w:rsid w:val="00345730"/>
    <w:rsid w:val="003464D0"/>
    <w:rsid w:val="00364159"/>
    <w:rsid w:val="0036489F"/>
    <w:rsid w:val="0037434C"/>
    <w:rsid w:val="00384ABC"/>
    <w:rsid w:val="003943DD"/>
    <w:rsid w:val="003C1C74"/>
    <w:rsid w:val="003E28C5"/>
    <w:rsid w:val="0041607A"/>
    <w:rsid w:val="00421F94"/>
    <w:rsid w:val="004379F9"/>
    <w:rsid w:val="00444D40"/>
    <w:rsid w:val="00446AC9"/>
    <w:rsid w:val="00450BD9"/>
    <w:rsid w:val="00475922"/>
    <w:rsid w:val="004C618B"/>
    <w:rsid w:val="004E4686"/>
    <w:rsid w:val="004E7F4D"/>
    <w:rsid w:val="0050127A"/>
    <w:rsid w:val="005038D7"/>
    <w:rsid w:val="00506470"/>
    <w:rsid w:val="00515520"/>
    <w:rsid w:val="005174D9"/>
    <w:rsid w:val="005355BC"/>
    <w:rsid w:val="00536581"/>
    <w:rsid w:val="0053680D"/>
    <w:rsid w:val="00537270"/>
    <w:rsid w:val="00573446"/>
    <w:rsid w:val="00576612"/>
    <w:rsid w:val="00581F95"/>
    <w:rsid w:val="005C2BF9"/>
    <w:rsid w:val="005E2E6B"/>
    <w:rsid w:val="005E35F1"/>
    <w:rsid w:val="005E6281"/>
    <w:rsid w:val="006247B7"/>
    <w:rsid w:val="00630C77"/>
    <w:rsid w:val="00633A27"/>
    <w:rsid w:val="006840D7"/>
    <w:rsid w:val="006A5798"/>
    <w:rsid w:val="006B02C5"/>
    <w:rsid w:val="006C06F5"/>
    <w:rsid w:val="006C1CCE"/>
    <w:rsid w:val="006D0365"/>
    <w:rsid w:val="00725453"/>
    <w:rsid w:val="007F337E"/>
    <w:rsid w:val="007F4538"/>
    <w:rsid w:val="00803B14"/>
    <w:rsid w:val="00805F5B"/>
    <w:rsid w:val="00821106"/>
    <w:rsid w:val="00860D2D"/>
    <w:rsid w:val="00880F68"/>
    <w:rsid w:val="00882FC9"/>
    <w:rsid w:val="008B4773"/>
    <w:rsid w:val="008D4084"/>
    <w:rsid w:val="008D5D57"/>
    <w:rsid w:val="00920BB6"/>
    <w:rsid w:val="0097241A"/>
    <w:rsid w:val="0098165F"/>
    <w:rsid w:val="00986247"/>
    <w:rsid w:val="00997670"/>
    <w:rsid w:val="009A0495"/>
    <w:rsid w:val="009A3995"/>
    <w:rsid w:val="009B2D11"/>
    <w:rsid w:val="00A14CF7"/>
    <w:rsid w:val="00A1607A"/>
    <w:rsid w:val="00A677D3"/>
    <w:rsid w:val="00A72727"/>
    <w:rsid w:val="00A93B93"/>
    <w:rsid w:val="00AA06B8"/>
    <w:rsid w:val="00AE44FA"/>
    <w:rsid w:val="00AE5E31"/>
    <w:rsid w:val="00B110A5"/>
    <w:rsid w:val="00B113AA"/>
    <w:rsid w:val="00B36578"/>
    <w:rsid w:val="00B456F7"/>
    <w:rsid w:val="00B532FD"/>
    <w:rsid w:val="00B66C56"/>
    <w:rsid w:val="00B90E65"/>
    <w:rsid w:val="00B95ABB"/>
    <w:rsid w:val="00BA43B2"/>
    <w:rsid w:val="00BC0C3C"/>
    <w:rsid w:val="00BC5947"/>
    <w:rsid w:val="00BD724A"/>
    <w:rsid w:val="00BE073D"/>
    <w:rsid w:val="00BE364D"/>
    <w:rsid w:val="00C12BBF"/>
    <w:rsid w:val="00C26094"/>
    <w:rsid w:val="00C267F2"/>
    <w:rsid w:val="00C3711C"/>
    <w:rsid w:val="00C4358C"/>
    <w:rsid w:val="00C73E46"/>
    <w:rsid w:val="00C77282"/>
    <w:rsid w:val="00C77982"/>
    <w:rsid w:val="00C82BB3"/>
    <w:rsid w:val="00CA56C2"/>
    <w:rsid w:val="00D03CB6"/>
    <w:rsid w:val="00D24A12"/>
    <w:rsid w:val="00D254DF"/>
    <w:rsid w:val="00D451D2"/>
    <w:rsid w:val="00D57E62"/>
    <w:rsid w:val="00D70F09"/>
    <w:rsid w:val="00DA3D25"/>
    <w:rsid w:val="00DD4732"/>
    <w:rsid w:val="00DE3C5E"/>
    <w:rsid w:val="00E0350A"/>
    <w:rsid w:val="00E31B40"/>
    <w:rsid w:val="00E44BAC"/>
    <w:rsid w:val="00E530AC"/>
    <w:rsid w:val="00E71BA2"/>
    <w:rsid w:val="00E907B1"/>
    <w:rsid w:val="00E960D3"/>
    <w:rsid w:val="00EA2FE7"/>
    <w:rsid w:val="00EB1603"/>
    <w:rsid w:val="00EB2074"/>
    <w:rsid w:val="00EB5EB6"/>
    <w:rsid w:val="00EC5BA5"/>
    <w:rsid w:val="00EC5D96"/>
    <w:rsid w:val="00EF226A"/>
    <w:rsid w:val="00F060AE"/>
    <w:rsid w:val="00F156FC"/>
    <w:rsid w:val="00F355F0"/>
    <w:rsid w:val="00F37E85"/>
    <w:rsid w:val="00F46550"/>
    <w:rsid w:val="00F50071"/>
    <w:rsid w:val="00F531B5"/>
    <w:rsid w:val="00F6610B"/>
    <w:rsid w:val="00FA04CA"/>
    <w:rsid w:val="00FB736E"/>
    <w:rsid w:val="00FF0B69"/>
    <w:rsid w:val="00FF73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891B7"/>
  <w15:chartTrackingRefBased/>
  <w15:docId w15:val="{0A4BB97A-D011-47BC-A043-B6063BB6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20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20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20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920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BB6"/>
    <w:rPr>
      <w:rFonts w:eastAsiaTheme="majorEastAsia" w:cstheme="majorBidi"/>
      <w:color w:val="272727" w:themeColor="text1" w:themeTint="D8"/>
    </w:rPr>
  </w:style>
  <w:style w:type="paragraph" w:styleId="Title">
    <w:name w:val="Title"/>
    <w:basedOn w:val="Normal"/>
    <w:next w:val="Normal"/>
    <w:link w:val="TitleChar"/>
    <w:uiPriority w:val="1"/>
    <w:qFormat/>
    <w:rsid w:val="0092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20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BB6"/>
    <w:pPr>
      <w:spacing w:before="160"/>
      <w:jc w:val="center"/>
    </w:pPr>
    <w:rPr>
      <w:i/>
      <w:iCs/>
      <w:color w:val="404040" w:themeColor="text1" w:themeTint="BF"/>
    </w:rPr>
  </w:style>
  <w:style w:type="character" w:customStyle="1" w:styleId="QuoteChar">
    <w:name w:val="Quote Char"/>
    <w:basedOn w:val="DefaultParagraphFont"/>
    <w:link w:val="Quote"/>
    <w:uiPriority w:val="29"/>
    <w:rsid w:val="00920BB6"/>
    <w:rPr>
      <w:i/>
      <w:iCs/>
      <w:color w:val="404040" w:themeColor="text1" w:themeTint="BF"/>
    </w:rPr>
  </w:style>
  <w:style w:type="paragraph" w:styleId="ListParagraph">
    <w:name w:val="List Paragraph"/>
    <w:basedOn w:val="Normal"/>
    <w:uiPriority w:val="1"/>
    <w:qFormat/>
    <w:rsid w:val="00920BB6"/>
    <w:pPr>
      <w:ind w:left="720"/>
      <w:contextualSpacing/>
    </w:pPr>
  </w:style>
  <w:style w:type="character" w:styleId="IntenseEmphasis">
    <w:name w:val="Intense Emphasis"/>
    <w:basedOn w:val="DefaultParagraphFont"/>
    <w:uiPriority w:val="21"/>
    <w:qFormat/>
    <w:rsid w:val="00920BB6"/>
    <w:rPr>
      <w:i/>
      <w:iCs/>
      <w:color w:val="2F5496" w:themeColor="accent1" w:themeShade="BF"/>
    </w:rPr>
  </w:style>
  <w:style w:type="paragraph" w:styleId="IntenseQuote">
    <w:name w:val="Intense Quote"/>
    <w:basedOn w:val="Normal"/>
    <w:next w:val="Normal"/>
    <w:link w:val="IntenseQuoteChar"/>
    <w:uiPriority w:val="30"/>
    <w:qFormat/>
    <w:rsid w:val="00920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BB6"/>
    <w:rPr>
      <w:i/>
      <w:iCs/>
      <w:color w:val="2F5496" w:themeColor="accent1" w:themeShade="BF"/>
    </w:rPr>
  </w:style>
  <w:style w:type="character" w:styleId="IntenseReference">
    <w:name w:val="Intense Reference"/>
    <w:basedOn w:val="DefaultParagraphFont"/>
    <w:uiPriority w:val="32"/>
    <w:qFormat/>
    <w:rsid w:val="00920BB6"/>
    <w:rPr>
      <w:b/>
      <w:bCs/>
      <w:smallCaps/>
      <w:color w:val="2F5496" w:themeColor="accent1" w:themeShade="BF"/>
      <w:spacing w:val="5"/>
    </w:rPr>
  </w:style>
  <w:style w:type="numbering" w:customStyle="1" w:styleId="NoList1">
    <w:name w:val="No List1"/>
    <w:next w:val="NoList"/>
    <w:uiPriority w:val="99"/>
    <w:semiHidden/>
    <w:unhideWhenUsed/>
    <w:rsid w:val="00C3711C"/>
  </w:style>
  <w:style w:type="paragraph" w:styleId="BodyText">
    <w:name w:val="Body Text"/>
    <w:basedOn w:val="Normal"/>
    <w:link w:val="BodyTextChar"/>
    <w:uiPriority w:val="1"/>
    <w:qFormat/>
    <w:rsid w:val="00C3711C"/>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C3711C"/>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C3711C"/>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C3711C"/>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C3711C"/>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C3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C3711C"/>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C3711C"/>
  </w:style>
  <w:style w:type="numbering" w:customStyle="1" w:styleId="NoList2">
    <w:name w:val="No List2"/>
    <w:next w:val="NoList"/>
    <w:uiPriority w:val="99"/>
    <w:semiHidden/>
    <w:unhideWhenUsed/>
    <w:rsid w:val="006C1CCE"/>
  </w:style>
  <w:style w:type="character" w:styleId="Hyperlink">
    <w:name w:val="Hyperlink"/>
    <w:basedOn w:val="DefaultParagraphFont"/>
    <w:uiPriority w:val="99"/>
    <w:unhideWhenUsed/>
    <w:rsid w:val="00E960D3"/>
    <w:rPr>
      <w:color w:val="0563C1" w:themeColor="hyperlink"/>
      <w:u w:val="single"/>
    </w:rPr>
  </w:style>
  <w:style w:type="character" w:customStyle="1" w:styleId="UnresolvedMention">
    <w:name w:val="Unresolved Mention"/>
    <w:basedOn w:val="DefaultParagraphFont"/>
    <w:uiPriority w:val="99"/>
    <w:semiHidden/>
    <w:unhideWhenUsed/>
    <w:rsid w:val="00E9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0776">
      <w:bodyDiv w:val="1"/>
      <w:marLeft w:val="0"/>
      <w:marRight w:val="0"/>
      <w:marTop w:val="0"/>
      <w:marBottom w:val="0"/>
      <w:divBdr>
        <w:top w:val="none" w:sz="0" w:space="0" w:color="auto"/>
        <w:left w:val="none" w:sz="0" w:space="0" w:color="auto"/>
        <w:bottom w:val="none" w:sz="0" w:space="0" w:color="auto"/>
        <w:right w:val="none" w:sz="0" w:space="0" w:color="auto"/>
      </w:divBdr>
    </w:div>
    <w:div w:id="204416928">
      <w:bodyDiv w:val="1"/>
      <w:marLeft w:val="0"/>
      <w:marRight w:val="0"/>
      <w:marTop w:val="0"/>
      <w:marBottom w:val="0"/>
      <w:divBdr>
        <w:top w:val="none" w:sz="0" w:space="0" w:color="auto"/>
        <w:left w:val="none" w:sz="0" w:space="0" w:color="auto"/>
        <w:bottom w:val="none" w:sz="0" w:space="0" w:color="auto"/>
        <w:right w:val="none" w:sz="0" w:space="0" w:color="auto"/>
      </w:divBdr>
      <w:divsChild>
        <w:div w:id="1116830072">
          <w:marLeft w:val="0"/>
          <w:marRight w:val="0"/>
          <w:marTop w:val="0"/>
          <w:marBottom w:val="0"/>
          <w:divBdr>
            <w:top w:val="none" w:sz="0" w:space="0" w:color="auto"/>
            <w:left w:val="none" w:sz="0" w:space="0" w:color="auto"/>
            <w:bottom w:val="none" w:sz="0" w:space="0" w:color="auto"/>
            <w:right w:val="none" w:sz="0" w:space="0" w:color="auto"/>
          </w:divBdr>
          <w:divsChild>
            <w:div w:id="1244531928">
              <w:marLeft w:val="0"/>
              <w:marRight w:val="0"/>
              <w:marTop w:val="0"/>
              <w:marBottom w:val="0"/>
              <w:divBdr>
                <w:top w:val="none" w:sz="0" w:space="0" w:color="auto"/>
                <w:left w:val="none" w:sz="0" w:space="0" w:color="auto"/>
                <w:bottom w:val="none" w:sz="0" w:space="0" w:color="auto"/>
                <w:right w:val="none" w:sz="0" w:space="0" w:color="auto"/>
              </w:divBdr>
              <w:divsChild>
                <w:div w:id="2000766753">
                  <w:marLeft w:val="0"/>
                  <w:marRight w:val="0"/>
                  <w:marTop w:val="0"/>
                  <w:marBottom w:val="0"/>
                  <w:divBdr>
                    <w:top w:val="none" w:sz="0" w:space="0" w:color="auto"/>
                    <w:left w:val="none" w:sz="0" w:space="0" w:color="auto"/>
                    <w:bottom w:val="none" w:sz="0" w:space="0" w:color="auto"/>
                    <w:right w:val="none" w:sz="0" w:space="0" w:color="auto"/>
                  </w:divBdr>
                  <w:divsChild>
                    <w:div w:id="56827462">
                      <w:marLeft w:val="0"/>
                      <w:marRight w:val="0"/>
                      <w:marTop w:val="0"/>
                      <w:marBottom w:val="0"/>
                      <w:divBdr>
                        <w:top w:val="none" w:sz="0" w:space="0" w:color="auto"/>
                        <w:left w:val="none" w:sz="0" w:space="0" w:color="auto"/>
                        <w:bottom w:val="none" w:sz="0" w:space="0" w:color="auto"/>
                        <w:right w:val="none" w:sz="0" w:space="0" w:color="auto"/>
                      </w:divBdr>
                      <w:divsChild>
                        <w:div w:id="1921136867">
                          <w:marLeft w:val="0"/>
                          <w:marRight w:val="0"/>
                          <w:marTop w:val="0"/>
                          <w:marBottom w:val="0"/>
                          <w:divBdr>
                            <w:top w:val="none" w:sz="0" w:space="0" w:color="auto"/>
                            <w:left w:val="none" w:sz="0" w:space="0" w:color="auto"/>
                            <w:bottom w:val="none" w:sz="0" w:space="0" w:color="auto"/>
                            <w:right w:val="none" w:sz="0" w:space="0" w:color="auto"/>
                          </w:divBdr>
                          <w:divsChild>
                            <w:div w:id="21320002">
                              <w:marLeft w:val="0"/>
                              <w:marRight w:val="0"/>
                              <w:marTop w:val="0"/>
                              <w:marBottom w:val="0"/>
                              <w:divBdr>
                                <w:top w:val="none" w:sz="0" w:space="0" w:color="auto"/>
                                <w:left w:val="none" w:sz="0" w:space="0" w:color="auto"/>
                                <w:bottom w:val="none" w:sz="0" w:space="0" w:color="auto"/>
                                <w:right w:val="none" w:sz="0" w:space="0" w:color="auto"/>
                              </w:divBdr>
                              <w:divsChild>
                                <w:div w:id="206257139">
                                  <w:marLeft w:val="0"/>
                                  <w:marRight w:val="0"/>
                                  <w:marTop w:val="0"/>
                                  <w:marBottom w:val="0"/>
                                  <w:divBdr>
                                    <w:top w:val="none" w:sz="0" w:space="0" w:color="auto"/>
                                    <w:left w:val="none" w:sz="0" w:space="0" w:color="auto"/>
                                    <w:bottom w:val="none" w:sz="0" w:space="0" w:color="auto"/>
                                    <w:right w:val="none" w:sz="0" w:space="0" w:color="auto"/>
                                  </w:divBdr>
                                  <w:divsChild>
                                    <w:div w:id="13136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073607">
      <w:bodyDiv w:val="1"/>
      <w:marLeft w:val="0"/>
      <w:marRight w:val="0"/>
      <w:marTop w:val="0"/>
      <w:marBottom w:val="0"/>
      <w:divBdr>
        <w:top w:val="none" w:sz="0" w:space="0" w:color="auto"/>
        <w:left w:val="none" w:sz="0" w:space="0" w:color="auto"/>
        <w:bottom w:val="none" w:sz="0" w:space="0" w:color="auto"/>
        <w:right w:val="none" w:sz="0" w:space="0" w:color="auto"/>
      </w:divBdr>
    </w:div>
    <w:div w:id="697857763">
      <w:bodyDiv w:val="1"/>
      <w:marLeft w:val="0"/>
      <w:marRight w:val="0"/>
      <w:marTop w:val="0"/>
      <w:marBottom w:val="0"/>
      <w:divBdr>
        <w:top w:val="none" w:sz="0" w:space="0" w:color="auto"/>
        <w:left w:val="none" w:sz="0" w:space="0" w:color="auto"/>
        <w:bottom w:val="none" w:sz="0" w:space="0" w:color="auto"/>
        <w:right w:val="none" w:sz="0" w:space="0" w:color="auto"/>
      </w:divBdr>
    </w:div>
    <w:div w:id="1173182988">
      <w:bodyDiv w:val="1"/>
      <w:marLeft w:val="0"/>
      <w:marRight w:val="0"/>
      <w:marTop w:val="0"/>
      <w:marBottom w:val="0"/>
      <w:divBdr>
        <w:top w:val="none" w:sz="0" w:space="0" w:color="auto"/>
        <w:left w:val="none" w:sz="0" w:space="0" w:color="auto"/>
        <w:bottom w:val="none" w:sz="0" w:space="0" w:color="auto"/>
        <w:right w:val="none" w:sz="0" w:space="0" w:color="auto"/>
      </w:divBdr>
    </w:div>
    <w:div w:id="1297296834">
      <w:bodyDiv w:val="1"/>
      <w:marLeft w:val="0"/>
      <w:marRight w:val="0"/>
      <w:marTop w:val="0"/>
      <w:marBottom w:val="0"/>
      <w:divBdr>
        <w:top w:val="none" w:sz="0" w:space="0" w:color="auto"/>
        <w:left w:val="none" w:sz="0" w:space="0" w:color="auto"/>
        <w:bottom w:val="none" w:sz="0" w:space="0" w:color="auto"/>
        <w:right w:val="none" w:sz="0" w:space="0" w:color="auto"/>
      </w:divBdr>
    </w:div>
    <w:div w:id="1350645533">
      <w:bodyDiv w:val="1"/>
      <w:marLeft w:val="0"/>
      <w:marRight w:val="0"/>
      <w:marTop w:val="0"/>
      <w:marBottom w:val="0"/>
      <w:divBdr>
        <w:top w:val="none" w:sz="0" w:space="0" w:color="auto"/>
        <w:left w:val="none" w:sz="0" w:space="0" w:color="auto"/>
        <w:bottom w:val="none" w:sz="0" w:space="0" w:color="auto"/>
        <w:right w:val="none" w:sz="0" w:space="0" w:color="auto"/>
      </w:divBdr>
    </w:div>
    <w:div w:id="1877352151">
      <w:bodyDiv w:val="1"/>
      <w:marLeft w:val="0"/>
      <w:marRight w:val="0"/>
      <w:marTop w:val="0"/>
      <w:marBottom w:val="0"/>
      <w:divBdr>
        <w:top w:val="none" w:sz="0" w:space="0" w:color="auto"/>
        <w:left w:val="none" w:sz="0" w:space="0" w:color="auto"/>
        <w:bottom w:val="none" w:sz="0" w:space="0" w:color="auto"/>
        <w:right w:val="none" w:sz="0" w:space="0" w:color="auto"/>
      </w:divBdr>
    </w:div>
    <w:div w:id="1958945392">
      <w:bodyDiv w:val="1"/>
      <w:marLeft w:val="0"/>
      <w:marRight w:val="0"/>
      <w:marTop w:val="0"/>
      <w:marBottom w:val="0"/>
      <w:divBdr>
        <w:top w:val="none" w:sz="0" w:space="0" w:color="auto"/>
        <w:left w:val="none" w:sz="0" w:space="0" w:color="auto"/>
        <w:bottom w:val="none" w:sz="0" w:space="0" w:color="auto"/>
        <w:right w:val="none" w:sz="0" w:space="0" w:color="auto"/>
      </w:divBdr>
    </w:div>
    <w:div w:id="21226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DA8B-A04F-47CC-84E8-5445F92F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SDI CPU 1127</cp:lastModifiedBy>
  <cp:revision>145</cp:revision>
  <dcterms:created xsi:type="dcterms:W3CDTF">2025-05-08T11:19:00Z</dcterms:created>
  <dcterms:modified xsi:type="dcterms:W3CDTF">2025-05-16T03:51:00Z</dcterms:modified>
</cp:coreProperties>
</file>