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8DA71" w14:textId="77777777" w:rsidR="00DB23EF" w:rsidRPr="00DB23EF" w:rsidRDefault="00DB23EF" w:rsidP="00DB23EF">
      <w:pPr>
        <w:spacing w:line="240" w:lineRule="auto"/>
        <w:ind w:left="0"/>
        <w:jc w:val="right"/>
        <w:rPr>
          <w:rFonts w:ascii="Arial" w:hAnsi="Arial" w:cs="Arial"/>
          <w:b/>
          <w:i/>
          <w:sz w:val="32"/>
          <w:highlight w:val="yellow"/>
          <w:u w:val="single"/>
          <w:lang w:val="en-US"/>
        </w:rPr>
      </w:pPr>
      <w:bookmarkStart w:id="0" w:name="_Hlk195819244"/>
      <w:bookmarkStart w:id="1" w:name="_Hlk193540946"/>
      <w:bookmarkStart w:id="2" w:name="_Hlk180402183"/>
      <w:bookmarkStart w:id="3" w:name="_Hlk183680988"/>
      <w:r w:rsidRPr="00DB23EF">
        <w:rPr>
          <w:rFonts w:ascii="Arial" w:hAnsi="Arial" w:cs="Arial"/>
          <w:b/>
          <w:i/>
          <w:sz w:val="32"/>
          <w:highlight w:val="yellow"/>
          <w:u w:val="single"/>
          <w:lang w:val="en-US"/>
        </w:rPr>
        <w:t>Review Article</w:t>
      </w:r>
    </w:p>
    <w:p w14:paraId="7730F2F2" w14:textId="77777777" w:rsidR="00DB23EF" w:rsidRPr="00DB23EF" w:rsidRDefault="00DB23EF" w:rsidP="00DB23EF">
      <w:pPr>
        <w:pStyle w:val="NoSpacing"/>
        <w:rPr>
          <w:highlight w:val="yellow"/>
          <w:lang w:val="en-US"/>
        </w:rPr>
      </w:pPr>
    </w:p>
    <w:p w14:paraId="2BE51C36" w14:textId="77777777" w:rsidR="00DB23EF" w:rsidRPr="00DB23EF" w:rsidRDefault="00DB23EF" w:rsidP="00DB23EF">
      <w:pPr>
        <w:spacing w:line="240" w:lineRule="auto"/>
        <w:ind w:left="0"/>
        <w:jc w:val="right"/>
        <w:rPr>
          <w:rFonts w:ascii="Arial" w:hAnsi="Arial" w:cs="Arial"/>
          <w:b/>
          <w:sz w:val="32"/>
          <w:highlight w:val="yellow"/>
          <w:lang w:val="en-US"/>
        </w:rPr>
      </w:pPr>
      <w:bookmarkStart w:id="4" w:name="_Hlk195811142"/>
      <w:r w:rsidRPr="00DB23EF">
        <w:rPr>
          <w:rFonts w:ascii="Arial" w:hAnsi="Arial" w:cs="Arial"/>
          <w:b/>
          <w:sz w:val="32"/>
          <w:highlight w:val="yellow"/>
          <w:lang w:val="en-US"/>
        </w:rPr>
        <w:t>Impacts of Sugarcane Biochar on Soil Properties and Mung Bean (</w:t>
      </w:r>
      <w:r w:rsidRPr="00DB23EF">
        <w:rPr>
          <w:rFonts w:ascii="Arial" w:hAnsi="Arial" w:cs="Arial"/>
          <w:b/>
          <w:i/>
          <w:iCs/>
          <w:sz w:val="32"/>
          <w:highlight w:val="yellow"/>
          <w:lang w:val="en-US"/>
        </w:rPr>
        <w:t>Vigna radiata</w:t>
      </w:r>
      <w:r w:rsidRPr="00DB23EF">
        <w:rPr>
          <w:rFonts w:ascii="Arial" w:hAnsi="Arial" w:cs="Arial"/>
          <w:b/>
          <w:sz w:val="32"/>
          <w:highlight w:val="yellow"/>
          <w:lang w:val="en-US"/>
        </w:rPr>
        <w:t xml:space="preserve"> L.) Productivity: A Comprehensive Review</w:t>
      </w:r>
    </w:p>
    <w:p w14:paraId="0F78057C" w14:textId="77777777" w:rsidR="00DB23EF" w:rsidRPr="00DB23EF" w:rsidRDefault="00DB23EF" w:rsidP="00DB23EF">
      <w:pPr>
        <w:pStyle w:val="NoSpacing"/>
        <w:rPr>
          <w:highlight w:val="yellow"/>
          <w:lang w:val="en-US"/>
        </w:rPr>
      </w:pPr>
    </w:p>
    <w:bookmarkEnd w:id="4"/>
    <w:p w14:paraId="53C98B9C" w14:textId="77777777" w:rsidR="00DB23EF" w:rsidRDefault="00DB23EF" w:rsidP="00DB23EF">
      <w:pPr>
        <w:spacing w:line="240" w:lineRule="auto"/>
        <w:ind w:left="0"/>
        <w:jc w:val="center"/>
        <w:rPr>
          <w:rFonts w:ascii="Arial" w:hAnsi="Arial" w:cs="Arial"/>
          <w:b/>
          <w:sz w:val="24"/>
          <w:szCs w:val="24"/>
          <w:lang w:val="en-US"/>
        </w:rPr>
      </w:pPr>
    </w:p>
    <w:p w14:paraId="75FDC3B3" w14:textId="77777777" w:rsidR="00DB23EF" w:rsidRDefault="00DB23EF" w:rsidP="00DB23EF">
      <w:pPr>
        <w:spacing w:line="240" w:lineRule="auto"/>
        <w:ind w:left="0"/>
        <w:jc w:val="center"/>
        <w:rPr>
          <w:rFonts w:ascii="Arial" w:hAnsi="Arial" w:cs="Arial"/>
          <w:b/>
          <w:sz w:val="24"/>
          <w:szCs w:val="24"/>
          <w:lang w:val="en-US"/>
        </w:rPr>
      </w:pPr>
      <w:r w:rsidRPr="00976E0C">
        <w:rPr>
          <w:rFonts w:ascii="Arial" w:hAnsi="Arial" w:cs="Arial"/>
          <w:b/>
          <w:sz w:val="24"/>
          <w:szCs w:val="24"/>
          <w:lang w:val="en-US"/>
        </w:rPr>
        <w:t>ABSTRACT</w:t>
      </w:r>
    </w:p>
    <w:p w14:paraId="234996AD" w14:textId="77777777" w:rsidR="00DB23EF" w:rsidRDefault="00DB23EF" w:rsidP="00DB23EF">
      <w:pPr>
        <w:pStyle w:val="NoSpacing"/>
        <w:ind w:left="0"/>
        <w:rPr>
          <w:rFonts w:ascii="Arial" w:hAnsi="Arial" w:cs="Arial"/>
          <w:sz w:val="20"/>
        </w:rPr>
      </w:pPr>
      <w:bookmarkStart w:id="5" w:name="_Hlk195811889"/>
      <w:r w:rsidRPr="008F3D8E">
        <w:rPr>
          <w:rFonts w:ascii="Arial" w:hAnsi="Arial" w:cs="Arial"/>
          <w:sz w:val="20"/>
        </w:rPr>
        <w:t xml:space="preserve">The increasing pressure on agricultural systems to produce more food sustainably has emphasized the importance of soil health restoration and effective agricultural waste management. </w:t>
      </w:r>
      <w:r w:rsidRPr="008F3D8E">
        <w:rPr>
          <w:rStyle w:val="Strong"/>
          <w:rFonts w:ascii="Arial" w:hAnsi="Arial" w:cs="Arial"/>
          <w:b w:val="0"/>
          <w:bCs w:val="0"/>
          <w:sz w:val="20"/>
        </w:rPr>
        <w:t>Sugarcane bagasse</w:t>
      </w:r>
      <w:r w:rsidRPr="008F3D8E">
        <w:rPr>
          <w:rFonts w:ascii="Arial" w:hAnsi="Arial" w:cs="Arial"/>
          <w:sz w:val="20"/>
        </w:rPr>
        <w:t xml:space="preserve">, a fibrous by-product of sugar industries, represents a renewable and underutilized biomass that can be transformed into </w:t>
      </w:r>
      <w:r w:rsidRPr="008F3D8E">
        <w:rPr>
          <w:rStyle w:val="Strong"/>
          <w:rFonts w:ascii="Arial" w:hAnsi="Arial" w:cs="Arial"/>
          <w:b w:val="0"/>
          <w:bCs w:val="0"/>
          <w:sz w:val="20"/>
        </w:rPr>
        <w:t>biochar</w:t>
      </w:r>
      <w:r w:rsidRPr="008F3D8E">
        <w:rPr>
          <w:rFonts w:ascii="Arial" w:hAnsi="Arial" w:cs="Arial"/>
          <w:sz w:val="20"/>
        </w:rPr>
        <w:t xml:space="preserve"> a carbon-rich material known for its ability to improve soil quality and enhance crop productivity. This review focuses on the </w:t>
      </w:r>
      <w:r w:rsidRPr="008F3D8E">
        <w:rPr>
          <w:rStyle w:val="Strong"/>
          <w:rFonts w:ascii="Arial" w:hAnsi="Arial" w:cs="Arial"/>
          <w:b w:val="0"/>
          <w:bCs w:val="0"/>
          <w:sz w:val="20"/>
        </w:rPr>
        <w:t>impact of sugarcane bagasse-derived biochar</w:t>
      </w:r>
      <w:r w:rsidRPr="008F3D8E">
        <w:rPr>
          <w:rFonts w:ascii="Arial" w:hAnsi="Arial" w:cs="Arial"/>
          <w:sz w:val="20"/>
        </w:rPr>
        <w:t xml:space="preserve"> on soil physicochemical properties and the </w:t>
      </w:r>
      <w:r w:rsidRPr="008F3D8E">
        <w:rPr>
          <w:rStyle w:val="Strong"/>
          <w:rFonts w:ascii="Arial" w:hAnsi="Arial" w:cs="Arial"/>
          <w:b w:val="0"/>
          <w:bCs w:val="0"/>
          <w:sz w:val="20"/>
        </w:rPr>
        <w:t>growth and yield of mung bean (</w:t>
      </w:r>
      <w:r w:rsidRPr="008F3D8E">
        <w:rPr>
          <w:rStyle w:val="Strong"/>
          <w:rFonts w:ascii="Arial" w:hAnsi="Arial" w:cs="Arial"/>
          <w:b w:val="0"/>
          <w:bCs w:val="0"/>
          <w:i/>
          <w:sz w:val="20"/>
        </w:rPr>
        <w:t>Vigna radiata</w:t>
      </w:r>
      <w:r w:rsidRPr="008F3D8E">
        <w:rPr>
          <w:rStyle w:val="Strong"/>
          <w:rFonts w:ascii="Arial" w:hAnsi="Arial" w:cs="Arial"/>
          <w:b w:val="0"/>
          <w:bCs w:val="0"/>
          <w:sz w:val="20"/>
        </w:rPr>
        <w:t xml:space="preserve"> L.)</w:t>
      </w:r>
      <w:r w:rsidRPr="008F3D8E">
        <w:rPr>
          <w:rFonts w:ascii="Arial" w:hAnsi="Arial" w:cs="Arial"/>
          <w:sz w:val="20"/>
        </w:rPr>
        <w:t>, a short-duration legume essential for protein security and soil fertility improvement through nitrogen fixation. The article synthesizes current knowledge on biochar production methods (slow pyrolysis, fast pyrolysis, and hydrothermal carbonization), its structural and chemical properties, and its role in soil amendment. Biochar significantly enhances soil pH, cation exchange capacity, water retention, and microbial biomass. These changes improve nutrient retention (N, P, K, and micronutrients), reduce nutrient leaching, and enhance the efficiency of both organic and inorganic fertilizers. In mung bean cultivation, such improvements lead to enhanced germination, nodulation, root growth, bi</w:t>
      </w:r>
      <w:bookmarkStart w:id="6" w:name="_GoBack"/>
      <w:bookmarkEnd w:id="6"/>
      <w:r w:rsidRPr="008F3D8E">
        <w:rPr>
          <w:rFonts w:ascii="Arial" w:hAnsi="Arial" w:cs="Arial"/>
          <w:sz w:val="20"/>
        </w:rPr>
        <w:t xml:space="preserve">omass accumulation, and seed yield. Furthermore, biochar contributes to long-term </w:t>
      </w:r>
      <w:r w:rsidRPr="008F3D8E">
        <w:rPr>
          <w:rStyle w:val="Strong"/>
          <w:rFonts w:ascii="Arial" w:hAnsi="Arial" w:cs="Arial"/>
          <w:b w:val="0"/>
          <w:bCs w:val="0"/>
          <w:sz w:val="20"/>
        </w:rPr>
        <w:t>carbon sequestration</w:t>
      </w:r>
      <w:r w:rsidRPr="008F3D8E">
        <w:rPr>
          <w:rFonts w:ascii="Arial" w:hAnsi="Arial" w:cs="Arial"/>
          <w:sz w:val="20"/>
        </w:rPr>
        <w:t xml:space="preserve"> and climate mitigation by stabilizing organic carbon and reducing greenhouse gas emissions. The review also explores future directions including the integration of biochar with </w:t>
      </w:r>
      <w:r w:rsidRPr="008F3D8E">
        <w:rPr>
          <w:rStyle w:val="Strong"/>
          <w:rFonts w:ascii="Arial" w:hAnsi="Arial" w:cs="Arial"/>
          <w:b w:val="0"/>
          <w:bCs w:val="0"/>
          <w:sz w:val="20"/>
        </w:rPr>
        <w:t>climate-smart agriculture</w:t>
      </w:r>
      <w:r w:rsidRPr="008F3D8E">
        <w:rPr>
          <w:rFonts w:ascii="Arial" w:hAnsi="Arial" w:cs="Arial"/>
          <w:sz w:val="20"/>
        </w:rPr>
        <w:t xml:space="preserve">, use of </w:t>
      </w:r>
      <w:r w:rsidRPr="008F3D8E">
        <w:rPr>
          <w:rStyle w:val="Strong"/>
          <w:rFonts w:ascii="Arial" w:hAnsi="Arial" w:cs="Arial"/>
          <w:b w:val="0"/>
          <w:bCs w:val="0"/>
          <w:sz w:val="20"/>
        </w:rPr>
        <w:t>biochar blends</w:t>
      </w:r>
      <w:r w:rsidRPr="008F3D8E">
        <w:rPr>
          <w:rFonts w:ascii="Arial" w:hAnsi="Arial" w:cs="Arial"/>
          <w:sz w:val="20"/>
        </w:rPr>
        <w:t xml:space="preserve"> (e.g., compost and </w:t>
      </w:r>
      <w:proofErr w:type="spellStart"/>
      <w:r w:rsidRPr="008F3D8E">
        <w:rPr>
          <w:rFonts w:ascii="Arial" w:hAnsi="Arial" w:cs="Arial"/>
          <w:sz w:val="20"/>
        </w:rPr>
        <w:t>nano</w:t>
      </w:r>
      <w:proofErr w:type="spellEnd"/>
      <w:r w:rsidRPr="008F3D8E">
        <w:rPr>
          <w:rFonts w:ascii="Arial" w:hAnsi="Arial" w:cs="Arial"/>
          <w:sz w:val="20"/>
        </w:rPr>
        <w:t xml:space="preserve">-biochar), and the importance of </w:t>
      </w:r>
      <w:r w:rsidRPr="008F3D8E">
        <w:rPr>
          <w:rStyle w:val="Strong"/>
          <w:rFonts w:ascii="Arial" w:hAnsi="Arial" w:cs="Arial"/>
          <w:b w:val="0"/>
          <w:bCs w:val="0"/>
          <w:sz w:val="20"/>
        </w:rPr>
        <w:t>field-level validation, site-specific application strategies</w:t>
      </w:r>
      <w:r w:rsidRPr="008F3D8E">
        <w:rPr>
          <w:rFonts w:ascii="Arial" w:hAnsi="Arial" w:cs="Arial"/>
          <w:sz w:val="20"/>
        </w:rPr>
        <w:t xml:space="preserve">, and </w:t>
      </w:r>
      <w:r w:rsidRPr="008F3D8E">
        <w:rPr>
          <w:rStyle w:val="Strong"/>
          <w:rFonts w:ascii="Arial" w:hAnsi="Arial" w:cs="Arial"/>
          <w:b w:val="0"/>
          <w:bCs w:val="0"/>
          <w:sz w:val="20"/>
        </w:rPr>
        <w:t>economic feasibility analysis</w:t>
      </w:r>
      <w:r w:rsidRPr="008F3D8E">
        <w:rPr>
          <w:rFonts w:ascii="Arial" w:hAnsi="Arial" w:cs="Arial"/>
          <w:sz w:val="20"/>
        </w:rPr>
        <w:t>. Overall, sugarcane biochar offers a sustainable, scalable solution to enhance soil fertility and crop productivity, particularly in legume-based farming systems.</w:t>
      </w:r>
    </w:p>
    <w:p w14:paraId="59262D02" w14:textId="77777777" w:rsidR="00DB23EF" w:rsidRPr="008F3D8E" w:rsidRDefault="00DB23EF" w:rsidP="00DB23EF">
      <w:pPr>
        <w:pStyle w:val="NoSpacing"/>
        <w:ind w:left="0"/>
        <w:rPr>
          <w:rFonts w:ascii="Arial" w:hAnsi="Arial" w:cs="Arial"/>
          <w:sz w:val="20"/>
        </w:rPr>
      </w:pPr>
    </w:p>
    <w:p w14:paraId="28998E7A" w14:textId="77777777" w:rsidR="00DB23EF" w:rsidRPr="008F3D8E" w:rsidRDefault="00DB23EF" w:rsidP="00DB23EF">
      <w:pPr>
        <w:pStyle w:val="NoSpacing"/>
        <w:ind w:left="0"/>
        <w:rPr>
          <w:rFonts w:ascii="Arial" w:hAnsi="Arial" w:cs="Arial"/>
          <w:i/>
          <w:sz w:val="20"/>
        </w:rPr>
      </w:pPr>
      <w:r w:rsidRPr="008F3D8E">
        <w:rPr>
          <w:rStyle w:val="Strong"/>
          <w:rFonts w:ascii="Arial" w:hAnsi="Arial" w:cs="Arial"/>
          <w:bCs w:val="0"/>
          <w:i/>
          <w:sz w:val="20"/>
        </w:rPr>
        <w:t>Keywords:</w:t>
      </w:r>
      <w:r w:rsidRPr="008F3D8E">
        <w:rPr>
          <w:rFonts w:ascii="Arial" w:hAnsi="Arial" w:cs="Arial"/>
          <w:i/>
          <w:sz w:val="20"/>
        </w:rPr>
        <w:t xml:space="preserve"> Sugarcane</w:t>
      </w:r>
      <w:r>
        <w:rPr>
          <w:rFonts w:ascii="Arial" w:hAnsi="Arial" w:cs="Arial"/>
          <w:i/>
          <w:sz w:val="20"/>
        </w:rPr>
        <w:t>,</w:t>
      </w:r>
      <w:r w:rsidRPr="008F3D8E">
        <w:rPr>
          <w:rFonts w:ascii="Arial" w:hAnsi="Arial" w:cs="Arial"/>
          <w:i/>
          <w:sz w:val="20"/>
        </w:rPr>
        <w:t xml:space="preserve"> </w:t>
      </w:r>
      <w:r>
        <w:rPr>
          <w:rFonts w:ascii="Arial" w:hAnsi="Arial" w:cs="Arial"/>
          <w:i/>
          <w:sz w:val="20"/>
        </w:rPr>
        <w:t>B</w:t>
      </w:r>
      <w:r w:rsidRPr="008F3D8E">
        <w:rPr>
          <w:rFonts w:ascii="Arial" w:hAnsi="Arial" w:cs="Arial"/>
          <w:i/>
          <w:sz w:val="20"/>
        </w:rPr>
        <w:t>agasse, Biochar, Mung bean, Soil fertility, Nutrient retention, Sustainable agriculture</w:t>
      </w:r>
    </w:p>
    <w:p w14:paraId="25FBB59D" w14:textId="77777777" w:rsidR="00DB23EF" w:rsidRDefault="00DB23EF" w:rsidP="00DB23EF">
      <w:pPr>
        <w:spacing w:line="240" w:lineRule="auto"/>
        <w:ind w:left="0"/>
        <w:rPr>
          <w:rFonts w:ascii="Arial" w:hAnsi="Arial" w:cs="Arial"/>
          <w:b/>
          <w:sz w:val="24"/>
          <w:szCs w:val="24"/>
          <w:lang w:val="en-US"/>
        </w:rPr>
      </w:pPr>
    </w:p>
    <w:bookmarkEnd w:id="5"/>
    <w:p w14:paraId="447312F7" w14:textId="77777777" w:rsidR="00DB23EF" w:rsidRDefault="00DB23EF" w:rsidP="00DB23EF">
      <w:pPr>
        <w:pStyle w:val="ListParagraph"/>
        <w:numPr>
          <w:ilvl w:val="0"/>
          <w:numId w:val="1"/>
        </w:numPr>
        <w:spacing w:line="240" w:lineRule="auto"/>
        <w:rPr>
          <w:rFonts w:ascii="Arial" w:hAnsi="Arial" w:cs="Arial"/>
          <w:b/>
          <w:sz w:val="24"/>
          <w:szCs w:val="24"/>
          <w:lang w:val="en-US"/>
        </w:rPr>
      </w:pPr>
      <w:r>
        <w:rPr>
          <w:rFonts w:ascii="Arial" w:hAnsi="Arial" w:cs="Arial"/>
          <w:b/>
          <w:sz w:val="24"/>
          <w:szCs w:val="24"/>
          <w:lang w:val="en-US"/>
        </w:rPr>
        <w:t>INTRODUCTION</w:t>
      </w:r>
    </w:p>
    <w:p w14:paraId="0DAB59C9" w14:textId="77777777" w:rsidR="00DB23EF" w:rsidRPr="00C86529" w:rsidRDefault="00DB23EF" w:rsidP="00DB23EF">
      <w:pPr>
        <w:spacing w:line="240" w:lineRule="auto"/>
        <w:ind w:left="0"/>
        <w:jc w:val="left"/>
        <w:rPr>
          <w:rFonts w:ascii="Arial" w:eastAsia="Times New Roman" w:hAnsi="Arial" w:cs="Arial"/>
          <w:sz w:val="20"/>
          <w:szCs w:val="24"/>
          <w:lang w:eastAsia="en-IN"/>
        </w:rPr>
      </w:pPr>
    </w:p>
    <w:p w14:paraId="01A03583" w14:textId="77777777" w:rsidR="00DB23EF" w:rsidRPr="00C4782B" w:rsidRDefault="00DB23EF" w:rsidP="00DB23EF">
      <w:pPr>
        <w:pStyle w:val="NoSpacing"/>
        <w:ind w:left="0"/>
        <w:rPr>
          <w:rFonts w:ascii="Arial" w:hAnsi="Arial" w:cs="Arial"/>
          <w:sz w:val="20"/>
          <w:szCs w:val="24"/>
        </w:rPr>
      </w:pPr>
      <w:bookmarkStart w:id="7" w:name="_Hlk195812425"/>
      <w:r w:rsidRPr="00C4782B">
        <w:rPr>
          <w:rFonts w:ascii="Arial" w:hAnsi="Arial" w:cs="Arial"/>
          <w:sz w:val="20"/>
          <w:szCs w:val="24"/>
        </w:rPr>
        <w:t>The global agricultural sector is currently navigating a multitude of interlinked challenges including rising food demand, declining soil fertility, climate change, and increasing agricultural waste generation. As the world population continues to expand, projected to surpass 9.7 billion by 2050, the demand for food is expected to increase by over 60%</w:t>
      </w:r>
      <w:r>
        <w:rPr>
          <w:rFonts w:ascii="Arial" w:hAnsi="Arial" w:cs="Arial"/>
          <w:sz w:val="20"/>
          <w:szCs w:val="24"/>
        </w:rPr>
        <w:t xml:space="preserve"> (</w:t>
      </w:r>
      <w:r>
        <w:rPr>
          <w:rFonts w:ascii="Arial" w:hAnsi="Arial" w:cs="Arial"/>
          <w:color w:val="222222"/>
          <w:sz w:val="20"/>
          <w:szCs w:val="20"/>
          <w:shd w:val="clear" w:color="auto" w:fill="FFFFFF"/>
        </w:rPr>
        <w:t>Oluwole et al., 2023</w:t>
      </w:r>
      <w:r>
        <w:rPr>
          <w:rFonts w:ascii="Arial" w:hAnsi="Arial" w:cs="Arial"/>
          <w:sz w:val="20"/>
          <w:szCs w:val="24"/>
        </w:rPr>
        <w:t>)</w:t>
      </w:r>
      <w:r w:rsidRPr="00C4782B">
        <w:rPr>
          <w:rFonts w:ascii="Arial" w:hAnsi="Arial" w:cs="Arial"/>
          <w:sz w:val="20"/>
          <w:szCs w:val="24"/>
        </w:rPr>
        <w:t>. This mounting pressure not only demands higher productivity but also compels a re-evaluation of traditional farming practices that have historically contributed to environmental degradation through unsustainable land use, excessive reliance on chemical inputs, and poor waste management.</w:t>
      </w:r>
      <w:r>
        <w:rPr>
          <w:rFonts w:ascii="Arial" w:hAnsi="Arial" w:cs="Arial"/>
          <w:sz w:val="20"/>
          <w:szCs w:val="24"/>
        </w:rPr>
        <w:t xml:space="preserve"> </w:t>
      </w:r>
      <w:r w:rsidRPr="00C4782B">
        <w:rPr>
          <w:rFonts w:ascii="Arial" w:hAnsi="Arial" w:cs="Arial"/>
          <w:sz w:val="20"/>
          <w:szCs w:val="24"/>
        </w:rPr>
        <w:t xml:space="preserve">One of the most pressing issues is the growing volume of </w:t>
      </w:r>
      <w:r w:rsidRPr="00C4782B">
        <w:rPr>
          <w:rStyle w:val="Strong"/>
          <w:rFonts w:ascii="Arial" w:hAnsi="Arial" w:cs="Arial"/>
          <w:b w:val="0"/>
          <w:bCs w:val="0"/>
          <w:sz w:val="20"/>
          <w:szCs w:val="24"/>
        </w:rPr>
        <w:t>agricultural waste</w:t>
      </w:r>
      <w:r w:rsidRPr="00C4782B">
        <w:rPr>
          <w:rFonts w:ascii="Arial" w:hAnsi="Arial" w:cs="Arial"/>
          <w:sz w:val="20"/>
          <w:szCs w:val="24"/>
        </w:rPr>
        <w:t xml:space="preserve">, particularly from crop residues and </w:t>
      </w:r>
      <w:proofErr w:type="spellStart"/>
      <w:r w:rsidRPr="00C4782B">
        <w:rPr>
          <w:rFonts w:ascii="Arial" w:hAnsi="Arial" w:cs="Arial"/>
          <w:sz w:val="20"/>
          <w:szCs w:val="24"/>
        </w:rPr>
        <w:t>agro</w:t>
      </w:r>
      <w:proofErr w:type="spellEnd"/>
      <w:r w:rsidRPr="00C4782B">
        <w:rPr>
          <w:rFonts w:ascii="Arial" w:hAnsi="Arial" w:cs="Arial"/>
          <w:sz w:val="20"/>
          <w:szCs w:val="24"/>
        </w:rPr>
        <w:t xml:space="preserve">-industrial by-products. Improper disposal of such residues often by burning or dumping results in soil nutrient depletion, water contamination, air pollution, and </w:t>
      </w:r>
      <w:r w:rsidRPr="00DB23EF">
        <w:rPr>
          <w:rFonts w:ascii="Arial" w:hAnsi="Arial" w:cs="Arial"/>
          <w:sz w:val="20"/>
          <w:szCs w:val="24"/>
          <w:highlight w:val="yellow"/>
        </w:rPr>
        <w:t xml:space="preserve">greenhouse gas emissions </w:t>
      </w:r>
      <w:sdt>
        <w:sdtPr>
          <w:rPr>
            <w:rFonts w:ascii="Arial" w:hAnsi="Arial" w:cs="Arial"/>
            <w:color w:val="000000"/>
            <w:sz w:val="20"/>
            <w:szCs w:val="24"/>
            <w:highlight w:val="yellow"/>
          </w:rPr>
          <w:tag w:val="MENDELEY_CITATION_v3_eyJjaXRhdGlvbklEIjoiTUVOREVMRVlfQ0lUQVRJT05fMjc5Y2YxNzctYTlkNi00YmU4LWFlNjQtNDcxNTdmZGQ4OGRmIiwicHJvcGVydGllcyI6eyJub3RlSW5kZXgiOjB9LCJpc0VkaXRlZCI6ZmFsc2UsIm1hbnVhbE92ZXJyaWRlIjp7ImlzTWFudWFsbHlPdmVycmlkZGVuIjpmYWxzZSwiY2l0ZXByb2NUZXh0IjoiKEtvdWwgZXQgYWwuLCAyMDIyOyBQcmFkby1BY2VibyBldCBhbC4sIDIwMjQpIiwibWFudWFsT3ZlcnJpZGVUZXh0IjoiIn0sImNpdGF0aW9uSXRlbXMiOlt7ImlkIjoiYWI0MjJlY2ItMjkwYy0zM2RjLTk2OWMtMzI0ZjMwOWJiNTk4IiwiaXRlbURhdGEiOnsidHlwZSI6ImFydGljbGUtam91cm5hbCIsImlkIjoiYWI0MjJlY2ItMjkwYy0zM2RjLTk2OWMtMzI0ZjMwOWJiNTk4IiwidGl0bGUiOiJBZ3JpY3VsdHVyYWwgd2FzdGUgbWFuYWdlbWVudCBzdHJhdGVnaWVzIGZvciBlbnZpcm9ubWVudGFsIHN1c3RhaW5hYmlsaXR5IiwiYXV0aG9yIjpbeyJmYW1pbHkiOiJLb3VsIiwiZ2l2ZW4iOiJCaHVwZW5kcmEiLCJwYXJzZS1uYW1lcyI6ZmFsc2UsImRyb3BwaW5nLXBhcnRpY2xlIjoiIiwibm9uLWRyb3BwaW5nLXBhcnRpY2xlIjoiIn0seyJmYW1pbHkiOiJZYWtvb2IiLCJnaXZlbiI6Ik1vaGFtbWFkIiwicGFyc2UtbmFtZXMiOmZhbHNlLCJkcm9wcGluZy1wYXJ0aWNsZSI6IiIsIm5vbi1kcm9wcGluZy1wYXJ0aWNsZSI6IiJ9LHsiZmFtaWx5IjoiU2hhaCIsImdpdmVuIjoiTWF1bGluIFAuIiwicGFyc2UtbmFtZXMiOmZhbHNlLCJkcm9wcGluZy1wYXJ0aWNsZSI6IiIsIm5vbi1kcm9wcGluZy1wYXJ0aWNsZSI6IiJ9XSwiY29udGFpbmVyLXRpdGxlIjoiRW52aXJvbm1lbnRhbCBSZXNlYXJjaCIsImNvbnRhaW5lci10aXRsZS1zaG9ydCI6IkVudmlyb24gUmVzIiwiYWNjZXNzZWQiOnsiZGF0ZS1wYXJ0cyI6W1syMDI1LDQsMThdXX0sIkRPSSI6IjEwLjEwMTYvSi5FTlZSRVMuMjAyMS4xMTIyODUiLCJJU1NOIjoiMDAxMy05MzUxIiwiUE1JRCI6IjM0NzEwNDQyIiwiaXNzdWVkIjp7ImRhdGUtcGFydHMiOltbMjAyMiw0LDE1XV19LCJwYWdlIjoiMTEyMjg1IiwiYWJzdHJhY3QiOiJHbG9iYWxseSwgYWJ1bmRhbnQgYWdyaWN1bHR1cmFsIHdhc3RlcyAoQVdzKSBhcmUgYmVpbmcgZ2VuZXJhdGVkIGVhY2ggZGF5IHRvIGZ1bGZpbCB0aGUgaW5jcmVhc2luZyBkZW1hbmRzIG9mIHRoZSBmYXN0LWdyb3dpbmcgcG9wdWxhdGlvbi4gVGhlIGxpbWl0ZWQgYW5kL29yIGltcHJvcGVyIG1hbmFnZW1lbnQgb2YgdGhlIHNhbWUgaGFzIGNyZWF0ZWQgYW4gdXJnZW50IG5lZWQgdG8gZGV2aXNlIHN0cmF0ZWdpZXMgZm9yIHRoZWlyIHRpbWVseSB1dGlsaXphdGlvbiBhbmQgdmFsb3Jpc2F0aW9uLCBmb3IgYWdyaWN1bHR1cmFsIHN1c3RhaW5hYmlsaXR5IGFuZCBodW1hbi1mb29kIGFuZCBoZWFsdGggc2VjdXJpdHkuIFRoZSBBV3MgYXJlIGdlbmVyYXRlZCBmcm9tIGRpZmZlcmVudCBzb3VyY2VzIGluY2x1ZGluZyBjcm9wIHJlc2lkdWUsIGFncm8taW5kdXN0cmllcywgbGl2ZXN0b2NrLCBhbmQgYXF1YWN1bHR1cmUuIFRoZSBtYWluIGNvbXBvbmVudCBvZiB0aGUgY3JvcCByZXNpZHVlIGFuZCBhZ3JvLWluZHVzdHJpYWwgd2FzdGUgaXMgY2VsbHVsb3NlLCAodGhlIG1vc3QgYWJ1bmRhbnQgYmlvcG9seW1lciksIGZvbGxvd2VkIGJ5IGxpZ25pbiBhbmQgaGVtaWNlbGx1bG9zZSAobGlnbm9jZWxsdWxvc2ljIGJpb21hc3MpLiBUaGUgQVdzIGFuZCB0aGVpciBwcm9jZXNzaW5nIGFyZSBhIGdsb2JhbCBpc3N1ZSBzaW5jZSBpdHMgdmFzdCBtYWpvcml0eSBpcyBjdXJyZW50bHkgYnVybmVkIG9yIGJ1cmllZCBpbiBzb2lsLCBjYXVzaW5nIHBvbGx1dGlvbiBvZiBhaXIsIHdhdGVyIGFuZCBnbG9iYWwgd2FybWluZy4gVHJhZGl0aW9uYWxseSwgc29tZSBjcm9wIHJlc2lkdWVzIGhhdmUgYmVlbiB1c2VkIGluIGNvbWJ1c3Rpb24sIGFuaW1hbCBmb2RkZXIsIHJvb2YgdGhhdGNoaW5nLCBjb21wb3N0aW5nLCBzb2lsIG11bGNoaW5nLCBtYXRjaHN0aWNrcyBhbmQgcGFwZXIgcHJvZHVjdGlvbi4gQnV0LCBsaWdub2NlbGx1bG9zaWMgYmlvbWFzcyBjYW4gYWxzbyBzZXJ2ZSBhcyBhIHN1c3RhaW5hYmxlIHNvdXJjZSBvZiBiaW9mdWVsIChiaW9kaWVzZWwsIGJpb2V0aGFub2wsIGJpb2dhcywgYmlvaHlkcm9nZW4pIGFuZCBiaW9lbmVyZ3kgaW4gb3JkZXIgdG8gbWl0aWdhdGUgdGhlIGZvc3NpbCBmdWVsIHNob3J0YWdlIGFuZCBjbGltYXRlIGNoYW5nZSBpc3N1ZXMuIFRodXMsIHZhbG9yaXNhdGlvbiBvZiBsaWdub2NlbGx1bG9zaWMgcmVzaWR1ZXMgaGFzIHRoZSBwb3RlbnRpYWwgdG8gaW5mbHVlbmNlIHRoZSBiaW9lY29ub215IGJ5IHByb2R1Y2luZyB2YWx1ZS1hZGRlZCBwcm9kdWN0cyBpbmNsdWRpbmcgYmlvZmVydGlsaXplcnMsIGJpby1icmlja3MsIGJpby1jb2FsLCBiaW8tcGxhc3RpY3MsIHBhcGVyLCBiaW9mdWVscywgaW5kdXN0cmlhbCBlbnp5bWVzLCBvcmdhbmljIGFjaWRzIGV0Yy4gVGhpcyByZXZpZXcgZW5jb21wYXNzZXMgY2lyY3VsYXIgYmlvZWNvbm9teSBiYXNlZCB2YXJpb3VzIEFXIG1hbmFnZW1lbnQgc3RyYXRlZ2llcywgd2hpY2ggaW52b2x2ZSDigJhyZWR1Y3Rpb27igJksIOKAmHJldXNpbmfigJkgYW5kIOKAmHJlY3ljbGluZ+KAmSBvZiBBV3MgdG8gYm9vc3Qgc3VzdGFpbmFibGUgYWdyaWN1bHR1cmUgYW5kIG1pbmltaXNlIGVudmlyb25tZW50YWwgcG9sbHV0aW9uLiIsInB1Ymxpc2hlciI6IkFjYWRlbWljIFByZXNzIiwidm9sdW1lIjoiMjA2In0sImlzVGVtcG9yYXJ5IjpmYWxzZX0seyJpZCI6ImI4YzRhMWU0LTA0MGQtMzI3Ny1iMTcyLTRjYjhjODc5YTIzZSIsIml0ZW1EYXRhIjp7InR5cGUiOiJhcnRpY2xlLWpvdXJuYWwiLCJpZCI6ImI4YzRhMWU0LTA0MGQtMzI3Ny1iMTcyLTRjYjhjODc5YTIzZSIsInRpdGxlIjoiSW50ZWdyYWwgbXVsdGktdmFsb3JpemF0aW9uIG9mIGFncm8taW5kdXN0cmlhbCB3YXN0ZXM6IEEgcmV2aWV3IiwiYXV0aG9yIjpbeyJmYW1pbHkiOiJQcmFkby1BY2VibyIsImdpdmVuIjoiSW7DqXMiLCJwYXJzZS1uYW1lcyI6ZmFsc2UsImRyb3BwaW5nLXBhcnRpY2xlIjoiIiwibm9uLWRyb3BwaW5nLXBhcnRpY2xlIjoiIn0seyJmYW1pbHkiOiJDdWJlcm8tQ2FyZG9zbyIsImdpdmVuIjoiSnVhbiIsInBhcnNlLW5hbWVzIjpmYWxzZSwiZHJvcHBpbmctcGFydGljbGUiOiIiLCJub24tZHJvcHBpbmctcGFydGljbGUiOiIifSx7ImZhbWlseSI6Ikx1LUNoYXUiLCJnaXZlbiI6IlRoZWxtbyBBLiIsInBhcnNlLW5hbWVzIjpmYWxzZSwiZHJvcHBpbmctcGFydGljbGUiOiIiLCJub24tZHJvcHBpbmctcGFydGljbGUiOiIifSx7ImZhbWlseSI6IkVpYmVzIiwiZ2l2ZW4iOiJHZW1tYSIsInBhcnNlLW5hbWVzIjpmYWxzZSwiZHJvcHBpbmctcGFydGljbGUiOiIiLCJub24tZHJvcHBpbmctcGFydGljbGUiOiIifV0sImNvbnRhaW5lci10aXRsZSI6Ildhc3RlIE1hbmFnZW1lbnQiLCJhY2Nlc3NlZCI6eyJkYXRlLXBhcnRzIjpbWzIwMjUsNCwxOF1dfSwiRE9JIjoiMTAuMTAxNi9KLldBU01BTi4yMDI0LjA1LjAwMSIsIklTU04iOiIwOTU2LTA1M1giLCJQTUlEIjoiMzg3MTQxMjEiLCJpc3N1ZWQiOnsiZGF0ZS1wYXJ0cyI6W1syMDI0LDYsMzBdXX0sInBhZ2UiOiI0Mi01MiIsImFic3RyYWN0IjoiQWdyaWN1bHR1cmUgYW5kIGluZHVzdHJpZXMgcmVsYXRlZCB0byB0aGUgYWdyaWN1bHR1cmUgc2VjdG9yIGdlbmVyYXRlIGEgbGFyZ2UgYW1vdW50IG9mIHdhc3RlIGVhY2ggeWVhci4gVGhlc2Ugd2FzdGVzIGFyZSB1c3VhbGx5IGJ1cm5lZCBvciBkdW1wZWQsIGNhdXNpbmcgZGFtYWdlIHRvIHRoZSBlbnZpcm9ubWVudCwgdGhlIGVjb25vbXkgYW5kIHNvY2lldHkuIER1ZSB0byB0aGVpciBjb21wb3NpdGlvbiwgdGhleSBoYXZlIGdyZWF0IHBvdGVudGlhbCBmb3Igb2J0YWluaW5nIGhpZ2ggdmFsdWUtYWRkZWQgcHJvZHVjdHMgaW4gYmlvcmVmaW5lcmllcy4gVGhpcyBmYWN0LCBhZGRlZCB0byB0aGUgZ3Jvd2luZyBkZW1hbmQgZm9yIGVuZXJneSBhbmQgY2hlbWljYWxzIGZyb20gZm9zc2lsIHJlc291cmNlcywgaXMgZHJpdmluZyB0aGUgaW50ZXJlc3Qgb2YgdGhlIHNjaWVudGlmaWMgY29tbXVuaXR5IGluIHRoZW0uIEJpb3JlZmluZXJ5IHByb2Nlc3NlcyBhcmUgaGFyZGx5IHByb2ZpdGFibGUgd2hlbiBhcHBsaWVkIGluZGl2aWR1YWxseSwgc28gYSBiZXR0ZXIgYWx0ZXJuYXRpdmUgaXMgdG8gZGV2ZWxvcCBpbnRlZ3JhdGVkIG11bHRpLWZlZWRzdG9jayBhbmQgbXVsdGktcHJvZHVjdCBiaW9yZWZpbmVyeSBzY2hlbWVzIHVzaW5nIGFsbCBiaW9tYXNzIGZyYWN0aW9ucyBpbiBhIHplcm8td2FzdGUgYXBwcm9hY2guIEhvd2V2ZXIsIGZvciBpbmR1c3RyaWFsIHNjYWxlIGFwcGxpY2F0aW9uLCBleHRlbnNpdmUgcmVzZWFyY2gsIHNjYWxlLXVwIHN0dWRpZXMsIGFuZCB0ZWNobm8tZWNvbm9taWMgYW5kIGVudmlyb25tZW50YWwgZmVhc2liaWxpdHkgYW5hbHlzZXMgYXJlIG5lZWRlZC4gVGhpcyByZXZpZXcgY29tcGlsZXMgaW5mb3JtYXRpb24gb24gaW50ZWdyYXRlZCBtdWx0aS1iaW9yZWZpbmVyeSBwcm9jZXNzZXMgZnJvbSBhZ3JvLWluZHVzdHJpYWwgd2FzdGVzIHRvIHNoZWQgbGlnaHQgb24gdGhlIHBhdGggdG93YXJkcyBzdXN0YWluYWJsZSBkZXZlbG9wbWVudCBhbmQgY2lyY3VsYXIgYmlvZWNvbm9teS4iLCJwdWJsaXNoZXIiOiJQZXJnYW1vbiIsInZvbHVtZSI6IjE4MyIsImNvbnRhaW5lci10aXRsZS1zaG9ydCI6IiJ9LCJpc1RlbXBvcmFyeSI6ZmFsc2V9XX0="/>
          <w:id w:val="691422882"/>
          <w:placeholder>
            <w:docPart w:val="26F1777C22A845CEAAC63CFD70BB30FB"/>
          </w:placeholder>
        </w:sdtPr>
        <w:sdtEndPr/>
        <w:sdtContent>
          <w:r w:rsidRPr="00DB23EF">
            <w:rPr>
              <w:rFonts w:ascii="Arial" w:hAnsi="Arial" w:cs="Arial"/>
              <w:color w:val="000000"/>
              <w:sz w:val="20"/>
              <w:szCs w:val="24"/>
              <w:highlight w:val="yellow"/>
            </w:rPr>
            <w:t>(</w:t>
          </w:r>
          <w:proofErr w:type="spellStart"/>
          <w:r w:rsidRPr="00DB23EF">
            <w:rPr>
              <w:rFonts w:ascii="Arial" w:hAnsi="Arial" w:cs="Arial"/>
              <w:color w:val="000000"/>
              <w:sz w:val="20"/>
              <w:szCs w:val="24"/>
              <w:highlight w:val="yellow"/>
            </w:rPr>
            <w:t>Koul</w:t>
          </w:r>
          <w:proofErr w:type="spellEnd"/>
          <w:r w:rsidRPr="00DB23EF">
            <w:rPr>
              <w:rFonts w:ascii="Arial" w:hAnsi="Arial" w:cs="Arial"/>
              <w:color w:val="000000"/>
              <w:sz w:val="20"/>
              <w:szCs w:val="24"/>
              <w:highlight w:val="yellow"/>
            </w:rPr>
            <w:t xml:space="preserve"> et al., 2022; Prado-</w:t>
          </w:r>
          <w:proofErr w:type="spellStart"/>
          <w:r w:rsidRPr="00DB23EF">
            <w:rPr>
              <w:rFonts w:ascii="Arial" w:hAnsi="Arial" w:cs="Arial"/>
              <w:color w:val="000000"/>
              <w:sz w:val="20"/>
              <w:szCs w:val="24"/>
              <w:highlight w:val="yellow"/>
            </w:rPr>
            <w:t>Acebo</w:t>
          </w:r>
          <w:proofErr w:type="spellEnd"/>
          <w:r w:rsidRPr="00DB23EF">
            <w:rPr>
              <w:rFonts w:ascii="Arial" w:hAnsi="Arial" w:cs="Arial"/>
              <w:color w:val="000000"/>
              <w:sz w:val="20"/>
              <w:szCs w:val="24"/>
              <w:highlight w:val="yellow"/>
            </w:rPr>
            <w:t xml:space="preserve"> et al., 2024)</w:t>
          </w:r>
        </w:sdtContent>
      </w:sdt>
      <w:r w:rsidRPr="00DB23EF">
        <w:rPr>
          <w:rFonts w:ascii="Arial" w:hAnsi="Arial" w:cs="Arial"/>
          <w:sz w:val="20"/>
          <w:szCs w:val="24"/>
          <w:highlight w:val="yellow"/>
        </w:rPr>
        <w:t>. Concurrently, soil degradation due to erosion, nutrient mining, and loss of organic matter has emerged as a critical constraint to sustainable crop production in many regions, especially in resource-poor farming systems (</w:t>
      </w:r>
      <w:proofErr w:type="spellStart"/>
      <w:r w:rsidRPr="00DB23EF">
        <w:rPr>
          <w:rFonts w:ascii="Arial" w:hAnsi="Arial" w:cs="Arial"/>
          <w:color w:val="222222"/>
          <w:sz w:val="20"/>
          <w:szCs w:val="20"/>
          <w:highlight w:val="yellow"/>
          <w:shd w:val="clear" w:color="auto" w:fill="FFFFFF"/>
        </w:rPr>
        <w:t>Srinivasarao</w:t>
      </w:r>
      <w:proofErr w:type="spellEnd"/>
      <w:r w:rsidRPr="00DB23EF">
        <w:rPr>
          <w:rFonts w:ascii="Arial" w:hAnsi="Arial" w:cs="Arial"/>
          <w:color w:val="222222"/>
          <w:sz w:val="20"/>
          <w:szCs w:val="20"/>
          <w:highlight w:val="yellow"/>
          <w:shd w:val="clear" w:color="auto" w:fill="FFFFFF"/>
        </w:rPr>
        <w:t xml:space="preserve"> et al., 2021</w:t>
      </w:r>
      <w:r w:rsidRPr="00DB23EF">
        <w:rPr>
          <w:rFonts w:ascii="Arial" w:hAnsi="Arial" w:cs="Arial"/>
          <w:sz w:val="20"/>
          <w:szCs w:val="24"/>
          <w:highlight w:val="yellow"/>
        </w:rPr>
        <w:t xml:space="preserve">). Restoring and maintaining </w:t>
      </w:r>
      <w:r w:rsidRPr="00DB23EF">
        <w:rPr>
          <w:rStyle w:val="Strong"/>
          <w:rFonts w:ascii="Arial" w:hAnsi="Arial" w:cs="Arial"/>
          <w:b w:val="0"/>
          <w:bCs w:val="0"/>
          <w:sz w:val="20"/>
          <w:szCs w:val="24"/>
          <w:highlight w:val="yellow"/>
        </w:rPr>
        <w:t>soil health</w:t>
      </w:r>
      <w:r w:rsidRPr="00DB23EF">
        <w:rPr>
          <w:rFonts w:ascii="Arial" w:hAnsi="Arial" w:cs="Arial"/>
          <w:sz w:val="20"/>
          <w:szCs w:val="24"/>
          <w:highlight w:val="yellow"/>
        </w:rPr>
        <w:t xml:space="preserve"> is therefore a cornerstone of resilient, climate-smart agriculture.</w:t>
      </w:r>
    </w:p>
    <w:p w14:paraId="7A318C9F" w14:textId="77777777" w:rsidR="00DB23EF" w:rsidRPr="00C4782B" w:rsidRDefault="00DB23EF" w:rsidP="00DB23EF">
      <w:pPr>
        <w:pStyle w:val="NoSpacing"/>
        <w:ind w:left="0" w:firstLine="720"/>
        <w:rPr>
          <w:rFonts w:ascii="Arial" w:hAnsi="Arial" w:cs="Arial"/>
          <w:sz w:val="20"/>
          <w:szCs w:val="24"/>
        </w:rPr>
      </w:pPr>
      <w:r w:rsidRPr="00C4782B">
        <w:rPr>
          <w:rFonts w:ascii="Arial" w:hAnsi="Arial" w:cs="Arial"/>
          <w:sz w:val="20"/>
          <w:szCs w:val="24"/>
        </w:rPr>
        <w:t xml:space="preserve">Against this backdrop, </w:t>
      </w:r>
      <w:r w:rsidRPr="00C4782B">
        <w:rPr>
          <w:rStyle w:val="Strong"/>
          <w:rFonts w:ascii="Arial" w:hAnsi="Arial" w:cs="Arial"/>
          <w:b w:val="0"/>
          <w:bCs w:val="0"/>
          <w:sz w:val="20"/>
          <w:szCs w:val="24"/>
        </w:rPr>
        <w:t>biochar</w:t>
      </w:r>
      <w:r w:rsidRPr="00C4782B">
        <w:rPr>
          <w:rFonts w:ascii="Arial" w:hAnsi="Arial" w:cs="Arial"/>
          <w:sz w:val="20"/>
          <w:szCs w:val="24"/>
        </w:rPr>
        <w:t xml:space="preserve"> has gained significant attention as a viable solution to multiple </w:t>
      </w:r>
      <w:proofErr w:type="spellStart"/>
      <w:r w:rsidRPr="00C4782B">
        <w:rPr>
          <w:rFonts w:ascii="Arial" w:hAnsi="Arial" w:cs="Arial"/>
          <w:sz w:val="20"/>
          <w:szCs w:val="24"/>
        </w:rPr>
        <w:t>agro</w:t>
      </w:r>
      <w:proofErr w:type="spellEnd"/>
      <w:r w:rsidRPr="00C4782B">
        <w:rPr>
          <w:rFonts w:ascii="Arial" w:hAnsi="Arial" w:cs="Arial"/>
          <w:sz w:val="20"/>
          <w:szCs w:val="24"/>
        </w:rPr>
        <w:t>-environmental problems. Biochar is a carbon-rich, porous material produced by pyrolysis of organic biomass under low-oxygen conditions</w:t>
      </w:r>
      <w:r>
        <w:rPr>
          <w:rFonts w:ascii="Arial" w:hAnsi="Arial" w:cs="Arial"/>
          <w:sz w:val="20"/>
          <w:szCs w:val="24"/>
        </w:rPr>
        <w:t xml:space="preserve"> (</w:t>
      </w:r>
      <w:r w:rsidRPr="00DB23EF">
        <w:rPr>
          <w:rFonts w:ascii="Arial" w:hAnsi="Arial" w:cs="Arial"/>
          <w:sz w:val="20"/>
          <w:szCs w:val="24"/>
          <w:highlight w:val="yellow"/>
        </w:rPr>
        <w:t xml:space="preserve">Lu et al., 2025). Its potential to enhance </w:t>
      </w:r>
      <w:r w:rsidRPr="00DB23EF">
        <w:rPr>
          <w:rStyle w:val="Strong"/>
          <w:rFonts w:ascii="Arial" w:hAnsi="Arial" w:cs="Arial"/>
          <w:b w:val="0"/>
          <w:bCs w:val="0"/>
          <w:sz w:val="20"/>
          <w:szCs w:val="24"/>
          <w:highlight w:val="yellow"/>
        </w:rPr>
        <w:t>soil physicochemical properties</w:t>
      </w:r>
      <w:r w:rsidRPr="00DB23EF">
        <w:rPr>
          <w:rFonts w:ascii="Arial" w:hAnsi="Arial" w:cs="Arial"/>
          <w:sz w:val="20"/>
          <w:szCs w:val="24"/>
          <w:highlight w:val="yellow"/>
        </w:rPr>
        <w:t xml:space="preserve">, retain nutrients, suppress greenhouse gas emissions, and sequester carbon makes it a promising tool for improving agricultural sustainability </w:t>
      </w:r>
      <w:sdt>
        <w:sdtPr>
          <w:rPr>
            <w:rFonts w:ascii="Arial" w:hAnsi="Arial" w:cs="Arial"/>
            <w:color w:val="000000"/>
            <w:sz w:val="20"/>
            <w:szCs w:val="24"/>
            <w:highlight w:val="yellow"/>
          </w:rPr>
          <w:tag w:val="MENDELEY_CITATION_v3_eyJjaXRhdGlvbklEIjoiTUVOREVMRVlfQ0lUQVRJT05fNzY2MjM0ZGEtYzNmZS00ODk3LTk3MjAtZDg2ZWE1Nzk1YzE0IiwicHJvcGVydGllcyI6eyJub3RlSW5kZXgiOjB9LCJpc0VkaXRlZCI6ZmFsc2UsIm1hbnVhbE92ZXJyaWRlIjp7ImlzTWFudWFsbHlPdmVycmlkZGVuIjpmYWxzZSwiY2l0ZXByb2NUZXh0IjoiKFNlbWlkYSBldCBhbC4sIDIwMTk7IFNob3VkaG8gZXQgYWwuLCAyMDI0KSIsIm1hbnVhbE92ZXJyaWRlVGV4dCI6IiJ9LCJjaXRhdGlvbkl0ZW1zIjpbeyJpZCI6ImIyYTllZWQyLTQ2ZjctM2JlYS1iYjY2LWQ2YWQ1OTIyYzc1OSIsIml0ZW1EYXRhIjp7InR5cGUiOiJhcnRpY2xlLWpvdXJuYWwiLCJpZCI6ImIyYTllZWQyLTQ2ZjctM2JlYS1iYjY2LWQ2YWQ1OTIyYzc1OSIsInRpdGxlIjoiQmlvY2hhciBpbXBsaWNhdGlvbnMgZm9yIHN1c3RhaW5hYmxlIGFncmljdWx0dXJlIGFuZCBlbnZpcm9ubWVudDogQSByZXZpZXciLCJhdXRob3IiOlt7ImZhbWlseSI6IlNlbWlkYSIsImdpdmVuIjoiV2FlbCBNLiIsInBhcnNlLW5hbWVzIjpmYWxzZSwiZHJvcHBpbmctcGFydGljbGUiOiIiLCJub24tZHJvcHBpbmctcGFydGljbGUiOiIifSx7ImZhbWlseSI6IkJlaGVpcnkiLCJnaXZlbiI6IkhhbWFkYSBSLiIsInBhcnNlLW5hbWVzIjpmYWxzZSwiZHJvcHBpbmctcGFydGljbGUiOiIiLCJub24tZHJvcHBpbmctcGFydGljbGUiOiIifSx7ImZhbWlseSI6IlPDqXRhbW91IiwiZ2l2ZW4iOiJNYW1vdWRvdSIsInBhcnNlLW5hbWVzIjpmYWxzZSwiZHJvcHBpbmctcGFydGljbGUiOiIiLCJub24tZHJvcHBpbmctcGFydGljbGUiOiIifSx7ImZhbWlseSI6IlNpbXBzb24iLCJnaXZlbiI6IkNhdGhlcmluZSBSLiIsInBhcnNlLW5hbWVzIjpmYWxzZSwiZHJvcHBpbmctcGFydGljbGUiOiIiLCJub24tZHJvcHBpbmctcGFydGljbGUiOiIifSx7ImZhbWlseSI6IkFiZCBFbC1NYWdlZWQiLCJnaXZlbiI6IlRhaWEgQS4iLCJwYXJzZS1uYW1lcyI6ZmFsc2UsImRyb3BwaW5nLXBhcnRpY2xlIjoiIiwibm9uLWRyb3BwaW5nLXBhcnRpY2xlIjoiIn0seyJmYW1pbHkiOiJSYWR5IiwiZ2l2ZW4iOiJNb3N0YWZhIE0uIiwicGFyc2UtbmFtZXMiOmZhbHNlLCJkcm9wcGluZy1wYXJ0aWNsZSI6IiIsIm5vbi1kcm9wcGluZy1wYXJ0aWNsZSI6IiJ9LHsiZmFtaWx5IjoiTmVsc29uIiwiZ2l2ZW4iOiJTaGFkIEQuIiwicGFyc2UtbmFtZXMiOmZhbHNlLCJkcm9wcGluZy1wYXJ0aWNsZSI6IiIsIm5vbi1kcm9wcGluZy1wYXJ0aWNsZSI6IiJ9XSwiY29udGFpbmVyLXRpdGxlIjoiU291dGggQWZyaWNhbiBKb3VybmFsIG9mIEJvdGFueSIsImFjY2Vzc2VkIjp7ImRhdGUtcGFydHMiOltbMjAyNSw0LDE4XV19LCJET0kiOiIxMC4xMDE2L0ouU0FKQi4yMDE5LjExLjAxNSIsIklTU04iOiIwMjU0LTYyOTkiLCJpc3N1ZWQiOnsiZGF0ZS1wYXJ0cyI6W1syMDE5LDEyLDFdXX0sInBhZ2UiOiIzMzMtMzQ3IiwiYWJzdHJhY3QiOiJTdXN0YWluYWJsZSBhZ3JpY3VsdHVyZSwgY2hhcmFjdGVyaXplZCBieSBmYXJtaW5nIHByb2ZpdGFibHkgd2hpbGUgbWluaW1pemluZyBkYW1hZ2UgdG8gdGhlIGVudmlyb25tZW50LCBpcyBub3QgZWFzeSB0byBwcmFjdGljZS4g4oCcQ29udmVudGlvbmFsIGFncmljdWx0dXJl4oCdIHdvcmxkd2lkZSBpcyBjb21tb25seSBjb25zaWRlcmVkIHRvIGludm9sdmUgbnVtZXJvdXMgcHJhY3RpY2VzIHRoYXQgaGF2ZSBwb3RlbnRpYWwgdG8gZGFtYWdlIHRoZSBlbnZpcm9ubWVudC4g4oCcU3VzdGFpbmFibGUgYWdyaWN1bHR1cmXigJ0gYXR0ZW1wdHMgdG8gZmluZCBhIHJhbmdlIG9mIGNvbnNlcnZhdGlvbiBhZ3JpY3VsdHVyYWwgcHJhY3RpY2VzIHdoaWNoIG1heSBtaXRpZ2F0ZSBzb21lIG9mIHRoZSBhZHZlcnNlIGltcGFjdHMgb2YgbGFuZCB1c2UgaW50ZW5zaWZpY2F0aW9uLiBBbW9uZyB0aGUgd2lkZSByYW5nZSBvZiB0aGUgY29uc2VydmF0aW9uIGFncmljdWx0dXJhbCBwcmFjdGljZXMsIGJpb2NoYXIgbWF5IHByb3ZlIGEga2V5IGFuZCBhY2Nlc3NpYmxlIGlucHV0IGZvciBzdXN0YWluYWJsZSBhZ3JpY3VsdHVyZSwgYXMgaXQgY291bGQgZWZmaWNpZW50bHkgc2VxdWVzdGVyIGxhcmdlIGFtb3VudCBvZiBjYXJib24gaW4gc29pbCBvdmVyIHRoZSBsb25nLXJ1biwgdGh1cyBpbXByb3Zpbmcgc29pbCBmZXJ0aWxpdHksIGNyb3AgcHJvZHVjdGl2aXR5LCBhbmQgbWl0aWdhdGUgZ2xvYmFsIHdhcm1pbmcuIEluIGFkZGl0aW9uLCBiaW9jaGFyIG1heSBlbmhhbmNlIGNyb3AgcHJvZHVjdGl2ZSBjYXBhY2l0eSBvZiBzb2lscyB1bmRlciBkaWZmZXJlbnQgYmlvdGljIGFuZCBhYmlvdGljIHN0cmVzc2VzLCBhbmQgYWR2YW5jZSBnbG9iYWwgZm9vZCBzZWN1cml0eS4gVGhlIG1haW4gZm9jdXMgb2YgdGhpcyByZXBvcnQgaXMgcHJvdmlkaW5nIGEgY3JpdGljYWwgc2NpZW50aWZpYyByZXZpZXcgb2YgdGhlIGN1cnJlbnQgc3RhdGUgb2Yga25vd2xlZGdlIHJlZ2FyZGluZyB0aGUgZWZmZWN0cyBvZiBiaW9jaGFyIGFwcGxpY2F0aW9uIHRvIHNvaWxzIG9uIHNvaWwgcHJvcGVydGllcywgcHJvY2Vzc2VzIGFuZCBmdW5jdGlvbnMuIFdpZGVyIGlzc3VlcywgaW5jbHVkaW5nIGF0bW9zcGhlcmljIGVtaXNzaW9ucyBhbmQgb2NjdXBhdGlvbmFsIGhlYWx0aCBhbmQgc2FmZXR5IGFzc29jaWF0ZWQgdG8gYmlvY2hhciBwcm9kdWN0aW9uIGFuZCBoYW5kbGluZywgYXJlIHB1dCBpbnRvIGNvbnRleHQuIFRoZSBhaW0gb2YgdGhpcyByZXZpZXcgaXMgdG8gcHJvdmlkZSBhIHNvdW5kIHNjaWVudGlmaWMgYmFzaXMgZm9yIHBvbGljeSBkZXZlbG9wbWVudCwgdG8gaWRlbnRpZnkgZ2FwcyBpbiBjdXJyZW50IGtub3dsZWRnZSwgYW5kIHRvIHJlY29tbWVuZCBmdXJ0aGVyIHJlc2VhcmNoIHJlbGF0aW5nIHRvIGJpb2NoYXIgYXBwbGljYXRpb24gdG8gc29pbHMuIiwicHVibGlzaGVyIjoiRWxzZXZpZXIiLCJ2b2x1bWUiOiIxMjciLCJjb250YWluZXItdGl0bGUtc2hvcnQiOiIifSwiaXNUZW1wb3JhcnkiOmZhbHNlfSx7ImlkIjoiMGNkM2M4NWEtMDVkYy0zZmVkLTkyNjgtYzk1MzU1OTk3YWM2IiwiaXRlbURhdGEiOnsidHlwZSI6ImFydGljbGUtam91cm5hbCIsImlkIjoiMGNkM2M4NWEtMDVkYy0zZmVkLTkyNjgtYzk1MzU1OTk3YWM2IiwidGl0bGUiOiJCaW9jaGFyIGluIGdsb2JhbCBjYXJib24gY3ljbGU6IFRvd2FyZHMgc3VzdGFpbmFibGUgZGV2ZWxvcG1lbnQgZ29hbHMiLCJhdXRob3IiOlt7ImZhbWlseSI6IlNob3VkaG8iLCJnaXZlbiI6Iktpc2hhbiBOYW5kaSIsInBhcnNlLW5hbWVzIjpmYWxzZSwiZHJvcHBpbmctcGFydGljbGUiOiIiLCJub24tZHJvcHBpbmctcGFydGljbGUiOiIifSx7ImZhbWlseSI6IktoYW4iLCJnaXZlbiI6IlRhdXNpZiBIYXNhbiIsInBhcnNlLW5hbWVzIjpmYWxzZSwiZHJvcHBpbmctcGFydGljbGUiOiIiLCJub24tZHJvcHBpbmctcGFydGljbGUiOiIifSx7ImZhbWlseSI6IkFyYSIsImdpdmVuIjoiVW1tYXkgUmlmYXQiLCJwYXJzZS1uYW1lcyI6ZmFsc2UsImRyb3BwaW5nLXBhcnRpY2xlIjoiIiwibm9uLWRyb3BwaW5nLXBhcnRpY2xlIjoiIn0seyJmYW1pbHkiOiJLaGFuIiwiZ2l2ZW4iOiJNb3NoaXVyIFJhaG1hbiIsInBhcnNlLW5hbWVzIjpmYWxzZSwiZHJvcHBpbmctcGFydGljbGUiOiIiLCJub24tZHJvcHBpbmctcGFydGljbGUiOiIifSx7ImZhbWlseSI6IlNoYXdvbiIsImdpdmVuIjoiWmF5ZWQgQmluIFpha2lyIiwicGFyc2UtbmFtZXMiOmZhbHNlLCJkcm9wcGluZy1wYXJ0aWNsZSI6IiIsIm5vbi1kcm9wcGluZy1wYXJ0aWNsZSI6IiJ9LHsiZmFtaWx5IjoiSG9xdWUiLCJnaXZlbiI6Ik1kIEVuYW11bCIsInBhcnNlLW5hbWVzIjpmYWxzZSwiZHJvcHBpbmctcGFydGljbGUiOiIiLCJub24tZHJvcHBpbmctcGFydGljbGUiOiIifV0sImNvbnRhaW5lci10aXRsZSI6IkN1cnJlbnQgUmVzZWFyY2ggaW4gR3JlZW4gYW5kIFN1c3RhaW5hYmxlIENoZW1pc3RyeSIsImFjY2Vzc2VkIjp7ImRhdGUtcGFydHMiOltbMjAyNSw0LDE4XV19LCJET0kiOiIxMC4xMDE2L0ouQ1JHU0MuMjAyNC4xMDA0MDkiLCJJU1NOIjoiMjY2Ni0wODY1IiwiaXNzdWVkIjp7ImRhdGUtcGFydHMiOltbMjAyNCwxLDFdXX0sInBhZ2UiOiIxMDA0MDkiLCJhYnN0cmFjdCI6IlRoZSB3b3JsZCBpcyBjdXJyZW50bHkgZmFjaW5nIHNpZ25pZmljYW50IGNoYWxsZW5nZXMgaW4gcmVkdWNpbmcgdGhlIGNvbmNlbnRyYXRpb24gb2YgYXRtb3NwaGVyaWMgY2FyYm9uIGRpb3hpZGUgKENPMikgdGhyb3VnaCBzY2llbnRpZmljIG1ldGhvZHMsIHByaW1hcmlseSBieSBzZXF1ZXN0ZXJpbmcgdGhlIENPMiBpbiB0aGUgc29pbC4gQmlvY2hhciBpcyBhIGtpbmQgb2YgY2hhcmNvYWwgdGhhdCBpcyBwcmltYXJpbHkgY29tcG9zZWQgb2YgY2FyYm9uLCBoeWRyb2dlbiwgYW5kIG94eWdlbi4gRHVlIHRvIGl0cyBhcm9tYXRpYyBjb250ZW50LCBiaW9jaGFyIGNhbiBwZXJzaXN0IGluIHRoZSBlbnZpcm9ubWVudCBmb3IgYW4gZXh0ZW5kZWQgcGVyaW9kIGFuZCBhYnNvcmIgZ3JlZW5ob3VzZSBnYXNlcyAoR0hHKS4gRWFjaCB5ZWFyLCBiaW9jaGFyIGVmZmVjdGl2ZWx5IGNhcHR1cmVzIGFuIGVzdGltYXRlZCBhbW91bnQgb2YgQ08yIHJhbmdpbmcgZnJvbSAxIHRvIDM1IGdpZ2F0b25zIChHdENPMikgYW5kIDc4IHRvIDQ3NyBHdENPMiBvdmVyIHRoaXMgY2VudHVyeS4gQmlvY2hhciBoZWxwcyBtaXRpZ2F0ZSBjbGltYXRlIGNoYW5nZSBieSBzZXF1ZXN0ZXJpbmcgY2FyYm9uIGluIHRoZSBzb2lsIGZvciBleHRlbmRlZCBwZXJpb2RzIGFuZCBjb25zZXF1ZW50bHkgcmVkdWNpbmcgR0hHIGVtaXNzaW9ucy4gVGhpcyBlbmhhbmNlcyBzb2lsIGZlcnRpbGl0eSwgd2F0ZXIgcmV0ZW50aW9uIGNhcGFjaXR5LCBhbmQgbnV0cmllbnQgY2lyY3VsYXRpb24sIHdoaWNoIHByb21vdGUgaGlnaGVyIGNyb3AgeWllbGRzLiBCaW9jaGFyJ3MgYnktcHJvZHVjdHMgb2YgYmlvY2hhciBjYW4gYmUgaGFydmVzdGVkIGFuZCB1c2VkIGFzIGEgcmVuZXdhYmxlIGVuZXJneSBzb3VyY2UuIEJlc2lkZXMsIGJpb2NoYXIgaW50ZWdyYXRpb24gY2FuIGJlIGVmZmVjdGl2ZSBpbiB3YXN0ZSBtYW5hZ2VtZW50IHN0cmF0ZWdpZXMgdGhhdCBtaXRpZ2F0ZSB0aGUgY2hhbGxlbmdlcyBvZiBvcmdhbmljIHdhc3RlIGRpc3Bvc2FsLiBCaW9jaGFyIGlzIGFsc28gYW4gZWZmaWNpZW50IHdhdGVyIHB1cmlmaWNhdGlvbiBlbGVtZW50IHRoYXQgZmF2b3JzIGNsaW1hdGUgYWN0aW9uLiBUaHJvdWdoIHRoZSBhcHBsaWNhdGlvbiBvZiBiaW9jaGFyIGFsdGVyYXRpb24gY2FuIGJlIGVtcGxveWVkIHRvIGVzdGFibGlzaCBjYXJib24gY3JlZGl0cywgYW5kIGl0cyBtZXRob2RzIGNhbiBlZmZlY3RpdmVseSByZWR1Y2UgY2FyYm9uIGVtaXNzaW9ucyB0byBhbiBhY2NlcHRhYmxlIGxldmVsLiBCaW9jaGFyJ3MgdW5pcXVlIHByb3BlcnRpZXMsIHdpZGUtc3ByZWFkIGFwcGxpY2FiaWxpdHksIGNvc3QtZWZmZWN0aXZlbmVzcywgYW5kIHRydXN0d29ydGh5IGRldmVsb3BtZW50IHByb3NwZWN0cyBkZW1vbnN0cmF0ZSBncmVhdCBwb3RlbnRpYWwgdG93YXJkcyB0aGUgU3VzdGFpbmFibGUgRGV2ZWxvcG1lbnQgR29hbHMgKFNERykuIFRoaXMgcmV2aWV3IGRpc2N1c3NlcyB0aGUgcHJvcGVydGllcywgZGl2ZXJzZSBhcHBsaWNhdGlvbnMsIGFuZCBzb2NpYWwgYW5kIHRlY2huaWNhbCBpbXBhY3RzIG9mIGJpb2NoYXIgaW4gdGhlIGdsb2JhbCBjYXJib24gY3ljbGUgdG93YXJkcyBzdXN0YWluYWJsZSBkZXZlbG9wbWVudCBnb2Fscy4iLCJwdWJsaXNoZXIiOiJFbHNldmllciIsInZvbHVtZSI6IjgiLCJjb250YWluZXItdGl0bGUtc2hvcnQiOiIifSwiaXNUZW1wb3JhcnkiOmZhbHNlfV19"/>
          <w:id w:val="964856762"/>
          <w:placeholder>
            <w:docPart w:val="26F1777C22A845CEAAC63CFD70BB30FB"/>
          </w:placeholder>
        </w:sdtPr>
        <w:sdtEndPr/>
        <w:sdtContent>
          <w:r w:rsidRPr="00DB23EF">
            <w:rPr>
              <w:rFonts w:ascii="Arial" w:hAnsi="Arial" w:cs="Arial"/>
              <w:color w:val="000000"/>
              <w:sz w:val="20"/>
              <w:szCs w:val="24"/>
              <w:highlight w:val="yellow"/>
            </w:rPr>
            <w:t>(</w:t>
          </w:r>
          <w:proofErr w:type="spellStart"/>
          <w:r w:rsidRPr="00DB23EF">
            <w:rPr>
              <w:rFonts w:ascii="Arial" w:hAnsi="Arial" w:cs="Arial"/>
              <w:color w:val="000000"/>
              <w:sz w:val="20"/>
              <w:szCs w:val="24"/>
              <w:highlight w:val="yellow"/>
            </w:rPr>
            <w:t>Semida</w:t>
          </w:r>
          <w:proofErr w:type="spellEnd"/>
          <w:r w:rsidRPr="00DB23EF">
            <w:rPr>
              <w:rFonts w:ascii="Arial" w:hAnsi="Arial" w:cs="Arial"/>
              <w:color w:val="000000"/>
              <w:sz w:val="20"/>
              <w:szCs w:val="24"/>
              <w:highlight w:val="yellow"/>
            </w:rPr>
            <w:t xml:space="preserve"> et al., 2019; </w:t>
          </w:r>
          <w:proofErr w:type="spellStart"/>
          <w:r w:rsidRPr="00DB23EF">
            <w:rPr>
              <w:rFonts w:ascii="Arial" w:hAnsi="Arial" w:cs="Arial"/>
              <w:color w:val="000000"/>
              <w:sz w:val="20"/>
              <w:szCs w:val="24"/>
              <w:highlight w:val="yellow"/>
            </w:rPr>
            <w:t>Shoudho</w:t>
          </w:r>
          <w:proofErr w:type="spellEnd"/>
          <w:r w:rsidRPr="00DB23EF">
            <w:rPr>
              <w:rFonts w:ascii="Arial" w:hAnsi="Arial" w:cs="Arial"/>
              <w:color w:val="000000"/>
              <w:sz w:val="20"/>
              <w:szCs w:val="24"/>
              <w:highlight w:val="yellow"/>
            </w:rPr>
            <w:t xml:space="preserve"> et al., 2024)</w:t>
          </w:r>
        </w:sdtContent>
      </w:sdt>
      <w:r w:rsidRPr="00C4782B">
        <w:rPr>
          <w:rFonts w:ascii="Arial" w:hAnsi="Arial" w:cs="Arial"/>
          <w:sz w:val="20"/>
          <w:szCs w:val="24"/>
        </w:rPr>
        <w:t xml:space="preserve">. Among various biomass sources, </w:t>
      </w:r>
      <w:r w:rsidRPr="00C4782B">
        <w:rPr>
          <w:rStyle w:val="Strong"/>
          <w:rFonts w:ascii="Arial" w:hAnsi="Arial" w:cs="Arial"/>
          <w:b w:val="0"/>
          <w:bCs w:val="0"/>
          <w:sz w:val="20"/>
          <w:szCs w:val="24"/>
        </w:rPr>
        <w:t>sugarcane bagasse</w:t>
      </w:r>
      <w:r w:rsidRPr="00C4782B">
        <w:rPr>
          <w:rFonts w:ascii="Arial" w:hAnsi="Arial" w:cs="Arial"/>
          <w:sz w:val="20"/>
          <w:szCs w:val="24"/>
        </w:rPr>
        <w:t xml:space="preserve"> the fibrous residue left after juice extraction from sugarcane stands out due to its high lignocellulosic content, availability in large volumes, and favourable carbon composition</w:t>
      </w:r>
      <w:r>
        <w:rPr>
          <w:rFonts w:ascii="Arial" w:hAnsi="Arial" w:cs="Arial"/>
          <w:sz w:val="20"/>
          <w:szCs w:val="24"/>
        </w:rPr>
        <w:t xml:space="preserve"> (</w:t>
      </w:r>
      <w:r>
        <w:rPr>
          <w:rFonts w:ascii="Arial" w:hAnsi="Arial" w:cs="Arial"/>
          <w:color w:val="222222"/>
          <w:sz w:val="20"/>
          <w:szCs w:val="20"/>
          <w:shd w:val="clear" w:color="auto" w:fill="FFFFFF"/>
        </w:rPr>
        <w:t>Mubarak et al., 2024</w:t>
      </w:r>
      <w:r>
        <w:rPr>
          <w:rFonts w:ascii="Arial" w:hAnsi="Arial" w:cs="Arial"/>
          <w:sz w:val="20"/>
          <w:szCs w:val="24"/>
        </w:rPr>
        <w:t>)</w:t>
      </w:r>
      <w:r w:rsidRPr="00C4782B">
        <w:rPr>
          <w:rFonts w:ascii="Arial" w:hAnsi="Arial" w:cs="Arial"/>
          <w:sz w:val="20"/>
          <w:szCs w:val="24"/>
        </w:rPr>
        <w:t>. Converting sugarcane bagasse into biochar represents a circular economy strategy by transforming waste into a valuable soil amendment.</w:t>
      </w:r>
      <w:r>
        <w:rPr>
          <w:rFonts w:ascii="Arial" w:hAnsi="Arial" w:cs="Arial"/>
          <w:sz w:val="20"/>
          <w:szCs w:val="24"/>
        </w:rPr>
        <w:t xml:space="preserve"> </w:t>
      </w:r>
      <w:r w:rsidRPr="00C4782B">
        <w:rPr>
          <w:rFonts w:ascii="Arial" w:hAnsi="Arial" w:cs="Arial"/>
          <w:sz w:val="20"/>
          <w:szCs w:val="24"/>
        </w:rPr>
        <w:t xml:space="preserve">This review aims to provide a comprehensive synthesis of recent research on the </w:t>
      </w:r>
      <w:r w:rsidRPr="00C4782B">
        <w:rPr>
          <w:rStyle w:val="Strong"/>
          <w:rFonts w:ascii="Arial" w:hAnsi="Arial" w:cs="Arial"/>
          <w:b w:val="0"/>
          <w:bCs w:val="0"/>
          <w:sz w:val="20"/>
          <w:szCs w:val="24"/>
        </w:rPr>
        <w:t xml:space="preserve">effects of sugarcane </w:t>
      </w:r>
      <w:r w:rsidRPr="00C4782B">
        <w:rPr>
          <w:rStyle w:val="Strong"/>
          <w:rFonts w:ascii="Arial" w:hAnsi="Arial" w:cs="Arial"/>
          <w:b w:val="0"/>
          <w:bCs w:val="0"/>
          <w:sz w:val="20"/>
          <w:szCs w:val="24"/>
        </w:rPr>
        <w:lastRenderedPageBreak/>
        <w:t>bagasse-derived biochar</w:t>
      </w:r>
      <w:r w:rsidRPr="00C4782B">
        <w:rPr>
          <w:rFonts w:ascii="Arial" w:hAnsi="Arial" w:cs="Arial"/>
          <w:sz w:val="20"/>
          <w:szCs w:val="24"/>
        </w:rPr>
        <w:t xml:space="preserve"> on soil health and the growth and productivity of </w:t>
      </w:r>
      <w:r w:rsidRPr="00C4782B">
        <w:rPr>
          <w:rStyle w:val="Strong"/>
          <w:rFonts w:ascii="Arial" w:hAnsi="Arial" w:cs="Arial"/>
          <w:b w:val="0"/>
          <w:bCs w:val="0"/>
          <w:sz w:val="20"/>
          <w:szCs w:val="24"/>
        </w:rPr>
        <w:t>mung bean (</w:t>
      </w:r>
      <w:r w:rsidRPr="00C4782B">
        <w:rPr>
          <w:rStyle w:val="Strong"/>
          <w:rFonts w:ascii="Arial" w:hAnsi="Arial" w:cs="Arial"/>
          <w:b w:val="0"/>
          <w:bCs w:val="0"/>
          <w:i/>
          <w:sz w:val="20"/>
          <w:szCs w:val="24"/>
        </w:rPr>
        <w:t>Vigna radiata</w:t>
      </w:r>
      <w:r w:rsidRPr="00C4782B">
        <w:rPr>
          <w:rStyle w:val="Strong"/>
          <w:rFonts w:ascii="Arial" w:hAnsi="Arial" w:cs="Arial"/>
          <w:b w:val="0"/>
          <w:bCs w:val="0"/>
          <w:sz w:val="20"/>
          <w:szCs w:val="24"/>
        </w:rPr>
        <w:t xml:space="preserve"> L.)</w:t>
      </w:r>
      <w:r w:rsidRPr="00C4782B">
        <w:rPr>
          <w:rFonts w:ascii="Arial" w:hAnsi="Arial" w:cs="Arial"/>
          <w:sz w:val="20"/>
          <w:szCs w:val="24"/>
        </w:rPr>
        <w:t>, an important pulse crop known for its short duration, nitrogen-fixing ability, and high nutritional value. Specific focus is placed on how biochar improves nutrient availability, prevents leaching losses, enhances soil microbial activity, and influences mung bean yield attributes under varying application rates. The review also discusses biochar’s role in environmental remediation and its potential integration into sustainable farming practices. By highlighting current findings, challenges, and knowledge gaps, this review serves as a scientific foundation for future biochar-based soil management strategies in legume-based cropping systems.</w:t>
      </w:r>
    </w:p>
    <w:bookmarkEnd w:id="7"/>
    <w:p w14:paraId="59ECAC25" w14:textId="77777777" w:rsidR="00DB23EF" w:rsidRPr="00C86529" w:rsidRDefault="00DB23EF" w:rsidP="00DB23EF">
      <w:pPr>
        <w:spacing w:line="240" w:lineRule="auto"/>
        <w:ind w:left="0"/>
        <w:jc w:val="left"/>
        <w:rPr>
          <w:rFonts w:ascii="Times New Roman" w:eastAsia="Times New Roman" w:hAnsi="Times New Roman" w:cs="Times New Roman"/>
          <w:sz w:val="24"/>
          <w:szCs w:val="24"/>
          <w:lang w:eastAsia="en-IN"/>
        </w:rPr>
      </w:pPr>
    </w:p>
    <w:p w14:paraId="6794DA89" w14:textId="77777777" w:rsidR="00DB23EF" w:rsidRPr="00C86529" w:rsidRDefault="00DB23EF" w:rsidP="00DB23EF">
      <w:pPr>
        <w:spacing w:before="100" w:beforeAutospacing="1" w:after="100" w:afterAutospacing="1" w:line="240" w:lineRule="auto"/>
        <w:ind w:left="0" w:firstLine="720"/>
        <w:jc w:val="left"/>
        <w:outlineLvl w:val="3"/>
        <w:rPr>
          <w:rFonts w:ascii="Arial" w:eastAsia="Times New Roman" w:hAnsi="Arial" w:cs="Arial"/>
          <w:b/>
          <w:bCs/>
          <w:sz w:val="24"/>
          <w:szCs w:val="24"/>
          <w:lang w:eastAsia="en-IN"/>
        </w:rPr>
      </w:pPr>
      <w:r w:rsidRPr="00AC672D">
        <w:rPr>
          <w:rFonts w:ascii="Arial" w:eastAsia="Times New Roman" w:hAnsi="Arial" w:cs="Arial"/>
          <w:b/>
          <w:bCs/>
          <w:sz w:val="24"/>
          <w:szCs w:val="24"/>
          <w:lang w:eastAsia="en-IN"/>
        </w:rPr>
        <w:t>2. SUGARCANE BAGASSE: A RENEWABLE FEEDSTOCK</w:t>
      </w:r>
    </w:p>
    <w:p w14:paraId="5490A477" w14:textId="77777777" w:rsidR="00DB23EF" w:rsidRPr="00AC672D" w:rsidRDefault="00DB23EF" w:rsidP="00DB23EF">
      <w:pPr>
        <w:pStyle w:val="NoSpacing"/>
        <w:ind w:left="0"/>
        <w:rPr>
          <w:rFonts w:ascii="Arial" w:hAnsi="Arial" w:cs="Arial"/>
          <w:sz w:val="20"/>
        </w:rPr>
      </w:pPr>
      <w:bookmarkStart w:id="8" w:name="_Hlk195812843"/>
      <w:r w:rsidRPr="00AC672D">
        <w:rPr>
          <w:rFonts w:ascii="Arial" w:hAnsi="Arial" w:cs="Arial"/>
          <w:sz w:val="20"/>
        </w:rPr>
        <w:t>Sugarcane (</w:t>
      </w:r>
      <w:r w:rsidRPr="00AC672D">
        <w:rPr>
          <w:rStyle w:val="Emphasis"/>
          <w:rFonts w:ascii="Arial" w:hAnsi="Arial" w:cs="Arial"/>
          <w:sz w:val="20"/>
        </w:rPr>
        <w:t xml:space="preserve">Saccharum </w:t>
      </w:r>
      <w:proofErr w:type="spellStart"/>
      <w:r w:rsidRPr="00AC672D">
        <w:rPr>
          <w:rStyle w:val="Emphasis"/>
          <w:rFonts w:ascii="Arial" w:hAnsi="Arial" w:cs="Arial"/>
          <w:sz w:val="20"/>
        </w:rPr>
        <w:t>officinarum</w:t>
      </w:r>
      <w:proofErr w:type="spellEnd"/>
      <w:r w:rsidRPr="00AC672D">
        <w:rPr>
          <w:rFonts w:ascii="Arial" w:hAnsi="Arial" w:cs="Arial"/>
          <w:sz w:val="20"/>
        </w:rPr>
        <w:t xml:space="preserve"> L.) is one of the most widely cultivated industrial crops globally, primarily for sugar and bioethanol production. According to the USDA and FAO estimates, the global production of sugarcane has consistently exceeded </w:t>
      </w:r>
      <w:r w:rsidRPr="00AC672D">
        <w:rPr>
          <w:rStyle w:val="Strong"/>
          <w:rFonts w:ascii="Arial" w:hAnsi="Arial" w:cs="Arial"/>
          <w:b w:val="0"/>
          <w:bCs w:val="0"/>
          <w:sz w:val="20"/>
        </w:rPr>
        <w:t>1.9 billion metric tons annually</w:t>
      </w:r>
      <w:r w:rsidRPr="00AC672D">
        <w:rPr>
          <w:rFonts w:ascii="Arial" w:hAnsi="Arial" w:cs="Arial"/>
          <w:sz w:val="20"/>
        </w:rPr>
        <w:t xml:space="preserve">, with </w:t>
      </w:r>
      <w:r w:rsidRPr="00AC672D">
        <w:rPr>
          <w:rStyle w:val="Strong"/>
          <w:rFonts w:ascii="Arial" w:hAnsi="Arial" w:cs="Arial"/>
          <w:b w:val="0"/>
          <w:bCs w:val="0"/>
          <w:sz w:val="20"/>
        </w:rPr>
        <w:t>Brazil, India, China, Thailand</w:t>
      </w:r>
      <w:r w:rsidRPr="00AC672D">
        <w:rPr>
          <w:rFonts w:ascii="Arial" w:hAnsi="Arial" w:cs="Arial"/>
          <w:sz w:val="20"/>
        </w:rPr>
        <w:t xml:space="preserve">, and </w:t>
      </w:r>
      <w:r w:rsidRPr="00AC672D">
        <w:rPr>
          <w:rStyle w:val="Strong"/>
          <w:rFonts w:ascii="Arial" w:hAnsi="Arial" w:cs="Arial"/>
          <w:b w:val="0"/>
          <w:bCs w:val="0"/>
          <w:sz w:val="20"/>
        </w:rPr>
        <w:t>Pakistan</w:t>
      </w:r>
      <w:r w:rsidRPr="00AC672D">
        <w:rPr>
          <w:rFonts w:ascii="Arial" w:hAnsi="Arial" w:cs="Arial"/>
          <w:sz w:val="20"/>
        </w:rPr>
        <w:t xml:space="preserve"> accounting for more than 70% of the total output</w:t>
      </w:r>
      <w:r>
        <w:rPr>
          <w:rFonts w:ascii="Arial" w:hAnsi="Arial" w:cs="Arial"/>
          <w:sz w:val="20"/>
        </w:rPr>
        <w:t xml:space="preserve"> (Raza et al., 2019)</w:t>
      </w:r>
      <w:r w:rsidRPr="00AC672D">
        <w:rPr>
          <w:rFonts w:ascii="Arial" w:hAnsi="Arial" w:cs="Arial"/>
          <w:sz w:val="20"/>
        </w:rPr>
        <w:t xml:space="preserve">. India alone contributes approximately 29.66 million metric tons, ranking among the top global producers. This immense scale of production leads to the generation of substantial quantities of agricultural by-products, notably </w:t>
      </w:r>
      <w:r w:rsidRPr="00AC672D">
        <w:rPr>
          <w:rStyle w:val="Strong"/>
          <w:rFonts w:ascii="Arial" w:hAnsi="Arial" w:cs="Arial"/>
          <w:b w:val="0"/>
          <w:bCs w:val="0"/>
          <w:sz w:val="20"/>
        </w:rPr>
        <w:t>sugarcane bagasse (SCB)</w:t>
      </w:r>
      <w:r w:rsidRPr="00AC672D">
        <w:rPr>
          <w:rFonts w:ascii="Arial" w:hAnsi="Arial" w:cs="Arial"/>
          <w:sz w:val="20"/>
        </w:rPr>
        <w:t xml:space="preserve"> the fibrous residue left after juice extraction.</w:t>
      </w:r>
    </w:p>
    <w:p w14:paraId="4C025C3F" w14:textId="77777777" w:rsidR="00DB23EF" w:rsidRPr="00AC672D" w:rsidRDefault="00DB23EF" w:rsidP="00DB23EF">
      <w:pPr>
        <w:pStyle w:val="NoSpacing"/>
        <w:ind w:left="0" w:firstLine="720"/>
        <w:rPr>
          <w:rFonts w:ascii="Arial" w:hAnsi="Arial" w:cs="Arial"/>
          <w:sz w:val="20"/>
        </w:rPr>
      </w:pPr>
      <w:r w:rsidRPr="00AC672D">
        <w:rPr>
          <w:rFonts w:ascii="Arial" w:hAnsi="Arial" w:cs="Arial"/>
          <w:sz w:val="20"/>
        </w:rPr>
        <w:t xml:space="preserve">For every ton of sugarcane processed, nearly </w:t>
      </w:r>
      <w:r w:rsidRPr="00AC672D">
        <w:rPr>
          <w:rStyle w:val="Strong"/>
          <w:rFonts w:ascii="Arial" w:hAnsi="Arial" w:cs="Arial"/>
          <w:b w:val="0"/>
          <w:bCs w:val="0"/>
          <w:sz w:val="20"/>
        </w:rPr>
        <w:t>280 kg of wet bagasse</w:t>
      </w:r>
      <w:r w:rsidRPr="00AC672D">
        <w:rPr>
          <w:rFonts w:ascii="Arial" w:hAnsi="Arial" w:cs="Arial"/>
          <w:sz w:val="20"/>
        </w:rPr>
        <w:t xml:space="preserve"> is produced, making it a major </w:t>
      </w:r>
      <w:proofErr w:type="spellStart"/>
      <w:r w:rsidRPr="00AC672D">
        <w:rPr>
          <w:rFonts w:ascii="Arial" w:hAnsi="Arial" w:cs="Arial"/>
          <w:sz w:val="20"/>
        </w:rPr>
        <w:t>agro</w:t>
      </w:r>
      <w:proofErr w:type="spellEnd"/>
      <w:r w:rsidRPr="00AC672D">
        <w:rPr>
          <w:rFonts w:ascii="Arial" w:hAnsi="Arial" w:cs="Arial"/>
          <w:sz w:val="20"/>
        </w:rPr>
        <w:t xml:space="preserve">-industrial residue. </w:t>
      </w:r>
      <w:r w:rsidRPr="00AC672D">
        <w:rPr>
          <w:rStyle w:val="Strong"/>
          <w:rFonts w:ascii="Arial" w:hAnsi="Arial" w:cs="Arial"/>
          <w:b w:val="0"/>
          <w:bCs w:val="0"/>
          <w:sz w:val="20"/>
        </w:rPr>
        <w:t>Sugarcane bagasse</w:t>
      </w:r>
      <w:r w:rsidRPr="00AC672D">
        <w:rPr>
          <w:rFonts w:ascii="Arial" w:hAnsi="Arial" w:cs="Arial"/>
          <w:sz w:val="20"/>
        </w:rPr>
        <w:t xml:space="preserve"> is primarily composed of </w:t>
      </w:r>
      <w:r w:rsidRPr="00AC672D">
        <w:rPr>
          <w:rStyle w:val="Strong"/>
          <w:rFonts w:ascii="Arial" w:hAnsi="Arial" w:cs="Arial"/>
          <w:b w:val="0"/>
          <w:bCs w:val="0"/>
          <w:sz w:val="20"/>
        </w:rPr>
        <w:t>cellulose (32–45%)</w:t>
      </w:r>
      <w:r w:rsidRPr="00AC672D">
        <w:rPr>
          <w:rFonts w:ascii="Arial" w:hAnsi="Arial" w:cs="Arial"/>
          <w:sz w:val="20"/>
        </w:rPr>
        <w:t xml:space="preserve">, </w:t>
      </w:r>
      <w:r w:rsidRPr="00AC672D">
        <w:rPr>
          <w:rStyle w:val="Strong"/>
          <w:rFonts w:ascii="Arial" w:hAnsi="Arial" w:cs="Arial"/>
          <w:b w:val="0"/>
          <w:bCs w:val="0"/>
          <w:sz w:val="20"/>
        </w:rPr>
        <w:t>hemicellulose (21–30%)</w:t>
      </w:r>
      <w:r w:rsidRPr="00AC672D">
        <w:rPr>
          <w:rFonts w:ascii="Arial" w:hAnsi="Arial" w:cs="Arial"/>
          <w:sz w:val="20"/>
        </w:rPr>
        <w:t xml:space="preserve">, and </w:t>
      </w:r>
      <w:r w:rsidRPr="00AC672D">
        <w:rPr>
          <w:rStyle w:val="Strong"/>
          <w:rFonts w:ascii="Arial" w:hAnsi="Arial" w:cs="Arial"/>
          <w:b w:val="0"/>
          <w:bCs w:val="0"/>
          <w:sz w:val="20"/>
        </w:rPr>
        <w:t>lignin (20–25%)</w:t>
      </w:r>
      <w:r w:rsidRPr="00AC672D">
        <w:rPr>
          <w:rFonts w:ascii="Arial" w:hAnsi="Arial" w:cs="Arial"/>
          <w:sz w:val="20"/>
        </w:rPr>
        <w:t>, along with small amounts of ash, waxes, and extractives</w:t>
      </w:r>
      <w:r>
        <w:rPr>
          <w:rFonts w:ascii="Arial" w:hAnsi="Arial" w:cs="Arial"/>
          <w:sz w:val="20"/>
        </w:rPr>
        <w:t xml:space="preserve"> (</w:t>
      </w:r>
      <w:proofErr w:type="spellStart"/>
      <w:r>
        <w:rPr>
          <w:rFonts w:ascii="Arial" w:hAnsi="Arial" w:cs="Arial"/>
          <w:sz w:val="20"/>
        </w:rPr>
        <w:t>Wani</w:t>
      </w:r>
      <w:proofErr w:type="spellEnd"/>
      <w:r>
        <w:rPr>
          <w:rFonts w:ascii="Arial" w:hAnsi="Arial" w:cs="Arial"/>
          <w:sz w:val="20"/>
        </w:rPr>
        <w:t xml:space="preserve"> et al., 2023)</w:t>
      </w:r>
      <w:r w:rsidRPr="00AC672D">
        <w:rPr>
          <w:rFonts w:ascii="Arial" w:hAnsi="Arial" w:cs="Arial"/>
          <w:sz w:val="20"/>
        </w:rPr>
        <w:t xml:space="preserve">. Its </w:t>
      </w:r>
      <w:r w:rsidRPr="00AC672D">
        <w:rPr>
          <w:rStyle w:val="Strong"/>
          <w:rFonts w:ascii="Arial" w:hAnsi="Arial" w:cs="Arial"/>
          <w:b w:val="0"/>
          <w:bCs w:val="0"/>
          <w:sz w:val="20"/>
        </w:rPr>
        <w:t>high carbon content</w:t>
      </w:r>
      <w:r w:rsidRPr="00AC672D">
        <w:rPr>
          <w:rFonts w:ascii="Arial" w:hAnsi="Arial" w:cs="Arial"/>
          <w:sz w:val="20"/>
        </w:rPr>
        <w:t xml:space="preserve">, </w:t>
      </w:r>
      <w:r w:rsidRPr="00AC672D">
        <w:rPr>
          <w:rStyle w:val="Strong"/>
          <w:rFonts w:ascii="Arial" w:hAnsi="Arial" w:cs="Arial"/>
          <w:b w:val="0"/>
          <w:bCs w:val="0"/>
          <w:sz w:val="20"/>
        </w:rPr>
        <w:t>low bulk density</w:t>
      </w:r>
      <w:r w:rsidRPr="00AC672D">
        <w:rPr>
          <w:rFonts w:ascii="Arial" w:hAnsi="Arial" w:cs="Arial"/>
          <w:sz w:val="20"/>
        </w:rPr>
        <w:t xml:space="preserve">, and </w:t>
      </w:r>
      <w:r w:rsidRPr="00AC672D">
        <w:rPr>
          <w:rStyle w:val="Strong"/>
          <w:rFonts w:ascii="Arial" w:hAnsi="Arial" w:cs="Arial"/>
          <w:b w:val="0"/>
          <w:bCs w:val="0"/>
          <w:sz w:val="20"/>
        </w:rPr>
        <w:t>rich lignocellulosic composition</w:t>
      </w:r>
      <w:r w:rsidRPr="00AC672D">
        <w:rPr>
          <w:rFonts w:ascii="Arial" w:hAnsi="Arial" w:cs="Arial"/>
          <w:sz w:val="20"/>
        </w:rPr>
        <w:t xml:space="preserve"> make it a promising biomass for bio-based applications. Physicochemical properties such as </w:t>
      </w:r>
      <w:r w:rsidRPr="00AC672D">
        <w:rPr>
          <w:rStyle w:val="Strong"/>
          <w:rFonts w:ascii="Arial" w:hAnsi="Arial" w:cs="Arial"/>
          <w:b w:val="0"/>
          <w:bCs w:val="0"/>
          <w:sz w:val="20"/>
        </w:rPr>
        <w:t>high fixed carbon</w:t>
      </w:r>
      <w:r w:rsidRPr="00AC672D">
        <w:rPr>
          <w:rFonts w:ascii="Arial" w:hAnsi="Arial" w:cs="Arial"/>
          <w:sz w:val="20"/>
        </w:rPr>
        <w:t xml:space="preserve">, </w:t>
      </w:r>
      <w:r w:rsidRPr="00AC672D">
        <w:rPr>
          <w:rStyle w:val="Strong"/>
          <w:rFonts w:ascii="Arial" w:hAnsi="Arial" w:cs="Arial"/>
          <w:b w:val="0"/>
          <w:bCs w:val="0"/>
          <w:sz w:val="20"/>
        </w:rPr>
        <w:t>moderate ash</w:t>
      </w:r>
      <w:r w:rsidRPr="00AC672D">
        <w:rPr>
          <w:rFonts w:ascii="Arial" w:hAnsi="Arial" w:cs="Arial"/>
          <w:sz w:val="20"/>
        </w:rPr>
        <w:t xml:space="preserve">, and </w:t>
      </w:r>
      <w:r w:rsidRPr="00AC672D">
        <w:rPr>
          <w:rStyle w:val="Strong"/>
          <w:rFonts w:ascii="Arial" w:hAnsi="Arial" w:cs="Arial"/>
          <w:b w:val="0"/>
          <w:bCs w:val="0"/>
          <w:sz w:val="20"/>
        </w:rPr>
        <w:t>low hydrogen content</w:t>
      </w:r>
      <w:r w:rsidRPr="00AC672D">
        <w:rPr>
          <w:rFonts w:ascii="Arial" w:hAnsi="Arial" w:cs="Arial"/>
          <w:sz w:val="20"/>
        </w:rPr>
        <w:t xml:space="preserve"> render it ideal for </w:t>
      </w:r>
      <w:r w:rsidRPr="00AC672D">
        <w:rPr>
          <w:rStyle w:val="Strong"/>
          <w:rFonts w:ascii="Arial" w:hAnsi="Arial" w:cs="Arial"/>
          <w:b w:val="0"/>
          <w:bCs w:val="0"/>
          <w:sz w:val="20"/>
        </w:rPr>
        <w:t>biochar production via pyrolysis</w:t>
      </w:r>
      <w:r w:rsidRPr="00AC672D">
        <w:rPr>
          <w:rFonts w:ascii="Arial" w:hAnsi="Arial" w:cs="Arial"/>
          <w:sz w:val="20"/>
        </w:rPr>
        <w:t>.</w:t>
      </w:r>
    </w:p>
    <w:p w14:paraId="1199AFC3" w14:textId="77777777" w:rsidR="00DB23EF" w:rsidRPr="00AC672D" w:rsidRDefault="00DB23EF" w:rsidP="00DB23EF">
      <w:pPr>
        <w:pStyle w:val="NoSpacing"/>
        <w:ind w:left="0" w:firstLine="720"/>
        <w:rPr>
          <w:rFonts w:ascii="Arial" w:hAnsi="Arial" w:cs="Arial"/>
          <w:sz w:val="20"/>
        </w:rPr>
      </w:pPr>
      <w:r w:rsidRPr="00AC672D">
        <w:rPr>
          <w:rFonts w:ascii="Arial" w:hAnsi="Arial" w:cs="Arial"/>
          <w:sz w:val="20"/>
        </w:rPr>
        <w:t xml:space="preserve">Despite its potential, much of the sugarcane bagasse produced remains </w:t>
      </w:r>
      <w:r w:rsidRPr="00AC672D">
        <w:rPr>
          <w:rStyle w:val="Strong"/>
          <w:rFonts w:ascii="Arial" w:hAnsi="Arial" w:cs="Arial"/>
          <w:b w:val="0"/>
          <w:bCs w:val="0"/>
          <w:sz w:val="20"/>
        </w:rPr>
        <w:t>underutilized or poorly managed</w:t>
      </w:r>
      <w:r w:rsidRPr="00AC672D">
        <w:rPr>
          <w:rFonts w:ascii="Arial" w:hAnsi="Arial" w:cs="Arial"/>
          <w:sz w:val="20"/>
        </w:rPr>
        <w:t xml:space="preserve">. While a portion is combusted in sugar mills as a low-efficiency fuel, significant volumes are </w:t>
      </w:r>
      <w:r w:rsidRPr="00AC672D">
        <w:rPr>
          <w:rStyle w:val="Strong"/>
          <w:rFonts w:ascii="Arial" w:hAnsi="Arial" w:cs="Arial"/>
          <w:b w:val="0"/>
          <w:bCs w:val="0"/>
          <w:sz w:val="20"/>
        </w:rPr>
        <w:t>stockpiled or discarded</w:t>
      </w:r>
      <w:r w:rsidRPr="00AC672D">
        <w:rPr>
          <w:rFonts w:ascii="Arial" w:hAnsi="Arial" w:cs="Arial"/>
          <w:sz w:val="20"/>
        </w:rPr>
        <w:t xml:space="preserve">, often leading to </w:t>
      </w:r>
      <w:r w:rsidRPr="00AC672D">
        <w:rPr>
          <w:rStyle w:val="Strong"/>
          <w:rFonts w:ascii="Arial" w:hAnsi="Arial" w:cs="Arial"/>
          <w:b w:val="0"/>
          <w:bCs w:val="0"/>
          <w:sz w:val="20"/>
        </w:rPr>
        <w:t>open burning</w:t>
      </w:r>
      <w:r w:rsidRPr="00AC672D">
        <w:rPr>
          <w:rFonts w:ascii="Arial" w:hAnsi="Arial" w:cs="Arial"/>
          <w:sz w:val="20"/>
        </w:rPr>
        <w:t xml:space="preserve"> or </w:t>
      </w:r>
      <w:r w:rsidRPr="00AC672D">
        <w:rPr>
          <w:rStyle w:val="Strong"/>
          <w:rFonts w:ascii="Arial" w:hAnsi="Arial" w:cs="Arial"/>
          <w:b w:val="0"/>
          <w:bCs w:val="0"/>
          <w:sz w:val="20"/>
        </w:rPr>
        <w:t>landfilling</w:t>
      </w:r>
      <w:r w:rsidRPr="00AC672D">
        <w:rPr>
          <w:rFonts w:ascii="Arial" w:hAnsi="Arial" w:cs="Arial"/>
          <w:sz w:val="20"/>
        </w:rPr>
        <w:t xml:space="preserve">. These disposal methods contribute to </w:t>
      </w:r>
      <w:r w:rsidRPr="00AC672D">
        <w:rPr>
          <w:rStyle w:val="Strong"/>
          <w:rFonts w:ascii="Arial" w:hAnsi="Arial" w:cs="Arial"/>
          <w:b w:val="0"/>
          <w:bCs w:val="0"/>
          <w:sz w:val="20"/>
        </w:rPr>
        <w:t>air pollution, fire hazards</w:t>
      </w:r>
      <w:r w:rsidRPr="00AC672D">
        <w:rPr>
          <w:rFonts w:ascii="Arial" w:hAnsi="Arial" w:cs="Arial"/>
          <w:sz w:val="20"/>
        </w:rPr>
        <w:t xml:space="preserve">, and </w:t>
      </w:r>
      <w:r w:rsidRPr="00AC672D">
        <w:rPr>
          <w:rStyle w:val="Strong"/>
          <w:rFonts w:ascii="Arial" w:hAnsi="Arial" w:cs="Arial"/>
          <w:b w:val="0"/>
          <w:bCs w:val="0"/>
          <w:sz w:val="20"/>
        </w:rPr>
        <w:t>environmental contamination</w:t>
      </w:r>
      <w:r w:rsidRPr="00AC672D">
        <w:rPr>
          <w:rFonts w:ascii="Arial" w:hAnsi="Arial" w:cs="Arial"/>
          <w:sz w:val="20"/>
        </w:rPr>
        <w:t xml:space="preserve">, undermining the sustainability of the sugarcane industry. The </w:t>
      </w:r>
      <w:r w:rsidRPr="00AC672D">
        <w:rPr>
          <w:rStyle w:val="Strong"/>
          <w:rFonts w:ascii="Arial" w:hAnsi="Arial" w:cs="Arial"/>
          <w:b w:val="0"/>
          <w:bCs w:val="0"/>
          <w:sz w:val="20"/>
        </w:rPr>
        <w:t>flammable nature</w:t>
      </w:r>
      <w:r w:rsidRPr="00AC672D">
        <w:rPr>
          <w:rFonts w:ascii="Arial" w:hAnsi="Arial" w:cs="Arial"/>
          <w:sz w:val="20"/>
        </w:rPr>
        <w:t xml:space="preserve"> of dry bagasse, combined with its bulkiness and limited degradability, also poses logistical and ecological risks.</w:t>
      </w:r>
      <w:r>
        <w:rPr>
          <w:rFonts w:ascii="Arial" w:hAnsi="Arial" w:cs="Arial"/>
          <w:sz w:val="20"/>
        </w:rPr>
        <w:t xml:space="preserve"> </w:t>
      </w:r>
      <w:r w:rsidRPr="00AC672D">
        <w:rPr>
          <w:rFonts w:ascii="Arial" w:hAnsi="Arial" w:cs="Arial"/>
          <w:sz w:val="20"/>
        </w:rPr>
        <w:t xml:space="preserve">Converting sugarcane bagasse into </w:t>
      </w:r>
      <w:r w:rsidRPr="00AC672D">
        <w:rPr>
          <w:rStyle w:val="Strong"/>
          <w:rFonts w:ascii="Arial" w:hAnsi="Arial" w:cs="Arial"/>
          <w:b w:val="0"/>
          <w:bCs w:val="0"/>
          <w:sz w:val="20"/>
        </w:rPr>
        <w:t>biochar</w:t>
      </w:r>
      <w:r w:rsidRPr="00AC672D">
        <w:rPr>
          <w:rFonts w:ascii="Arial" w:hAnsi="Arial" w:cs="Arial"/>
          <w:sz w:val="20"/>
        </w:rPr>
        <w:t xml:space="preserve"> offers a sustainable and value-added alternative to conventional disposal. Through </w:t>
      </w:r>
      <w:r w:rsidRPr="00AC672D">
        <w:rPr>
          <w:rStyle w:val="Strong"/>
          <w:rFonts w:ascii="Arial" w:hAnsi="Arial" w:cs="Arial"/>
          <w:b w:val="0"/>
          <w:bCs w:val="0"/>
          <w:sz w:val="20"/>
        </w:rPr>
        <w:t>controlled thermochemical processes</w:t>
      </w:r>
      <w:r w:rsidRPr="00AC672D">
        <w:rPr>
          <w:rFonts w:ascii="Arial" w:hAnsi="Arial" w:cs="Arial"/>
          <w:sz w:val="20"/>
        </w:rPr>
        <w:t xml:space="preserve"> such as pyrolysis or hydrothermal carbonization, SCB can be transformed into a stable, carbon-rich material suitable for </w:t>
      </w:r>
      <w:r w:rsidRPr="00AC672D">
        <w:rPr>
          <w:rStyle w:val="Strong"/>
          <w:rFonts w:ascii="Arial" w:hAnsi="Arial" w:cs="Arial"/>
          <w:b w:val="0"/>
          <w:bCs w:val="0"/>
          <w:sz w:val="20"/>
        </w:rPr>
        <w:t>soil amendment, environmental remediation</w:t>
      </w:r>
      <w:r w:rsidRPr="00AC672D">
        <w:rPr>
          <w:rFonts w:ascii="Arial" w:hAnsi="Arial" w:cs="Arial"/>
          <w:sz w:val="20"/>
        </w:rPr>
        <w:t xml:space="preserve">, and even </w:t>
      </w:r>
      <w:r w:rsidRPr="00AC672D">
        <w:rPr>
          <w:rStyle w:val="Strong"/>
          <w:rFonts w:ascii="Arial" w:hAnsi="Arial" w:cs="Arial"/>
          <w:b w:val="0"/>
          <w:bCs w:val="0"/>
          <w:sz w:val="20"/>
        </w:rPr>
        <w:t>energy recovery</w:t>
      </w:r>
      <w:r>
        <w:rPr>
          <w:rStyle w:val="Strong"/>
          <w:rFonts w:ascii="Arial" w:hAnsi="Arial" w:cs="Arial"/>
          <w:b w:val="0"/>
          <w:bCs w:val="0"/>
          <w:sz w:val="20"/>
        </w:rPr>
        <w:t xml:space="preserve"> (</w:t>
      </w:r>
      <w:r>
        <w:rPr>
          <w:rFonts w:ascii="Arial" w:hAnsi="Arial" w:cs="Arial"/>
          <w:color w:val="222222"/>
          <w:sz w:val="20"/>
          <w:szCs w:val="20"/>
          <w:shd w:val="clear" w:color="auto" w:fill="FFFFFF"/>
        </w:rPr>
        <w:t>Begum et al., 2024</w:t>
      </w:r>
      <w:r>
        <w:rPr>
          <w:rStyle w:val="Strong"/>
          <w:rFonts w:ascii="Arial" w:hAnsi="Arial" w:cs="Arial"/>
          <w:b w:val="0"/>
          <w:bCs w:val="0"/>
          <w:sz w:val="20"/>
        </w:rPr>
        <w:t>)</w:t>
      </w:r>
      <w:r w:rsidRPr="00AC672D">
        <w:rPr>
          <w:rFonts w:ascii="Arial" w:hAnsi="Arial" w:cs="Arial"/>
          <w:sz w:val="20"/>
        </w:rPr>
        <w:t xml:space="preserve">. This not only addresses the </w:t>
      </w:r>
      <w:r w:rsidRPr="00AC672D">
        <w:rPr>
          <w:rStyle w:val="Strong"/>
          <w:rFonts w:ascii="Arial" w:hAnsi="Arial" w:cs="Arial"/>
          <w:b w:val="0"/>
          <w:bCs w:val="0"/>
          <w:sz w:val="20"/>
        </w:rPr>
        <w:t>waste management challenges</w:t>
      </w:r>
      <w:r w:rsidRPr="00AC672D">
        <w:rPr>
          <w:rFonts w:ascii="Arial" w:hAnsi="Arial" w:cs="Arial"/>
          <w:sz w:val="20"/>
        </w:rPr>
        <w:t xml:space="preserve"> associated with bagasse but also aligns with circular economy principles by </w:t>
      </w:r>
      <w:r w:rsidRPr="00AC672D">
        <w:rPr>
          <w:rStyle w:val="Strong"/>
          <w:rFonts w:ascii="Arial" w:hAnsi="Arial" w:cs="Arial"/>
          <w:b w:val="0"/>
          <w:bCs w:val="0"/>
          <w:sz w:val="20"/>
        </w:rPr>
        <w:t>returning carbon to the soil</w:t>
      </w:r>
      <w:r w:rsidRPr="00AC672D">
        <w:rPr>
          <w:rFonts w:ascii="Arial" w:hAnsi="Arial" w:cs="Arial"/>
          <w:sz w:val="20"/>
        </w:rPr>
        <w:t xml:space="preserve">, enhancing </w:t>
      </w:r>
      <w:r w:rsidRPr="00AC672D">
        <w:rPr>
          <w:rStyle w:val="Strong"/>
          <w:rFonts w:ascii="Arial" w:hAnsi="Arial" w:cs="Arial"/>
          <w:b w:val="0"/>
          <w:bCs w:val="0"/>
          <w:sz w:val="20"/>
        </w:rPr>
        <w:t>soil fertility</w:t>
      </w:r>
      <w:r w:rsidRPr="00AC672D">
        <w:rPr>
          <w:rFonts w:ascii="Arial" w:hAnsi="Arial" w:cs="Arial"/>
          <w:sz w:val="20"/>
        </w:rPr>
        <w:t xml:space="preserve">, and contributing to </w:t>
      </w:r>
      <w:r w:rsidRPr="00AC672D">
        <w:rPr>
          <w:rStyle w:val="Strong"/>
          <w:rFonts w:ascii="Arial" w:hAnsi="Arial" w:cs="Arial"/>
          <w:b w:val="0"/>
          <w:bCs w:val="0"/>
          <w:sz w:val="20"/>
        </w:rPr>
        <w:t>climate change mitigation</w:t>
      </w:r>
      <w:r w:rsidRPr="00AC672D">
        <w:rPr>
          <w:rFonts w:ascii="Arial" w:hAnsi="Arial" w:cs="Arial"/>
          <w:sz w:val="20"/>
        </w:rPr>
        <w:t>.</w:t>
      </w:r>
      <w:r>
        <w:rPr>
          <w:rFonts w:ascii="Arial" w:hAnsi="Arial" w:cs="Arial"/>
          <w:sz w:val="20"/>
        </w:rPr>
        <w:t xml:space="preserve"> </w:t>
      </w:r>
      <w:r w:rsidRPr="00AC672D">
        <w:rPr>
          <w:rFonts w:ascii="Arial" w:hAnsi="Arial" w:cs="Arial"/>
          <w:sz w:val="20"/>
        </w:rPr>
        <w:t xml:space="preserve">Furthermore, utilizing SCB for biochar production allows sugarcane-growing regions particularly in tropical and subtropical zones to locally manage waste, reduce dependence on external soil inputs, and build climate-resilient farming systems. This integration of </w:t>
      </w:r>
      <w:r w:rsidRPr="00AC672D">
        <w:rPr>
          <w:rStyle w:val="Strong"/>
          <w:rFonts w:ascii="Arial" w:hAnsi="Arial" w:cs="Arial"/>
          <w:b w:val="0"/>
          <w:bCs w:val="0"/>
          <w:sz w:val="20"/>
        </w:rPr>
        <w:t xml:space="preserve">waste </w:t>
      </w:r>
      <w:proofErr w:type="spellStart"/>
      <w:r w:rsidRPr="00AC672D">
        <w:rPr>
          <w:rStyle w:val="Strong"/>
          <w:rFonts w:ascii="Arial" w:hAnsi="Arial" w:cs="Arial"/>
          <w:b w:val="0"/>
          <w:bCs w:val="0"/>
          <w:sz w:val="20"/>
        </w:rPr>
        <w:t>valorization</w:t>
      </w:r>
      <w:proofErr w:type="spellEnd"/>
      <w:r w:rsidRPr="00AC672D">
        <w:rPr>
          <w:rStyle w:val="Strong"/>
          <w:rFonts w:ascii="Arial" w:hAnsi="Arial" w:cs="Arial"/>
          <w:b w:val="0"/>
          <w:bCs w:val="0"/>
          <w:sz w:val="20"/>
        </w:rPr>
        <w:t xml:space="preserve"> with soil health improvement</w:t>
      </w:r>
      <w:r w:rsidRPr="00AC672D">
        <w:rPr>
          <w:rFonts w:ascii="Arial" w:hAnsi="Arial" w:cs="Arial"/>
          <w:sz w:val="20"/>
        </w:rPr>
        <w:t xml:space="preserve"> makes sugarcane bagasse a highly strategic feedstock for sustainable agriculture.</w:t>
      </w:r>
    </w:p>
    <w:bookmarkEnd w:id="8"/>
    <w:p w14:paraId="4FF87B45" w14:textId="77777777" w:rsidR="00DB23EF" w:rsidRPr="00C86529" w:rsidRDefault="00DB23EF" w:rsidP="00DB23EF">
      <w:pPr>
        <w:spacing w:line="240" w:lineRule="auto"/>
        <w:ind w:left="0"/>
        <w:jc w:val="left"/>
        <w:rPr>
          <w:rFonts w:ascii="Times New Roman" w:eastAsia="Times New Roman" w:hAnsi="Times New Roman" w:cs="Times New Roman"/>
          <w:sz w:val="24"/>
          <w:szCs w:val="24"/>
          <w:lang w:eastAsia="en-IN"/>
        </w:rPr>
      </w:pPr>
    </w:p>
    <w:p w14:paraId="0A9DDF16" w14:textId="77777777" w:rsidR="00DB23EF" w:rsidRPr="00E26BF2" w:rsidRDefault="00DB23EF" w:rsidP="00DB23EF">
      <w:pPr>
        <w:pStyle w:val="Heading3"/>
        <w:ind w:firstLine="720"/>
        <w:jc w:val="both"/>
        <w:rPr>
          <w:rFonts w:ascii="Arial" w:hAnsi="Arial" w:cs="Arial"/>
          <w:sz w:val="24"/>
          <w:szCs w:val="20"/>
        </w:rPr>
      </w:pPr>
      <w:r w:rsidRPr="00E26BF2">
        <w:rPr>
          <w:rStyle w:val="Strong"/>
          <w:rFonts w:ascii="Arial" w:hAnsi="Arial" w:cs="Arial"/>
          <w:b/>
          <w:bCs/>
          <w:sz w:val="24"/>
          <w:szCs w:val="20"/>
        </w:rPr>
        <w:t xml:space="preserve">3. </w:t>
      </w:r>
      <w:bookmarkStart w:id="9" w:name="_Hlk195812922"/>
      <w:r w:rsidRPr="00E26BF2">
        <w:rPr>
          <w:rStyle w:val="Strong"/>
          <w:rFonts w:ascii="Arial" w:hAnsi="Arial" w:cs="Arial"/>
          <w:b/>
          <w:bCs/>
          <w:sz w:val="24"/>
          <w:szCs w:val="20"/>
        </w:rPr>
        <w:t>BIOCHAR PRODUCTION FROM SUGARCANE BAGASSE</w:t>
      </w:r>
      <w:bookmarkEnd w:id="9"/>
    </w:p>
    <w:p w14:paraId="6583FA60" w14:textId="77777777" w:rsidR="00DB23EF" w:rsidRPr="00C814C3" w:rsidRDefault="00DB23EF" w:rsidP="00DB23EF">
      <w:pPr>
        <w:pStyle w:val="NoSpacing"/>
        <w:ind w:left="0"/>
        <w:rPr>
          <w:rFonts w:ascii="Arial" w:hAnsi="Arial" w:cs="Arial"/>
          <w:sz w:val="20"/>
          <w:szCs w:val="20"/>
        </w:rPr>
      </w:pPr>
      <w:r w:rsidRPr="000D3C7D">
        <w:rPr>
          <w:rStyle w:val="Strong"/>
          <w:rFonts w:ascii="Arial" w:hAnsi="Arial" w:cs="Arial"/>
          <w:bCs w:val="0"/>
          <w:szCs w:val="20"/>
        </w:rPr>
        <w:t xml:space="preserve">3.1 </w:t>
      </w:r>
      <w:bookmarkStart w:id="10" w:name="_Hlk195812991"/>
      <w:r w:rsidRPr="000D3C7D">
        <w:rPr>
          <w:rStyle w:val="Strong"/>
          <w:rFonts w:ascii="Arial" w:hAnsi="Arial" w:cs="Arial"/>
          <w:bCs w:val="0"/>
          <w:szCs w:val="20"/>
        </w:rPr>
        <w:t>Overview of Biochar: Definition, History, and Relevance</w:t>
      </w:r>
    </w:p>
    <w:p w14:paraId="1329153C" w14:textId="77777777" w:rsidR="00DB23EF" w:rsidRPr="00C814C3" w:rsidRDefault="00DB23EF" w:rsidP="00DB23EF">
      <w:pPr>
        <w:pStyle w:val="NoSpacing"/>
        <w:ind w:left="0"/>
        <w:rPr>
          <w:rFonts w:ascii="Arial" w:hAnsi="Arial" w:cs="Arial"/>
          <w:sz w:val="20"/>
          <w:szCs w:val="20"/>
        </w:rPr>
      </w:pPr>
      <w:r w:rsidRPr="00C814C3">
        <w:rPr>
          <w:rStyle w:val="Strong"/>
          <w:rFonts w:ascii="Arial" w:hAnsi="Arial" w:cs="Arial"/>
          <w:b w:val="0"/>
          <w:bCs w:val="0"/>
          <w:sz w:val="20"/>
          <w:szCs w:val="20"/>
        </w:rPr>
        <w:t>Biochar</w:t>
      </w:r>
      <w:r w:rsidRPr="00C814C3">
        <w:rPr>
          <w:rFonts w:ascii="Arial" w:hAnsi="Arial" w:cs="Arial"/>
          <w:sz w:val="20"/>
          <w:szCs w:val="20"/>
        </w:rPr>
        <w:t xml:space="preserve"> is a stable, carbon-rich material produced through the thermochemical conversion of organic biomass under low or zero oxygen conditions</w:t>
      </w:r>
      <w:r>
        <w:rPr>
          <w:rFonts w:ascii="Arial" w:hAnsi="Arial" w:cs="Arial"/>
          <w:sz w:val="20"/>
          <w:szCs w:val="20"/>
        </w:rPr>
        <w:t xml:space="preserve"> </w:t>
      </w:r>
      <w:r w:rsidRPr="00C814C3">
        <w:rPr>
          <w:rFonts w:ascii="Arial" w:hAnsi="Arial" w:cs="Arial"/>
          <w:sz w:val="20"/>
          <w:szCs w:val="20"/>
        </w:rPr>
        <w:t xml:space="preserve">a process known as </w:t>
      </w:r>
      <w:r w:rsidRPr="00C814C3">
        <w:rPr>
          <w:rStyle w:val="Strong"/>
          <w:rFonts w:ascii="Arial" w:hAnsi="Arial" w:cs="Arial"/>
          <w:b w:val="0"/>
          <w:bCs w:val="0"/>
          <w:sz w:val="20"/>
          <w:szCs w:val="20"/>
        </w:rPr>
        <w:t>pyrolysis</w:t>
      </w:r>
      <w:r w:rsidRPr="00C814C3">
        <w:rPr>
          <w:rFonts w:ascii="Arial" w:hAnsi="Arial" w:cs="Arial"/>
          <w:sz w:val="20"/>
          <w:szCs w:val="20"/>
        </w:rPr>
        <w:t xml:space="preserve">. Historically, the concept of biochar can be traced back to the </w:t>
      </w:r>
      <w:r w:rsidRPr="00C814C3">
        <w:rPr>
          <w:rStyle w:val="Strong"/>
          <w:rFonts w:ascii="Arial" w:hAnsi="Arial" w:cs="Arial"/>
          <w:b w:val="0"/>
          <w:bCs w:val="0"/>
          <w:sz w:val="20"/>
          <w:szCs w:val="20"/>
        </w:rPr>
        <w:t xml:space="preserve">Terra </w:t>
      </w:r>
      <w:proofErr w:type="spellStart"/>
      <w:r w:rsidRPr="00C814C3">
        <w:rPr>
          <w:rStyle w:val="Strong"/>
          <w:rFonts w:ascii="Arial" w:hAnsi="Arial" w:cs="Arial"/>
          <w:b w:val="0"/>
          <w:bCs w:val="0"/>
          <w:sz w:val="20"/>
          <w:szCs w:val="20"/>
        </w:rPr>
        <w:t>Preta</w:t>
      </w:r>
      <w:proofErr w:type="spellEnd"/>
      <w:r w:rsidRPr="00C814C3">
        <w:rPr>
          <w:rStyle w:val="Strong"/>
          <w:rFonts w:ascii="Arial" w:hAnsi="Arial" w:cs="Arial"/>
          <w:b w:val="0"/>
          <w:bCs w:val="0"/>
          <w:sz w:val="20"/>
          <w:szCs w:val="20"/>
        </w:rPr>
        <w:t xml:space="preserve"> soils</w:t>
      </w:r>
      <w:r w:rsidRPr="00C814C3">
        <w:rPr>
          <w:rFonts w:ascii="Arial" w:hAnsi="Arial" w:cs="Arial"/>
          <w:sz w:val="20"/>
          <w:szCs w:val="20"/>
        </w:rPr>
        <w:t xml:space="preserve"> of the Amazon basin, where ancient civilizations enriched nutrient-deficient tropical soils using charcoal and organic matter, leading to long-lasting fertility</w:t>
      </w:r>
      <w:r>
        <w:rPr>
          <w:rFonts w:ascii="Arial" w:hAnsi="Arial" w:cs="Arial"/>
          <w:sz w:val="20"/>
          <w:szCs w:val="20"/>
        </w:rPr>
        <w:t xml:space="preserve"> (Yang &amp; Yang, 2024)</w:t>
      </w:r>
      <w:r w:rsidRPr="00C814C3">
        <w:rPr>
          <w:rFonts w:ascii="Arial" w:hAnsi="Arial" w:cs="Arial"/>
          <w:sz w:val="20"/>
          <w:szCs w:val="20"/>
        </w:rPr>
        <w:t xml:space="preserve">. Modern science has since revisited this practice, recognizing biochar as a potential tool for </w:t>
      </w:r>
      <w:r w:rsidRPr="00C814C3">
        <w:rPr>
          <w:rStyle w:val="Strong"/>
          <w:rFonts w:ascii="Arial" w:hAnsi="Arial" w:cs="Arial"/>
          <w:b w:val="0"/>
          <w:bCs w:val="0"/>
          <w:sz w:val="20"/>
          <w:szCs w:val="20"/>
        </w:rPr>
        <w:t>soil amelioration</w:t>
      </w:r>
      <w:r w:rsidRPr="00C814C3">
        <w:rPr>
          <w:rFonts w:ascii="Arial" w:hAnsi="Arial" w:cs="Arial"/>
          <w:sz w:val="20"/>
          <w:szCs w:val="20"/>
        </w:rPr>
        <w:t xml:space="preserve">, </w:t>
      </w:r>
      <w:r w:rsidRPr="00C814C3">
        <w:rPr>
          <w:rStyle w:val="Strong"/>
          <w:rFonts w:ascii="Arial" w:hAnsi="Arial" w:cs="Arial"/>
          <w:b w:val="0"/>
          <w:bCs w:val="0"/>
          <w:sz w:val="20"/>
          <w:szCs w:val="20"/>
        </w:rPr>
        <w:t>carbon sequestration</w:t>
      </w:r>
      <w:r w:rsidRPr="00C814C3">
        <w:rPr>
          <w:rFonts w:ascii="Arial" w:hAnsi="Arial" w:cs="Arial"/>
          <w:sz w:val="20"/>
          <w:szCs w:val="20"/>
        </w:rPr>
        <w:t xml:space="preserve">, and </w:t>
      </w:r>
      <w:r w:rsidRPr="00C814C3">
        <w:rPr>
          <w:rStyle w:val="Strong"/>
          <w:rFonts w:ascii="Arial" w:hAnsi="Arial" w:cs="Arial"/>
          <w:b w:val="0"/>
          <w:bCs w:val="0"/>
          <w:sz w:val="20"/>
          <w:szCs w:val="20"/>
        </w:rPr>
        <w:t>sustainable agriculture</w:t>
      </w:r>
      <w:r w:rsidRPr="00C814C3">
        <w:rPr>
          <w:rFonts w:ascii="Arial" w:hAnsi="Arial" w:cs="Arial"/>
          <w:sz w:val="20"/>
          <w:szCs w:val="20"/>
        </w:rPr>
        <w:t xml:space="preserve">. The global relevance of biochar lies in its ability to </w:t>
      </w:r>
      <w:r w:rsidRPr="00C814C3">
        <w:rPr>
          <w:rStyle w:val="Strong"/>
          <w:rFonts w:ascii="Arial" w:hAnsi="Arial" w:cs="Arial"/>
          <w:b w:val="0"/>
          <w:bCs w:val="0"/>
          <w:sz w:val="20"/>
          <w:szCs w:val="20"/>
        </w:rPr>
        <w:t>improve soil structure</w:t>
      </w:r>
      <w:r w:rsidRPr="00C814C3">
        <w:rPr>
          <w:rFonts w:ascii="Arial" w:hAnsi="Arial" w:cs="Arial"/>
          <w:sz w:val="20"/>
          <w:szCs w:val="20"/>
        </w:rPr>
        <w:t xml:space="preserve">, increase </w:t>
      </w:r>
      <w:r w:rsidRPr="00C814C3">
        <w:rPr>
          <w:rStyle w:val="Strong"/>
          <w:rFonts w:ascii="Arial" w:hAnsi="Arial" w:cs="Arial"/>
          <w:b w:val="0"/>
          <w:bCs w:val="0"/>
          <w:sz w:val="20"/>
          <w:szCs w:val="20"/>
        </w:rPr>
        <w:t>nutrient retention</w:t>
      </w:r>
      <w:r w:rsidRPr="00C814C3">
        <w:rPr>
          <w:rFonts w:ascii="Arial" w:hAnsi="Arial" w:cs="Arial"/>
          <w:sz w:val="20"/>
          <w:szCs w:val="20"/>
        </w:rPr>
        <w:t xml:space="preserve">, buffer </w:t>
      </w:r>
      <w:r w:rsidRPr="00C814C3">
        <w:rPr>
          <w:rStyle w:val="Strong"/>
          <w:rFonts w:ascii="Arial" w:hAnsi="Arial" w:cs="Arial"/>
          <w:b w:val="0"/>
          <w:bCs w:val="0"/>
          <w:sz w:val="20"/>
          <w:szCs w:val="20"/>
        </w:rPr>
        <w:t>soil acidity</w:t>
      </w:r>
      <w:r w:rsidRPr="00C814C3">
        <w:rPr>
          <w:rFonts w:ascii="Arial" w:hAnsi="Arial" w:cs="Arial"/>
          <w:sz w:val="20"/>
          <w:szCs w:val="20"/>
        </w:rPr>
        <w:t xml:space="preserve">, and </w:t>
      </w:r>
      <w:r w:rsidRPr="00C814C3">
        <w:rPr>
          <w:rStyle w:val="Strong"/>
          <w:rFonts w:ascii="Arial" w:hAnsi="Arial" w:cs="Arial"/>
          <w:b w:val="0"/>
          <w:bCs w:val="0"/>
          <w:sz w:val="20"/>
          <w:szCs w:val="20"/>
        </w:rPr>
        <w:t>enhance microbial activity</w:t>
      </w:r>
      <w:r w:rsidRPr="00C814C3">
        <w:rPr>
          <w:rFonts w:ascii="Arial" w:hAnsi="Arial" w:cs="Arial"/>
          <w:sz w:val="20"/>
          <w:szCs w:val="20"/>
        </w:rPr>
        <w:t xml:space="preserve">, while simultaneously offering a </w:t>
      </w:r>
      <w:r w:rsidRPr="00C814C3">
        <w:rPr>
          <w:rStyle w:val="Strong"/>
          <w:rFonts w:ascii="Arial" w:hAnsi="Arial" w:cs="Arial"/>
          <w:b w:val="0"/>
          <w:bCs w:val="0"/>
          <w:sz w:val="20"/>
          <w:szCs w:val="20"/>
        </w:rPr>
        <w:t>long-term carbon sink</w:t>
      </w:r>
      <w:r w:rsidRPr="00C814C3">
        <w:rPr>
          <w:rFonts w:ascii="Arial" w:hAnsi="Arial" w:cs="Arial"/>
          <w:sz w:val="20"/>
          <w:szCs w:val="20"/>
        </w:rPr>
        <w:t>. Biochar derived from sugarcane bagasse not only addresses waste disposal but also provides a renewable soil amendment suited to various cropping systems, including legumes like mung bean.</w:t>
      </w:r>
    </w:p>
    <w:p w14:paraId="2A2068E7" w14:textId="77777777" w:rsidR="00DB23EF" w:rsidRPr="000D3C7D" w:rsidRDefault="00DB23EF" w:rsidP="00DB23EF">
      <w:pPr>
        <w:pStyle w:val="NoSpacing"/>
        <w:ind w:left="0"/>
        <w:rPr>
          <w:rFonts w:ascii="Arial" w:hAnsi="Arial" w:cs="Arial"/>
          <w:szCs w:val="20"/>
        </w:rPr>
      </w:pPr>
    </w:p>
    <w:p w14:paraId="3865320C" w14:textId="77777777" w:rsidR="00DB23EF" w:rsidRPr="000D3C7D" w:rsidRDefault="00DB23EF" w:rsidP="00DB23EF">
      <w:pPr>
        <w:pStyle w:val="NoSpacing"/>
        <w:ind w:left="0"/>
        <w:rPr>
          <w:rFonts w:ascii="Arial" w:hAnsi="Arial" w:cs="Arial"/>
          <w:szCs w:val="20"/>
        </w:rPr>
      </w:pPr>
      <w:r w:rsidRPr="000D3C7D">
        <w:rPr>
          <w:rStyle w:val="Strong"/>
          <w:rFonts w:ascii="Arial" w:hAnsi="Arial" w:cs="Arial"/>
          <w:bCs w:val="0"/>
          <w:szCs w:val="20"/>
        </w:rPr>
        <w:t>3.2 Thermochemical Techniques for Biochar Production</w:t>
      </w:r>
    </w:p>
    <w:p w14:paraId="1D3DBED1" w14:textId="77777777" w:rsidR="00DB23EF" w:rsidRPr="00DB23EF" w:rsidRDefault="00DB23EF" w:rsidP="00DB23EF">
      <w:pPr>
        <w:pStyle w:val="NoSpacing"/>
        <w:ind w:left="0"/>
        <w:rPr>
          <w:rFonts w:ascii="Arial" w:hAnsi="Arial" w:cs="Arial"/>
          <w:b/>
          <w:i/>
          <w:sz w:val="20"/>
          <w:szCs w:val="20"/>
          <w:highlight w:val="yellow"/>
        </w:rPr>
      </w:pPr>
      <w:r w:rsidRPr="00C814C3">
        <w:rPr>
          <w:rFonts w:ascii="Arial" w:hAnsi="Arial" w:cs="Arial"/>
          <w:sz w:val="20"/>
          <w:szCs w:val="20"/>
        </w:rPr>
        <w:lastRenderedPageBreak/>
        <w:t xml:space="preserve">Biochar from sugarcane bagasse can be produced using several </w:t>
      </w:r>
      <w:r w:rsidRPr="00C814C3">
        <w:rPr>
          <w:rStyle w:val="Strong"/>
          <w:rFonts w:ascii="Arial" w:hAnsi="Arial" w:cs="Arial"/>
          <w:b w:val="0"/>
          <w:bCs w:val="0"/>
          <w:sz w:val="20"/>
          <w:szCs w:val="20"/>
        </w:rPr>
        <w:t>thermochemical conversion methods</w:t>
      </w:r>
      <w:r w:rsidRPr="00C814C3">
        <w:rPr>
          <w:rFonts w:ascii="Arial" w:hAnsi="Arial" w:cs="Arial"/>
          <w:sz w:val="20"/>
          <w:szCs w:val="20"/>
        </w:rPr>
        <w:t xml:space="preserve">, each affecting the quality, stability, and nutrient content of the resulting material: </w:t>
      </w:r>
      <w:r w:rsidRPr="000D3C7D">
        <w:rPr>
          <w:rStyle w:val="Strong"/>
          <w:rFonts w:ascii="Arial" w:hAnsi="Arial" w:cs="Arial"/>
          <w:b w:val="0"/>
          <w:bCs w:val="0"/>
          <w:sz w:val="20"/>
          <w:szCs w:val="20"/>
        </w:rPr>
        <w:t>Slow Pyrolysis</w:t>
      </w:r>
      <w:r w:rsidRPr="00C814C3">
        <w:rPr>
          <w:rStyle w:val="Strong"/>
          <w:rFonts w:ascii="Arial" w:hAnsi="Arial" w:cs="Arial"/>
          <w:bCs w:val="0"/>
          <w:i/>
          <w:sz w:val="20"/>
          <w:szCs w:val="20"/>
        </w:rPr>
        <w:t xml:space="preserve"> </w:t>
      </w:r>
      <w:r w:rsidRPr="00C814C3">
        <w:rPr>
          <w:rFonts w:ascii="Arial" w:hAnsi="Arial" w:cs="Arial"/>
          <w:sz w:val="20"/>
          <w:szCs w:val="20"/>
        </w:rPr>
        <w:t xml:space="preserve">is the most commonly used technique for biochar production. It involves heating biomass at </w:t>
      </w:r>
      <w:r w:rsidRPr="00C814C3">
        <w:rPr>
          <w:rStyle w:val="Strong"/>
          <w:rFonts w:ascii="Arial" w:hAnsi="Arial" w:cs="Arial"/>
          <w:b w:val="0"/>
          <w:bCs w:val="0"/>
          <w:sz w:val="20"/>
          <w:szCs w:val="20"/>
        </w:rPr>
        <w:t>300–600°</w:t>
      </w:r>
      <w:proofErr w:type="spellStart"/>
      <w:r w:rsidRPr="00C814C3">
        <w:rPr>
          <w:rStyle w:val="Strong"/>
          <w:rFonts w:ascii="Arial" w:hAnsi="Arial" w:cs="Arial"/>
          <w:b w:val="0"/>
          <w:bCs w:val="0"/>
          <w:sz w:val="20"/>
          <w:szCs w:val="20"/>
        </w:rPr>
        <w:t>C</w:t>
      </w:r>
      <w:r w:rsidRPr="00C814C3">
        <w:rPr>
          <w:rFonts w:ascii="Arial" w:hAnsi="Arial" w:cs="Arial"/>
          <w:sz w:val="20"/>
          <w:szCs w:val="20"/>
        </w:rPr>
        <w:t xml:space="preserve"> over</w:t>
      </w:r>
      <w:proofErr w:type="spellEnd"/>
      <w:r w:rsidRPr="00C814C3">
        <w:rPr>
          <w:rFonts w:ascii="Arial" w:hAnsi="Arial" w:cs="Arial"/>
          <w:sz w:val="20"/>
          <w:szCs w:val="20"/>
        </w:rPr>
        <w:t xml:space="preserve"> </w:t>
      </w:r>
      <w:r w:rsidRPr="00C814C3">
        <w:rPr>
          <w:rStyle w:val="Strong"/>
          <w:rFonts w:ascii="Arial" w:hAnsi="Arial" w:cs="Arial"/>
          <w:b w:val="0"/>
          <w:bCs w:val="0"/>
          <w:sz w:val="20"/>
          <w:szCs w:val="20"/>
        </w:rPr>
        <w:t>several hours</w:t>
      </w:r>
      <w:r w:rsidRPr="00C814C3">
        <w:rPr>
          <w:rFonts w:ascii="Arial" w:hAnsi="Arial" w:cs="Arial"/>
          <w:sz w:val="20"/>
          <w:szCs w:val="20"/>
        </w:rPr>
        <w:t xml:space="preserve"> in the absence of oxygen. Slow pyrolysis maximizes </w:t>
      </w:r>
      <w:r w:rsidRPr="00C814C3">
        <w:rPr>
          <w:rStyle w:val="Strong"/>
          <w:rFonts w:ascii="Arial" w:hAnsi="Arial" w:cs="Arial"/>
          <w:b w:val="0"/>
          <w:bCs w:val="0"/>
          <w:sz w:val="20"/>
          <w:szCs w:val="20"/>
        </w:rPr>
        <w:t>biochar yield</w:t>
      </w:r>
      <w:r w:rsidRPr="00C814C3">
        <w:rPr>
          <w:rFonts w:ascii="Arial" w:hAnsi="Arial" w:cs="Arial"/>
          <w:sz w:val="20"/>
          <w:szCs w:val="20"/>
        </w:rPr>
        <w:t xml:space="preserve"> (typically 30–35% by weight), making it suitable for soil applications. It produces biochar with </w:t>
      </w:r>
      <w:r w:rsidRPr="00C814C3">
        <w:rPr>
          <w:rStyle w:val="Strong"/>
          <w:rFonts w:ascii="Arial" w:hAnsi="Arial" w:cs="Arial"/>
          <w:b w:val="0"/>
          <w:bCs w:val="0"/>
          <w:sz w:val="20"/>
          <w:szCs w:val="20"/>
        </w:rPr>
        <w:t>high fixed carbon</w:t>
      </w:r>
      <w:r w:rsidRPr="00C814C3">
        <w:rPr>
          <w:rFonts w:ascii="Arial" w:hAnsi="Arial" w:cs="Arial"/>
          <w:sz w:val="20"/>
          <w:szCs w:val="20"/>
        </w:rPr>
        <w:t xml:space="preserve">, </w:t>
      </w:r>
      <w:r w:rsidRPr="00C814C3">
        <w:rPr>
          <w:rStyle w:val="Strong"/>
          <w:rFonts w:ascii="Arial" w:hAnsi="Arial" w:cs="Arial"/>
          <w:b w:val="0"/>
          <w:bCs w:val="0"/>
          <w:sz w:val="20"/>
          <w:szCs w:val="20"/>
        </w:rPr>
        <w:t>stable aromatic structures</w:t>
      </w:r>
      <w:r w:rsidRPr="00C814C3">
        <w:rPr>
          <w:rFonts w:ascii="Arial" w:hAnsi="Arial" w:cs="Arial"/>
          <w:sz w:val="20"/>
          <w:szCs w:val="20"/>
        </w:rPr>
        <w:t xml:space="preserve">, and </w:t>
      </w:r>
      <w:r w:rsidRPr="00C814C3">
        <w:rPr>
          <w:rStyle w:val="Strong"/>
          <w:rFonts w:ascii="Arial" w:hAnsi="Arial" w:cs="Arial"/>
          <w:b w:val="0"/>
          <w:bCs w:val="0"/>
          <w:sz w:val="20"/>
          <w:szCs w:val="20"/>
        </w:rPr>
        <w:t>good porosity</w:t>
      </w:r>
      <w:r w:rsidRPr="00C814C3">
        <w:rPr>
          <w:rFonts w:ascii="Arial" w:hAnsi="Arial" w:cs="Arial"/>
          <w:sz w:val="20"/>
          <w:szCs w:val="20"/>
        </w:rPr>
        <w:t>, enhancing its persistence in soil and effectiveness as an amendment.</w:t>
      </w:r>
      <w:r>
        <w:rPr>
          <w:rFonts w:ascii="Arial" w:hAnsi="Arial" w:cs="Arial"/>
          <w:sz w:val="20"/>
          <w:szCs w:val="20"/>
        </w:rPr>
        <w:t xml:space="preserve"> </w:t>
      </w:r>
      <w:r w:rsidRPr="000D3C7D">
        <w:rPr>
          <w:rStyle w:val="Strong"/>
          <w:rFonts w:ascii="Arial" w:hAnsi="Arial" w:cs="Arial"/>
          <w:b w:val="0"/>
          <w:bCs w:val="0"/>
          <w:sz w:val="20"/>
          <w:szCs w:val="20"/>
        </w:rPr>
        <w:t>Fast/Flash Pyrolysis</w:t>
      </w:r>
      <w:r w:rsidRPr="00C814C3">
        <w:rPr>
          <w:rStyle w:val="Strong"/>
          <w:rFonts w:ascii="Arial" w:hAnsi="Arial" w:cs="Arial"/>
          <w:bCs w:val="0"/>
          <w:i/>
          <w:sz w:val="20"/>
          <w:szCs w:val="20"/>
        </w:rPr>
        <w:t xml:space="preserve"> </w:t>
      </w:r>
      <w:r w:rsidRPr="00C814C3">
        <w:rPr>
          <w:rFonts w:ascii="Arial" w:hAnsi="Arial" w:cs="Arial"/>
          <w:sz w:val="20"/>
          <w:szCs w:val="20"/>
        </w:rPr>
        <w:t xml:space="preserve">method operates at </w:t>
      </w:r>
      <w:r w:rsidRPr="00C814C3">
        <w:rPr>
          <w:rStyle w:val="Strong"/>
          <w:rFonts w:ascii="Arial" w:hAnsi="Arial" w:cs="Arial"/>
          <w:b w:val="0"/>
          <w:bCs w:val="0"/>
          <w:sz w:val="20"/>
          <w:szCs w:val="20"/>
        </w:rPr>
        <w:t>higher temperatures (450–700°C)</w:t>
      </w:r>
      <w:r w:rsidRPr="00C814C3">
        <w:rPr>
          <w:rFonts w:ascii="Arial" w:hAnsi="Arial" w:cs="Arial"/>
          <w:sz w:val="20"/>
          <w:szCs w:val="20"/>
        </w:rPr>
        <w:t xml:space="preserve"> and with </w:t>
      </w:r>
      <w:r w:rsidRPr="00C814C3">
        <w:rPr>
          <w:rStyle w:val="Strong"/>
          <w:rFonts w:ascii="Arial" w:hAnsi="Arial" w:cs="Arial"/>
          <w:b w:val="0"/>
          <w:bCs w:val="0"/>
          <w:sz w:val="20"/>
          <w:szCs w:val="20"/>
        </w:rPr>
        <w:t>short residence times</w:t>
      </w:r>
      <w:r w:rsidRPr="00C814C3">
        <w:rPr>
          <w:rFonts w:ascii="Arial" w:hAnsi="Arial" w:cs="Arial"/>
          <w:sz w:val="20"/>
          <w:szCs w:val="20"/>
        </w:rPr>
        <w:t xml:space="preserve"> (seconds to minutes), yielding more </w:t>
      </w:r>
      <w:r w:rsidRPr="00C814C3">
        <w:rPr>
          <w:rStyle w:val="Strong"/>
          <w:rFonts w:ascii="Arial" w:hAnsi="Arial" w:cs="Arial"/>
          <w:b w:val="0"/>
          <w:bCs w:val="0"/>
          <w:sz w:val="20"/>
          <w:szCs w:val="20"/>
        </w:rPr>
        <w:t>bio-oil</w:t>
      </w:r>
      <w:r w:rsidRPr="00C814C3">
        <w:rPr>
          <w:rFonts w:ascii="Arial" w:hAnsi="Arial" w:cs="Arial"/>
          <w:sz w:val="20"/>
          <w:szCs w:val="20"/>
        </w:rPr>
        <w:t xml:space="preserve"> and </w:t>
      </w:r>
      <w:r w:rsidRPr="00C814C3">
        <w:rPr>
          <w:rStyle w:val="Strong"/>
          <w:rFonts w:ascii="Arial" w:hAnsi="Arial" w:cs="Arial"/>
          <w:b w:val="0"/>
          <w:bCs w:val="0"/>
          <w:sz w:val="20"/>
          <w:szCs w:val="20"/>
        </w:rPr>
        <w:t>syngas</w:t>
      </w:r>
      <w:r w:rsidRPr="00C814C3">
        <w:rPr>
          <w:rFonts w:ascii="Arial" w:hAnsi="Arial" w:cs="Arial"/>
          <w:sz w:val="20"/>
          <w:szCs w:val="20"/>
        </w:rPr>
        <w:t xml:space="preserve"> but significantly less biochar (10–15%)</w:t>
      </w:r>
      <w:r>
        <w:rPr>
          <w:rFonts w:ascii="Arial" w:hAnsi="Arial" w:cs="Arial"/>
          <w:sz w:val="20"/>
          <w:szCs w:val="20"/>
        </w:rPr>
        <w:t xml:space="preserve"> (</w:t>
      </w:r>
      <w:proofErr w:type="spellStart"/>
      <w:r>
        <w:rPr>
          <w:rFonts w:ascii="Arial" w:hAnsi="Arial" w:cs="Arial"/>
          <w:color w:val="222222"/>
          <w:sz w:val="20"/>
          <w:szCs w:val="20"/>
          <w:shd w:val="clear" w:color="auto" w:fill="FFFFFF"/>
        </w:rPr>
        <w:t>Amenaghawon</w:t>
      </w:r>
      <w:proofErr w:type="spellEnd"/>
      <w:r>
        <w:rPr>
          <w:rFonts w:ascii="Arial" w:hAnsi="Arial" w:cs="Arial"/>
          <w:color w:val="222222"/>
          <w:sz w:val="20"/>
          <w:szCs w:val="20"/>
          <w:shd w:val="clear" w:color="auto" w:fill="FFFFFF"/>
        </w:rPr>
        <w:t xml:space="preserve"> et al., 2021</w:t>
      </w:r>
      <w:r>
        <w:rPr>
          <w:rFonts w:ascii="Arial" w:hAnsi="Arial" w:cs="Arial"/>
          <w:sz w:val="20"/>
          <w:szCs w:val="20"/>
        </w:rPr>
        <w:t>)</w:t>
      </w:r>
      <w:r w:rsidRPr="00C814C3">
        <w:rPr>
          <w:rFonts w:ascii="Arial" w:hAnsi="Arial" w:cs="Arial"/>
          <w:sz w:val="20"/>
          <w:szCs w:val="20"/>
        </w:rPr>
        <w:t>. While the biochar produced may have higher surface area, the method is more energy-intensive and less efficient for biochar-focused objectives.</w:t>
      </w:r>
      <w:r w:rsidRPr="00C814C3">
        <w:rPr>
          <w:rFonts w:ascii="Arial" w:hAnsi="Arial" w:cs="Arial"/>
          <w:b/>
          <w:i/>
          <w:sz w:val="20"/>
          <w:szCs w:val="20"/>
        </w:rPr>
        <w:t xml:space="preserve"> </w:t>
      </w:r>
      <w:r w:rsidRPr="000D3C7D">
        <w:rPr>
          <w:rStyle w:val="Strong"/>
          <w:rFonts w:ascii="Arial" w:hAnsi="Arial" w:cs="Arial"/>
          <w:b w:val="0"/>
          <w:bCs w:val="0"/>
          <w:sz w:val="20"/>
          <w:szCs w:val="20"/>
        </w:rPr>
        <w:t>Hydrothermal Carbonization (HTC)</w:t>
      </w:r>
      <w:r w:rsidRPr="00C814C3">
        <w:rPr>
          <w:rStyle w:val="Strong"/>
          <w:rFonts w:ascii="Arial" w:hAnsi="Arial" w:cs="Arial"/>
          <w:bCs w:val="0"/>
          <w:i/>
          <w:sz w:val="20"/>
          <w:szCs w:val="20"/>
        </w:rPr>
        <w:t xml:space="preserve"> </w:t>
      </w:r>
      <w:r w:rsidRPr="00C814C3">
        <w:rPr>
          <w:rFonts w:ascii="Arial" w:hAnsi="Arial" w:cs="Arial"/>
          <w:sz w:val="20"/>
          <w:szCs w:val="20"/>
        </w:rPr>
        <w:t xml:space="preserve">performed under </w:t>
      </w:r>
      <w:r w:rsidRPr="00C814C3">
        <w:rPr>
          <w:rStyle w:val="Strong"/>
          <w:rFonts w:ascii="Arial" w:hAnsi="Arial" w:cs="Arial"/>
          <w:b w:val="0"/>
          <w:bCs w:val="0"/>
          <w:sz w:val="20"/>
          <w:szCs w:val="20"/>
        </w:rPr>
        <w:t>high-pressure, low-oxygen, aqueous conditions</w:t>
      </w:r>
      <w:r w:rsidRPr="00C814C3">
        <w:rPr>
          <w:rFonts w:ascii="Arial" w:hAnsi="Arial" w:cs="Arial"/>
          <w:sz w:val="20"/>
          <w:szCs w:val="20"/>
        </w:rPr>
        <w:t xml:space="preserve"> at </w:t>
      </w:r>
      <w:r w:rsidRPr="00C814C3">
        <w:rPr>
          <w:rStyle w:val="Strong"/>
          <w:rFonts w:ascii="Arial" w:hAnsi="Arial" w:cs="Arial"/>
          <w:b w:val="0"/>
          <w:bCs w:val="0"/>
          <w:sz w:val="20"/>
          <w:szCs w:val="20"/>
        </w:rPr>
        <w:t>180–250°C</w:t>
      </w:r>
      <w:r w:rsidRPr="00C814C3">
        <w:rPr>
          <w:rFonts w:ascii="Arial" w:hAnsi="Arial" w:cs="Arial"/>
          <w:sz w:val="20"/>
          <w:szCs w:val="20"/>
        </w:rPr>
        <w:t xml:space="preserve">, particularly suitable for </w:t>
      </w:r>
      <w:r w:rsidRPr="00C814C3">
        <w:rPr>
          <w:rStyle w:val="Strong"/>
          <w:rFonts w:ascii="Arial" w:hAnsi="Arial" w:cs="Arial"/>
          <w:b w:val="0"/>
          <w:bCs w:val="0"/>
          <w:sz w:val="20"/>
          <w:szCs w:val="20"/>
        </w:rPr>
        <w:t>wet biomass</w:t>
      </w:r>
      <w:r w:rsidRPr="00C814C3">
        <w:rPr>
          <w:rFonts w:ascii="Arial" w:hAnsi="Arial" w:cs="Arial"/>
          <w:sz w:val="20"/>
          <w:szCs w:val="20"/>
        </w:rPr>
        <w:t xml:space="preserve"> like fresh sugarcane bagasse</w:t>
      </w:r>
      <w:r>
        <w:rPr>
          <w:rFonts w:ascii="Arial" w:hAnsi="Arial" w:cs="Arial"/>
          <w:sz w:val="20"/>
          <w:szCs w:val="20"/>
        </w:rPr>
        <w:t xml:space="preserve"> (</w:t>
      </w:r>
      <w:proofErr w:type="spellStart"/>
      <w:r>
        <w:rPr>
          <w:rFonts w:ascii="Arial" w:hAnsi="Arial" w:cs="Arial"/>
          <w:color w:val="222222"/>
          <w:sz w:val="20"/>
          <w:szCs w:val="20"/>
          <w:shd w:val="clear" w:color="auto" w:fill="FFFFFF"/>
        </w:rPr>
        <w:t>Hussin</w:t>
      </w:r>
      <w:proofErr w:type="spellEnd"/>
      <w:r>
        <w:rPr>
          <w:rFonts w:ascii="Arial" w:hAnsi="Arial" w:cs="Arial"/>
          <w:color w:val="222222"/>
          <w:sz w:val="20"/>
          <w:szCs w:val="20"/>
          <w:shd w:val="clear" w:color="auto" w:fill="FFFFFF"/>
        </w:rPr>
        <w:t xml:space="preserve"> et al., 2023</w:t>
      </w:r>
      <w:r>
        <w:rPr>
          <w:rFonts w:ascii="Arial" w:hAnsi="Arial" w:cs="Arial"/>
          <w:sz w:val="20"/>
          <w:szCs w:val="20"/>
        </w:rPr>
        <w:t>)</w:t>
      </w:r>
      <w:r w:rsidRPr="00C814C3">
        <w:rPr>
          <w:rFonts w:ascii="Arial" w:hAnsi="Arial" w:cs="Arial"/>
          <w:sz w:val="20"/>
          <w:szCs w:val="20"/>
        </w:rPr>
        <w:t xml:space="preserve">. The product, known as </w:t>
      </w:r>
      <w:proofErr w:type="spellStart"/>
      <w:r w:rsidRPr="00C814C3">
        <w:rPr>
          <w:rStyle w:val="Strong"/>
          <w:rFonts w:ascii="Arial" w:hAnsi="Arial" w:cs="Arial"/>
          <w:b w:val="0"/>
          <w:bCs w:val="0"/>
          <w:sz w:val="20"/>
          <w:szCs w:val="20"/>
        </w:rPr>
        <w:t>hydrochar</w:t>
      </w:r>
      <w:proofErr w:type="spellEnd"/>
      <w:r w:rsidRPr="00C814C3">
        <w:rPr>
          <w:rFonts w:ascii="Arial" w:hAnsi="Arial" w:cs="Arial"/>
          <w:sz w:val="20"/>
          <w:szCs w:val="20"/>
        </w:rPr>
        <w:t>, has high energy density but differs chemically from pyrolytic biochar. Although it shows promise for energy and adsorptive applications, its agronomic effectiveness is generally lower than that of pyrolytic biochar.</w:t>
      </w:r>
      <w:r w:rsidRPr="000D3C7D">
        <w:t xml:space="preserve"> </w:t>
      </w:r>
      <w:r w:rsidRPr="00DB23EF">
        <w:rPr>
          <w:rFonts w:ascii="Arial" w:hAnsi="Arial" w:cs="Arial"/>
          <w:sz w:val="20"/>
          <w:szCs w:val="20"/>
          <w:highlight w:val="yellow"/>
        </w:rPr>
        <w:t xml:space="preserve">Comparison of Thermochemical Methods for Biochar and </w:t>
      </w:r>
      <w:proofErr w:type="spellStart"/>
      <w:r w:rsidRPr="00DB23EF">
        <w:rPr>
          <w:rFonts w:ascii="Arial" w:hAnsi="Arial" w:cs="Arial"/>
          <w:sz w:val="20"/>
          <w:szCs w:val="20"/>
          <w:highlight w:val="yellow"/>
        </w:rPr>
        <w:t>Hydrochar</w:t>
      </w:r>
      <w:proofErr w:type="spellEnd"/>
      <w:r w:rsidRPr="00DB23EF">
        <w:rPr>
          <w:rFonts w:ascii="Arial" w:hAnsi="Arial" w:cs="Arial"/>
          <w:sz w:val="20"/>
          <w:szCs w:val="20"/>
          <w:highlight w:val="yellow"/>
        </w:rPr>
        <w:t xml:space="preserve"> Production from Biomass tabulated in Table 1.</w:t>
      </w:r>
    </w:p>
    <w:p w14:paraId="64CE2433" w14:textId="77777777" w:rsidR="00DB23EF" w:rsidRPr="00DB23EF" w:rsidRDefault="00DB23EF" w:rsidP="00DB23EF">
      <w:pPr>
        <w:pStyle w:val="NoSpacing"/>
        <w:ind w:left="0"/>
        <w:rPr>
          <w:rFonts w:ascii="Arial" w:hAnsi="Arial" w:cs="Arial"/>
          <w:sz w:val="20"/>
          <w:szCs w:val="20"/>
          <w:highlight w:val="yellow"/>
        </w:rPr>
      </w:pPr>
      <w:bookmarkStart w:id="11" w:name="_Hlk195815808"/>
      <w:bookmarkEnd w:id="10"/>
    </w:p>
    <w:p w14:paraId="534FB548" w14:textId="77777777" w:rsidR="00DB23EF" w:rsidRPr="00DB23EF" w:rsidRDefault="00DB23EF" w:rsidP="00DB23EF">
      <w:pPr>
        <w:pStyle w:val="NoSpacing"/>
        <w:jc w:val="center"/>
        <w:rPr>
          <w:rFonts w:ascii="Arial" w:hAnsi="Arial" w:cs="Arial"/>
          <w:sz w:val="20"/>
          <w:szCs w:val="20"/>
          <w:highlight w:val="yellow"/>
        </w:rPr>
      </w:pPr>
      <w:r w:rsidRPr="00DB23EF">
        <w:rPr>
          <w:rStyle w:val="Strong"/>
          <w:rFonts w:ascii="Arial" w:hAnsi="Arial" w:cs="Arial"/>
          <w:bCs w:val="0"/>
          <w:sz w:val="20"/>
          <w:szCs w:val="20"/>
          <w:highlight w:val="yellow"/>
        </w:rPr>
        <w:t xml:space="preserve">Table 1: Comparison of Thermochemical Methods for Biochar and </w:t>
      </w:r>
      <w:proofErr w:type="spellStart"/>
      <w:r w:rsidRPr="00DB23EF">
        <w:rPr>
          <w:rStyle w:val="Strong"/>
          <w:rFonts w:ascii="Arial" w:hAnsi="Arial" w:cs="Arial"/>
          <w:bCs w:val="0"/>
          <w:sz w:val="20"/>
          <w:szCs w:val="20"/>
          <w:highlight w:val="yellow"/>
        </w:rPr>
        <w:t>Hydrochar</w:t>
      </w:r>
      <w:proofErr w:type="spellEnd"/>
      <w:r w:rsidRPr="00DB23EF">
        <w:rPr>
          <w:rStyle w:val="Strong"/>
          <w:rFonts w:ascii="Arial" w:hAnsi="Arial" w:cs="Arial"/>
          <w:bCs w:val="0"/>
          <w:sz w:val="20"/>
          <w:szCs w:val="20"/>
          <w:highlight w:val="yellow"/>
        </w:rPr>
        <w:t xml:space="preserve"> Production from Biomass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1442"/>
        <w:gridCol w:w="1442"/>
        <w:gridCol w:w="1442"/>
        <w:gridCol w:w="1442"/>
        <w:gridCol w:w="1443"/>
      </w:tblGrid>
      <w:tr w:rsidR="00DB23EF" w:rsidRPr="00DB23EF" w14:paraId="1D2AF749" w14:textId="77777777" w:rsidTr="008B4BB0">
        <w:trPr>
          <w:jc w:val="center"/>
        </w:trPr>
        <w:tc>
          <w:tcPr>
            <w:tcW w:w="1442" w:type="dxa"/>
            <w:tcBorders>
              <w:top w:val="single" w:sz="4" w:space="0" w:color="auto"/>
              <w:bottom w:val="single" w:sz="4" w:space="0" w:color="auto"/>
            </w:tcBorders>
            <w:vAlign w:val="center"/>
          </w:tcPr>
          <w:p w14:paraId="33EA758E" w14:textId="77777777" w:rsidR="00DB23EF" w:rsidRPr="00DB23EF" w:rsidRDefault="00DB23EF" w:rsidP="008B4BB0">
            <w:pPr>
              <w:pStyle w:val="NormalWeb"/>
              <w:jc w:val="center"/>
              <w:rPr>
                <w:rFonts w:ascii="Arial" w:hAnsi="Arial" w:cs="Arial"/>
                <w:sz w:val="20"/>
                <w:szCs w:val="20"/>
                <w:highlight w:val="yellow"/>
              </w:rPr>
            </w:pPr>
            <w:r w:rsidRPr="00DB23EF">
              <w:rPr>
                <w:rStyle w:val="Strong"/>
                <w:rFonts w:ascii="Arial" w:hAnsi="Arial" w:cs="Arial"/>
                <w:sz w:val="20"/>
                <w:szCs w:val="20"/>
                <w:highlight w:val="yellow"/>
              </w:rPr>
              <w:t>Method</w:t>
            </w:r>
          </w:p>
        </w:tc>
        <w:tc>
          <w:tcPr>
            <w:tcW w:w="1442" w:type="dxa"/>
            <w:tcBorders>
              <w:top w:val="single" w:sz="4" w:space="0" w:color="auto"/>
              <w:bottom w:val="single" w:sz="4" w:space="0" w:color="auto"/>
            </w:tcBorders>
            <w:vAlign w:val="center"/>
          </w:tcPr>
          <w:p w14:paraId="44AC9FBA" w14:textId="77777777" w:rsidR="00DB23EF" w:rsidRPr="00DB23EF" w:rsidRDefault="00DB23EF" w:rsidP="008B4BB0">
            <w:pPr>
              <w:pStyle w:val="NormalWeb"/>
              <w:jc w:val="center"/>
              <w:rPr>
                <w:rFonts w:ascii="Arial" w:hAnsi="Arial" w:cs="Arial"/>
                <w:sz w:val="20"/>
                <w:szCs w:val="20"/>
                <w:highlight w:val="yellow"/>
              </w:rPr>
            </w:pPr>
            <w:r w:rsidRPr="00DB23EF">
              <w:rPr>
                <w:rStyle w:val="Strong"/>
                <w:rFonts w:ascii="Arial" w:hAnsi="Arial" w:cs="Arial"/>
                <w:sz w:val="20"/>
                <w:szCs w:val="20"/>
                <w:highlight w:val="yellow"/>
              </w:rPr>
              <w:t>Temp (°C)</w:t>
            </w:r>
          </w:p>
        </w:tc>
        <w:tc>
          <w:tcPr>
            <w:tcW w:w="1442" w:type="dxa"/>
            <w:tcBorders>
              <w:top w:val="single" w:sz="4" w:space="0" w:color="auto"/>
              <w:bottom w:val="single" w:sz="4" w:space="0" w:color="auto"/>
            </w:tcBorders>
            <w:vAlign w:val="center"/>
          </w:tcPr>
          <w:p w14:paraId="2D7885ED" w14:textId="77777777" w:rsidR="00DB23EF" w:rsidRPr="00DB23EF" w:rsidRDefault="00DB23EF" w:rsidP="008B4BB0">
            <w:pPr>
              <w:pStyle w:val="NormalWeb"/>
              <w:jc w:val="center"/>
              <w:rPr>
                <w:rFonts w:ascii="Arial" w:hAnsi="Arial" w:cs="Arial"/>
                <w:sz w:val="20"/>
                <w:szCs w:val="20"/>
                <w:highlight w:val="yellow"/>
              </w:rPr>
            </w:pPr>
            <w:r w:rsidRPr="00DB23EF">
              <w:rPr>
                <w:rStyle w:val="Strong"/>
                <w:rFonts w:ascii="Arial" w:hAnsi="Arial" w:cs="Arial"/>
                <w:sz w:val="20"/>
                <w:szCs w:val="20"/>
                <w:highlight w:val="yellow"/>
              </w:rPr>
              <w:t>Residence Time</w:t>
            </w:r>
          </w:p>
        </w:tc>
        <w:tc>
          <w:tcPr>
            <w:tcW w:w="1442" w:type="dxa"/>
            <w:tcBorders>
              <w:top w:val="single" w:sz="4" w:space="0" w:color="auto"/>
              <w:bottom w:val="single" w:sz="4" w:space="0" w:color="auto"/>
            </w:tcBorders>
            <w:vAlign w:val="center"/>
          </w:tcPr>
          <w:p w14:paraId="03B6A965" w14:textId="77777777" w:rsidR="00DB23EF" w:rsidRPr="00DB23EF" w:rsidRDefault="00DB23EF" w:rsidP="008B4BB0">
            <w:pPr>
              <w:pStyle w:val="NormalWeb"/>
              <w:jc w:val="center"/>
              <w:rPr>
                <w:rFonts w:ascii="Arial" w:hAnsi="Arial" w:cs="Arial"/>
                <w:sz w:val="20"/>
                <w:szCs w:val="20"/>
                <w:highlight w:val="yellow"/>
              </w:rPr>
            </w:pPr>
            <w:r w:rsidRPr="00DB23EF">
              <w:rPr>
                <w:rStyle w:val="Strong"/>
                <w:rFonts w:ascii="Arial" w:hAnsi="Arial" w:cs="Arial"/>
                <w:sz w:val="20"/>
                <w:szCs w:val="20"/>
                <w:highlight w:val="yellow"/>
              </w:rPr>
              <w:t>Biochar Yield (%)</w:t>
            </w:r>
          </w:p>
        </w:tc>
        <w:tc>
          <w:tcPr>
            <w:tcW w:w="1442" w:type="dxa"/>
            <w:tcBorders>
              <w:top w:val="single" w:sz="4" w:space="0" w:color="auto"/>
              <w:bottom w:val="single" w:sz="4" w:space="0" w:color="auto"/>
            </w:tcBorders>
            <w:vAlign w:val="center"/>
          </w:tcPr>
          <w:p w14:paraId="118D486F" w14:textId="77777777" w:rsidR="00DB23EF" w:rsidRPr="00DB23EF" w:rsidRDefault="00DB23EF" w:rsidP="008B4BB0">
            <w:pPr>
              <w:pStyle w:val="NormalWeb"/>
              <w:jc w:val="center"/>
              <w:rPr>
                <w:rFonts w:ascii="Arial" w:hAnsi="Arial" w:cs="Arial"/>
                <w:sz w:val="20"/>
                <w:szCs w:val="20"/>
                <w:highlight w:val="yellow"/>
              </w:rPr>
            </w:pPr>
            <w:r w:rsidRPr="00DB23EF">
              <w:rPr>
                <w:rStyle w:val="Strong"/>
                <w:rFonts w:ascii="Arial" w:hAnsi="Arial" w:cs="Arial"/>
                <w:sz w:val="20"/>
                <w:szCs w:val="20"/>
                <w:highlight w:val="yellow"/>
              </w:rPr>
              <w:t>Advantages</w:t>
            </w:r>
          </w:p>
        </w:tc>
        <w:tc>
          <w:tcPr>
            <w:tcW w:w="1443" w:type="dxa"/>
            <w:tcBorders>
              <w:top w:val="single" w:sz="4" w:space="0" w:color="auto"/>
              <w:bottom w:val="single" w:sz="4" w:space="0" w:color="auto"/>
            </w:tcBorders>
            <w:vAlign w:val="center"/>
          </w:tcPr>
          <w:p w14:paraId="74207B66" w14:textId="77777777" w:rsidR="00DB23EF" w:rsidRPr="00DB23EF" w:rsidRDefault="00DB23EF" w:rsidP="008B4BB0">
            <w:pPr>
              <w:pStyle w:val="NormalWeb"/>
              <w:jc w:val="center"/>
              <w:rPr>
                <w:rFonts w:ascii="Arial" w:hAnsi="Arial" w:cs="Arial"/>
                <w:sz w:val="20"/>
                <w:szCs w:val="20"/>
                <w:highlight w:val="yellow"/>
              </w:rPr>
            </w:pPr>
            <w:r w:rsidRPr="00DB23EF">
              <w:rPr>
                <w:rStyle w:val="Strong"/>
                <w:rFonts w:ascii="Arial" w:hAnsi="Arial" w:cs="Arial"/>
                <w:sz w:val="20"/>
                <w:szCs w:val="20"/>
                <w:highlight w:val="yellow"/>
              </w:rPr>
              <w:t>Limitations</w:t>
            </w:r>
          </w:p>
        </w:tc>
      </w:tr>
      <w:tr w:rsidR="00DB23EF" w:rsidRPr="00DB23EF" w14:paraId="5A70A121" w14:textId="77777777" w:rsidTr="008B4BB0">
        <w:trPr>
          <w:jc w:val="center"/>
        </w:trPr>
        <w:tc>
          <w:tcPr>
            <w:tcW w:w="1442" w:type="dxa"/>
            <w:tcBorders>
              <w:top w:val="single" w:sz="4" w:space="0" w:color="auto"/>
            </w:tcBorders>
            <w:vAlign w:val="center"/>
          </w:tcPr>
          <w:p w14:paraId="145D6F7C" w14:textId="77777777" w:rsidR="00DB23EF" w:rsidRPr="00DB23EF" w:rsidRDefault="00DB23EF" w:rsidP="008B4BB0">
            <w:pPr>
              <w:pStyle w:val="NormalWeb"/>
              <w:jc w:val="center"/>
              <w:rPr>
                <w:rFonts w:ascii="Arial" w:hAnsi="Arial" w:cs="Arial"/>
                <w:b/>
                <w:sz w:val="20"/>
                <w:szCs w:val="20"/>
                <w:highlight w:val="yellow"/>
              </w:rPr>
            </w:pPr>
            <w:r w:rsidRPr="00DB23EF">
              <w:rPr>
                <w:rFonts w:ascii="Arial" w:hAnsi="Arial" w:cs="Arial"/>
                <w:b/>
                <w:sz w:val="20"/>
                <w:szCs w:val="20"/>
                <w:highlight w:val="yellow"/>
              </w:rPr>
              <w:t>Slow Pyrolysis</w:t>
            </w:r>
          </w:p>
        </w:tc>
        <w:tc>
          <w:tcPr>
            <w:tcW w:w="1442" w:type="dxa"/>
            <w:tcBorders>
              <w:top w:val="single" w:sz="4" w:space="0" w:color="auto"/>
            </w:tcBorders>
            <w:vAlign w:val="center"/>
          </w:tcPr>
          <w:p w14:paraId="5F8A91DB" w14:textId="77777777" w:rsidR="00DB23EF" w:rsidRPr="00DB23EF" w:rsidRDefault="00DB23EF" w:rsidP="008B4BB0">
            <w:pPr>
              <w:pStyle w:val="NormalWeb"/>
              <w:jc w:val="center"/>
              <w:rPr>
                <w:rFonts w:ascii="Arial" w:hAnsi="Arial" w:cs="Arial"/>
                <w:sz w:val="20"/>
                <w:szCs w:val="20"/>
                <w:highlight w:val="yellow"/>
              </w:rPr>
            </w:pPr>
            <w:r w:rsidRPr="00DB23EF">
              <w:rPr>
                <w:rFonts w:ascii="Arial" w:hAnsi="Arial" w:cs="Arial"/>
                <w:sz w:val="20"/>
                <w:szCs w:val="20"/>
                <w:highlight w:val="yellow"/>
              </w:rPr>
              <w:t>300–600</w:t>
            </w:r>
          </w:p>
        </w:tc>
        <w:tc>
          <w:tcPr>
            <w:tcW w:w="1442" w:type="dxa"/>
            <w:tcBorders>
              <w:top w:val="single" w:sz="4" w:space="0" w:color="auto"/>
            </w:tcBorders>
            <w:vAlign w:val="center"/>
          </w:tcPr>
          <w:p w14:paraId="620A6608" w14:textId="77777777" w:rsidR="00DB23EF" w:rsidRPr="00DB23EF" w:rsidRDefault="00DB23EF" w:rsidP="008B4BB0">
            <w:pPr>
              <w:pStyle w:val="NormalWeb"/>
              <w:jc w:val="center"/>
              <w:rPr>
                <w:rFonts w:ascii="Arial" w:hAnsi="Arial" w:cs="Arial"/>
                <w:sz w:val="20"/>
                <w:szCs w:val="20"/>
                <w:highlight w:val="yellow"/>
              </w:rPr>
            </w:pPr>
            <w:r w:rsidRPr="00DB23EF">
              <w:rPr>
                <w:rFonts w:ascii="Arial" w:hAnsi="Arial" w:cs="Arial"/>
                <w:sz w:val="20"/>
                <w:szCs w:val="20"/>
                <w:highlight w:val="yellow"/>
              </w:rPr>
              <w:t>Several hours</w:t>
            </w:r>
          </w:p>
        </w:tc>
        <w:tc>
          <w:tcPr>
            <w:tcW w:w="1442" w:type="dxa"/>
            <w:tcBorders>
              <w:top w:val="single" w:sz="4" w:space="0" w:color="auto"/>
            </w:tcBorders>
            <w:vAlign w:val="center"/>
          </w:tcPr>
          <w:p w14:paraId="43F93B30" w14:textId="77777777" w:rsidR="00DB23EF" w:rsidRPr="00DB23EF" w:rsidRDefault="00DB23EF" w:rsidP="008B4BB0">
            <w:pPr>
              <w:pStyle w:val="NormalWeb"/>
              <w:jc w:val="center"/>
              <w:rPr>
                <w:rFonts w:ascii="Arial" w:hAnsi="Arial" w:cs="Arial"/>
                <w:sz w:val="20"/>
                <w:szCs w:val="20"/>
                <w:highlight w:val="yellow"/>
              </w:rPr>
            </w:pPr>
            <w:r w:rsidRPr="00DB23EF">
              <w:rPr>
                <w:rFonts w:ascii="Arial" w:hAnsi="Arial" w:cs="Arial"/>
                <w:sz w:val="20"/>
                <w:szCs w:val="20"/>
                <w:highlight w:val="yellow"/>
              </w:rPr>
              <w:t>30–35</w:t>
            </w:r>
          </w:p>
        </w:tc>
        <w:tc>
          <w:tcPr>
            <w:tcW w:w="1442" w:type="dxa"/>
            <w:tcBorders>
              <w:top w:val="single" w:sz="4" w:space="0" w:color="auto"/>
            </w:tcBorders>
            <w:vAlign w:val="center"/>
          </w:tcPr>
          <w:p w14:paraId="4B608B0F" w14:textId="77777777" w:rsidR="00DB23EF" w:rsidRPr="00DB23EF" w:rsidRDefault="00DB23EF" w:rsidP="008B4BB0">
            <w:pPr>
              <w:pStyle w:val="NormalWeb"/>
              <w:jc w:val="center"/>
              <w:rPr>
                <w:rFonts w:ascii="Arial" w:hAnsi="Arial" w:cs="Arial"/>
                <w:sz w:val="20"/>
                <w:szCs w:val="20"/>
                <w:highlight w:val="yellow"/>
              </w:rPr>
            </w:pPr>
            <w:r w:rsidRPr="00DB23EF">
              <w:rPr>
                <w:rFonts w:ascii="Arial" w:hAnsi="Arial" w:cs="Arial"/>
                <w:sz w:val="20"/>
                <w:szCs w:val="20"/>
                <w:highlight w:val="yellow"/>
              </w:rPr>
              <w:t>High carbon stability; ideal for soil</w:t>
            </w:r>
          </w:p>
        </w:tc>
        <w:tc>
          <w:tcPr>
            <w:tcW w:w="1443" w:type="dxa"/>
            <w:tcBorders>
              <w:top w:val="single" w:sz="4" w:space="0" w:color="auto"/>
            </w:tcBorders>
            <w:vAlign w:val="center"/>
          </w:tcPr>
          <w:p w14:paraId="51C3AA7F" w14:textId="77777777" w:rsidR="00DB23EF" w:rsidRPr="00DB23EF" w:rsidRDefault="00DB23EF" w:rsidP="008B4BB0">
            <w:pPr>
              <w:pStyle w:val="NormalWeb"/>
              <w:jc w:val="center"/>
              <w:rPr>
                <w:rFonts w:ascii="Arial" w:hAnsi="Arial" w:cs="Arial"/>
                <w:sz w:val="20"/>
                <w:szCs w:val="20"/>
                <w:highlight w:val="yellow"/>
              </w:rPr>
            </w:pPr>
            <w:r w:rsidRPr="00DB23EF">
              <w:rPr>
                <w:rFonts w:ascii="Arial" w:hAnsi="Arial" w:cs="Arial"/>
                <w:sz w:val="20"/>
                <w:szCs w:val="20"/>
                <w:highlight w:val="yellow"/>
              </w:rPr>
              <w:t>Slower process; lower bio-oil yield</w:t>
            </w:r>
          </w:p>
        </w:tc>
      </w:tr>
      <w:tr w:rsidR="00DB23EF" w:rsidRPr="00DB23EF" w14:paraId="58BA85BA" w14:textId="77777777" w:rsidTr="008B4BB0">
        <w:trPr>
          <w:jc w:val="center"/>
        </w:trPr>
        <w:tc>
          <w:tcPr>
            <w:tcW w:w="1442" w:type="dxa"/>
            <w:vAlign w:val="center"/>
          </w:tcPr>
          <w:p w14:paraId="2DE24468" w14:textId="77777777" w:rsidR="00DB23EF" w:rsidRPr="00DB23EF" w:rsidRDefault="00DB23EF" w:rsidP="008B4BB0">
            <w:pPr>
              <w:pStyle w:val="NormalWeb"/>
              <w:jc w:val="center"/>
              <w:rPr>
                <w:rFonts w:ascii="Arial" w:hAnsi="Arial" w:cs="Arial"/>
                <w:b/>
                <w:sz w:val="20"/>
                <w:szCs w:val="20"/>
                <w:highlight w:val="yellow"/>
              </w:rPr>
            </w:pPr>
            <w:r w:rsidRPr="00DB23EF">
              <w:rPr>
                <w:rFonts w:ascii="Arial" w:hAnsi="Arial" w:cs="Arial"/>
                <w:b/>
                <w:sz w:val="20"/>
                <w:szCs w:val="20"/>
                <w:highlight w:val="yellow"/>
              </w:rPr>
              <w:t>Fast Pyrolysis</w:t>
            </w:r>
          </w:p>
        </w:tc>
        <w:tc>
          <w:tcPr>
            <w:tcW w:w="1442" w:type="dxa"/>
            <w:vAlign w:val="center"/>
          </w:tcPr>
          <w:p w14:paraId="5C672651" w14:textId="77777777" w:rsidR="00DB23EF" w:rsidRPr="00DB23EF" w:rsidRDefault="00DB23EF" w:rsidP="008B4BB0">
            <w:pPr>
              <w:pStyle w:val="NormalWeb"/>
              <w:jc w:val="center"/>
              <w:rPr>
                <w:rFonts w:ascii="Arial" w:hAnsi="Arial" w:cs="Arial"/>
                <w:sz w:val="20"/>
                <w:szCs w:val="20"/>
                <w:highlight w:val="yellow"/>
              </w:rPr>
            </w:pPr>
            <w:r w:rsidRPr="00DB23EF">
              <w:rPr>
                <w:rFonts w:ascii="Arial" w:hAnsi="Arial" w:cs="Arial"/>
                <w:sz w:val="20"/>
                <w:szCs w:val="20"/>
                <w:highlight w:val="yellow"/>
              </w:rPr>
              <w:t>450–700</w:t>
            </w:r>
          </w:p>
        </w:tc>
        <w:tc>
          <w:tcPr>
            <w:tcW w:w="1442" w:type="dxa"/>
            <w:vAlign w:val="center"/>
          </w:tcPr>
          <w:p w14:paraId="7C35D7C6" w14:textId="77777777" w:rsidR="00DB23EF" w:rsidRPr="00DB23EF" w:rsidRDefault="00DB23EF" w:rsidP="008B4BB0">
            <w:pPr>
              <w:pStyle w:val="NormalWeb"/>
              <w:jc w:val="center"/>
              <w:rPr>
                <w:rFonts w:ascii="Arial" w:hAnsi="Arial" w:cs="Arial"/>
                <w:sz w:val="20"/>
                <w:szCs w:val="20"/>
                <w:highlight w:val="yellow"/>
              </w:rPr>
            </w:pPr>
            <w:r w:rsidRPr="00DB23EF">
              <w:rPr>
                <w:rFonts w:ascii="Arial" w:hAnsi="Arial" w:cs="Arial"/>
                <w:sz w:val="20"/>
                <w:szCs w:val="20"/>
                <w:highlight w:val="yellow"/>
              </w:rPr>
              <w:t>Seconds to minutes</w:t>
            </w:r>
          </w:p>
        </w:tc>
        <w:tc>
          <w:tcPr>
            <w:tcW w:w="1442" w:type="dxa"/>
            <w:vAlign w:val="center"/>
          </w:tcPr>
          <w:p w14:paraId="38A3CBC7" w14:textId="77777777" w:rsidR="00DB23EF" w:rsidRPr="00DB23EF" w:rsidRDefault="00DB23EF" w:rsidP="008B4BB0">
            <w:pPr>
              <w:pStyle w:val="NormalWeb"/>
              <w:jc w:val="center"/>
              <w:rPr>
                <w:rFonts w:ascii="Arial" w:hAnsi="Arial" w:cs="Arial"/>
                <w:sz w:val="20"/>
                <w:szCs w:val="20"/>
                <w:highlight w:val="yellow"/>
              </w:rPr>
            </w:pPr>
            <w:r w:rsidRPr="00DB23EF">
              <w:rPr>
                <w:rFonts w:ascii="Arial" w:hAnsi="Arial" w:cs="Arial"/>
                <w:sz w:val="20"/>
                <w:szCs w:val="20"/>
                <w:highlight w:val="yellow"/>
              </w:rPr>
              <w:t>10–15</w:t>
            </w:r>
          </w:p>
        </w:tc>
        <w:tc>
          <w:tcPr>
            <w:tcW w:w="1442" w:type="dxa"/>
            <w:vAlign w:val="center"/>
          </w:tcPr>
          <w:p w14:paraId="7ECD6D14" w14:textId="77777777" w:rsidR="00DB23EF" w:rsidRPr="00DB23EF" w:rsidRDefault="00DB23EF" w:rsidP="008B4BB0">
            <w:pPr>
              <w:pStyle w:val="NormalWeb"/>
              <w:jc w:val="center"/>
              <w:rPr>
                <w:rFonts w:ascii="Arial" w:hAnsi="Arial" w:cs="Arial"/>
                <w:sz w:val="20"/>
                <w:szCs w:val="20"/>
                <w:highlight w:val="yellow"/>
              </w:rPr>
            </w:pPr>
            <w:r w:rsidRPr="00DB23EF">
              <w:rPr>
                <w:rFonts w:ascii="Arial" w:hAnsi="Arial" w:cs="Arial"/>
                <w:sz w:val="20"/>
                <w:szCs w:val="20"/>
                <w:highlight w:val="yellow"/>
              </w:rPr>
              <w:t>Higher bio-oil output</w:t>
            </w:r>
          </w:p>
        </w:tc>
        <w:tc>
          <w:tcPr>
            <w:tcW w:w="1443" w:type="dxa"/>
            <w:vAlign w:val="center"/>
          </w:tcPr>
          <w:p w14:paraId="29DE85AA" w14:textId="77777777" w:rsidR="00DB23EF" w:rsidRPr="00DB23EF" w:rsidRDefault="00DB23EF" w:rsidP="008B4BB0">
            <w:pPr>
              <w:pStyle w:val="NormalWeb"/>
              <w:jc w:val="center"/>
              <w:rPr>
                <w:rFonts w:ascii="Arial" w:hAnsi="Arial" w:cs="Arial"/>
                <w:sz w:val="20"/>
                <w:szCs w:val="20"/>
                <w:highlight w:val="yellow"/>
              </w:rPr>
            </w:pPr>
            <w:r w:rsidRPr="00DB23EF">
              <w:rPr>
                <w:rFonts w:ascii="Arial" w:hAnsi="Arial" w:cs="Arial"/>
                <w:sz w:val="20"/>
                <w:szCs w:val="20"/>
                <w:highlight w:val="yellow"/>
              </w:rPr>
              <w:t>Low biochar yield; energy intensive</w:t>
            </w:r>
          </w:p>
        </w:tc>
      </w:tr>
      <w:tr w:rsidR="00DB23EF" w:rsidRPr="00C814C3" w14:paraId="3A5098A4" w14:textId="77777777" w:rsidTr="008B4BB0">
        <w:trPr>
          <w:jc w:val="center"/>
        </w:trPr>
        <w:tc>
          <w:tcPr>
            <w:tcW w:w="1442" w:type="dxa"/>
            <w:tcBorders>
              <w:bottom w:val="single" w:sz="4" w:space="0" w:color="auto"/>
            </w:tcBorders>
            <w:vAlign w:val="center"/>
          </w:tcPr>
          <w:p w14:paraId="06A9088A" w14:textId="77777777" w:rsidR="00DB23EF" w:rsidRPr="00DB23EF" w:rsidRDefault="00DB23EF" w:rsidP="008B4BB0">
            <w:pPr>
              <w:pStyle w:val="NormalWeb"/>
              <w:jc w:val="center"/>
              <w:rPr>
                <w:rFonts w:ascii="Arial" w:hAnsi="Arial" w:cs="Arial"/>
                <w:b/>
                <w:sz w:val="20"/>
                <w:szCs w:val="20"/>
                <w:highlight w:val="yellow"/>
              </w:rPr>
            </w:pPr>
            <w:r w:rsidRPr="00DB23EF">
              <w:rPr>
                <w:rFonts w:ascii="Arial" w:hAnsi="Arial" w:cs="Arial"/>
                <w:b/>
                <w:sz w:val="20"/>
                <w:szCs w:val="20"/>
                <w:highlight w:val="yellow"/>
              </w:rPr>
              <w:t>Hydrothermal Carbon</w:t>
            </w:r>
          </w:p>
        </w:tc>
        <w:tc>
          <w:tcPr>
            <w:tcW w:w="1442" w:type="dxa"/>
            <w:tcBorders>
              <w:bottom w:val="single" w:sz="4" w:space="0" w:color="auto"/>
            </w:tcBorders>
            <w:vAlign w:val="center"/>
          </w:tcPr>
          <w:p w14:paraId="1DB9530D" w14:textId="77777777" w:rsidR="00DB23EF" w:rsidRPr="00DB23EF" w:rsidRDefault="00DB23EF" w:rsidP="008B4BB0">
            <w:pPr>
              <w:pStyle w:val="NormalWeb"/>
              <w:jc w:val="center"/>
              <w:rPr>
                <w:rFonts w:ascii="Arial" w:hAnsi="Arial" w:cs="Arial"/>
                <w:sz w:val="20"/>
                <w:szCs w:val="20"/>
                <w:highlight w:val="yellow"/>
              </w:rPr>
            </w:pPr>
            <w:r w:rsidRPr="00DB23EF">
              <w:rPr>
                <w:rFonts w:ascii="Arial" w:hAnsi="Arial" w:cs="Arial"/>
                <w:sz w:val="20"/>
                <w:szCs w:val="20"/>
                <w:highlight w:val="yellow"/>
              </w:rPr>
              <w:t>180–250</w:t>
            </w:r>
          </w:p>
        </w:tc>
        <w:tc>
          <w:tcPr>
            <w:tcW w:w="1442" w:type="dxa"/>
            <w:tcBorders>
              <w:bottom w:val="single" w:sz="4" w:space="0" w:color="auto"/>
            </w:tcBorders>
            <w:vAlign w:val="center"/>
          </w:tcPr>
          <w:p w14:paraId="69B3E70C" w14:textId="77777777" w:rsidR="00DB23EF" w:rsidRPr="00DB23EF" w:rsidRDefault="00DB23EF" w:rsidP="008B4BB0">
            <w:pPr>
              <w:pStyle w:val="NormalWeb"/>
              <w:jc w:val="center"/>
              <w:rPr>
                <w:rFonts w:ascii="Arial" w:hAnsi="Arial" w:cs="Arial"/>
                <w:sz w:val="20"/>
                <w:szCs w:val="20"/>
                <w:highlight w:val="yellow"/>
              </w:rPr>
            </w:pPr>
            <w:r w:rsidRPr="00DB23EF">
              <w:rPr>
                <w:rFonts w:ascii="Arial" w:hAnsi="Arial" w:cs="Arial"/>
                <w:sz w:val="20"/>
                <w:szCs w:val="20"/>
                <w:highlight w:val="yellow"/>
              </w:rPr>
              <w:t>30–240 minutes</w:t>
            </w:r>
          </w:p>
        </w:tc>
        <w:tc>
          <w:tcPr>
            <w:tcW w:w="1442" w:type="dxa"/>
            <w:tcBorders>
              <w:bottom w:val="single" w:sz="4" w:space="0" w:color="auto"/>
            </w:tcBorders>
            <w:vAlign w:val="center"/>
          </w:tcPr>
          <w:p w14:paraId="35B3A295" w14:textId="77777777" w:rsidR="00DB23EF" w:rsidRPr="00DB23EF" w:rsidRDefault="00DB23EF" w:rsidP="008B4BB0">
            <w:pPr>
              <w:pStyle w:val="NormalWeb"/>
              <w:jc w:val="center"/>
              <w:rPr>
                <w:rFonts w:ascii="Arial" w:hAnsi="Arial" w:cs="Arial"/>
                <w:sz w:val="20"/>
                <w:szCs w:val="20"/>
                <w:highlight w:val="yellow"/>
              </w:rPr>
            </w:pPr>
            <w:r w:rsidRPr="00DB23EF">
              <w:rPr>
                <w:rFonts w:ascii="Arial" w:hAnsi="Arial" w:cs="Arial"/>
                <w:sz w:val="20"/>
                <w:szCs w:val="20"/>
                <w:highlight w:val="yellow"/>
              </w:rPr>
              <w:t xml:space="preserve">50–80 (as </w:t>
            </w:r>
            <w:proofErr w:type="spellStart"/>
            <w:r w:rsidRPr="00DB23EF">
              <w:rPr>
                <w:rFonts w:ascii="Arial" w:hAnsi="Arial" w:cs="Arial"/>
                <w:sz w:val="20"/>
                <w:szCs w:val="20"/>
                <w:highlight w:val="yellow"/>
              </w:rPr>
              <w:t>hydrochar</w:t>
            </w:r>
            <w:proofErr w:type="spellEnd"/>
            <w:r w:rsidRPr="00DB23EF">
              <w:rPr>
                <w:rFonts w:ascii="Arial" w:hAnsi="Arial" w:cs="Arial"/>
                <w:sz w:val="20"/>
                <w:szCs w:val="20"/>
                <w:highlight w:val="yellow"/>
              </w:rPr>
              <w:t>)</w:t>
            </w:r>
          </w:p>
        </w:tc>
        <w:tc>
          <w:tcPr>
            <w:tcW w:w="1442" w:type="dxa"/>
            <w:tcBorders>
              <w:bottom w:val="single" w:sz="4" w:space="0" w:color="auto"/>
            </w:tcBorders>
            <w:vAlign w:val="center"/>
          </w:tcPr>
          <w:p w14:paraId="47710532" w14:textId="77777777" w:rsidR="00DB23EF" w:rsidRPr="00DB23EF" w:rsidRDefault="00DB23EF" w:rsidP="008B4BB0">
            <w:pPr>
              <w:pStyle w:val="NormalWeb"/>
              <w:jc w:val="center"/>
              <w:rPr>
                <w:rFonts w:ascii="Arial" w:hAnsi="Arial" w:cs="Arial"/>
                <w:sz w:val="20"/>
                <w:szCs w:val="20"/>
                <w:highlight w:val="yellow"/>
              </w:rPr>
            </w:pPr>
            <w:r w:rsidRPr="00DB23EF">
              <w:rPr>
                <w:rFonts w:ascii="Arial" w:hAnsi="Arial" w:cs="Arial"/>
                <w:sz w:val="20"/>
                <w:szCs w:val="20"/>
                <w:highlight w:val="yellow"/>
              </w:rPr>
              <w:t>Suitable for wet biomass; low energy input</w:t>
            </w:r>
          </w:p>
        </w:tc>
        <w:tc>
          <w:tcPr>
            <w:tcW w:w="1443" w:type="dxa"/>
            <w:tcBorders>
              <w:bottom w:val="single" w:sz="4" w:space="0" w:color="auto"/>
            </w:tcBorders>
            <w:vAlign w:val="center"/>
          </w:tcPr>
          <w:p w14:paraId="55E12B8D" w14:textId="77777777" w:rsidR="00DB23EF" w:rsidRPr="00C814C3" w:rsidRDefault="00DB23EF" w:rsidP="008B4BB0">
            <w:pPr>
              <w:pStyle w:val="NormalWeb"/>
              <w:jc w:val="center"/>
              <w:rPr>
                <w:rFonts w:ascii="Arial" w:hAnsi="Arial" w:cs="Arial"/>
                <w:sz w:val="20"/>
                <w:szCs w:val="20"/>
              </w:rPr>
            </w:pPr>
            <w:r w:rsidRPr="00DB23EF">
              <w:rPr>
                <w:rFonts w:ascii="Arial" w:hAnsi="Arial" w:cs="Arial"/>
                <w:sz w:val="20"/>
                <w:szCs w:val="20"/>
                <w:highlight w:val="yellow"/>
              </w:rPr>
              <w:t xml:space="preserve">Produces </w:t>
            </w:r>
            <w:proofErr w:type="spellStart"/>
            <w:r w:rsidRPr="00DB23EF">
              <w:rPr>
                <w:rFonts w:ascii="Arial" w:hAnsi="Arial" w:cs="Arial"/>
                <w:sz w:val="20"/>
                <w:szCs w:val="20"/>
                <w:highlight w:val="yellow"/>
              </w:rPr>
              <w:t>hydrochar</w:t>
            </w:r>
            <w:proofErr w:type="spellEnd"/>
            <w:r w:rsidRPr="00DB23EF">
              <w:rPr>
                <w:rFonts w:ascii="Arial" w:hAnsi="Arial" w:cs="Arial"/>
                <w:sz w:val="20"/>
                <w:szCs w:val="20"/>
                <w:highlight w:val="yellow"/>
              </w:rPr>
              <w:t xml:space="preserve"> with less soil benefit</w:t>
            </w:r>
          </w:p>
        </w:tc>
      </w:tr>
    </w:tbl>
    <w:p w14:paraId="40FC8BF1" w14:textId="77777777" w:rsidR="00DB23EF" w:rsidRPr="00C814C3" w:rsidRDefault="00DB23EF" w:rsidP="00DB23EF">
      <w:pPr>
        <w:spacing w:line="240" w:lineRule="auto"/>
        <w:rPr>
          <w:rFonts w:ascii="Arial" w:hAnsi="Arial" w:cs="Arial"/>
          <w:sz w:val="20"/>
          <w:szCs w:val="20"/>
        </w:rPr>
      </w:pPr>
      <w:r w:rsidRPr="00C814C3">
        <w:rPr>
          <w:rFonts w:ascii="Arial" w:hAnsi="Arial" w:cs="Arial"/>
          <w:sz w:val="20"/>
          <w:szCs w:val="20"/>
        </w:rPr>
        <w:t xml:space="preserve"> </w:t>
      </w:r>
    </w:p>
    <w:bookmarkEnd w:id="11"/>
    <w:p w14:paraId="33917784" w14:textId="77777777" w:rsidR="00DB23EF" w:rsidRPr="00CC2177" w:rsidRDefault="00DB23EF" w:rsidP="00DB23EF">
      <w:pPr>
        <w:pStyle w:val="NoSpacing"/>
        <w:ind w:left="0"/>
        <w:rPr>
          <w:rFonts w:ascii="Arial" w:hAnsi="Arial" w:cs="Arial"/>
          <w:szCs w:val="20"/>
        </w:rPr>
      </w:pPr>
      <w:r w:rsidRPr="00CC2177">
        <w:rPr>
          <w:rStyle w:val="Strong"/>
          <w:rFonts w:ascii="Arial" w:hAnsi="Arial" w:cs="Arial"/>
          <w:bCs w:val="0"/>
          <w:szCs w:val="20"/>
        </w:rPr>
        <w:t xml:space="preserve">3.3 </w:t>
      </w:r>
      <w:bookmarkStart w:id="12" w:name="_Hlk195815937"/>
      <w:r w:rsidRPr="00CC2177">
        <w:rPr>
          <w:rStyle w:val="Strong"/>
          <w:rFonts w:ascii="Arial" w:hAnsi="Arial" w:cs="Arial"/>
          <w:bCs w:val="0"/>
          <w:szCs w:val="20"/>
        </w:rPr>
        <w:t>Activation Techniques for Functional Biochar</w:t>
      </w:r>
    </w:p>
    <w:p w14:paraId="6EA2CA0F" w14:textId="77777777" w:rsidR="00DB23EF" w:rsidRDefault="00DB23EF" w:rsidP="00DB23EF">
      <w:pPr>
        <w:pStyle w:val="NoSpacing"/>
        <w:ind w:left="0"/>
        <w:rPr>
          <w:rFonts w:ascii="Arial" w:hAnsi="Arial" w:cs="Arial"/>
          <w:sz w:val="20"/>
          <w:szCs w:val="20"/>
        </w:rPr>
      </w:pPr>
      <w:r w:rsidRPr="00C814C3">
        <w:rPr>
          <w:rFonts w:ascii="Arial" w:hAnsi="Arial" w:cs="Arial"/>
          <w:sz w:val="20"/>
          <w:szCs w:val="20"/>
        </w:rPr>
        <w:t>To enhance the surface properties and adsorption potential of biochar</w:t>
      </w:r>
      <w:r>
        <w:rPr>
          <w:rFonts w:ascii="Arial" w:hAnsi="Arial" w:cs="Arial"/>
          <w:sz w:val="20"/>
          <w:szCs w:val="20"/>
        </w:rPr>
        <w:t xml:space="preserve"> </w:t>
      </w:r>
      <w:r w:rsidRPr="00C814C3">
        <w:rPr>
          <w:rFonts w:ascii="Arial" w:hAnsi="Arial" w:cs="Arial"/>
          <w:sz w:val="20"/>
          <w:szCs w:val="20"/>
        </w:rPr>
        <w:t>especially for pollutant removal or nutrient interactions</w:t>
      </w:r>
      <w:r>
        <w:rPr>
          <w:rFonts w:ascii="Arial" w:hAnsi="Arial" w:cs="Arial"/>
          <w:sz w:val="20"/>
          <w:szCs w:val="20"/>
        </w:rPr>
        <w:t xml:space="preserve"> </w:t>
      </w:r>
      <w:r w:rsidRPr="00C814C3">
        <w:rPr>
          <w:rFonts w:ascii="Arial" w:hAnsi="Arial" w:cs="Arial"/>
          <w:sz w:val="20"/>
          <w:szCs w:val="20"/>
        </w:rPr>
        <w:t xml:space="preserve">various </w:t>
      </w:r>
      <w:r w:rsidRPr="00C814C3">
        <w:rPr>
          <w:rStyle w:val="Strong"/>
          <w:rFonts w:ascii="Arial" w:hAnsi="Arial" w:cs="Arial"/>
          <w:b w:val="0"/>
          <w:bCs w:val="0"/>
          <w:sz w:val="20"/>
          <w:szCs w:val="20"/>
        </w:rPr>
        <w:t>activation techniques</w:t>
      </w:r>
      <w:r w:rsidRPr="00C814C3">
        <w:rPr>
          <w:rFonts w:ascii="Arial" w:hAnsi="Arial" w:cs="Arial"/>
          <w:sz w:val="20"/>
          <w:szCs w:val="20"/>
        </w:rPr>
        <w:t xml:space="preserve"> are used: </w:t>
      </w:r>
      <w:r w:rsidRPr="00C814C3">
        <w:rPr>
          <w:rStyle w:val="Strong"/>
          <w:rFonts w:ascii="Arial" w:hAnsi="Arial" w:cs="Arial"/>
          <w:b w:val="0"/>
          <w:bCs w:val="0"/>
          <w:sz w:val="20"/>
          <w:szCs w:val="20"/>
        </w:rPr>
        <w:t>Chemical Activation (e.g., KOH, NaOH)</w:t>
      </w:r>
      <w:r w:rsidRPr="00C814C3">
        <w:rPr>
          <w:rFonts w:ascii="Arial" w:hAnsi="Arial" w:cs="Arial"/>
          <w:sz w:val="20"/>
          <w:szCs w:val="20"/>
        </w:rPr>
        <w:t xml:space="preserve"> Treating biochar with potassium hydroxide (KOH) or sodium hydroxide (NaOH) increases its </w:t>
      </w:r>
      <w:r w:rsidRPr="00C814C3">
        <w:rPr>
          <w:rStyle w:val="Strong"/>
          <w:rFonts w:ascii="Arial" w:hAnsi="Arial" w:cs="Arial"/>
          <w:b w:val="0"/>
          <w:bCs w:val="0"/>
          <w:sz w:val="20"/>
          <w:szCs w:val="20"/>
        </w:rPr>
        <w:t>surface area, porosity</w:t>
      </w:r>
      <w:r w:rsidRPr="00C814C3">
        <w:rPr>
          <w:rFonts w:ascii="Arial" w:hAnsi="Arial" w:cs="Arial"/>
          <w:sz w:val="20"/>
          <w:szCs w:val="20"/>
        </w:rPr>
        <w:t xml:space="preserve">, and </w:t>
      </w:r>
      <w:r w:rsidRPr="00C814C3">
        <w:rPr>
          <w:rStyle w:val="Strong"/>
          <w:rFonts w:ascii="Arial" w:hAnsi="Arial" w:cs="Arial"/>
          <w:b w:val="0"/>
          <w:bCs w:val="0"/>
          <w:sz w:val="20"/>
          <w:szCs w:val="20"/>
        </w:rPr>
        <w:t>functional groups</w:t>
      </w:r>
      <w:r>
        <w:rPr>
          <w:rStyle w:val="Strong"/>
          <w:rFonts w:ascii="Arial" w:hAnsi="Arial" w:cs="Arial"/>
          <w:b w:val="0"/>
          <w:bCs w:val="0"/>
          <w:sz w:val="20"/>
          <w:szCs w:val="20"/>
        </w:rPr>
        <w:t xml:space="preserve"> (</w:t>
      </w:r>
      <w:r>
        <w:rPr>
          <w:rFonts w:ascii="Arial" w:hAnsi="Arial" w:cs="Arial"/>
          <w:color w:val="222222"/>
          <w:sz w:val="20"/>
          <w:szCs w:val="20"/>
          <w:shd w:val="clear" w:color="auto" w:fill="FFFFFF"/>
        </w:rPr>
        <w:t>Panwar &amp; Pawar, 2022</w:t>
      </w:r>
      <w:r>
        <w:rPr>
          <w:rStyle w:val="Strong"/>
          <w:rFonts w:ascii="Arial" w:hAnsi="Arial" w:cs="Arial"/>
          <w:b w:val="0"/>
          <w:bCs w:val="0"/>
          <w:sz w:val="20"/>
          <w:szCs w:val="20"/>
        </w:rPr>
        <w:t>)</w:t>
      </w:r>
      <w:r w:rsidRPr="00C814C3">
        <w:rPr>
          <w:rFonts w:ascii="Arial" w:hAnsi="Arial" w:cs="Arial"/>
          <w:sz w:val="20"/>
          <w:szCs w:val="20"/>
        </w:rPr>
        <w:t xml:space="preserve">. This makes it highly effective for </w:t>
      </w:r>
      <w:r w:rsidRPr="00C814C3">
        <w:rPr>
          <w:rStyle w:val="Strong"/>
          <w:rFonts w:ascii="Arial" w:hAnsi="Arial" w:cs="Arial"/>
          <w:b w:val="0"/>
          <w:bCs w:val="0"/>
          <w:sz w:val="20"/>
          <w:szCs w:val="20"/>
        </w:rPr>
        <w:t>nutrient adsorption</w:t>
      </w:r>
      <w:r w:rsidRPr="00C814C3">
        <w:rPr>
          <w:rFonts w:ascii="Arial" w:hAnsi="Arial" w:cs="Arial"/>
          <w:sz w:val="20"/>
          <w:szCs w:val="20"/>
        </w:rPr>
        <w:t xml:space="preserve">, </w:t>
      </w:r>
      <w:r w:rsidRPr="00C814C3">
        <w:rPr>
          <w:rStyle w:val="Strong"/>
          <w:rFonts w:ascii="Arial" w:hAnsi="Arial" w:cs="Arial"/>
          <w:b w:val="0"/>
          <w:bCs w:val="0"/>
          <w:sz w:val="20"/>
          <w:szCs w:val="20"/>
        </w:rPr>
        <w:t>cation exchange</w:t>
      </w:r>
      <w:r w:rsidRPr="00C814C3">
        <w:rPr>
          <w:rFonts w:ascii="Arial" w:hAnsi="Arial" w:cs="Arial"/>
          <w:sz w:val="20"/>
          <w:szCs w:val="20"/>
        </w:rPr>
        <w:t xml:space="preserve">, and </w:t>
      </w:r>
      <w:r w:rsidRPr="00C814C3">
        <w:rPr>
          <w:rStyle w:val="Strong"/>
          <w:rFonts w:ascii="Arial" w:hAnsi="Arial" w:cs="Arial"/>
          <w:b w:val="0"/>
          <w:bCs w:val="0"/>
          <w:sz w:val="20"/>
          <w:szCs w:val="20"/>
        </w:rPr>
        <w:t>heavy metal immobilization</w:t>
      </w:r>
      <w:r w:rsidRPr="00C814C3">
        <w:rPr>
          <w:rFonts w:ascii="Arial" w:hAnsi="Arial" w:cs="Arial"/>
          <w:sz w:val="20"/>
          <w:szCs w:val="20"/>
        </w:rPr>
        <w:t xml:space="preserve">. </w:t>
      </w:r>
      <w:r w:rsidRPr="00C814C3">
        <w:rPr>
          <w:rStyle w:val="Strong"/>
          <w:rFonts w:ascii="Arial" w:hAnsi="Arial" w:cs="Arial"/>
          <w:b w:val="0"/>
          <w:bCs w:val="0"/>
          <w:sz w:val="20"/>
          <w:szCs w:val="20"/>
        </w:rPr>
        <w:t>Magnetic Activation (e.g., Fe-based particles)</w:t>
      </w:r>
      <w:r w:rsidRPr="00C814C3">
        <w:rPr>
          <w:rFonts w:ascii="Arial" w:hAnsi="Arial" w:cs="Arial"/>
          <w:sz w:val="20"/>
          <w:szCs w:val="20"/>
        </w:rPr>
        <w:t xml:space="preserve"> Incorporating iron oxides (</w:t>
      </w:r>
      <w:proofErr w:type="spellStart"/>
      <w:r w:rsidRPr="00C814C3">
        <w:rPr>
          <w:rFonts w:ascii="Arial" w:hAnsi="Arial" w:cs="Arial"/>
          <w:sz w:val="20"/>
          <w:szCs w:val="20"/>
        </w:rPr>
        <w:t>Fe</w:t>
      </w:r>
      <w:r w:rsidRPr="00C814C3">
        <w:rPr>
          <w:rFonts w:ascii="Cambria Math" w:hAnsi="Cambria Math" w:cs="Cambria Math"/>
          <w:sz w:val="20"/>
          <w:szCs w:val="20"/>
        </w:rPr>
        <w:t>₂</w:t>
      </w:r>
      <w:r w:rsidRPr="00C814C3">
        <w:rPr>
          <w:rFonts w:ascii="Arial" w:hAnsi="Arial" w:cs="Arial"/>
          <w:sz w:val="20"/>
          <w:szCs w:val="20"/>
        </w:rPr>
        <w:t>O</w:t>
      </w:r>
      <w:proofErr w:type="spellEnd"/>
      <w:r w:rsidRPr="00C814C3">
        <w:rPr>
          <w:rFonts w:ascii="Cambria Math" w:hAnsi="Cambria Math" w:cs="Cambria Math"/>
          <w:sz w:val="20"/>
          <w:szCs w:val="20"/>
        </w:rPr>
        <w:t>₃</w:t>
      </w:r>
      <w:r w:rsidRPr="00C814C3">
        <w:rPr>
          <w:rFonts w:ascii="Arial" w:hAnsi="Arial" w:cs="Arial"/>
          <w:sz w:val="20"/>
          <w:szCs w:val="20"/>
        </w:rPr>
        <w:t xml:space="preserve">, </w:t>
      </w:r>
      <w:proofErr w:type="spellStart"/>
      <w:r w:rsidRPr="00C814C3">
        <w:rPr>
          <w:rFonts w:ascii="Arial" w:hAnsi="Arial" w:cs="Arial"/>
          <w:sz w:val="20"/>
          <w:szCs w:val="20"/>
        </w:rPr>
        <w:t>Fe</w:t>
      </w:r>
      <w:r w:rsidRPr="00C814C3">
        <w:rPr>
          <w:rFonts w:ascii="Cambria Math" w:hAnsi="Cambria Math" w:cs="Cambria Math"/>
          <w:sz w:val="20"/>
          <w:szCs w:val="20"/>
        </w:rPr>
        <w:t>₃</w:t>
      </w:r>
      <w:r w:rsidRPr="00C814C3">
        <w:rPr>
          <w:rFonts w:ascii="Arial" w:hAnsi="Arial" w:cs="Arial"/>
          <w:sz w:val="20"/>
          <w:szCs w:val="20"/>
        </w:rPr>
        <w:t>O</w:t>
      </w:r>
      <w:proofErr w:type="spellEnd"/>
      <w:r w:rsidRPr="00C814C3">
        <w:rPr>
          <w:rFonts w:ascii="Cambria Math" w:hAnsi="Cambria Math" w:cs="Cambria Math"/>
          <w:sz w:val="20"/>
          <w:szCs w:val="20"/>
        </w:rPr>
        <w:t>₄</w:t>
      </w:r>
      <w:r w:rsidRPr="00C814C3">
        <w:rPr>
          <w:rFonts w:ascii="Arial" w:hAnsi="Arial" w:cs="Arial"/>
          <w:sz w:val="20"/>
          <w:szCs w:val="20"/>
        </w:rPr>
        <w:t xml:space="preserve">) into sugarcane biochar results in </w:t>
      </w:r>
      <w:r w:rsidRPr="00C814C3">
        <w:rPr>
          <w:rStyle w:val="Strong"/>
          <w:rFonts w:ascii="Arial" w:hAnsi="Arial" w:cs="Arial"/>
          <w:b w:val="0"/>
          <w:bCs w:val="0"/>
          <w:sz w:val="20"/>
          <w:szCs w:val="20"/>
        </w:rPr>
        <w:t>magnetic biochar</w:t>
      </w:r>
      <w:r w:rsidRPr="00C814C3">
        <w:rPr>
          <w:rFonts w:ascii="Arial" w:hAnsi="Arial" w:cs="Arial"/>
          <w:sz w:val="20"/>
          <w:szCs w:val="20"/>
        </w:rPr>
        <w:t xml:space="preserve">, which exhibits high efficiency in </w:t>
      </w:r>
      <w:r w:rsidRPr="00C814C3">
        <w:rPr>
          <w:rStyle w:val="Strong"/>
          <w:rFonts w:ascii="Arial" w:hAnsi="Arial" w:cs="Arial"/>
          <w:b w:val="0"/>
          <w:bCs w:val="0"/>
          <w:sz w:val="20"/>
          <w:szCs w:val="20"/>
        </w:rPr>
        <w:t>removing heavy metals</w:t>
      </w:r>
      <w:r w:rsidRPr="00C814C3">
        <w:rPr>
          <w:rFonts w:ascii="Arial" w:hAnsi="Arial" w:cs="Arial"/>
          <w:sz w:val="20"/>
          <w:szCs w:val="20"/>
        </w:rPr>
        <w:t xml:space="preserve"> (e.g., Pb, Cr) from soil and water and is easily recoverable</w:t>
      </w:r>
      <w:r>
        <w:rPr>
          <w:rFonts w:ascii="Arial" w:hAnsi="Arial" w:cs="Arial"/>
          <w:sz w:val="20"/>
          <w:szCs w:val="20"/>
        </w:rPr>
        <w:t xml:space="preserve"> (</w:t>
      </w:r>
      <w:r>
        <w:rPr>
          <w:rFonts w:ascii="Arial" w:hAnsi="Arial" w:cs="Arial"/>
          <w:color w:val="222222"/>
          <w:sz w:val="20"/>
          <w:szCs w:val="20"/>
          <w:shd w:val="clear" w:color="auto" w:fill="FFFFFF"/>
        </w:rPr>
        <w:t>Cheam, 2018</w:t>
      </w:r>
      <w:r>
        <w:rPr>
          <w:rFonts w:ascii="Arial" w:hAnsi="Arial" w:cs="Arial"/>
          <w:sz w:val="20"/>
          <w:szCs w:val="20"/>
        </w:rPr>
        <w:t>)</w:t>
      </w:r>
      <w:r w:rsidRPr="00C814C3">
        <w:rPr>
          <w:rFonts w:ascii="Arial" w:hAnsi="Arial" w:cs="Arial"/>
          <w:sz w:val="20"/>
          <w:szCs w:val="20"/>
        </w:rPr>
        <w:t xml:space="preserve">. These types of biochar also aid in </w:t>
      </w:r>
      <w:r w:rsidRPr="00C814C3">
        <w:rPr>
          <w:rStyle w:val="Strong"/>
          <w:rFonts w:ascii="Arial" w:hAnsi="Arial" w:cs="Arial"/>
          <w:b w:val="0"/>
          <w:bCs w:val="0"/>
          <w:sz w:val="20"/>
          <w:szCs w:val="20"/>
        </w:rPr>
        <w:t>redox reactions</w:t>
      </w:r>
      <w:r w:rsidRPr="00C814C3">
        <w:rPr>
          <w:rFonts w:ascii="Arial" w:hAnsi="Arial" w:cs="Arial"/>
          <w:sz w:val="20"/>
          <w:szCs w:val="20"/>
        </w:rPr>
        <w:t xml:space="preserve"> and </w:t>
      </w:r>
      <w:r w:rsidRPr="00C814C3">
        <w:rPr>
          <w:rStyle w:val="Strong"/>
          <w:rFonts w:ascii="Arial" w:hAnsi="Arial" w:cs="Arial"/>
          <w:b w:val="0"/>
          <w:bCs w:val="0"/>
          <w:sz w:val="20"/>
          <w:szCs w:val="20"/>
        </w:rPr>
        <w:t>soil detoxification</w:t>
      </w:r>
      <w:r w:rsidRPr="00C814C3">
        <w:rPr>
          <w:rFonts w:ascii="Arial" w:hAnsi="Arial" w:cs="Arial"/>
          <w:sz w:val="20"/>
          <w:szCs w:val="20"/>
        </w:rPr>
        <w:t xml:space="preserve">. </w:t>
      </w:r>
      <w:r w:rsidRPr="00C814C3">
        <w:rPr>
          <w:rStyle w:val="Strong"/>
          <w:rFonts w:ascii="Arial" w:hAnsi="Arial" w:cs="Arial"/>
          <w:b w:val="0"/>
          <w:bCs w:val="0"/>
          <w:sz w:val="20"/>
          <w:szCs w:val="20"/>
        </w:rPr>
        <w:t>Steam and CO</w:t>
      </w:r>
      <w:r w:rsidRPr="00C814C3">
        <w:rPr>
          <w:rStyle w:val="Strong"/>
          <w:rFonts w:ascii="Cambria Math" w:hAnsi="Cambria Math" w:cs="Cambria Math"/>
          <w:b w:val="0"/>
          <w:bCs w:val="0"/>
          <w:sz w:val="20"/>
          <w:szCs w:val="20"/>
        </w:rPr>
        <w:t>₂</w:t>
      </w:r>
      <w:r>
        <w:rPr>
          <w:rStyle w:val="Strong"/>
          <w:rFonts w:ascii="Arial" w:hAnsi="Arial" w:cs="Arial"/>
          <w:b w:val="0"/>
          <w:bCs w:val="0"/>
          <w:sz w:val="20"/>
          <w:szCs w:val="20"/>
        </w:rPr>
        <w:t xml:space="preserve"> where, </w:t>
      </w:r>
      <w:r w:rsidRPr="00C814C3">
        <w:rPr>
          <w:rFonts w:ascii="Arial" w:hAnsi="Arial" w:cs="Arial"/>
          <w:sz w:val="20"/>
          <w:szCs w:val="20"/>
        </w:rPr>
        <w:t xml:space="preserve">Physical activation using steam or carbon dioxide helps develop a </w:t>
      </w:r>
      <w:r w:rsidRPr="00C814C3">
        <w:rPr>
          <w:rStyle w:val="Strong"/>
          <w:rFonts w:ascii="Arial" w:hAnsi="Arial" w:cs="Arial"/>
          <w:b w:val="0"/>
          <w:bCs w:val="0"/>
          <w:sz w:val="20"/>
          <w:szCs w:val="20"/>
        </w:rPr>
        <w:t>well-connected pore structure</w:t>
      </w:r>
      <w:r w:rsidRPr="00C814C3">
        <w:rPr>
          <w:rFonts w:ascii="Arial" w:hAnsi="Arial" w:cs="Arial"/>
          <w:sz w:val="20"/>
          <w:szCs w:val="20"/>
        </w:rPr>
        <w:t xml:space="preserve">, making biochar suitable for </w:t>
      </w:r>
      <w:r w:rsidRPr="00C814C3">
        <w:rPr>
          <w:rStyle w:val="Strong"/>
          <w:rFonts w:ascii="Arial" w:hAnsi="Arial" w:cs="Arial"/>
          <w:b w:val="0"/>
          <w:bCs w:val="0"/>
          <w:sz w:val="20"/>
          <w:szCs w:val="20"/>
        </w:rPr>
        <w:t>adsorption-based applications</w:t>
      </w:r>
      <w:r w:rsidRPr="00C814C3">
        <w:rPr>
          <w:rFonts w:ascii="Arial" w:hAnsi="Arial" w:cs="Arial"/>
          <w:sz w:val="20"/>
          <w:szCs w:val="20"/>
        </w:rPr>
        <w:t xml:space="preserve"> and improving its interaction with soil microbes and nutrients. Activation not only improves the </w:t>
      </w:r>
      <w:r w:rsidRPr="00C814C3">
        <w:rPr>
          <w:rStyle w:val="Strong"/>
          <w:rFonts w:ascii="Arial" w:hAnsi="Arial" w:cs="Arial"/>
          <w:b w:val="0"/>
          <w:bCs w:val="0"/>
          <w:sz w:val="20"/>
          <w:szCs w:val="20"/>
        </w:rPr>
        <w:t>adsorptive performance</w:t>
      </w:r>
      <w:r w:rsidRPr="00C814C3">
        <w:rPr>
          <w:rFonts w:ascii="Arial" w:hAnsi="Arial" w:cs="Arial"/>
          <w:sz w:val="20"/>
          <w:szCs w:val="20"/>
        </w:rPr>
        <w:t xml:space="preserve"> of biochar but also tailors it for specific applications whether for </w:t>
      </w:r>
      <w:r w:rsidRPr="00C814C3">
        <w:rPr>
          <w:rStyle w:val="Strong"/>
          <w:rFonts w:ascii="Arial" w:hAnsi="Arial" w:cs="Arial"/>
          <w:b w:val="0"/>
          <w:bCs w:val="0"/>
          <w:sz w:val="20"/>
          <w:szCs w:val="20"/>
        </w:rPr>
        <w:t>soil fertility</w:t>
      </w:r>
      <w:r w:rsidRPr="00C814C3">
        <w:rPr>
          <w:rFonts w:ascii="Arial" w:hAnsi="Arial" w:cs="Arial"/>
          <w:sz w:val="20"/>
          <w:szCs w:val="20"/>
        </w:rPr>
        <w:t xml:space="preserve">, </w:t>
      </w:r>
      <w:r w:rsidRPr="00C814C3">
        <w:rPr>
          <w:rStyle w:val="Strong"/>
          <w:rFonts w:ascii="Arial" w:hAnsi="Arial" w:cs="Arial"/>
          <w:b w:val="0"/>
          <w:bCs w:val="0"/>
          <w:sz w:val="20"/>
          <w:szCs w:val="20"/>
        </w:rPr>
        <w:t>water purification</w:t>
      </w:r>
      <w:r w:rsidRPr="00C814C3">
        <w:rPr>
          <w:rFonts w:ascii="Arial" w:hAnsi="Arial" w:cs="Arial"/>
          <w:sz w:val="20"/>
          <w:szCs w:val="20"/>
        </w:rPr>
        <w:t xml:space="preserve">, or </w:t>
      </w:r>
      <w:r w:rsidRPr="00C814C3">
        <w:rPr>
          <w:rStyle w:val="Strong"/>
          <w:rFonts w:ascii="Arial" w:hAnsi="Arial" w:cs="Arial"/>
          <w:b w:val="0"/>
          <w:bCs w:val="0"/>
          <w:sz w:val="20"/>
          <w:szCs w:val="20"/>
        </w:rPr>
        <w:t>pollutant remediation</w:t>
      </w:r>
      <w:r w:rsidRPr="00C814C3">
        <w:rPr>
          <w:rFonts w:ascii="Arial" w:hAnsi="Arial" w:cs="Arial"/>
          <w:sz w:val="20"/>
          <w:szCs w:val="20"/>
        </w:rPr>
        <w:t>.</w:t>
      </w:r>
    </w:p>
    <w:bookmarkEnd w:id="12"/>
    <w:p w14:paraId="762E89BF" w14:textId="77777777" w:rsidR="00DB23EF" w:rsidRPr="00944EEA" w:rsidRDefault="00DB23EF" w:rsidP="00DB23EF">
      <w:pPr>
        <w:pStyle w:val="NoSpacing"/>
        <w:rPr>
          <w:rStyle w:val="Strong"/>
          <w:b w:val="0"/>
          <w:bCs w:val="0"/>
        </w:rPr>
      </w:pPr>
    </w:p>
    <w:p w14:paraId="72675E98" w14:textId="77777777" w:rsidR="00DB23EF" w:rsidRPr="00612770" w:rsidRDefault="00DB23EF" w:rsidP="00DB23EF">
      <w:pPr>
        <w:pStyle w:val="NoSpacing"/>
        <w:ind w:left="0" w:firstLine="720"/>
        <w:rPr>
          <w:rFonts w:ascii="Arial" w:hAnsi="Arial" w:cs="Arial"/>
          <w:sz w:val="24"/>
        </w:rPr>
      </w:pPr>
      <w:r w:rsidRPr="00612770">
        <w:rPr>
          <w:rStyle w:val="Strong"/>
          <w:rFonts w:ascii="Arial" w:hAnsi="Arial" w:cs="Arial"/>
          <w:bCs w:val="0"/>
          <w:sz w:val="24"/>
        </w:rPr>
        <w:t>4</w:t>
      </w:r>
      <w:bookmarkStart w:id="13" w:name="_Hlk195816050"/>
      <w:r w:rsidRPr="00612770">
        <w:rPr>
          <w:rStyle w:val="Strong"/>
          <w:rFonts w:ascii="Arial" w:hAnsi="Arial" w:cs="Arial"/>
          <w:bCs w:val="0"/>
          <w:sz w:val="24"/>
        </w:rPr>
        <w:t>. PHYSICOCHEMICAL PROPERTIES OF SUGARCANE BIOCHAR</w:t>
      </w:r>
      <w:bookmarkEnd w:id="13"/>
    </w:p>
    <w:p w14:paraId="02A4D0F4" w14:textId="77777777" w:rsidR="00DB23EF" w:rsidRDefault="00DB23EF" w:rsidP="00DB23EF">
      <w:pPr>
        <w:pStyle w:val="NoSpacing"/>
        <w:ind w:left="0"/>
        <w:rPr>
          <w:rStyle w:val="Strong"/>
          <w:rFonts w:ascii="Arial" w:hAnsi="Arial" w:cs="Arial"/>
          <w:bCs w:val="0"/>
        </w:rPr>
      </w:pPr>
    </w:p>
    <w:p w14:paraId="07F0CB21" w14:textId="77777777" w:rsidR="00DB23EF" w:rsidRPr="00612770" w:rsidRDefault="00DB23EF" w:rsidP="00DB23EF">
      <w:pPr>
        <w:pStyle w:val="NoSpacing"/>
        <w:ind w:left="0"/>
        <w:rPr>
          <w:rFonts w:ascii="Arial" w:hAnsi="Arial" w:cs="Arial"/>
        </w:rPr>
      </w:pPr>
      <w:r>
        <w:rPr>
          <w:rStyle w:val="Strong"/>
          <w:rFonts w:ascii="Arial" w:hAnsi="Arial" w:cs="Arial"/>
          <w:bCs w:val="0"/>
        </w:rPr>
        <w:t xml:space="preserve">4.1 </w:t>
      </w:r>
      <w:bookmarkStart w:id="14" w:name="_Hlk195816085"/>
      <w:r w:rsidRPr="00612770">
        <w:rPr>
          <w:rStyle w:val="Strong"/>
          <w:rFonts w:ascii="Arial" w:hAnsi="Arial" w:cs="Arial"/>
          <w:bCs w:val="0"/>
        </w:rPr>
        <w:t>Structural and Chemical Characteristics</w:t>
      </w:r>
    </w:p>
    <w:p w14:paraId="3BAD6418" w14:textId="77777777" w:rsidR="00DB23EF" w:rsidRPr="00612770" w:rsidRDefault="00DB23EF" w:rsidP="00DB23EF">
      <w:pPr>
        <w:pStyle w:val="NoSpacing"/>
        <w:ind w:left="0"/>
        <w:rPr>
          <w:rFonts w:ascii="Arial" w:hAnsi="Arial" w:cs="Arial"/>
          <w:sz w:val="20"/>
        </w:rPr>
      </w:pPr>
      <w:r w:rsidRPr="00612770">
        <w:rPr>
          <w:rFonts w:ascii="Arial" w:hAnsi="Arial" w:cs="Arial"/>
          <w:sz w:val="20"/>
        </w:rPr>
        <w:t xml:space="preserve">Sugarcane bagasse-derived biochar exhibits a unique combination of </w:t>
      </w:r>
      <w:r w:rsidRPr="00612770">
        <w:rPr>
          <w:rStyle w:val="Strong"/>
          <w:rFonts w:ascii="Arial" w:hAnsi="Arial" w:cs="Arial"/>
          <w:b w:val="0"/>
          <w:bCs w:val="0"/>
          <w:sz w:val="20"/>
        </w:rPr>
        <w:t>physicochemical properties</w:t>
      </w:r>
      <w:r w:rsidRPr="00612770">
        <w:rPr>
          <w:rFonts w:ascii="Arial" w:hAnsi="Arial" w:cs="Arial"/>
          <w:sz w:val="20"/>
        </w:rPr>
        <w:t xml:space="preserve"> that make it highly effective for agricultural and environmental applications. One of the most notable features is its </w:t>
      </w:r>
      <w:r w:rsidRPr="00612770">
        <w:rPr>
          <w:rStyle w:val="Strong"/>
          <w:rFonts w:ascii="Arial" w:hAnsi="Arial" w:cs="Arial"/>
          <w:b w:val="0"/>
          <w:bCs w:val="0"/>
          <w:sz w:val="20"/>
        </w:rPr>
        <w:t>high fixed carbon content</w:t>
      </w:r>
      <w:r w:rsidRPr="00612770">
        <w:rPr>
          <w:rFonts w:ascii="Arial" w:hAnsi="Arial" w:cs="Arial"/>
          <w:sz w:val="20"/>
        </w:rPr>
        <w:t xml:space="preserve">, often exceeding 70–80% depending on pyrolysis conditions, which contributes to the long-term stability of biochar in soil. This high carbon concentration not only supports </w:t>
      </w:r>
      <w:r w:rsidRPr="00612770">
        <w:rPr>
          <w:rStyle w:val="Strong"/>
          <w:rFonts w:ascii="Arial" w:hAnsi="Arial" w:cs="Arial"/>
          <w:b w:val="0"/>
          <w:bCs w:val="0"/>
          <w:sz w:val="20"/>
        </w:rPr>
        <w:t>carbon sequestration</w:t>
      </w:r>
      <w:r w:rsidRPr="00612770">
        <w:rPr>
          <w:rFonts w:ascii="Arial" w:hAnsi="Arial" w:cs="Arial"/>
          <w:sz w:val="20"/>
        </w:rPr>
        <w:t xml:space="preserve"> but also improves </w:t>
      </w:r>
      <w:r w:rsidRPr="00612770">
        <w:rPr>
          <w:rStyle w:val="Strong"/>
          <w:rFonts w:ascii="Arial" w:hAnsi="Arial" w:cs="Arial"/>
          <w:b w:val="0"/>
          <w:bCs w:val="0"/>
          <w:sz w:val="20"/>
        </w:rPr>
        <w:t>soil organic carbon levels</w:t>
      </w:r>
      <w:r w:rsidRPr="00612770">
        <w:rPr>
          <w:rFonts w:ascii="Arial" w:hAnsi="Arial" w:cs="Arial"/>
          <w:sz w:val="20"/>
        </w:rPr>
        <w:t xml:space="preserve"> over time. Another key attribute is its </w:t>
      </w:r>
      <w:r w:rsidRPr="00612770">
        <w:rPr>
          <w:rStyle w:val="Strong"/>
          <w:rFonts w:ascii="Arial" w:hAnsi="Arial" w:cs="Arial"/>
          <w:b w:val="0"/>
          <w:bCs w:val="0"/>
          <w:sz w:val="20"/>
        </w:rPr>
        <w:t>high porosity and large specific surface area</w:t>
      </w:r>
      <w:r w:rsidRPr="00612770">
        <w:rPr>
          <w:rFonts w:ascii="Arial" w:hAnsi="Arial" w:cs="Arial"/>
          <w:sz w:val="20"/>
        </w:rPr>
        <w:t xml:space="preserve">, which allow the biochar to retain water and nutrients effectively. These properties are crucial in enhancing the soil’s </w:t>
      </w:r>
      <w:r w:rsidRPr="00612770">
        <w:rPr>
          <w:rStyle w:val="Strong"/>
          <w:rFonts w:ascii="Arial" w:hAnsi="Arial" w:cs="Arial"/>
          <w:b w:val="0"/>
          <w:bCs w:val="0"/>
          <w:sz w:val="20"/>
        </w:rPr>
        <w:t>water-holding capacity</w:t>
      </w:r>
      <w:r w:rsidRPr="00612770">
        <w:rPr>
          <w:rFonts w:ascii="Arial" w:hAnsi="Arial" w:cs="Arial"/>
          <w:sz w:val="20"/>
        </w:rPr>
        <w:t xml:space="preserve"> and </w:t>
      </w:r>
      <w:r w:rsidRPr="00612770">
        <w:rPr>
          <w:rStyle w:val="Strong"/>
          <w:rFonts w:ascii="Arial" w:hAnsi="Arial" w:cs="Arial"/>
          <w:b w:val="0"/>
          <w:bCs w:val="0"/>
          <w:sz w:val="20"/>
        </w:rPr>
        <w:t>nutrient retention</w:t>
      </w:r>
      <w:r w:rsidRPr="00612770">
        <w:rPr>
          <w:rFonts w:ascii="Arial" w:hAnsi="Arial" w:cs="Arial"/>
          <w:sz w:val="20"/>
        </w:rPr>
        <w:t xml:space="preserve">, especially in sandy or degraded soils. Sugarcane biochar typically has a </w:t>
      </w:r>
      <w:r w:rsidRPr="00612770">
        <w:rPr>
          <w:rStyle w:val="Strong"/>
          <w:rFonts w:ascii="Arial" w:hAnsi="Arial" w:cs="Arial"/>
          <w:b w:val="0"/>
          <w:bCs w:val="0"/>
          <w:sz w:val="20"/>
        </w:rPr>
        <w:t xml:space="preserve">slightly alkaline to </w:t>
      </w:r>
      <w:r w:rsidRPr="00612770">
        <w:rPr>
          <w:rStyle w:val="Strong"/>
          <w:rFonts w:ascii="Arial" w:hAnsi="Arial" w:cs="Arial"/>
          <w:b w:val="0"/>
          <w:bCs w:val="0"/>
          <w:sz w:val="20"/>
        </w:rPr>
        <w:lastRenderedPageBreak/>
        <w:t>neutral pH</w:t>
      </w:r>
      <w:r w:rsidRPr="00612770">
        <w:rPr>
          <w:rFonts w:ascii="Arial" w:hAnsi="Arial" w:cs="Arial"/>
          <w:sz w:val="20"/>
        </w:rPr>
        <w:t xml:space="preserve"> (ranging from 7 to 9), which is beneficial for </w:t>
      </w:r>
      <w:r w:rsidRPr="00612770">
        <w:rPr>
          <w:rStyle w:val="Strong"/>
          <w:rFonts w:ascii="Arial" w:hAnsi="Arial" w:cs="Arial"/>
          <w:b w:val="0"/>
          <w:bCs w:val="0"/>
          <w:sz w:val="20"/>
        </w:rPr>
        <w:t>ameliorating acidic soils</w:t>
      </w:r>
      <w:r w:rsidRPr="00612770">
        <w:rPr>
          <w:rFonts w:ascii="Arial" w:hAnsi="Arial" w:cs="Arial"/>
          <w:sz w:val="20"/>
        </w:rPr>
        <w:t xml:space="preserve"> and promoting </w:t>
      </w:r>
      <w:proofErr w:type="spellStart"/>
      <w:r w:rsidRPr="00612770">
        <w:rPr>
          <w:rFonts w:ascii="Arial" w:hAnsi="Arial" w:cs="Arial"/>
          <w:sz w:val="20"/>
        </w:rPr>
        <w:t>favorable</w:t>
      </w:r>
      <w:proofErr w:type="spellEnd"/>
      <w:r w:rsidRPr="00612770">
        <w:rPr>
          <w:rFonts w:ascii="Arial" w:hAnsi="Arial" w:cs="Arial"/>
          <w:sz w:val="20"/>
        </w:rPr>
        <w:t xml:space="preserve"> conditions for root growth and microbial activity. The </w:t>
      </w:r>
      <w:r w:rsidRPr="00612770">
        <w:rPr>
          <w:rStyle w:val="Strong"/>
          <w:rFonts w:ascii="Arial" w:hAnsi="Arial" w:cs="Arial"/>
          <w:b w:val="0"/>
          <w:bCs w:val="0"/>
          <w:sz w:val="20"/>
        </w:rPr>
        <w:t>cation exchange capacity (CEC)</w:t>
      </w:r>
      <w:r w:rsidRPr="00612770">
        <w:rPr>
          <w:rFonts w:ascii="Arial" w:hAnsi="Arial" w:cs="Arial"/>
          <w:sz w:val="20"/>
        </w:rPr>
        <w:t xml:space="preserve"> of sugarcane biochar is another vital characteristic that enables it to adsorb and hold essential nutrients such as </w:t>
      </w:r>
      <w:r w:rsidRPr="00612770">
        <w:rPr>
          <w:rStyle w:val="Strong"/>
          <w:rFonts w:ascii="Arial" w:hAnsi="Arial" w:cs="Arial"/>
          <w:b w:val="0"/>
          <w:bCs w:val="0"/>
          <w:sz w:val="20"/>
        </w:rPr>
        <w:t>NH</w:t>
      </w:r>
      <w:r w:rsidRPr="00612770">
        <w:rPr>
          <w:rStyle w:val="Strong"/>
          <w:rFonts w:ascii="Cambria Math" w:hAnsi="Cambria Math" w:cs="Cambria Math"/>
          <w:b w:val="0"/>
          <w:bCs w:val="0"/>
          <w:sz w:val="20"/>
        </w:rPr>
        <w:t>₄⁺</w:t>
      </w:r>
      <w:r w:rsidRPr="00612770">
        <w:rPr>
          <w:rStyle w:val="Strong"/>
          <w:rFonts w:ascii="Arial" w:hAnsi="Arial" w:cs="Arial"/>
          <w:b w:val="0"/>
          <w:bCs w:val="0"/>
          <w:sz w:val="20"/>
        </w:rPr>
        <w:t>, K</w:t>
      </w:r>
      <w:r w:rsidRPr="00612770">
        <w:rPr>
          <w:rStyle w:val="Strong"/>
          <w:rFonts w:ascii="Cambria Math" w:hAnsi="Cambria Math" w:cs="Cambria Math"/>
          <w:b w:val="0"/>
          <w:bCs w:val="0"/>
          <w:sz w:val="20"/>
        </w:rPr>
        <w:t>⁺</w:t>
      </w:r>
      <w:r w:rsidRPr="00612770">
        <w:rPr>
          <w:rStyle w:val="Strong"/>
          <w:rFonts w:ascii="Arial" w:hAnsi="Arial" w:cs="Arial"/>
          <w:b w:val="0"/>
          <w:bCs w:val="0"/>
          <w:sz w:val="20"/>
        </w:rPr>
        <w:t>, Ca²</w:t>
      </w:r>
      <w:r w:rsidRPr="00612770">
        <w:rPr>
          <w:rStyle w:val="Strong"/>
          <w:rFonts w:ascii="Cambria Math" w:hAnsi="Cambria Math" w:cs="Cambria Math"/>
          <w:b w:val="0"/>
          <w:bCs w:val="0"/>
          <w:sz w:val="20"/>
        </w:rPr>
        <w:t>⁺</w:t>
      </w:r>
      <w:r w:rsidRPr="00612770">
        <w:rPr>
          <w:rStyle w:val="Strong"/>
          <w:rFonts w:ascii="Arial" w:hAnsi="Arial" w:cs="Arial"/>
          <w:b w:val="0"/>
          <w:bCs w:val="0"/>
          <w:sz w:val="20"/>
        </w:rPr>
        <w:t>, and Mg²</w:t>
      </w:r>
      <w:r w:rsidRPr="00612770">
        <w:rPr>
          <w:rStyle w:val="Strong"/>
          <w:rFonts w:ascii="Cambria Math" w:hAnsi="Cambria Math" w:cs="Cambria Math"/>
          <w:b w:val="0"/>
          <w:bCs w:val="0"/>
          <w:sz w:val="20"/>
        </w:rPr>
        <w:t>⁺</w:t>
      </w:r>
      <w:r w:rsidRPr="00612770">
        <w:rPr>
          <w:rFonts w:ascii="Arial" w:hAnsi="Arial" w:cs="Arial"/>
          <w:sz w:val="20"/>
        </w:rPr>
        <w:t>, preventing their leaching</w:t>
      </w:r>
      <w:r>
        <w:rPr>
          <w:rFonts w:ascii="Arial" w:hAnsi="Arial" w:cs="Arial"/>
          <w:sz w:val="20"/>
        </w:rPr>
        <w:t xml:space="preserve"> (</w:t>
      </w:r>
      <w:r>
        <w:rPr>
          <w:rFonts w:ascii="Arial" w:hAnsi="Arial" w:cs="Arial"/>
          <w:color w:val="222222"/>
          <w:sz w:val="20"/>
          <w:szCs w:val="20"/>
          <w:shd w:val="clear" w:color="auto" w:fill="FFFFFF"/>
        </w:rPr>
        <w:t>Hai et al., 2025</w:t>
      </w:r>
      <w:r>
        <w:rPr>
          <w:rFonts w:ascii="Arial" w:hAnsi="Arial" w:cs="Arial"/>
          <w:sz w:val="20"/>
        </w:rPr>
        <w:t>)</w:t>
      </w:r>
      <w:r w:rsidRPr="00612770">
        <w:rPr>
          <w:rFonts w:ascii="Arial" w:hAnsi="Arial" w:cs="Arial"/>
          <w:sz w:val="20"/>
        </w:rPr>
        <w:t xml:space="preserve">. Studies have reported CEC values ranging from </w:t>
      </w:r>
      <w:r w:rsidRPr="00612770">
        <w:rPr>
          <w:rStyle w:val="Strong"/>
          <w:rFonts w:ascii="Arial" w:hAnsi="Arial" w:cs="Arial"/>
          <w:b w:val="0"/>
          <w:bCs w:val="0"/>
          <w:sz w:val="20"/>
        </w:rPr>
        <w:t xml:space="preserve">10 to 50 </w:t>
      </w:r>
      <w:proofErr w:type="spellStart"/>
      <w:proofErr w:type="gramStart"/>
      <w:r w:rsidRPr="00612770">
        <w:rPr>
          <w:rStyle w:val="Strong"/>
          <w:rFonts w:ascii="Arial" w:hAnsi="Arial" w:cs="Arial"/>
          <w:b w:val="0"/>
          <w:bCs w:val="0"/>
          <w:sz w:val="20"/>
        </w:rPr>
        <w:t>cmol</w:t>
      </w:r>
      <w:proofErr w:type="spellEnd"/>
      <w:r w:rsidRPr="00612770">
        <w:rPr>
          <w:rStyle w:val="Strong"/>
          <w:rFonts w:ascii="Arial" w:hAnsi="Arial" w:cs="Arial"/>
          <w:b w:val="0"/>
          <w:bCs w:val="0"/>
          <w:sz w:val="20"/>
        </w:rPr>
        <w:t>(</w:t>
      </w:r>
      <w:proofErr w:type="gramEnd"/>
      <w:r w:rsidRPr="00612770">
        <w:rPr>
          <w:rStyle w:val="Strong"/>
          <w:rFonts w:ascii="Arial" w:hAnsi="Arial" w:cs="Arial"/>
          <w:b w:val="0"/>
          <w:bCs w:val="0"/>
          <w:sz w:val="20"/>
        </w:rPr>
        <w:t>+)/kg</w:t>
      </w:r>
      <w:r w:rsidRPr="00612770">
        <w:rPr>
          <w:rFonts w:ascii="Arial" w:hAnsi="Arial" w:cs="Arial"/>
          <w:sz w:val="20"/>
        </w:rPr>
        <w:t xml:space="preserve">, depending on the production temperature and feedstock </w:t>
      </w:r>
      <w:proofErr w:type="spellStart"/>
      <w:r w:rsidRPr="00612770">
        <w:rPr>
          <w:rFonts w:ascii="Arial" w:hAnsi="Arial" w:cs="Arial"/>
          <w:sz w:val="20"/>
        </w:rPr>
        <w:t>pretreatment</w:t>
      </w:r>
      <w:proofErr w:type="spellEnd"/>
      <w:r w:rsidRPr="00612770">
        <w:rPr>
          <w:rFonts w:ascii="Arial" w:hAnsi="Arial" w:cs="Arial"/>
          <w:sz w:val="20"/>
        </w:rPr>
        <w:t>.</w:t>
      </w:r>
    </w:p>
    <w:p w14:paraId="05E5B28C" w14:textId="77777777" w:rsidR="00DB23EF" w:rsidRDefault="00DB23EF" w:rsidP="00DB23EF">
      <w:pPr>
        <w:pStyle w:val="NoSpacing"/>
        <w:ind w:left="0"/>
      </w:pPr>
    </w:p>
    <w:p w14:paraId="57FF5423" w14:textId="77777777" w:rsidR="00DB23EF" w:rsidRPr="00612770" w:rsidRDefault="00DB23EF" w:rsidP="00DB23EF">
      <w:pPr>
        <w:pStyle w:val="NoSpacing"/>
        <w:ind w:left="0"/>
        <w:rPr>
          <w:rFonts w:ascii="Arial" w:hAnsi="Arial" w:cs="Arial"/>
        </w:rPr>
      </w:pPr>
      <w:r>
        <w:rPr>
          <w:rStyle w:val="Strong"/>
          <w:rFonts w:ascii="Arial" w:hAnsi="Arial" w:cs="Arial"/>
          <w:bCs w:val="0"/>
        </w:rPr>
        <w:t xml:space="preserve">4.2 </w:t>
      </w:r>
      <w:r w:rsidRPr="00612770">
        <w:rPr>
          <w:rStyle w:val="Strong"/>
          <w:rFonts w:ascii="Arial" w:hAnsi="Arial" w:cs="Arial"/>
          <w:bCs w:val="0"/>
        </w:rPr>
        <w:t>Surface Functional Groups</w:t>
      </w:r>
    </w:p>
    <w:p w14:paraId="794BB427" w14:textId="77777777" w:rsidR="00DB23EF" w:rsidRPr="00612770" w:rsidRDefault="00DB23EF" w:rsidP="00DB23EF">
      <w:pPr>
        <w:pStyle w:val="NoSpacing"/>
        <w:ind w:left="0"/>
        <w:rPr>
          <w:rFonts w:ascii="Arial" w:hAnsi="Arial" w:cs="Arial"/>
          <w:sz w:val="20"/>
        </w:rPr>
      </w:pPr>
      <w:r w:rsidRPr="00612770">
        <w:rPr>
          <w:rFonts w:ascii="Arial" w:hAnsi="Arial" w:cs="Arial"/>
          <w:sz w:val="20"/>
        </w:rPr>
        <w:t xml:space="preserve">The surface chemistry of sugarcane biochar is enriched with diverse </w:t>
      </w:r>
      <w:r w:rsidRPr="00612770">
        <w:rPr>
          <w:rStyle w:val="Strong"/>
          <w:rFonts w:ascii="Arial" w:hAnsi="Arial" w:cs="Arial"/>
          <w:b w:val="0"/>
          <w:bCs w:val="0"/>
          <w:sz w:val="20"/>
        </w:rPr>
        <w:t>oxygen-containing functional groups</w:t>
      </w:r>
      <w:r w:rsidRPr="00612770">
        <w:rPr>
          <w:rFonts w:ascii="Arial" w:hAnsi="Arial" w:cs="Arial"/>
          <w:sz w:val="20"/>
        </w:rPr>
        <w:t xml:space="preserve">, which play a key role in its reactivity and nutrient interaction capacity. These include: </w:t>
      </w:r>
      <w:r w:rsidRPr="00612770">
        <w:rPr>
          <w:rStyle w:val="Strong"/>
          <w:rFonts w:ascii="Arial" w:hAnsi="Arial" w:cs="Arial"/>
          <w:b w:val="0"/>
          <w:bCs w:val="0"/>
          <w:sz w:val="20"/>
        </w:rPr>
        <w:t>Carboxylic groups (-COOH)</w:t>
      </w:r>
      <w:r w:rsidRPr="00612770">
        <w:rPr>
          <w:rFonts w:ascii="Arial" w:hAnsi="Arial" w:cs="Arial"/>
          <w:sz w:val="20"/>
        </w:rPr>
        <w:t xml:space="preserve">: Contribute to cation exchange and metal chelation, </w:t>
      </w:r>
      <w:r w:rsidRPr="00612770">
        <w:rPr>
          <w:rStyle w:val="Strong"/>
          <w:rFonts w:ascii="Arial" w:hAnsi="Arial" w:cs="Arial"/>
          <w:b w:val="0"/>
          <w:bCs w:val="0"/>
          <w:sz w:val="20"/>
        </w:rPr>
        <w:t>Phenolic groups (-OH)</w:t>
      </w:r>
      <w:r w:rsidRPr="00612770">
        <w:rPr>
          <w:rFonts w:ascii="Arial" w:hAnsi="Arial" w:cs="Arial"/>
          <w:sz w:val="20"/>
        </w:rPr>
        <w:t xml:space="preserve">: Provide antioxidant and adsorption activity, </w:t>
      </w:r>
      <w:r w:rsidRPr="00612770">
        <w:rPr>
          <w:rStyle w:val="Strong"/>
          <w:rFonts w:ascii="Arial" w:hAnsi="Arial" w:cs="Arial"/>
          <w:b w:val="0"/>
          <w:bCs w:val="0"/>
          <w:sz w:val="20"/>
        </w:rPr>
        <w:t>Lactones</w:t>
      </w:r>
      <w:r w:rsidRPr="00612770">
        <w:rPr>
          <w:rFonts w:ascii="Arial" w:hAnsi="Arial" w:cs="Arial"/>
          <w:sz w:val="20"/>
        </w:rPr>
        <w:t>: Improve interaction with acidic or basic soil components</w:t>
      </w:r>
      <w:r>
        <w:rPr>
          <w:rFonts w:ascii="Arial" w:hAnsi="Arial" w:cs="Arial"/>
          <w:sz w:val="20"/>
        </w:rPr>
        <w:t xml:space="preserve"> (</w:t>
      </w:r>
      <w:proofErr w:type="spellStart"/>
      <w:r>
        <w:rPr>
          <w:rFonts w:ascii="Arial" w:hAnsi="Arial" w:cs="Arial"/>
          <w:color w:val="222222"/>
          <w:sz w:val="20"/>
          <w:szCs w:val="20"/>
          <w:shd w:val="clear" w:color="auto" w:fill="FFFFFF"/>
        </w:rPr>
        <w:t>Nobahar</w:t>
      </w:r>
      <w:proofErr w:type="spellEnd"/>
      <w:r>
        <w:rPr>
          <w:rFonts w:ascii="Arial" w:hAnsi="Arial" w:cs="Arial"/>
          <w:color w:val="222222"/>
          <w:sz w:val="20"/>
          <w:szCs w:val="20"/>
          <w:shd w:val="clear" w:color="auto" w:fill="FFFFFF"/>
        </w:rPr>
        <w:t xml:space="preserve"> et al., 2021</w:t>
      </w:r>
      <w:r>
        <w:rPr>
          <w:rFonts w:ascii="Arial" w:hAnsi="Arial" w:cs="Arial"/>
          <w:sz w:val="20"/>
        </w:rPr>
        <w:t>)</w:t>
      </w:r>
      <w:r w:rsidRPr="00612770">
        <w:rPr>
          <w:rFonts w:ascii="Arial" w:hAnsi="Arial" w:cs="Arial"/>
          <w:sz w:val="20"/>
        </w:rPr>
        <w:t xml:space="preserve">. These functional groups are primarily located on the outer surfaces and pores of the biochar matrix, influencing its </w:t>
      </w:r>
      <w:r w:rsidRPr="00612770">
        <w:rPr>
          <w:rStyle w:val="Strong"/>
          <w:rFonts w:ascii="Arial" w:hAnsi="Arial" w:cs="Arial"/>
          <w:b w:val="0"/>
          <w:bCs w:val="0"/>
          <w:sz w:val="20"/>
        </w:rPr>
        <w:t xml:space="preserve">acid-base </w:t>
      </w:r>
      <w:proofErr w:type="spellStart"/>
      <w:r w:rsidRPr="00612770">
        <w:rPr>
          <w:rStyle w:val="Strong"/>
          <w:rFonts w:ascii="Arial" w:hAnsi="Arial" w:cs="Arial"/>
          <w:b w:val="0"/>
          <w:bCs w:val="0"/>
          <w:sz w:val="20"/>
        </w:rPr>
        <w:t>behavior</w:t>
      </w:r>
      <w:proofErr w:type="spellEnd"/>
      <w:r w:rsidRPr="00612770">
        <w:rPr>
          <w:rFonts w:ascii="Arial" w:hAnsi="Arial" w:cs="Arial"/>
          <w:sz w:val="20"/>
        </w:rPr>
        <w:t xml:space="preserve">, </w:t>
      </w:r>
      <w:r w:rsidRPr="00612770">
        <w:rPr>
          <w:rStyle w:val="Strong"/>
          <w:rFonts w:ascii="Arial" w:hAnsi="Arial" w:cs="Arial"/>
          <w:b w:val="0"/>
          <w:bCs w:val="0"/>
          <w:sz w:val="20"/>
        </w:rPr>
        <w:t>adsorption capacity</w:t>
      </w:r>
      <w:r w:rsidRPr="00612770">
        <w:rPr>
          <w:rFonts w:ascii="Arial" w:hAnsi="Arial" w:cs="Arial"/>
          <w:sz w:val="20"/>
        </w:rPr>
        <w:t xml:space="preserve">, and interaction with </w:t>
      </w:r>
      <w:r w:rsidRPr="00612770">
        <w:rPr>
          <w:rStyle w:val="Strong"/>
          <w:rFonts w:ascii="Arial" w:hAnsi="Arial" w:cs="Arial"/>
          <w:b w:val="0"/>
          <w:bCs w:val="0"/>
          <w:sz w:val="20"/>
        </w:rPr>
        <w:t>plant roots and microbes</w:t>
      </w:r>
      <w:r w:rsidRPr="00612770">
        <w:rPr>
          <w:rFonts w:ascii="Arial" w:hAnsi="Arial" w:cs="Arial"/>
          <w:sz w:val="20"/>
        </w:rPr>
        <w:t>.</w:t>
      </w:r>
    </w:p>
    <w:p w14:paraId="684B3C85" w14:textId="77777777" w:rsidR="00DB23EF" w:rsidRDefault="00DB23EF" w:rsidP="00DB23EF"/>
    <w:p w14:paraId="295D9A00" w14:textId="77777777" w:rsidR="00DB23EF" w:rsidRPr="00612770" w:rsidRDefault="00DB23EF" w:rsidP="00DB23EF">
      <w:pPr>
        <w:pStyle w:val="NoSpacing"/>
        <w:ind w:left="0"/>
        <w:rPr>
          <w:rFonts w:ascii="Arial" w:hAnsi="Arial" w:cs="Arial"/>
        </w:rPr>
      </w:pPr>
      <w:r>
        <w:rPr>
          <w:rStyle w:val="Strong"/>
          <w:rFonts w:ascii="Arial" w:hAnsi="Arial" w:cs="Arial"/>
          <w:bCs w:val="0"/>
        </w:rPr>
        <w:t xml:space="preserve">4.3 </w:t>
      </w:r>
      <w:r w:rsidRPr="00612770">
        <w:rPr>
          <w:rStyle w:val="Strong"/>
          <w:rFonts w:ascii="Arial" w:hAnsi="Arial" w:cs="Arial"/>
          <w:bCs w:val="0"/>
        </w:rPr>
        <w:t xml:space="preserve">Biochar vs. </w:t>
      </w:r>
      <w:proofErr w:type="spellStart"/>
      <w:r w:rsidRPr="00612770">
        <w:rPr>
          <w:rStyle w:val="Strong"/>
          <w:rFonts w:ascii="Arial" w:hAnsi="Arial" w:cs="Arial"/>
          <w:bCs w:val="0"/>
        </w:rPr>
        <w:t>Hydrochar</w:t>
      </w:r>
      <w:proofErr w:type="spellEnd"/>
    </w:p>
    <w:p w14:paraId="06E9CA1F" w14:textId="77777777" w:rsidR="00DB23EF" w:rsidRPr="00DB23EF" w:rsidRDefault="00DB23EF" w:rsidP="00DB23EF">
      <w:pPr>
        <w:pStyle w:val="NoSpacing"/>
        <w:ind w:left="0"/>
        <w:rPr>
          <w:rFonts w:ascii="Arial" w:hAnsi="Arial" w:cs="Arial"/>
          <w:sz w:val="20"/>
          <w:highlight w:val="yellow"/>
        </w:rPr>
      </w:pPr>
      <w:r w:rsidRPr="00612770">
        <w:rPr>
          <w:rFonts w:ascii="Arial" w:hAnsi="Arial" w:cs="Arial"/>
          <w:sz w:val="20"/>
        </w:rPr>
        <w:t xml:space="preserve">While both biochar and </w:t>
      </w:r>
      <w:proofErr w:type="spellStart"/>
      <w:r w:rsidRPr="00612770">
        <w:rPr>
          <w:rStyle w:val="Strong"/>
          <w:rFonts w:ascii="Arial" w:hAnsi="Arial" w:cs="Arial"/>
          <w:b w:val="0"/>
          <w:bCs w:val="0"/>
          <w:sz w:val="20"/>
        </w:rPr>
        <w:t>hydrochar</w:t>
      </w:r>
      <w:proofErr w:type="spellEnd"/>
      <w:r w:rsidRPr="00612770">
        <w:rPr>
          <w:rFonts w:ascii="Arial" w:hAnsi="Arial" w:cs="Arial"/>
          <w:sz w:val="20"/>
        </w:rPr>
        <w:t xml:space="preserve"> are carbon-rich materials derived from biomass, their </w:t>
      </w:r>
      <w:r w:rsidRPr="00612770">
        <w:rPr>
          <w:rStyle w:val="Strong"/>
          <w:rFonts w:ascii="Arial" w:hAnsi="Arial" w:cs="Arial"/>
          <w:b w:val="0"/>
          <w:bCs w:val="0"/>
          <w:sz w:val="20"/>
        </w:rPr>
        <w:t>composition and characteristics differ significantly</w:t>
      </w:r>
      <w:r w:rsidRPr="00612770">
        <w:rPr>
          <w:rFonts w:ascii="Arial" w:hAnsi="Arial" w:cs="Arial"/>
          <w:sz w:val="20"/>
        </w:rPr>
        <w:t xml:space="preserve"> due to the contrasting production techniques.</w:t>
      </w:r>
      <w:r w:rsidRPr="00612770">
        <w:rPr>
          <w:rStyle w:val="Strong"/>
          <w:rFonts w:ascii="Arial" w:hAnsi="Arial" w:cs="Arial"/>
          <w:b w:val="0"/>
          <w:bCs w:val="0"/>
          <w:sz w:val="20"/>
        </w:rPr>
        <w:t xml:space="preserve"> Biochar</w:t>
      </w:r>
      <w:r w:rsidRPr="00612770">
        <w:rPr>
          <w:rFonts w:ascii="Arial" w:hAnsi="Arial" w:cs="Arial"/>
          <w:sz w:val="20"/>
        </w:rPr>
        <w:t xml:space="preserve"> is generally more suitable for </w:t>
      </w:r>
      <w:r w:rsidRPr="00612770">
        <w:rPr>
          <w:rStyle w:val="Strong"/>
          <w:rFonts w:ascii="Arial" w:hAnsi="Arial" w:cs="Arial"/>
          <w:b w:val="0"/>
          <w:bCs w:val="0"/>
          <w:sz w:val="20"/>
        </w:rPr>
        <w:t>long-term soil amendment</w:t>
      </w:r>
      <w:r w:rsidRPr="00612770">
        <w:rPr>
          <w:rFonts w:ascii="Arial" w:hAnsi="Arial" w:cs="Arial"/>
          <w:sz w:val="20"/>
        </w:rPr>
        <w:t xml:space="preserve">, while </w:t>
      </w:r>
      <w:proofErr w:type="spellStart"/>
      <w:r w:rsidRPr="00612770">
        <w:rPr>
          <w:rStyle w:val="Strong"/>
          <w:rFonts w:ascii="Arial" w:hAnsi="Arial" w:cs="Arial"/>
          <w:b w:val="0"/>
          <w:bCs w:val="0"/>
          <w:sz w:val="20"/>
        </w:rPr>
        <w:t>hydrochar</w:t>
      </w:r>
      <w:proofErr w:type="spellEnd"/>
      <w:r w:rsidRPr="00612770">
        <w:rPr>
          <w:rFonts w:ascii="Arial" w:hAnsi="Arial" w:cs="Arial"/>
          <w:sz w:val="20"/>
        </w:rPr>
        <w:t xml:space="preserve"> may be better for short-term nutrient release or as a precursor for activated carbon.</w:t>
      </w:r>
      <w:r w:rsidRPr="000D3C7D">
        <w:t xml:space="preserve"> </w:t>
      </w:r>
      <w:r w:rsidRPr="00DB23EF">
        <w:rPr>
          <w:rFonts w:ascii="Arial" w:hAnsi="Arial" w:cs="Arial"/>
          <w:sz w:val="20"/>
          <w:highlight w:val="yellow"/>
        </w:rPr>
        <w:t xml:space="preserve">Comparative Properties of Biochar (Pyrolysis) and </w:t>
      </w:r>
      <w:proofErr w:type="spellStart"/>
      <w:r w:rsidRPr="00DB23EF">
        <w:rPr>
          <w:rFonts w:ascii="Arial" w:hAnsi="Arial" w:cs="Arial"/>
          <w:sz w:val="20"/>
          <w:highlight w:val="yellow"/>
        </w:rPr>
        <w:t>Hydrochar</w:t>
      </w:r>
      <w:proofErr w:type="spellEnd"/>
      <w:r w:rsidRPr="00DB23EF">
        <w:rPr>
          <w:rFonts w:ascii="Arial" w:hAnsi="Arial" w:cs="Arial"/>
          <w:sz w:val="20"/>
          <w:highlight w:val="yellow"/>
        </w:rPr>
        <w:t xml:space="preserve"> (Hydrothermal Carbonization) Derived from Biomass tabulated in Table 2.</w:t>
      </w:r>
    </w:p>
    <w:bookmarkEnd w:id="14"/>
    <w:p w14:paraId="51FBABC0" w14:textId="77777777" w:rsidR="00DB23EF" w:rsidRPr="00DB23EF" w:rsidRDefault="00DB23EF" w:rsidP="00DB23EF">
      <w:pPr>
        <w:pStyle w:val="NoSpacing"/>
        <w:rPr>
          <w:highlight w:val="yellow"/>
        </w:rPr>
      </w:pPr>
    </w:p>
    <w:p w14:paraId="3EF8D033" w14:textId="77777777" w:rsidR="00DB23EF" w:rsidRPr="00DB23EF" w:rsidRDefault="00DB23EF" w:rsidP="00DB23EF">
      <w:pPr>
        <w:pStyle w:val="NoSpacing"/>
        <w:jc w:val="center"/>
        <w:rPr>
          <w:rFonts w:ascii="Arial" w:hAnsi="Arial" w:cs="Arial"/>
          <w:b/>
          <w:sz w:val="20"/>
          <w:highlight w:val="yellow"/>
        </w:rPr>
      </w:pPr>
      <w:bookmarkStart w:id="15" w:name="_Hlk195816242"/>
      <w:r w:rsidRPr="00DB23EF">
        <w:rPr>
          <w:rFonts w:ascii="Arial" w:hAnsi="Arial" w:cs="Arial"/>
          <w:b/>
          <w:sz w:val="20"/>
          <w:highlight w:val="yellow"/>
        </w:rPr>
        <w:t xml:space="preserve">Table 2: Comparative Properties of Biochar (Pyrolysis) and </w:t>
      </w:r>
      <w:proofErr w:type="spellStart"/>
      <w:r w:rsidRPr="00DB23EF">
        <w:rPr>
          <w:rFonts w:ascii="Arial" w:hAnsi="Arial" w:cs="Arial"/>
          <w:b/>
          <w:sz w:val="20"/>
          <w:highlight w:val="yellow"/>
        </w:rPr>
        <w:t>Hydrochar</w:t>
      </w:r>
      <w:proofErr w:type="spellEnd"/>
      <w:r w:rsidRPr="00DB23EF">
        <w:rPr>
          <w:rFonts w:ascii="Arial" w:hAnsi="Arial" w:cs="Arial"/>
          <w:b/>
          <w:sz w:val="20"/>
          <w:highlight w:val="yellow"/>
        </w:rPr>
        <w:t xml:space="preserve"> (Hydrothermal Carbonization) Derived from Biomass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3159"/>
        <w:gridCol w:w="2929"/>
      </w:tblGrid>
      <w:tr w:rsidR="00DB23EF" w:rsidRPr="00DB23EF" w14:paraId="7A1C5CB0" w14:textId="77777777" w:rsidTr="008B4BB0">
        <w:trPr>
          <w:trHeight w:val="195"/>
          <w:jc w:val="center"/>
        </w:trPr>
        <w:tc>
          <w:tcPr>
            <w:tcW w:w="2697" w:type="dxa"/>
            <w:tcBorders>
              <w:top w:val="single" w:sz="4" w:space="0" w:color="auto"/>
              <w:bottom w:val="single" w:sz="4" w:space="0" w:color="auto"/>
            </w:tcBorders>
            <w:vAlign w:val="center"/>
          </w:tcPr>
          <w:p w14:paraId="6A57FA22" w14:textId="77777777" w:rsidR="00DB23EF" w:rsidRPr="00DB23EF" w:rsidRDefault="00DB23EF" w:rsidP="008B4BB0">
            <w:pPr>
              <w:pStyle w:val="NoSpacing"/>
              <w:ind w:left="0"/>
              <w:jc w:val="center"/>
              <w:rPr>
                <w:rFonts w:ascii="Arial" w:hAnsi="Arial" w:cs="Arial"/>
                <w:sz w:val="20"/>
                <w:highlight w:val="yellow"/>
              </w:rPr>
            </w:pPr>
            <w:r w:rsidRPr="00DB23EF">
              <w:rPr>
                <w:rStyle w:val="Strong"/>
                <w:rFonts w:ascii="Arial" w:hAnsi="Arial" w:cs="Arial"/>
                <w:sz w:val="20"/>
                <w:highlight w:val="yellow"/>
              </w:rPr>
              <w:t>Property</w:t>
            </w:r>
          </w:p>
        </w:tc>
        <w:tc>
          <w:tcPr>
            <w:tcW w:w="3159" w:type="dxa"/>
            <w:tcBorders>
              <w:top w:val="single" w:sz="4" w:space="0" w:color="auto"/>
              <w:bottom w:val="single" w:sz="4" w:space="0" w:color="auto"/>
            </w:tcBorders>
            <w:vAlign w:val="center"/>
          </w:tcPr>
          <w:p w14:paraId="4C23E0BD" w14:textId="77777777" w:rsidR="00DB23EF" w:rsidRPr="00DB23EF" w:rsidRDefault="00DB23EF" w:rsidP="008B4BB0">
            <w:pPr>
              <w:pStyle w:val="NoSpacing"/>
              <w:ind w:left="0"/>
              <w:jc w:val="center"/>
              <w:rPr>
                <w:rFonts w:ascii="Arial" w:hAnsi="Arial" w:cs="Arial"/>
                <w:sz w:val="20"/>
                <w:highlight w:val="yellow"/>
              </w:rPr>
            </w:pPr>
            <w:r w:rsidRPr="00DB23EF">
              <w:rPr>
                <w:rStyle w:val="Strong"/>
                <w:rFonts w:ascii="Arial" w:hAnsi="Arial" w:cs="Arial"/>
                <w:sz w:val="20"/>
                <w:highlight w:val="yellow"/>
              </w:rPr>
              <w:t>Biochar (Pyrolysis)</w:t>
            </w:r>
          </w:p>
        </w:tc>
        <w:tc>
          <w:tcPr>
            <w:tcW w:w="2929" w:type="dxa"/>
            <w:tcBorders>
              <w:top w:val="single" w:sz="4" w:space="0" w:color="auto"/>
              <w:bottom w:val="single" w:sz="4" w:space="0" w:color="auto"/>
            </w:tcBorders>
            <w:vAlign w:val="center"/>
          </w:tcPr>
          <w:p w14:paraId="17718C34" w14:textId="77777777" w:rsidR="00DB23EF" w:rsidRPr="00DB23EF" w:rsidRDefault="00DB23EF" w:rsidP="008B4BB0">
            <w:pPr>
              <w:pStyle w:val="NoSpacing"/>
              <w:ind w:left="0"/>
              <w:jc w:val="center"/>
              <w:rPr>
                <w:rFonts w:ascii="Arial" w:hAnsi="Arial" w:cs="Arial"/>
                <w:sz w:val="20"/>
                <w:highlight w:val="yellow"/>
              </w:rPr>
            </w:pPr>
            <w:proofErr w:type="spellStart"/>
            <w:r w:rsidRPr="00DB23EF">
              <w:rPr>
                <w:rStyle w:val="Strong"/>
                <w:rFonts w:ascii="Arial" w:hAnsi="Arial" w:cs="Arial"/>
                <w:sz w:val="20"/>
                <w:highlight w:val="yellow"/>
              </w:rPr>
              <w:t>Hydrochar</w:t>
            </w:r>
            <w:proofErr w:type="spellEnd"/>
            <w:r w:rsidRPr="00DB23EF">
              <w:rPr>
                <w:rStyle w:val="Strong"/>
                <w:rFonts w:ascii="Arial" w:hAnsi="Arial" w:cs="Arial"/>
                <w:sz w:val="20"/>
                <w:highlight w:val="yellow"/>
              </w:rPr>
              <w:t xml:space="preserve"> (HTC)</w:t>
            </w:r>
          </w:p>
        </w:tc>
      </w:tr>
      <w:tr w:rsidR="00DB23EF" w:rsidRPr="00DB23EF" w14:paraId="405665C5" w14:textId="77777777" w:rsidTr="008B4BB0">
        <w:trPr>
          <w:trHeight w:val="195"/>
          <w:jc w:val="center"/>
        </w:trPr>
        <w:tc>
          <w:tcPr>
            <w:tcW w:w="2697" w:type="dxa"/>
            <w:tcBorders>
              <w:top w:val="single" w:sz="4" w:space="0" w:color="auto"/>
            </w:tcBorders>
            <w:vAlign w:val="center"/>
          </w:tcPr>
          <w:p w14:paraId="2D1CB5D0" w14:textId="77777777" w:rsidR="00DB23EF" w:rsidRPr="00DB23EF" w:rsidRDefault="00DB23EF" w:rsidP="008B4BB0">
            <w:pPr>
              <w:pStyle w:val="NoSpacing"/>
              <w:ind w:left="0"/>
              <w:jc w:val="center"/>
              <w:rPr>
                <w:rFonts w:ascii="Arial" w:hAnsi="Arial" w:cs="Arial"/>
                <w:b/>
                <w:sz w:val="20"/>
                <w:highlight w:val="yellow"/>
              </w:rPr>
            </w:pPr>
            <w:r w:rsidRPr="00DB23EF">
              <w:rPr>
                <w:rFonts w:ascii="Arial" w:hAnsi="Arial" w:cs="Arial"/>
                <w:b/>
                <w:sz w:val="20"/>
                <w:highlight w:val="yellow"/>
              </w:rPr>
              <w:t>Production Temp. (°C)</w:t>
            </w:r>
          </w:p>
        </w:tc>
        <w:tc>
          <w:tcPr>
            <w:tcW w:w="3159" w:type="dxa"/>
            <w:tcBorders>
              <w:top w:val="single" w:sz="4" w:space="0" w:color="auto"/>
            </w:tcBorders>
            <w:vAlign w:val="center"/>
          </w:tcPr>
          <w:p w14:paraId="4177B95D" w14:textId="77777777" w:rsidR="00DB23EF" w:rsidRPr="00DB23EF" w:rsidRDefault="00DB23EF" w:rsidP="008B4BB0">
            <w:pPr>
              <w:pStyle w:val="NoSpacing"/>
              <w:ind w:left="0"/>
              <w:jc w:val="center"/>
              <w:rPr>
                <w:rFonts w:ascii="Arial" w:hAnsi="Arial" w:cs="Arial"/>
                <w:sz w:val="20"/>
                <w:highlight w:val="yellow"/>
              </w:rPr>
            </w:pPr>
            <w:r w:rsidRPr="00DB23EF">
              <w:rPr>
                <w:rFonts w:ascii="Arial" w:hAnsi="Arial" w:cs="Arial"/>
                <w:sz w:val="20"/>
                <w:highlight w:val="yellow"/>
              </w:rPr>
              <w:t>300–700</w:t>
            </w:r>
          </w:p>
        </w:tc>
        <w:tc>
          <w:tcPr>
            <w:tcW w:w="2929" w:type="dxa"/>
            <w:tcBorders>
              <w:top w:val="single" w:sz="4" w:space="0" w:color="auto"/>
            </w:tcBorders>
            <w:vAlign w:val="center"/>
          </w:tcPr>
          <w:p w14:paraId="290F0598" w14:textId="77777777" w:rsidR="00DB23EF" w:rsidRPr="00DB23EF" w:rsidRDefault="00DB23EF" w:rsidP="008B4BB0">
            <w:pPr>
              <w:pStyle w:val="NoSpacing"/>
              <w:ind w:left="0"/>
              <w:jc w:val="center"/>
              <w:rPr>
                <w:rFonts w:ascii="Arial" w:hAnsi="Arial" w:cs="Arial"/>
                <w:sz w:val="20"/>
                <w:highlight w:val="yellow"/>
              </w:rPr>
            </w:pPr>
            <w:r w:rsidRPr="00DB23EF">
              <w:rPr>
                <w:rFonts w:ascii="Arial" w:hAnsi="Arial" w:cs="Arial"/>
                <w:sz w:val="20"/>
                <w:highlight w:val="yellow"/>
              </w:rPr>
              <w:t>180–250</w:t>
            </w:r>
          </w:p>
        </w:tc>
      </w:tr>
      <w:tr w:rsidR="00DB23EF" w:rsidRPr="00DB23EF" w14:paraId="61217D6D" w14:textId="77777777" w:rsidTr="008B4BB0">
        <w:trPr>
          <w:trHeight w:val="195"/>
          <w:jc w:val="center"/>
        </w:trPr>
        <w:tc>
          <w:tcPr>
            <w:tcW w:w="2697" w:type="dxa"/>
            <w:vAlign w:val="center"/>
          </w:tcPr>
          <w:p w14:paraId="4D8B1054" w14:textId="77777777" w:rsidR="00DB23EF" w:rsidRPr="00DB23EF" w:rsidRDefault="00DB23EF" w:rsidP="008B4BB0">
            <w:pPr>
              <w:pStyle w:val="NoSpacing"/>
              <w:ind w:left="0"/>
              <w:jc w:val="center"/>
              <w:rPr>
                <w:rFonts w:ascii="Arial" w:hAnsi="Arial" w:cs="Arial"/>
                <w:b/>
                <w:sz w:val="20"/>
                <w:highlight w:val="yellow"/>
              </w:rPr>
            </w:pPr>
            <w:r w:rsidRPr="00DB23EF">
              <w:rPr>
                <w:rFonts w:ascii="Arial" w:hAnsi="Arial" w:cs="Arial"/>
                <w:b/>
                <w:sz w:val="20"/>
                <w:highlight w:val="yellow"/>
              </w:rPr>
              <w:t>Porosity &amp; Surface Area</w:t>
            </w:r>
          </w:p>
        </w:tc>
        <w:tc>
          <w:tcPr>
            <w:tcW w:w="3159" w:type="dxa"/>
            <w:vAlign w:val="center"/>
          </w:tcPr>
          <w:p w14:paraId="6AFE5795" w14:textId="77777777" w:rsidR="00DB23EF" w:rsidRPr="00DB23EF" w:rsidRDefault="00DB23EF" w:rsidP="008B4BB0">
            <w:pPr>
              <w:pStyle w:val="NoSpacing"/>
              <w:ind w:left="0"/>
              <w:jc w:val="center"/>
              <w:rPr>
                <w:rFonts w:ascii="Arial" w:hAnsi="Arial" w:cs="Arial"/>
                <w:sz w:val="20"/>
                <w:highlight w:val="yellow"/>
              </w:rPr>
            </w:pPr>
            <w:r w:rsidRPr="00DB23EF">
              <w:rPr>
                <w:rFonts w:ascii="Arial" w:hAnsi="Arial" w:cs="Arial"/>
                <w:sz w:val="20"/>
                <w:highlight w:val="yellow"/>
              </w:rPr>
              <w:t>High</w:t>
            </w:r>
          </w:p>
        </w:tc>
        <w:tc>
          <w:tcPr>
            <w:tcW w:w="2929" w:type="dxa"/>
            <w:vAlign w:val="center"/>
          </w:tcPr>
          <w:p w14:paraId="3A72CCA4" w14:textId="77777777" w:rsidR="00DB23EF" w:rsidRPr="00DB23EF" w:rsidRDefault="00DB23EF" w:rsidP="008B4BB0">
            <w:pPr>
              <w:pStyle w:val="NoSpacing"/>
              <w:ind w:left="0"/>
              <w:jc w:val="center"/>
              <w:rPr>
                <w:rFonts w:ascii="Arial" w:hAnsi="Arial" w:cs="Arial"/>
                <w:sz w:val="20"/>
                <w:highlight w:val="yellow"/>
              </w:rPr>
            </w:pPr>
            <w:r w:rsidRPr="00DB23EF">
              <w:rPr>
                <w:rFonts w:ascii="Arial" w:hAnsi="Arial" w:cs="Arial"/>
                <w:sz w:val="20"/>
                <w:highlight w:val="yellow"/>
              </w:rPr>
              <w:t>Moderate to low</w:t>
            </w:r>
          </w:p>
        </w:tc>
      </w:tr>
      <w:tr w:rsidR="00DB23EF" w:rsidRPr="00DB23EF" w14:paraId="3158F104" w14:textId="77777777" w:rsidTr="008B4BB0">
        <w:trPr>
          <w:trHeight w:val="195"/>
          <w:jc w:val="center"/>
        </w:trPr>
        <w:tc>
          <w:tcPr>
            <w:tcW w:w="2697" w:type="dxa"/>
            <w:vAlign w:val="center"/>
          </w:tcPr>
          <w:p w14:paraId="5CD5B43C" w14:textId="77777777" w:rsidR="00DB23EF" w:rsidRPr="00DB23EF" w:rsidRDefault="00DB23EF" w:rsidP="008B4BB0">
            <w:pPr>
              <w:pStyle w:val="NoSpacing"/>
              <w:ind w:left="0"/>
              <w:jc w:val="center"/>
              <w:rPr>
                <w:rFonts w:ascii="Arial" w:hAnsi="Arial" w:cs="Arial"/>
                <w:b/>
                <w:sz w:val="20"/>
                <w:highlight w:val="yellow"/>
              </w:rPr>
            </w:pPr>
            <w:r w:rsidRPr="00DB23EF">
              <w:rPr>
                <w:rFonts w:ascii="Arial" w:hAnsi="Arial" w:cs="Arial"/>
                <w:b/>
                <w:sz w:val="20"/>
                <w:highlight w:val="yellow"/>
              </w:rPr>
              <w:t>pH</w:t>
            </w:r>
          </w:p>
        </w:tc>
        <w:tc>
          <w:tcPr>
            <w:tcW w:w="3159" w:type="dxa"/>
            <w:vAlign w:val="center"/>
          </w:tcPr>
          <w:p w14:paraId="0D704262" w14:textId="77777777" w:rsidR="00DB23EF" w:rsidRPr="00DB23EF" w:rsidRDefault="00DB23EF" w:rsidP="008B4BB0">
            <w:pPr>
              <w:pStyle w:val="NoSpacing"/>
              <w:ind w:left="0"/>
              <w:jc w:val="center"/>
              <w:rPr>
                <w:rFonts w:ascii="Arial" w:hAnsi="Arial" w:cs="Arial"/>
                <w:sz w:val="20"/>
                <w:highlight w:val="yellow"/>
              </w:rPr>
            </w:pPr>
            <w:r w:rsidRPr="00DB23EF">
              <w:rPr>
                <w:rFonts w:ascii="Arial" w:hAnsi="Arial" w:cs="Arial"/>
                <w:sz w:val="20"/>
                <w:highlight w:val="yellow"/>
              </w:rPr>
              <w:t>Neutral to Alkaline</w:t>
            </w:r>
          </w:p>
        </w:tc>
        <w:tc>
          <w:tcPr>
            <w:tcW w:w="2929" w:type="dxa"/>
            <w:vAlign w:val="center"/>
          </w:tcPr>
          <w:p w14:paraId="26AF6240" w14:textId="77777777" w:rsidR="00DB23EF" w:rsidRPr="00DB23EF" w:rsidRDefault="00DB23EF" w:rsidP="008B4BB0">
            <w:pPr>
              <w:pStyle w:val="NoSpacing"/>
              <w:ind w:left="0"/>
              <w:jc w:val="center"/>
              <w:rPr>
                <w:rFonts w:ascii="Arial" w:hAnsi="Arial" w:cs="Arial"/>
                <w:sz w:val="20"/>
                <w:highlight w:val="yellow"/>
              </w:rPr>
            </w:pPr>
            <w:r w:rsidRPr="00DB23EF">
              <w:rPr>
                <w:rFonts w:ascii="Arial" w:hAnsi="Arial" w:cs="Arial"/>
                <w:sz w:val="20"/>
                <w:highlight w:val="yellow"/>
              </w:rPr>
              <w:t>Acidic to Neutral</w:t>
            </w:r>
          </w:p>
        </w:tc>
      </w:tr>
      <w:tr w:rsidR="00DB23EF" w:rsidRPr="00DB23EF" w14:paraId="5137D910" w14:textId="77777777" w:rsidTr="008B4BB0">
        <w:trPr>
          <w:trHeight w:val="195"/>
          <w:jc w:val="center"/>
        </w:trPr>
        <w:tc>
          <w:tcPr>
            <w:tcW w:w="2697" w:type="dxa"/>
            <w:vAlign w:val="center"/>
          </w:tcPr>
          <w:p w14:paraId="3C22F009" w14:textId="77777777" w:rsidR="00DB23EF" w:rsidRPr="00DB23EF" w:rsidRDefault="00DB23EF" w:rsidP="008B4BB0">
            <w:pPr>
              <w:pStyle w:val="NoSpacing"/>
              <w:ind w:left="0"/>
              <w:jc w:val="center"/>
              <w:rPr>
                <w:rFonts w:ascii="Arial" w:hAnsi="Arial" w:cs="Arial"/>
                <w:b/>
                <w:sz w:val="20"/>
                <w:highlight w:val="yellow"/>
              </w:rPr>
            </w:pPr>
            <w:r w:rsidRPr="00DB23EF">
              <w:rPr>
                <w:rFonts w:ascii="Arial" w:hAnsi="Arial" w:cs="Arial"/>
                <w:b/>
                <w:sz w:val="20"/>
                <w:highlight w:val="yellow"/>
              </w:rPr>
              <w:t>Fixed Carbon</w:t>
            </w:r>
          </w:p>
        </w:tc>
        <w:tc>
          <w:tcPr>
            <w:tcW w:w="3159" w:type="dxa"/>
            <w:vAlign w:val="center"/>
          </w:tcPr>
          <w:p w14:paraId="235F4AFC" w14:textId="77777777" w:rsidR="00DB23EF" w:rsidRPr="00DB23EF" w:rsidRDefault="00DB23EF" w:rsidP="008B4BB0">
            <w:pPr>
              <w:pStyle w:val="NoSpacing"/>
              <w:ind w:left="0"/>
              <w:jc w:val="center"/>
              <w:rPr>
                <w:rFonts w:ascii="Arial" w:hAnsi="Arial" w:cs="Arial"/>
                <w:sz w:val="20"/>
                <w:highlight w:val="yellow"/>
              </w:rPr>
            </w:pPr>
            <w:r w:rsidRPr="00DB23EF">
              <w:rPr>
                <w:rFonts w:ascii="Arial" w:hAnsi="Arial" w:cs="Arial"/>
                <w:sz w:val="20"/>
                <w:highlight w:val="yellow"/>
              </w:rPr>
              <w:t>High (60–85%)</w:t>
            </w:r>
          </w:p>
        </w:tc>
        <w:tc>
          <w:tcPr>
            <w:tcW w:w="2929" w:type="dxa"/>
            <w:vAlign w:val="center"/>
          </w:tcPr>
          <w:p w14:paraId="19CC647D" w14:textId="77777777" w:rsidR="00DB23EF" w:rsidRPr="00DB23EF" w:rsidRDefault="00DB23EF" w:rsidP="008B4BB0">
            <w:pPr>
              <w:pStyle w:val="NoSpacing"/>
              <w:ind w:left="0"/>
              <w:jc w:val="center"/>
              <w:rPr>
                <w:rFonts w:ascii="Arial" w:hAnsi="Arial" w:cs="Arial"/>
                <w:sz w:val="20"/>
                <w:highlight w:val="yellow"/>
              </w:rPr>
            </w:pPr>
            <w:r w:rsidRPr="00DB23EF">
              <w:rPr>
                <w:rFonts w:ascii="Arial" w:hAnsi="Arial" w:cs="Arial"/>
                <w:sz w:val="20"/>
                <w:highlight w:val="yellow"/>
              </w:rPr>
              <w:t>Moderate (40–60%)</w:t>
            </w:r>
          </w:p>
        </w:tc>
      </w:tr>
      <w:tr w:rsidR="00DB23EF" w:rsidRPr="00DB23EF" w14:paraId="1E1CC43F" w14:textId="77777777" w:rsidTr="008B4BB0">
        <w:trPr>
          <w:trHeight w:val="391"/>
          <w:jc w:val="center"/>
        </w:trPr>
        <w:tc>
          <w:tcPr>
            <w:tcW w:w="2697" w:type="dxa"/>
            <w:vAlign w:val="center"/>
          </w:tcPr>
          <w:p w14:paraId="668F29DB" w14:textId="77777777" w:rsidR="00DB23EF" w:rsidRPr="00DB23EF" w:rsidRDefault="00DB23EF" w:rsidP="008B4BB0">
            <w:pPr>
              <w:pStyle w:val="NoSpacing"/>
              <w:ind w:left="0"/>
              <w:jc w:val="center"/>
              <w:rPr>
                <w:rFonts w:ascii="Arial" w:hAnsi="Arial" w:cs="Arial"/>
                <w:b/>
                <w:sz w:val="20"/>
                <w:highlight w:val="yellow"/>
              </w:rPr>
            </w:pPr>
            <w:r w:rsidRPr="00DB23EF">
              <w:rPr>
                <w:rFonts w:ascii="Arial" w:hAnsi="Arial" w:cs="Arial"/>
                <w:b/>
                <w:sz w:val="20"/>
                <w:highlight w:val="yellow"/>
              </w:rPr>
              <w:t>Functional Groups</w:t>
            </w:r>
          </w:p>
        </w:tc>
        <w:tc>
          <w:tcPr>
            <w:tcW w:w="3159" w:type="dxa"/>
            <w:vAlign w:val="center"/>
          </w:tcPr>
          <w:p w14:paraId="1D4597BE" w14:textId="77777777" w:rsidR="00DB23EF" w:rsidRPr="00DB23EF" w:rsidRDefault="00DB23EF" w:rsidP="008B4BB0">
            <w:pPr>
              <w:pStyle w:val="NoSpacing"/>
              <w:ind w:left="0"/>
              <w:jc w:val="center"/>
              <w:rPr>
                <w:rFonts w:ascii="Arial" w:hAnsi="Arial" w:cs="Arial"/>
                <w:sz w:val="20"/>
                <w:highlight w:val="yellow"/>
              </w:rPr>
            </w:pPr>
            <w:r w:rsidRPr="00DB23EF">
              <w:rPr>
                <w:rFonts w:ascii="Arial" w:hAnsi="Arial" w:cs="Arial"/>
                <w:sz w:val="20"/>
                <w:highlight w:val="yellow"/>
              </w:rPr>
              <w:t>Rich in aromatic, stable structures</w:t>
            </w:r>
          </w:p>
        </w:tc>
        <w:tc>
          <w:tcPr>
            <w:tcW w:w="2929" w:type="dxa"/>
            <w:vAlign w:val="center"/>
          </w:tcPr>
          <w:p w14:paraId="11DB1E0E" w14:textId="77777777" w:rsidR="00DB23EF" w:rsidRPr="00DB23EF" w:rsidRDefault="00DB23EF" w:rsidP="008B4BB0">
            <w:pPr>
              <w:pStyle w:val="NoSpacing"/>
              <w:ind w:left="0"/>
              <w:jc w:val="center"/>
              <w:rPr>
                <w:rFonts w:ascii="Arial" w:hAnsi="Arial" w:cs="Arial"/>
                <w:sz w:val="20"/>
                <w:highlight w:val="yellow"/>
              </w:rPr>
            </w:pPr>
            <w:r w:rsidRPr="00DB23EF">
              <w:rPr>
                <w:rFonts w:ascii="Arial" w:hAnsi="Arial" w:cs="Arial"/>
                <w:sz w:val="20"/>
                <w:highlight w:val="yellow"/>
              </w:rPr>
              <w:t>Contains more aliphatic, labile compounds</w:t>
            </w:r>
          </w:p>
        </w:tc>
      </w:tr>
      <w:tr w:rsidR="00DB23EF" w:rsidRPr="00612770" w14:paraId="77E09157" w14:textId="77777777" w:rsidTr="008B4BB0">
        <w:trPr>
          <w:trHeight w:val="391"/>
          <w:jc w:val="center"/>
        </w:trPr>
        <w:tc>
          <w:tcPr>
            <w:tcW w:w="2697" w:type="dxa"/>
            <w:tcBorders>
              <w:bottom w:val="single" w:sz="4" w:space="0" w:color="auto"/>
            </w:tcBorders>
            <w:vAlign w:val="center"/>
          </w:tcPr>
          <w:p w14:paraId="50A17176" w14:textId="77777777" w:rsidR="00DB23EF" w:rsidRPr="00DB23EF" w:rsidRDefault="00DB23EF" w:rsidP="008B4BB0">
            <w:pPr>
              <w:pStyle w:val="NoSpacing"/>
              <w:ind w:left="0"/>
              <w:jc w:val="center"/>
              <w:rPr>
                <w:rFonts w:ascii="Arial" w:hAnsi="Arial" w:cs="Arial"/>
                <w:b/>
                <w:sz w:val="20"/>
                <w:highlight w:val="yellow"/>
              </w:rPr>
            </w:pPr>
            <w:r w:rsidRPr="00DB23EF">
              <w:rPr>
                <w:rFonts w:ascii="Arial" w:hAnsi="Arial" w:cs="Arial"/>
                <w:b/>
                <w:sz w:val="20"/>
                <w:highlight w:val="yellow"/>
              </w:rPr>
              <w:t>Soil Stability</w:t>
            </w:r>
          </w:p>
        </w:tc>
        <w:tc>
          <w:tcPr>
            <w:tcW w:w="3159" w:type="dxa"/>
            <w:tcBorders>
              <w:bottom w:val="single" w:sz="4" w:space="0" w:color="auto"/>
            </w:tcBorders>
            <w:vAlign w:val="center"/>
          </w:tcPr>
          <w:p w14:paraId="5C8AAE22" w14:textId="77777777" w:rsidR="00DB23EF" w:rsidRPr="00DB23EF" w:rsidRDefault="00DB23EF" w:rsidP="008B4BB0">
            <w:pPr>
              <w:pStyle w:val="NoSpacing"/>
              <w:ind w:left="0"/>
              <w:jc w:val="center"/>
              <w:rPr>
                <w:rFonts w:ascii="Arial" w:hAnsi="Arial" w:cs="Arial"/>
                <w:sz w:val="20"/>
                <w:highlight w:val="yellow"/>
              </w:rPr>
            </w:pPr>
            <w:r w:rsidRPr="00DB23EF">
              <w:rPr>
                <w:rFonts w:ascii="Arial" w:hAnsi="Arial" w:cs="Arial"/>
                <w:sz w:val="20"/>
                <w:highlight w:val="yellow"/>
              </w:rPr>
              <w:t>Excellent (long-term)</w:t>
            </w:r>
          </w:p>
        </w:tc>
        <w:tc>
          <w:tcPr>
            <w:tcW w:w="2929" w:type="dxa"/>
            <w:tcBorders>
              <w:bottom w:val="single" w:sz="4" w:space="0" w:color="auto"/>
            </w:tcBorders>
            <w:vAlign w:val="center"/>
          </w:tcPr>
          <w:p w14:paraId="4F472844" w14:textId="77777777" w:rsidR="00DB23EF" w:rsidRPr="00612770" w:rsidRDefault="00DB23EF" w:rsidP="008B4BB0">
            <w:pPr>
              <w:pStyle w:val="NoSpacing"/>
              <w:ind w:left="0"/>
              <w:jc w:val="center"/>
              <w:rPr>
                <w:rFonts w:ascii="Arial" w:hAnsi="Arial" w:cs="Arial"/>
                <w:sz w:val="20"/>
              </w:rPr>
            </w:pPr>
            <w:r w:rsidRPr="00DB23EF">
              <w:rPr>
                <w:rFonts w:ascii="Arial" w:hAnsi="Arial" w:cs="Arial"/>
                <w:sz w:val="20"/>
                <w:highlight w:val="yellow"/>
              </w:rPr>
              <w:t>Lower (prone to microbial degradation)</w:t>
            </w:r>
          </w:p>
        </w:tc>
      </w:tr>
    </w:tbl>
    <w:p w14:paraId="7D34B23C" w14:textId="77777777" w:rsidR="00DB23EF" w:rsidRDefault="00DB23EF" w:rsidP="00DB23EF">
      <w:pPr>
        <w:pStyle w:val="NoSpacing"/>
      </w:pPr>
    </w:p>
    <w:bookmarkEnd w:id="15"/>
    <w:p w14:paraId="69A69CE8" w14:textId="77777777" w:rsidR="00DB23EF" w:rsidRPr="00612770" w:rsidRDefault="00DB23EF" w:rsidP="00DB23EF">
      <w:pPr>
        <w:pStyle w:val="NoSpacing"/>
        <w:ind w:left="0"/>
        <w:rPr>
          <w:rFonts w:ascii="Arial" w:hAnsi="Arial" w:cs="Arial"/>
        </w:rPr>
      </w:pPr>
      <w:r>
        <w:rPr>
          <w:rStyle w:val="Strong"/>
          <w:rFonts w:ascii="Arial" w:hAnsi="Arial" w:cs="Arial"/>
          <w:bCs w:val="0"/>
        </w:rPr>
        <w:t xml:space="preserve">4.4 </w:t>
      </w:r>
      <w:bookmarkStart w:id="16" w:name="_Hlk195816347"/>
      <w:r w:rsidRPr="00612770">
        <w:rPr>
          <w:rStyle w:val="Strong"/>
          <w:rFonts w:ascii="Arial" w:hAnsi="Arial" w:cs="Arial"/>
          <w:bCs w:val="0"/>
        </w:rPr>
        <w:t>Effect of Pyrolysis Temperature and Feedstock Treatment</w:t>
      </w:r>
    </w:p>
    <w:p w14:paraId="37DE6CE3" w14:textId="77777777" w:rsidR="00DB23EF" w:rsidRDefault="00DB23EF" w:rsidP="00DB23EF">
      <w:pPr>
        <w:pStyle w:val="NoSpacing"/>
        <w:ind w:left="0"/>
        <w:rPr>
          <w:rFonts w:ascii="Arial" w:hAnsi="Arial" w:cs="Arial"/>
          <w:sz w:val="20"/>
        </w:rPr>
      </w:pPr>
      <w:r w:rsidRPr="00612770">
        <w:rPr>
          <w:rFonts w:ascii="Arial" w:hAnsi="Arial" w:cs="Arial"/>
          <w:sz w:val="20"/>
        </w:rPr>
        <w:t xml:space="preserve">Pyrolysis temperature is a critical determinant of the final quality and functionality of biochar. As temperature increases: </w:t>
      </w:r>
      <w:r w:rsidRPr="00612770">
        <w:rPr>
          <w:rStyle w:val="Strong"/>
          <w:rFonts w:ascii="Arial" w:hAnsi="Arial" w:cs="Arial"/>
          <w:b w:val="0"/>
          <w:bCs w:val="0"/>
          <w:sz w:val="20"/>
        </w:rPr>
        <w:t xml:space="preserve">Volatile matter decreases, Fixed carbon and ash content increase and Surface area and pore development improve. </w:t>
      </w:r>
      <w:r w:rsidRPr="00612770">
        <w:rPr>
          <w:rFonts w:ascii="Arial" w:hAnsi="Arial" w:cs="Arial"/>
          <w:sz w:val="20"/>
        </w:rPr>
        <w:t xml:space="preserve">Biochar produced at </w:t>
      </w:r>
      <w:r w:rsidRPr="00612770">
        <w:rPr>
          <w:rStyle w:val="Strong"/>
          <w:rFonts w:ascii="Arial" w:hAnsi="Arial" w:cs="Arial"/>
          <w:b w:val="0"/>
          <w:bCs w:val="0"/>
          <w:sz w:val="20"/>
        </w:rPr>
        <w:t>higher temperatures (500–700°C)</w:t>
      </w:r>
      <w:r w:rsidRPr="00612770">
        <w:rPr>
          <w:rFonts w:ascii="Arial" w:hAnsi="Arial" w:cs="Arial"/>
          <w:sz w:val="20"/>
        </w:rPr>
        <w:t xml:space="preserve"> tends to have greater aromaticity and carbon stability but lower amounts of surface functional groups</w:t>
      </w:r>
      <w:r>
        <w:rPr>
          <w:rFonts w:ascii="Arial" w:hAnsi="Arial" w:cs="Arial"/>
          <w:sz w:val="20"/>
        </w:rPr>
        <w:t xml:space="preserve"> (</w:t>
      </w:r>
      <w:r>
        <w:rPr>
          <w:rFonts w:ascii="Arial" w:hAnsi="Arial" w:cs="Arial"/>
          <w:color w:val="222222"/>
          <w:sz w:val="20"/>
          <w:szCs w:val="20"/>
          <w:shd w:val="clear" w:color="auto" w:fill="FFFFFF"/>
        </w:rPr>
        <w:t>Tan et al., 2021</w:t>
      </w:r>
      <w:r>
        <w:rPr>
          <w:rFonts w:ascii="Arial" w:hAnsi="Arial" w:cs="Arial"/>
          <w:sz w:val="20"/>
        </w:rPr>
        <w:t>)</w:t>
      </w:r>
      <w:r w:rsidRPr="00612770">
        <w:rPr>
          <w:rFonts w:ascii="Arial" w:hAnsi="Arial" w:cs="Arial"/>
          <w:sz w:val="20"/>
        </w:rPr>
        <w:t xml:space="preserve">. In contrast, </w:t>
      </w:r>
      <w:r w:rsidRPr="00612770">
        <w:rPr>
          <w:rStyle w:val="Strong"/>
          <w:rFonts w:ascii="Arial" w:hAnsi="Arial" w:cs="Arial"/>
          <w:b w:val="0"/>
          <w:bCs w:val="0"/>
          <w:sz w:val="20"/>
        </w:rPr>
        <w:t xml:space="preserve">low-temperature </w:t>
      </w:r>
      <w:proofErr w:type="spellStart"/>
      <w:r w:rsidRPr="00612770">
        <w:rPr>
          <w:rStyle w:val="Strong"/>
          <w:rFonts w:ascii="Arial" w:hAnsi="Arial" w:cs="Arial"/>
          <w:b w:val="0"/>
          <w:bCs w:val="0"/>
          <w:sz w:val="20"/>
        </w:rPr>
        <w:t>biochars</w:t>
      </w:r>
      <w:proofErr w:type="spellEnd"/>
      <w:r w:rsidRPr="00612770">
        <w:rPr>
          <w:rStyle w:val="Strong"/>
          <w:rFonts w:ascii="Arial" w:hAnsi="Arial" w:cs="Arial"/>
          <w:b w:val="0"/>
          <w:bCs w:val="0"/>
          <w:sz w:val="20"/>
        </w:rPr>
        <w:t xml:space="preserve"> (300–400°C)</w:t>
      </w:r>
      <w:r w:rsidRPr="00612770">
        <w:rPr>
          <w:rFonts w:ascii="Arial" w:hAnsi="Arial" w:cs="Arial"/>
          <w:sz w:val="20"/>
        </w:rPr>
        <w:t xml:space="preserve"> retain more labile compounds and functional groups, which can be beneficial for </w:t>
      </w:r>
      <w:r w:rsidRPr="00612770">
        <w:rPr>
          <w:rStyle w:val="Strong"/>
          <w:rFonts w:ascii="Arial" w:hAnsi="Arial" w:cs="Arial"/>
          <w:b w:val="0"/>
          <w:bCs w:val="0"/>
          <w:sz w:val="20"/>
        </w:rPr>
        <w:t>nutrient availability and microbial stimulation</w:t>
      </w:r>
      <w:r w:rsidRPr="00612770">
        <w:rPr>
          <w:rFonts w:ascii="Arial" w:hAnsi="Arial" w:cs="Arial"/>
          <w:sz w:val="20"/>
        </w:rPr>
        <w:t xml:space="preserve"> in the short term. Additionally, </w:t>
      </w:r>
      <w:r w:rsidRPr="00612770">
        <w:rPr>
          <w:rStyle w:val="Strong"/>
          <w:rFonts w:ascii="Arial" w:hAnsi="Arial" w:cs="Arial"/>
          <w:b w:val="0"/>
          <w:bCs w:val="0"/>
          <w:sz w:val="20"/>
        </w:rPr>
        <w:t>pre-treatment of sugarcane bagasse</w:t>
      </w:r>
      <w:r w:rsidRPr="00612770">
        <w:rPr>
          <w:rFonts w:ascii="Arial" w:hAnsi="Arial" w:cs="Arial"/>
          <w:sz w:val="20"/>
        </w:rPr>
        <w:t xml:space="preserve"> (e.g., drying, size reduction, chemical activation) can significantly influence biochar characteristics. For example, </w:t>
      </w:r>
      <w:r w:rsidRPr="00612770">
        <w:rPr>
          <w:rStyle w:val="Strong"/>
          <w:rFonts w:ascii="Arial" w:hAnsi="Arial" w:cs="Arial"/>
          <w:b w:val="0"/>
          <w:bCs w:val="0"/>
          <w:sz w:val="20"/>
        </w:rPr>
        <w:t>alkali treatment (e.g., KOH)</w:t>
      </w:r>
      <w:r w:rsidRPr="00612770">
        <w:rPr>
          <w:rFonts w:ascii="Arial" w:hAnsi="Arial" w:cs="Arial"/>
          <w:sz w:val="20"/>
        </w:rPr>
        <w:t xml:space="preserve"> can enhance pore development and surface reactivity, while </w:t>
      </w:r>
      <w:r w:rsidRPr="00612770">
        <w:rPr>
          <w:rStyle w:val="Strong"/>
          <w:rFonts w:ascii="Arial" w:hAnsi="Arial" w:cs="Arial"/>
          <w:b w:val="0"/>
          <w:bCs w:val="0"/>
          <w:sz w:val="20"/>
        </w:rPr>
        <w:t>iron impregnation</w:t>
      </w:r>
      <w:r w:rsidRPr="00612770">
        <w:rPr>
          <w:rFonts w:ascii="Arial" w:hAnsi="Arial" w:cs="Arial"/>
          <w:sz w:val="20"/>
        </w:rPr>
        <w:t xml:space="preserve"> improves its capacity for </w:t>
      </w:r>
      <w:r w:rsidRPr="00612770">
        <w:rPr>
          <w:rStyle w:val="Strong"/>
          <w:rFonts w:ascii="Arial" w:hAnsi="Arial" w:cs="Arial"/>
          <w:b w:val="0"/>
          <w:bCs w:val="0"/>
          <w:sz w:val="20"/>
        </w:rPr>
        <w:t>heavy metal adsorption</w:t>
      </w:r>
      <w:r w:rsidRPr="00612770">
        <w:rPr>
          <w:rFonts w:ascii="Arial" w:hAnsi="Arial" w:cs="Arial"/>
          <w:sz w:val="20"/>
        </w:rPr>
        <w:t>.</w:t>
      </w:r>
    </w:p>
    <w:bookmarkEnd w:id="16"/>
    <w:p w14:paraId="6B041CED" w14:textId="77777777" w:rsidR="00DB23EF" w:rsidRPr="00612770" w:rsidRDefault="00DB23EF" w:rsidP="00DB23EF">
      <w:pPr>
        <w:pStyle w:val="NoSpacing"/>
        <w:ind w:left="0"/>
        <w:rPr>
          <w:rFonts w:ascii="Arial" w:hAnsi="Arial" w:cs="Arial"/>
          <w:sz w:val="20"/>
        </w:rPr>
      </w:pPr>
    </w:p>
    <w:p w14:paraId="17D68F7C" w14:textId="77777777" w:rsidR="00DB23EF" w:rsidRDefault="00DB23EF" w:rsidP="00DB23EF">
      <w:pPr>
        <w:pStyle w:val="NoSpacing"/>
        <w:rPr>
          <w:lang w:eastAsia="en-IN"/>
        </w:rPr>
      </w:pPr>
    </w:p>
    <w:p w14:paraId="1D4B445E" w14:textId="77777777" w:rsidR="00DB23EF" w:rsidRPr="009B3E10" w:rsidRDefault="00DB23EF" w:rsidP="00DB23EF">
      <w:pPr>
        <w:pStyle w:val="NoSpacing"/>
        <w:ind w:left="0" w:firstLine="720"/>
        <w:rPr>
          <w:rFonts w:ascii="Arial" w:hAnsi="Arial" w:cs="Arial"/>
          <w:sz w:val="24"/>
        </w:rPr>
      </w:pPr>
      <w:r w:rsidRPr="009B3E10">
        <w:rPr>
          <w:rStyle w:val="Strong"/>
          <w:rFonts w:ascii="Arial" w:hAnsi="Arial" w:cs="Arial"/>
          <w:bCs w:val="0"/>
          <w:sz w:val="24"/>
        </w:rPr>
        <w:t xml:space="preserve">5. </w:t>
      </w:r>
      <w:bookmarkStart w:id="17" w:name="_Hlk195816389"/>
      <w:r w:rsidRPr="009B3E10">
        <w:rPr>
          <w:rStyle w:val="Strong"/>
          <w:rFonts w:ascii="Arial" w:hAnsi="Arial" w:cs="Arial"/>
          <w:bCs w:val="0"/>
          <w:sz w:val="24"/>
        </w:rPr>
        <w:t>IMPACT OF SUGARCANE BIOCHAR ON SOIL PROPERTIES</w:t>
      </w:r>
      <w:bookmarkEnd w:id="17"/>
    </w:p>
    <w:p w14:paraId="6B8A8617" w14:textId="77777777" w:rsidR="00DB23EF" w:rsidRDefault="00DB23EF" w:rsidP="00DB23EF">
      <w:pPr>
        <w:pStyle w:val="NoSpacing"/>
        <w:ind w:left="0"/>
        <w:rPr>
          <w:rFonts w:ascii="Arial" w:hAnsi="Arial" w:cs="Arial"/>
          <w:sz w:val="20"/>
        </w:rPr>
      </w:pPr>
    </w:p>
    <w:p w14:paraId="3C47062F" w14:textId="77777777" w:rsidR="00DB23EF" w:rsidRPr="009B3E10" w:rsidRDefault="00DB23EF" w:rsidP="00DB23EF">
      <w:pPr>
        <w:pStyle w:val="NoSpacing"/>
        <w:ind w:left="0"/>
        <w:rPr>
          <w:rFonts w:ascii="Arial" w:hAnsi="Arial" w:cs="Arial"/>
          <w:sz w:val="20"/>
        </w:rPr>
      </w:pPr>
      <w:bookmarkStart w:id="18" w:name="_Hlk195816440"/>
      <w:r w:rsidRPr="009B3E10">
        <w:rPr>
          <w:rFonts w:ascii="Arial" w:hAnsi="Arial" w:cs="Arial"/>
          <w:sz w:val="20"/>
        </w:rPr>
        <w:t xml:space="preserve">The application of biochar, particularly that derived from sugarcane bagasse, significantly influences a range of </w:t>
      </w:r>
      <w:r w:rsidRPr="009B3E10">
        <w:rPr>
          <w:rStyle w:val="Strong"/>
          <w:rFonts w:ascii="Arial" w:hAnsi="Arial" w:cs="Arial"/>
          <w:b w:val="0"/>
          <w:bCs w:val="0"/>
          <w:sz w:val="20"/>
        </w:rPr>
        <w:t>soil physicochemical and biological properties</w:t>
      </w:r>
      <w:r w:rsidRPr="009B3E10">
        <w:rPr>
          <w:rFonts w:ascii="Arial" w:hAnsi="Arial" w:cs="Arial"/>
          <w:sz w:val="20"/>
        </w:rPr>
        <w:t xml:space="preserve">, contributing to improved soil health and crop productivity. These improvements are especially relevant in the context of </w:t>
      </w:r>
      <w:r w:rsidRPr="009B3E10">
        <w:rPr>
          <w:rStyle w:val="Strong"/>
          <w:rFonts w:ascii="Arial" w:hAnsi="Arial" w:cs="Arial"/>
          <w:b w:val="0"/>
          <w:bCs w:val="0"/>
          <w:sz w:val="20"/>
        </w:rPr>
        <w:t>sustainable legume cultivation</w:t>
      </w:r>
      <w:r w:rsidRPr="009B3E10">
        <w:rPr>
          <w:rFonts w:ascii="Arial" w:hAnsi="Arial" w:cs="Arial"/>
          <w:sz w:val="20"/>
        </w:rPr>
        <w:t>, such as mung bean, which thrives in nutrient-balanced, biologically active soils.</w:t>
      </w:r>
    </w:p>
    <w:p w14:paraId="0BC50D39" w14:textId="77777777" w:rsidR="00DB23EF" w:rsidRPr="009B3E10" w:rsidRDefault="00DB23EF" w:rsidP="00DB23EF">
      <w:pPr>
        <w:pStyle w:val="NoSpacing"/>
        <w:rPr>
          <w:rFonts w:ascii="Arial" w:hAnsi="Arial" w:cs="Arial"/>
          <w:sz w:val="20"/>
        </w:rPr>
      </w:pPr>
    </w:p>
    <w:p w14:paraId="2198F683" w14:textId="77777777" w:rsidR="00DB23EF" w:rsidRPr="009B3E10" w:rsidRDefault="00DB23EF" w:rsidP="00DB23EF">
      <w:pPr>
        <w:pStyle w:val="NoSpacing"/>
        <w:ind w:left="0"/>
        <w:rPr>
          <w:rFonts w:ascii="Arial" w:hAnsi="Arial" w:cs="Arial"/>
        </w:rPr>
      </w:pPr>
      <w:r>
        <w:rPr>
          <w:rStyle w:val="Strong"/>
          <w:rFonts w:ascii="Arial" w:hAnsi="Arial" w:cs="Arial"/>
          <w:bCs w:val="0"/>
        </w:rPr>
        <w:t xml:space="preserve">5.1 </w:t>
      </w:r>
      <w:r w:rsidRPr="009B3E10">
        <w:rPr>
          <w:rStyle w:val="Strong"/>
          <w:rFonts w:ascii="Arial" w:hAnsi="Arial" w:cs="Arial"/>
          <w:bCs w:val="0"/>
        </w:rPr>
        <w:t>Soil pH and Buffering Capacity</w:t>
      </w:r>
    </w:p>
    <w:p w14:paraId="0435B8EA" w14:textId="77777777" w:rsidR="00DB23EF" w:rsidRPr="009B3E10" w:rsidRDefault="00DB23EF" w:rsidP="00DB23EF">
      <w:pPr>
        <w:pStyle w:val="NoSpacing"/>
        <w:ind w:left="0"/>
        <w:rPr>
          <w:rFonts w:ascii="Arial" w:hAnsi="Arial" w:cs="Arial"/>
          <w:sz w:val="20"/>
        </w:rPr>
      </w:pPr>
      <w:r w:rsidRPr="009B3E10">
        <w:rPr>
          <w:rFonts w:ascii="Arial" w:hAnsi="Arial" w:cs="Arial"/>
          <w:sz w:val="20"/>
        </w:rPr>
        <w:t xml:space="preserve">Sugarcane biochar typically possesses a </w:t>
      </w:r>
      <w:r w:rsidRPr="009B3E10">
        <w:rPr>
          <w:rStyle w:val="Strong"/>
          <w:rFonts w:ascii="Arial" w:hAnsi="Arial" w:cs="Arial"/>
          <w:b w:val="0"/>
          <w:bCs w:val="0"/>
          <w:sz w:val="20"/>
        </w:rPr>
        <w:t>neutral to slightly alkaline pH</w:t>
      </w:r>
      <w:r w:rsidRPr="009B3E10">
        <w:rPr>
          <w:rFonts w:ascii="Arial" w:hAnsi="Arial" w:cs="Arial"/>
          <w:sz w:val="20"/>
        </w:rPr>
        <w:t xml:space="preserve"> (7–9), making it highly effective for </w:t>
      </w:r>
      <w:r w:rsidRPr="009B3E10">
        <w:rPr>
          <w:rStyle w:val="Strong"/>
          <w:rFonts w:ascii="Arial" w:hAnsi="Arial" w:cs="Arial"/>
          <w:b w:val="0"/>
          <w:bCs w:val="0"/>
          <w:sz w:val="20"/>
        </w:rPr>
        <w:t>ameliorating acidic soils</w:t>
      </w:r>
      <w:r w:rsidRPr="009B3E10">
        <w:rPr>
          <w:rFonts w:ascii="Arial" w:hAnsi="Arial" w:cs="Arial"/>
          <w:sz w:val="20"/>
        </w:rPr>
        <w:t xml:space="preserve">, which are common in tropical and subtropical regions. When added to </w:t>
      </w:r>
      <w:r w:rsidRPr="009B3E10">
        <w:rPr>
          <w:rFonts w:ascii="Arial" w:hAnsi="Arial" w:cs="Arial"/>
          <w:sz w:val="20"/>
        </w:rPr>
        <w:lastRenderedPageBreak/>
        <w:t xml:space="preserve">acidic soils, biochar can increase the pH, thereby </w:t>
      </w:r>
      <w:r w:rsidRPr="009B3E10">
        <w:rPr>
          <w:rStyle w:val="Strong"/>
          <w:rFonts w:ascii="Arial" w:hAnsi="Arial" w:cs="Arial"/>
          <w:b w:val="0"/>
          <w:bCs w:val="0"/>
          <w:sz w:val="20"/>
        </w:rPr>
        <w:t xml:space="preserve">neutralizing toxic </w:t>
      </w:r>
      <w:proofErr w:type="spellStart"/>
      <w:r w:rsidRPr="009B3E10">
        <w:rPr>
          <w:rStyle w:val="Strong"/>
          <w:rFonts w:ascii="Arial" w:hAnsi="Arial" w:cs="Arial"/>
          <w:b w:val="0"/>
          <w:bCs w:val="0"/>
          <w:sz w:val="20"/>
        </w:rPr>
        <w:t>aluminum</w:t>
      </w:r>
      <w:proofErr w:type="spellEnd"/>
      <w:r w:rsidRPr="009B3E10">
        <w:rPr>
          <w:rStyle w:val="Strong"/>
          <w:rFonts w:ascii="Arial" w:hAnsi="Arial" w:cs="Arial"/>
          <w:b w:val="0"/>
          <w:bCs w:val="0"/>
          <w:sz w:val="20"/>
        </w:rPr>
        <w:t xml:space="preserve"> ions</w:t>
      </w:r>
      <w:r w:rsidRPr="009B3E10">
        <w:rPr>
          <w:rFonts w:ascii="Arial" w:hAnsi="Arial" w:cs="Arial"/>
          <w:sz w:val="20"/>
        </w:rPr>
        <w:t xml:space="preserve">, improving </w:t>
      </w:r>
      <w:r w:rsidRPr="009B3E10">
        <w:rPr>
          <w:rStyle w:val="Strong"/>
          <w:rFonts w:ascii="Arial" w:hAnsi="Arial" w:cs="Arial"/>
          <w:b w:val="0"/>
          <w:bCs w:val="0"/>
          <w:sz w:val="20"/>
        </w:rPr>
        <w:t>nutrient solubility</w:t>
      </w:r>
      <w:r w:rsidRPr="009B3E10">
        <w:rPr>
          <w:rFonts w:ascii="Arial" w:hAnsi="Arial" w:cs="Arial"/>
          <w:sz w:val="20"/>
        </w:rPr>
        <w:t xml:space="preserve">, and creating </w:t>
      </w:r>
      <w:proofErr w:type="spellStart"/>
      <w:r w:rsidRPr="009B3E10">
        <w:rPr>
          <w:rFonts w:ascii="Arial" w:hAnsi="Arial" w:cs="Arial"/>
          <w:sz w:val="20"/>
        </w:rPr>
        <w:t>favorable</w:t>
      </w:r>
      <w:proofErr w:type="spellEnd"/>
      <w:r w:rsidRPr="009B3E10">
        <w:rPr>
          <w:rFonts w:ascii="Arial" w:hAnsi="Arial" w:cs="Arial"/>
          <w:sz w:val="20"/>
        </w:rPr>
        <w:t xml:space="preserve"> conditions for root growth and microbial activity</w:t>
      </w:r>
      <w:r>
        <w:rPr>
          <w:rFonts w:ascii="Arial" w:hAnsi="Arial" w:cs="Arial"/>
          <w:sz w:val="20"/>
        </w:rPr>
        <w:t xml:space="preserve"> (</w:t>
      </w:r>
      <w:r>
        <w:rPr>
          <w:rFonts w:ascii="Arial" w:hAnsi="Arial" w:cs="Arial"/>
          <w:color w:val="222222"/>
          <w:sz w:val="20"/>
          <w:szCs w:val="20"/>
          <w:shd w:val="clear" w:color="auto" w:fill="FFFFFF"/>
        </w:rPr>
        <w:t>Shetty et al., 2021</w:t>
      </w:r>
      <w:r>
        <w:rPr>
          <w:rFonts w:ascii="Arial" w:hAnsi="Arial" w:cs="Arial"/>
          <w:sz w:val="20"/>
        </w:rPr>
        <w:t>)</w:t>
      </w:r>
      <w:r w:rsidRPr="009B3E10">
        <w:rPr>
          <w:rFonts w:ascii="Arial" w:hAnsi="Arial" w:cs="Arial"/>
          <w:sz w:val="20"/>
        </w:rPr>
        <w:t xml:space="preserve">. Moreover, the presence of </w:t>
      </w:r>
      <w:r w:rsidRPr="009B3E10">
        <w:rPr>
          <w:rStyle w:val="Strong"/>
          <w:rFonts w:ascii="Arial" w:hAnsi="Arial" w:cs="Arial"/>
          <w:b w:val="0"/>
          <w:bCs w:val="0"/>
          <w:sz w:val="20"/>
        </w:rPr>
        <w:t>carbonate and basic functional groups</w:t>
      </w:r>
      <w:r w:rsidRPr="009B3E10">
        <w:rPr>
          <w:rFonts w:ascii="Arial" w:hAnsi="Arial" w:cs="Arial"/>
          <w:sz w:val="20"/>
        </w:rPr>
        <w:t xml:space="preserve"> in biochar imparts </w:t>
      </w:r>
      <w:r w:rsidRPr="009B3E10">
        <w:rPr>
          <w:rStyle w:val="Strong"/>
          <w:rFonts w:ascii="Arial" w:hAnsi="Arial" w:cs="Arial"/>
          <w:b w:val="0"/>
          <w:bCs w:val="0"/>
          <w:sz w:val="20"/>
        </w:rPr>
        <w:t>buffering capacity</w:t>
      </w:r>
      <w:r w:rsidRPr="009B3E10">
        <w:rPr>
          <w:rFonts w:ascii="Arial" w:hAnsi="Arial" w:cs="Arial"/>
          <w:sz w:val="20"/>
        </w:rPr>
        <w:t>, stabilizing soil pH against sudden shifts caused by fertilizer or environmental changes.</w:t>
      </w:r>
    </w:p>
    <w:p w14:paraId="1C039AC3" w14:textId="77777777" w:rsidR="00DB23EF" w:rsidRPr="009B3E10" w:rsidRDefault="00DB23EF" w:rsidP="00DB23EF">
      <w:pPr>
        <w:pStyle w:val="NoSpacing"/>
        <w:rPr>
          <w:rFonts w:ascii="Arial" w:hAnsi="Arial" w:cs="Arial"/>
          <w:sz w:val="20"/>
        </w:rPr>
      </w:pPr>
    </w:p>
    <w:p w14:paraId="5154F5B1" w14:textId="77777777" w:rsidR="00DB23EF" w:rsidRPr="009B3E10" w:rsidRDefault="00DB23EF" w:rsidP="00DB23EF">
      <w:pPr>
        <w:pStyle w:val="NoSpacing"/>
        <w:ind w:left="0"/>
        <w:rPr>
          <w:rFonts w:ascii="Arial" w:hAnsi="Arial" w:cs="Arial"/>
        </w:rPr>
      </w:pPr>
      <w:r>
        <w:rPr>
          <w:rStyle w:val="Strong"/>
          <w:rFonts w:ascii="Arial" w:hAnsi="Arial" w:cs="Arial"/>
          <w:bCs w:val="0"/>
        </w:rPr>
        <w:t xml:space="preserve">5.2 </w:t>
      </w:r>
      <w:r w:rsidRPr="009B3E10">
        <w:rPr>
          <w:rStyle w:val="Strong"/>
          <w:rFonts w:ascii="Arial" w:hAnsi="Arial" w:cs="Arial"/>
          <w:bCs w:val="0"/>
        </w:rPr>
        <w:t>Cation Exchange Capacity (CEC)</w:t>
      </w:r>
    </w:p>
    <w:p w14:paraId="436272C0" w14:textId="77777777" w:rsidR="00DB23EF" w:rsidRPr="009B3E10" w:rsidRDefault="00DB23EF" w:rsidP="00DB23EF">
      <w:pPr>
        <w:pStyle w:val="NoSpacing"/>
        <w:ind w:left="0"/>
        <w:rPr>
          <w:rFonts w:ascii="Arial" w:hAnsi="Arial" w:cs="Arial"/>
          <w:sz w:val="20"/>
        </w:rPr>
      </w:pPr>
      <w:r w:rsidRPr="009B3E10">
        <w:rPr>
          <w:rFonts w:ascii="Arial" w:hAnsi="Arial" w:cs="Arial"/>
          <w:sz w:val="20"/>
        </w:rPr>
        <w:t xml:space="preserve">One of the most important functions of biochar in soil is its ability to enhance </w:t>
      </w:r>
      <w:r w:rsidRPr="009B3E10">
        <w:rPr>
          <w:rStyle w:val="Strong"/>
          <w:rFonts w:ascii="Arial" w:hAnsi="Arial" w:cs="Arial"/>
          <w:b w:val="0"/>
          <w:bCs w:val="0"/>
          <w:sz w:val="20"/>
        </w:rPr>
        <w:t>cation exchange capacity (CEC)</w:t>
      </w:r>
      <w:r w:rsidRPr="009B3E10">
        <w:rPr>
          <w:rFonts w:ascii="Arial" w:hAnsi="Arial" w:cs="Arial"/>
          <w:sz w:val="20"/>
        </w:rPr>
        <w:t xml:space="preserve">. The porous structure and surface functional groups (carboxyl, phenolic) of sugarcane biochar allow it to </w:t>
      </w:r>
      <w:r w:rsidRPr="009B3E10">
        <w:rPr>
          <w:rStyle w:val="Strong"/>
          <w:rFonts w:ascii="Arial" w:hAnsi="Arial" w:cs="Arial"/>
          <w:b w:val="0"/>
          <w:bCs w:val="0"/>
          <w:sz w:val="20"/>
        </w:rPr>
        <w:t>adsorb and retain essential nutrients</w:t>
      </w:r>
      <w:r w:rsidRPr="009B3E10">
        <w:rPr>
          <w:rFonts w:ascii="Arial" w:hAnsi="Arial" w:cs="Arial"/>
          <w:sz w:val="20"/>
        </w:rPr>
        <w:t xml:space="preserve"> such as ammonium (NH</w:t>
      </w:r>
      <w:r w:rsidRPr="009B3E10">
        <w:rPr>
          <w:rFonts w:ascii="Cambria Math" w:hAnsi="Cambria Math" w:cs="Cambria Math"/>
          <w:sz w:val="20"/>
        </w:rPr>
        <w:t>₄⁺</w:t>
      </w:r>
      <w:r w:rsidRPr="009B3E10">
        <w:rPr>
          <w:rFonts w:ascii="Arial" w:hAnsi="Arial" w:cs="Arial"/>
          <w:sz w:val="20"/>
        </w:rPr>
        <w:t>), potassium (K</w:t>
      </w:r>
      <w:r w:rsidRPr="009B3E10">
        <w:rPr>
          <w:rFonts w:ascii="Cambria Math" w:hAnsi="Cambria Math" w:cs="Cambria Math"/>
          <w:sz w:val="20"/>
        </w:rPr>
        <w:t>⁺</w:t>
      </w:r>
      <w:r w:rsidRPr="009B3E10">
        <w:rPr>
          <w:rFonts w:ascii="Arial" w:hAnsi="Arial" w:cs="Arial"/>
          <w:sz w:val="20"/>
        </w:rPr>
        <w:t>), calcium (Ca²</w:t>
      </w:r>
      <w:r w:rsidRPr="009B3E10">
        <w:rPr>
          <w:rFonts w:ascii="Cambria Math" w:hAnsi="Cambria Math" w:cs="Cambria Math"/>
          <w:sz w:val="20"/>
        </w:rPr>
        <w:t>⁺</w:t>
      </w:r>
      <w:r w:rsidRPr="009B3E10">
        <w:rPr>
          <w:rFonts w:ascii="Arial" w:hAnsi="Arial" w:cs="Arial"/>
          <w:sz w:val="20"/>
        </w:rPr>
        <w:t>), and magnesium (Mg²</w:t>
      </w:r>
      <w:r w:rsidRPr="009B3E10">
        <w:rPr>
          <w:rFonts w:ascii="Cambria Math" w:hAnsi="Cambria Math" w:cs="Cambria Math"/>
          <w:sz w:val="20"/>
        </w:rPr>
        <w:t>⁺</w:t>
      </w:r>
      <w:r w:rsidRPr="009B3E10">
        <w:rPr>
          <w:rFonts w:ascii="Arial" w:hAnsi="Arial" w:cs="Arial"/>
          <w:sz w:val="20"/>
        </w:rPr>
        <w:t>), thereby reducing their leaching losses</w:t>
      </w:r>
      <w:r>
        <w:rPr>
          <w:rFonts w:ascii="Arial" w:hAnsi="Arial" w:cs="Arial"/>
          <w:sz w:val="20"/>
        </w:rPr>
        <w:t xml:space="preserve"> (</w:t>
      </w:r>
      <w:r>
        <w:rPr>
          <w:rFonts w:ascii="Arial" w:hAnsi="Arial" w:cs="Arial"/>
          <w:color w:val="222222"/>
          <w:sz w:val="20"/>
          <w:szCs w:val="20"/>
          <w:shd w:val="clear" w:color="auto" w:fill="FFFFFF"/>
        </w:rPr>
        <w:t xml:space="preserve">Saleh &amp; </w:t>
      </w:r>
      <w:proofErr w:type="spellStart"/>
      <w:r>
        <w:rPr>
          <w:rFonts w:ascii="Arial" w:hAnsi="Arial" w:cs="Arial"/>
          <w:color w:val="222222"/>
          <w:sz w:val="20"/>
          <w:szCs w:val="20"/>
          <w:shd w:val="clear" w:color="auto" w:fill="FFFFFF"/>
        </w:rPr>
        <w:t>Hedia</w:t>
      </w:r>
      <w:proofErr w:type="spellEnd"/>
      <w:r>
        <w:rPr>
          <w:rFonts w:ascii="Arial" w:hAnsi="Arial" w:cs="Arial"/>
          <w:color w:val="222222"/>
          <w:sz w:val="20"/>
          <w:szCs w:val="20"/>
          <w:shd w:val="clear" w:color="auto" w:fill="FFFFFF"/>
        </w:rPr>
        <w:t>, 2018</w:t>
      </w:r>
      <w:r>
        <w:rPr>
          <w:rFonts w:ascii="Arial" w:hAnsi="Arial" w:cs="Arial"/>
          <w:sz w:val="20"/>
        </w:rPr>
        <w:t>)</w:t>
      </w:r>
      <w:r w:rsidRPr="009B3E10">
        <w:rPr>
          <w:rFonts w:ascii="Arial" w:hAnsi="Arial" w:cs="Arial"/>
          <w:sz w:val="20"/>
        </w:rPr>
        <w:t>. This improved nutrient retention not only supports plant nutrition but also increases fertilizer use efficiency—an important consideration in low-input farming systems.</w:t>
      </w:r>
    </w:p>
    <w:p w14:paraId="32D8F55C" w14:textId="77777777" w:rsidR="00DB23EF" w:rsidRPr="009B3E10" w:rsidRDefault="00DB23EF" w:rsidP="00DB23EF">
      <w:pPr>
        <w:pStyle w:val="NoSpacing"/>
        <w:rPr>
          <w:rFonts w:ascii="Arial" w:hAnsi="Arial" w:cs="Arial"/>
          <w:sz w:val="20"/>
        </w:rPr>
      </w:pPr>
    </w:p>
    <w:p w14:paraId="48499A72" w14:textId="77777777" w:rsidR="00DB23EF" w:rsidRPr="009B3E10" w:rsidRDefault="00DB23EF" w:rsidP="00DB23EF">
      <w:pPr>
        <w:pStyle w:val="NoSpacing"/>
        <w:ind w:left="0"/>
        <w:rPr>
          <w:rFonts w:ascii="Arial" w:hAnsi="Arial" w:cs="Arial"/>
        </w:rPr>
      </w:pPr>
      <w:r>
        <w:rPr>
          <w:rStyle w:val="Strong"/>
          <w:rFonts w:ascii="Arial" w:hAnsi="Arial" w:cs="Arial"/>
          <w:bCs w:val="0"/>
        </w:rPr>
        <w:t xml:space="preserve">5.3 </w:t>
      </w:r>
      <w:r w:rsidRPr="009B3E10">
        <w:rPr>
          <w:rStyle w:val="Strong"/>
          <w:rFonts w:ascii="Arial" w:hAnsi="Arial" w:cs="Arial"/>
          <w:bCs w:val="0"/>
        </w:rPr>
        <w:t>Water Holding Capacity and Aeration</w:t>
      </w:r>
    </w:p>
    <w:p w14:paraId="4AB6E0F4" w14:textId="16D7CB21" w:rsidR="00DB23EF" w:rsidRPr="009B3E10" w:rsidRDefault="00DB23EF" w:rsidP="00DB23EF">
      <w:pPr>
        <w:pStyle w:val="NoSpacing"/>
        <w:ind w:left="0"/>
        <w:rPr>
          <w:rFonts w:ascii="Arial" w:hAnsi="Arial" w:cs="Arial"/>
          <w:sz w:val="20"/>
        </w:rPr>
      </w:pPr>
      <w:r w:rsidRPr="009B3E10">
        <w:rPr>
          <w:rFonts w:ascii="Arial" w:hAnsi="Arial" w:cs="Arial"/>
          <w:sz w:val="20"/>
        </w:rPr>
        <w:t xml:space="preserve">The porous microstructure of sugarcane bagasse-derived biochar enhances the </w:t>
      </w:r>
      <w:r w:rsidRPr="009B3E10">
        <w:rPr>
          <w:rStyle w:val="Strong"/>
          <w:rFonts w:ascii="Arial" w:hAnsi="Arial" w:cs="Arial"/>
          <w:b w:val="0"/>
          <w:bCs w:val="0"/>
          <w:sz w:val="20"/>
        </w:rPr>
        <w:t>water retention</w:t>
      </w:r>
      <w:r w:rsidRPr="009B3E10">
        <w:rPr>
          <w:rFonts w:ascii="Arial" w:hAnsi="Arial" w:cs="Arial"/>
          <w:sz w:val="20"/>
        </w:rPr>
        <w:t xml:space="preserve"> capacity of soils, particularly </w:t>
      </w:r>
      <w:r w:rsidRPr="009B3E10">
        <w:rPr>
          <w:rStyle w:val="Strong"/>
          <w:rFonts w:ascii="Arial" w:hAnsi="Arial" w:cs="Arial"/>
          <w:b w:val="0"/>
          <w:bCs w:val="0"/>
          <w:sz w:val="20"/>
        </w:rPr>
        <w:t>light-textured or sandy soils</w:t>
      </w:r>
      <w:r w:rsidRPr="009B3E10">
        <w:rPr>
          <w:rFonts w:ascii="Arial" w:hAnsi="Arial" w:cs="Arial"/>
          <w:sz w:val="20"/>
        </w:rPr>
        <w:t xml:space="preserve">. The large surface area and internal pore networks enable the biochar to hold water and gradually release it, improving </w:t>
      </w:r>
      <w:r w:rsidRPr="009B3E10">
        <w:rPr>
          <w:rStyle w:val="Strong"/>
          <w:rFonts w:ascii="Arial" w:hAnsi="Arial" w:cs="Arial"/>
          <w:b w:val="0"/>
          <w:bCs w:val="0"/>
          <w:sz w:val="20"/>
        </w:rPr>
        <w:t>plant water availability</w:t>
      </w:r>
      <w:r w:rsidRPr="009B3E10">
        <w:rPr>
          <w:rFonts w:ascii="Arial" w:hAnsi="Arial" w:cs="Arial"/>
          <w:sz w:val="20"/>
        </w:rPr>
        <w:t xml:space="preserve"> during dry periods. Simultaneously, biochar improves </w:t>
      </w:r>
      <w:r w:rsidRPr="009B3E10">
        <w:rPr>
          <w:rStyle w:val="Strong"/>
          <w:rFonts w:ascii="Arial" w:hAnsi="Arial" w:cs="Arial"/>
          <w:b w:val="0"/>
          <w:bCs w:val="0"/>
          <w:sz w:val="20"/>
        </w:rPr>
        <w:t>soil aeration</w:t>
      </w:r>
      <w:r w:rsidRPr="009B3E10">
        <w:rPr>
          <w:rFonts w:ascii="Arial" w:hAnsi="Arial" w:cs="Arial"/>
          <w:sz w:val="20"/>
        </w:rPr>
        <w:t xml:space="preserve"> by loosening compacted soils and creating microhabitats for root development and microbial colonization. These physical improvements are especially beneficial for mung bean, which has a relatively shallow root system sensitive to water and air stress</w:t>
      </w:r>
      <w:r>
        <w:rPr>
          <w:rFonts w:ascii="Arial" w:hAnsi="Arial" w:cs="Arial"/>
          <w:sz w:val="20"/>
        </w:rPr>
        <w:t xml:space="preserve"> (</w:t>
      </w:r>
      <w:proofErr w:type="spellStart"/>
      <w:r>
        <w:rPr>
          <w:rFonts w:ascii="Arial" w:hAnsi="Arial" w:cs="Arial"/>
          <w:sz w:val="20"/>
        </w:rPr>
        <w:t>Tutlani</w:t>
      </w:r>
      <w:proofErr w:type="spellEnd"/>
      <w:r>
        <w:rPr>
          <w:rFonts w:ascii="Arial" w:hAnsi="Arial" w:cs="Arial"/>
          <w:sz w:val="20"/>
        </w:rPr>
        <w:t xml:space="preserve"> et al., 2023)</w:t>
      </w:r>
      <w:r w:rsidRPr="009B3E10">
        <w:rPr>
          <w:rFonts w:ascii="Arial" w:hAnsi="Arial" w:cs="Arial"/>
          <w:sz w:val="20"/>
        </w:rPr>
        <w:t>.</w:t>
      </w:r>
    </w:p>
    <w:p w14:paraId="64E0CCCD" w14:textId="77777777" w:rsidR="00DB23EF" w:rsidRPr="009B3E10" w:rsidRDefault="00DB23EF" w:rsidP="00DB23EF">
      <w:pPr>
        <w:pStyle w:val="NoSpacing"/>
        <w:rPr>
          <w:rFonts w:ascii="Arial" w:hAnsi="Arial" w:cs="Arial"/>
          <w:sz w:val="20"/>
        </w:rPr>
      </w:pPr>
    </w:p>
    <w:p w14:paraId="1F1DBE59" w14:textId="77777777" w:rsidR="00DB23EF" w:rsidRPr="009B3E10" w:rsidRDefault="00DB23EF" w:rsidP="00DB23EF">
      <w:pPr>
        <w:pStyle w:val="NoSpacing"/>
        <w:ind w:left="0"/>
        <w:rPr>
          <w:rFonts w:ascii="Arial" w:hAnsi="Arial" w:cs="Arial"/>
        </w:rPr>
      </w:pPr>
      <w:r>
        <w:rPr>
          <w:rStyle w:val="Strong"/>
          <w:rFonts w:ascii="Arial" w:hAnsi="Arial" w:cs="Arial"/>
          <w:bCs w:val="0"/>
        </w:rPr>
        <w:t xml:space="preserve">5.4 </w:t>
      </w:r>
      <w:r w:rsidRPr="009B3E10">
        <w:rPr>
          <w:rStyle w:val="Strong"/>
          <w:rFonts w:ascii="Arial" w:hAnsi="Arial" w:cs="Arial"/>
          <w:bCs w:val="0"/>
        </w:rPr>
        <w:t>Organic Matter and Microbial Activity</w:t>
      </w:r>
    </w:p>
    <w:p w14:paraId="531C290F" w14:textId="77777777" w:rsidR="00DB23EF" w:rsidRPr="009B3E10" w:rsidRDefault="00DB23EF" w:rsidP="00DB23EF">
      <w:pPr>
        <w:pStyle w:val="NoSpacing"/>
        <w:ind w:left="0"/>
        <w:rPr>
          <w:rFonts w:ascii="Arial" w:hAnsi="Arial" w:cs="Arial"/>
          <w:sz w:val="20"/>
        </w:rPr>
      </w:pPr>
      <w:r w:rsidRPr="009B3E10">
        <w:rPr>
          <w:rFonts w:ascii="Arial" w:hAnsi="Arial" w:cs="Arial"/>
          <w:sz w:val="20"/>
        </w:rPr>
        <w:t xml:space="preserve">Biochar addition can indirectly increase </w:t>
      </w:r>
      <w:r w:rsidRPr="009B3E10">
        <w:rPr>
          <w:rStyle w:val="Strong"/>
          <w:rFonts w:ascii="Arial" w:hAnsi="Arial" w:cs="Arial"/>
          <w:b w:val="0"/>
          <w:bCs w:val="0"/>
          <w:sz w:val="20"/>
        </w:rPr>
        <w:t>soil organic matter (SOM)</w:t>
      </w:r>
      <w:r w:rsidRPr="009B3E10">
        <w:rPr>
          <w:rFonts w:ascii="Arial" w:hAnsi="Arial" w:cs="Arial"/>
          <w:sz w:val="20"/>
        </w:rPr>
        <w:t xml:space="preserve"> through its interaction with crop residues, root exudates, and microbial biomass. Its high surface area and stability make it a </w:t>
      </w:r>
      <w:r w:rsidRPr="009B3E10">
        <w:rPr>
          <w:rStyle w:val="Strong"/>
          <w:rFonts w:ascii="Arial" w:hAnsi="Arial" w:cs="Arial"/>
          <w:b w:val="0"/>
          <w:bCs w:val="0"/>
          <w:sz w:val="20"/>
        </w:rPr>
        <w:t>favourable habitat for beneficial soil microbes</w:t>
      </w:r>
      <w:r w:rsidRPr="009B3E10">
        <w:rPr>
          <w:rFonts w:ascii="Arial" w:hAnsi="Arial" w:cs="Arial"/>
          <w:sz w:val="20"/>
        </w:rPr>
        <w:t xml:space="preserve">, including </w:t>
      </w:r>
      <w:r w:rsidRPr="009B3E10">
        <w:rPr>
          <w:rStyle w:val="Strong"/>
          <w:rFonts w:ascii="Arial" w:hAnsi="Arial" w:cs="Arial"/>
          <w:b w:val="0"/>
          <w:bCs w:val="0"/>
          <w:sz w:val="20"/>
        </w:rPr>
        <w:t>nitrogen-fixing bacteria</w:t>
      </w:r>
      <w:r w:rsidRPr="009B3E10">
        <w:rPr>
          <w:rFonts w:ascii="Arial" w:hAnsi="Arial" w:cs="Arial"/>
          <w:sz w:val="20"/>
        </w:rPr>
        <w:t xml:space="preserve"> and </w:t>
      </w:r>
      <w:r w:rsidRPr="009B3E10">
        <w:rPr>
          <w:rStyle w:val="Strong"/>
          <w:rFonts w:ascii="Arial" w:hAnsi="Arial" w:cs="Arial"/>
          <w:b w:val="0"/>
          <w:bCs w:val="0"/>
          <w:sz w:val="20"/>
        </w:rPr>
        <w:t>mycorrhizal fungi</w:t>
      </w:r>
      <w:r w:rsidRPr="009B3E10">
        <w:rPr>
          <w:rFonts w:ascii="Arial" w:hAnsi="Arial" w:cs="Arial"/>
          <w:sz w:val="20"/>
        </w:rPr>
        <w:t xml:space="preserve">. These microbes contribute to nutrient cycling, soil aggregation, and disease suppression. In legumes like mung bean, improved rhizosphere microbial activity translates into </w:t>
      </w:r>
      <w:r w:rsidRPr="009B3E10">
        <w:rPr>
          <w:rStyle w:val="Strong"/>
          <w:rFonts w:ascii="Arial" w:hAnsi="Arial" w:cs="Arial"/>
          <w:b w:val="0"/>
          <w:bCs w:val="0"/>
          <w:sz w:val="20"/>
        </w:rPr>
        <w:t>enhanced nodulation and biological nitrogen fixation</w:t>
      </w:r>
      <w:r w:rsidRPr="009B3E10">
        <w:rPr>
          <w:rFonts w:ascii="Arial" w:hAnsi="Arial" w:cs="Arial"/>
          <w:sz w:val="20"/>
        </w:rPr>
        <w:t>, thus promoting sustainable yield gains without the excessive need for synthetic fertilizers.</w:t>
      </w:r>
    </w:p>
    <w:p w14:paraId="7A5FFE49" w14:textId="77777777" w:rsidR="00DB23EF" w:rsidRPr="009B3E10" w:rsidRDefault="00DB23EF" w:rsidP="00DB23EF">
      <w:pPr>
        <w:pStyle w:val="NoSpacing"/>
        <w:ind w:left="0"/>
        <w:rPr>
          <w:rStyle w:val="Strong"/>
          <w:rFonts w:ascii="Arial" w:hAnsi="Arial" w:cs="Arial"/>
          <w:b w:val="0"/>
          <w:bCs w:val="0"/>
          <w:sz w:val="20"/>
        </w:rPr>
      </w:pPr>
    </w:p>
    <w:p w14:paraId="4FAB2E8E" w14:textId="77777777" w:rsidR="00DB23EF" w:rsidRPr="009B3E10" w:rsidRDefault="00DB23EF" w:rsidP="00DB23EF">
      <w:pPr>
        <w:pStyle w:val="NoSpacing"/>
        <w:ind w:left="0"/>
        <w:rPr>
          <w:rFonts w:ascii="Arial" w:hAnsi="Arial" w:cs="Arial"/>
        </w:rPr>
      </w:pPr>
      <w:r>
        <w:rPr>
          <w:rStyle w:val="Strong"/>
          <w:rFonts w:ascii="Arial" w:hAnsi="Arial" w:cs="Arial"/>
          <w:bCs w:val="0"/>
        </w:rPr>
        <w:t xml:space="preserve">5.5 </w:t>
      </w:r>
      <w:r w:rsidRPr="009B3E10">
        <w:rPr>
          <w:rStyle w:val="Strong"/>
          <w:rFonts w:ascii="Arial" w:hAnsi="Arial" w:cs="Arial"/>
          <w:bCs w:val="0"/>
        </w:rPr>
        <w:t>Carbon Sequestration and GHG Mitigation</w:t>
      </w:r>
    </w:p>
    <w:p w14:paraId="7525D71F" w14:textId="77777777" w:rsidR="00DB23EF" w:rsidRPr="009B3E10" w:rsidRDefault="00DB23EF" w:rsidP="00DB23EF">
      <w:pPr>
        <w:pStyle w:val="NoSpacing"/>
        <w:ind w:left="0"/>
        <w:rPr>
          <w:rFonts w:ascii="Arial" w:hAnsi="Arial" w:cs="Arial"/>
          <w:sz w:val="20"/>
        </w:rPr>
      </w:pPr>
      <w:r w:rsidRPr="009B3E10">
        <w:rPr>
          <w:rFonts w:ascii="Arial" w:hAnsi="Arial" w:cs="Arial"/>
          <w:sz w:val="20"/>
        </w:rPr>
        <w:t xml:space="preserve">Biochar is a </w:t>
      </w:r>
      <w:r w:rsidRPr="009B3E10">
        <w:rPr>
          <w:rStyle w:val="Strong"/>
          <w:rFonts w:ascii="Arial" w:hAnsi="Arial" w:cs="Arial"/>
          <w:b w:val="0"/>
          <w:bCs w:val="0"/>
          <w:sz w:val="20"/>
        </w:rPr>
        <w:t>highly recalcitrant form of organic carbon</w:t>
      </w:r>
      <w:r w:rsidRPr="009B3E10">
        <w:rPr>
          <w:rFonts w:ascii="Arial" w:hAnsi="Arial" w:cs="Arial"/>
          <w:sz w:val="20"/>
        </w:rPr>
        <w:t xml:space="preserve">, with residence times in soil ranging from decades to centuries. Its application leads to </w:t>
      </w:r>
      <w:r w:rsidRPr="009B3E10">
        <w:rPr>
          <w:rStyle w:val="Strong"/>
          <w:rFonts w:ascii="Arial" w:hAnsi="Arial" w:cs="Arial"/>
          <w:b w:val="0"/>
          <w:bCs w:val="0"/>
          <w:sz w:val="20"/>
        </w:rPr>
        <w:t>long-term carbon sequestration</w:t>
      </w:r>
      <w:r w:rsidRPr="009B3E10">
        <w:rPr>
          <w:rFonts w:ascii="Arial" w:hAnsi="Arial" w:cs="Arial"/>
          <w:sz w:val="20"/>
        </w:rPr>
        <w:t>, effectively locking atmospheric CO</w:t>
      </w:r>
      <w:r w:rsidRPr="009B3E10">
        <w:rPr>
          <w:rFonts w:ascii="Cambria Math" w:hAnsi="Cambria Math" w:cs="Cambria Math"/>
          <w:sz w:val="20"/>
        </w:rPr>
        <w:t>₂</w:t>
      </w:r>
      <w:r w:rsidRPr="009B3E10">
        <w:rPr>
          <w:rFonts w:ascii="Arial" w:hAnsi="Arial" w:cs="Arial"/>
          <w:sz w:val="20"/>
        </w:rPr>
        <w:t xml:space="preserve"> into stable soil carbon pools. Additionally, biochar can </w:t>
      </w:r>
      <w:r w:rsidRPr="009B3E10">
        <w:rPr>
          <w:rStyle w:val="Strong"/>
          <w:rFonts w:ascii="Arial" w:hAnsi="Arial" w:cs="Arial"/>
          <w:b w:val="0"/>
          <w:bCs w:val="0"/>
          <w:sz w:val="20"/>
        </w:rPr>
        <w:t>reduce greenhouse gas (GHG) emissions</w:t>
      </w:r>
      <w:r w:rsidRPr="009B3E10">
        <w:rPr>
          <w:rFonts w:ascii="Arial" w:hAnsi="Arial" w:cs="Arial"/>
          <w:sz w:val="20"/>
        </w:rPr>
        <w:t xml:space="preserve"> from soil by decreasing nitrous oxide (N</w:t>
      </w:r>
      <w:r w:rsidRPr="009B3E10">
        <w:rPr>
          <w:rFonts w:ascii="Cambria Math" w:hAnsi="Cambria Math" w:cs="Cambria Math"/>
          <w:sz w:val="20"/>
        </w:rPr>
        <w:t>₂</w:t>
      </w:r>
      <w:r w:rsidRPr="009B3E10">
        <w:rPr>
          <w:rFonts w:ascii="Arial" w:hAnsi="Arial" w:cs="Arial"/>
          <w:sz w:val="20"/>
        </w:rPr>
        <w:t>O) emissions (due to nitrification suppression) and methane (CH</w:t>
      </w:r>
      <w:r w:rsidRPr="009B3E10">
        <w:rPr>
          <w:rFonts w:ascii="Cambria Math" w:hAnsi="Cambria Math" w:cs="Cambria Math"/>
          <w:sz w:val="20"/>
        </w:rPr>
        <w:t>₄</w:t>
      </w:r>
      <w:r w:rsidRPr="009B3E10">
        <w:rPr>
          <w:rFonts w:ascii="Arial" w:hAnsi="Arial" w:cs="Arial"/>
          <w:sz w:val="20"/>
        </w:rPr>
        <w:t>) emissions in waterlogged soils</w:t>
      </w:r>
      <w:r>
        <w:rPr>
          <w:rFonts w:ascii="Arial" w:hAnsi="Arial" w:cs="Arial"/>
          <w:sz w:val="20"/>
        </w:rPr>
        <w:t xml:space="preserve"> (</w:t>
      </w:r>
      <w:r>
        <w:rPr>
          <w:rFonts w:ascii="Arial" w:hAnsi="Arial" w:cs="Arial"/>
          <w:color w:val="222222"/>
          <w:sz w:val="20"/>
          <w:szCs w:val="20"/>
          <w:shd w:val="clear" w:color="auto" w:fill="FFFFFF"/>
        </w:rPr>
        <w:t>Wang et al., 2023</w:t>
      </w:r>
      <w:r>
        <w:rPr>
          <w:rFonts w:ascii="Arial" w:hAnsi="Arial" w:cs="Arial"/>
          <w:sz w:val="20"/>
        </w:rPr>
        <w:t>)</w:t>
      </w:r>
      <w:r w:rsidRPr="009B3E10">
        <w:rPr>
          <w:rFonts w:ascii="Arial" w:hAnsi="Arial" w:cs="Arial"/>
          <w:sz w:val="20"/>
        </w:rPr>
        <w:t xml:space="preserve">. This environmental benefit is particularly significant in </w:t>
      </w:r>
      <w:r w:rsidRPr="009B3E10">
        <w:rPr>
          <w:rStyle w:val="Strong"/>
          <w:rFonts w:ascii="Arial" w:hAnsi="Arial" w:cs="Arial"/>
          <w:b w:val="0"/>
          <w:bCs w:val="0"/>
          <w:sz w:val="20"/>
        </w:rPr>
        <w:t>climate-smart agriculture</w:t>
      </w:r>
      <w:r w:rsidRPr="009B3E10">
        <w:rPr>
          <w:rFonts w:ascii="Arial" w:hAnsi="Arial" w:cs="Arial"/>
          <w:sz w:val="20"/>
        </w:rPr>
        <w:t xml:space="preserve"> initiatives aimed at mitigating the adverse impacts of global warming. The integration of sugarcane biochar into agricultural soils creates a synergistic improvement in </w:t>
      </w:r>
      <w:r w:rsidRPr="009B3E10">
        <w:rPr>
          <w:rStyle w:val="Strong"/>
          <w:rFonts w:ascii="Arial" w:hAnsi="Arial" w:cs="Arial"/>
          <w:b w:val="0"/>
          <w:bCs w:val="0"/>
          <w:sz w:val="20"/>
        </w:rPr>
        <w:t>chemical balance</w:t>
      </w:r>
      <w:r w:rsidRPr="009B3E10">
        <w:rPr>
          <w:rFonts w:ascii="Arial" w:hAnsi="Arial" w:cs="Arial"/>
          <w:sz w:val="20"/>
        </w:rPr>
        <w:t xml:space="preserve">, </w:t>
      </w:r>
      <w:r w:rsidRPr="009B3E10">
        <w:rPr>
          <w:rStyle w:val="Strong"/>
          <w:rFonts w:ascii="Arial" w:hAnsi="Arial" w:cs="Arial"/>
          <w:b w:val="0"/>
          <w:bCs w:val="0"/>
          <w:sz w:val="20"/>
        </w:rPr>
        <w:t>physical structure</w:t>
      </w:r>
      <w:r w:rsidRPr="009B3E10">
        <w:rPr>
          <w:rFonts w:ascii="Arial" w:hAnsi="Arial" w:cs="Arial"/>
          <w:sz w:val="20"/>
        </w:rPr>
        <w:t xml:space="preserve">, and </w:t>
      </w:r>
      <w:r w:rsidRPr="009B3E10">
        <w:rPr>
          <w:rStyle w:val="Strong"/>
          <w:rFonts w:ascii="Arial" w:hAnsi="Arial" w:cs="Arial"/>
          <w:b w:val="0"/>
          <w:bCs w:val="0"/>
          <w:sz w:val="20"/>
        </w:rPr>
        <w:t>biological function</w:t>
      </w:r>
      <w:r w:rsidRPr="009B3E10">
        <w:rPr>
          <w:rFonts w:ascii="Arial" w:hAnsi="Arial" w:cs="Arial"/>
          <w:sz w:val="20"/>
        </w:rPr>
        <w:t xml:space="preserve">, making it a versatile amendment for building </w:t>
      </w:r>
      <w:r w:rsidRPr="009B3E10">
        <w:rPr>
          <w:rStyle w:val="Strong"/>
          <w:rFonts w:ascii="Arial" w:hAnsi="Arial" w:cs="Arial"/>
          <w:b w:val="0"/>
          <w:bCs w:val="0"/>
          <w:sz w:val="20"/>
        </w:rPr>
        <w:t>resilient and productive agroecosystems</w:t>
      </w:r>
      <w:r w:rsidRPr="009B3E10">
        <w:rPr>
          <w:rFonts w:ascii="Arial" w:hAnsi="Arial" w:cs="Arial"/>
          <w:sz w:val="20"/>
        </w:rPr>
        <w:t>, particularly for mung bean cultivation.</w:t>
      </w:r>
    </w:p>
    <w:p w14:paraId="47BAC2C9" w14:textId="77777777" w:rsidR="00DB23EF" w:rsidRPr="009B3E10" w:rsidRDefault="00DB23EF" w:rsidP="00DB23EF">
      <w:pPr>
        <w:pStyle w:val="NoSpacing"/>
        <w:rPr>
          <w:rFonts w:ascii="Arial" w:hAnsi="Arial" w:cs="Arial"/>
          <w:sz w:val="20"/>
        </w:rPr>
      </w:pPr>
    </w:p>
    <w:p w14:paraId="62CF830B" w14:textId="77777777" w:rsidR="00DB23EF" w:rsidRDefault="00DB23EF" w:rsidP="00DB23EF">
      <w:pPr>
        <w:pStyle w:val="NoSpacing"/>
        <w:ind w:left="0"/>
        <w:rPr>
          <w:rStyle w:val="Strong"/>
          <w:rFonts w:ascii="Arial" w:hAnsi="Arial" w:cs="Arial"/>
          <w:bCs w:val="0"/>
        </w:rPr>
      </w:pPr>
      <w:r>
        <w:rPr>
          <w:rStyle w:val="Strong"/>
          <w:rFonts w:ascii="Arial" w:hAnsi="Arial" w:cs="Arial"/>
          <w:bCs w:val="0"/>
        </w:rPr>
        <w:t xml:space="preserve">5.6 </w:t>
      </w:r>
      <w:r w:rsidRPr="00CC2177">
        <w:rPr>
          <w:rStyle w:val="Strong"/>
          <w:rFonts w:ascii="Arial" w:hAnsi="Arial" w:cs="Arial"/>
          <w:bCs w:val="0"/>
        </w:rPr>
        <w:t>Biochar as a Soil Amendment for Sustainable Crop Production</w:t>
      </w:r>
    </w:p>
    <w:p w14:paraId="4DE317A9" w14:textId="77777777" w:rsidR="00DB23EF" w:rsidRDefault="00DB23EF" w:rsidP="00DB23EF">
      <w:pPr>
        <w:pStyle w:val="NoSpacing"/>
        <w:ind w:left="0"/>
        <w:rPr>
          <w:rFonts w:ascii="Arial" w:hAnsi="Arial" w:cs="Arial"/>
          <w:b/>
          <w:sz w:val="20"/>
          <w:szCs w:val="20"/>
        </w:rPr>
      </w:pPr>
      <w:r w:rsidRPr="007734B3">
        <w:rPr>
          <w:rFonts w:ascii="Arial" w:hAnsi="Arial" w:cs="Arial"/>
          <w:sz w:val="20"/>
          <w:szCs w:val="20"/>
        </w:rPr>
        <w:t xml:space="preserve">The transformation of agricultural biomass into biochar provides a sustainable strategy to improve soil quality and promote plant productivity. As illustrated in </w:t>
      </w:r>
      <w:r w:rsidRPr="007734B3">
        <w:rPr>
          <w:rStyle w:val="Strong"/>
          <w:rFonts w:ascii="Arial" w:hAnsi="Arial" w:cs="Arial"/>
          <w:b w:val="0"/>
          <w:sz w:val="20"/>
          <w:szCs w:val="20"/>
        </w:rPr>
        <w:t>Fig. 1</w:t>
      </w:r>
      <w:r w:rsidRPr="007734B3">
        <w:rPr>
          <w:rFonts w:ascii="Arial" w:hAnsi="Arial" w:cs="Arial"/>
          <w:b/>
          <w:sz w:val="20"/>
          <w:szCs w:val="20"/>
        </w:rPr>
        <w:t>,</w:t>
      </w:r>
      <w:r w:rsidRPr="007734B3">
        <w:rPr>
          <w:rFonts w:ascii="Arial" w:hAnsi="Arial" w:cs="Arial"/>
          <w:sz w:val="20"/>
          <w:szCs w:val="20"/>
        </w:rPr>
        <w:t xml:space="preserve"> plant-based residues such as sugarcane bagasse, coconut shells, and other lignocellulosic materials can be converted into biochar through pyrolysis. Once applied to soil, biochar plays a dual role enhancing both the </w:t>
      </w:r>
      <w:r w:rsidRPr="007734B3">
        <w:rPr>
          <w:rStyle w:val="Strong"/>
          <w:rFonts w:ascii="Arial" w:hAnsi="Arial" w:cs="Arial"/>
          <w:b w:val="0"/>
          <w:sz w:val="20"/>
          <w:szCs w:val="20"/>
        </w:rPr>
        <w:t>physicochemical</w:t>
      </w:r>
      <w:r w:rsidRPr="007734B3">
        <w:rPr>
          <w:rFonts w:ascii="Arial" w:hAnsi="Arial" w:cs="Arial"/>
          <w:sz w:val="20"/>
          <w:szCs w:val="20"/>
        </w:rPr>
        <w:t xml:space="preserve"> (e.g., pH, porosity, nutrient retention) and </w:t>
      </w:r>
      <w:r w:rsidRPr="007734B3">
        <w:rPr>
          <w:rStyle w:val="Strong"/>
          <w:rFonts w:ascii="Arial" w:hAnsi="Arial" w:cs="Arial"/>
          <w:b w:val="0"/>
          <w:sz w:val="20"/>
          <w:szCs w:val="20"/>
        </w:rPr>
        <w:t>biological</w:t>
      </w:r>
      <w:r w:rsidRPr="007734B3">
        <w:rPr>
          <w:rFonts w:ascii="Arial" w:hAnsi="Arial" w:cs="Arial"/>
          <w:sz w:val="20"/>
          <w:szCs w:val="20"/>
        </w:rPr>
        <w:t xml:space="preserve"> attributes (e.g., microbial diversity and activity) of soil. These improvements contribute significantly to overall </w:t>
      </w:r>
      <w:r w:rsidRPr="007734B3">
        <w:rPr>
          <w:rStyle w:val="Strong"/>
          <w:rFonts w:ascii="Arial" w:hAnsi="Arial" w:cs="Arial"/>
          <w:b w:val="0"/>
          <w:sz w:val="20"/>
          <w:szCs w:val="20"/>
        </w:rPr>
        <w:t>soil health</w:t>
      </w:r>
      <w:r w:rsidRPr="007734B3">
        <w:rPr>
          <w:rFonts w:ascii="Arial" w:hAnsi="Arial" w:cs="Arial"/>
          <w:b/>
          <w:sz w:val="20"/>
          <w:szCs w:val="20"/>
        </w:rPr>
        <w:t>,</w:t>
      </w:r>
      <w:r w:rsidRPr="007734B3">
        <w:rPr>
          <w:rFonts w:ascii="Arial" w:hAnsi="Arial" w:cs="Arial"/>
          <w:sz w:val="20"/>
          <w:szCs w:val="20"/>
        </w:rPr>
        <w:t xml:space="preserve"> which in turn supports robust </w:t>
      </w:r>
      <w:r w:rsidRPr="007734B3">
        <w:rPr>
          <w:rStyle w:val="Strong"/>
          <w:rFonts w:ascii="Arial" w:hAnsi="Arial" w:cs="Arial"/>
          <w:b w:val="0"/>
          <w:sz w:val="20"/>
          <w:szCs w:val="20"/>
        </w:rPr>
        <w:t>crop stand establishment</w:t>
      </w:r>
      <w:r w:rsidRPr="007734B3">
        <w:rPr>
          <w:rFonts w:ascii="Arial" w:hAnsi="Arial" w:cs="Arial"/>
          <w:sz w:val="20"/>
          <w:szCs w:val="20"/>
        </w:rPr>
        <w:t xml:space="preserve"> and enhances </w:t>
      </w:r>
      <w:r w:rsidRPr="007734B3">
        <w:rPr>
          <w:rStyle w:val="Strong"/>
          <w:rFonts w:ascii="Arial" w:hAnsi="Arial" w:cs="Arial"/>
          <w:b w:val="0"/>
          <w:sz w:val="20"/>
          <w:szCs w:val="20"/>
        </w:rPr>
        <w:t>crop yield</w:t>
      </w:r>
      <w:r>
        <w:rPr>
          <w:rStyle w:val="Strong"/>
          <w:rFonts w:ascii="Arial" w:hAnsi="Arial" w:cs="Arial"/>
          <w:b w:val="0"/>
          <w:sz w:val="20"/>
          <w:szCs w:val="20"/>
        </w:rPr>
        <w:t xml:space="preserve"> (</w:t>
      </w:r>
      <w:r>
        <w:rPr>
          <w:rFonts w:ascii="Arial" w:hAnsi="Arial" w:cs="Arial"/>
          <w:color w:val="222222"/>
          <w:sz w:val="20"/>
          <w:szCs w:val="20"/>
          <w:shd w:val="clear" w:color="auto" w:fill="FFFFFF"/>
        </w:rPr>
        <w:t>Hussain et al., 2017</w:t>
      </w:r>
      <w:r>
        <w:rPr>
          <w:rStyle w:val="Strong"/>
          <w:rFonts w:ascii="Arial" w:hAnsi="Arial" w:cs="Arial"/>
          <w:b w:val="0"/>
          <w:sz w:val="20"/>
          <w:szCs w:val="20"/>
        </w:rPr>
        <w:t>)</w:t>
      </w:r>
      <w:r w:rsidRPr="007734B3">
        <w:rPr>
          <w:rFonts w:ascii="Arial" w:hAnsi="Arial" w:cs="Arial"/>
          <w:b/>
          <w:sz w:val="20"/>
          <w:szCs w:val="20"/>
        </w:rPr>
        <w:t>.</w:t>
      </w:r>
      <w:r w:rsidRPr="007734B3">
        <w:rPr>
          <w:rFonts w:ascii="Arial" w:hAnsi="Arial" w:cs="Arial"/>
          <w:sz w:val="20"/>
          <w:szCs w:val="20"/>
        </w:rPr>
        <w:t xml:space="preserve"> The integration of biochar into farming systems therefore represents a sustainable loop, converting plant waste into a valuable resource that supports both </w:t>
      </w:r>
      <w:r w:rsidRPr="007734B3">
        <w:rPr>
          <w:rStyle w:val="Strong"/>
          <w:rFonts w:ascii="Arial" w:hAnsi="Arial" w:cs="Arial"/>
          <w:b w:val="0"/>
          <w:sz w:val="20"/>
          <w:szCs w:val="20"/>
        </w:rPr>
        <w:t>agroecosystem resilience</w:t>
      </w:r>
      <w:r w:rsidRPr="007734B3">
        <w:rPr>
          <w:rFonts w:ascii="Arial" w:hAnsi="Arial" w:cs="Arial"/>
          <w:sz w:val="20"/>
          <w:szCs w:val="20"/>
        </w:rPr>
        <w:t xml:space="preserve"> and </w:t>
      </w:r>
      <w:r w:rsidRPr="007734B3">
        <w:rPr>
          <w:rStyle w:val="Strong"/>
          <w:rFonts w:ascii="Arial" w:hAnsi="Arial" w:cs="Arial"/>
          <w:b w:val="0"/>
          <w:sz w:val="20"/>
          <w:szCs w:val="20"/>
        </w:rPr>
        <w:t>crop productivity</w:t>
      </w:r>
      <w:r w:rsidRPr="007734B3">
        <w:rPr>
          <w:rFonts w:ascii="Arial" w:hAnsi="Arial" w:cs="Arial"/>
          <w:b/>
          <w:sz w:val="20"/>
          <w:szCs w:val="20"/>
        </w:rPr>
        <w:t>.</w:t>
      </w:r>
      <w:bookmarkEnd w:id="18"/>
    </w:p>
    <w:p w14:paraId="1C0F7FFE" w14:textId="77777777" w:rsidR="00DB23EF" w:rsidRPr="00872E61" w:rsidRDefault="00DB23EF" w:rsidP="00DB23EF">
      <w:pPr>
        <w:pStyle w:val="NoSpacing"/>
        <w:ind w:left="0"/>
        <w:rPr>
          <w:rFonts w:ascii="Arial" w:hAnsi="Arial" w:cs="Arial"/>
          <w:b/>
          <w:sz w:val="20"/>
          <w:szCs w:val="20"/>
        </w:rPr>
      </w:pPr>
    </w:p>
    <w:p w14:paraId="19AE05B2" w14:textId="77777777" w:rsidR="00DB23EF" w:rsidRPr="00DB23EF" w:rsidRDefault="00DB23EF" w:rsidP="00DB23EF">
      <w:pPr>
        <w:pStyle w:val="NormalWeb"/>
        <w:jc w:val="center"/>
        <w:rPr>
          <w:highlight w:val="yellow"/>
        </w:rPr>
      </w:pPr>
      <w:r w:rsidRPr="00DB23EF">
        <w:rPr>
          <w:noProof/>
          <w:highlight w:val="yellow"/>
        </w:rPr>
        <w:lastRenderedPageBreak/>
        <w:drawing>
          <wp:inline distT="0" distB="0" distL="0" distR="0" wp14:anchorId="788A4DAC" wp14:editId="6CD2B51F">
            <wp:extent cx="5252314" cy="2824006"/>
            <wp:effectExtent l="19050" t="19050" r="24765" b="14605"/>
            <wp:docPr id="869861443" name="Picture 2" descr="A diagram of a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61443" name="Picture 2" descr="A diagram of a pla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1153" cy="2828758"/>
                    </a:xfrm>
                    <a:prstGeom prst="rect">
                      <a:avLst/>
                    </a:prstGeom>
                    <a:noFill/>
                    <a:ln>
                      <a:solidFill>
                        <a:schemeClr val="tx1"/>
                      </a:solidFill>
                    </a:ln>
                  </pic:spPr>
                </pic:pic>
              </a:graphicData>
            </a:graphic>
          </wp:inline>
        </w:drawing>
      </w:r>
    </w:p>
    <w:p w14:paraId="441D5003" w14:textId="77777777" w:rsidR="00DB23EF" w:rsidRPr="007734B3" w:rsidRDefault="00DB23EF" w:rsidP="00DB23EF">
      <w:pPr>
        <w:pStyle w:val="NoSpacing"/>
        <w:jc w:val="center"/>
        <w:rPr>
          <w:rFonts w:ascii="Arial" w:hAnsi="Arial" w:cs="Arial"/>
          <w:b/>
          <w:sz w:val="20"/>
          <w:szCs w:val="20"/>
        </w:rPr>
      </w:pPr>
      <w:bookmarkStart w:id="19" w:name="_Hlk195816885"/>
      <w:r w:rsidRPr="00DB23EF">
        <w:rPr>
          <w:rStyle w:val="Strong"/>
          <w:rFonts w:ascii="Arial" w:hAnsi="Arial" w:cs="Arial"/>
          <w:bCs w:val="0"/>
          <w:sz w:val="20"/>
          <w:szCs w:val="20"/>
          <w:highlight w:val="yellow"/>
        </w:rPr>
        <w:t>Fig. 1.</w:t>
      </w:r>
      <w:r w:rsidRPr="00DB23EF">
        <w:rPr>
          <w:rFonts w:ascii="Arial" w:hAnsi="Arial" w:cs="Arial"/>
          <w:sz w:val="20"/>
          <w:szCs w:val="20"/>
          <w:highlight w:val="yellow"/>
        </w:rPr>
        <w:t xml:space="preserve"> </w:t>
      </w:r>
      <w:r w:rsidRPr="00DB23EF">
        <w:rPr>
          <w:rStyle w:val="Emphasis"/>
          <w:rFonts w:ascii="Arial" w:hAnsi="Arial" w:cs="Arial"/>
          <w:b/>
          <w:i w:val="0"/>
          <w:sz w:val="20"/>
          <w:szCs w:val="20"/>
          <w:highlight w:val="yellow"/>
        </w:rPr>
        <w:t>Schematic representation of biochar production from plant biomass and its role in improving soil health and crop growth</w:t>
      </w:r>
    </w:p>
    <w:bookmarkEnd w:id="19"/>
    <w:p w14:paraId="33934E78" w14:textId="77777777" w:rsidR="00DB23EF" w:rsidRPr="00C86529" w:rsidRDefault="00DB23EF" w:rsidP="00DB23EF">
      <w:pPr>
        <w:spacing w:line="240" w:lineRule="auto"/>
        <w:ind w:left="0"/>
        <w:jc w:val="left"/>
        <w:rPr>
          <w:rFonts w:ascii="Arial" w:eastAsia="Times New Roman" w:hAnsi="Arial" w:cs="Arial"/>
          <w:sz w:val="20"/>
          <w:szCs w:val="20"/>
          <w:lang w:eastAsia="en-IN"/>
        </w:rPr>
      </w:pPr>
    </w:p>
    <w:p w14:paraId="35362118" w14:textId="77777777" w:rsidR="00DB23EF" w:rsidRDefault="00DB23EF" w:rsidP="00DB23EF">
      <w:pPr>
        <w:pStyle w:val="NoSpacing"/>
        <w:ind w:left="0"/>
        <w:rPr>
          <w:rStyle w:val="Strong"/>
          <w:rFonts w:ascii="Arial" w:hAnsi="Arial" w:cs="Arial"/>
          <w:bCs w:val="0"/>
        </w:rPr>
      </w:pPr>
    </w:p>
    <w:p w14:paraId="78A064D7" w14:textId="77777777" w:rsidR="00DB23EF" w:rsidRPr="009B3E10" w:rsidRDefault="00DB23EF" w:rsidP="00DB23EF">
      <w:pPr>
        <w:pStyle w:val="NoSpacing"/>
        <w:ind w:left="0" w:firstLine="357"/>
        <w:rPr>
          <w:rFonts w:ascii="Arial" w:hAnsi="Arial" w:cs="Arial"/>
          <w:sz w:val="24"/>
        </w:rPr>
      </w:pPr>
      <w:r w:rsidRPr="009B3E10">
        <w:rPr>
          <w:rStyle w:val="Strong"/>
          <w:rFonts w:ascii="Arial" w:hAnsi="Arial" w:cs="Arial"/>
          <w:bCs w:val="0"/>
        </w:rPr>
        <w:t xml:space="preserve">6. </w:t>
      </w:r>
      <w:bookmarkStart w:id="20" w:name="_Hlk195817013"/>
      <w:r w:rsidRPr="009B3E10">
        <w:rPr>
          <w:rStyle w:val="Strong"/>
          <w:rFonts w:ascii="Arial" w:hAnsi="Arial" w:cs="Arial"/>
          <w:bCs w:val="0"/>
        </w:rPr>
        <w:t>EFFECTS OF SUGARCANE BIOCHAR ON GROWTH AND YIELD OF MUNG BEAN</w:t>
      </w:r>
      <w:bookmarkEnd w:id="20"/>
    </w:p>
    <w:p w14:paraId="3C49851D" w14:textId="77777777" w:rsidR="00DB23EF" w:rsidRDefault="00DB23EF" w:rsidP="00DB23EF">
      <w:pPr>
        <w:pStyle w:val="NoSpacing"/>
        <w:ind w:left="0"/>
        <w:rPr>
          <w:rStyle w:val="Strong"/>
          <w:rFonts w:ascii="Arial" w:hAnsi="Arial" w:cs="Arial"/>
          <w:bCs w:val="0"/>
        </w:rPr>
      </w:pPr>
    </w:p>
    <w:p w14:paraId="6B8490DC" w14:textId="77777777" w:rsidR="00DB23EF" w:rsidRPr="009B3E10" w:rsidRDefault="00DB23EF" w:rsidP="00DB23EF">
      <w:pPr>
        <w:pStyle w:val="NoSpacing"/>
        <w:ind w:left="0"/>
        <w:rPr>
          <w:rFonts w:ascii="Arial" w:hAnsi="Arial" w:cs="Arial"/>
        </w:rPr>
      </w:pPr>
      <w:r>
        <w:rPr>
          <w:rStyle w:val="Strong"/>
          <w:rFonts w:ascii="Arial" w:hAnsi="Arial" w:cs="Arial"/>
          <w:bCs w:val="0"/>
        </w:rPr>
        <w:t xml:space="preserve">6.1 </w:t>
      </w:r>
      <w:bookmarkStart w:id="21" w:name="_Hlk195817138"/>
      <w:r w:rsidRPr="009B3E10">
        <w:rPr>
          <w:rStyle w:val="Strong"/>
          <w:rFonts w:ascii="Arial" w:hAnsi="Arial" w:cs="Arial"/>
          <w:bCs w:val="0"/>
        </w:rPr>
        <w:t>Relevance of Mung Bean in Cropping Systems and as a Protein Source</w:t>
      </w:r>
    </w:p>
    <w:p w14:paraId="57B63444" w14:textId="77777777" w:rsidR="00DB23EF" w:rsidRPr="009B3E10" w:rsidRDefault="00DB23EF" w:rsidP="00DB23EF">
      <w:pPr>
        <w:pStyle w:val="NoSpacing"/>
        <w:ind w:left="0"/>
        <w:rPr>
          <w:rFonts w:ascii="Arial" w:hAnsi="Arial" w:cs="Arial"/>
          <w:sz w:val="20"/>
        </w:rPr>
      </w:pPr>
      <w:r w:rsidRPr="009B3E10">
        <w:rPr>
          <w:rFonts w:ascii="Arial" w:hAnsi="Arial" w:cs="Arial"/>
          <w:sz w:val="20"/>
        </w:rPr>
        <w:t>Mung bean (</w:t>
      </w:r>
      <w:r w:rsidRPr="009B3E10">
        <w:rPr>
          <w:rStyle w:val="Emphasis"/>
          <w:rFonts w:ascii="Arial" w:hAnsi="Arial" w:cs="Arial"/>
          <w:sz w:val="20"/>
        </w:rPr>
        <w:t>Vigna radiata</w:t>
      </w:r>
      <w:r w:rsidRPr="009B3E10">
        <w:rPr>
          <w:rFonts w:ascii="Arial" w:hAnsi="Arial" w:cs="Arial"/>
          <w:sz w:val="20"/>
        </w:rPr>
        <w:t xml:space="preserve"> L.) is a fast-growing, short-duration leguminous crop widely cultivated in Asia and Africa. It plays a vital role in </w:t>
      </w:r>
      <w:r w:rsidRPr="009B3E10">
        <w:rPr>
          <w:rStyle w:val="Strong"/>
          <w:rFonts w:ascii="Arial" w:hAnsi="Arial" w:cs="Arial"/>
          <w:b w:val="0"/>
          <w:bCs w:val="0"/>
          <w:sz w:val="20"/>
        </w:rPr>
        <w:t>diversifying cropping systems</w:t>
      </w:r>
      <w:r w:rsidRPr="009B3E10">
        <w:rPr>
          <w:rFonts w:ascii="Arial" w:hAnsi="Arial" w:cs="Arial"/>
          <w:sz w:val="20"/>
        </w:rPr>
        <w:t xml:space="preserve">, especially in </w:t>
      </w:r>
      <w:r w:rsidRPr="009B3E10">
        <w:rPr>
          <w:rStyle w:val="Strong"/>
          <w:rFonts w:ascii="Arial" w:hAnsi="Arial" w:cs="Arial"/>
          <w:b w:val="0"/>
          <w:bCs w:val="0"/>
          <w:sz w:val="20"/>
        </w:rPr>
        <w:t>rice-wheat rotations</w:t>
      </w:r>
      <w:r w:rsidRPr="009B3E10">
        <w:rPr>
          <w:rFonts w:ascii="Arial" w:hAnsi="Arial" w:cs="Arial"/>
          <w:sz w:val="20"/>
        </w:rPr>
        <w:t xml:space="preserve">, by improving </w:t>
      </w:r>
      <w:r w:rsidRPr="009B3E10">
        <w:rPr>
          <w:rStyle w:val="Strong"/>
          <w:rFonts w:ascii="Arial" w:hAnsi="Arial" w:cs="Arial"/>
          <w:b w:val="0"/>
          <w:bCs w:val="0"/>
          <w:sz w:val="20"/>
        </w:rPr>
        <w:t>soil fertility through biological nitrogen fixation</w:t>
      </w:r>
      <w:r w:rsidRPr="009B3E10">
        <w:rPr>
          <w:rFonts w:ascii="Arial" w:hAnsi="Arial" w:cs="Arial"/>
          <w:sz w:val="20"/>
        </w:rPr>
        <w:t xml:space="preserve"> and fitting well into </w:t>
      </w:r>
      <w:r w:rsidRPr="009B3E10">
        <w:rPr>
          <w:rStyle w:val="Strong"/>
          <w:rFonts w:ascii="Arial" w:hAnsi="Arial" w:cs="Arial"/>
          <w:b w:val="0"/>
          <w:bCs w:val="0"/>
          <w:sz w:val="20"/>
        </w:rPr>
        <w:t>intercropping and sequential cropping systems</w:t>
      </w:r>
      <w:r w:rsidRPr="009B3E10">
        <w:rPr>
          <w:rFonts w:ascii="Arial" w:hAnsi="Arial" w:cs="Arial"/>
          <w:sz w:val="20"/>
        </w:rPr>
        <w:t xml:space="preserve">. Beyond its agronomic value, mung bean serves as an </w:t>
      </w:r>
      <w:r w:rsidRPr="009B3E10">
        <w:rPr>
          <w:rStyle w:val="Strong"/>
          <w:rFonts w:ascii="Arial" w:hAnsi="Arial" w:cs="Arial"/>
          <w:b w:val="0"/>
          <w:bCs w:val="0"/>
          <w:sz w:val="20"/>
        </w:rPr>
        <w:t>affordable protein source</w:t>
      </w:r>
      <w:r w:rsidRPr="009B3E10">
        <w:rPr>
          <w:rFonts w:ascii="Arial" w:hAnsi="Arial" w:cs="Arial"/>
          <w:sz w:val="20"/>
        </w:rPr>
        <w:t>, providing essential amino acids, iron, and vitamins to populations in developing countries. Its adaptability to marginal soils and semi-arid environments makes it a critical crop for food and nutritional security in smallholder farming systems.</w:t>
      </w:r>
    </w:p>
    <w:p w14:paraId="040007B9" w14:textId="77777777" w:rsidR="00DB23EF" w:rsidRPr="009B3E10" w:rsidRDefault="00DB23EF" w:rsidP="00DB23EF">
      <w:pPr>
        <w:pStyle w:val="NoSpacing"/>
        <w:rPr>
          <w:rFonts w:ascii="Arial" w:hAnsi="Arial" w:cs="Arial"/>
          <w:sz w:val="20"/>
        </w:rPr>
      </w:pPr>
    </w:p>
    <w:p w14:paraId="1034F0B8" w14:textId="77777777" w:rsidR="00DB23EF" w:rsidRPr="009B3E10" w:rsidRDefault="00DB23EF" w:rsidP="00DB23EF">
      <w:pPr>
        <w:pStyle w:val="NoSpacing"/>
        <w:ind w:left="0"/>
        <w:rPr>
          <w:rFonts w:ascii="Arial" w:hAnsi="Arial" w:cs="Arial"/>
        </w:rPr>
      </w:pPr>
      <w:r>
        <w:rPr>
          <w:rStyle w:val="Strong"/>
          <w:rFonts w:ascii="Arial" w:hAnsi="Arial" w:cs="Arial"/>
          <w:bCs w:val="0"/>
        </w:rPr>
        <w:t xml:space="preserve">6.2 </w:t>
      </w:r>
      <w:r w:rsidRPr="009B3E10">
        <w:rPr>
          <w:rStyle w:val="Strong"/>
          <w:rFonts w:ascii="Arial" w:hAnsi="Arial" w:cs="Arial"/>
          <w:bCs w:val="0"/>
        </w:rPr>
        <w:t>Enhancement of Germination and Root Development</w:t>
      </w:r>
    </w:p>
    <w:p w14:paraId="5A037246" w14:textId="77777777" w:rsidR="00DB23EF" w:rsidRPr="009B3E10" w:rsidRDefault="00DB23EF" w:rsidP="00DB23EF">
      <w:pPr>
        <w:pStyle w:val="NoSpacing"/>
        <w:ind w:left="0"/>
        <w:rPr>
          <w:rFonts w:ascii="Arial" w:hAnsi="Arial" w:cs="Arial"/>
          <w:sz w:val="20"/>
        </w:rPr>
      </w:pPr>
      <w:r w:rsidRPr="009B3E10">
        <w:rPr>
          <w:rFonts w:ascii="Arial" w:hAnsi="Arial" w:cs="Arial"/>
          <w:sz w:val="20"/>
        </w:rPr>
        <w:t xml:space="preserve">Sugarcane bagasse biochar positively influences </w:t>
      </w:r>
      <w:r w:rsidRPr="009B3E10">
        <w:rPr>
          <w:rStyle w:val="Strong"/>
          <w:rFonts w:ascii="Arial" w:hAnsi="Arial" w:cs="Arial"/>
          <w:b w:val="0"/>
          <w:bCs w:val="0"/>
          <w:sz w:val="20"/>
        </w:rPr>
        <w:t xml:space="preserve">seed germination and early seedling </w:t>
      </w:r>
      <w:proofErr w:type="spellStart"/>
      <w:r w:rsidRPr="009B3E10">
        <w:rPr>
          <w:rStyle w:val="Strong"/>
          <w:rFonts w:ascii="Arial" w:hAnsi="Arial" w:cs="Arial"/>
          <w:b w:val="0"/>
          <w:bCs w:val="0"/>
          <w:sz w:val="20"/>
        </w:rPr>
        <w:t>vigor</w:t>
      </w:r>
      <w:proofErr w:type="spellEnd"/>
      <w:r w:rsidRPr="009B3E10">
        <w:rPr>
          <w:rFonts w:ascii="Arial" w:hAnsi="Arial" w:cs="Arial"/>
          <w:sz w:val="20"/>
        </w:rPr>
        <w:t xml:space="preserve"> by improving the </w:t>
      </w:r>
      <w:r w:rsidRPr="009B3E10">
        <w:rPr>
          <w:rStyle w:val="Strong"/>
          <w:rFonts w:ascii="Arial" w:hAnsi="Arial" w:cs="Arial"/>
          <w:b w:val="0"/>
          <w:bCs w:val="0"/>
          <w:sz w:val="20"/>
        </w:rPr>
        <w:t>soil microclimate</w:t>
      </w:r>
      <w:r w:rsidRPr="009B3E10">
        <w:rPr>
          <w:rFonts w:ascii="Arial" w:hAnsi="Arial" w:cs="Arial"/>
          <w:sz w:val="20"/>
        </w:rPr>
        <w:t xml:space="preserve">, increasing </w:t>
      </w:r>
      <w:r w:rsidRPr="009B3E10">
        <w:rPr>
          <w:rStyle w:val="Strong"/>
          <w:rFonts w:ascii="Arial" w:hAnsi="Arial" w:cs="Arial"/>
          <w:b w:val="0"/>
          <w:bCs w:val="0"/>
          <w:sz w:val="20"/>
        </w:rPr>
        <w:t>moisture availability</w:t>
      </w:r>
      <w:r w:rsidRPr="009B3E10">
        <w:rPr>
          <w:rFonts w:ascii="Arial" w:hAnsi="Arial" w:cs="Arial"/>
          <w:sz w:val="20"/>
        </w:rPr>
        <w:t xml:space="preserve">, and reducing </w:t>
      </w:r>
      <w:r w:rsidRPr="009B3E10">
        <w:rPr>
          <w:rStyle w:val="Strong"/>
          <w:rFonts w:ascii="Arial" w:hAnsi="Arial" w:cs="Arial"/>
          <w:b w:val="0"/>
          <w:bCs w:val="0"/>
          <w:sz w:val="20"/>
        </w:rPr>
        <w:t>soil compaction</w:t>
      </w:r>
      <w:r w:rsidRPr="009B3E10">
        <w:rPr>
          <w:rFonts w:ascii="Arial" w:hAnsi="Arial" w:cs="Arial"/>
          <w:sz w:val="20"/>
        </w:rPr>
        <w:t xml:space="preserve">. The presence of macro- and micronutrients such as potassium, calcium, and iron in biochar-amended soil supports </w:t>
      </w:r>
      <w:r w:rsidRPr="009B3E10">
        <w:rPr>
          <w:rStyle w:val="Strong"/>
          <w:rFonts w:ascii="Arial" w:hAnsi="Arial" w:cs="Arial"/>
          <w:b w:val="0"/>
          <w:bCs w:val="0"/>
          <w:sz w:val="20"/>
        </w:rPr>
        <w:t>radicle emergence and root elongation</w:t>
      </w:r>
      <w:r w:rsidRPr="009B3E10">
        <w:rPr>
          <w:rFonts w:ascii="Arial" w:hAnsi="Arial" w:cs="Arial"/>
          <w:sz w:val="20"/>
        </w:rPr>
        <w:t>. Improved aeration and water retention help maintain ideal conditions for early establishment, a critical phase in mung bean's life cycle. Studies have shown that moderate biochar application (e.g., 25 t/ha) can significantly boost germination rates and initial root biomass compared to untreated soils</w:t>
      </w:r>
      <w:r w:rsidRPr="009B3E10">
        <w:rPr>
          <w:rFonts w:ascii="Arial" w:eastAsia="MS Gothic" w:hAnsi="Arial" w:cs="Arial"/>
          <w:sz w:val="20"/>
        </w:rPr>
        <w:t xml:space="preserve"> (</w:t>
      </w:r>
      <w:proofErr w:type="spellStart"/>
      <w:r w:rsidRPr="009B3E10">
        <w:rPr>
          <w:rFonts w:ascii="Arial" w:hAnsi="Arial" w:cs="Arial"/>
          <w:sz w:val="20"/>
        </w:rPr>
        <w:t>Rab</w:t>
      </w:r>
      <w:proofErr w:type="spellEnd"/>
      <w:r w:rsidRPr="009B3E10">
        <w:rPr>
          <w:rFonts w:ascii="Arial" w:hAnsi="Arial" w:cs="Arial"/>
          <w:sz w:val="20"/>
        </w:rPr>
        <w:t xml:space="preserve"> et al., 2016).</w:t>
      </w:r>
    </w:p>
    <w:p w14:paraId="5143C072" w14:textId="77777777" w:rsidR="00DB23EF" w:rsidRPr="009B3E10" w:rsidRDefault="00DB23EF" w:rsidP="00DB23EF">
      <w:pPr>
        <w:pStyle w:val="NoSpacing"/>
        <w:rPr>
          <w:rFonts w:ascii="Arial" w:hAnsi="Arial" w:cs="Arial"/>
          <w:sz w:val="20"/>
        </w:rPr>
      </w:pPr>
    </w:p>
    <w:p w14:paraId="2F3AA72A" w14:textId="77777777" w:rsidR="00DB23EF" w:rsidRPr="009B3E10" w:rsidRDefault="00DB23EF" w:rsidP="00DB23EF">
      <w:pPr>
        <w:pStyle w:val="NoSpacing"/>
        <w:ind w:left="0"/>
        <w:rPr>
          <w:rFonts w:ascii="Arial" w:hAnsi="Arial" w:cs="Arial"/>
        </w:rPr>
      </w:pPr>
      <w:r>
        <w:rPr>
          <w:rStyle w:val="Strong"/>
          <w:rFonts w:ascii="Arial" w:hAnsi="Arial" w:cs="Arial"/>
          <w:bCs w:val="0"/>
        </w:rPr>
        <w:t xml:space="preserve">6.3 </w:t>
      </w:r>
      <w:r w:rsidRPr="009B3E10">
        <w:rPr>
          <w:rStyle w:val="Strong"/>
          <w:rFonts w:ascii="Arial" w:hAnsi="Arial" w:cs="Arial"/>
          <w:bCs w:val="0"/>
        </w:rPr>
        <w:t>Improvement in Nodulation and Nitrogen Fixation</w:t>
      </w:r>
    </w:p>
    <w:p w14:paraId="782BB040" w14:textId="77777777" w:rsidR="00DB23EF" w:rsidRPr="009B3E10" w:rsidRDefault="00DB23EF" w:rsidP="00DB23EF">
      <w:pPr>
        <w:pStyle w:val="NoSpacing"/>
        <w:ind w:left="0"/>
        <w:rPr>
          <w:rFonts w:ascii="Arial" w:hAnsi="Arial" w:cs="Arial"/>
          <w:sz w:val="20"/>
        </w:rPr>
      </w:pPr>
      <w:r w:rsidRPr="009B3E10">
        <w:rPr>
          <w:rFonts w:ascii="Arial" w:hAnsi="Arial" w:cs="Arial"/>
          <w:sz w:val="20"/>
        </w:rPr>
        <w:t xml:space="preserve">As a legume, mung bean relies heavily on its ability to </w:t>
      </w:r>
      <w:r w:rsidRPr="009B3E10">
        <w:rPr>
          <w:rStyle w:val="Strong"/>
          <w:rFonts w:ascii="Arial" w:hAnsi="Arial" w:cs="Arial"/>
          <w:b w:val="0"/>
          <w:bCs w:val="0"/>
          <w:sz w:val="20"/>
        </w:rPr>
        <w:t xml:space="preserve">form symbiotic nodules with </w:t>
      </w:r>
      <w:r w:rsidRPr="002C2E24">
        <w:rPr>
          <w:rStyle w:val="Strong"/>
          <w:rFonts w:ascii="Arial" w:hAnsi="Arial" w:cs="Arial"/>
          <w:b w:val="0"/>
          <w:bCs w:val="0"/>
          <w:i/>
          <w:sz w:val="20"/>
        </w:rPr>
        <w:t>Rhizobium spp</w:t>
      </w:r>
      <w:r w:rsidRPr="009B3E10">
        <w:rPr>
          <w:rStyle w:val="Strong"/>
          <w:rFonts w:ascii="Arial" w:hAnsi="Arial" w:cs="Arial"/>
          <w:b w:val="0"/>
          <w:bCs w:val="0"/>
          <w:sz w:val="20"/>
        </w:rPr>
        <w:t>.</w:t>
      </w:r>
      <w:r w:rsidRPr="009B3E10">
        <w:rPr>
          <w:rFonts w:ascii="Arial" w:hAnsi="Arial" w:cs="Arial"/>
          <w:sz w:val="20"/>
        </w:rPr>
        <w:t xml:space="preserve">, which fix atmospheric nitrogen into plant-usable forms. Biochar creates a favourable habitat for rhizobia by increasing </w:t>
      </w:r>
      <w:r w:rsidRPr="009B3E10">
        <w:rPr>
          <w:rStyle w:val="Strong"/>
          <w:rFonts w:ascii="Arial" w:hAnsi="Arial" w:cs="Arial"/>
          <w:b w:val="0"/>
          <w:bCs w:val="0"/>
          <w:sz w:val="20"/>
        </w:rPr>
        <w:t>soil pH</w:t>
      </w:r>
      <w:r w:rsidRPr="009B3E10">
        <w:rPr>
          <w:rFonts w:ascii="Arial" w:hAnsi="Arial" w:cs="Arial"/>
          <w:sz w:val="20"/>
        </w:rPr>
        <w:t xml:space="preserve">, enhancing </w:t>
      </w:r>
      <w:r w:rsidRPr="009B3E10">
        <w:rPr>
          <w:rStyle w:val="Strong"/>
          <w:rFonts w:ascii="Arial" w:hAnsi="Arial" w:cs="Arial"/>
          <w:b w:val="0"/>
          <w:bCs w:val="0"/>
          <w:sz w:val="20"/>
        </w:rPr>
        <w:t>CEC</w:t>
      </w:r>
      <w:r w:rsidRPr="009B3E10">
        <w:rPr>
          <w:rFonts w:ascii="Arial" w:hAnsi="Arial" w:cs="Arial"/>
          <w:sz w:val="20"/>
        </w:rPr>
        <w:t xml:space="preserve">, and supplying </w:t>
      </w:r>
      <w:r w:rsidRPr="009B3E10">
        <w:rPr>
          <w:rStyle w:val="Strong"/>
          <w:rFonts w:ascii="Arial" w:hAnsi="Arial" w:cs="Arial"/>
          <w:b w:val="0"/>
          <w:bCs w:val="0"/>
          <w:sz w:val="20"/>
        </w:rPr>
        <w:t>micronutrients</w:t>
      </w:r>
      <w:r w:rsidRPr="009B3E10">
        <w:rPr>
          <w:rFonts w:ascii="Arial" w:hAnsi="Arial" w:cs="Arial"/>
          <w:sz w:val="20"/>
        </w:rPr>
        <w:t xml:space="preserve"> such as molybdenum and iron</w:t>
      </w:r>
      <w:r>
        <w:rPr>
          <w:rFonts w:ascii="Arial" w:hAnsi="Arial" w:cs="Arial"/>
          <w:sz w:val="20"/>
        </w:rPr>
        <w:t xml:space="preserve"> </w:t>
      </w:r>
      <w:r w:rsidRPr="009B3E10">
        <w:rPr>
          <w:rFonts w:ascii="Arial" w:hAnsi="Arial" w:cs="Arial"/>
          <w:sz w:val="20"/>
        </w:rPr>
        <w:t>both essential for nitrogenase activity</w:t>
      </w:r>
      <w:r>
        <w:rPr>
          <w:rFonts w:ascii="Arial" w:hAnsi="Arial" w:cs="Arial"/>
          <w:sz w:val="20"/>
        </w:rPr>
        <w:t xml:space="preserve"> (</w:t>
      </w:r>
      <w:proofErr w:type="spellStart"/>
      <w:r>
        <w:rPr>
          <w:rFonts w:ascii="Arial" w:hAnsi="Arial" w:cs="Arial"/>
          <w:color w:val="222222"/>
          <w:sz w:val="20"/>
          <w:szCs w:val="20"/>
          <w:shd w:val="clear" w:color="auto" w:fill="FFFFFF"/>
        </w:rPr>
        <w:t>Parasar</w:t>
      </w:r>
      <w:proofErr w:type="spellEnd"/>
      <w:r>
        <w:rPr>
          <w:rFonts w:ascii="Arial" w:hAnsi="Arial" w:cs="Arial"/>
          <w:color w:val="222222"/>
          <w:sz w:val="20"/>
          <w:szCs w:val="20"/>
          <w:shd w:val="clear" w:color="auto" w:fill="FFFFFF"/>
        </w:rPr>
        <w:t xml:space="preserve"> &amp; </w:t>
      </w:r>
      <w:proofErr w:type="spellStart"/>
      <w:r>
        <w:rPr>
          <w:rFonts w:ascii="Arial" w:hAnsi="Arial" w:cs="Arial"/>
          <w:color w:val="222222"/>
          <w:sz w:val="20"/>
          <w:szCs w:val="20"/>
          <w:shd w:val="clear" w:color="auto" w:fill="FFFFFF"/>
        </w:rPr>
        <w:t>Agarwala</w:t>
      </w:r>
      <w:proofErr w:type="spellEnd"/>
      <w:r>
        <w:rPr>
          <w:rFonts w:ascii="Arial" w:hAnsi="Arial" w:cs="Arial"/>
          <w:color w:val="222222"/>
          <w:sz w:val="20"/>
          <w:szCs w:val="20"/>
          <w:shd w:val="clear" w:color="auto" w:fill="FFFFFF"/>
        </w:rPr>
        <w:t>, 2025</w:t>
      </w:r>
      <w:r>
        <w:rPr>
          <w:rFonts w:ascii="Arial" w:hAnsi="Arial" w:cs="Arial"/>
          <w:sz w:val="20"/>
        </w:rPr>
        <w:t>)</w:t>
      </w:r>
      <w:r w:rsidRPr="009B3E10">
        <w:rPr>
          <w:rFonts w:ascii="Arial" w:hAnsi="Arial" w:cs="Arial"/>
          <w:sz w:val="20"/>
        </w:rPr>
        <w:t xml:space="preserve">. The porous structure of biochar also provides a refuge for </w:t>
      </w:r>
      <w:proofErr w:type="spellStart"/>
      <w:r w:rsidRPr="009B3E10">
        <w:rPr>
          <w:rFonts w:ascii="Arial" w:hAnsi="Arial" w:cs="Arial"/>
          <w:sz w:val="20"/>
        </w:rPr>
        <w:t>rhizobial</w:t>
      </w:r>
      <w:proofErr w:type="spellEnd"/>
      <w:r w:rsidRPr="009B3E10">
        <w:rPr>
          <w:rFonts w:ascii="Arial" w:hAnsi="Arial" w:cs="Arial"/>
          <w:sz w:val="20"/>
        </w:rPr>
        <w:t xml:space="preserve"> populations, enhancing their survival and activity near the root zone. Research has demonstrated that biochar amendments can increase the </w:t>
      </w:r>
      <w:r w:rsidRPr="009B3E10">
        <w:rPr>
          <w:rStyle w:val="Strong"/>
          <w:rFonts w:ascii="Arial" w:hAnsi="Arial" w:cs="Arial"/>
          <w:b w:val="0"/>
          <w:bCs w:val="0"/>
          <w:sz w:val="20"/>
        </w:rPr>
        <w:t>number and size of nodules</w:t>
      </w:r>
      <w:r w:rsidRPr="009B3E10">
        <w:rPr>
          <w:rFonts w:ascii="Arial" w:hAnsi="Arial" w:cs="Arial"/>
          <w:sz w:val="20"/>
        </w:rPr>
        <w:t xml:space="preserve">, as well as </w:t>
      </w:r>
      <w:r w:rsidRPr="009B3E10">
        <w:rPr>
          <w:rStyle w:val="Strong"/>
          <w:rFonts w:ascii="Arial" w:hAnsi="Arial" w:cs="Arial"/>
          <w:b w:val="0"/>
          <w:bCs w:val="0"/>
          <w:sz w:val="20"/>
        </w:rPr>
        <w:t>nitrogen fixation efficiency</w:t>
      </w:r>
      <w:r w:rsidRPr="009B3E10">
        <w:rPr>
          <w:rFonts w:ascii="Arial" w:hAnsi="Arial" w:cs="Arial"/>
          <w:sz w:val="20"/>
        </w:rPr>
        <w:t xml:space="preserve">, ultimately reducing the plant's dependency on synthetic N fertilizers. This contributes to </w:t>
      </w:r>
      <w:r w:rsidRPr="009B3E10">
        <w:rPr>
          <w:rStyle w:val="Strong"/>
          <w:rFonts w:ascii="Arial" w:hAnsi="Arial" w:cs="Arial"/>
          <w:b w:val="0"/>
          <w:bCs w:val="0"/>
          <w:sz w:val="20"/>
        </w:rPr>
        <w:t>sustainable nutrient cycling</w:t>
      </w:r>
      <w:r w:rsidRPr="009B3E10">
        <w:rPr>
          <w:rFonts w:ascii="Arial" w:hAnsi="Arial" w:cs="Arial"/>
          <w:sz w:val="20"/>
        </w:rPr>
        <w:t xml:space="preserve"> and better nitrogen economy in the cropping system.</w:t>
      </w:r>
    </w:p>
    <w:p w14:paraId="3F1577B8" w14:textId="77777777" w:rsidR="00DB23EF" w:rsidRPr="009B3E10" w:rsidRDefault="00DB23EF" w:rsidP="00DB23EF">
      <w:pPr>
        <w:pStyle w:val="NoSpacing"/>
        <w:rPr>
          <w:rFonts w:ascii="Arial" w:hAnsi="Arial" w:cs="Arial"/>
          <w:sz w:val="20"/>
        </w:rPr>
      </w:pPr>
    </w:p>
    <w:p w14:paraId="359E9A0C" w14:textId="77777777" w:rsidR="00DB23EF" w:rsidRPr="009B3E10" w:rsidRDefault="00DB23EF" w:rsidP="00DB23EF">
      <w:pPr>
        <w:pStyle w:val="NoSpacing"/>
        <w:ind w:left="0"/>
        <w:rPr>
          <w:rFonts w:ascii="Arial" w:hAnsi="Arial" w:cs="Arial"/>
        </w:rPr>
      </w:pPr>
      <w:r>
        <w:rPr>
          <w:rStyle w:val="Strong"/>
          <w:rFonts w:ascii="Arial" w:hAnsi="Arial" w:cs="Arial"/>
          <w:bCs w:val="0"/>
        </w:rPr>
        <w:t xml:space="preserve">6.4 </w:t>
      </w:r>
      <w:r w:rsidRPr="009B3E10">
        <w:rPr>
          <w:rStyle w:val="Strong"/>
          <w:rFonts w:ascii="Arial" w:hAnsi="Arial" w:cs="Arial"/>
          <w:bCs w:val="0"/>
        </w:rPr>
        <w:t>Biomass Accumulation and Seed Yield</w:t>
      </w:r>
    </w:p>
    <w:p w14:paraId="20888DC9" w14:textId="77777777" w:rsidR="00DB23EF" w:rsidRPr="009B3E10" w:rsidRDefault="00DB23EF" w:rsidP="00DB23EF">
      <w:pPr>
        <w:pStyle w:val="NoSpacing"/>
        <w:ind w:left="0"/>
        <w:rPr>
          <w:rFonts w:ascii="Arial" w:hAnsi="Arial" w:cs="Arial"/>
          <w:sz w:val="20"/>
        </w:rPr>
      </w:pPr>
      <w:r w:rsidRPr="009B3E10">
        <w:rPr>
          <w:rFonts w:ascii="Arial" w:hAnsi="Arial" w:cs="Arial"/>
          <w:sz w:val="20"/>
        </w:rPr>
        <w:t xml:space="preserve">The cumulative impact of improved nutrient availability, water retention, and </w:t>
      </w:r>
      <w:proofErr w:type="spellStart"/>
      <w:r w:rsidRPr="009B3E10">
        <w:rPr>
          <w:rFonts w:ascii="Arial" w:hAnsi="Arial" w:cs="Arial"/>
          <w:sz w:val="20"/>
        </w:rPr>
        <w:t>rhizobial</w:t>
      </w:r>
      <w:proofErr w:type="spellEnd"/>
      <w:r w:rsidRPr="009B3E10">
        <w:rPr>
          <w:rFonts w:ascii="Arial" w:hAnsi="Arial" w:cs="Arial"/>
          <w:sz w:val="20"/>
        </w:rPr>
        <w:t xml:space="preserve"> activity results in higher </w:t>
      </w:r>
      <w:r w:rsidRPr="009B3E10">
        <w:rPr>
          <w:rStyle w:val="Strong"/>
          <w:rFonts w:ascii="Arial" w:hAnsi="Arial" w:cs="Arial"/>
          <w:b w:val="0"/>
          <w:bCs w:val="0"/>
          <w:sz w:val="20"/>
        </w:rPr>
        <w:t>biomass accumulation</w:t>
      </w:r>
      <w:r w:rsidRPr="009B3E10">
        <w:rPr>
          <w:rFonts w:ascii="Arial" w:hAnsi="Arial" w:cs="Arial"/>
          <w:sz w:val="20"/>
        </w:rPr>
        <w:t xml:space="preserve"> and </w:t>
      </w:r>
      <w:r w:rsidRPr="009B3E10">
        <w:rPr>
          <w:rStyle w:val="Strong"/>
          <w:rFonts w:ascii="Arial" w:hAnsi="Arial" w:cs="Arial"/>
          <w:b w:val="0"/>
          <w:bCs w:val="0"/>
          <w:sz w:val="20"/>
        </w:rPr>
        <w:t>enhanced reproductive performance</w:t>
      </w:r>
      <w:r w:rsidRPr="009B3E10">
        <w:rPr>
          <w:rFonts w:ascii="Arial" w:hAnsi="Arial" w:cs="Arial"/>
          <w:sz w:val="20"/>
        </w:rPr>
        <w:t xml:space="preserve"> of mung bean plants. Sugarcane biochar application at 25 t/ha has been reported to increase </w:t>
      </w:r>
      <w:r w:rsidRPr="009B3E10">
        <w:rPr>
          <w:rStyle w:val="Strong"/>
          <w:rFonts w:ascii="Arial" w:hAnsi="Arial" w:cs="Arial"/>
          <w:b w:val="0"/>
          <w:bCs w:val="0"/>
          <w:sz w:val="20"/>
        </w:rPr>
        <w:t>pod length, grains per pod, 100-</w:t>
      </w:r>
      <w:r w:rsidRPr="009B3E10">
        <w:rPr>
          <w:rStyle w:val="Strong"/>
          <w:rFonts w:ascii="Arial" w:hAnsi="Arial" w:cs="Arial"/>
          <w:b w:val="0"/>
          <w:bCs w:val="0"/>
          <w:sz w:val="20"/>
        </w:rPr>
        <w:lastRenderedPageBreak/>
        <w:t>seed weight</w:t>
      </w:r>
      <w:r w:rsidRPr="009B3E10">
        <w:rPr>
          <w:rFonts w:ascii="Arial" w:hAnsi="Arial" w:cs="Arial"/>
          <w:sz w:val="20"/>
        </w:rPr>
        <w:t xml:space="preserve">, and </w:t>
      </w:r>
      <w:r w:rsidRPr="009B3E10">
        <w:rPr>
          <w:rStyle w:val="Strong"/>
          <w:rFonts w:ascii="Arial" w:hAnsi="Arial" w:cs="Arial"/>
          <w:b w:val="0"/>
          <w:bCs w:val="0"/>
          <w:sz w:val="20"/>
        </w:rPr>
        <w:t>overall grain yield</w:t>
      </w:r>
      <w:r w:rsidRPr="009B3E10">
        <w:rPr>
          <w:rFonts w:ascii="Arial" w:hAnsi="Arial" w:cs="Arial"/>
          <w:sz w:val="20"/>
        </w:rPr>
        <w:t xml:space="preserve"> compared to control treatments (see Table </w:t>
      </w:r>
      <w:r>
        <w:rPr>
          <w:rFonts w:ascii="Arial" w:hAnsi="Arial" w:cs="Arial"/>
          <w:sz w:val="20"/>
        </w:rPr>
        <w:t>3</w:t>
      </w:r>
      <w:r w:rsidRPr="009B3E10">
        <w:rPr>
          <w:rFonts w:ascii="Arial" w:hAnsi="Arial" w:cs="Arial"/>
          <w:sz w:val="20"/>
        </w:rPr>
        <w:t xml:space="preserve">). In addition, biochar increases the </w:t>
      </w:r>
      <w:r w:rsidRPr="009B3E10">
        <w:rPr>
          <w:rStyle w:val="Strong"/>
          <w:rFonts w:ascii="Arial" w:hAnsi="Arial" w:cs="Arial"/>
          <w:b w:val="0"/>
          <w:bCs w:val="0"/>
          <w:sz w:val="20"/>
        </w:rPr>
        <w:t>harvest index</w:t>
      </w:r>
      <w:r w:rsidRPr="009B3E10">
        <w:rPr>
          <w:rFonts w:ascii="Arial" w:hAnsi="Arial" w:cs="Arial"/>
          <w:sz w:val="20"/>
        </w:rPr>
        <w:t>, reflecting efficient partitioning of biomass into economic yield</w:t>
      </w:r>
      <w:r>
        <w:rPr>
          <w:rFonts w:ascii="Arial" w:hAnsi="Arial" w:cs="Arial"/>
          <w:sz w:val="20"/>
        </w:rPr>
        <w:t xml:space="preserve"> (</w:t>
      </w:r>
      <w:proofErr w:type="spellStart"/>
      <w:r>
        <w:rPr>
          <w:rFonts w:ascii="Arial" w:hAnsi="Arial" w:cs="Arial"/>
          <w:sz w:val="20"/>
        </w:rPr>
        <w:t>Rab</w:t>
      </w:r>
      <w:proofErr w:type="spellEnd"/>
      <w:r>
        <w:rPr>
          <w:rFonts w:ascii="Arial" w:hAnsi="Arial" w:cs="Arial"/>
          <w:sz w:val="20"/>
        </w:rPr>
        <w:t xml:space="preserve"> et al., 2016)</w:t>
      </w:r>
      <w:r w:rsidRPr="009B3E10">
        <w:rPr>
          <w:rFonts w:ascii="Arial" w:hAnsi="Arial" w:cs="Arial"/>
          <w:sz w:val="20"/>
        </w:rPr>
        <w:t xml:space="preserve">. These findings underscore the potential of sugarcane biochar to enhance both the </w:t>
      </w:r>
      <w:r w:rsidRPr="009B3E10">
        <w:rPr>
          <w:rStyle w:val="Strong"/>
          <w:rFonts w:ascii="Arial" w:hAnsi="Arial" w:cs="Arial"/>
          <w:b w:val="0"/>
          <w:bCs w:val="0"/>
          <w:sz w:val="20"/>
        </w:rPr>
        <w:t>vegetative growth</w:t>
      </w:r>
      <w:r w:rsidRPr="009B3E10">
        <w:rPr>
          <w:rFonts w:ascii="Arial" w:hAnsi="Arial" w:cs="Arial"/>
          <w:sz w:val="20"/>
        </w:rPr>
        <w:t xml:space="preserve"> and </w:t>
      </w:r>
      <w:r w:rsidRPr="009B3E10">
        <w:rPr>
          <w:rStyle w:val="Strong"/>
          <w:rFonts w:ascii="Arial" w:hAnsi="Arial" w:cs="Arial"/>
          <w:b w:val="0"/>
          <w:bCs w:val="0"/>
          <w:sz w:val="20"/>
        </w:rPr>
        <w:t>reproductive output</w:t>
      </w:r>
      <w:r w:rsidRPr="009B3E10">
        <w:rPr>
          <w:rFonts w:ascii="Arial" w:hAnsi="Arial" w:cs="Arial"/>
          <w:sz w:val="20"/>
        </w:rPr>
        <w:t xml:space="preserve"> of mung bean, offering a sustainable pathway to boost legume productivity under varying </w:t>
      </w:r>
      <w:proofErr w:type="spellStart"/>
      <w:r w:rsidRPr="009B3E10">
        <w:rPr>
          <w:rFonts w:ascii="Arial" w:hAnsi="Arial" w:cs="Arial"/>
          <w:sz w:val="20"/>
        </w:rPr>
        <w:t>agro</w:t>
      </w:r>
      <w:proofErr w:type="spellEnd"/>
      <w:r w:rsidRPr="009B3E10">
        <w:rPr>
          <w:rFonts w:ascii="Arial" w:hAnsi="Arial" w:cs="Arial"/>
          <w:sz w:val="20"/>
        </w:rPr>
        <w:t>-ecological conditions.</w:t>
      </w:r>
    </w:p>
    <w:bookmarkEnd w:id="21"/>
    <w:p w14:paraId="31B4202D" w14:textId="77777777" w:rsidR="00DB23EF" w:rsidRPr="009B3E10" w:rsidRDefault="00DB23EF" w:rsidP="00DB23EF">
      <w:pPr>
        <w:pStyle w:val="NoSpacing"/>
        <w:ind w:left="0"/>
      </w:pPr>
    </w:p>
    <w:p w14:paraId="6643351D" w14:textId="77777777" w:rsidR="00DB23EF" w:rsidRPr="009B3E10" w:rsidRDefault="00DB23EF" w:rsidP="00DB23EF">
      <w:pPr>
        <w:pStyle w:val="NoSpacing"/>
        <w:jc w:val="center"/>
        <w:rPr>
          <w:rFonts w:ascii="Arial" w:hAnsi="Arial" w:cs="Arial"/>
          <w:b/>
          <w:sz w:val="20"/>
        </w:rPr>
      </w:pPr>
      <w:bookmarkStart w:id="22" w:name="_Hlk195817452"/>
      <w:r w:rsidRPr="009B3E10">
        <w:rPr>
          <w:rFonts w:ascii="Arial" w:hAnsi="Arial" w:cs="Arial"/>
          <w:b/>
          <w:sz w:val="20"/>
        </w:rPr>
        <w:t>Table</w:t>
      </w:r>
      <w:r>
        <w:rPr>
          <w:rFonts w:ascii="Arial" w:hAnsi="Arial" w:cs="Arial"/>
          <w:b/>
          <w:sz w:val="20"/>
        </w:rPr>
        <w:t xml:space="preserve"> 3</w:t>
      </w:r>
      <w:r w:rsidRPr="009B3E10">
        <w:rPr>
          <w:rFonts w:ascii="Arial" w:hAnsi="Arial" w:cs="Arial"/>
          <w:b/>
          <w:sz w:val="20"/>
        </w:rPr>
        <w:t>:</w:t>
      </w:r>
      <w:r w:rsidRPr="00CC2177">
        <w:t xml:space="preserve"> </w:t>
      </w:r>
      <w:r w:rsidRPr="00CC2177">
        <w:rPr>
          <w:rFonts w:ascii="Arial" w:hAnsi="Arial" w:cs="Arial"/>
          <w:b/>
          <w:sz w:val="20"/>
        </w:rPr>
        <w:t>Effect of Sugarcane Bagasse-Derived Biochar (25 t/ha) on Growth and Yield Attributes of Mung Bean (Vigna radiata 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4"/>
        <w:gridCol w:w="2884"/>
        <w:gridCol w:w="2885"/>
      </w:tblGrid>
      <w:tr w:rsidR="00DB23EF" w:rsidRPr="009B3E10" w14:paraId="370DFFD5" w14:textId="77777777" w:rsidTr="008B4BB0">
        <w:trPr>
          <w:jc w:val="center"/>
        </w:trPr>
        <w:tc>
          <w:tcPr>
            <w:tcW w:w="2884" w:type="dxa"/>
            <w:tcBorders>
              <w:top w:val="single" w:sz="4" w:space="0" w:color="auto"/>
              <w:bottom w:val="single" w:sz="4" w:space="0" w:color="auto"/>
            </w:tcBorders>
            <w:vAlign w:val="center"/>
          </w:tcPr>
          <w:p w14:paraId="3B59806A" w14:textId="77777777" w:rsidR="00DB23EF" w:rsidRPr="009B3E10" w:rsidRDefault="00DB23EF" w:rsidP="008B4BB0">
            <w:pPr>
              <w:pStyle w:val="NormalWeb"/>
              <w:jc w:val="center"/>
              <w:rPr>
                <w:rFonts w:ascii="Arial" w:hAnsi="Arial" w:cs="Arial"/>
                <w:sz w:val="20"/>
              </w:rPr>
            </w:pPr>
            <w:r w:rsidRPr="009B3E10">
              <w:rPr>
                <w:rStyle w:val="Strong"/>
                <w:rFonts w:ascii="Arial" w:hAnsi="Arial" w:cs="Arial"/>
                <w:sz w:val="20"/>
              </w:rPr>
              <w:t>Parameter</w:t>
            </w:r>
          </w:p>
        </w:tc>
        <w:tc>
          <w:tcPr>
            <w:tcW w:w="2884" w:type="dxa"/>
            <w:tcBorders>
              <w:top w:val="single" w:sz="4" w:space="0" w:color="auto"/>
              <w:bottom w:val="single" w:sz="4" w:space="0" w:color="auto"/>
            </w:tcBorders>
            <w:vAlign w:val="center"/>
          </w:tcPr>
          <w:p w14:paraId="73A0250B" w14:textId="77777777" w:rsidR="00DB23EF" w:rsidRPr="009B3E10" w:rsidRDefault="00DB23EF" w:rsidP="008B4BB0">
            <w:pPr>
              <w:pStyle w:val="NormalWeb"/>
              <w:jc w:val="center"/>
              <w:rPr>
                <w:rFonts w:ascii="Arial" w:hAnsi="Arial" w:cs="Arial"/>
                <w:sz w:val="20"/>
              </w:rPr>
            </w:pPr>
            <w:r w:rsidRPr="009B3E10">
              <w:rPr>
                <w:rStyle w:val="Strong"/>
                <w:rFonts w:ascii="Arial" w:hAnsi="Arial" w:cs="Arial"/>
                <w:sz w:val="20"/>
              </w:rPr>
              <w:t>Control</w:t>
            </w:r>
          </w:p>
        </w:tc>
        <w:tc>
          <w:tcPr>
            <w:tcW w:w="2885" w:type="dxa"/>
            <w:tcBorders>
              <w:top w:val="single" w:sz="4" w:space="0" w:color="auto"/>
              <w:bottom w:val="single" w:sz="4" w:space="0" w:color="auto"/>
            </w:tcBorders>
            <w:vAlign w:val="center"/>
          </w:tcPr>
          <w:p w14:paraId="61B9FC39" w14:textId="77777777" w:rsidR="00DB23EF" w:rsidRPr="009B3E10" w:rsidRDefault="00DB23EF" w:rsidP="008B4BB0">
            <w:pPr>
              <w:pStyle w:val="NormalWeb"/>
              <w:jc w:val="center"/>
              <w:rPr>
                <w:rFonts w:ascii="Arial" w:hAnsi="Arial" w:cs="Arial"/>
                <w:sz w:val="20"/>
              </w:rPr>
            </w:pPr>
            <w:r w:rsidRPr="009B3E10">
              <w:rPr>
                <w:rStyle w:val="Strong"/>
                <w:rFonts w:ascii="Arial" w:hAnsi="Arial" w:cs="Arial"/>
                <w:sz w:val="20"/>
              </w:rPr>
              <w:t>Biochar (25 t/ha)</w:t>
            </w:r>
          </w:p>
        </w:tc>
      </w:tr>
      <w:tr w:rsidR="00DB23EF" w:rsidRPr="009B3E10" w14:paraId="6E29A444" w14:textId="77777777" w:rsidTr="008B4BB0">
        <w:trPr>
          <w:jc w:val="center"/>
        </w:trPr>
        <w:tc>
          <w:tcPr>
            <w:tcW w:w="2884" w:type="dxa"/>
            <w:tcBorders>
              <w:top w:val="single" w:sz="4" w:space="0" w:color="auto"/>
            </w:tcBorders>
            <w:vAlign w:val="center"/>
          </w:tcPr>
          <w:p w14:paraId="2F1C6226" w14:textId="77777777" w:rsidR="00DB23EF" w:rsidRPr="009B3E10" w:rsidRDefault="00DB23EF" w:rsidP="008B4BB0">
            <w:pPr>
              <w:pStyle w:val="NormalWeb"/>
              <w:jc w:val="center"/>
              <w:rPr>
                <w:rFonts w:ascii="Arial" w:hAnsi="Arial" w:cs="Arial"/>
                <w:b/>
                <w:sz w:val="20"/>
              </w:rPr>
            </w:pPr>
            <w:r w:rsidRPr="009B3E10">
              <w:rPr>
                <w:rFonts w:ascii="Arial" w:hAnsi="Arial" w:cs="Arial"/>
                <w:b/>
                <w:sz w:val="20"/>
              </w:rPr>
              <w:t>Pods per plant</w:t>
            </w:r>
          </w:p>
        </w:tc>
        <w:tc>
          <w:tcPr>
            <w:tcW w:w="2884" w:type="dxa"/>
            <w:tcBorders>
              <w:top w:val="single" w:sz="4" w:space="0" w:color="auto"/>
            </w:tcBorders>
            <w:vAlign w:val="center"/>
          </w:tcPr>
          <w:p w14:paraId="6EEE287D" w14:textId="77777777" w:rsidR="00DB23EF" w:rsidRPr="009B3E10" w:rsidRDefault="00DB23EF" w:rsidP="008B4BB0">
            <w:pPr>
              <w:pStyle w:val="NormalWeb"/>
              <w:jc w:val="center"/>
              <w:rPr>
                <w:rFonts w:ascii="Arial" w:hAnsi="Arial" w:cs="Arial"/>
                <w:sz w:val="20"/>
              </w:rPr>
            </w:pPr>
            <w:r w:rsidRPr="009B3E10">
              <w:rPr>
                <w:rFonts w:ascii="Arial" w:hAnsi="Arial" w:cs="Arial"/>
                <w:sz w:val="20"/>
              </w:rPr>
              <w:t>17.00</w:t>
            </w:r>
          </w:p>
        </w:tc>
        <w:tc>
          <w:tcPr>
            <w:tcW w:w="2885" w:type="dxa"/>
            <w:tcBorders>
              <w:top w:val="single" w:sz="4" w:space="0" w:color="auto"/>
            </w:tcBorders>
            <w:vAlign w:val="center"/>
          </w:tcPr>
          <w:p w14:paraId="419437B3" w14:textId="77777777" w:rsidR="00DB23EF" w:rsidRPr="009B3E10" w:rsidRDefault="00DB23EF" w:rsidP="008B4BB0">
            <w:pPr>
              <w:pStyle w:val="NormalWeb"/>
              <w:jc w:val="center"/>
              <w:rPr>
                <w:rFonts w:ascii="Arial" w:hAnsi="Arial" w:cs="Arial"/>
                <w:sz w:val="20"/>
              </w:rPr>
            </w:pPr>
            <w:r w:rsidRPr="009B3E10">
              <w:rPr>
                <w:rFonts w:ascii="Arial" w:hAnsi="Arial" w:cs="Arial"/>
                <w:sz w:val="20"/>
              </w:rPr>
              <w:t>23.00</w:t>
            </w:r>
          </w:p>
        </w:tc>
      </w:tr>
      <w:tr w:rsidR="00DB23EF" w:rsidRPr="009B3E10" w14:paraId="2C051F29" w14:textId="77777777" w:rsidTr="008B4BB0">
        <w:trPr>
          <w:jc w:val="center"/>
        </w:trPr>
        <w:tc>
          <w:tcPr>
            <w:tcW w:w="2884" w:type="dxa"/>
            <w:vAlign w:val="center"/>
          </w:tcPr>
          <w:p w14:paraId="4E8FC787" w14:textId="77777777" w:rsidR="00DB23EF" w:rsidRPr="009B3E10" w:rsidRDefault="00DB23EF" w:rsidP="008B4BB0">
            <w:pPr>
              <w:pStyle w:val="NormalWeb"/>
              <w:jc w:val="center"/>
              <w:rPr>
                <w:rFonts w:ascii="Arial" w:hAnsi="Arial" w:cs="Arial"/>
                <w:b/>
                <w:sz w:val="20"/>
              </w:rPr>
            </w:pPr>
            <w:r w:rsidRPr="009B3E10">
              <w:rPr>
                <w:rFonts w:ascii="Arial" w:hAnsi="Arial" w:cs="Arial"/>
                <w:b/>
                <w:sz w:val="20"/>
              </w:rPr>
              <w:t>Pod length (cm)</w:t>
            </w:r>
          </w:p>
        </w:tc>
        <w:tc>
          <w:tcPr>
            <w:tcW w:w="2884" w:type="dxa"/>
            <w:vAlign w:val="center"/>
          </w:tcPr>
          <w:p w14:paraId="7CE66593" w14:textId="77777777" w:rsidR="00DB23EF" w:rsidRPr="009B3E10" w:rsidRDefault="00DB23EF" w:rsidP="008B4BB0">
            <w:pPr>
              <w:pStyle w:val="NormalWeb"/>
              <w:jc w:val="center"/>
              <w:rPr>
                <w:rFonts w:ascii="Arial" w:hAnsi="Arial" w:cs="Arial"/>
                <w:sz w:val="20"/>
              </w:rPr>
            </w:pPr>
            <w:r w:rsidRPr="009B3E10">
              <w:rPr>
                <w:rFonts w:ascii="Arial" w:hAnsi="Arial" w:cs="Arial"/>
                <w:sz w:val="20"/>
              </w:rPr>
              <w:t>6.00</w:t>
            </w:r>
          </w:p>
        </w:tc>
        <w:tc>
          <w:tcPr>
            <w:tcW w:w="2885" w:type="dxa"/>
            <w:vAlign w:val="center"/>
          </w:tcPr>
          <w:p w14:paraId="2DD3A8F2" w14:textId="77777777" w:rsidR="00DB23EF" w:rsidRPr="009B3E10" w:rsidRDefault="00DB23EF" w:rsidP="008B4BB0">
            <w:pPr>
              <w:pStyle w:val="NormalWeb"/>
              <w:jc w:val="center"/>
              <w:rPr>
                <w:rFonts w:ascii="Arial" w:hAnsi="Arial" w:cs="Arial"/>
                <w:sz w:val="20"/>
              </w:rPr>
            </w:pPr>
            <w:r w:rsidRPr="009B3E10">
              <w:rPr>
                <w:rFonts w:ascii="Arial" w:hAnsi="Arial" w:cs="Arial"/>
                <w:sz w:val="20"/>
              </w:rPr>
              <w:t>9.20</w:t>
            </w:r>
          </w:p>
        </w:tc>
      </w:tr>
      <w:tr w:rsidR="00DB23EF" w:rsidRPr="009B3E10" w14:paraId="0C0EBFCC" w14:textId="77777777" w:rsidTr="008B4BB0">
        <w:trPr>
          <w:jc w:val="center"/>
        </w:trPr>
        <w:tc>
          <w:tcPr>
            <w:tcW w:w="2884" w:type="dxa"/>
            <w:vAlign w:val="center"/>
          </w:tcPr>
          <w:p w14:paraId="5B893A2A" w14:textId="77777777" w:rsidR="00DB23EF" w:rsidRPr="009B3E10" w:rsidRDefault="00DB23EF" w:rsidP="008B4BB0">
            <w:pPr>
              <w:pStyle w:val="NormalWeb"/>
              <w:jc w:val="center"/>
              <w:rPr>
                <w:rFonts w:ascii="Arial" w:hAnsi="Arial" w:cs="Arial"/>
                <w:b/>
                <w:sz w:val="20"/>
              </w:rPr>
            </w:pPr>
            <w:r w:rsidRPr="009B3E10">
              <w:rPr>
                <w:rFonts w:ascii="Arial" w:hAnsi="Arial" w:cs="Arial"/>
                <w:b/>
                <w:sz w:val="20"/>
              </w:rPr>
              <w:t>Grains per pod</w:t>
            </w:r>
          </w:p>
        </w:tc>
        <w:tc>
          <w:tcPr>
            <w:tcW w:w="2884" w:type="dxa"/>
            <w:vAlign w:val="center"/>
          </w:tcPr>
          <w:p w14:paraId="3A894808" w14:textId="77777777" w:rsidR="00DB23EF" w:rsidRPr="009B3E10" w:rsidRDefault="00DB23EF" w:rsidP="008B4BB0">
            <w:pPr>
              <w:pStyle w:val="NormalWeb"/>
              <w:jc w:val="center"/>
              <w:rPr>
                <w:rFonts w:ascii="Arial" w:hAnsi="Arial" w:cs="Arial"/>
                <w:sz w:val="20"/>
              </w:rPr>
            </w:pPr>
            <w:r w:rsidRPr="009B3E10">
              <w:rPr>
                <w:rFonts w:ascii="Arial" w:hAnsi="Arial" w:cs="Arial"/>
                <w:sz w:val="20"/>
              </w:rPr>
              <w:t>8.00</w:t>
            </w:r>
          </w:p>
        </w:tc>
        <w:tc>
          <w:tcPr>
            <w:tcW w:w="2885" w:type="dxa"/>
            <w:vAlign w:val="center"/>
          </w:tcPr>
          <w:p w14:paraId="3F9D2E87" w14:textId="77777777" w:rsidR="00DB23EF" w:rsidRPr="009B3E10" w:rsidRDefault="00DB23EF" w:rsidP="008B4BB0">
            <w:pPr>
              <w:pStyle w:val="NormalWeb"/>
              <w:jc w:val="center"/>
              <w:rPr>
                <w:rFonts w:ascii="Arial" w:hAnsi="Arial" w:cs="Arial"/>
                <w:sz w:val="20"/>
              </w:rPr>
            </w:pPr>
            <w:r w:rsidRPr="009B3E10">
              <w:rPr>
                <w:rFonts w:ascii="Arial" w:hAnsi="Arial" w:cs="Arial"/>
                <w:sz w:val="20"/>
              </w:rPr>
              <w:t>11.00</w:t>
            </w:r>
          </w:p>
        </w:tc>
      </w:tr>
      <w:tr w:rsidR="00DB23EF" w:rsidRPr="009B3E10" w14:paraId="144C5C99" w14:textId="77777777" w:rsidTr="008B4BB0">
        <w:trPr>
          <w:jc w:val="center"/>
        </w:trPr>
        <w:tc>
          <w:tcPr>
            <w:tcW w:w="2884" w:type="dxa"/>
            <w:vAlign w:val="center"/>
          </w:tcPr>
          <w:p w14:paraId="2CE0A4EA" w14:textId="77777777" w:rsidR="00DB23EF" w:rsidRPr="009B3E10" w:rsidRDefault="00DB23EF" w:rsidP="008B4BB0">
            <w:pPr>
              <w:pStyle w:val="NormalWeb"/>
              <w:jc w:val="center"/>
              <w:rPr>
                <w:rFonts w:ascii="Arial" w:hAnsi="Arial" w:cs="Arial"/>
                <w:b/>
                <w:sz w:val="20"/>
              </w:rPr>
            </w:pPr>
            <w:r w:rsidRPr="009B3E10">
              <w:rPr>
                <w:rFonts w:ascii="Arial" w:hAnsi="Arial" w:cs="Arial"/>
                <w:b/>
                <w:sz w:val="20"/>
              </w:rPr>
              <w:t>100-grain weight (g)</w:t>
            </w:r>
          </w:p>
        </w:tc>
        <w:tc>
          <w:tcPr>
            <w:tcW w:w="2884" w:type="dxa"/>
            <w:vAlign w:val="center"/>
          </w:tcPr>
          <w:p w14:paraId="41237A80" w14:textId="77777777" w:rsidR="00DB23EF" w:rsidRPr="009B3E10" w:rsidRDefault="00DB23EF" w:rsidP="008B4BB0">
            <w:pPr>
              <w:pStyle w:val="NormalWeb"/>
              <w:jc w:val="center"/>
              <w:rPr>
                <w:rFonts w:ascii="Arial" w:hAnsi="Arial" w:cs="Arial"/>
                <w:sz w:val="20"/>
              </w:rPr>
            </w:pPr>
            <w:r w:rsidRPr="009B3E10">
              <w:rPr>
                <w:rFonts w:ascii="Arial" w:hAnsi="Arial" w:cs="Arial"/>
                <w:sz w:val="20"/>
              </w:rPr>
              <w:t>3.60</w:t>
            </w:r>
          </w:p>
        </w:tc>
        <w:tc>
          <w:tcPr>
            <w:tcW w:w="2885" w:type="dxa"/>
            <w:vAlign w:val="center"/>
          </w:tcPr>
          <w:p w14:paraId="091F6402" w14:textId="77777777" w:rsidR="00DB23EF" w:rsidRPr="009B3E10" w:rsidRDefault="00DB23EF" w:rsidP="008B4BB0">
            <w:pPr>
              <w:pStyle w:val="NormalWeb"/>
              <w:jc w:val="center"/>
              <w:rPr>
                <w:rFonts w:ascii="Arial" w:hAnsi="Arial" w:cs="Arial"/>
                <w:sz w:val="20"/>
              </w:rPr>
            </w:pPr>
            <w:r w:rsidRPr="009B3E10">
              <w:rPr>
                <w:rFonts w:ascii="Arial" w:hAnsi="Arial" w:cs="Arial"/>
                <w:sz w:val="20"/>
              </w:rPr>
              <w:t>5.40</w:t>
            </w:r>
          </w:p>
        </w:tc>
      </w:tr>
      <w:tr w:rsidR="00DB23EF" w:rsidRPr="009B3E10" w14:paraId="4F64327A" w14:textId="77777777" w:rsidTr="008B4BB0">
        <w:trPr>
          <w:jc w:val="center"/>
        </w:trPr>
        <w:tc>
          <w:tcPr>
            <w:tcW w:w="2884" w:type="dxa"/>
            <w:vAlign w:val="center"/>
          </w:tcPr>
          <w:p w14:paraId="50891214" w14:textId="77777777" w:rsidR="00DB23EF" w:rsidRPr="009B3E10" w:rsidRDefault="00DB23EF" w:rsidP="008B4BB0">
            <w:pPr>
              <w:pStyle w:val="NormalWeb"/>
              <w:jc w:val="center"/>
              <w:rPr>
                <w:rFonts w:ascii="Arial" w:hAnsi="Arial" w:cs="Arial"/>
                <w:b/>
                <w:sz w:val="20"/>
              </w:rPr>
            </w:pPr>
            <w:r w:rsidRPr="009B3E10">
              <w:rPr>
                <w:rFonts w:ascii="Arial" w:hAnsi="Arial" w:cs="Arial"/>
                <w:b/>
                <w:sz w:val="20"/>
              </w:rPr>
              <w:t>Grain yield (g/pot)</w:t>
            </w:r>
          </w:p>
        </w:tc>
        <w:tc>
          <w:tcPr>
            <w:tcW w:w="2884" w:type="dxa"/>
            <w:vAlign w:val="center"/>
          </w:tcPr>
          <w:p w14:paraId="35876175" w14:textId="77777777" w:rsidR="00DB23EF" w:rsidRPr="009B3E10" w:rsidRDefault="00DB23EF" w:rsidP="008B4BB0">
            <w:pPr>
              <w:pStyle w:val="NormalWeb"/>
              <w:jc w:val="center"/>
              <w:rPr>
                <w:rFonts w:ascii="Arial" w:hAnsi="Arial" w:cs="Arial"/>
                <w:sz w:val="20"/>
              </w:rPr>
            </w:pPr>
            <w:r w:rsidRPr="009B3E10">
              <w:rPr>
                <w:rFonts w:ascii="Arial" w:hAnsi="Arial" w:cs="Arial"/>
                <w:sz w:val="20"/>
              </w:rPr>
              <w:t>2.70</w:t>
            </w:r>
          </w:p>
        </w:tc>
        <w:tc>
          <w:tcPr>
            <w:tcW w:w="2885" w:type="dxa"/>
            <w:vAlign w:val="center"/>
          </w:tcPr>
          <w:p w14:paraId="25B29754" w14:textId="77777777" w:rsidR="00DB23EF" w:rsidRPr="009B3E10" w:rsidRDefault="00DB23EF" w:rsidP="008B4BB0">
            <w:pPr>
              <w:pStyle w:val="NormalWeb"/>
              <w:jc w:val="center"/>
              <w:rPr>
                <w:rFonts w:ascii="Arial" w:hAnsi="Arial" w:cs="Arial"/>
                <w:sz w:val="20"/>
              </w:rPr>
            </w:pPr>
            <w:r w:rsidRPr="009B3E10">
              <w:rPr>
                <w:rFonts w:ascii="Arial" w:hAnsi="Arial" w:cs="Arial"/>
                <w:sz w:val="20"/>
              </w:rPr>
              <w:t>4.20</w:t>
            </w:r>
          </w:p>
        </w:tc>
      </w:tr>
      <w:tr w:rsidR="00DB23EF" w:rsidRPr="009B3E10" w14:paraId="53D0227C" w14:textId="77777777" w:rsidTr="008B4BB0">
        <w:trPr>
          <w:jc w:val="center"/>
        </w:trPr>
        <w:tc>
          <w:tcPr>
            <w:tcW w:w="2884" w:type="dxa"/>
            <w:tcBorders>
              <w:bottom w:val="single" w:sz="4" w:space="0" w:color="auto"/>
            </w:tcBorders>
            <w:vAlign w:val="center"/>
          </w:tcPr>
          <w:p w14:paraId="51F15EAA" w14:textId="77777777" w:rsidR="00DB23EF" w:rsidRPr="009B3E10" w:rsidRDefault="00DB23EF" w:rsidP="008B4BB0">
            <w:pPr>
              <w:pStyle w:val="NormalWeb"/>
              <w:jc w:val="center"/>
              <w:rPr>
                <w:rFonts w:ascii="Arial" w:hAnsi="Arial" w:cs="Arial"/>
                <w:b/>
                <w:sz w:val="20"/>
              </w:rPr>
            </w:pPr>
            <w:r w:rsidRPr="009B3E10">
              <w:rPr>
                <w:rFonts w:ascii="Arial" w:hAnsi="Arial" w:cs="Arial"/>
                <w:b/>
                <w:sz w:val="20"/>
              </w:rPr>
              <w:t>Harvest index (%)</w:t>
            </w:r>
          </w:p>
        </w:tc>
        <w:tc>
          <w:tcPr>
            <w:tcW w:w="2884" w:type="dxa"/>
            <w:tcBorders>
              <w:bottom w:val="single" w:sz="4" w:space="0" w:color="auto"/>
            </w:tcBorders>
            <w:vAlign w:val="center"/>
          </w:tcPr>
          <w:p w14:paraId="33C992A0" w14:textId="77777777" w:rsidR="00DB23EF" w:rsidRPr="009B3E10" w:rsidRDefault="00DB23EF" w:rsidP="008B4BB0">
            <w:pPr>
              <w:pStyle w:val="NormalWeb"/>
              <w:jc w:val="center"/>
              <w:rPr>
                <w:rFonts w:ascii="Arial" w:hAnsi="Arial" w:cs="Arial"/>
                <w:sz w:val="20"/>
              </w:rPr>
            </w:pPr>
            <w:r w:rsidRPr="009B3E10">
              <w:rPr>
                <w:rFonts w:ascii="Arial" w:hAnsi="Arial" w:cs="Arial"/>
                <w:sz w:val="20"/>
              </w:rPr>
              <w:t>12.30</w:t>
            </w:r>
          </w:p>
        </w:tc>
        <w:tc>
          <w:tcPr>
            <w:tcW w:w="2885" w:type="dxa"/>
            <w:tcBorders>
              <w:bottom w:val="single" w:sz="4" w:space="0" w:color="auto"/>
            </w:tcBorders>
            <w:vAlign w:val="center"/>
          </w:tcPr>
          <w:p w14:paraId="570AC90F" w14:textId="77777777" w:rsidR="00DB23EF" w:rsidRPr="009B3E10" w:rsidRDefault="00DB23EF" w:rsidP="008B4BB0">
            <w:pPr>
              <w:pStyle w:val="NormalWeb"/>
              <w:jc w:val="center"/>
              <w:rPr>
                <w:rFonts w:ascii="Arial" w:hAnsi="Arial" w:cs="Arial"/>
                <w:sz w:val="20"/>
              </w:rPr>
            </w:pPr>
            <w:r w:rsidRPr="009B3E10">
              <w:rPr>
                <w:rFonts w:ascii="Arial" w:hAnsi="Arial" w:cs="Arial"/>
                <w:sz w:val="20"/>
              </w:rPr>
              <w:t>14.87</w:t>
            </w:r>
          </w:p>
        </w:tc>
      </w:tr>
    </w:tbl>
    <w:p w14:paraId="72C7C74F" w14:textId="77777777" w:rsidR="00DB23EF" w:rsidRPr="009B3E10" w:rsidRDefault="00DB23EF" w:rsidP="00DB23EF">
      <w:pPr>
        <w:pStyle w:val="NoSpacing"/>
        <w:jc w:val="center"/>
        <w:rPr>
          <w:rFonts w:ascii="Arial" w:hAnsi="Arial" w:cs="Arial"/>
          <w:b/>
          <w:sz w:val="20"/>
        </w:rPr>
      </w:pPr>
      <w:r w:rsidRPr="009B3E10">
        <w:rPr>
          <w:rFonts w:ascii="Arial" w:hAnsi="Arial" w:cs="Arial"/>
          <w:b/>
          <w:sz w:val="20"/>
        </w:rPr>
        <w:t>(</w:t>
      </w:r>
      <w:r w:rsidRPr="009B3E10">
        <w:rPr>
          <w:rStyle w:val="Emphasis"/>
          <w:rFonts w:ascii="Arial" w:hAnsi="Arial" w:cs="Arial"/>
          <w:b/>
          <w:sz w:val="20"/>
        </w:rPr>
        <w:t xml:space="preserve">Source: </w:t>
      </w:r>
      <w:proofErr w:type="spellStart"/>
      <w:r w:rsidRPr="009B3E10">
        <w:rPr>
          <w:rStyle w:val="Emphasis"/>
          <w:rFonts w:ascii="Arial" w:hAnsi="Arial" w:cs="Arial"/>
          <w:b/>
          <w:sz w:val="20"/>
        </w:rPr>
        <w:t>Rab</w:t>
      </w:r>
      <w:proofErr w:type="spellEnd"/>
      <w:r w:rsidRPr="009B3E10">
        <w:rPr>
          <w:rStyle w:val="Emphasis"/>
          <w:rFonts w:ascii="Arial" w:hAnsi="Arial" w:cs="Arial"/>
          <w:b/>
          <w:sz w:val="20"/>
        </w:rPr>
        <w:t xml:space="preserve"> et al., 2016</w:t>
      </w:r>
      <w:r w:rsidRPr="009B3E10">
        <w:rPr>
          <w:rFonts w:ascii="Arial" w:hAnsi="Arial" w:cs="Arial"/>
          <w:b/>
          <w:sz w:val="20"/>
        </w:rPr>
        <w:t>)</w:t>
      </w:r>
    </w:p>
    <w:p w14:paraId="753620DA" w14:textId="77777777" w:rsidR="00DB23EF" w:rsidRPr="009B3E10" w:rsidRDefault="00DB23EF" w:rsidP="00DB23EF"/>
    <w:p w14:paraId="38972E7A" w14:textId="77777777" w:rsidR="00DB23EF" w:rsidRPr="007734B3" w:rsidRDefault="00DB23EF" w:rsidP="00DB23EF">
      <w:pPr>
        <w:spacing w:before="100" w:beforeAutospacing="1" w:after="100" w:afterAutospacing="1" w:line="240" w:lineRule="auto"/>
        <w:ind w:left="0" w:firstLine="720"/>
        <w:rPr>
          <w:rFonts w:ascii="Arial" w:eastAsia="Times New Roman" w:hAnsi="Arial" w:cs="Arial"/>
          <w:sz w:val="20"/>
          <w:szCs w:val="20"/>
          <w:lang w:eastAsia="en-IN"/>
        </w:rPr>
      </w:pPr>
      <w:bookmarkStart w:id="23" w:name="_Hlk195817396"/>
      <w:bookmarkEnd w:id="22"/>
      <w:r w:rsidRPr="00937172">
        <w:rPr>
          <w:rFonts w:ascii="Arial" w:eastAsia="Times New Roman" w:hAnsi="Arial" w:cs="Arial"/>
          <w:sz w:val="20"/>
          <w:szCs w:val="20"/>
          <w:lang w:eastAsia="en-IN"/>
        </w:rPr>
        <w:t>The application of sugarcane bagasse-derived biochar has been shown to significantly enhance the growth and yield attributes of mung bean (</w:t>
      </w:r>
      <w:r w:rsidRPr="00937172">
        <w:rPr>
          <w:rFonts w:ascii="Arial" w:eastAsia="Times New Roman" w:hAnsi="Arial" w:cs="Arial"/>
          <w:i/>
          <w:sz w:val="20"/>
          <w:szCs w:val="20"/>
          <w:lang w:eastAsia="en-IN"/>
        </w:rPr>
        <w:t>Vigna radiata</w:t>
      </w:r>
      <w:r w:rsidRPr="00937172">
        <w:rPr>
          <w:rFonts w:ascii="Arial" w:eastAsia="Times New Roman" w:hAnsi="Arial" w:cs="Arial"/>
          <w:sz w:val="20"/>
          <w:szCs w:val="20"/>
          <w:lang w:eastAsia="en-IN"/>
        </w:rPr>
        <w:t xml:space="preserve"> L.). Biochar, when applied to soil at varying rates, improves soil fertility, nutrient retention, and microbial activity, ultimately influencing crop productivity. A study conducted by </w:t>
      </w:r>
      <w:proofErr w:type="spellStart"/>
      <w:r w:rsidRPr="00937172">
        <w:rPr>
          <w:rFonts w:ascii="Arial" w:eastAsia="Times New Roman" w:hAnsi="Arial" w:cs="Arial"/>
          <w:sz w:val="20"/>
          <w:szCs w:val="20"/>
          <w:lang w:eastAsia="en-IN"/>
        </w:rPr>
        <w:t>Rab</w:t>
      </w:r>
      <w:proofErr w:type="spellEnd"/>
      <w:r w:rsidRPr="00937172">
        <w:rPr>
          <w:rFonts w:ascii="Arial" w:eastAsia="Times New Roman" w:hAnsi="Arial" w:cs="Arial"/>
          <w:sz w:val="20"/>
          <w:szCs w:val="20"/>
          <w:lang w:eastAsia="en-IN"/>
        </w:rPr>
        <w:t xml:space="preserve"> et al. (2016) assessed the impact of different biochar application rates (0, 25, 50, 75, and 100 t/ha) on mung bean performance. The results indicated that a biochar rate of 25 t/ha was optimal, resulting in the highest number of pods per plant (23), pod length (9.2 cm), grains per pod (11), grain yield per pot (4.2 g), and harvest index (14.87%), compared to the control (Table </w:t>
      </w:r>
      <w:r>
        <w:rPr>
          <w:rFonts w:ascii="Arial" w:eastAsia="Times New Roman" w:hAnsi="Arial" w:cs="Arial"/>
          <w:sz w:val="20"/>
          <w:szCs w:val="20"/>
          <w:lang w:eastAsia="en-IN"/>
        </w:rPr>
        <w:t>4</w:t>
      </w:r>
      <w:r w:rsidRPr="00937172">
        <w:rPr>
          <w:rFonts w:ascii="Arial" w:eastAsia="Times New Roman" w:hAnsi="Arial" w:cs="Arial"/>
          <w:sz w:val="20"/>
          <w:szCs w:val="20"/>
          <w:lang w:eastAsia="en-IN"/>
        </w:rPr>
        <w:t>). Higher application rates did not further enhance yield and, in some cases, showed a declining trend, possibly due to nutrient imbalances or physical alterations in soil structure. This suggests that moderate levels of sugarcane biochar can significantly improve mung bean yield by positively modifying soil properties and supporting plant physiological functions</w:t>
      </w:r>
      <w:bookmarkEnd w:id="23"/>
      <w:r w:rsidRPr="00937172">
        <w:rPr>
          <w:rFonts w:ascii="Arial" w:eastAsia="Times New Roman" w:hAnsi="Arial" w:cs="Arial"/>
          <w:sz w:val="20"/>
          <w:szCs w:val="20"/>
          <w:lang w:eastAsia="en-IN"/>
        </w:rPr>
        <w:t>.</w:t>
      </w:r>
    </w:p>
    <w:p w14:paraId="1ADECBB9" w14:textId="77777777" w:rsidR="00DB23EF" w:rsidRDefault="00DB23EF" w:rsidP="00DB23EF">
      <w:pPr>
        <w:pStyle w:val="NoSpacing"/>
        <w:ind w:left="0" w:firstLine="720"/>
        <w:rPr>
          <w:rStyle w:val="Strong"/>
          <w:rFonts w:ascii="Arial" w:hAnsi="Arial" w:cs="Arial"/>
          <w:bCs w:val="0"/>
        </w:rPr>
      </w:pPr>
    </w:p>
    <w:p w14:paraId="703A4408" w14:textId="77777777" w:rsidR="00DB23EF" w:rsidRDefault="00DB23EF" w:rsidP="00DB23EF">
      <w:pPr>
        <w:pStyle w:val="NoSpacing"/>
        <w:ind w:left="0" w:firstLine="720"/>
        <w:rPr>
          <w:rStyle w:val="Strong"/>
          <w:rFonts w:ascii="Arial" w:hAnsi="Arial" w:cs="Arial"/>
          <w:bCs w:val="0"/>
        </w:rPr>
      </w:pPr>
      <w:r w:rsidRPr="00151FE7">
        <w:rPr>
          <w:rStyle w:val="Strong"/>
          <w:rFonts w:ascii="Arial" w:hAnsi="Arial" w:cs="Arial"/>
          <w:bCs w:val="0"/>
        </w:rPr>
        <w:t xml:space="preserve">7. </w:t>
      </w:r>
      <w:bookmarkStart w:id="24" w:name="_Hlk195817525"/>
      <w:r w:rsidRPr="00151FE7">
        <w:rPr>
          <w:rStyle w:val="Strong"/>
          <w:rFonts w:ascii="Arial" w:hAnsi="Arial" w:cs="Arial"/>
          <w:bCs w:val="0"/>
        </w:rPr>
        <w:t>BIOCHAR'S ROLE IN NUTRIENT AVAILABILITY AND FERTILITY</w:t>
      </w:r>
      <w:bookmarkEnd w:id="24"/>
    </w:p>
    <w:p w14:paraId="0650E038" w14:textId="77777777" w:rsidR="00DB23EF" w:rsidRPr="00151FE7" w:rsidRDefault="00DB23EF" w:rsidP="00DB23EF">
      <w:pPr>
        <w:pStyle w:val="NoSpacing"/>
      </w:pPr>
    </w:p>
    <w:p w14:paraId="67B67AD1" w14:textId="77777777" w:rsidR="00DB23EF" w:rsidRPr="00151FE7" w:rsidRDefault="00DB23EF" w:rsidP="00DB23EF">
      <w:pPr>
        <w:pStyle w:val="NoSpacing"/>
        <w:ind w:left="0"/>
        <w:rPr>
          <w:rFonts w:ascii="Arial" w:hAnsi="Arial" w:cs="Arial"/>
        </w:rPr>
      </w:pPr>
      <w:r>
        <w:rPr>
          <w:rStyle w:val="Strong"/>
          <w:rFonts w:ascii="Arial" w:hAnsi="Arial" w:cs="Arial"/>
          <w:bCs w:val="0"/>
        </w:rPr>
        <w:t xml:space="preserve">7.1 </w:t>
      </w:r>
      <w:bookmarkStart w:id="25" w:name="_Hlk195817567"/>
      <w:r w:rsidRPr="00151FE7">
        <w:rPr>
          <w:rStyle w:val="Strong"/>
          <w:rFonts w:ascii="Arial" w:hAnsi="Arial" w:cs="Arial"/>
          <w:bCs w:val="0"/>
        </w:rPr>
        <w:t>Nutrient Retention (N, P, K, Micronutrients)</w:t>
      </w:r>
    </w:p>
    <w:p w14:paraId="5E927FC9" w14:textId="77777777" w:rsidR="00DB23EF" w:rsidRPr="00151FE7" w:rsidRDefault="00DB23EF" w:rsidP="00DB23EF">
      <w:pPr>
        <w:pStyle w:val="NoSpacing"/>
        <w:ind w:left="0"/>
        <w:rPr>
          <w:rFonts w:ascii="Arial" w:hAnsi="Arial" w:cs="Arial"/>
          <w:sz w:val="20"/>
        </w:rPr>
      </w:pPr>
      <w:r w:rsidRPr="00151FE7">
        <w:rPr>
          <w:rFonts w:ascii="Arial" w:hAnsi="Arial" w:cs="Arial"/>
          <w:sz w:val="20"/>
        </w:rPr>
        <w:t xml:space="preserve">Biochar derived from sugarcane bagasse plays a pivotal role in </w:t>
      </w:r>
      <w:r w:rsidRPr="00151FE7">
        <w:rPr>
          <w:rStyle w:val="Strong"/>
          <w:rFonts w:ascii="Arial" w:hAnsi="Arial" w:cs="Arial"/>
          <w:b w:val="0"/>
          <w:bCs w:val="0"/>
          <w:sz w:val="20"/>
        </w:rPr>
        <w:t>improving soil nutrient status</w:t>
      </w:r>
      <w:r w:rsidRPr="00151FE7">
        <w:rPr>
          <w:rFonts w:ascii="Arial" w:hAnsi="Arial" w:cs="Arial"/>
          <w:sz w:val="20"/>
        </w:rPr>
        <w:t xml:space="preserve"> through enhanced retention and reduced loss of both macro- and micronutrients. Its </w:t>
      </w:r>
      <w:r w:rsidRPr="00151FE7">
        <w:rPr>
          <w:rStyle w:val="Strong"/>
          <w:rFonts w:ascii="Arial" w:hAnsi="Arial" w:cs="Arial"/>
          <w:b w:val="0"/>
          <w:bCs w:val="0"/>
          <w:sz w:val="20"/>
        </w:rPr>
        <w:t>high cation exchange capacity (CEC)</w:t>
      </w:r>
      <w:r w:rsidRPr="00151FE7">
        <w:rPr>
          <w:rFonts w:ascii="Arial" w:hAnsi="Arial" w:cs="Arial"/>
          <w:sz w:val="20"/>
        </w:rPr>
        <w:t xml:space="preserve">, arising from a porous structure and surface functional groups (e.g., carboxylic and phenolic), enables it to </w:t>
      </w:r>
      <w:r w:rsidRPr="00151FE7">
        <w:rPr>
          <w:rStyle w:val="Strong"/>
          <w:rFonts w:ascii="Arial" w:hAnsi="Arial" w:cs="Arial"/>
          <w:b w:val="0"/>
          <w:bCs w:val="0"/>
          <w:sz w:val="20"/>
        </w:rPr>
        <w:t>adsorb essential nutrients</w:t>
      </w:r>
      <w:r w:rsidRPr="00151FE7">
        <w:rPr>
          <w:rFonts w:ascii="Arial" w:hAnsi="Arial" w:cs="Arial"/>
          <w:sz w:val="20"/>
        </w:rPr>
        <w:t xml:space="preserve"> like </w:t>
      </w:r>
      <w:r w:rsidRPr="00151FE7">
        <w:rPr>
          <w:rStyle w:val="Strong"/>
          <w:rFonts w:ascii="Arial" w:hAnsi="Arial" w:cs="Arial"/>
          <w:b w:val="0"/>
          <w:bCs w:val="0"/>
          <w:sz w:val="20"/>
        </w:rPr>
        <w:t>ammonium (NH</w:t>
      </w:r>
      <w:r w:rsidRPr="00151FE7">
        <w:rPr>
          <w:rStyle w:val="Strong"/>
          <w:rFonts w:ascii="Cambria Math" w:hAnsi="Cambria Math" w:cs="Cambria Math"/>
          <w:b w:val="0"/>
          <w:bCs w:val="0"/>
          <w:sz w:val="20"/>
        </w:rPr>
        <w:t>₄⁺</w:t>
      </w:r>
      <w:r w:rsidRPr="00151FE7">
        <w:rPr>
          <w:rStyle w:val="Strong"/>
          <w:rFonts w:ascii="Arial" w:hAnsi="Arial" w:cs="Arial"/>
          <w:b w:val="0"/>
          <w:bCs w:val="0"/>
          <w:sz w:val="20"/>
        </w:rPr>
        <w:t>), nitrate (NO</w:t>
      </w:r>
      <w:r w:rsidRPr="00151FE7">
        <w:rPr>
          <w:rStyle w:val="Strong"/>
          <w:rFonts w:ascii="Cambria Math" w:hAnsi="Cambria Math" w:cs="Cambria Math"/>
          <w:b w:val="0"/>
          <w:bCs w:val="0"/>
          <w:sz w:val="20"/>
        </w:rPr>
        <w:t>₃⁻</w:t>
      </w:r>
      <w:r w:rsidRPr="00151FE7">
        <w:rPr>
          <w:rStyle w:val="Strong"/>
          <w:rFonts w:ascii="Arial" w:hAnsi="Arial" w:cs="Arial"/>
          <w:b w:val="0"/>
          <w:bCs w:val="0"/>
          <w:sz w:val="20"/>
        </w:rPr>
        <w:t>), phosphate (PO</w:t>
      </w:r>
      <w:r w:rsidRPr="00151FE7">
        <w:rPr>
          <w:rStyle w:val="Strong"/>
          <w:rFonts w:ascii="Cambria Math" w:hAnsi="Cambria Math" w:cs="Cambria Math"/>
          <w:b w:val="0"/>
          <w:bCs w:val="0"/>
          <w:sz w:val="20"/>
        </w:rPr>
        <w:t>₄</w:t>
      </w:r>
      <w:r w:rsidRPr="00151FE7">
        <w:rPr>
          <w:rStyle w:val="Strong"/>
          <w:rFonts w:ascii="Arial" w:hAnsi="Arial" w:cs="Arial"/>
          <w:b w:val="0"/>
          <w:bCs w:val="0"/>
          <w:sz w:val="20"/>
        </w:rPr>
        <w:t>³</w:t>
      </w:r>
      <w:r w:rsidRPr="00151FE7">
        <w:rPr>
          <w:rStyle w:val="Strong"/>
          <w:rFonts w:ascii="Cambria Math" w:hAnsi="Cambria Math" w:cs="Cambria Math"/>
          <w:b w:val="0"/>
          <w:bCs w:val="0"/>
          <w:sz w:val="20"/>
        </w:rPr>
        <w:t>⁻</w:t>
      </w:r>
      <w:r w:rsidRPr="00151FE7">
        <w:rPr>
          <w:rStyle w:val="Strong"/>
          <w:rFonts w:ascii="Arial" w:hAnsi="Arial" w:cs="Arial"/>
          <w:b w:val="0"/>
          <w:bCs w:val="0"/>
          <w:sz w:val="20"/>
        </w:rPr>
        <w:t>), potassium (K</w:t>
      </w:r>
      <w:r w:rsidRPr="00151FE7">
        <w:rPr>
          <w:rStyle w:val="Strong"/>
          <w:rFonts w:ascii="Cambria Math" w:hAnsi="Cambria Math" w:cs="Cambria Math"/>
          <w:b w:val="0"/>
          <w:bCs w:val="0"/>
          <w:sz w:val="20"/>
        </w:rPr>
        <w:t>⁺</w:t>
      </w:r>
      <w:r w:rsidRPr="00151FE7">
        <w:rPr>
          <w:rStyle w:val="Strong"/>
          <w:rFonts w:ascii="Arial" w:hAnsi="Arial" w:cs="Arial"/>
          <w:b w:val="0"/>
          <w:bCs w:val="0"/>
          <w:sz w:val="20"/>
        </w:rPr>
        <w:t>), calcium (Ca²</w:t>
      </w:r>
      <w:r w:rsidRPr="00151FE7">
        <w:rPr>
          <w:rStyle w:val="Strong"/>
          <w:rFonts w:ascii="Cambria Math" w:hAnsi="Cambria Math" w:cs="Cambria Math"/>
          <w:b w:val="0"/>
          <w:bCs w:val="0"/>
          <w:sz w:val="20"/>
        </w:rPr>
        <w:t>⁺</w:t>
      </w:r>
      <w:r w:rsidRPr="00151FE7">
        <w:rPr>
          <w:rStyle w:val="Strong"/>
          <w:rFonts w:ascii="Arial" w:hAnsi="Arial" w:cs="Arial"/>
          <w:b w:val="0"/>
          <w:bCs w:val="0"/>
          <w:sz w:val="20"/>
        </w:rPr>
        <w:t>)</w:t>
      </w:r>
      <w:r w:rsidRPr="00151FE7">
        <w:rPr>
          <w:rFonts w:ascii="Arial" w:hAnsi="Arial" w:cs="Arial"/>
          <w:sz w:val="20"/>
        </w:rPr>
        <w:t xml:space="preserve">, and </w:t>
      </w:r>
      <w:r w:rsidRPr="00151FE7">
        <w:rPr>
          <w:rStyle w:val="Strong"/>
          <w:rFonts w:ascii="Arial" w:hAnsi="Arial" w:cs="Arial"/>
          <w:b w:val="0"/>
          <w:bCs w:val="0"/>
          <w:sz w:val="20"/>
        </w:rPr>
        <w:t>magnesium (Mg²</w:t>
      </w:r>
      <w:r w:rsidRPr="00151FE7">
        <w:rPr>
          <w:rStyle w:val="Strong"/>
          <w:rFonts w:ascii="Cambria Math" w:hAnsi="Cambria Math" w:cs="Cambria Math"/>
          <w:b w:val="0"/>
          <w:bCs w:val="0"/>
          <w:sz w:val="20"/>
        </w:rPr>
        <w:t>⁺</w:t>
      </w:r>
      <w:r w:rsidRPr="00151FE7">
        <w:rPr>
          <w:rStyle w:val="Strong"/>
          <w:rFonts w:ascii="Arial" w:hAnsi="Arial" w:cs="Arial"/>
          <w:b w:val="0"/>
          <w:bCs w:val="0"/>
          <w:sz w:val="20"/>
        </w:rPr>
        <w:t>)</w:t>
      </w:r>
      <w:r>
        <w:rPr>
          <w:rStyle w:val="Strong"/>
          <w:rFonts w:ascii="Arial" w:hAnsi="Arial" w:cs="Arial"/>
          <w:b w:val="0"/>
          <w:bCs w:val="0"/>
          <w:sz w:val="20"/>
        </w:rPr>
        <w:t xml:space="preserve"> (</w:t>
      </w:r>
      <w:r>
        <w:rPr>
          <w:rFonts w:ascii="Arial" w:hAnsi="Arial" w:cs="Arial"/>
          <w:color w:val="222222"/>
          <w:sz w:val="20"/>
          <w:szCs w:val="20"/>
          <w:shd w:val="clear" w:color="auto" w:fill="FFFFFF"/>
        </w:rPr>
        <w:t>Dey et al., 2023</w:t>
      </w:r>
      <w:r>
        <w:rPr>
          <w:rStyle w:val="Strong"/>
          <w:rFonts w:ascii="Arial" w:hAnsi="Arial" w:cs="Arial"/>
          <w:b w:val="0"/>
          <w:bCs w:val="0"/>
          <w:sz w:val="20"/>
        </w:rPr>
        <w:t>)</w:t>
      </w:r>
      <w:r w:rsidRPr="00151FE7">
        <w:rPr>
          <w:rFonts w:ascii="Arial" w:hAnsi="Arial" w:cs="Arial"/>
          <w:sz w:val="20"/>
        </w:rPr>
        <w:t xml:space="preserve">. This slows nutrient mobility in the soil and prevents rapid depletion from the rhizosphere. Additionally, sugarcane biochar often contains </w:t>
      </w:r>
      <w:r w:rsidRPr="00151FE7">
        <w:rPr>
          <w:rStyle w:val="Strong"/>
          <w:rFonts w:ascii="Arial" w:hAnsi="Arial" w:cs="Arial"/>
          <w:b w:val="0"/>
          <w:bCs w:val="0"/>
          <w:sz w:val="20"/>
        </w:rPr>
        <w:t>intrinsic nutrients</w:t>
      </w:r>
      <w:r w:rsidRPr="00151FE7">
        <w:rPr>
          <w:rFonts w:ascii="Arial" w:hAnsi="Arial" w:cs="Arial"/>
          <w:sz w:val="20"/>
        </w:rPr>
        <w:t>, especially potassium, and small amounts of phosphorus, which directly contribute to the nutrient pool available to plants. Micronutrient retention</w:t>
      </w:r>
      <w:r>
        <w:rPr>
          <w:rFonts w:ascii="Arial" w:hAnsi="Arial" w:cs="Arial"/>
          <w:sz w:val="20"/>
        </w:rPr>
        <w:t xml:space="preserve"> </w:t>
      </w:r>
      <w:r w:rsidRPr="00151FE7">
        <w:rPr>
          <w:rFonts w:ascii="Arial" w:hAnsi="Arial" w:cs="Arial"/>
          <w:sz w:val="20"/>
        </w:rPr>
        <w:t xml:space="preserve">particularly of </w:t>
      </w:r>
      <w:r w:rsidRPr="00151FE7">
        <w:rPr>
          <w:rStyle w:val="Strong"/>
          <w:rFonts w:ascii="Arial" w:hAnsi="Arial" w:cs="Arial"/>
          <w:b w:val="0"/>
          <w:bCs w:val="0"/>
          <w:sz w:val="20"/>
        </w:rPr>
        <w:t>iron (Fe), zinc (Zn), and manganese (Mn)</w:t>
      </w:r>
      <w:r>
        <w:rPr>
          <w:rFonts w:ascii="Arial" w:hAnsi="Arial" w:cs="Arial"/>
          <w:sz w:val="20"/>
        </w:rPr>
        <w:t xml:space="preserve"> </w:t>
      </w:r>
      <w:r w:rsidRPr="00151FE7">
        <w:rPr>
          <w:rFonts w:ascii="Arial" w:hAnsi="Arial" w:cs="Arial"/>
          <w:sz w:val="20"/>
        </w:rPr>
        <w:t>is also enhanced, improving overall nutrient balance and supporting mung bean’s growth and reproductive functions.</w:t>
      </w:r>
    </w:p>
    <w:p w14:paraId="353D3662" w14:textId="77777777" w:rsidR="00DB23EF" w:rsidRPr="00151FE7" w:rsidRDefault="00DB23EF" w:rsidP="00DB23EF">
      <w:pPr>
        <w:pStyle w:val="NoSpacing"/>
      </w:pPr>
    </w:p>
    <w:p w14:paraId="085C2AD1" w14:textId="77777777" w:rsidR="00DB23EF" w:rsidRPr="00151FE7" w:rsidRDefault="00DB23EF" w:rsidP="00DB23EF">
      <w:pPr>
        <w:pStyle w:val="NoSpacing"/>
        <w:ind w:left="0"/>
        <w:rPr>
          <w:rFonts w:ascii="Arial" w:hAnsi="Arial" w:cs="Arial"/>
        </w:rPr>
      </w:pPr>
      <w:r>
        <w:rPr>
          <w:rStyle w:val="Strong"/>
          <w:rFonts w:ascii="Arial" w:hAnsi="Arial" w:cs="Arial"/>
          <w:bCs w:val="0"/>
        </w:rPr>
        <w:t xml:space="preserve">7.2 </w:t>
      </w:r>
      <w:r w:rsidRPr="00151FE7">
        <w:rPr>
          <w:rStyle w:val="Strong"/>
          <w:rFonts w:ascii="Arial" w:hAnsi="Arial" w:cs="Arial"/>
          <w:bCs w:val="0"/>
        </w:rPr>
        <w:t>Prevention of Nutrient Leaching</w:t>
      </w:r>
    </w:p>
    <w:p w14:paraId="52E345E7" w14:textId="77777777" w:rsidR="00DB23EF" w:rsidRPr="00151FE7" w:rsidRDefault="00DB23EF" w:rsidP="00DB23EF">
      <w:pPr>
        <w:pStyle w:val="NoSpacing"/>
        <w:ind w:left="0"/>
        <w:rPr>
          <w:rFonts w:ascii="Arial" w:hAnsi="Arial" w:cs="Arial"/>
          <w:sz w:val="20"/>
        </w:rPr>
      </w:pPr>
      <w:r w:rsidRPr="00151FE7">
        <w:rPr>
          <w:rFonts w:ascii="Arial" w:hAnsi="Arial" w:cs="Arial"/>
          <w:sz w:val="20"/>
        </w:rPr>
        <w:t xml:space="preserve">One of the key agronomic advantages of biochar is its capacity to </w:t>
      </w:r>
      <w:r w:rsidRPr="00151FE7">
        <w:rPr>
          <w:rStyle w:val="Strong"/>
          <w:rFonts w:ascii="Arial" w:hAnsi="Arial" w:cs="Arial"/>
          <w:b w:val="0"/>
          <w:bCs w:val="0"/>
          <w:sz w:val="20"/>
        </w:rPr>
        <w:t>reduce nutrient leaching</w:t>
      </w:r>
      <w:r w:rsidRPr="00151FE7">
        <w:rPr>
          <w:rFonts w:ascii="Arial" w:hAnsi="Arial" w:cs="Arial"/>
          <w:sz w:val="20"/>
        </w:rPr>
        <w:t xml:space="preserve">, particularly in </w:t>
      </w:r>
      <w:r w:rsidRPr="00151FE7">
        <w:rPr>
          <w:rStyle w:val="Strong"/>
          <w:rFonts w:ascii="Arial" w:hAnsi="Arial" w:cs="Arial"/>
          <w:b w:val="0"/>
          <w:bCs w:val="0"/>
          <w:sz w:val="20"/>
        </w:rPr>
        <w:t>sandy or coarse-textured soils</w:t>
      </w:r>
      <w:r w:rsidRPr="00151FE7">
        <w:rPr>
          <w:rFonts w:ascii="Arial" w:hAnsi="Arial" w:cs="Arial"/>
          <w:sz w:val="20"/>
        </w:rPr>
        <w:t xml:space="preserve"> where water and nutrient losses are prevalent. Biochar particles physically </w:t>
      </w:r>
      <w:r w:rsidRPr="00151FE7">
        <w:rPr>
          <w:rStyle w:val="Strong"/>
          <w:rFonts w:ascii="Arial" w:hAnsi="Arial" w:cs="Arial"/>
          <w:b w:val="0"/>
          <w:bCs w:val="0"/>
          <w:sz w:val="20"/>
        </w:rPr>
        <w:t>adsorb nitrate and phosphate ions</w:t>
      </w:r>
      <w:r w:rsidRPr="00151FE7">
        <w:rPr>
          <w:rFonts w:ascii="Arial" w:hAnsi="Arial" w:cs="Arial"/>
          <w:sz w:val="20"/>
        </w:rPr>
        <w:t xml:space="preserve">, slowing their movement beyond the root zone. This mechanism helps maintain nutrient availability during rainfall or irrigation events, enhancing </w:t>
      </w:r>
      <w:r w:rsidRPr="00151FE7">
        <w:rPr>
          <w:rStyle w:val="Strong"/>
          <w:rFonts w:ascii="Arial" w:hAnsi="Arial" w:cs="Arial"/>
          <w:b w:val="0"/>
          <w:bCs w:val="0"/>
          <w:sz w:val="20"/>
        </w:rPr>
        <w:t>fertilizer use efficiency</w:t>
      </w:r>
      <w:r w:rsidRPr="00151FE7">
        <w:rPr>
          <w:rFonts w:ascii="Arial" w:hAnsi="Arial" w:cs="Arial"/>
          <w:sz w:val="20"/>
        </w:rPr>
        <w:t xml:space="preserve">. Experimental studies have shown that biochar-amended soils exhibit </w:t>
      </w:r>
      <w:r w:rsidRPr="00151FE7">
        <w:rPr>
          <w:rStyle w:val="Strong"/>
          <w:rFonts w:ascii="Arial" w:hAnsi="Arial" w:cs="Arial"/>
          <w:b w:val="0"/>
          <w:bCs w:val="0"/>
          <w:sz w:val="20"/>
        </w:rPr>
        <w:t>lower nitrate concentrations in leachate</w:t>
      </w:r>
      <w:r w:rsidRPr="00151FE7">
        <w:rPr>
          <w:rFonts w:ascii="Arial" w:hAnsi="Arial" w:cs="Arial"/>
          <w:sz w:val="20"/>
        </w:rPr>
        <w:t xml:space="preserve">, indicating its ability to act as a </w:t>
      </w:r>
      <w:r w:rsidRPr="00151FE7">
        <w:rPr>
          <w:rStyle w:val="Strong"/>
          <w:rFonts w:ascii="Arial" w:hAnsi="Arial" w:cs="Arial"/>
          <w:b w:val="0"/>
          <w:bCs w:val="0"/>
          <w:sz w:val="20"/>
        </w:rPr>
        <w:t>nutrient reservoir</w:t>
      </w:r>
      <w:r w:rsidRPr="00151FE7">
        <w:rPr>
          <w:rFonts w:ascii="Arial" w:hAnsi="Arial" w:cs="Arial"/>
          <w:sz w:val="20"/>
        </w:rPr>
        <w:t>. This is especially beneficial in mung bean systems, where effective nitrogen management is crucial for optimizing yield and nodulation.</w:t>
      </w:r>
    </w:p>
    <w:p w14:paraId="73FD8EAC" w14:textId="77777777" w:rsidR="00DB23EF" w:rsidRPr="00151FE7" w:rsidRDefault="00DB23EF" w:rsidP="00DB23EF">
      <w:pPr>
        <w:pStyle w:val="NoSpacing"/>
      </w:pPr>
    </w:p>
    <w:p w14:paraId="615761EE" w14:textId="77777777" w:rsidR="00DB23EF" w:rsidRPr="00151FE7" w:rsidRDefault="00DB23EF" w:rsidP="00DB23EF">
      <w:pPr>
        <w:pStyle w:val="NoSpacing"/>
        <w:ind w:left="0"/>
        <w:rPr>
          <w:rFonts w:ascii="Arial" w:hAnsi="Arial" w:cs="Arial"/>
        </w:rPr>
      </w:pPr>
      <w:r>
        <w:rPr>
          <w:rStyle w:val="Strong"/>
          <w:rFonts w:ascii="Arial" w:hAnsi="Arial" w:cs="Arial"/>
          <w:bCs w:val="0"/>
        </w:rPr>
        <w:t xml:space="preserve">7.3 </w:t>
      </w:r>
      <w:r w:rsidRPr="00151FE7">
        <w:rPr>
          <w:rStyle w:val="Strong"/>
          <w:rFonts w:ascii="Arial" w:hAnsi="Arial" w:cs="Arial"/>
          <w:bCs w:val="0"/>
        </w:rPr>
        <w:t>Interaction with Organic and Inorganic Fertilizers</w:t>
      </w:r>
    </w:p>
    <w:p w14:paraId="7054D4A1" w14:textId="13E276C3" w:rsidR="00DB23EF" w:rsidRPr="00151FE7" w:rsidRDefault="00DB23EF" w:rsidP="00DB23EF">
      <w:pPr>
        <w:pStyle w:val="NoSpacing"/>
        <w:ind w:left="0"/>
        <w:rPr>
          <w:rFonts w:ascii="Arial" w:hAnsi="Arial" w:cs="Arial"/>
          <w:sz w:val="20"/>
        </w:rPr>
      </w:pPr>
      <w:r w:rsidRPr="00151FE7">
        <w:rPr>
          <w:rFonts w:ascii="Arial" w:hAnsi="Arial" w:cs="Arial"/>
          <w:sz w:val="20"/>
        </w:rPr>
        <w:t xml:space="preserve">Biochar synergizes well with both </w:t>
      </w:r>
      <w:r w:rsidRPr="00151FE7">
        <w:rPr>
          <w:rStyle w:val="Strong"/>
          <w:rFonts w:ascii="Arial" w:hAnsi="Arial" w:cs="Arial"/>
          <w:b w:val="0"/>
          <w:bCs w:val="0"/>
          <w:sz w:val="20"/>
        </w:rPr>
        <w:t>organic amendments (e.g., compost, manure)</w:t>
      </w:r>
      <w:r w:rsidRPr="00151FE7">
        <w:rPr>
          <w:rFonts w:ascii="Arial" w:hAnsi="Arial" w:cs="Arial"/>
          <w:sz w:val="20"/>
        </w:rPr>
        <w:t xml:space="preserve"> and </w:t>
      </w:r>
      <w:r w:rsidRPr="00151FE7">
        <w:rPr>
          <w:rStyle w:val="Strong"/>
          <w:rFonts w:ascii="Arial" w:hAnsi="Arial" w:cs="Arial"/>
          <w:b w:val="0"/>
          <w:bCs w:val="0"/>
          <w:sz w:val="20"/>
        </w:rPr>
        <w:t>inorganic fertilizers</w:t>
      </w:r>
      <w:r w:rsidRPr="00151FE7">
        <w:rPr>
          <w:rFonts w:ascii="Arial" w:hAnsi="Arial" w:cs="Arial"/>
          <w:sz w:val="20"/>
        </w:rPr>
        <w:t xml:space="preserve">. When applied in combination, biochar can buffer nutrient release, minimize </w:t>
      </w:r>
      <w:r w:rsidRPr="00151FE7">
        <w:rPr>
          <w:rStyle w:val="Strong"/>
          <w:rFonts w:ascii="Arial" w:hAnsi="Arial" w:cs="Arial"/>
          <w:b w:val="0"/>
          <w:bCs w:val="0"/>
          <w:sz w:val="20"/>
        </w:rPr>
        <w:t xml:space="preserve">volatilization </w:t>
      </w:r>
      <w:r w:rsidRPr="00151FE7">
        <w:rPr>
          <w:rStyle w:val="Strong"/>
          <w:rFonts w:ascii="Arial" w:hAnsi="Arial" w:cs="Arial"/>
          <w:b w:val="0"/>
          <w:bCs w:val="0"/>
          <w:sz w:val="20"/>
        </w:rPr>
        <w:lastRenderedPageBreak/>
        <w:t>losses</w:t>
      </w:r>
      <w:r w:rsidRPr="00151FE7">
        <w:rPr>
          <w:rFonts w:ascii="Arial" w:hAnsi="Arial" w:cs="Arial"/>
          <w:sz w:val="20"/>
        </w:rPr>
        <w:t xml:space="preserve">, and </w:t>
      </w:r>
      <w:r w:rsidRPr="00151FE7">
        <w:rPr>
          <w:rStyle w:val="Strong"/>
          <w:rFonts w:ascii="Arial" w:hAnsi="Arial" w:cs="Arial"/>
          <w:b w:val="0"/>
          <w:bCs w:val="0"/>
          <w:sz w:val="20"/>
        </w:rPr>
        <w:t>extend the availability of nutrients</w:t>
      </w:r>
      <w:r w:rsidRPr="00151FE7">
        <w:rPr>
          <w:rFonts w:ascii="Arial" w:hAnsi="Arial" w:cs="Arial"/>
          <w:sz w:val="20"/>
        </w:rPr>
        <w:t xml:space="preserve"> throughout the crop growth cycle</w:t>
      </w:r>
      <w:r>
        <w:rPr>
          <w:rFonts w:ascii="Arial" w:hAnsi="Arial" w:cs="Arial"/>
          <w:sz w:val="20"/>
        </w:rPr>
        <w:t xml:space="preserve"> (Table 5)</w:t>
      </w:r>
      <w:r w:rsidRPr="00151FE7">
        <w:rPr>
          <w:rFonts w:ascii="Arial" w:hAnsi="Arial" w:cs="Arial"/>
          <w:sz w:val="20"/>
        </w:rPr>
        <w:t xml:space="preserve">. This interaction reduces the likelihood of nutrient shocks or imbalances while promoting a more stable nutrient supply for mung bean plants. Moreover, the </w:t>
      </w:r>
      <w:r w:rsidRPr="00151FE7">
        <w:rPr>
          <w:rStyle w:val="Strong"/>
          <w:rFonts w:ascii="Arial" w:hAnsi="Arial" w:cs="Arial"/>
          <w:b w:val="0"/>
          <w:bCs w:val="0"/>
          <w:sz w:val="20"/>
        </w:rPr>
        <w:t>alkaline nature</w:t>
      </w:r>
      <w:r w:rsidRPr="00151FE7">
        <w:rPr>
          <w:rFonts w:ascii="Arial" w:hAnsi="Arial" w:cs="Arial"/>
          <w:sz w:val="20"/>
        </w:rPr>
        <w:t xml:space="preserve"> of sugarcane biochar improves fertilizer efficiency in acidic soils by neutralizing soil acidity, enhancing phosphorus availability, and creating </w:t>
      </w:r>
      <w:proofErr w:type="spellStart"/>
      <w:r w:rsidRPr="00151FE7">
        <w:rPr>
          <w:rFonts w:ascii="Arial" w:hAnsi="Arial" w:cs="Arial"/>
          <w:sz w:val="20"/>
        </w:rPr>
        <w:t>favorable</w:t>
      </w:r>
      <w:proofErr w:type="spellEnd"/>
      <w:r w:rsidRPr="00151FE7">
        <w:rPr>
          <w:rFonts w:ascii="Arial" w:hAnsi="Arial" w:cs="Arial"/>
          <w:sz w:val="20"/>
        </w:rPr>
        <w:t xml:space="preserve"> conditions for </w:t>
      </w:r>
      <w:r w:rsidRPr="00151FE7">
        <w:rPr>
          <w:rStyle w:val="Strong"/>
          <w:rFonts w:ascii="Arial" w:hAnsi="Arial" w:cs="Arial"/>
          <w:b w:val="0"/>
          <w:bCs w:val="0"/>
          <w:sz w:val="20"/>
        </w:rPr>
        <w:t>root nutrient uptake</w:t>
      </w:r>
      <w:r w:rsidRPr="00151FE7">
        <w:rPr>
          <w:rFonts w:ascii="Arial" w:hAnsi="Arial" w:cs="Arial"/>
          <w:sz w:val="20"/>
        </w:rPr>
        <w:t xml:space="preserve">. The co-application of biochar with organic inputs also enhances </w:t>
      </w:r>
      <w:r w:rsidRPr="00151FE7">
        <w:rPr>
          <w:rStyle w:val="Strong"/>
          <w:rFonts w:ascii="Arial" w:hAnsi="Arial" w:cs="Arial"/>
          <w:b w:val="0"/>
          <w:bCs w:val="0"/>
          <w:sz w:val="20"/>
        </w:rPr>
        <w:t>soil microbial biomass and enzymatic activity</w:t>
      </w:r>
      <w:r w:rsidRPr="00151FE7">
        <w:rPr>
          <w:rFonts w:ascii="Arial" w:hAnsi="Arial" w:cs="Arial"/>
          <w:sz w:val="20"/>
        </w:rPr>
        <w:t xml:space="preserve">, further improving nutrient mineralization and </w:t>
      </w:r>
      <w:r w:rsidRPr="00DB23EF">
        <w:rPr>
          <w:rFonts w:ascii="Arial" w:hAnsi="Arial" w:cs="Arial"/>
          <w:sz w:val="20"/>
          <w:highlight w:val="yellow"/>
        </w:rPr>
        <w:t>uptake (Kumar</w:t>
      </w:r>
      <w:r>
        <w:rPr>
          <w:rFonts w:ascii="Arial" w:hAnsi="Arial" w:cs="Arial"/>
          <w:sz w:val="20"/>
          <w:highlight w:val="yellow"/>
        </w:rPr>
        <w:t>i</w:t>
      </w:r>
      <w:r w:rsidRPr="00DB23EF">
        <w:rPr>
          <w:rFonts w:ascii="Arial" w:hAnsi="Arial" w:cs="Arial"/>
          <w:sz w:val="20"/>
          <w:highlight w:val="yellow"/>
        </w:rPr>
        <w:t xml:space="preserve"> et al.</w:t>
      </w:r>
      <w:r>
        <w:rPr>
          <w:rFonts w:ascii="Arial" w:hAnsi="Arial" w:cs="Arial"/>
          <w:sz w:val="20"/>
          <w:highlight w:val="yellow"/>
        </w:rPr>
        <w:t>,</w:t>
      </w:r>
      <w:r w:rsidRPr="00DB23EF">
        <w:rPr>
          <w:rFonts w:ascii="Arial" w:hAnsi="Arial" w:cs="Arial"/>
          <w:sz w:val="20"/>
          <w:highlight w:val="yellow"/>
        </w:rPr>
        <w:t xml:space="preserve"> 2023).</w:t>
      </w:r>
    </w:p>
    <w:p w14:paraId="016E1748" w14:textId="77777777" w:rsidR="00DB23EF" w:rsidRPr="00151FE7" w:rsidRDefault="00DB23EF" w:rsidP="00DB23EF">
      <w:pPr>
        <w:pStyle w:val="NoSpacing"/>
      </w:pPr>
    </w:p>
    <w:p w14:paraId="777FE31E" w14:textId="77777777" w:rsidR="00DB23EF" w:rsidRPr="00151FE7" w:rsidRDefault="00DB23EF" w:rsidP="00DB23EF">
      <w:pPr>
        <w:pStyle w:val="NoSpacing"/>
        <w:ind w:left="0"/>
        <w:rPr>
          <w:rFonts w:ascii="Arial" w:hAnsi="Arial" w:cs="Arial"/>
        </w:rPr>
      </w:pPr>
      <w:r>
        <w:rPr>
          <w:rStyle w:val="Strong"/>
          <w:rFonts w:ascii="Arial" w:hAnsi="Arial" w:cs="Arial"/>
          <w:bCs w:val="0"/>
        </w:rPr>
        <w:t xml:space="preserve">7.4 </w:t>
      </w:r>
      <w:r w:rsidRPr="00151FE7">
        <w:rPr>
          <w:rStyle w:val="Strong"/>
          <w:rFonts w:ascii="Arial" w:hAnsi="Arial" w:cs="Arial"/>
          <w:bCs w:val="0"/>
        </w:rPr>
        <w:t>Synergistic Effects on Mung Bean Productivity</w:t>
      </w:r>
    </w:p>
    <w:p w14:paraId="0038FE6C" w14:textId="77777777" w:rsidR="00DB23EF" w:rsidRPr="00151FE7" w:rsidRDefault="00DB23EF" w:rsidP="00DB23EF">
      <w:pPr>
        <w:pStyle w:val="NoSpacing"/>
        <w:ind w:left="0"/>
        <w:rPr>
          <w:rFonts w:ascii="Arial" w:hAnsi="Arial" w:cs="Arial"/>
          <w:sz w:val="20"/>
        </w:rPr>
      </w:pPr>
      <w:r w:rsidRPr="00151FE7">
        <w:rPr>
          <w:rFonts w:ascii="Arial" w:hAnsi="Arial" w:cs="Arial"/>
          <w:sz w:val="20"/>
        </w:rPr>
        <w:t xml:space="preserve">The improvements in </w:t>
      </w:r>
      <w:r w:rsidRPr="00151FE7">
        <w:rPr>
          <w:rStyle w:val="Strong"/>
          <w:rFonts w:ascii="Arial" w:hAnsi="Arial" w:cs="Arial"/>
          <w:b w:val="0"/>
          <w:bCs w:val="0"/>
          <w:sz w:val="20"/>
        </w:rPr>
        <w:t>soil fertility</w:t>
      </w:r>
      <w:r w:rsidRPr="00151FE7">
        <w:rPr>
          <w:rFonts w:ascii="Arial" w:hAnsi="Arial" w:cs="Arial"/>
          <w:sz w:val="20"/>
        </w:rPr>
        <w:t xml:space="preserve"> directly translate into enhanced mung bean performance. Several studies, including that of </w:t>
      </w:r>
      <w:proofErr w:type="spellStart"/>
      <w:r w:rsidRPr="00151FE7">
        <w:rPr>
          <w:rFonts w:ascii="Arial" w:hAnsi="Arial" w:cs="Arial"/>
          <w:sz w:val="20"/>
        </w:rPr>
        <w:t>Rab</w:t>
      </w:r>
      <w:proofErr w:type="spellEnd"/>
      <w:r w:rsidRPr="00151FE7">
        <w:rPr>
          <w:rFonts w:ascii="Arial" w:hAnsi="Arial" w:cs="Arial"/>
          <w:sz w:val="20"/>
        </w:rPr>
        <w:t xml:space="preserve"> et al. (2016), have shown that biochar application increases </w:t>
      </w:r>
      <w:r w:rsidRPr="00151FE7">
        <w:rPr>
          <w:rStyle w:val="Strong"/>
          <w:rFonts w:ascii="Arial" w:hAnsi="Arial" w:cs="Arial"/>
          <w:b w:val="0"/>
          <w:bCs w:val="0"/>
          <w:sz w:val="20"/>
        </w:rPr>
        <w:t>nodulation, pod number, grain weight</w:t>
      </w:r>
      <w:r w:rsidRPr="00151FE7">
        <w:rPr>
          <w:rFonts w:ascii="Arial" w:hAnsi="Arial" w:cs="Arial"/>
          <w:sz w:val="20"/>
        </w:rPr>
        <w:t xml:space="preserve">, and </w:t>
      </w:r>
      <w:r w:rsidRPr="00151FE7">
        <w:rPr>
          <w:rStyle w:val="Strong"/>
          <w:rFonts w:ascii="Arial" w:hAnsi="Arial" w:cs="Arial"/>
          <w:b w:val="0"/>
          <w:bCs w:val="0"/>
          <w:sz w:val="20"/>
        </w:rPr>
        <w:t>total seed yield</w:t>
      </w:r>
      <w:r w:rsidRPr="00151FE7">
        <w:rPr>
          <w:rFonts w:ascii="Arial" w:hAnsi="Arial" w:cs="Arial"/>
          <w:sz w:val="20"/>
        </w:rPr>
        <w:t xml:space="preserve">. By retaining nutrients in the root zone and fostering a </w:t>
      </w:r>
      <w:proofErr w:type="spellStart"/>
      <w:r w:rsidRPr="00151FE7">
        <w:rPr>
          <w:rFonts w:ascii="Arial" w:hAnsi="Arial" w:cs="Arial"/>
          <w:sz w:val="20"/>
        </w:rPr>
        <w:t>favorable</w:t>
      </w:r>
      <w:proofErr w:type="spellEnd"/>
      <w:r w:rsidRPr="00151FE7">
        <w:rPr>
          <w:rFonts w:ascii="Arial" w:hAnsi="Arial" w:cs="Arial"/>
          <w:sz w:val="20"/>
        </w:rPr>
        <w:t xml:space="preserve"> rhizosphere environment, biochar allows mung bean plants to access nutrients more efficiently, especially under low-input conditions</w:t>
      </w:r>
      <w:r>
        <w:rPr>
          <w:rFonts w:ascii="Arial" w:hAnsi="Arial" w:cs="Arial"/>
          <w:sz w:val="20"/>
        </w:rPr>
        <w:t xml:space="preserve"> (Table 5)</w:t>
      </w:r>
      <w:r w:rsidRPr="00151FE7">
        <w:rPr>
          <w:rFonts w:ascii="Arial" w:hAnsi="Arial" w:cs="Arial"/>
          <w:sz w:val="20"/>
        </w:rPr>
        <w:t xml:space="preserve">. Furthermore, the presence of micronutrients and enhanced microbial activity contribute to </w:t>
      </w:r>
      <w:r w:rsidRPr="00151FE7">
        <w:rPr>
          <w:rStyle w:val="Strong"/>
          <w:rFonts w:ascii="Arial" w:hAnsi="Arial" w:cs="Arial"/>
          <w:b w:val="0"/>
          <w:bCs w:val="0"/>
          <w:sz w:val="20"/>
        </w:rPr>
        <w:t>biological nitrogen fixation</w:t>
      </w:r>
      <w:r w:rsidRPr="00151FE7">
        <w:rPr>
          <w:rFonts w:ascii="Arial" w:hAnsi="Arial" w:cs="Arial"/>
          <w:sz w:val="20"/>
        </w:rPr>
        <w:t xml:space="preserve">, reducing dependency on synthetic N fertilizers. As a result, biochar contributes to </w:t>
      </w:r>
      <w:r w:rsidRPr="00151FE7">
        <w:rPr>
          <w:rStyle w:val="Strong"/>
          <w:rFonts w:ascii="Arial" w:hAnsi="Arial" w:cs="Arial"/>
          <w:b w:val="0"/>
          <w:bCs w:val="0"/>
          <w:sz w:val="20"/>
        </w:rPr>
        <w:t>sustainable intensification</w:t>
      </w:r>
      <w:r w:rsidRPr="00151FE7">
        <w:rPr>
          <w:rFonts w:ascii="Arial" w:hAnsi="Arial" w:cs="Arial"/>
          <w:sz w:val="20"/>
        </w:rPr>
        <w:t>, enhancing mung bean yields while preserving soil health for future cropping cycles.</w:t>
      </w:r>
    </w:p>
    <w:p w14:paraId="2585324E" w14:textId="77777777" w:rsidR="00DB23EF" w:rsidRDefault="00DB23EF" w:rsidP="00DB23EF">
      <w:pPr>
        <w:pStyle w:val="NoSpacing"/>
        <w:ind w:left="0"/>
        <w:rPr>
          <w:rStyle w:val="Strong"/>
          <w:rFonts w:ascii="Arial" w:hAnsi="Arial" w:cs="Arial"/>
        </w:rPr>
      </w:pPr>
    </w:p>
    <w:p w14:paraId="01E78F3E" w14:textId="77777777" w:rsidR="00DB23EF" w:rsidRDefault="00DB23EF" w:rsidP="00DB23EF">
      <w:pPr>
        <w:pStyle w:val="NoSpacing"/>
        <w:ind w:left="0"/>
        <w:rPr>
          <w:rStyle w:val="Strong"/>
          <w:rFonts w:ascii="Arial" w:hAnsi="Arial" w:cs="Arial"/>
          <w:szCs w:val="24"/>
        </w:rPr>
      </w:pPr>
      <w:r>
        <w:rPr>
          <w:rStyle w:val="Strong"/>
          <w:rFonts w:ascii="Arial" w:hAnsi="Arial" w:cs="Arial"/>
        </w:rPr>
        <w:t xml:space="preserve">7.5 </w:t>
      </w:r>
      <w:r w:rsidRPr="008868F3">
        <w:rPr>
          <w:rStyle w:val="Strong"/>
          <w:rFonts w:ascii="Arial" w:hAnsi="Arial" w:cs="Arial"/>
          <w:szCs w:val="24"/>
        </w:rPr>
        <w:t xml:space="preserve">Multifunctionality of Biochar in </w:t>
      </w:r>
      <w:proofErr w:type="spellStart"/>
      <w:r w:rsidRPr="008868F3">
        <w:rPr>
          <w:rStyle w:val="Strong"/>
          <w:rFonts w:ascii="Arial" w:hAnsi="Arial" w:cs="Arial"/>
          <w:szCs w:val="24"/>
        </w:rPr>
        <w:t>Agro</w:t>
      </w:r>
      <w:proofErr w:type="spellEnd"/>
      <w:r w:rsidRPr="008868F3">
        <w:rPr>
          <w:rStyle w:val="Strong"/>
          <w:rFonts w:ascii="Arial" w:hAnsi="Arial" w:cs="Arial"/>
          <w:szCs w:val="24"/>
        </w:rPr>
        <w:t>-Environmental Systems</w:t>
      </w:r>
    </w:p>
    <w:p w14:paraId="2B6EE22A" w14:textId="55D0EF39" w:rsidR="00DB23EF" w:rsidRDefault="00DB23EF" w:rsidP="00DB23EF">
      <w:pPr>
        <w:pStyle w:val="NoSpacing"/>
        <w:ind w:left="0"/>
        <w:rPr>
          <w:rFonts w:ascii="Arial" w:hAnsi="Arial" w:cs="Arial"/>
          <w:sz w:val="20"/>
          <w:szCs w:val="24"/>
        </w:rPr>
      </w:pPr>
      <w:r w:rsidRPr="008868F3">
        <w:rPr>
          <w:rFonts w:ascii="Arial" w:hAnsi="Arial" w:cs="Arial"/>
          <w:sz w:val="20"/>
          <w:szCs w:val="24"/>
        </w:rPr>
        <w:t xml:space="preserve">As shown in </w:t>
      </w:r>
      <w:r w:rsidRPr="008868F3">
        <w:rPr>
          <w:rStyle w:val="Strong"/>
          <w:rFonts w:ascii="Arial" w:hAnsi="Arial" w:cs="Arial"/>
          <w:b w:val="0"/>
          <w:bCs w:val="0"/>
          <w:sz w:val="20"/>
          <w:szCs w:val="24"/>
        </w:rPr>
        <w:t>Fig. 2</w:t>
      </w:r>
      <w:r w:rsidRPr="008868F3">
        <w:rPr>
          <w:rFonts w:ascii="Arial" w:hAnsi="Arial" w:cs="Arial"/>
          <w:sz w:val="20"/>
          <w:szCs w:val="24"/>
        </w:rPr>
        <w:t xml:space="preserve">, biochar plays an integrative role across several sectors of sustainable development. Derived from a variety of feedstocks such as </w:t>
      </w:r>
      <w:r w:rsidRPr="008868F3">
        <w:rPr>
          <w:rStyle w:val="Strong"/>
          <w:rFonts w:ascii="Arial" w:hAnsi="Arial" w:cs="Arial"/>
          <w:b w:val="0"/>
          <w:bCs w:val="0"/>
          <w:sz w:val="20"/>
          <w:szCs w:val="24"/>
        </w:rPr>
        <w:t>wood, agricultural residues, municipal waste, and kitchen waste</w:t>
      </w:r>
      <w:r>
        <w:rPr>
          <w:rStyle w:val="Strong"/>
          <w:rFonts w:ascii="Arial" w:hAnsi="Arial" w:cs="Arial"/>
          <w:b w:val="0"/>
          <w:bCs w:val="0"/>
          <w:sz w:val="20"/>
          <w:szCs w:val="24"/>
        </w:rPr>
        <w:t xml:space="preserve"> (green waste)</w:t>
      </w:r>
      <w:r w:rsidRPr="008868F3">
        <w:rPr>
          <w:rFonts w:ascii="Arial" w:hAnsi="Arial" w:cs="Arial"/>
          <w:sz w:val="20"/>
          <w:szCs w:val="24"/>
        </w:rPr>
        <w:t xml:space="preserve">, biochar production contributes to </w:t>
      </w:r>
      <w:r w:rsidRPr="008868F3">
        <w:rPr>
          <w:rStyle w:val="Strong"/>
          <w:rFonts w:ascii="Arial" w:hAnsi="Arial" w:cs="Arial"/>
          <w:b w:val="0"/>
          <w:bCs w:val="0"/>
          <w:sz w:val="20"/>
          <w:szCs w:val="24"/>
        </w:rPr>
        <w:t xml:space="preserve">waste </w:t>
      </w:r>
      <w:proofErr w:type="spellStart"/>
      <w:r w:rsidRPr="008868F3">
        <w:rPr>
          <w:rStyle w:val="Strong"/>
          <w:rFonts w:ascii="Arial" w:hAnsi="Arial" w:cs="Arial"/>
          <w:b w:val="0"/>
          <w:bCs w:val="0"/>
          <w:sz w:val="20"/>
          <w:szCs w:val="24"/>
        </w:rPr>
        <w:t>valorization</w:t>
      </w:r>
      <w:proofErr w:type="spellEnd"/>
      <w:r w:rsidRPr="008868F3">
        <w:rPr>
          <w:rFonts w:ascii="Arial" w:hAnsi="Arial" w:cs="Arial"/>
          <w:sz w:val="20"/>
          <w:szCs w:val="24"/>
        </w:rPr>
        <w:t xml:space="preserve"> and generates </w:t>
      </w:r>
      <w:r w:rsidRPr="008868F3">
        <w:rPr>
          <w:rStyle w:val="Strong"/>
          <w:rFonts w:ascii="Arial" w:hAnsi="Arial" w:cs="Arial"/>
          <w:b w:val="0"/>
          <w:bCs w:val="0"/>
          <w:sz w:val="20"/>
          <w:szCs w:val="24"/>
        </w:rPr>
        <w:t>co-products</w:t>
      </w:r>
      <w:r w:rsidRPr="008868F3">
        <w:rPr>
          <w:rFonts w:ascii="Arial" w:hAnsi="Arial" w:cs="Arial"/>
          <w:sz w:val="20"/>
          <w:szCs w:val="24"/>
        </w:rPr>
        <w:t xml:space="preserve"> like bio-oil and syngas both of which are renewable energy carriers. In agricultural systems, biochar improves </w:t>
      </w:r>
      <w:r w:rsidRPr="008868F3">
        <w:rPr>
          <w:rStyle w:val="Strong"/>
          <w:rFonts w:ascii="Arial" w:hAnsi="Arial" w:cs="Arial"/>
          <w:b w:val="0"/>
          <w:bCs w:val="0"/>
          <w:sz w:val="20"/>
          <w:szCs w:val="24"/>
        </w:rPr>
        <w:t>soil structure</w:t>
      </w:r>
      <w:r w:rsidRPr="008868F3">
        <w:rPr>
          <w:rFonts w:ascii="Arial" w:hAnsi="Arial" w:cs="Arial"/>
          <w:sz w:val="20"/>
          <w:szCs w:val="24"/>
        </w:rPr>
        <w:t xml:space="preserve">, enhances </w:t>
      </w:r>
      <w:r w:rsidRPr="008868F3">
        <w:rPr>
          <w:rStyle w:val="Strong"/>
          <w:rFonts w:ascii="Arial" w:hAnsi="Arial" w:cs="Arial"/>
          <w:b w:val="0"/>
          <w:bCs w:val="0"/>
          <w:sz w:val="20"/>
          <w:szCs w:val="24"/>
        </w:rPr>
        <w:t>nutrient and water retention</w:t>
      </w:r>
      <w:r w:rsidRPr="008868F3">
        <w:rPr>
          <w:rFonts w:ascii="Arial" w:hAnsi="Arial" w:cs="Arial"/>
          <w:sz w:val="20"/>
          <w:szCs w:val="24"/>
        </w:rPr>
        <w:t xml:space="preserve">, promotes </w:t>
      </w:r>
      <w:r w:rsidRPr="008868F3">
        <w:rPr>
          <w:rStyle w:val="Strong"/>
          <w:rFonts w:ascii="Arial" w:hAnsi="Arial" w:cs="Arial"/>
          <w:b w:val="0"/>
          <w:bCs w:val="0"/>
          <w:sz w:val="20"/>
          <w:szCs w:val="24"/>
        </w:rPr>
        <w:t>microbial activity</w:t>
      </w:r>
      <w:r w:rsidRPr="008868F3">
        <w:rPr>
          <w:rFonts w:ascii="Arial" w:hAnsi="Arial" w:cs="Arial"/>
          <w:sz w:val="20"/>
          <w:szCs w:val="24"/>
        </w:rPr>
        <w:t xml:space="preserve">, and supports </w:t>
      </w:r>
      <w:r w:rsidRPr="008868F3">
        <w:rPr>
          <w:rStyle w:val="Strong"/>
          <w:rFonts w:ascii="Arial" w:hAnsi="Arial" w:cs="Arial"/>
          <w:b w:val="0"/>
          <w:bCs w:val="0"/>
          <w:sz w:val="20"/>
          <w:szCs w:val="24"/>
        </w:rPr>
        <w:t>plant growth</w:t>
      </w:r>
      <w:r w:rsidRPr="008868F3">
        <w:rPr>
          <w:rFonts w:ascii="Arial" w:hAnsi="Arial" w:cs="Arial"/>
          <w:sz w:val="20"/>
          <w:szCs w:val="24"/>
        </w:rPr>
        <w:t>, which ultimately leads to better yields</w:t>
      </w:r>
      <w:r>
        <w:rPr>
          <w:rFonts w:ascii="Arial" w:hAnsi="Arial" w:cs="Arial"/>
          <w:sz w:val="20"/>
          <w:szCs w:val="24"/>
        </w:rPr>
        <w:t xml:space="preserve"> </w:t>
      </w:r>
      <w:r>
        <w:rPr>
          <w:rFonts w:ascii="Arial" w:hAnsi="Arial" w:cs="Arial"/>
          <w:sz w:val="20"/>
        </w:rPr>
        <w:t>(Table 5)</w:t>
      </w:r>
      <w:r w:rsidRPr="008868F3">
        <w:rPr>
          <w:rFonts w:ascii="Arial" w:hAnsi="Arial" w:cs="Arial"/>
          <w:sz w:val="20"/>
          <w:szCs w:val="24"/>
        </w:rPr>
        <w:t xml:space="preserve">. The </w:t>
      </w:r>
      <w:r w:rsidRPr="008868F3">
        <w:rPr>
          <w:rStyle w:val="Strong"/>
          <w:rFonts w:ascii="Arial" w:hAnsi="Arial" w:cs="Arial"/>
          <w:b w:val="0"/>
          <w:bCs w:val="0"/>
          <w:sz w:val="20"/>
          <w:szCs w:val="24"/>
        </w:rPr>
        <w:t>alkaline nature</w:t>
      </w:r>
      <w:r w:rsidRPr="008868F3">
        <w:rPr>
          <w:rFonts w:ascii="Arial" w:hAnsi="Arial" w:cs="Arial"/>
          <w:sz w:val="20"/>
          <w:szCs w:val="24"/>
        </w:rPr>
        <w:t xml:space="preserve">, </w:t>
      </w:r>
      <w:r w:rsidRPr="008868F3">
        <w:rPr>
          <w:rStyle w:val="Strong"/>
          <w:rFonts w:ascii="Arial" w:hAnsi="Arial" w:cs="Arial"/>
          <w:b w:val="0"/>
          <w:bCs w:val="0"/>
          <w:sz w:val="20"/>
          <w:szCs w:val="24"/>
        </w:rPr>
        <w:t>porosity</w:t>
      </w:r>
      <w:r w:rsidRPr="008868F3">
        <w:rPr>
          <w:rFonts w:ascii="Arial" w:hAnsi="Arial" w:cs="Arial"/>
          <w:sz w:val="20"/>
          <w:szCs w:val="24"/>
        </w:rPr>
        <w:t xml:space="preserve">, and </w:t>
      </w:r>
      <w:r w:rsidRPr="008868F3">
        <w:rPr>
          <w:rStyle w:val="Strong"/>
          <w:rFonts w:ascii="Arial" w:hAnsi="Arial" w:cs="Arial"/>
          <w:b w:val="0"/>
          <w:bCs w:val="0"/>
          <w:sz w:val="20"/>
          <w:szCs w:val="24"/>
        </w:rPr>
        <w:t>functional groups</w:t>
      </w:r>
      <w:r w:rsidRPr="008868F3">
        <w:rPr>
          <w:rFonts w:ascii="Arial" w:hAnsi="Arial" w:cs="Arial"/>
          <w:sz w:val="20"/>
          <w:szCs w:val="24"/>
        </w:rPr>
        <w:t xml:space="preserve"> on biochar surfaces aid in </w:t>
      </w:r>
      <w:r w:rsidRPr="008868F3">
        <w:rPr>
          <w:rStyle w:val="Strong"/>
          <w:rFonts w:ascii="Arial" w:hAnsi="Arial" w:cs="Arial"/>
          <w:b w:val="0"/>
          <w:bCs w:val="0"/>
          <w:sz w:val="20"/>
          <w:szCs w:val="24"/>
        </w:rPr>
        <w:t>heavy metal immobilization</w:t>
      </w:r>
      <w:r w:rsidRPr="008868F3">
        <w:rPr>
          <w:rFonts w:ascii="Arial" w:hAnsi="Arial" w:cs="Arial"/>
          <w:sz w:val="20"/>
          <w:szCs w:val="24"/>
        </w:rPr>
        <w:t xml:space="preserve"> through processes such as </w:t>
      </w:r>
      <w:r w:rsidRPr="008868F3">
        <w:rPr>
          <w:rStyle w:val="Strong"/>
          <w:rFonts w:ascii="Arial" w:hAnsi="Arial" w:cs="Arial"/>
          <w:b w:val="0"/>
          <w:bCs w:val="0"/>
          <w:sz w:val="20"/>
          <w:szCs w:val="24"/>
        </w:rPr>
        <w:t>surface complexation</w:t>
      </w:r>
      <w:r w:rsidRPr="008868F3">
        <w:rPr>
          <w:rFonts w:ascii="Arial" w:hAnsi="Arial" w:cs="Arial"/>
          <w:sz w:val="20"/>
          <w:szCs w:val="24"/>
        </w:rPr>
        <w:t xml:space="preserve">, </w:t>
      </w:r>
      <w:r w:rsidRPr="008868F3">
        <w:rPr>
          <w:rStyle w:val="Strong"/>
          <w:rFonts w:ascii="Arial" w:hAnsi="Arial" w:cs="Arial"/>
          <w:b w:val="0"/>
          <w:bCs w:val="0"/>
          <w:sz w:val="20"/>
          <w:szCs w:val="24"/>
        </w:rPr>
        <w:t>electrostatic interaction</w:t>
      </w:r>
      <w:r w:rsidRPr="008868F3">
        <w:rPr>
          <w:rFonts w:ascii="Arial" w:hAnsi="Arial" w:cs="Arial"/>
          <w:sz w:val="20"/>
          <w:szCs w:val="24"/>
        </w:rPr>
        <w:t xml:space="preserve">, </w:t>
      </w:r>
      <w:r w:rsidRPr="008868F3">
        <w:rPr>
          <w:rStyle w:val="Strong"/>
          <w:rFonts w:ascii="Arial" w:hAnsi="Arial" w:cs="Arial"/>
          <w:b w:val="0"/>
          <w:bCs w:val="0"/>
          <w:sz w:val="20"/>
          <w:szCs w:val="24"/>
        </w:rPr>
        <w:t>ionic exchange</w:t>
      </w:r>
      <w:r w:rsidRPr="008868F3">
        <w:rPr>
          <w:rFonts w:ascii="Arial" w:hAnsi="Arial" w:cs="Arial"/>
          <w:sz w:val="20"/>
          <w:szCs w:val="24"/>
        </w:rPr>
        <w:t xml:space="preserve">, and </w:t>
      </w:r>
      <w:r w:rsidRPr="008868F3">
        <w:rPr>
          <w:rStyle w:val="Strong"/>
          <w:rFonts w:ascii="Arial" w:hAnsi="Arial" w:cs="Arial"/>
          <w:b w:val="0"/>
          <w:bCs w:val="0"/>
          <w:sz w:val="20"/>
          <w:szCs w:val="24"/>
        </w:rPr>
        <w:t>physical adsorption</w:t>
      </w:r>
      <w:r w:rsidRPr="008868F3">
        <w:rPr>
          <w:rFonts w:ascii="Arial" w:hAnsi="Arial" w:cs="Arial"/>
          <w:sz w:val="20"/>
          <w:szCs w:val="24"/>
        </w:rPr>
        <w:t xml:space="preserve">. Additionally, biochar contributes significantly to </w:t>
      </w:r>
      <w:r w:rsidRPr="008868F3">
        <w:rPr>
          <w:rStyle w:val="Strong"/>
          <w:rFonts w:ascii="Arial" w:hAnsi="Arial" w:cs="Arial"/>
          <w:b w:val="0"/>
          <w:bCs w:val="0"/>
          <w:sz w:val="20"/>
          <w:szCs w:val="24"/>
        </w:rPr>
        <w:t>greenhouse gas mitigation</w:t>
      </w:r>
      <w:r w:rsidRPr="008868F3">
        <w:rPr>
          <w:rFonts w:ascii="Arial" w:hAnsi="Arial" w:cs="Arial"/>
          <w:sz w:val="20"/>
          <w:szCs w:val="24"/>
        </w:rPr>
        <w:t xml:space="preserve"> through </w:t>
      </w:r>
      <w:r w:rsidRPr="008868F3">
        <w:rPr>
          <w:rStyle w:val="Strong"/>
          <w:rFonts w:ascii="Arial" w:hAnsi="Arial" w:cs="Arial"/>
          <w:b w:val="0"/>
          <w:bCs w:val="0"/>
          <w:sz w:val="20"/>
          <w:szCs w:val="24"/>
        </w:rPr>
        <w:t>carbon sequestration</w:t>
      </w:r>
      <w:r w:rsidRPr="008868F3">
        <w:rPr>
          <w:rFonts w:ascii="Arial" w:hAnsi="Arial" w:cs="Arial"/>
          <w:sz w:val="20"/>
          <w:szCs w:val="24"/>
        </w:rPr>
        <w:t>, as plant biomass absorbs CO</w:t>
      </w:r>
      <w:r w:rsidRPr="008868F3">
        <w:rPr>
          <w:rFonts w:ascii="Cambria Math" w:hAnsi="Cambria Math" w:cs="Cambria Math"/>
          <w:sz w:val="20"/>
          <w:szCs w:val="24"/>
        </w:rPr>
        <w:t>₂</w:t>
      </w:r>
      <w:r w:rsidRPr="008868F3">
        <w:rPr>
          <w:rFonts w:ascii="Arial" w:hAnsi="Arial" w:cs="Arial"/>
          <w:sz w:val="20"/>
          <w:szCs w:val="24"/>
        </w:rPr>
        <w:t xml:space="preserve"> and stores it in a stable form within the soil. This makes biochar a strategic amendment not only for sustainable agriculture but also for </w:t>
      </w:r>
      <w:r w:rsidRPr="008868F3">
        <w:rPr>
          <w:rStyle w:val="Strong"/>
          <w:rFonts w:ascii="Arial" w:hAnsi="Arial" w:cs="Arial"/>
          <w:b w:val="0"/>
          <w:bCs w:val="0"/>
          <w:sz w:val="20"/>
          <w:szCs w:val="24"/>
        </w:rPr>
        <w:t>climate-smart soil management</w:t>
      </w:r>
      <w:r w:rsidRPr="008868F3">
        <w:rPr>
          <w:rFonts w:ascii="Arial" w:hAnsi="Arial" w:cs="Arial"/>
          <w:sz w:val="20"/>
          <w:szCs w:val="24"/>
        </w:rPr>
        <w:t>.</w:t>
      </w:r>
    </w:p>
    <w:p w14:paraId="4B762E8E" w14:textId="77777777" w:rsidR="00DB23EF" w:rsidRPr="000A3D2B" w:rsidRDefault="00DB23EF" w:rsidP="00DB23EF">
      <w:pPr>
        <w:pStyle w:val="NoSpacing"/>
        <w:ind w:left="0"/>
        <w:rPr>
          <w:rFonts w:ascii="Arial" w:hAnsi="Arial" w:cs="Arial"/>
          <w:sz w:val="20"/>
          <w:szCs w:val="24"/>
        </w:rPr>
      </w:pPr>
    </w:p>
    <w:bookmarkEnd w:id="25"/>
    <w:p w14:paraId="57E73848" w14:textId="77777777" w:rsidR="00DB23EF" w:rsidRPr="00725B97" w:rsidRDefault="00DB23EF" w:rsidP="00DB23EF">
      <w:pPr>
        <w:pStyle w:val="NoSpacing"/>
        <w:rPr>
          <w:rStyle w:val="Strong"/>
          <w:b w:val="0"/>
          <w:bCs w:val="0"/>
        </w:rPr>
      </w:pPr>
      <w:r>
        <w:rPr>
          <w:noProof/>
        </w:rPr>
        <w:drawing>
          <wp:inline distT="0" distB="0" distL="0" distR="0" wp14:anchorId="6A7B46FE" wp14:editId="165F6B4C">
            <wp:extent cx="5386883" cy="3029450"/>
            <wp:effectExtent l="19050" t="19050" r="23495" b="19050"/>
            <wp:docPr id="83174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4353" cy="3033651"/>
                    </a:xfrm>
                    <a:prstGeom prst="rect">
                      <a:avLst/>
                    </a:prstGeom>
                    <a:noFill/>
                    <a:ln>
                      <a:solidFill>
                        <a:schemeClr val="tx1"/>
                      </a:solidFill>
                    </a:ln>
                  </pic:spPr>
                </pic:pic>
              </a:graphicData>
            </a:graphic>
          </wp:inline>
        </w:drawing>
      </w:r>
    </w:p>
    <w:p w14:paraId="5C66F686" w14:textId="77777777" w:rsidR="00DB23EF" w:rsidRPr="0079332A" w:rsidRDefault="00DB23EF" w:rsidP="00DB23EF">
      <w:pPr>
        <w:pStyle w:val="NoSpacing"/>
        <w:jc w:val="center"/>
      </w:pPr>
      <w:bookmarkStart w:id="26" w:name="_Hlk195818181"/>
      <w:r w:rsidRPr="00DB23EF">
        <w:rPr>
          <w:rStyle w:val="Strong"/>
          <w:rFonts w:ascii="Arial" w:hAnsi="Arial" w:cs="Arial"/>
          <w:sz w:val="20"/>
          <w:highlight w:val="yellow"/>
        </w:rPr>
        <w:t>Fig. 2.</w:t>
      </w:r>
      <w:r w:rsidRPr="00DB23EF">
        <w:rPr>
          <w:highlight w:val="yellow"/>
        </w:rPr>
        <w:t xml:space="preserve"> </w:t>
      </w:r>
      <w:r w:rsidRPr="00DB23EF">
        <w:rPr>
          <w:rStyle w:val="Emphasis"/>
          <w:rFonts w:ascii="Arial" w:hAnsi="Arial" w:cs="Arial"/>
          <w:b/>
          <w:i w:val="0"/>
          <w:sz w:val="20"/>
          <w:highlight w:val="yellow"/>
        </w:rPr>
        <w:t>Multifunctional roles of biochar derived from various waste sources</w:t>
      </w:r>
    </w:p>
    <w:bookmarkEnd w:id="26"/>
    <w:p w14:paraId="750C60BF" w14:textId="77777777" w:rsidR="00DB23EF" w:rsidRDefault="00DB23EF" w:rsidP="00DB23EF">
      <w:pPr>
        <w:spacing w:before="100" w:beforeAutospacing="1" w:after="100" w:afterAutospacing="1"/>
        <w:ind w:left="0"/>
        <w:rPr>
          <w:rFonts w:ascii="Times New Roman" w:eastAsia="Times New Roman" w:hAnsi="Times New Roman" w:cs="Times New Roman"/>
          <w:sz w:val="24"/>
          <w:szCs w:val="24"/>
          <w:lang w:eastAsia="en-IN"/>
        </w:rPr>
        <w:sectPr w:rsidR="00DB23EF" w:rsidSect="00D610CE">
          <w:pgSz w:w="11906" w:h="16838"/>
          <w:pgMar w:top="1440" w:right="1440" w:bottom="1440" w:left="1440" w:header="708" w:footer="708" w:gutter="0"/>
          <w:cols w:space="708"/>
          <w:docGrid w:linePitch="360"/>
        </w:sectPr>
      </w:pPr>
    </w:p>
    <w:p w14:paraId="76E87911" w14:textId="77777777" w:rsidR="00DB23EF" w:rsidRDefault="00DB23EF" w:rsidP="00DB23EF">
      <w:pPr>
        <w:pStyle w:val="NoSpacing"/>
        <w:jc w:val="center"/>
        <w:rPr>
          <w:rStyle w:val="Strong"/>
          <w:rFonts w:ascii="Arial" w:hAnsi="Arial" w:cs="Arial"/>
          <w:bCs w:val="0"/>
          <w:sz w:val="20"/>
          <w:szCs w:val="20"/>
        </w:rPr>
      </w:pPr>
      <w:r w:rsidRPr="008868F3">
        <w:rPr>
          <w:rStyle w:val="Strong"/>
          <w:rFonts w:ascii="Arial" w:hAnsi="Arial" w:cs="Arial"/>
          <w:bCs w:val="0"/>
          <w:sz w:val="20"/>
          <w:szCs w:val="20"/>
        </w:rPr>
        <w:lastRenderedPageBreak/>
        <w:t xml:space="preserve">Table </w:t>
      </w:r>
      <w:r>
        <w:rPr>
          <w:rStyle w:val="Strong"/>
          <w:rFonts w:ascii="Arial" w:hAnsi="Arial" w:cs="Arial"/>
          <w:bCs w:val="0"/>
          <w:sz w:val="20"/>
          <w:szCs w:val="20"/>
        </w:rPr>
        <w:t>4</w:t>
      </w:r>
      <w:r w:rsidRPr="008868F3">
        <w:rPr>
          <w:rStyle w:val="Strong"/>
          <w:rFonts w:ascii="Arial" w:hAnsi="Arial" w:cs="Arial"/>
          <w:bCs w:val="0"/>
          <w:sz w:val="20"/>
          <w:szCs w:val="20"/>
        </w:rPr>
        <w:t>: Effect of Sugarcane Bagasse-Derived Biochar on Growth and Yield Attributes of Mung Bean (</w:t>
      </w:r>
      <w:r w:rsidRPr="008868F3">
        <w:rPr>
          <w:rStyle w:val="Strong"/>
          <w:rFonts w:ascii="Arial" w:hAnsi="Arial" w:cs="Arial"/>
          <w:bCs w:val="0"/>
          <w:i/>
          <w:sz w:val="20"/>
          <w:szCs w:val="20"/>
        </w:rPr>
        <w:t>Vigna radiata</w:t>
      </w:r>
      <w:r w:rsidRPr="008868F3">
        <w:rPr>
          <w:rStyle w:val="Strong"/>
          <w:rFonts w:ascii="Arial" w:hAnsi="Arial" w:cs="Arial"/>
          <w:bCs w:val="0"/>
          <w:sz w:val="20"/>
          <w:szCs w:val="20"/>
        </w:rPr>
        <w:t xml:space="preserve"> L.)</w:t>
      </w:r>
    </w:p>
    <w:p w14:paraId="4F7980C7" w14:textId="77777777" w:rsidR="00DB23EF" w:rsidRPr="008868F3" w:rsidRDefault="00DB23EF" w:rsidP="00DB23EF">
      <w:pPr>
        <w:pStyle w:val="NoSpacing"/>
        <w:jc w:val="center"/>
        <w:rPr>
          <w:rStyle w:val="Strong"/>
          <w:rFonts w:ascii="Arial" w:hAnsi="Arial" w:cs="Arial"/>
          <w:bCs w:val="0"/>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5"/>
        <w:gridCol w:w="1536"/>
        <w:gridCol w:w="1536"/>
        <w:gridCol w:w="1536"/>
        <w:gridCol w:w="1536"/>
        <w:gridCol w:w="1697"/>
        <w:gridCol w:w="1536"/>
        <w:gridCol w:w="1536"/>
      </w:tblGrid>
      <w:tr w:rsidR="00DB23EF" w:rsidRPr="008868F3" w14:paraId="1E4FD750" w14:textId="77777777" w:rsidTr="008B4BB0">
        <w:trPr>
          <w:trHeight w:val="181"/>
          <w:jc w:val="center"/>
        </w:trPr>
        <w:tc>
          <w:tcPr>
            <w:tcW w:w="2455" w:type="dxa"/>
            <w:tcBorders>
              <w:top w:val="single" w:sz="4" w:space="0" w:color="auto"/>
              <w:bottom w:val="single" w:sz="4" w:space="0" w:color="auto"/>
            </w:tcBorders>
            <w:vAlign w:val="center"/>
          </w:tcPr>
          <w:p w14:paraId="034E3906" w14:textId="77777777" w:rsidR="00DB23EF" w:rsidRPr="008868F3" w:rsidRDefault="00DB23EF" w:rsidP="008B4BB0">
            <w:pPr>
              <w:pStyle w:val="NoSpacing"/>
              <w:ind w:left="0"/>
              <w:jc w:val="center"/>
              <w:rPr>
                <w:rFonts w:ascii="Arial" w:hAnsi="Arial" w:cs="Arial"/>
                <w:sz w:val="20"/>
                <w:szCs w:val="20"/>
              </w:rPr>
            </w:pPr>
            <w:r w:rsidRPr="008868F3">
              <w:rPr>
                <w:rStyle w:val="Strong"/>
                <w:rFonts w:ascii="Arial" w:hAnsi="Arial" w:cs="Arial"/>
                <w:sz w:val="20"/>
                <w:szCs w:val="20"/>
              </w:rPr>
              <w:t>Biochar Application Rate (t/ha)</w:t>
            </w:r>
          </w:p>
        </w:tc>
        <w:tc>
          <w:tcPr>
            <w:tcW w:w="1536" w:type="dxa"/>
            <w:tcBorders>
              <w:top w:val="single" w:sz="4" w:space="0" w:color="auto"/>
              <w:bottom w:val="single" w:sz="4" w:space="0" w:color="auto"/>
            </w:tcBorders>
            <w:vAlign w:val="center"/>
          </w:tcPr>
          <w:p w14:paraId="6AEE4FC7" w14:textId="77777777" w:rsidR="00DB23EF" w:rsidRPr="008868F3" w:rsidRDefault="00DB23EF" w:rsidP="008B4BB0">
            <w:pPr>
              <w:pStyle w:val="NoSpacing"/>
              <w:ind w:left="0"/>
              <w:jc w:val="center"/>
              <w:rPr>
                <w:rFonts w:ascii="Arial" w:hAnsi="Arial" w:cs="Arial"/>
                <w:sz w:val="20"/>
                <w:szCs w:val="20"/>
              </w:rPr>
            </w:pPr>
            <w:r w:rsidRPr="008868F3">
              <w:rPr>
                <w:rStyle w:val="Strong"/>
                <w:rFonts w:ascii="Arial" w:hAnsi="Arial" w:cs="Arial"/>
                <w:sz w:val="20"/>
                <w:szCs w:val="20"/>
              </w:rPr>
              <w:t>Pods per Plant</w:t>
            </w:r>
          </w:p>
        </w:tc>
        <w:tc>
          <w:tcPr>
            <w:tcW w:w="1536" w:type="dxa"/>
            <w:tcBorders>
              <w:top w:val="single" w:sz="4" w:space="0" w:color="auto"/>
              <w:bottom w:val="single" w:sz="4" w:space="0" w:color="auto"/>
            </w:tcBorders>
            <w:vAlign w:val="center"/>
          </w:tcPr>
          <w:p w14:paraId="537772C4" w14:textId="77777777" w:rsidR="00DB23EF" w:rsidRPr="008868F3" w:rsidRDefault="00DB23EF" w:rsidP="008B4BB0">
            <w:pPr>
              <w:pStyle w:val="NoSpacing"/>
              <w:ind w:left="0"/>
              <w:jc w:val="center"/>
              <w:rPr>
                <w:rFonts w:ascii="Arial" w:hAnsi="Arial" w:cs="Arial"/>
                <w:sz w:val="20"/>
                <w:szCs w:val="20"/>
              </w:rPr>
            </w:pPr>
            <w:r w:rsidRPr="008868F3">
              <w:rPr>
                <w:rStyle w:val="Strong"/>
                <w:rFonts w:ascii="Arial" w:hAnsi="Arial" w:cs="Arial"/>
                <w:sz w:val="20"/>
                <w:szCs w:val="20"/>
              </w:rPr>
              <w:t>Pod Length (cm)</w:t>
            </w:r>
          </w:p>
        </w:tc>
        <w:tc>
          <w:tcPr>
            <w:tcW w:w="1536" w:type="dxa"/>
            <w:tcBorders>
              <w:top w:val="single" w:sz="4" w:space="0" w:color="auto"/>
              <w:bottom w:val="single" w:sz="4" w:space="0" w:color="auto"/>
            </w:tcBorders>
            <w:vAlign w:val="center"/>
          </w:tcPr>
          <w:p w14:paraId="287AA225" w14:textId="77777777" w:rsidR="00DB23EF" w:rsidRPr="008868F3" w:rsidRDefault="00DB23EF" w:rsidP="008B4BB0">
            <w:pPr>
              <w:pStyle w:val="NoSpacing"/>
              <w:ind w:left="0"/>
              <w:jc w:val="center"/>
              <w:rPr>
                <w:rFonts w:ascii="Arial" w:hAnsi="Arial" w:cs="Arial"/>
                <w:sz w:val="20"/>
                <w:szCs w:val="20"/>
              </w:rPr>
            </w:pPr>
            <w:r w:rsidRPr="008868F3">
              <w:rPr>
                <w:rStyle w:val="Strong"/>
                <w:rFonts w:ascii="Arial" w:hAnsi="Arial" w:cs="Arial"/>
                <w:sz w:val="20"/>
                <w:szCs w:val="20"/>
              </w:rPr>
              <w:t>Grains per Pod</w:t>
            </w:r>
          </w:p>
        </w:tc>
        <w:tc>
          <w:tcPr>
            <w:tcW w:w="1536" w:type="dxa"/>
            <w:tcBorders>
              <w:top w:val="single" w:sz="4" w:space="0" w:color="auto"/>
              <w:bottom w:val="single" w:sz="4" w:space="0" w:color="auto"/>
            </w:tcBorders>
            <w:vAlign w:val="center"/>
          </w:tcPr>
          <w:p w14:paraId="03AB3039" w14:textId="77777777" w:rsidR="00DB23EF" w:rsidRPr="008868F3" w:rsidRDefault="00DB23EF" w:rsidP="008B4BB0">
            <w:pPr>
              <w:pStyle w:val="NoSpacing"/>
              <w:ind w:left="0"/>
              <w:jc w:val="center"/>
              <w:rPr>
                <w:rFonts w:ascii="Arial" w:hAnsi="Arial" w:cs="Arial"/>
                <w:sz w:val="20"/>
                <w:szCs w:val="20"/>
              </w:rPr>
            </w:pPr>
            <w:r w:rsidRPr="008868F3">
              <w:rPr>
                <w:rStyle w:val="Strong"/>
                <w:rFonts w:ascii="Arial" w:hAnsi="Arial" w:cs="Arial"/>
                <w:sz w:val="20"/>
                <w:szCs w:val="20"/>
              </w:rPr>
              <w:t>100-Grain Weight (g)</w:t>
            </w:r>
          </w:p>
        </w:tc>
        <w:tc>
          <w:tcPr>
            <w:tcW w:w="1697" w:type="dxa"/>
            <w:tcBorders>
              <w:top w:val="single" w:sz="4" w:space="0" w:color="auto"/>
              <w:bottom w:val="single" w:sz="4" w:space="0" w:color="auto"/>
            </w:tcBorders>
            <w:vAlign w:val="center"/>
          </w:tcPr>
          <w:p w14:paraId="5965B8D2" w14:textId="77777777" w:rsidR="00DB23EF" w:rsidRPr="008868F3" w:rsidRDefault="00DB23EF" w:rsidP="008B4BB0">
            <w:pPr>
              <w:pStyle w:val="NoSpacing"/>
              <w:ind w:left="0"/>
              <w:jc w:val="center"/>
              <w:rPr>
                <w:rFonts w:ascii="Arial" w:hAnsi="Arial" w:cs="Arial"/>
                <w:sz w:val="20"/>
                <w:szCs w:val="20"/>
              </w:rPr>
            </w:pPr>
            <w:r w:rsidRPr="008868F3">
              <w:rPr>
                <w:rStyle w:val="Strong"/>
                <w:rFonts w:ascii="Arial" w:hAnsi="Arial" w:cs="Arial"/>
                <w:sz w:val="20"/>
                <w:szCs w:val="20"/>
              </w:rPr>
              <w:t>Biological Yield (g/pot)</w:t>
            </w:r>
          </w:p>
        </w:tc>
        <w:tc>
          <w:tcPr>
            <w:tcW w:w="1536" w:type="dxa"/>
            <w:tcBorders>
              <w:top w:val="single" w:sz="4" w:space="0" w:color="auto"/>
              <w:bottom w:val="single" w:sz="4" w:space="0" w:color="auto"/>
            </w:tcBorders>
            <w:vAlign w:val="center"/>
          </w:tcPr>
          <w:p w14:paraId="2E704062" w14:textId="77777777" w:rsidR="00DB23EF" w:rsidRPr="008868F3" w:rsidRDefault="00DB23EF" w:rsidP="008B4BB0">
            <w:pPr>
              <w:pStyle w:val="NoSpacing"/>
              <w:ind w:left="0"/>
              <w:jc w:val="center"/>
              <w:rPr>
                <w:rFonts w:ascii="Arial" w:hAnsi="Arial" w:cs="Arial"/>
                <w:sz w:val="20"/>
                <w:szCs w:val="20"/>
              </w:rPr>
            </w:pPr>
            <w:r w:rsidRPr="008868F3">
              <w:rPr>
                <w:rStyle w:val="Strong"/>
                <w:rFonts w:ascii="Arial" w:hAnsi="Arial" w:cs="Arial"/>
                <w:sz w:val="20"/>
                <w:szCs w:val="20"/>
              </w:rPr>
              <w:t>Grain Yield (g/pot)</w:t>
            </w:r>
          </w:p>
        </w:tc>
        <w:tc>
          <w:tcPr>
            <w:tcW w:w="1536" w:type="dxa"/>
            <w:tcBorders>
              <w:top w:val="single" w:sz="4" w:space="0" w:color="auto"/>
              <w:bottom w:val="single" w:sz="4" w:space="0" w:color="auto"/>
            </w:tcBorders>
            <w:vAlign w:val="center"/>
          </w:tcPr>
          <w:p w14:paraId="2362BF41" w14:textId="77777777" w:rsidR="00DB23EF" w:rsidRPr="008868F3" w:rsidRDefault="00DB23EF" w:rsidP="008B4BB0">
            <w:pPr>
              <w:pStyle w:val="NoSpacing"/>
              <w:ind w:left="0"/>
              <w:jc w:val="center"/>
              <w:rPr>
                <w:rFonts w:ascii="Arial" w:hAnsi="Arial" w:cs="Arial"/>
                <w:sz w:val="20"/>
                <w:szCs w:val="20"/>
              </w:rPr>
            </w:pPr>
            <w:r w:rsidRPr="008868F3">
              <w:rPr>
                <w:rStyle w:val="Strong"/>
                <w:rFonts w:ascii="Arial" w:hAnsi="Arial" w:cs="Arial"/>
                <w:sz w:val="20"/>
                <w:szCs w:val="20"/>
              </w:rPr>
              <w:t>Harvest Index (%)</w:t>
            </w:r>
          </w:p>
        </w:tc>
      </w:tr>
      <w:tr w:rsidR="00DB23EF" w:rsidRPr="008868F3" w14:paraId="342EE45A" w14:textId="77777777" w:rsidTr="008B4BB0">
        <w:trPr>
          <w:trHeight w:val="248"/>
          <w:jc w:val="center"/>
        </w:trPr>
        <w:tc>
          <w:tcPr>
            <w:tcW w:w="2455" w:type="dxa"/>
            <w:tcBorders>
              <w:top w:val="single" w:sz="4" w:space="0" w:color="auto"/>
            </w:tcBorders>
            <w:vAlign w:val="center"/>
          </w:tcPr>
          <w:p w14:paraId="7803E277" w14:textId="77777777" w:rsidR="00DB23EF" w:rsidRPr="008868F3" w:rsidRDefault="00DB23EF" w:rsidP="008B4BB0">
            <w:pPr>
              <w:pStyle w:val="NoSpacing"/>
              <w:ind w:left="0"/>
              <w:jc w:val="center"/>
              <w:rPr>
                <w:rFonts w:ascii="Arial" w:hAnsi="Arial" w:cs="Arial"/>
                <w:b/>
                <w:sz w:val="20"/>
                <w:szCs w:val="20"/>
              </w:rPr>
            </w:pPr>
            <w:r w:rsidRPr="008868F3">
              <w:rPr>
                <w:rFonts w:ascii="Arial" w:hAnsi="Arial" w:cs="Arial"/>
                <w:b/>
                <w:sz w:val="20"/>
                <w:szCs w:val="20"/>
              </w:rPr>
              <w:t>0 (Control)</w:t>
            </w:r>
          </w:p>
        </w:tc>
        <w:tc>
          <w:tcPr>
            <w:tcW w:w="1536" w:type="dxa"/>
            <w:tcBorders>
              <w:top w:val="single" w:sz="4" w:space="0" w:color="auto"/>
            </w:tcBorders>
            <w:vAlign w:val="center"/>
          </w:tcPr>
          <w:p w14:paraId="4813D73B"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17.00</w:t>
            </w:r>
          </w:p>
        </w:tc>
        <w:tc>
          <w:tcPr>
            <w:tcW w:w="1536" w:type="dxa"/>
            <w:tcBorders>
              <w:top w:val="single" w:sz="4" w:space="0" w:color="auto"/>
            </w:tcBorders>
            <w:vAlign w:val="center"/>
          </w:tcPr>
          <w:p w14:paraId="3C34D0C5"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6.00</w:t>
            </w:r>
          </w:p>
        </w:tc>
        <w:tc>
          <w:tcPr>
            <w:tcW w:w="1536" w:type="dxa"/>
            <w:tcBorders>
              <w:top w:val="single" w:sz="4" w:space="0" w:color="auto"/>
            </w:tcBorders>
            <w:vAlign w:val="center"/>
          </w:tcPr>
          <w:p w14:paraId="5139E357"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8.00</w:t>
            </w:r>
          </w:p>
        </w:tc>
        <w:tc>
          <w:tcPr>
            <w:tcW w:w="1536" w:type="dxa"/>
            <w:tcBorders>
              <w:top w:val="single" w:sz="4" w:space="0" w:color="auto"/>
            </w:tcBorders>
            <w:vAlign w:val="center"/>
          </w:tcPr>
          <w:p w14:paraId="34D36F47"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3.60</w:t>
            </w:r>
          </w:p>
        </w:tc>
        <w:tc>
          <w:tcPr>
            <w:tcW w:w="1697" w:type="dxa"/>
            <w:tcBorders>
              <w:top w:val="single" w:sz="4" w:space="0" w:color="auto"/>
            </w:tcBorders>
            <w:vAlign w:val="center"/>
          </w:tcPr>
          <w:p w14:paraId="2E60B522"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22.00</w:t>
            </w:r>
          </w:p>
        </w:tc>
        <w:tc>
          <w:tcPr>
            <w:tcW w:w="1536" w:type="dxa"/>
            <w:tcBorders>
              <w:top w:val="single" w:sz="4" w:space="0" w:color="auto"/>
            </w:tcBorders>
            <w:vAlign w:val="center"/>
          </w:tcPr>
          <w:p w14:paraId="4F11B7FC"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2.70</w:t>
            </w:r>
          </w:p>
        </w:tc>
        <w:tc>
          <w:tcPr>
            <w:tcW w:w="1536" w:type="dxa"/>
            <w:tcBorders>
              <w:top w:val="single" w:sz="4" w:space="0" w:color="auto"/>
            </w:tcBorders>
            <w:vAlign w:val="center"/>
          </w:tcPr>
          <w:p w14:paraId="75CC2831"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12.30</w:t>
            </w:r>
          </w:p>
        </w:tc>
      </w:tr>
      <w:tr w:rsidR="00DB23EF" w:rsidRPr="008868F3" w14:paraId="0FF6868A" w14:textId="77777777" w:rsidTr="008B4BB0">
        <w:trPr>
          <w:trHeight w:val="248"/>
          <w:jc w:val="center"/>
        </w:trPr>
        <w:tc>
          <w:tcPr>
            <w:tcW w:w="2455" w:type="dxa"/>
            <w:vAlign w:val="center"/>
          </w:tcPr>
          <w:p w14:paraId="05FB109D" w14:textId="77777777" w:rsidR="00DB23EF" w:rsidRPr="008868F3" w:rsidRDefault="00DB23EF" w:rsidP="008B4BB0">
            <w:pPr>
              <w:pStyle w:val="NoSpacing"/>
              <w:ind w:left="0"/>
              <w:jc w:val="center"/>
              <w:rPr>
                <w:rFonts w:ascii="Arial" w:hAnsi="Arial" w:cs="Arial"/>
                <w:b/>
                <w:sz w:val="20"/>
                <w:szCs w:val="20"/>
              </w:rPr>
            </w:pPr>
            <w:r w:rsidRPr="008868F3">
              <w:rPr>
                <w:rFonts w:ascii="Arial" w:hAnsi="Arial" w:cs="Arial"/>
                <w:b/>
                <w:sz w:val="20"/>
                <w:szCs w:val="20"/>
              </w:rPr>
              <w:t>25</w:t>
            </w:r>
          </w:p>
        </w:tc>
        <w:tc>
          <w:tcPr>
            <w:tcW w:w="1536" w:type="dxa"/>
            <w:vAlign w:val="center"/>
          </w:tcPr>
          <w:p w14:paraId="0BB90831"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23.00</w:t>
            </w:r>
          </w:p>
        </w:tc>
        <w:tc>
          <w:tcPr>
            <w:tcW w:w="1536" w:type="dxa"/>
            <w:vAlign w:val="center"/>
          </w:tcPr>
          <w:p w14:paraId="547BF945"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9.20</w:t>
            </w:r>
          </w:p>
        </w:tc>
        <w:tc>
          <w:tcPr>
            <w:tcW w:w="1536" w:type="dxa"/>
            <w:vAlign w:val="center"/>
          </w:tcPr>
          <w:p w14:paraId="3316B21F"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11.00</w:t>
            </w:r>
          </w:p>
        </w:tc>
        <w:tc>
          <w:tcPr>
            <w:tcW w:w="1536" w:type="dxa"/>
            <w:vAlign w:val="center"/>
          </w:tcPr>
          <w:p w14:paraId="08BC11E0"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5.40</w:t>
            </w:r>
          </w:p>
        </w:tc>
        <w:tc>
          <w:tcPr>
            <w:tcW w:w="1697" w:type="dxa"/>
            <w:vAlign w:val="center"/>
          </w:tcPr>
          <w:p w14:paraId="32068436"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28.30</w:t>
            </w:r>
          </w:p>
        </w:tc>
        <w:tc>
          <w:tcPr>
            <w:tcW w:w="1536" w:type="dxa"/>
            <w:vAlign w:val="center"/>
          </w:tcPr>
          <w:p w14:paraId="3F0ACA2F"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4.20</w:t>
            </w:r>
          </w:p>
        </w:tc>
        <w:tc>
          <w:tcPr>
            <w:tcW w:w="1536" w:type="dxa"/>
            <w:vAlign w:val="center"/>
          </w:tcPr>
          <w:p w14:paraId="1BFB3A41"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14.87</w:t>
            </w:r>
          </w:p>
        </w:tc>
      </w:tr>
      <w:tr w:rsidR="00DB23EF" w:rsidRPr="008868F3" w14:paraId="25299735" w14:textId="77777777" w:rsidTr="008B4BB0">
        <w:trPr>
          <w:trHeight w:val="248"/>
          <w:jc w:val="center"/>
        </w:trPr>
        <w:tc>
          <w:tcPr>
            <w:tcW w:w="2455" w:type="dxa"/>
            <w:vAlign w:val="center"/>
          </w:tcPr>
          <w:p w14:paraId="7F941513" w14:textId="77777777" w:rsidR="00DB23EF" w:rsidRPr="008868F3" w:rsidRDefault="00DB23EF" w:rsidP="008B4BB0">
            <w:pPr>
              <w:pStyle w:val="NoSpacing"/>
              <w:ind w:left="0"/>
              <w:jc w:val="center"/>
              <w:rPr>
                <w:rFonts w:ascii="Arial" w:hAnsi="Arial" w:cs="Arial"/>
                <w:b/>
                <w:sz w:val="20"/>
                <w:szCs w:val="20"/>
              </w:rPr>
            </w:pPr>
            <w:r w:rsidRPr="008868F3">
              <w:rPr>
                <w:rFonts w:ascii="Arial" w:hAnsi="Arial" w:cs="Arial"/>
                <w:b/>
                <w:sz w:val="20"/>
                <w:szCs w:val="20"/>
              </w:rPr>
              <w:t>50</w:t>
            </w:r>
          </w:p>
        </w:tc>
        <w:tc>
          <w:tcPr>
            <w:tcW w:w="1536" w:type="dxa"/>
            <w:vAlign w:val="center"/>
          </w:tcPr>
          <w:p w14:paraId="6EF97BE7"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20.00</w:t>
            </w:r>
          </w:p>
        </w:tc>
        <w:tc>
          <w:tcPr>
            <w:tcW w:w="1536" w:type="dxa"/>
            <w:vAlign w:val="center"/>
          </w:tcPr>
          <w:p w14:paraId="74132C73"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8.00</w:t>
            </w:r>
          </w:p>
        </w:tc>
        <w:tc>
          <w:tcPr>
            <w:tcW w:w="1536" w:type="dxa"/>
            <w:vAlign w:val="center"/>
          </w:tcPr>
          <w:p w14:paraId="1E9D2866"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10.00</w:t>
            </w:r>
          </w:p>
        </w:tc>
        <w:tc>
          <w:tcPr>
            <w:tcW w:w="1536" w:type="dxa"/>
            <w:vAlign w:val="center"/>
          </w:tcPr>
          <w:p w14:paraId="0E2384D5"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5.80</w:t>
            </w:r>
          </w:p>
        </w:tc>
        <w:tc>
          <w:tcPr>
            <w:tcW w:w="1697" w:type="dxa"/>
            <w:vAlign w:val="center"/>
          </w:tcPr>
          <w:p w14:paraId="03ABA691"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26.00</w:t>
            </w:r>
          </w:p>
        </w:tc>
        <w:tc>
          <w:tcPr>
            <w:tcW w:w="1536" w:type="dxa"/>
            <w:vAlign w:val="center"/>
          </w:tcPr>
          <w:p w14:paraId="6B21AB37"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3.80</w:t>
            </w:r>
          </w:p>
        </w:tc>
        <w:tc>
          <w:tcPr>
            <w:tcW w:w="1536" w:type="dxa"/>
            <w:vAlign w:val="center"/>
          </w:tcPr>
          <w:p w14:paraId="05B25312"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14.62</w:t>
            </w:r>
          </w:p>
        </w:tc>
      </w:tr>
      <w:tr w:rsidR="00DB23EF" w:rsidRPr="008868F3" w14:paraId="42133049" w14:textId="77777777" w:rsidTr="008B4BB0">
        <w:trPr>
          <w:trHeight w:val="248"/>
          <w:jc w:val="center"/>
        </w:trPr>
        <w:tc>
          <w:tcPr>
            <w:tcW w:w="2455" w:type="dxa"/>
            <w:vAlign w:val="center"/>
          </w:tcPr>
          <w:p w14:paraId="479A9289" w14:textId="77777777" w:rsidR="00DB23EF" w:rsidRPr="008868F3" w:rsidRDefault="00DB23EF" w:rsidP="008B4BB0">
            <w:pPr>
              <w:pStyle w:val="NoSpacing"/>
              <w:ind w:left="0"/>
              <w:jc w:val="center"/>
              <w:rPr>
                <w:rFonts w:ascii="Arial" w:hAnsi="Arial" w:cs="Arial"/>
                <w:b/>
                <w:sz w:val="20"/>
                <w:szCs w:val="20"/>
              </w:rPr>
            </w:pPr>
            <w:r w:rsidRPr="008868F3">
              <w:rPr>
                <w:rFonts w:ascii="Arial" w:hAnsi="Arial" w:cs="Arial"/>
                <w:b/>
                <w:sz w:val="20"/>
                <w:szCs w:val="20"/>
              </w:rPr>
              <w:t>75</w:t>
            </w:r>
          </w:p>
        </w:tc>
        <w:tc>
          <w:tcPr>
            <w:tcW w:w="1536" w:type="dxa"/>
            <w:vAlign w:val="center"/>
          </w:tcPr>
          <w:p w14:paraId="0FF47A26"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19.00</w:t>
            </w:r>
          </w:p>
        </w:tc>
        <w:tc>
          <w:tcPr>
            <w:tcW w:w="1536" w:type="dxa"/>
            <w:vAlign w:val="center"/>
          </w:tcPr>
          <w:p w14:paraId="30FEB841"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7.50</w:t>
            </w:r>
          </w:p>
        </w:tc>
        <w:tc>
          <w:tcPr>
            <w:tcW w:w="1536" w:type="dxa"/>
            <w:vAlign w:val="center"/>
          </w:tcPr>
          <w:p w14:paraId="36EF7526"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9.00</w:t>
            </w:r>
          </w:p>
        </w:tc>
        <w:tc>
          <w:tcPr>
            <w:tcW w:w="1536" w:type="dxa"/>
            <w:vAlign w:val="center"/>
          </w:tcPr>
          <w:p w14:paraId="1B6DFCFC"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6.20</w:t>
            </w:r>
          </w:p>
        </w:tc>
        <w:tc>
          <w:tcPr>
            <w:tcW w:w="1697" w:type="dxa"/>
            <w:vAlign w:val="center"/>
          </w:tcPr>
          <w:p w14:paraId="658F22A4"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25.50</w:t>
            </w:r>
          </w:p>
        </w:tc>
        <w:tc>
          <w:tcPr>
            <w:tcW w:w="1536" w:type="dxa"/>
            <w:vAlign w:val="center"/>
          </w:tcPr>
          <w:p w14:paraId="3F30D847"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3.40</w:t>
            </w:r>
          </w:p>
        </w:tc>
        <w:tc>
          <w:tcPr>
            <w:tcW w:w="1536" w:type="dxa"/>
            <w:vAlign w:val="center"/>
          </w:tcPr>
          <w:p w14:paraId="4FE5E872"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13.33</w:t>
            </w:r>
          </w:p>
        </w:tc>
      </w:tr>
      <w:tr w:rsidR="00DB23EF" w:rsidRPr="008868F3" w14:paraId="1D009F5A" w14:textId="77777777" w:rsidTr="008B4BB0">
        <w:trPr>
          <w:trHeight w:val="248"/>
          <w:jc w:val="center"/>
        </w:trPr>
        <w:tc>
          <w:tcPr>
            <w:tcW w:w="2455" w:type="dxa"/>
            <w:tcBorders>
              <w:bottom w:val="single" w:sz="4" w:space="0" w:color="auto"/>
            </w:tcBorders>
            <w:vAlign w:val="center"/>
          </w:tcPr>
          <w:p w14:paraId="7530364F" w14:textId="77777777" w:rsidR="00DB23EF" w:rsidRPr="008868F3" w:rsidRDefault="00DB23EF" w:rsidP="008B4BB0">
            <w:pPr>
              <w:pStyle w:val="NoSpacing"/>
              <w:ind w:left="0"/>
              <w:jc w:val="center"/>
              <w:rPr>
                <w:rFonts w:ascii="Arial" w:hAnsi="Arial" w:cs="Arial"/>
                <w:b/>
                <w:sz w:val="20"/>
                <w:szCs w:val="20"/>
              </w:rPr>
            </w:pPr>
            <w:r w:rsidRPr="008868F3">
              <w:rPr>
                <w:rFonts w:ascii="Arial" w:hAnsi="Arial" w:cs="Arial"/>
                <w:b/>
                <w:sz w:val="20"/>
                <w:szCs w:val="20"/>
              </w:rPr>
              <w:t>100</w:t>
            </w:r>
          </w:p>
        </w:tc>
        <w:tc>
          <w:tcPr>
            <w:tcW w:w="1536" w:type="dxa"/>
            <w:tcBorders>
              <w:bottom w:val="single" w:sz="4" w:space="0" w:color="auto"/>
            </w:tcBorders>
            <w:vAlign w:val="center"/>
          </w:tcPr>
          <w:p w14:paraId="55A07414"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18.00</w:t>
            </w:r>
          </w:p>
        </w:tc>
        <w:tc>
          <w:tcPr>
            <w:tcW w:w="1536" w:type="dxa"/>
            <w:tcBorders>
              <w:bottom w:val="single" w:sz="4" w:space="0" w:color="auto"/>
            </w:tcBorders>
            <w:vAlign w:val="center"/>
          </w:tcPr>
          <w:p w14:paraId="0791F504"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7.00</w:t>
            </w:r>
          </w:p>
        </w:tc>
        <w:tc>
          <w:tcPr>
            <w:tcW w:w="1536" w:type="dxa"/>
            <w:tcBorders>
              <w:bottom w:val="single" w:sz="4" w:space="0" w:color="auto"/>
            </w:tcBorders>
            <w:vAlign w:val="center"/>
          </w:tcPr>
          <w:p w14:paraId="05715474"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9.00</w:t>
            </w:r>
          </w:p>
        </w:tc>
        <w:tc>
          <w:tcPr>
            <w:tcW w:w="1536" w:type="dxa"/>
            <w:tcBorders>
              <w:bottom w:val="single" w:sz="4" w:space="0" w:color="auto"/>
            </w:tcBorders>
            <w:vAlign w:val="center"/>
          </w:tcPr>
          <w:p w14:paraId="67C189E1"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6.80</w:t>
            </w:r>
          </w:p>
        </w:tc>
        <w:tc>
          <w:tcPr>
            <w:tcW w:w="1697" w:type="dxa"/>
            <w:tcBorders>
              <w:bottom w:val="single" w:sz="4" w:space="0" w:color="auto"/>
            </w:tcBorders>
            <w:vAlign w:val="center"/>
          </w:tcPr>
          <w:p w14:paraId="06D36F3C"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24.00</w:t>
            </w:r>
          </w:p>
        </w:tc>
        <w:tc>
          <w:tcPr>
            <w:tcW w:w="1536" w:type="dxa"/>
            <w:tcBorders>
              <w:bottom w:val="single" w:sz="4" w:space="0" w:color="auto"/>
            </w:tcBorders>
            <w:vAlign w:val="center"/>
          </w:tcPr>
          <w:p w14:paraId="785EF2E3"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3.10</w:t>
            </w:r>
          </w:p>
        </w:tc>
        <w:tc>
          <w:tcPr>
            <w:tcW w:w="1536" w:type="dxa"/>
            <w:tcBorders>
              <w:bottom w:val="single" w:sz="4" w:space="0" w:color="auto"/>
            </w:tcBorders>
            <w:vAlign w:val="center"/>
          </w:tcPr>
          <w:p w14:paraId="6D98E11A" w14:textId="77777777" w:rsidR="00DB23EF" w:rsidRPr="008868F3" w:rsidRDefault="00DB23EF" w:rsidP="008B4BB0">
            <w:pPr>
              <w:pStyle w:val="NoSpacing"/>
              <w:ind w:left="0"/>
              <w:jc w:val="center"/>
              <w:rPr>
                <w:rFonts w:ascii="Arial" w:hAnsi="Arial" w:cs="Arial"/>
                <w:sz w:val="20"/>
                <w:szCs w:val="20"/>
              </w:rPr>
            </w:pPr>
            <w:r w:rsidRPr="008868F3">
              <w:rPr>
                <w:rFonts w:ascii="Arial" w:hAnsi="Arial" w:cs="Arial"/>
                <w:sz w:val="20"/>
                <w:szCs w:val="20"/>
              </w:rPr>
              <w:t>12.92</w:t>
            </w:r>
          </w:p>
        </w:tc>
      </w:tr>
    </w:tbl>
    <w:p w14:paraId="3BEE11BE" w14:textId="77777777" w:rsidR="00DB23EF" w:rsidRPr="008868F3" w:rsidRDefault="00DB23EF" w:rsidP="00DB23EF">
      <w:pPr>
        <w:pStyle w:val="NoSpacing"/>
        <w:rPr>
          <w:rFonts w:ascii="Arial" w:hAnsi="Arial" w:cs="Arial"/>
          <w:b/>
          <w:i/>
          <w:sz w:val="20"/>
          <w:szCs w:val="20"/>
        </w:rPr>
      </w:pPr>
      <w:r w:rsidRPr="00937172">
        <w:rPr>
          <w:rFonts w:ascii="Arial" w:eastAsia="Times New Roman" w:hAnsi="Arial" w:cs="Arial"/>
          <w:b/>
          <w:i/>
          <w:sz w:val="20"/>
          <w:szCs w:val="20"/>
          <w:lang w:eastAsia="en-IN"/>
        </w:rPr>
        <w:t xml:space="preserve">(Source: </w:t>
      </w:r>
      <w:proofErr w:type="spellStart"/>
      <w:r w:rsidRPr="00937172">
        <w:rPr>
          <w:rFonts w:ascii="Arial" w:eastAsia="Times New Roman" w:hAnsi="Arial" w:cs="Arial"/>
          <w:b/>
          <w:i/>
          <w:sz w:val="20"/>
          <w:szCs w:val="20"/>
          <w:lang w:eastAsia="en-IN"/>
        </w:rPr>
        <w:t>Rab</w:t>
      </w:r>
      <w:proofErr w:type="spellEnd"/>
      <w:r w:rsidRPr="00937172">
        <w:rPr>
          <w:rFonts w:ascii="Arial" w:eastAsia="Times New Roman" w:hAnsi="Arial" w:cs="Arial"/>
          <w:b/>
          <w:i/>
          <w:sz w:val="20"/>
          <w:szCs w:val="20"/>
          <w:lang w:eastAsia="en-IN"/>
        </w:rPr>
        <w:t xml:space="preserve"> et al., 2016)</w:t>
      </w:r>
    </w:p>
    <w:p w14:paraId="372B7BE4" w14:textId="77777777" w:rsidR="00DB23EF" w:rsidRPr="008868F3" w:rsidRDefault="00DB23EF" w:rsidP="00DB23EF">
      <w:pPr>
        <w:pStyle w:val="NoSpacing"/>
        <w:tabs>
          <w:tab w:val="left" w:pos="4820"/>
        </w:tabs>
        <w:jc w:val="center"/>
        <w:rPr>
          <w:rFonts w:ascii="Arial" w:hAnsi="Arial" w:cs="Arial"/>
          <w:b/>
          <w:sz w:val="20"/>
          <w:szCs w:val="20"/>
          <w:lang w:eastAsia="en-IN"/>
        </w:rPr>
      </w:pPr>
    </w:p>
    <w:p w14:paraId="1A3CB9D0" w14:textId="77777777" w:rsidR="00DB23EF" w:rsidRDefault="00DB23EF" w:rsidP="00DB23EF">
      <w:pPr>
        <w:pStyle w:val="NoSpacing"/>
        <w:tabs>
          <w:tab w:val="left" w:pos="4820"/>
        </w:tabs>
        <w:jc w:val="center"/>
        <w:rPr>
          <w:rFonts w:ascii="Arial" w:hAnsi="Arial" w:cs="Arial"/>
          <w:b/>
          <w:sz w:val="20"/>
          <w:szCs w:val="20"/>
          <w:lang w:eastAsia="en-IN"/>
        </w:rPr>
      </w:pPr>
    </w:p>
    <w:p w14:paraId="26B12E31" w14:textId="77777777" w:rsidR="00DB23EF" w:rsidRDefault="00DB23EF" w:rsidP="00DB23EF">
      <w:pPr>
        <w:pStyle w:val="NoSpacing"/>
        <w:tabs>
          <w:tab w:val="left" w:pos="4820"/>
        </w:tabs>
        <w:jc w:val="center"/>
        <w:rPr>
          <w:rFonts w:ascii="Arial" w:hAnsi="Arial" w:cs="Arial"/>
          <w:b/>
          <w:sz w:val="20"/>
          <w:szCs w:val="20"/>
          <w:lang w:eastAsia="en-IN"/>
        </w:rPr>
      </w:pPr>
    </w:p>
    <w:p w14:paraId="7645C82B" w14:textId="77777777" w:rsidR="00DB23EF" w:rsidRDefault="00DB23EF" w:rsidP="00DB23EF">
      <w:pPr>
        <w:pStyle w:val="NoSpacing"/>
        <w:tabs>
          <w:tab w:val="left" w:pos="4820"/>
        </w:tabs>
        <w:rPr>
          <w:rFonts w:ascii="Arial" w:hAnsi="Arial" w:cs="Arial"/>
          <w:b/>
          <w:sz w:val="20"/>
          <w:szCs w:val="20"/>
          <w:lang w:eastAsia="en-IN"/>
        </w:rPr>
      </w:pPr>
      <w:r>
        <w:rPr>
          <w:rFonts w:ascii="Arial" w:hAnsi="Arial" w:cs="Arial"/>
          <w:b/>
          <w:sz w:val="20"/>
          <w:szCs w:val="20"/>
          <w:lang w:eastAsia="en-IN"/>
        </w:rPr>
        <w:t xml:space="preserve">    </w:t>
      </w:r>
      <w:r w:rsidRPr="008868F3">
        <w:rPr>
          <w:rFonts w:ascii="Arial" w:hAnsi="Arial" w:cs="Arial"/>
          <w:b/>
          <w:sz w:val="20"/>
          <w:szCs w:val="20"/>
          <w:lang w:eastAsia="en-IN"/>
        </w:rPr>
        <w:t xml:space="preserve">Table </w:t>
      </w:r>
      <w:r>
        <w:rPr>
          <w:rFonts w:ascii="Arial" w:hAnsi="Arial" w:cs="Arial"/>
          <w:b/>
          <w:sz w:val="20"/>
          <w:szCs w:val="20"/>
          <w:lang w:eastAsia="en-IN"/>
        </w:rPr>
        <w:t>5</w:t>
      </w:r>
      <w:r w:rsidRPr="008868F3">
        <w:rPr>
          <w:rFonts w:ascii="Arial" w:hAnsi="Arial" w:cs="Arial"/>
          <w:b/>
          <w:sz w:val="20"/>
          <w:szCs w:val="20"/>
          <w:lang w:eastAsia="en-IN"/>
        </w:rPr>
        <w:t>. Biochar's Role in Nutrient Availability, Fertility, and Mung Bean Productivity</w:t>
      </w:r>
    </w:p>
    <w:p w14:paraId="6E1D0690" w14:textId="77777777" w:rsidR="00DB23EF" w:rsidRPr="008868F3" w:rsidRDefault="00DB23EF" w:rsidP="00DB23EF">
      <w:pPr>
        <w:pStyle w:val="NoSpacing"/>
        <w:tabs>
          <w:tab w:val="left" w:pos="4820"/>
        </w:tabs>
        <w:jc w:val="center"/>
        <w:rPr>
          <w:rFonts w:ascii="Arial" w:hAnsi="Arial" w:cs="Arial"/>
          <w:b/>
          <w:sz w:val="20"/>
          <w:szCs w:val="20"/>
          <w:lang w:eastAsia="en-IN"/>
        </w:rPr>
      </w:pPr>
    </w:p>
    <w:tbl>
      <w:tblPr>
        <w:tblStyle w:val="TableGrid"/>
        <w:tblW w:w="13672"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2819"/>
        <w:gridCol w:w="2719"/>
        <w:gridCol w:w="2719"/>
        <w:gridCol w:w="2800"/>
      </w:tblGrid>
      <w:tr w:rsidR="00DB23EF" w:rsidRPr="008868F3" w14:paraId="046D2711" w14:textId="77777777" w:rsidTr="008B4BB0">
        <w:tc>
          <w:tcPr>
            <w:tcW w:w="2615" w:type="dxa"/>
            <w:tcBorders>
              <w:top w:val="single" w:sz="4" w:space="0" w:color="auto"/>
              <w:bottom w:val="single" w:sz="4" w:space="0" w:color="auto"/>
            </w:tcBorders>
            <w:vAlign w:val="center"/>
          </w:tcPr>
          <w:p w14:paraId="6A91C6B5" w14:textId="77777777" w:rsidR="00DB23EF" w:rsidRPr="008868F3" w:rsidRDefault="00DB23EF" w:rsidP="008B4BB0">
            <w:pPr>
              <w:pStyle w:val="NoSpacing"/>
              <w:tabs>
                <w:tab w:val="left" w:pos="4820"/>
              </w:tabs>
              <w:ind w:left="0"/>
              <w:jc w:val="center"/>
              <w:rPr>
                <w:rFonts w:ascii="Arial" w:hAnsi="Arial" w:cs="Arial"/>
                <w:b/>
                <w:sz w:val="20"/>
                <w:szCs w:val="20"/>
                <w:lang w:eastAsia="en-IN"/>
              </w:rPr>
            </w:pPr>
            <w:r w:rsidRPr="008868F3">
              <w:rPr>
                <w:rFonts w:ascii="Arial" w:eastAsia="Times New Roman" w:hAnsi="Arial" w:cs="Arial"/>
                <w:b/>
                <w:bCs/>
                <w:sz w:val="20"/>
                <w:szCs w:val="20"/>
                <w:lang w:eastAsia="en-IN"/>
              </w:rPr>
              <w:t>Function</w:t>
            </w:r>
          </w:p>
        </w:tc>
        <w:tc>
          <w:tcPr>
            <w:tcW w:w="2819" w:type="dxa"/>
            <w:tcBorders>
              <w:top w:val="single" w:sz="4" w:space="0" w:color="auto"/>
              <w:bottom w:val="single" w:sz="4" w:space="0" w:color="auto"/>
            </w:tcBorders>
            <w:vAlign w:val="center"/>
          </w:tcPr>
          <w:p w14:paraId="75810C74" w14:textId="77777777" w:rsidR="00DB23EF" w:rsidRPr="008868F3" w:rsidRDefault="00DB23EF" w:rsidP="008B4BB0">
            <w:pPr>
              <w:pStyle w:val="NoSpacing"/>
              <w:tabs>
                <w:tab w:val="left" w:pos="4820"/>
              </w:tabs>
              <w:ind w:left="0"/>
              <w:jc w:val="center"/>
              <w:rPr>
                <w:rFonts w:ascii="Arial" w:hAnsi="Arial" w:cs="Arial"/>
                <w:b/>
                <w:sz w:val="20"/>
                <w:szCs w:val="20"/>
                <w:lang w:eastAsia="en-IN"/>
              </w:rPr>
            </w:pPr>
            <w:r w:rsidRPr="008868F3">
              <w:rPr>
                <w:rFonts w:ascii="Arial" w:eastAsia="Times New Roman" w:hAnsi="Arial" w:cs="Arial"/>
                <w:b/>
                <w:bCs/>
                <w:sz w:val="20"/>
                <w:szCs w:val="20"/>
                <w:lang w:eastAsia="en-IN"/>
              </w:rPr>
              <w:t>Mechanism/Effect</w:t>
            </w:r>
          </w:p>
        </w:tc>
        <w:tc>
          <w:tcPr>
            <w:tcW w:w="2719" w:type="dxa"/>
            <w:tcBorders>
              <w:top w:val="single" w:sz="4" w:space="0" w:color="auto"/>
              <w:bottom w:val="single" w:sz="4" w:space="0" w:color="auto"/>
            </w:tcBorders>
            <w:vAlign w:val="center"/>
          </w:tcPr>
          <w:p w14:paraId="72C7C442" w14:textId="77777777" w:rsidR="00DB23EF" w:rsidRPr="008868F3" w:rsidRDefault="00DB23EF" w:rsidP="008B4BB0">
            <w:pPr>
              <w:pStyle w:val="NoSpacing"/>
              <w:tabs>
                <w:tab w:val="left" w:pos="4820"/>
              </w:tabs>
              <w:ind w:left="0"/>
              <w:jc w:val="center"/>
              <w:rPr>
                <w:rFonts w:ascii="Arial" w:hAnsi="Arial" w:cs="Arial"/>
                <w:b/>
                <w:sz w:val="20"/>
                <w:szCs w:val="20"/>
                <w:lang w:eastAsia="en-IN"/>
              </w:rPr>
            </w:pPr>
            <w:r w:rsidRPr="008868F3">
              <w:rPr>
                <w:rFonts w:ascii="Arial" w:eastAsia="Times New Roman" w:hAnsi="Arial" w:cs="Arial"/>
                <w:b/>
                <w:bCs/>
                <w:sz w:val="20"/>
                <w:szCs w:val="20"/>
                <w:lang w:eastAsia="en-IN"/>
              </w:rPr>
              <w:t>Outcome in Soil</w:t>
            </w:r>
          </w:p>
        </w:tc>
        <w:tc>
          <w:tcPr>
            <w:tcW w:w="2719" w:type="dxa"/>
            <w:tcBorders>
              <w:top w:val="single" w:sz="4" w:space="0" w:color="auto"/>
              <w:bottom w:val="single" w:sz="4" w:space="0" w:color="auto"/>
            </w:tcBorders>
            <w:vAlign w:val="center"/>
          </w:tcPr>
          <w:p w14:paraId="74C11D92" w14:textId="77777777" w:rsidR="00DB23EF" w:rsidRPr="008868F3" w:rsidRDefault="00DB23EF" w:rsidP="008B4BB0">
            <w:pPr>
              <w:pStyle w:val="NoSpacing"/>
              <w:tabs>
                <w:tab w:val="left" w:pos="4820"/>
              </w:tabs>
              <w:ind w:left="0"/>
              <w:jc w:val="center"/>
              <w:rPr>
                <w:rFonts w:ascii="Arial" w:hAnsi="Arial" w:cs="Arial"/>
                <w:b/>
                <w:sz w:val="20"/>
                <w:szCs w:val="20"/>
                <w:lang w:eastAsia="en-IN"/>
              </w:rPr>
            </w:pPr>
            <w:r w:rsidRPr="008868F3">
              <w:rPr>
                <w:rFonts w:ascii="Arial" w:eastAsia="Times New Roman" w:hAnsi="Arial" w:cs="Arial"/>
                <w:b/>
                <w:bCs/>
                <w:sz w:val="20"/>
                <w:szCs w:val="20"/>
                <w:lang w:eastAsia="en-IN"/>
              </w:rPr>
              <w:t>Impact on Mung Bean Productivity</w:t>
            </w:r>
          </w:p>
        </w:tc>
        <w:tc>
          <w:tcPr>
            <w:tcW w:w="2800" w:type="dxa"/>
            <w:tcBorders>
              <w:top w:val="single" w:sz="4" w:space="0" w:color="auto"/>
              <w:bottom w:val="single" w:sz="4" w:space="0" w:color="auto"/>
            </w:tcBorders>
            <w:vAlign w:val="center"/>
          </w:tcPr>
          <w:p w14:paraId="2F986526" w14:textId="77777777" w:rsidR="00DB23EF" w:rsidRPr="008868F3" w:rsidRDefault="00DB23EF" w:rsidP="008B4BB0">
            <w:pPr>
              <w:pStyle w:val="NoSpacing"/>
              <w:tabs>
                <w:tab w:val="left" w:pos="4820"/>
              </w:tabs>
              <w:ind w:left="0"/>
              <w:jc w:val="center"/>
              <w:rPr>
                <w:rFonts w:ascii="Arial" w:hAnsi="Arial" w:cs="Arial"/>
                <w:b/>
                <w:sz w:val="20"/>
                <w:szCs w:val="20"/>
                <w:lang w:eastAsia="en-IN"/>
              </w:rPr>
            </w:pPr>
            <w:r w:rsidRPr="008868F3">
              <w:rPr>
                <w:rFonts w:ascii="Arial" w:eastAsia="Times New Roman" w:hAnsi="Arial" w:cs="Arial"/>
                <w:b/>
                <w:bCs/>
                <w:sz w:val="20"/>
                <w:szCs w:val="20"/>
                <w:lang w:eastAsia="en-IN"/>
              </w:rPr>
              <w:t>References</w:t>
            </w:r>
          </w:p>
        </w:tc>
      </w:tr>
      <w:tr w:rsidR="00DB23EF" w:rsidRPr="008868F3" w14:paraId="6224D7E0" w14:textId="77777777" w:rsidTr="008B4BB0">
        <w:tc>
          <w:tcPr>
            <w:tcW w:w="2615" w:type="dxa"/>
            <w:tcBorders>
              <w:top w:val="single" w:sz="4" w:space="0" w:color="auto"/>
            </w:tcBorders>
            <w:vAlign w:val="center"/>
          </w:tcPr>
          <w:p w14:paraId="6A807CDB" w14:textId="77777777" w:rsidR="00DB23EF" w:rsidRPr="008868F3" w:rsidRDefault="00DB23EF" w:rsidP="008B4BB0">
            <w:pPr>
              <w:pStyle w:val="NoSpacing"/>
              <w:tabs>
                <w:tab w:val="left" w:pos="4820"/>
              </w:tabs>
              <w:ind w:left="0"/>
              <w:jc w:val="center"/>
              <w:rPr>
                <w:rFonts w:ascii="Arial" w:hAnsi="Arial" w:cs="Arial"/>
                <w:b/>
                <w:sz w:val="20"/>
                <w:szCs w:val="20"/>
                <w:lang w:eastAsia="en-IN"/>
              </w:rPr>
            </w:pPr>
            <w:r w:rsidRPr="008868F3">
              <w:rPr>
                <w:rFonts w:ascii="Arial" w:eastAsia="Times New Roman" w:hAnsi="Arial" w:cs="Arial"/>
                <w:b/>
                <w:bCs/>
                <w:sz w:val="20"/>
                <w:szCs w:val="20"/>
                <w:lang w:eastAsia="en-IN"/>
              </w:rPr>
              <w:t>Nutrient Retention (N, P, K, Micronutrients)</w:t>
            </w:r>
          </w:p>
        </w:tc>
        <w:tc>
          <w:tcPr>
            <w:tcW w:w="2819" w:type="dxa"/>
            <w:tcBorders>
              <w:top w:val="single" w:sz="4" w:space="0" w:color="auto"/>
            </w:tcBorders>
            <w:vAlign w:val="center"/>
          </w:tcPr>
          <w:p w14:paraId="5E42DAE9" w14:textId="77777777" w:rsidR="00DB23EF" w:rsidRPr="008868F3" w:rsidRDefault="00DB23EF" w:rsidP="008B4BB0">
            <w:pPr>
              <w:pStyle w:val="NoSpacing"/>
              <w:tabs>
                <w:tab w:val="left" w:pos="4820"/>
              </w:tabs>
              <w:ind w:left="0"/>
              <w:jc w:val="center"/>
              <w:rPr>
                <w:rFonts w:ascii="Arial" w:hAnsi="Arial" w:cs="Arial"/>
                <w:b/>
                <w:sz w:val="20"/>
                <w:szCs w:val="20"/>
                <w:lang w:eastAsia="en-IN"/>
              </w:rPr>
            </w:pPr>
            <w:r w:rsidRPr="00937172">
              <w:rPr>
                <w:rFonts w:ascii="Arial" w:eastAsia="Times New Roman" w:hAnsi="Arial" w:cs="Arial"/>
                <w:sz w:val="20"/>
                <w:szCs w:val="20"/>
                <w:lang w:eastAsia="en-IN"/>
              </w:rPr>
              <w:t>High CEC and porous structure adsorb and retain essential nutrients</w:t>
            </w:r>
          </w:p>
        </w:tc>
        <w:tc>
          <w:tcPr>
            <w:tcW w:w="2719" w:type="dxa"/>
            <w:tcBorders>
              <w:top w:val="single" w:sz="4" w:space="0" w:color="auto"/>
            </w:tcBorders>
            <w:vAlign w:val="center"/>
          </w:tcPr>
          <w:p w14:paraId="45D5186D" w14:textId="77777777" w:rsidR="00DB23EF" w:rsidRPr="008868F3" w:rsidRDefault="00DB23EF" w:rsidP="008B4BB0">
            <w:pPr>
              <w:pStyle w:val="NoSpacing"/>
              <w:tabs>
                <w:tab w:val="left" w:pos="4820"/>
              </w:tabs>
              <w:ind w:left="0"/>
              <w:jc w:val="center"/>
              <w:rPr>
                <w:rFonts w:ascii="Arial" w:hAnsi="Arial" w:cs="Arial"/>
                <w:b/>
                <w:sz w:val="20"/>
                <w:szCs w:val="20"/>
                <w:lang w:eastAsia="en-IN"/>
              </w:rPr>
            </w:pPr>
            <w:r w:rsidRPr="00937172">
              <w:rPr>
                <w:rFonts w:ascii="Arial" w:eastAsia="Times New Roman" w:hAnsi="Arial" w:cs="Arial"/>
                <w:sz w:val="20"/>
                <w:szCs w:val="20"/>
                <w:lang w:eastAsia="en-IN"/>
              </w:rPr>
              <w:t>Reduced nutrient loss; improved nutrient availability</w:t>
            </w:r>
          </w:p>
        </w:tc>
        <w:tc>
          <w:tcPr>
            <w:tcW w:w="2719" w:type="dxa"/>
            <w:tcBorders>
              <w:top w:val="single" w:sz="4" w:space="0" w:color="auto"/>
            </w:tcBorders>
            <w:vAlign w:val="center"/>
          </w:tcPr>
          <w:p w14:paraId="1B16EA23" w14:textId="77777777" w:rsidR="00DB23EF" w:rsidRPr="008868F3" w:rsidRDefault="00DB23EF" w:rsidP="008B4BB0">
            <w:pPr>
              <w:pStyle w:val="NoSpacing"/>
              <w:tabs>
                <w:tab w:val="left" w:pos="4820"/>
              </w:tabs>
              <w:ind w:left="0"/>
              <w:jc w:val="center"/>
              <w:rPr>
                <w:rFonts w:ascii="Arial" w:hAnsi="Arial" w:cs="Arial"/>
                <w:b/>
                <w:sz w:val="20"/>
                <w:szCs w:val="20"/>
                <w:lang w:eastAsia="en-IN"/>
              </w:rPr>
            </w:pPr>
            <w:r w:rsidRPr="00937172">
              <w:rPr>
                <w:rFonts w:ascii="Arial" w:eastAsia="Times New Roman" w:hAnsi="Arial" w:cs="Arial"/>
                <w:sz w:val="20"/>
                <w:szCs w:val="20"/>
                <w:lang w:eastAsia="en-IN"/>
              </w:rPr>
              <w:t>Better root nutrition; increased nodulation and seed yield</w:t>
            </w:r>
          </w:p>
        </w:tc>
        <w:tc>
          <w:tcPr>
            <w:tcW w:w="2800" w:type="dxa"/>
            <w:tcBorders>
              <w:top w:val="single" w:sz="4" w:space="0" w:color="auto"/>
            </w:tcBorders>
            <w:vAlign w:val="center"/>
          </w:tcPr>
          <w:p w14:paraId="592100B4" w14:textId="77777777" w:rsidR="00DB23EF" w:rsidRPr="008868F3" w:rsidRDefault="00DB23EF" w:rsidP="008B4BB0">
            <w:pPr>
              <w:pStyle w:val="NoSpacing"/>
              <w:tabs>
                <w:tab w:val="left" w:pos="4820"/>
              </w:tabs>
              <w:ind w:left="0"/>
              <w:jc w:val="center"/>
              <w:rPr>
                <w:rFonts w:ascii="Arial" w:hAnsi="Arial" w:cs="Arial"/>
                <w:b/>
                <w:sz w:val="20"/>
                <w:szCs w:val="20"/>
                <w:lang w:eastAsia="en-IN"/>
              </w:rPr>
            </w:pPr>
            <w:r w:rsidRPr="008868F3">
              <w:rPr>
                <w:rFonts w:ascii="Arial" w:eastAsia="Times New Roman" w:hAnsi="Arial" w:cs="Arial"/>
                <w:sz w:val="20"/>
                <w:szCs w:val="20"/>
                <w:lang w:eastAsia="en-IN"/>
              </w:rPr>
              <w:t>Major</w:t>
            </w:r>
            <w:r w:rsidRPr="00937172">
              <w:rPr>
                <w:rFonts w:ascii="Arial" w:eastAsia="Times New Roman" w:hAnsi="Arial" w:cs="Arial"/>
                <w:sz w:val="20"/>
                <w:szCs w:val="20"/>
                <w:lang w:eastAsia="en-IN"/>
              </w:rPr>
              <w:t xml:space="preserve"> et al., 201</w:t>
            </w:r>
            <w:r w:rsidRPr="008868F3">
              <w:rPr>
                <w:rFonts w:ascii="Arial" w:eastAsia="Times New Roman" w:hAnsi="Arial" w:cs="Arial"/>
                <w:sz w:val="20"/>
                <w:szCs w:val="20"/>
                <w:lang w:eastAsia="en-IN"/>
              </w:rPr>
              <w:t>2</w:t>
            </w:r>
            <w:r w:rsidRPr="00937172">
              <w:rPr>
                <w:rFonts w:ascii="Arial" w:eastAsia="Times New Roman" w:hAnsi="Arial" w:cs="Arial"/>
                <w:sz w:val="20"/>
                <w:szCs w:val="20"/>
                <w:lang w:eastAsia="en-IN"/>
              </w:rPr>
              <w:t xml:space="preserve">; </w:t>
            </w:r>
            <w:proofErr w:type="spellStart"/>
            <w:r w:rsidRPr="00937172">
              <w:rPr>
                <w:rFonts w:ascii="Arial" w:eastAsia="Times New Roman" w:hAnsi="Arial" w:cs="Arial"/>
                <w:sz w:val="20"/>
                <w:szCs w:val="20"/>
                <w:lang w:eastAsia="en-IN"/>
              </w:rPr>
              <w:t>Rab</w:t>
            </w:r>
            <w:proofErr w:type="spellEnd"/>
            <w:r w:rsidRPr="00937172">
              <w:rPr>
                <w:rFonts w:ascii="Arial" w:eastAsia="Times New Roman" w:hAnsi="Arial" w:cs="Arial"/>
                <w:sz w:val="20"/>
                <w:szCs w:val="20"/>
                <w:lang w:eastAsia="en-IN"/>
              </w:rPr>
              <w:t xml:space="preserve"> et al., 2016</w:t>
            </w:r>
          </w:p>
        </w:tc>
      </w:tr>
      <w:tr w:rsidR="00DB23EF" w:rsidRPr="008868F3" w14:paraId="3DB92296" w14:textId="77777777" w:rsidTr="008B4BB0">
        <w:tc>
          <w:tcPr>
            <w:tcW w:w="2615" w:type="dxa"/>
            <w:vAlign w:val="center"/>
          </w:tcPr>
          <w:p w14:paraId="3A7A8817" w14:textId="77777777" w:rsidR="00DB23EF" w:rsidRPr="008868F3" w:rsidRDefault="00DB23EF" w:rsidP="008B4BB0">
            <w:pPr>
              <w:pStyle w:val="NoSpacing"/>
              <w:tabs>
                <w:tab w:val="left" w:pos="4820"/>
              </w:tabs>
              <w:ind w:left="0"/>
              <w:jc w:val="center"/>
              <w:rPr>
                <w:rFonts w:ascii="Arial" w:hAnsi="Arial" w:cs="Arial"/>
                <w:b/>
                <w:sz w:val="20"/>
                <w:szCs w:val="20"/>
                <w:lang w:eastAsia="en-IN"/>
              </w:rPr>
            </w:pPr>
            <w:r w:rsidRPr="008868F3">
              <w:rPr>
                <w:rFonts w:ascii="Arial" w:eastAsia="Times New Roman" w:hAnsi="Arial" w:cs="Arial"/>
                <w:b/>
                <w:bCs/>
                <w:sz w:val="20"/>
                <w:szCs w:val="20"/>
                <w:lang w:eastAsia="en-IN"/>
              </w:rPr>
              <w:t>Prevention of Nutrient Leaching</w:t>
            </w:r>
          </w:p>
        </w:tc>
        <w:tc>
          <w:tcPr>
            <w:tcW w:w="2819" w:type="dxa"/>
            <w:vAlign w:val="center"/>
          </w:tcPr>
          <w:p w14:paraId="09C39A6C" w14:textId="77777777" w:rsidR="00DB23EF" w:rsidRPr="008868F3" w:rsidRDefault="00DB23EF" w:rsidP="008B4BB0">
            <w:pPr>
              <w:pStyle w:val="NoSpacing"/>
              <w:tabs>
                <w:tab w:val="left" w:pos="4820"/>
              </w:tabs>
              <w:ind w:left="0"/>
              <w:jc w:val="center"/>
              <w:rPr>
                <w:rFonts w:ascii="Arial" w:hAnsi="Arial" w:cs="Arial"/>
                <w:b/>
                <w:sz w:val="20"/>
                <w:szCs w:val="20"/>
                <w:lang w:eastAsia="en-IN"/>
              </w:rPr>
            </w:pPr>
            <w:r w:rsidRPr="00937172">
              <w:rPr>
                <w:rFonts w:ascii="Arial" w:eastAsia="Times New Roman" w:hAnsi="Arial" w:cs="Arial"/>
                <w:sz w:val="20"/>
                <w:szCs w:val="20"/>
                <w:lang w:eastAsia="en-IN"/>
              </w:rPr>
              <w:t>Adsorption of nitrate and phosphate; pH buffering</w:t>
            </w:r>
          </w:p>
        </w:tc>
        <w:tc>
          <w:tcPr>
            <w:tcW w:w="2719" w:type="dxa"/>
            <w:vAlign w:val="center"/>
          </w:tcPr>
          <w:p w14:paraId="3007E053" w14:textId="77777777" w:rsidR="00DB23EF" w:rsidRPr="008868F3" w:rsidRDefault="00DB23EF" w:rsidP="008B4BB0">
            <w:pPr>
              <w:pStyle w:val="NoSpacing"/>
              <w:tabs>
                <w:tab w:val="left" w:pos="4820"/>
              </w:tabs>
              <w:ind w:left="0"/>
              <w:jc w:val="center"/>
              <w:rPr>
                <w:rFonts w:ascii="Arial" w:hAnsi="Arial" w:cs="Arial"/>
                <w:b/>
                <w:sz w:val="20"/>
                <w:szCs w:val="20"/>
                <w:lang w:eastAsia="en-IN"/>
              </w:rPr>
            </w:pPr>
            <w:r w:rsidRPr="00937172">
              <w:rPr>
                <w:rFonts w:ascii="Arial" w:eastAsia="Times New Roman" w:hAnsi="Arial" w:cs="Arial"/>
                <w:sz w:val="20"/>
                <w:szCs w:val="20"/>
                <w:lang w:eastAsia="en-IN"/>
              </w:rPr>
              <w:t>Lower leaching losses, particularly of N and K</w:t>
            </w:r>
          </w:p>
        </w:tc>
        <w:tc>
          <w:tcPr>
            <w:tcW w:w="2719" w:type="dxa"/>
            <w:vAlign w:val="center"/>
          </w:tcPr>
          <w:p w14:paraId="3935A7BF" w14:textId="77777777" w:rsidR="00DB23EF" w:rsidRPr="008868F3" w:rsidRDefault="00DB23EF" w:rsidP="008B4BB0">
            <w:pPr>
              <w:pStyle w:val="NoSpacing"/>
              <w:tabs>
                <w:tab w:val="left" w:pos="4820"/>
              </w:tabs>
              <w:ind w:left="0"/>
              <w:jc w:val="center"/>
              <w:rPr>
                <w:rFonts w:ascii="Arial" w:hAnsi="Arial" w:cs="Arial"/>
                <w:b/>
                <w:sz w:val="20"/>
                <w:szCs w:val="20"/>
                <w:lang w:eastAsia="en-IN"/>
              </w:rPr>
            </w:pPr>
            <w:r w:rsidRPr="00937172">
              <w:rPr>
                <w:rFonts w:ascii="Arial" w:eastAsia="Times New Roman" w:hAnsi="Arial" w:cs="Arial"/>
                <w:sz w:val="20"/>
                <w:szCs w:val="20"/>
                <w:lang w:eastAsia="en-IN"/>
              </w:rPr>
              <w:t>Sustained nutrient supply over growth period; enhanced pod and seed set</w:t>
            </w:r>
          </w:p>
        </w:tc>
        <w:tc>
          <w:tcPr>
            <w:tcW w:w="2800" w:type="dxa"/>
            <w:vAlign w:val="center"/>
          </w:tcPr>
          <w:p w14:paraId="5A710AD3" w14:textId="77777777" w:rsidR="00DB23EF" w:rsidRPr="008868F3" w:rsidRDefault="00DB23EF" w:rsidP="008B4BB0">
            <w:pPr>
              <w:pStyle w:val="NoSpacing"/>
              <w:tabs>
                <w:tab w:val="left" w:pos="4820"/>
              </w:tabs>
              <w:ind w:left="0"/>
              <w:jc w:val="center"/>
              <w:rPr>
                <w:rFonts w:ascii="Arial" w:hAnsi="Arial" w:cs="Arial"/>
                <w:b/>
                <w:sz w:val="20"/>
                <w:szCs w:val="20"/>
                <w:lang w:eastAsia="en-IN"/>
              </w:rPr>
            </w:pPr>
            <w:r w:rsidRPr="00937172">
              <w:rPr>
                <w:rFonts w:ascii="Arial" w:eastAsia="Times New Roman" w:hAnsi="Arial" w:cs="Arial"/>
                <w:sz w:val="20"/>
                <w:szCs w:val="20"/>
                <w:lang w:eastAsia="en-IN"/>
              </w:rPr>
              <w:t>Laird et al., 2010; Singh et al., 20</w:t>
            </w:r>
            <w:r w:rsidRPr="008868F3">
              <w:rPr>
                <w:rFonts w:ascii="Arial" w:eastAsia="Times New Roman" w:hAnsi="Arial" w:cs="Arial"/>
                <w:sz w:val="20"/>
                <w:szCs w:val="20"/>
                <w:lang w:eastAsia="en-IN"/>
              </w:rPr>
              <w:t>24</w:t>
            </w:r>
          </w:p>
        </w:tc>
      </w:tr>
      <w:tr w:rsidR="00DB23EF" w:rsidRPr="008868F3" w14:paraId="6F150BAA" w14:textId="77777777" w:rsidTr="008B4BB0">
        <w:tc>
          <w:tcPr>
            <w:tcW w:w="2615" w:type="dxa"/>
            <w:vAlign w:val="center"/>
          </w:tcPr>
          <w:p w14:paraId="0270977B" w14:textId="77777777" w:rsidR="00DB23EF" w:rsidRPr="008868F3" w:rsidRDefault="00DB23EF" w:rsidP="008B4BB0">
            <w:pPr>
              <w:pStyle w:val="NoSpacing"/>
              <w:tabs>
                <w:tab w:val="left" w:pos="4820"/>
              </w:tabs>
              <w:ind w:left="0"/>
              <w:jc w:val="center"/>
              <w:rPr>
                <w:rFonts w:ascii="Arial" w:hAnsi="Arial" w:cs="Arial"/>
                <w:b/>
                <w:sz w:val="20"/>
                <w:szCs w:val="20"/>
                <w:lang w:eastAsia="en-IN"/>
              </w:rPr>
            </w:pPr>
            <w:r w:rsidRPr="008868F3">
              <w:rPr>
                <w:rFonts w:ascii="Arial" w:eastAsia="Times New Roman" w:hAnsi="Arial" w:cs="Arial"/>
                <w:b/>
                <w:bCs/>
                <w:sz w:val="20"/>
                <w:szCs w:val="20"/>
                <w:lang w:eastAsia="en-IN"/>
              </w:rPr>
              <w:t>Interaction with Organic/Inorganic Fertilizers</w:t>
            </w:r>
          </w:p>
        </w:tc>
        <w:tc>
          <w:tcPr>
            <w:tcW w:w="2819" w:type="dxa"/>
            <w:vAlign w:val="center"/>
          </w:tcPr>
          <w:p w14:paraId="34700BFF" w14:textId="77777777" w:rsidR="00DB23EF" w:rsidRPr="008868F3" w:rsidRDefault="00DB23EF" w:rsidP="008B4BB0">
            <w:pPr>
              <w:pStyle w:val="NoSpacing"/>
              <w:tabs>
                <w:tab w:val="left" w:pos="4820"/>
              </w:tabs>
              <w:ind w:left="0"/>
              <w:jc w:val="center"/>
              <w:rPr>
                <w:rFonts w:ascii="Arial" w:hAnsi="Arial" w:cs="Arial"/>
                <w:b/>
                <w:sz w:val="20"/>
                <w:szCs w:val="20"/>
                <w:lang w:eastAsia="en-IN"/>
              </w:rPr>
            </w:pPr>
            <w:r w:rsidRPr="00937172">
              <w:rPr>
                <w:rFonts w:ascii="Arial" w:eastAsia="Times New Roman" w:hAnsi="Arial" w:cs="Arial"/>
                <w:sz w:val="20"/>
                <w:szCs w:val="20"/>
                <w:lang w:eastAsia="en-IN"/>
              </w:rPr>
              <w:t>Acts as a carrier; slows nutrient release; reduces volatilization</w:t>
            </w:r>
          </w:p>
        </w:tc>
        <w:tc>
          <w:tcPr>
            <w:tcW w:w="2719" w:type="dxa"/>
            <w:vAlign w:val="center"/>
          </w:tcPr>
          <w:p w14:paraId="498905F6" w14:textId="77777777" w:rsidR="00DB23EF" w:rsidRPr="008868F3" w:rsidRDefault="00DB23EF" w:rsidP="008B4BB0">
            <w:pPr>
              <w:pStyle w:val="NoSpacing"/>
              <w:tabs>
                <w:tab w:val="left" w:pos="4820"/>
              </w:tabs>
              <w:ind w:left="0"/>
              <w:jc w:val="center"/>
              <w:rPr>
                <w:rFonts w:ascii="Arial" w:hAnsi="Arial" w:cs="Arial"/>
                <w:b/>
                <w:sz w:val="20"/>
                <w:szCs w:val="20"/>
                <w:lang w:eastAsia="en-IN"/>
              </w:rPr>
            </w:pPr>
            <w:r w:rsidRPr="00937172">
              <w:rPr>
                <w:rFonts w:ascii="Arial" w:eastAsia="Times New Roman" w:hAnsi="Arial" w:cs="Arial"/>
                <w:sz w:val="20"/>
                <w:szCs w:val="20"/>
                <w:lang w:eastAsia="en-IN"/>
              </w:rPr>
              <w:t>Improves fertilizer efficiency and reduces environmental loss</w:t>
            </w:r>
          </w:p>
        </w:tc>
        <w:tc>
          <w:tcPr>
            <w:tcW w:w="2719" w:type="dxa"/>
            <w:vAlign w:val="center"/>
          </w:tcPr>
          <w:p w14:paraId="28B6946C" w14:textId="77777777" w:rsidR="00DB23EF" w:rsidRPr="008868F3" w:rsidRDefault="00DB23EF" w:rsidP="008B4BB0">
            <w:pPr>
              <w:pStyle w:val="NoSpacing"/>
              <w:tabs>
                <w:tab w:val="left" w:pos="4820"/>
              </w:tabs>
              <w:ind w:left="0"/>
              <w:jc w:val="center"/>
              <w:rPr>
                <w:rFonts w:ascii="Arial" w:hAnsi="Arial" w:cs="Arial"/>
                <w:b/>
                <w:sz w:val="20"/>
                <w:szCs w:val="20"/>
                <w:lang w:eastAsia="en-IN"/>
              </w:rPr>
            </w:pPr>
            <w:r w:rsidRPr="00937172">
              <w:rPr>
                <w:rFonts w:ascii="Arial" w:eastAsia="Times New Roman" w:hAnsi="Arial" w:cs="Arial"/>
                <w:sz w:val="20"/>
                <w:szCs w:val="20"/>
                <w:lang w:eastAsia="en-IN"/>
              </w:rPr>
              <w:t>Enhanced biomass and yield per unit fertilizer applied</w:t>
            </w:r>
          </w:p>
        </w:tc>
        <w:tc>
          <w:tcPr>
            <w:tcW w:w="2800" w:type="dxa"/>
            <w:vAlign w:val="center"/>
          </w:tcPr>
          <w:p w14:paraId="7F68B5D8" w14:textId="77777777" w:rsidR="00DB23EF" w:rsidRPr="008868F3" w:rsidRDefault="00DB23EF" w:rsidP="008B4BB0">
            <w:pPr>
              <w:pStyle w:val="NoSpacing"/>
              <w:tabs>
                <w:tab w:val="left" w:pos="4820"/>
              </w:tabs>
              <w:ind w:left="0"/>
              <w:jc w:val="center"/>
              <w:rPr>
                <w:rFonts w:ascii="Arial" w:hAnsi="Arial" w:cs="Arial"/>
                <w:b/>
                <w:sz w:val="20"/>
                <w:szCs w:val="20"/>
                <w:lang w:eastAsia="en-IN"/>
              </w:rPr>
            </w:pPr>
            <w:r w:rsidRPr="00937172">
              <w:rPr>
                <w:rFonts w:ascii="Arial" w:eastAsia="Times New Roman" w:hAnsi="Arial" w:cs="Arial"/>
                <w:sz w:val="20"/>
                <w:szCs w:val="20"/>
                <w:lang w:eastAsia="en-IN"/>
              </w:rPr>
              <w:t xml:space="preserve">Uzoma et al., 2011; </w:t>
            </w:r>
            <w:proofErr w:type="spellStart"/>
            <w:r w:rsidRPr="008868F3">
              <w:rPr>
                <w:rFonts w:ascii="Arial" w:eastAsia="Times New Roman" w:hAnsi="Arial" w:cs="Arial"/>
                <w:sz w:val="20"/>
                <w:szCs w:val="20"/>
                <w:lang w:eastAsia="en-IN"/>
              </w:rPr>
              <w:t>Arif</w:t>
            </w:r>
            <w:proofErr w:type="spellEnd"/>
            <w:r w:rsidRPr="00937172">
              <w:rPr>
                <w:rFonts w:ascii="Arial" w:eastAsia="Times New Roman" w:hAnsi="Arial" w:cs="Arial"/>
                <w:sz w:val="20"/>
                <w:szCs w:val="20"/>
                <w:lang w:eastAsia="en-IN"/>
              </w:rPr>
              <w:t xml:space="preserve"> et al., 202</w:t>
            </w:r>
            <w:r w:rsidRPr="008868F3">
              <w:rPr>
                <w:rFonts w:ascii="Arial" w:eastAsia="Times New Roman" w:hAnsi="Arial" w:cs="Arial"/>
                <w:sz w:val="20"/>
                <w:szCs w:val="20"/>
                <w:lang w:eastAsia="en-IN"/>
              </w:rPr>
              <w:t>1</w:t>
            </w:r>
          </w:p>
        </w:tc>
      </w:tr>
      <w:tr w:rsidR="00DB23EF" w:rsidRPr="008868F3" w14:paraId="5AF74E2C" w14:textId="77777777" w:rsidTr="008B4BB0">
        <w:tc>
          <w:tcPr>
            <w:tcW w:w="2615" w:type="dxa"/>
            <w:tcBorders>
              <w:bottom w:val="single" w:sz="4" w:space="0" w:color="auto"/>
            </w:tcBorders>
            <w:vAlign w:val="center"/>
          </w:tcPr>
          <w:p w14:paraId="156D5DB0" w14:textId="77777777" w:rsidR="00DB23EF" w:rsidRPr="008868F3" w:rsidRDefault="00DB23EF" w:rsidP="008B4BB0">
            <w:pPr>
              <w:pStyle w:val="NoSpacing"/>
              <w:tabs>
                <w:tab w:val="left" w:pos="4820"/>
              </w:tabs>
              <w:ind w:left="0"/>
              <w:jc w:val="center"/>
              <w:rPr>
                <w:rFonts w:ascii="Arial" w:hAnsi="Arial" w:cs="Arial"/>
                <w:b/>
                <w:sz w:val="20"/>
                <w:szCs w:val="20"/>
                <w:lang w:eastAsia="en-IN"/>
              </w:rPr>
            </w:pPr>
            <w:r w:rsidRPr="008868F3">
              <w:rPr>
                <w:rFonts w:ascii="Arial" w:eastAsia="Times New Roman" w:hAnsi="Arial" w:cs="Arial"/>
                <w:b/>
                <w:bCs/>
                <w:sz w:val="20"/>
                <w:szCs w:val="20"/>
                <w:lang w:eastAsia="en-IN"/>
              </w:rPr>
              <w:t>Synergistic Effects on Mung Bean Productivity</w:t>
            </w:r>
          </w:p>
        </w:tc>
        <w:tc>
          <w:tcPr>
            <w:tcW w:w="2819" w:type="dxa"/>
            <w:tcBorders>
              <w:bottom w:val="single" w:sz="4" w:space="0" w:color="auto"/>
            </w:tcBorders>
            <w:vAlign w:val="center"/>
          </w:tcPr>
          <w:p w14:paraId="1FAFF631" w14:textId="77777777" w:rsidR="00DB23EF" w:rsidRPr="008868F3" w:rsidRDefault="00DB23EF" w:rsidP="008B4BB0">
            <w:pPr>
              <w:pStyle w:val="NoSpacing"/>
              <w:tabs>
                <w:tab w:val="left" w:pos="4820"/>
              </w:tabs>
              <w:ind w:left="0"/>
              <w:jc w:val="center"/>
              <w:rPr>
                <w:rFonts w:ascii="Arial" w:hAnsi="Arial" w:cs="Arial"/>
                <w:b/>
                <w:sz w:val="20"/>
                <w:szCs w:val="20"/>
                <w:lang w:eastAsia="en-IN"/>
              </w:rPr>
            </w:pPr>
            <w:r w:rsidRPr="00937172">
              <w:rPr>
                <w:rFonts w:ascii="Arial" w:eastAsia="Times New Roman" w:hAnsi="Arial" w:cs="Arial"/>
                <w:sz w:val="20"/>
                <w:szCs w:val="20"/>
                <w:lang w:eastAsia="en-IN"/>
              </w:rPr>
              <w:t xml:space="preserve">Stimulates microbial activity and </w:t>
            </w:r>
            <w:proofErr w:type="spellStart"/>
            <w:r w:rsidRPr="00937172">
              <w:rPr>
                <w:rFonts w:ascii="Arial" w:eastAsia="Times New Roman" w:hAnsi="Arial" w:cs="Arial"/>
                <w:sz w:val="20"/>
                <w:szCs w:val="20"/>
                <w:lang w:eastAsia="en-IN"/>
              </w:rPr>
              <w:t>rhizobial</w:t>
            </w:r>
            <w:proofErr w:type="spellEnd"/>
            <w:r w:rsidRPr="00937172">
              <w:rPr>
                <w:rFonts w:ascii="Arial" w:eastAsia="Times New Roman" w:hAnsi="Arial" w:cs="Arial"/>
                <w:sz w:val="20"/>
                <w:szCs w:val="20"/>
                <w:lang w:eastAsia="en-IN"/>
              </w:rPr>
              <w:t xml:space="preserve"> colonization; supports root growth</w:t>
            </w:r>
          </w:p>
        </w:tc>
        <w:tc>
          <w:tcPr>
            <w:tcW w:w="2719" w:type="dxa"/>
            <w:tcBorders>
              <w:bottom w:val="single" w:sz="4" w:space="0" w:color="auto"/>
            </w:tcBorders>
            <w:vAlign w:val="center"/>
          </w:tcPr>
          <w:p w14:paraId="3C8473B1" w14:textId="77777777" w:rsidR="00DB23EF" w:rsidRPr="008868F3" w:rsidRDefault="00DB23EF" w:rsidP="008B4BB0">
            <w:pPr>
              <w:pStyle w:val="NoSpacing"/>
              <w:tabs>
                <w:tab w:val="left" w:pos="4820"/>
              </w:tabs>
              <w:ind w:left="0"/>
              <w:jc w:val="center"/>
              <w:rPr>
                <w:rFonts w:ascii="Arial" w:hAnsi="Arial" w:cs="Arial"/>
                <w:b/>
                <w:sz w:val="20"/>
                <w:szCs w:val="20"/>
                <w:lang w:eastAsia="en-IN"/>
              </w:rPr>
            </w:pPr>
            <w:r w:rsidRPr="00937172">
              <w:rPr>
                <w:rFonts w:ascii="Arial" w:eastAsia="Times New Roman" w:hAnsi="Arial" w:cs="Arial"/>
                <w:sz w:val="20"/>
                <w:szCs w:val="20"/>
                <w:lang w:eastAsia="en-IN"/>
              </w:rPr>
              <w:t>Enhanced nitrogen fixation and uptake of macro- and micro-nutrients</w:t>
            </w:r>
          </w:p>
        </w:tc>
        <w:tc>
          <w:tcPr>
            <w:tcW w:w="2719" w:type="dxa"/>
            <w:tcBorders>
              <w:bottom w:val="single" w:sz="4" w:space="0" w:color="auto"/>
            </w:tcBorders>
            <w:vAlign w:val="center"/>
          </w:tcPr>
          <w:p w14:paraId="4057287D" w14:textId="77777777" w:rsidR="00DB23EF" w:rsidRPr="008868F3" w:rsidRDefault="00DB23EF" w:rsidP="008B4BB0">
            <w:pPr>
              <w:pStyle w:val="NoSpacing"/>
              <w:tabs>
                <w:tab w:val="left" w:pos="4820"/>
              </w:tabs>
              <w:ind w:left="0"/>
              <w:jc w:val="center"/>
              <w:rPr>
                <w:rFonts w:ascii="Arial" w:hAnsi="Arial" w:cs="Arial"/>
                <w:b/>
                <w:sz w:val="20"/>
                <w:szCs w:val="20"/>
                <w:lang w:eastAsia="en-IN"/>
              </w:rPr>
            </w:pPr>
            <w:r w:rsidRPr="00937172">
              <w:rPr>
                <w:rFonts w:ascii="Arial" w:eastAsia="Times New Roman" w:hAnsi="Arial" w:cs="Arial"/>
                <w:sz w:val="20"/>
                <w:szCs w:val="20"/>
                <w:lang w:eastAsia="en-IN"/>
              </w:rPr>
              <w:t>Improved pod length, seed weight, harvest index, and total seed yield</w:t>
            </w:r>
          </w:p>
        </w:tc>
        <w:tc>
          <w:tcPr>
            <w:tcW w:w="2800" w:type="dxa"/>
            <w:tcBorders>
              <w:bottom w:val="single" w:sz="4" w:space="0" w:color="auto"/>
            </w:tcBorders>
            <w:vAlign w:val="center"/>
          </w:tcPr>
          <w:p w14:paraId="6AB91F6B" w14:textId="77777777" w:rsidR="00DB23EF" w:rsidRPr="008868F3" w:rsidRDefault="00DB23EF" w:rsidP="008B4BB0">
            <w:pPr>
              <w:pStyle w:val="NoSpacing"/>
              <w:tabs>
                <w:tab w:val="left" w:pos="4820"/>
              </w:tabs>
              <w:ind w:left="0"/>
              <w:jc w:val="center"/>
              <w:rPr>
                <w:rFonts w:ascii="Arial" w:hAnsi="Arial" w:cs="Arial"/>
                <w:b/>
                <w:sz w:val="20"/>
                <w:szCs w:val="20"/>
                <w:lang w:eastAsia="en-IN"/>
              </w:rPr>
            </w:pPr>
            <w:proofErr w:type="spellStart"/>
            <w:r w:rsidRPr="00937172">
              <w:rPr>
                <w:rFonts w:ascii="Arial" w:eastAsia="Times New Roman" w:hAnsi="Arial" w:cs="Arial"/>
                <w:sz w:val="20"/>
                <w:szCs w:val="20"/>
                <w:lang w:eastAsia="en-IN"/>
              </w:rPr>
              <w:t>Rab</w:t>
            </w:r>
            <w:proofErr w:type="spellEnd"/>
            <w:r w:rsidRPr="00937172">
              <w:rPr>
                <w:rFonts w:ascii="Arial" w:eastAsia="Times New Roman" w:hAnsi="Arial" w:cs="Arial"/>
                <w:sz w:val="20"/>
                <w:szCs w:val="20"/>
                <w:lang w:eastAsia="en-IN"/>
              </w:rPr>
              <w:t xml:space="preserve"> et al., 2016; </w:t>
            </w:r>
            <w:r w:rsidRPr="008868F3">
              <w:rPr>
                <w:rFonts w:ascii="Arial" w:eastAsia="Times New Roman" w:hAnsi="Arial" w:cs="Arial"/>
                <w:sz w:val="20"/>
                <w:szCs w:val="20"/>
                <w:lang w:eastAsia="en-IN"/>
              </w:rPr>
              <w:t xml:space="preserve">Murtaza </w:t>
            </w:r>
            <w:r w:rsidRPr="00937172">
              <w:rPr>
                <w:rFonts w:ascii="Arial" w:eastAsia="Times New Roman" w:hAnsi="Arial" w:cs="Arial"/>
                <w:sz w:val="20"/>
                <w:szCs w:val="20"/>
                <w:lang w:eastAsia="en-IN"/>
              </w:rPr>
              <w:t>et al., 20</w:t>
            </w:r>
            <w:r w:rsidRPr="008868F3">
              <w:rPr>
                <w:rFonts w:ascii="Arial" w:eastAsia="Times New Roman" w:hAnsi="Arial" w:cs="Arial"/>
                <w:sz w:val="20"/>
                <w:szCs w:val="20"/>
                <w:lang w:eastAsia="en-IN"/>
              </w:rPr>
              <w:t>23</w:t>
            </w:r>
          </w:p>
        </w:tc>
      </w:tr>
    </w:tbl>
    <w:p w14:paraId="5C7EC2F4" w14:textId="77777777" w:rsidR="00DB23EF" w:rsidRDefault="00DB23EF" w:rsidP="00DB23EF">
      <w:pPr>
        <w:spacing w:before="100" w:beforeAutospacing="1" w:after="100" w:afterAutospacing="1"/>
        <w:ind w:left="0"/>
        <w:rPr>
          <w:rFonts w:ascii="Times New Roman" w:eastAsia="Times New Roman" w:hAnsi="Times New Roman" w:cs="Times New Roman"/>
          <w:sz w:val="24"/>
          <w:szCs w:val="24"/>
          <w:lang w:eastAsia="en-IN"/>
        </w:rPr>
        <w:sectPr w:rsidR="00DB23EF" w:rsidSect="00D936A5">
          <w:pgSz w:w="16838" w:h="11906" w:orient="landscape"/>
          <w:pgMar w:top="1440" w:right="1440" w:bottom="1440" w:left="1440" w:header="708" w:footer="708" w:gutter="0"/>
          <w:cols w:space="708"/>
          <w:docGrid w:linePitch="360"/>
        </w:sectPr>
      </w:pPr>
    </w:p>
    <w:p w14:paraId="0609E3BC" w14:textId="77777777" w:rsidR="00DB23EF" w:rsidRPr="00851001" w:rsidRDefault="00DB23EF" w:rsidP="00DB23EF">
      <w:pPr>
        <w:pStyle w:val="NoSpacing"/>
        <w:spacing w:line="360" w:lineRule="auto"/>
        <w:ind w:left="0"/>
        <w:rPr>
          <w:rFonts w:ascii="Arial" w:hAnsi="Arial" w:cs="Arial"/>
          <w:sz w:val="24"/>
        </w:rPr>
      </w:pPr>
      <w:r w:rsidRPr="00851001">
        <w:rPr>
          <w:rStyle w:val="Strong"/>
          <w:rFonts w:ascii="Arial" w:hAnsi="Arial" w:cs="Arial"/>
          <w:bCs w:val="0"/>
        </w:rPr>
        <w:lastRenderedPageBreak/>
        <w:t>8. FUTURE PROSPECTS AND RESEARCH DIRECTIONS</w:t>
      </w:r>
    </w:p>
    <w:p w14:paraId="447255A6" w14:textId="77777777" w:rsidR="00DB23EF" w:rsidRPr="00851001" w:rsidRDefault="00DB23EF" w:rsidP="00DB23EF">
      <w:pPr>
        <w:pStyle w:val="NoSpacing"/>
        <w:ind w:left="0"/>
      </w:pPr>
    </w:p>
    <w:p w14:paraId="714C9D8A" w14:textId="77777777" w:rsidR="00DB23EF" w:rsidRPr="00851001" w:rsidRDefault="00DB23EF" w:rsidP="00DB23EF">
      <w:pPr>
        <w:pStyle w:val="NoSpacing"/>
        <w:ind w:left="0"/>
        <w:rPr>
          <w:rFonts w:ascii="Arial" w:hAnsi="Arial" w:cs="Arial"/>
          <w:sz w:val="20"/>
        </w:rPr>
      </w:pPr>
      <w:r w:rsidRPr="00851001">
        <w:rPr>
          <w:rFonts w:ascii="Arial" w:hAnsi="Arial" w:cs="Arial"/>
          <w:sz w:val="20"/>
        </w:rPr>
        <w:t>The emerging role of sugarcane bagasse-derived biochar in sustainable agriculture opens numerous opportunities for its broader integration into mainstream farming systems. However, several scientific, technological, and socio-economic aspects require further exploration to maximize its impact, particularly in legume-based systems like mung bean.</w:t>
      </w:r>
    </w:p>
    <w:p w14:paraId="2344A7FA" w14:textId="77777777" w:rsidR="00DB23EF" w:rsidRPr="00851001" w:rsidRDefault="00DB23EF" w:rsidP="00DB23EF">
      <w:pPr>
        <w:pStyle w:val="NoSpacing"/>
        <w:rPr>
          <w:rFonts w:ascii="Arial" w:hAnsi="Arial" w:cs="Arial"/>
          <w:sz w:val="20"/>
        </w:rPr>
      </w:pPr>
    </w:p>
    <w:p w14:paraId="1BECEA94" w14:textId="77777777" w:rsidR="00DB23EF" w:rsidRPr="00851001" w:rsidRDefault="00DB23EF" w:rsidP="00DB23EF">
      <w:pPr>
        <w:pStyle w:val="NoSpacing"/>
        <w:ind w:left="0"/>
        <w:rPr>
          <w:rFonts w:ascii="Arial" w:hAnsi="Arial" w:cs="Arial"/>
        </w:rPr>
      </w:pPr>
      <w:r>
        <w:rPr>
          <w:rStyle w:val="Strong"/>
          <w:rFonts w:ascii="Arial" w:hAnsi="Arial" w:cs="Arial"/>
          <w:bCs w:val="0"/>
        </w:rPr>
        <w:t xml:space="preserve">8.1 </w:t>
      </w:r>
      <w:r w:rsidRPr="00851001">
        <w:rPr>
          <w:rStyle w:val="Strong"/>
          <w:rFonts w:ascii="Arial" w:hAnsi="Arial" w:cs="Arial"/>
          <w:bCs w:val="0"/>
        </w:rPr>
        <w:t>Integration with Climate-Smart Agriculture</w:t>
      </w:r>
    </w:p>
    <w:p w14:paraId="6AEFF18D" w14:textId="28CBA3DB" w:rsidR="00DB23EF" w:rsidRPr="00851001" w:rsidRDefault="00DB23EF" w:rsidP="00DB23EF">
      <w:pPr>
        <w:pStyle w:val="NoSpacing"/>
        <w:ind w:left="0"/>
        <w:rPr>
          <w:rFonts w:ascii="Arial" w:hAnsi="Arial" w:cs="Arial"/>
          <w:sz w:val="20"/>
        </w:rPr>
      </w:pPr>
      <w:r w:rsidRPr="00851001">
        <w:rPr>
          <w:rFonts w:ascii="Arial" w:hAnsi="Arial" w:cs="Arial"/>
          <w:sz w:val="20"/>
        </w:rPr>
        <w:t xml:space="preserve">Biochar fits well within the principles of </w:t>
      </w:r>
      <w:r w:rsidRPr="00851001">
        <w:rPr>
          <w:rStyle w:val="Strong"/>
          <w:rFonts w:ascii="Arial" w:hAnsi="Arial" w:cs="Arial"/>
          <w:b w:val="0"/>
          <w:bCs w:val="0"/>
          <w:sz w:val="20"/>
        </w:rPr>
        <w:t>climate-smart agriculture (CSA)</w:t>
      </w:r>
      <w:r w:rsidRPr="00851001">
        <w:rPr>
          <w:rFonts w:ascii="Arial" w:hAnsi="Arial" w:cs="Arial"/>
          <w:sz w:val="20"/>
        </w:rPr>
        <w:t xml:space="preserve"> by contributing to </w:t>
      </w:r>
      <w:r w:rsidRPr="00851001">
        <w:rPr>
          <w:rStyle w:val="Strong"/>
          <w:rFonts w:ascii="Arial" w:hAnsi="Arial" w:cs="Arial"/>
          <w:b w:val="0"/>
          <w:bCs w:val="0"/>
          <w:sz w:val="20"/>
        </w:rPr>
        <w:t>resilience, mitigation, and productivity</w:t>
      </w:r>
      <w:r w:rsidRPr="00851001">
        <w:rPr>
          <w:rFonts w:ascii="Arial" w:hAnsi="Arial" w:cs="Arial"/>
          <w:sz w:val="20"/>
        </w:rPr>
        <w:t xml:space="preserve">. Its ability to </w:t>
      </w:r>
      <w:r w:rsidRPr="00851001">
        <w:rPr>
          <w:rStyle w:val="Strong"/>
          <w:rFonts w:ascii="Arial" w:hAnsi="Arial" w:cs="Arial"/>
          <w:b w:val="0"/>
          <w:bCs w:val="0"/>
          <w:sz w:val="20"/>
        </w:rPr>
        <w:t>sequester carbon</w:t>
      </w:r>
      <w:r w:rsidRPr="00851001">
        <w:rPr>
          <w:rFonts w:ascii="Arial" w:hAnsi="Arial" w:cs="Arial"/>
          <w:sz w:val="20"/>
        </w:rPr>
        <w:t xml:space="preserve">, </w:t>
      </w:r>
      <w:r w:rsidRPr="00851001">
        <w:rPr>
          <w:rStyle w:val="Strong"/>
          <w:rFonts w:ascii="Arial" w:hAnsi="Arial" w:cs="Arial"/>
          <w:b w:val="0"/>
          <w:bCs w:val="0"/>
          <w:sz w:val="20"/>
        </w:rPr>
        <w:t>reduce greenhouse gas emissions</w:t>
      </w:r>
      <w:r w:rsidRPr="00851001">
        <w:rPr>
          <w:rFonts w:ascii="Arial" w:hAnsi="Arial" w:cs="Arial"/>
          <w:sz w:val="20"/>
        </w:rPr>
        <w:t xml:space="preserve">, and </w:t>
      </w:r>
      <w:r w:rsidRPr="00851001">
        <w:rPr>
          <w:rStyle w:val="Strong"/>
          <w:rFonts w:ascii="Arial" w:hAnsi="Arial" w:cs="Arial"/>
          <w:b w:val="0"/>
          <w:bCs w:val="0"/>
          <w:sz w:val="20"/>
        </w:rPr>
        <w:t>improve soil health</w:t>
      </w:r>
      <w:r w:rsidRPr="00851001">
        <w:rPr>
          <w:rFonts w:ascii="Arial" w:hAnsi="Arial" w:cs="Arial"/>
          <w:sz w:val="20"/>
        </w:rPr>
        <w:t xml:space="preserve"> positions it as a vital tool for adapting to climate variability</w:t>
      </w:r>
      <w:r>
        <w:rPr>
          <w:rFonts w:ascii="Arial" w:hAnsi="Arial" w:cs="Arial"/>
          <w:sz w:val="20"/>
        </w:rPr>
        <w:t xml:space="preserve"> (Chouhan et al., 2023)</w:t>
      </w:r>
      <w:r w:rsidRPr="00851001">
        <w:rPr>
          <w:rFonts w:ascii="Arial" w:hAnsi="Arial" w:cs="Arial"/>
          <w:sz w:val="20"/>
        </w:rPr>
        <w:t>. Future strategies should emphasize incorporating biochar into CSA frameworks, especially in regions prone to soil degradation, drought, and low fertilizer use efficiency. Combining biochar with drought-resilient crops like mung bean may improve system resilience while enhancing sustainability.</w:t>
      </w:r>
    </w:p>
    <w:p w14:paraId="12129A7F" w14:textId="77777777" w:rsidR="00DB23EF" w:rsidRPr="00851001" w:rsidRDefault="00DB23EF" w:rsidP="00DB23EF">
      <w:pPr>
        <w:pStyle w:val="NoSpacing"/>
        <w:rPr>
          <w:rFonts w:ascii="Arial" w:hAnsi="Arial" w:cs="Arial"/>
          <w:sz w:val="20"/>
        </w:rPr>
      </w:pPr>
    </w:p>
    <w:p w14:paraId="6EBDBFBE" w14:textId="77777777" w:rsidR="00DB23EF" w:rsidRPr="00851001" w:rsidRDefault="00DB23EF" w:rsidP="00DB23EF">
      <w:pPr>
        <w:pStyle w:val="NoSpacing"/>
        <w:ind w:left="0"/>
        <w:rPr>
          <w:rFonts w:ascii="Arial" w:hAnsi="Arial" w:cs="Arial"/>
        </w:rPr>
      </w:pPr>
      <w:r>
        <w:rPr>
          <w:rStyle w:val="Strong"/>
          <w:rFonts w:ascii="Arial" w:hAnsi="Arial" w:cs="Arial"/>
          <w:bCs w:val="0"/>
        </w:rPr>
        <w:t xml:space="preserve">8.2 </w:t>
      </w:r>
      <w:r w:rsidRPr="00851001">
        <w:rPr>
          <w:rStyle w:val="Strong"/>
          <w:rFonts w:ascii="Arial" w:hAnsi="Arial" w:cs="Arial"/>
          <w:bCs w:val="0"/>
        </w:rPr>
        <w:t>Biochar Blends: Compost + Biochar and Nano-Biochar</w:t>
      </w:r>
    </w:p>
    <w:p w14:paraId="0071D26A" w14:textId="77777777" w:rsidR="00DB23EF" w:rsidRPr="00851001" w:rsidRDefault="00DB23EF" w:rsidP="00DB23EF">
      <w:pPr>
        <w:pStyle w:val="NoSpacing"/>
        <w:ind w:left="0"/>
        <w:rPr>
          <w:rFonts w:ascii="Arial" w:hAnsi="Arial" w:cs="Arial"/>
          <w:sz w:val="20"/>
        </w:rPr>
      </w:pPr>
      <w:r w:rsidRPr="00851001">
        <w:rPr>
          <w:rFonts w:ascii="Arial" w:hAnsi="Arial" w:cs="Arial"/>
          <w:sz w:val="20"/>
        </w:rPr>
        <w:t xml:space="preserve">One promising area of advancement is the development of </w:t>
      </w:r>
      <w:r w:rsidRPr="00851001">
        <w:rPr>
          <w:rStyle w:val="Strong"/>
          <w:rFonts w:ascii="Arial" w:hAnsi="Arial" w:cs="Arial"/>
          <w:b w:val="0"/>
          <w:bCs w:val="0"/>
          <w:sz w:val="20"/>
        </w:rPr>
        <w:t>biochar blends</w:t>
      </w:r>
      <w:r w:rsidRPr="00851001">
        <w:rPr>
          <w:rFonts w:ascii="Arial" w:hAnsi="Arial" w:cs="Arial"/>
          <w:sz w:val="20"/>
        </w:rPr>
        <w:t xml:space="preserve"> for targeted soil improvement. Co-application of </w:t>
      </w:r>
      <w:r w:rsidRPr="00851001">
        <w:rPr>
          <w:rStyle w:val="Strong"/>
          <w:rFonts w:ascii="Arial" w:hAnsi="Arial" w:cs="Arial"/>
          <w:b w:val="0"/>
          <w:bCs w:val="0"/>
          <w:sz w:val="20"/>
        </w:rPr>
        <w:t>biochar with compost or farmyard manure</w:t>
      </w:r>
      <w:r w:rsidRPr="00851001">
        <w:rPr>
          <w:rFonts w:ascii="Arial" w:hAnsi="Arial" w:cs="Arial"/>
          <w:sz w:val="20"/>
        </w:rPr>
        <w:t xml:space="preserve"> enhances nutrient availability, microbial diversity, and organic matter stability, leveraging the strengths of both materials. Compost-biochar blends can reduce nitrogen immobilization associated with pure biochar and improve overall nutrient cycling. </w:t>
      </w:r>
      <w:r w:rsidRPr="00851001">
        <w:rPr>
          <w:rStyle w:val="Strong"/>
          <w:rFonts w:ascii="Arial" w:hAnsi="Arial" w:cs="Arial"/>
          <w:b w:val="0"/>
          <w:bCs w:val="0"/>
          <w:sz w:val="20"/>
        </w:rPr>
        <w:t>Nano-biochar</w:t>
      </w:r>
      <w:r w:rsidRPr="00851001">
        <w:rPr>
          <w:rFonts w:ascii="Arial" w:hAnsi="Arial" w:cs="Arial"/>
          <w:sz w:val="20"/>
        </w:rPr>
        <w:t xml:space="preserve">, an innovative form with reduced particle size and enhanced reactivity, is gaining attention for its superior </w:t>
      </w:r>
      <w:r w:rsidRPr="00851001">
        <w:rPr>
          <w:rStyle w:val="Strong"/>
          <w:rFonts w:ascii="Arial" w:hAnsi="Arial" w:cs="Arial"/>
          <w:b w:val="0"/>
          <w:bCs w:val="0"/>
          <w:sz w:val="20"/>
        </w:rPr>
        <w:t>adsorptive and nutrient-delivery capabilities</w:t>
      </w:r>
      <w:r w:rsidRPr="00851001">
        <w:rPr>
          <w:rFonts w:ascii="Arial" w:hAnsi="Arial" w:cs="Arial"/>
          <w:sz w:val="20"/>
        </w:rPr>
        <w:t xml:space="preserve">. Preliminary findings suggest that </w:t>
      </w:r>
      <w:proofErr w:type="spellStart"/>
      <w:r w:rsidRPr="00851001">
        <w:rPr>
          <w:rFonts w:ascii="Arial" w:hAnsi="Arial" w:cs="Arial"/>
          <w:sz w:val="20"/>
        </w:rPr>
        <w:t>nano</w:t>
      </w:r>
      <w:proofErr w:type="spellEnd"/>
      <w:r w:rsidRPr="00851001">
        <w:rPr>
          <w:rFonts w:ascii="Arial" w:hAnsi="Arial" w:cs="Arial"/>
          <w:sz w:val="20"/>
        </w:rPr>
        <w:t xml:space="preserve">-biochar improves </w:t>
      </w:r>
      <w:r w:rsidRPr="00851001">
        <w:rPr>
          <w:rStyle w:val="Strong"/>
          <w:rFonts w:ascii="Arial" w:hAnsi="Arial" w:cs="Arial"/>
          <w:b w:val="0"/>
          <w:bCs w:val="0"/>
          <w:sz w:val="20"/>
        </w:rPr>
        <w:t>root uptake efficiency</w:t>
      </w:r>
      <w:r w:rsidRPr="00851001">
        <w:rPr>
          <w:rFonts w:ascii="Arial" w:hAnsi="Arial" w:cs="Arial"/>
          <w:sz w:val="20"/>
        </w:rPr>
        <w:t xml:space="preserve">, </w:t>
      </w:r>
      <w:r w:rsidRPr="00851001">
        <w:rPr>
          <w:rStyle w:val="Strong"/>
          <w:rFonts w:ascii="Arial" w:hAnsi="Arial" w:cs="Arial"/>
          <w:b w:val="0"/>
          <w:bCs w:val="0"/>
          <w:sz w:val="20"/>
        </w:rPr>
        <w:t>enzyme activity</w:t>
      </w:r>
      <w:r w:rsidRPr="00851001">
        <w:rPr>
          <w:rFonts w:ascii="Arial" w:hAnsi="Arial" w:cs="Arial"/>
          <w:sz w:val="20"/>
        </w:rPr>
        <w:t xml:space="preserve">, and </w:t>
      </w:r>
      <w:r w:rsidRPr="00851001">
        <w:rPr>
          <w:rStyle w:val="Strong"/>
          <w:rFonts w:ascii="Arial" w:hAnsi="Arial" w:cs="Arial"/>
          <w:b w:val="0"/>
          <w:bCs w:val="0"/>
          <w:sz w:val="20"/>
        </w:rPr>
        <w:t>plant growth</w:t>
      </w:r>
      <w:r w:rsidRPr="00851001">
        <w:rPr>
          <w:rFonts w:ascii="Arial" w:hAnsi="Arial" w:cs="Arial"/>
          <w:sz w:val="20"/>
        </w:rPr>
        <w:t xml:space="preserve"> more rapidly than conventional biochar. However, its long-term ecological effects, potential toxicity, and cost-effectiveness still require thorough investigation.</w:t>
      </w:r>
    </w:p>
    <w:p w14:paraId="29A1DFAF" w14:textId="77777777" w:rsidR="00DB23EF" w:rsidRPr="00851001" w:rsidRDefault="00DB23EF" w:rsidP="00DB23EF">
      <w:pPr>
        <w:pStyle w:val="NoSpacing"/>
        <w:rPr>
          <w:rFonts w:ascii="Arial" w:hAnsi="Arial" w:cs="Arial"/>
          <w:sz w:val="20"/>
        </w:rPr>
      </w:pPr>
    </w:p>
    <w:p w14:paraId="420F18BD" w14:textId="77777777" w:rsidR="00DB23EF" w:rsidRPr="00851001" w:rsidRDefault="00DB23EF" w:rsidP="00DB23EF">
      <w:pPr>
        <w:pStyle w:val="NoSpacing"/>
        <w:ind w:left="0"/>
        <w:rPr>
          <w:rFonts w:ascii="Arial" w:hAnsi="Arial" w:cs="Arial"/>
        </w:rPr>
      </w:pPr>
      <w:r>
        <w:rPr>
          <w:rStyle w:val="Strong"/>
          <w:rFonts w:ascii="Arial" w:hAnsi="Arial" w:cs="Arial"/>
          <w:bCs w:val="0"/>
        </w:rPr>
        <w:t xml:space="preserve">8.3 </w:t>
      </w:r>
      <w:r w:rsidRPr="00851001">
        <w:rPr>
          <w:rStyle w:val="Strong"/>
          <w:rFonts w:ascii="Arial" w:hAnsi="Arial" w:cs="Arial"/>
          <w:bCs w:val="0"/>
        </w:rPr>
        <w:t>Field Trials on Mung Bean and Other Legumes</w:t>
      </w:r>
    </w:p>
    <w:p w14:paraId="5834D9AC" w14:textId="77777777" w:rsidR="00DB23EF" w:rsidRPr="00851001" w:rsidRDefault="00DB23EF" w:rsidP="00DB23EF">
      <w:pPr>
        <w:pStyle w:val="NoSpacing"/>
        <w:ind w:left="0"/>
        <w:rPr>
          <w:rFonts w:ascii="Arial" w:hAnsi="Arial" w:cs="Arial"/>
          <w:sz w:val="20"/>
        </w:rPr>
      </w:pPr>
      <w:r w:rsidRPr="00851001">
        <w:rPr>
          <w:rFonts w:ascii="Arial" w:hAnsi="Arial" w:cs="Arial"/>
          <w:sz w:val="20"/>
        </w:rPr>
        <w:t xml:space="preserve">While numerous </w:t>
      </w:r>
      <w:r w:rsidRPr="00851001">
        <w:rPr>
          <w:rStyle w:val="Strong"/>
          <w:rFonts w:ascii="Arial" w:hAnsi="Arial" w:cs="Arial"/>
          <w:b w:val="0"/>
          <w:bCs w:val="0"/>
          <w:sz w:val="20"/>
        </w:rPr>
        <w:t>pot experiments</w:t>
      </w:r>
      <w:r w:rsidRPr="00851001">
        <w:rPr>
          <w:rFonts w:ascii="Arial" w:hAnsi="Arial" w:cs="Arial"/>
          <w:sz w:val="20"/>
        </w:rPr>
        <w:t xml:space="preserve"> have demonstrated the benefits of sugarcane biochar, </w:t>
      </w:r>
      <w:r w:rsidRPr="00851001">
        <w:rPr>
          <w:rStyle w:val="Strong"/>
          <w:rFonts w:ascii="Arial" w:hAnsi="Arial" w:cs="Arial"/>
          <w:b w:val="0"/>
          <w:bCs w:val="0"/>
          <w:sz w:val="20"/>
        </w:rPr>
        <w:t xml:space="preserve">field-level trials under diverse </w:t>
      </w:r>
      <w:proofErr w:type="spellStart"/>
      <w:r w:rsidRPr="00851001">
        <w:rPr>
          <w:rStyle w:val="Strong"/>
          <w:rFonts w:ascii="Arial" w:hAnsi="Arial" w:cs="Arial"/>
          <w:b w:val="0"/>
          <w:bCs w:val="0"/>
          <w:sz w:val="20"/>
        </w:rPr>
        <w:t>agro</w:t>
      </w:r>
      <w:proofErr w:type="spellEnd"/>
      <w:r w:rsidRPr="00851001">
        <w:rPr>
          <w:rStyle w:val="Strong"/>
          <w:rFonts w:ascii="Arial" w:hAnsi="Arial" w:cs="Arial"/>
          <w:b w:val="0"/>
          <w:bCs w:val="0"/>
          <w:sz w:val="20"/>
        </w:rPr>
        <w:t>-climatic conditions</w:t>
      </w:r>
      <w:r w:rsidRPr="00851001">
        <w:rPr>
          <w:rFonts w:ascii="Arial" w:hAnsi="Arial" w:cs="Arial"/>
          <w:sz w:val="20"/>
        </w:rPr>
        <w:t xml:space="preserve"> remain limited. There is a critical need for </w:t>
      </w:r>
      <w:r w:rsidRPr="00851001">
        <w:rPr>
          <w:rStyle w:val="Strong"/>
          <w:rFonts w:ascii="Arial" w:hAnsi="Arial" w:cs="Arial"/>
          <w:b w:val="0"/>
          <w:bCs w:val="0"/>
          <w:sz w:val="20"/>
        </w:rPr>
        <w:t>multi-season, multi-location trials</w:t>
      </w:r>
      <w:r w:rsidRPr="00851001">
        <w:rPr>
          <w:rFonts w:ascii="Arial" w:hAnsi="Arial" w:cs="Arial"/>
          <w:sz w:val="20"/>
        </w:rPr>
        <w:t xml:space="preserve"> focusing on mung bean and other legumes (e.g., cowpea, chickpea, pigeon pea) to validate biochar’s agronomic effectiveness. These trials should evaluate: Optimum application rates, Timing and method of application, Crop responses under organic and inorganic nutrient regimes, Long-term changes in soil health and crop productivity. This real-world data is essential for translating laboratory findings into actionable recommendations for farmers.</w:t>
      </w:r>
    </w:p>
    <w:p w14:paraId="7E8F76E5" w14:textId="77777777" w:rsidR="00DB23EF" w:rsidRPr="00851001" w:rsidRDefault="00DB23EF" w:rsidP="00DB23EF">
      <w:pPr>
        <w:pStyle w:val="NoSpacing"/>
        <w:rPr>
          <w:rFonts w:ascii="Arial" w:hAnsi="Arial" w:cs="Arial"/>
          <w:sz w:val="20"/>
        </w:rPr>
      </w:pPr>
    </w:p>
    <w:p w14:paraId="60D1201B" w14:textId="77777777" w:rsidR="00DB23EF" w:rsidRPr="00851001" w:rsidRDefault="00DB23EF" w:rsidP="00DB23EF">
      <w:pPr>
        <w:pStyle w:val="NoSpacing"/>
        <w:ind w:left="0"/>
        <w:rPr>
          <w:rFonts w:ascii="Arial" w:hAnsi="Arial" w:cs="Arial"/>
        </w:rPr>
      </w:pPr>
      <w:r>
        <w:rPr>
          <w:rStyle w:val="Strong"/>
          <w:rFonts w:ascii="Arial" w:hAnsi="Arial" w:cs="Arial"/>
          <w:bCs w:val="0"/>
        </w:rPr>
        <w:t xml:space="preserve">8.4 </w:t>
      </w:r>
      <w:r w:rsidRPr="00851001">
        <w:rPr>
          <w:rStyle w:val="Strong"/>
          <w:rFonts w:ascii="Arial" w:hAnsi="Arial" w:cs="Arial"/>
          <w:bCs w:val="0"/>
        </w:rPr>
        <w:t>Precision Application Based on Soil and Crop Needs</w:t>
      </w:r>
    </w:p>
    <w:p w14:paraId="51C9A1D2" w14:textId="77777777" w:rsidR="00DB23EF" w:rsidRPr="00851001" w:rsidRDefault="00DB23EF" w:rsidP="00DB23EF">
      <w:pPr>
        <w:pStyle w:val="NoSpacing"/>
        <w:ind w:left="0"/>
        <w:rPr>
          <w:rFonts w:ascii="Arial" w:hAnsi="Arial" w:cs="Arial"/>
          <w:sz w:val="20"/>
        </w:rPr>
      </w:pPr>
      <w:r w:rsidRPr="00851001">
        <w:rPr>
          <w:rFonts w:ascii="Arial" w:hAnsi="Arial" w:cs="Arial"/>
          <w:sz w:val="20"/>
        </w:rPr>
        <w:t xml:space="preserve">As biochar characteristics vary based on </w:t>
      </w:r>
      <w:r w:rsidRPr="00851001">
        <w:rPr>
          <w:rStyle w:val="Strong"/>
          <w:rFonts w:ascii="Arial" w:hAnsi="Arial" w:cs="Arial"/>
          <w:b w:val="0"/>
          <w:bCs w:val="0"/>
          <w:sz w:val="20"/>
        </w:rPr>
        <w:t>feedstock</w:t>
      </w:r>
      <w:r w:rsidRPr="00851001">
        <w:rPr>
          <w:rFonts w:ascii="Arial" w:hAnsi="Arial" w:cs="Arial"/>
          <w:sz w:val="20"/>
        </w:rPr>
        <w:t xml:space="preserve"> and </w:t>
      </w:r>
      <w:r w:rsidRPr="00851001">
        <w:rPr>
          <w:rStyle w:val="Strong"/>
          <w:rFonts w:ascii="Arial" w:hAnsi="Arial" w:cs="Arial"/>
          <w:b w:val="0"/>
          <w:bCs w:val="0"/>
          <w:sz w:val="20"/>
        </w:rPr>
        <w:t>production conditions</w:t>
      </w:r>
      <w:r w:rsidRPr="00851001">
        <w:rPr>
          <w:rFonts w:ascii="Arial" w:hAnsi="Arial" w:cs="Arial"/>
          <w:sz w:val="20"/>
        </w:rPr>
        <w:t xml:space="preserve">, a "one-size-fits-all" approach is impractical. Future research should focus on developing </w:t>
      </w:r>
      <w:r w:rsidRPr="00851001">
        <w:rPr>
          <w:rStyle w:val="Strong"/>
          <w:rFonts w:ascii="Arial" w:hAnsi="Arial" w:cs="Arial"/>
          <w:b w:val="0"/>
          <w:bCs w:val="0"/>
          <w:sz w:val="20"/>
        </w:rPr>
        <w:t>site-specific biochar formulations</w:t>
      </w:r>
      <w:r w:rsidRPr="00851001">
        <w:rPr>
          <w:rFonts w:ascii="Arial" w:hAnsi="Arial" w:cs="Arial"/>
          <w:sz w:val="20"/>
        </w:rPr>
        <w:t xml:space="preserve"> and </w:t>
      </w:r>
      <w:r w:rsidRPr="00851001">
        <w:rPr>
          <w:rStyle w:val="Strong"/>
          <w:rFonts w:ascii="Arial" w:hAnsi="Arial" w:cs="Arial"/>
          <w:b w:val="0"/>
          <w:bCs w:val="0"/>
          <w:sz w:val="20"/>
        </w:rPr>
        <w:t>precision application protocols</w:t>
      </w:r>
      <w:r w:rsidRPr="00851001">
        <w:rPr>
          <w:rFonts w:ascii="Arial" w:hAnsi="Arial" w:cs="Arial"/>
          <w:sz w:val="20"/>
        </w:rPr>
        <w:t xml:space="preserve"> tailored to </w:t>
      </w:r>
      <w:r w:rsidRPr="00851001">
        <w:rPr>
          <w:rStyle w:val="Strong"/>
          <w:rFonts w:ascii="Arial" w:hAnsi="Arial" w:cs="Arial"/>
          <w:b w:val="0"/>
          <w:bCs w:val="0"/>
          <w:sz w:val="20"/>
        </w:rPr>
        <w:t>soil texture</w:t>
      </w:r>
      <w:r w:rsidRPr="00851001">
        <w:rPr>
          <w:rFonts w:ascii="Arial" w:hAnsi="Arial" w:cs="Arial"/>
          <w:sz w:val="20"/>
        </w:rPr>
        <w:t xml:space="preserve">, </w:t>
      </w:r>
      <w:r w:rsidRPr="00851001">
        <w:rPr>
          <w:rStyle w:val="Strong"/>
          <w:rFonts w:ascii="Arial" w:hAnsi="Arial" w:cs="Arial"/>
          <w:b w:val="0"/>
          <w:bCs w:val="0"/>
          <w:sz w:val="20"/>
        </w:rPr>
        <w:t>pH</w:t>
      </w:r>
      <w:r w:rsidRPr="00851001">
        <w:rPr>
          <w:rFonts w:ascii="Arial" w:hAnsi="Arial" w:cs="Arial"/>
          <w:sz w:val="20"/>
        </w:rPr>
        <w:t xml:space="preserve">, </w:t>
      </w:r>
      <w:r w:rsidRPr="00851001">
        <w:rPr>
          <w:rStyle w:val="Strong"/>
          <w:rFonts w:ascii="Arial" w:hAnsi="Arial" w:cs="Arial"/>
          <w:b w:val="0"/>
          <w:bCs w:val="0"/>
          <w:sz w:val="20"/>
        </w:rPr>
        <w:t>nutrient status</w:t>
      </w:r>
      <w:r w:rsidRPr="00851001">
        <w:rPr>
          <w:rFonts w:ascii="Arial" w:hAnsi="Arial" w:cs="Arial"/>
          <w:sz w:val="20"/>
        </w:rPr>
        <w:t xml:space="preserve">, and </w:t>
      </w:r>
      <w:r w:rsidRPr="00851001">
        <w:rPr>
          <w:rStyle w:val="Strong"/>
          <w:rFonts w:ascii="Arial" w:hAnsi="Arial" w:cs="Arial"/>
          <w:b w:val="0"/>
          <w:bCs w:val="0"/>
          <w:sz w:val="20"/>
        </w:rPr>
        <w:t>crop requirements</w:t>
      </w:r>
      <w:r w:rsidRPr="00851001">
        <w:rPr>
          <w:rFonts w:ascii="Arial" w:hAnsi="Arial" w:cs="Arial"/>
          <w:sz w:val="20"/>
        </w:rPr>
        <w:t xml:space="preserve">. This approach will enhance efficiency, minimize risks of over-application, and ensure maximum benefit for mung bean cultivation systems. Advances in </w:t>
      </w:r>
      <w:r w:rsidRPr="00851001">
        <w:rPr>
          <w:rStyle w:val="Strong"/>
          <w:rFonts w:ascii="Arial" w:hAnsi="Arial" w:cs="Arial"/>
          <w:b w:val="0"/>
          <w:bCs w:val="0"/>
          <w:sz w:val="20"/>
        </w:rPr>
        <w:t>soil mapping, remote sensing</w:t>
      </w:r>
      <w:r w:rsidRPr="00851001">
        <w:rPr>
          <w:rFonts w:ascii="Arial" w:hAnsi="Arial" w:cs="Arial"/>
          <w:sz w:val="20"/>
        </w:rPr>
        <w:t xml:space="preserve">, and </w:t>
      </w:r>
      <w:r w:rsidRPr="00851001">
        <w:rPr>
          <w:rStyle w:val="Strong"/>
          <w:rFonts w:ascii="Arial" w:hAnsi="Arial" w:cs="Arial"/>
          <w:b w:val="0"/>
          <w:bCs w:val="0"/>
          <w:sz w:val="20"/>
        </w:rPr>
        <w:t>decision-support tools</w:t>
      </w:r>
      <w:r w:rsidRPr="00851001">
        <w:rPr>
          <w:rFonts w:ascii="Arial" w:hAnsi="Arial" w:cs="Arial"/>
          <w:sz w:val="20"/>
        </w:rPr>
        <w:t xml:space="preserve"> can be harnessed to design </w:t>
      </w:r>
      <w:r w:rsidRPr="00851001">
        <w:rPr>
          <w:rStyle w:val="Strong"/>
          <w:rFonts w:ascii="Arial" w:hAnsi="Arial" w:cs="Arial"/>
          <w:b w:val="0"/>
          <w:bCs w:val="0"/>
          <w:sz w:val="20"/>
        </w:rPr>
        <w:t>biochar-based precision input strategies</w:t>
      </w:r>
      <w:r w:rsidRPr="00851001">
        <w:rPr>
          <w:rFonts w:ascii="Arial" w:hAnsi="Arial" w:cs="Arial"/>
          <w:sz w:val="20"/>
        </w:rPr>
        <w:t xml:space="preserve"> aligned with sustainability goals.</w:t>
      </w:r>
    </w:p>
    <w:p w14:paraId="3F51D25A" w14:textId="77777777" w:rsidR="00DB23EF" w:rsidRPr="00C86529" w:rsidRDefault="00DB23EF" w:rsidP="00DB23EF">
      <w:pPr>
        <w:spacing w:line="240" w:lineRule="auto"/>
        <w:ind w:left="0"/>
        <w:jc w:val="left"/>
        <w:rPr>
          <w:rFonts w:ascii="Times New Roman" w:eastAsia="Times New Roman" w:hAnsi="Times New Roman" w:cs="Times New Roman"/>
          <w:sz w:val="24"/>
          <w:szCs w:val="24"/>
          <w:lang w:eastAsia="en-IN"/>
        </w:rPr>
      </w:pPr>
    </w:p>
    <w:p w14:paraId="40FF9119" w14:textId="77777777" w:rsidR="00DB23EF" w:rsidRPr="00C86529" w:rsidRDefault="00DB23EF" w:rsidP="00DB23EF">
      <w:pPr>
        <w:spacing w:before="100" w:beforeAutospacing="1" w:after="100" w:afterAutospacing="1" w:line="240" w:lineRule="auto"/>
        <w:ind w:left="0"/>
        <w:jc w:val="left"/>
        <w:outlineLvl w:val="3"/>
        <w:rPr>
          <w:rFonts w:ascii="Arial" w:eastAsia="Times New Roman" w:hAnsi="Arial" w:cs="Arial"/>
          <w:b/>
          <w:bCs/>
          <w:sz w:val="24"/>
          <w:szCs w:val="24"/>
          <w:lang w:eastAsia="en-IN"/>
        </w:rPr>
      </w:pPr>
      <w:r w:rsidRPr="008868F3">
        <w:rPr>
          <w:rFonts w:ascii="Arial" w:eastAsia="Times New Roman" w:hAnsi="Arial" w:cs="Arial"/>
          <w:b/>
          <w:bCs/>
          <w:sz w:val="24"/>
          <w:szCs w:val="24"/>
          <w:lang w:eastAsia="en-IN"/>
        </w:rPr>
        <w:t>9. CONCLUSION</w:t>
      </w:r>
    </w:p>
    <w:p w14:paraId="276E5416" w14:textId="77777777" w:rsidR="00DB23EF" w:rsidRPr="008F3D8E" w:rsidRDefault="00DB23EF" w:rsidP="00DB23EF">
      <w:pPr>
        <w:pStyle w:val="NoSpacing"/>
        <w:ind w:left="0"/>
        <w:rPr>
          <w:rFonts w:ascii="Arial" w:hAnsi="Arial" w:cs="Arial"/>
          <w:sz w:val="20"/>
        </w:rPr>
      </w:pPr>
      <w:r w:rsidRPr="008F3D8E">
        <w:rPr>
          <w:rFonts w:ascii="Arial" w:hAnsi="Arial" w:cs="Arial"/>
          <w:sz w:val="20"/>
        </w:rPr>
        <w:t xml:space="preserve">The sustainable management of agricultural waste and the need for enhanced soil health have brought biochar into the spotlight as a multifunctional soil amendment. Among various biomass sources, </w:t>
      </w:r>
      <w:r w:rsidRPr="008F3D8E">
        <w:rPr>
          <w:rStyle w:val="Strong"/>
          <w:rFonts w:ascii="Arial" w:hAnsi="Arial" w:cs="Arial"/>
          <w:b w:val="0"/>
          <w:bCs w:val="0"/>
          <w:sz w:val="20"/>
        </w:rPr>
        <w:t>sugarcane bagasse</w:t>
      </w:r>
      <w:r w:rsidRPr="008F3D8E">
        <w:rPr>
          <w:rFonts w:ascii="Arial" w:hAnsi="Arial" w:cs="Arial"/>
          <w:sz w:val="20"/>
        </w:rPr>
        <w:t xml:space="preserve"> offers immense potential due to its global abundance, favourable chemical composition, and high carbon content. This review comprehensively examined the production processes, physicochemical properties, and agronomic benefits of sugarcane bagasse-derived biochar, with a particular focus on </w:t>
      </w:r>
      <w:r w:rsidRPr="008F3D8E">
        <w:rPr>
          <w:rStyle w:val="Strong"/>
          <w:rFonts w:ascii="Arial" w:hAnsi="Arial" w:cs="Arial"/>
          <w:b w:val="0"/>
          <w:bCs w:val="0"/>
          <w:sz w:val="20"/>
        </w:rPr>
        <w:t xml:space="preserve">mung bean </w:t>
      </w:r>
      <w:r w:rsidRPr="008F3D8E">
        <w:rPr>
          <w:rFonts w:ascii="Arial" w:hAnsi="Arial" w:cs="Arial"/>
          <w:sz w:val="20"/>
        </w:rPr>
        <w:t xml:space="preserve">cultivation. Biochar application has been shown to improve key </w:t>
      </w:r>
      <w:r w:rsidRPr="008F3D8E">
        <w:rPr>
          <w:rStyle w:val="Strong"/>
          <w:rFonts w:ascii="Arial" w:hAnsi="Arial" w:cs="Arial"/>
          <w:b w:val="0"/>
          <w:bCs w:val="0"/>
          <w:sz w:val="20"/>
        </w:rPr>
        <w:t>soil properties</w:t>
      </w:r>
      <w:r w:rsidRPr="008F3D8E">
        <w:rPr>
          <w:rFonts w:ascii="Arial" w:hAnsi="Arial" w:cs="Arial"/>
          <w:sz w:val="20"/>
        </w:rPr>
        <w:t xml:space="preserve"> including pH, cation exchange capacity, water-holding capacity, and microbial activity</w:t>
      </w:r>
      <w:r>
        <w:rPr>
          <w:rFonts w:ascii="Arial" w:hAnsi="Arial" w:cs="Arial"/>
          <w:sz w:val="20"/>
        </w:rPr>
        <w:t xml:space="preserve"> </w:t>
      </w:r>
      <w:r w:rsidRPr="008F3D8E">
        <w:rPr>
          <w:rFonts w:ascii="Arial" w:hAnsi="Arial" w:cs="Arial"/>
          <w:sz w:val="20"/>
        </w:rPr>
        <w:t xml:space="preserve">leading to enhanced nutrient availability and reduced nutrient leaching. In mung bean systems, these changes translate to improved </w:t>
      </w:r>
      <w:r w:rsidRPr="008F3D8E">
        <w:rPr>
          <w:rStyle w:val="Strong"/>
          <w:rFonts w:ascii="Arial" w:hAnsi="Arial" w:cs="Arial"/>
          <w:b w:val="0"/>
          <w:bCs w:val="0"/>
          <w:sz w:val="20"/>
        </w:rPr>
        <w:t>germination</w:t>
      </w:r>
      <w:r w:rsidRPr="008F3D8E">
        <w:rPr>
          <w:rFonts w:ascii="Arial" w:hAnsi="Arial" w:cs="Arial"/>
          <w:sz w:val="20"/>
        </w:rPr>
        <w:t xml:space="preserve">, </w:t>
      </w:r>
      <w:r w:rsidRPr="008F3D8E">
        <w:rPr>
          <w:rStyle w:val="Strong"/>
          <w:rFonts w:ascii="Arial" w:hAnsi="Arial" w:cs="Arial"/>
          <w:b w:val="0"/>
          <w:bCs w:val="0"/>
          <w:sz w:val="20"/>
        </w:rPr>
        <w:t>root development</w:t>
      </w:r>
      <w:r w:rsidRPr="008F3D8E">
        <w:rPr>
          <w:rFonts w:ascii="Arial" w:hAnsi="Arial" w:cs="Arial"/>
          <w:sz w:val="20"/>
        </w:rPr>
        <w:t xml:space="preserve">, </w:t>
      </w:r>
      <w:r w:rsidRPr="008F3D8E">
        <w:rPr>
          <w:rStyle w:val="Strong"/>
          <w:rFonts w:ascii="Arial" w:hAnsi="Arial" w:cs="Arial"/>
          <w:b w:val="0"/>
          <w:bCs w:val="0"/>
          <w:sz w:val="20"/>
        </w:rPr>
        <w:t>nodulation</w:t>
      </w:r>
      <w:r w:rsidRPr="008F3D8E">
        <w:rPr>
          <w:rFonts w:ascii="Arial" w:hAnsi="Arial" w:cs="Arial"/>
          <w:sz w:val="20"/>
        </w:rPr>
        <w:t xml:space="preserve">, </w:t>
      </w:r>
      <w:r w:rsidRPr="008F3D8E">
        <w:rPr>
          <w:rStyle w:val="Strong"/>
          <w:rFonts w:ascii="Arial" w:hAnsi="Arial" w:cs="Arial"/>
          <w:b w:val="0"/>
          <w:bCs w:val="0"/>
          <w:sz w:val="20"/>
        </w:rPr>
        <w:t>biomass accumulation</w:t>
      </w:r>
      <w:r w:rsidRPr="008F3D8E">
        <w:rPr>
          <w:rFonts w:ascii="Arial" w:hAnsi="Arial" w:cs="Arial"/>
          <w:sz w:val="20"/>
        </w:rPr>
        <w:t xml:space="preserve">, and ultimately </w:t>
      </w:r>
      <w:r w:rsidRPr="008F3D8E">
        <w:rPr>
          <w:rStyle w:val="Strong"/>
          <w:rFonts w:ascii="Arial" w:hAnsi="Arial" w:cs="Arial"/>
          <w:b w:val="0"/>
          <w:bCs w:val="0"/>
          <w:sz w:val="20"/>
        </w:rPr>
        <w:t>higher seed yield</w:t>
      </w:r>
      <w:r w:rsidRPr="008F3D8E">
        <w:rPr>
          <w:rFonts w:ascii="Arial" w:hAnsi="Arial" w:cs="Arial"/>
          <w:sz w:val="20"/>
        </w:rPr>
        <w:t xml:space="preserve">. The integration of biochar with compost or mineral fertilizers further amplifies its effects, while emerging forms like </w:t>
      </w:r>
      <w:proofErr w:type="spellStart"/>
      <w:r w:rsidRPr="008F3D8E">
        <w:rPr>
          <w:rFonts w:ascii="Arial" w:hAnsi="Arial" w:cs="Arial"/>
          <w:sz w:val="20"/>
        </w:rPr>
        <w:t>nano</w:t>
      </w:r>
      <w:proofErr w:type="spellEnd"/>
      <w:r w:rsidRPr="008F3D8E">
        <w:rPr>
          <w:rFonts w:ascii="Arial" w:hAnsi="Arial" w:cs="Arial"/>
          <w:sz w:val="20"/>
        </w:rPr>
        <w:t xml:space="preserve">-biochar offer new research avenues. Despite its </w:t>
      </w:r>
      <w:r w:rsidRPr="008F3D8E">
        <w:rPr>
          <w:rFonts w:ascii="Arial" w:hAnsi="Arial" w:cs="Arial"/>
          <w:sz w:val="20"/>
        </w:rPr>
        <w:lastRenderedPageBreak/>
        <w:t xml:space="preserve">promise, the full-scale adoption of biochar remains limited by knowledge gaps related to </w:t>
      </w:r>
      <w:r w:rsidRPr="008F3D8E">
        <w:rPr>
          <w:rStyle w:val="Strong"/>
          <w:rFonts w:ascii="Arial" w:hAnsi="Arial" w:cs="Arial"/>
          <w:b w:val="0"/>
          <w:bCs w:val="0"/>
          <w:sz w:val="20"/>
        </w:rPr>
        <w:t>field-level performance</w:t>
      </w:r>
      <w:r w:rsidRPr="008F3D8E">
        <w:rPr>
          <w:rFonts w:ascii="Arial" w:hAnsi="Arial" w:cs="Arial"/>
          <w:sz w:val="20"/>
        </w:rPr>
        <w:t xml:space="preserve">, </w:t>
      </w:r>
      <w:r w:rsidRPr="008F3D8E">
        <w:rPr>
          <w:rStyle w:val="Strong"/>
          <w:rFonts w:ascii="Arial" w:hAnsi="Arial" w:cs="Arial"/>
          <w:b w:val="0"/>
          <w:bCs w:val="0"/>
          <w:sz w:val="20"/>
        </w:rPr>
        <w:t>economic feasibility</w:t>
      </w:r>
      <w:r w:rsidRPr="008F3D8E">
        <w:rPr>
          <w:rFonts w:ascii="Arial" w:hAnsi="Arial" w:cs="Arial"/>
          <w:sz w:val="20"/>
        </w:rPr>
        <w:t xml:space="preserve">, and </w:t>
      </w:r>
      <w:r w:rsidRPr="008F3D8E">
        <w:rPr>
          <w:rStyle w:val="Strong"/>
          <w:rFonts w:ascii="Arial" w:hAnsi="Arial" w:cs="Arial"/>
          <w:b w:val="0"/>
          <w:bCs w:val="0"/>
          <w:sz w:val="20"/>
        </w:rPr>
        <w:t>application precision</w:t>
      </w:r>
      <w:r w:rsidRPr="008F3D8E">
        <w:rPr>
          <w:rFonts w:ascii="Arial" w:hAnsi="Arial" w:cs="Arial"/>
          <w:sz w:val="20"/>
        </w:rPr>
        <w:t xml:space="preserve">. Future research should focus on </w:t>
      </w:r>
      <w:r w:rsidRPr="008F3D8E">
        <w:rPr>
          <w:rStyle w:val="Strong"/>
          <w:rFonts w:ascii="Arial" w:hAnsi="Arial" w:cs="Arial"/>
          <w:b w:val="0"/>
          <w:bCs w:val="0"/>
          <w:sz w:val="20"/>
        </w:rPr>
        <w:t>multi-location field trials</w:t>
      </w:r>
      <w:r w:rsidRPr="008F3D8E">
        <w:rPr>
          <w:rFonts w:ascii="Arial" w:hAnsi="Arial" w:cs="Arial"/>
          <w:sz w:val="20"/>
        </w:rPr>
        <w:t xml:space="preserve">, </w:t>
      </w:r>
      <w:r w:rsidRPr="008F3D8E">
        <w:rPr>
          <w:rStyle w:val="Strong"/>
          <w:rFonts w:ascii="Arial" w:hAnsi="Arial" w:cs="Arial"/>
          <w:b w:val="0"/>
          <w:bCs w:val="0"/>
          <w:sz w:val="20"/>
        </w:rPr>
        <w:t>site-specific application strategies</w:t>
      </w:r>
      <w:r w:rsidRPr="008F3D8E">
        <w:rPr>
          <w:rFonts w:ascii="Arial" w:hAnsi="Arial" w:cs="Arial"/>
          <w:sz w:val="20"/>
        </w:rPr>
        <w:t xml:space="preserve">, and </w:t>
      </w:r>
      <w:r w:rsidRPr="008F3D8E">
        <w:rPr>
          <w:rStyle w:val="Strong"/>
          <w:rFonts w:ascii="Arial" w:hAnsi="Arial" w:cs="Arial"/>
          <w:b w:val="0"/>
          <w:bCs w:val="0"/>
          <w:sz w:val="20"/>
        </w:rPr>
        <w:t>life cycle assessments</w:t>
      </w:r>
      <w:r w:rsidRPr="008F3D8E">
        <w:rPr>
          <w:rFonts w:ascii="Arial" w:hAnsi="Arial" w:cs="Arial"/>
          <w:sz w:val="20"/>
        </w:rPr>
        <w:t xml:space="preserve"> to validate its long-term viability and sustainability. In conclusion, sugarcane biochar represents a strategic tool for transforming </w:t>
      </w:r>
      <w:proofErr w:type="spellStart"/>
      <w:r w:rsidRPr="008F3D8E">
        <w:rPr>
          <w:rFonts w:ascii="Arial" w:hAnsi="Arial" w:cs="Arial"/>
          <w:sz w:val="20"/>
        </w:rPr>
        <w:t>agro</w:t>
      </w:r>
      <w:proofErr w:type="spellEnd"/>
      <w:r w:rsidRPr="008F3D8E">
        <w:rPr>
          <w:rFonts w:ascii="Arial" w:hAnsi="Arial" w:cs="Arial"/>
          <w:sz w:val="20"/>
        </w:rPr>
        <w:t xml:space="preserve">-waste into a valuable input for sustainable crop production. When properly managed and contextually applied, it can significantly contribute to </w:t>
      </w:r>
      <w:r w:rsidRPr="008F3D8E">
        <w:rPr>
          <w:rStyle w:val="Strong"/>
          <w:rFonts w:ascii="Arial" w:hAnsi="Arial" w:cs="Arial"/>
          <w:b w:val="0"/>
          <w:bCs w:val="0"/>
          <w:sz w:val="20"/>
        </w:rPr>
        <w:t>climate-smart agriculture</w:t>
      </w:r>
      <w:r w:rsidRPr="008F3D8E">
        <w:rPr>
          <w:rFonts w:ascii="Arial" w:hAnsi="Arial" w:cs="Arial"/>
          <w:sz w:val="20"/>
        </w:rPr>
        <w:t>, improved soil fertility, and enhanced productivity in legume-based systems like mung bean.</w:t>
      </w:r>
    </w:p>
    <w:p w14:paraId="4E9C87F7" w14:textId="77777777" w:rsidR="00DB23EF" w:rsidRPr="008868F3" w:rsidRDefault="00DB23EF" w:rsidP="00DB23EF">
      <w:pPr>
        <w:spacing w:line="240" w:lineRule="auto"/>
        <w:ind w:left="0"/>
        <w:rPr>
          <w:rFonts w:ascii="Arial" w:eastAsia="Times New Roman" w:hAnsi="Arial" w:cs="Arial"/>
          <w:b/>
          <w:bCs/>
          <w:sz w:val="24"/>
          <w:szCs w:val="24"/>
          <w:lang w:eastAsia="en-IN"/>
        </w:rPr>
      </w:pPr>
    </w:p>
    <w:p w14:paraId="6618DC81" w14:textId="77777777" w:rsidR="00DB23EF" w:rsidRDefault="00DB23EF" w:rsidP="00DB23EF">
      <w:pPr>
        <w:spacing w:line="240" w:lineRule="auto"/>
        <w:ind w:left="0"/>
        <w:rPr>
          <w:rFonts w:ascii="Arial" w:eastAsia="Times New Roman" w:hAnsi="Arial" w:cs="Arial"/>
          <w:b/>
          <w:bCs/>
          <w:sz w:val="24"/>
          <w:szCs w:val="24"/>
          <w:lang w:eastAsia="en-IN"/>
        </w:rPr>
      </w:pPr>
    </w:p>
    <w:p w14:paraId="7B6D8005" w14:textId="77777777" w:rsidR="00DB23EF" w:rsidRPr="00DB23EF" w:rsidRDefault="00DB23EF" w:rsidP="00DB23EF">
      <w:pPr>
        <w:spacing w:line="240" w:lineRule="auto"/>
        <w:ind w:left="0"/>
        <w:rPr>
          <w:rFonts w:ascii="Arial" w:eastAsia="Calibri" w:hAnsi="Arial" w:cs="Arial"/>
          <w:b/>
          <w:color w:val="000000" w:themeColor="text1"/>
          <w:kern w:val="2"/>
          <w:sz w:val="24"/>
          <w:szCs w:val="24"/>
          <w:highlight w:val="yellow"/>
        </w:rPr>
      </w:pPr>
      <w:r w:rsidRPr="00DB23EF">
        <w:rPr>
          <w:rFonts w:ascii="Arial" w:eastAsia="Calibri" w:hAnsi="Arial" w:cs="Arial"/>
          <w:b/>
          <w:color w:val="000000" w:themeColor="text1"/>
          <w:kern w:val="2"/>
          <w:sz w:val="24"/>
          <w:szCs w:val="24"/>
          <w:highlight w:val="yellow"/>
        </w:rPr>
        <w:t>DISCLAIMER (ARTIFICIAL INTELLIGENCE)</w:t>
      </w:r>
    </w:p>
    <w:p w14:paraId="32D5408B" w14:textId="77777777" w:rsidR="00DB23EF" w:rsidRPr="00DB23EF" w:rsidRDefault="00DB23EF" w:rsidP="00DB23EF">
      <w:pPr>
        <w:spacing w:line="240" w:lineRule="auto"/>
        <w:ind w:left="0"/>
        <w:rPr>
          <w:rFonts w:ascii="Arial" w:eastAsia="Calibri" w:hAnsi="Arial" w:cs="Arial"/>
          <w:b/>
          <w:color w:val="000000" w:themeColor="text1"/>
          <w:kern w:val="2"/>
          <w:sz w:val="20"/>
          <w:szCs w:val="20"/>
          <w:highlight w:val="yellow"/>
        </w:rPr>
      </w:pPr>
    </w:p>
    <w:p w14:paraId="3A19F0BC" w14:textId="77777777" w:rsidR="00DB23EF" w:rsidRPr="00DB23EF" w:rsidRDefault="00DB23EF" w:rsidP="00DB23EF">
      <w:pPr>
        <w:spacing w:line="240" w:lineRule="auto"/>
        <w:ind w:left="0"/>
        <w:rPr>
          <w:rFonts w:ascii="Arial" w:eastAsia="Calibri" w:hAnsi="Arial" w:cs="Arial"/>
          <w:color w:val="000000" w:themeColor="text1"/>
          <w:kern w:val="2"/>
          <w:sz w:val="20"/>
          <w:szCs w:val="20"/>
          <w:highlight w:val="yellow"/>
        </w:rPr>
      </w:pPr>
      <w:r w:rsidRPr="00DB23EF">
        <w:rPr>
          <w:rFonts w:ascii="Arial" w:eastAsia="Calibri" w:hAnsi="Arial" w:cs="Arial"/>
          <w:color w:val="000000" w:themeColor="text1"/>
          <w:kern w:val="2"/>
          <w:sz w:val="20"/>
          <w:szCs w:val="20"/>
          <w:highlight w:val="yellow"/>
        </w:rPr>
        <w:t>Author(s) hereby declare that NO generative AI technologies such as Large Language Models (</w:t>
      </w:r>
      <w:proofErr w:type="spellStart"/>
      <w:r w:rsidRPr="00DB23EF">
        <w:rPr>
          <w:rFonts w:ascii="Arial" w:eastAsia="Calibri" w:hAnsi="Arial" w:cs="Arial"/>
          <w:color w:val="000000" w:themeColor="text1"/>
          <w:kern w:val="2"/>
          <w:sz w:val="20"/>
          <w:szCs w:val="20"/>
          <w:highlight w:val="yellow"/>
        </w:rPr>
        <w:t>ChatGPT</w:t>
      </w:r>
      <w:proofErr w:type="spellEnd"/>
      <w:r w:rsidRPr="00DB23EF">
        <w:rPr>
          <w:rFonts w:ascii="Arial" w:eastAsia="Calibri" w:hAnsi="Arial" w:cs="Arial"/>
          <w:color w:val="000000" w:themeColor="text1"/>
          <w:kern w:val="2"/>
          <w:sz w:val="20"/>
          <w:szCs w:val="20"/>
          <w:highlight w:val="yellow"/>
        </w:rPr>
        <w:t xml:space="preserve">, COPILOT, etc.) and text-to-image generators have been used during the writing or editing of this manuscript. </w:t>
      </w:r>
    </w:p>
    <w:p w14:paraId="103526C7" w14:textId="77777777" w:rsidR="00DB23EF" w:rsidRPr="00DB23EF" w:rsidRDefault="00DB23EF" w:rsidP="00DB23EF">
      <w:pPr>
        <w:spacing w:line="240" w:lineRule="auto"/>
        <w:rPr>
          <w:rFonts w:ascii="Arial" w:eastAsia="Calibri" w:hAnsi="Arial" w:cs="Arial"/>
          <w:color w:val="000000" w:themeColor="text1"/>
          <w:kern w:val="2"/>
          <w:sz w:val="18"/>
          <w:szCs w:val="20"/>
          <w:highlight w:val="yellow"/>
        </w:rPr>
      </w:pPr>
    </w:p>
    <w:p w14:paraId="621D68E6" w14:textId="77777777" w:rsidR="00DB23EF" w:rsidRPr="00DB23EF" w:rsidRDefault="00DB23EF" w:rsidP="00DB23EF">
      <w:pPr>
        <w:pStyle w:val="ReferHead"/>
        <w:spacing w:after="0"/>
        <w:jc w:val="both"/>
        <w:rPr>
          <w:rFonts w:ascii="Arial" w:hAnsi="Arial" w:cs="Arial"/>
          <w:bCs/>
          <w:sz w:val="24"/>
          <w:szCs w:val="24"/>
          <w:highlight w:val="yellow"/>
        </w:rPr>
      </w:pPr>
      <w:r w:rsidRPr="00DB23EF">
        <w:rPr>
          <w:rFonts w:ascii="Arial" w:hAnsi="Arial" w:cs="Arial"/>
          <w:bCs/>
          <w:sz w:val="24"/>
          <w:szCs w:val="24"/>
          <w:highlight w:val="yellow"/>
        </w:rPr>
        <w:t>Competing interests</w:t>
      </w:r>
    </w:p>
    <w:p w14:paraId="1D4E19C5" w14:textId="77777777" w:rsidR="00DB23EF" w:rsidRPr="00DB23EF" w:rsidRDefault="00DB23EF" w:rsidP="00DB23EF">
      <w:pPr>
        <w:pStyle w:val="ReferHead"/>
        <w:spacing w:after="0"/>
        <w:rPr>
          <w:rFonts w:ascii="Arial" w:hAnsi="Arial" w:cs="Arial"/>
          <w:sz w:val="20"/>
          <w:highlight w:val="yellow"/>
        </w:rPr>
      </w:pPr>
    </w:p>
    <w:p w14:paraId="583F68B7" w14:textId="77777777" w:rsidR="00DB23EF" w:rsidRDefault="00DB23EF" w:rsidP="00DB23EF">
      <w:pPr>
        <w:pStyle w:val="ReferHead"/>
        <w:spacing w:after="0"/>
        <w:jc w:val="both"/>
        <w:rPr>
          <w:rFonts w:ascii="Arial" w:hAnsi="Arial" w:cs="Arial"/>
          <w:b w:val="0"/>
          <w:caps w:val="0"/>
          <w:sz w:val="20"/>
        </w:rPr>
      </w:pPr>
      <w:r w:rsidRPr="00DB23EF">
        <w:rPr>
          <w:rFonts w:ascii="Arial" w:hAnsi="Arial" w:cs="Arial"/>
          <w:b w:val="0"/>
          <w:caps w:val="0"/>
          <w:sz w:val="20"/>
          <w:highlight w:val="yellow"/>
        </w:rPr>
        <w:t>Authors have declared that no competing interests exist.</w:t>
      </w:r>
    </w:p>
    <w:p w14:paraId="6745CA44" w14:textId="77777777" w:rsidR="00DB23EF" w:rsidRDefault="00DB23EF" w:rsidP="00DB23EF">
      <w:pPr>
        <w:spacing w:line="240" w:lineRule="auto"/>
        <w:ind w:left="0"/>
        <w:rPr>
          <w:rFonts w:ascii="Arial" w:eastAsia="Times New Roman" w:hAnsi="Arial" w:cs="Arial"/>
          <w:b/>
          <w:bCs/>
          <w:sz w:val="24"/>
          <w:szCs w:val="24"/>
          <w:lang w:eastAsia="en-IN"/>
        </w:rPr>
      </w:pPr>
    </w:p>
    <w:p w14:paraId="62D02F88" w14:textId="704D79C7" w:rsidR="00DB23EF" w:rsidRPr="008868F3" w:rsidRDefault="00DB23EF" w:rsidP="00DB23EF">
      <w:pPr>
        <w:spacing w:line="240" w:lineRule="auto"/>
        <w:ind w:left="0"/>
        <w:rPr>
          <w:rFonts w:ascii="Arial" w:eastAsia="Times New Roman" w:hAnsi="Arial" w:cs="Arial"/>
          <w:b/>
          <w:bCs/>
          <w:sz w:val="24"/>
          <w:szCs w:val="24"/>
          <w:lang w:eastAsia="en-IN"/>
        </w:rPr>
      </w:pPr>
      <w:r w:rsidRPr="008868F3">
        <w:rPr>
          <w:rFonts w:ascii="Arial" w:eastAsia="Times New Roman" w:hAnsi="Arial" w:cs="Arial"/>
          <w:b/>
          <w:bCs/>
          <w:sz w:val="24"/>
          <w:szCs w:val="24"/>
          <w:lang w:eastAsia="en-IN"/>
        </w:rPr>
        <w:t>REFERENCES</w:t>
      </w:r>
    </w:p>
    <w:p w14:paraId="67BC591C" w14:textId="77777777" w:rsidR="00DB23EF" w:rsidRPr="005C0C4D" w:rsidRDefault="00DB23EF" w:rsidP="00DB23EF">
      <w:pPr>
        <w:pStyle w:val="NoSpacing"/>
        <w:rPr>
          <w:lang w:eastAsia="en-IN"/>
        </w:rPr>
      </w:pPr>
    </w:p>
    <w:p w14:paraId="3FB365CF" w14:textId="77777777" w:rsidR="00DB23EF" w:rsidRPr="002C2E24" w:rsidRDefault="00DB23EF" w:rsidP="00DB23EF">
      <w:pPr>
        <w:spacing w:line="276" w:lineRule="auto"/>
        <w:ind w:left="720" w:hanging="720"/>
        <w:rPr>
          <w:rFonts w:ascii="Arial" w:hAnsi="Arial" w:cs="Arial"/>
          <w:color w:val="222222"/>
          <w:sz w:val="20"/>
          <w:szCs w:val="20"/>
          <w:shd w:val="clear" w:color="auto" w:fill="FFFFFF"/>
        </w:rPr>
      </w:pPr>
      <w:bookmarkStart w:id="27" w:name="_Hlk195867126"/>
      <w:proofErr w:type="spellStart"/>
      <w:r w:rsidRPr="002C2E24">
        <w:rPr>
          <w:rFonts w:ascii="Arial" w:hAnsi="Arial" w:cs="Arial"/>
          <w:color w:val="222222"/>
          <w:sz w:val="20"/>
          <w:szCs w:val="20"/>
          <w:shd w:val="clear" w:color="auto" w:fill="FFFFFF"/>
        </w:rPr>
        <w:t>Amenaghawon</w:t>
      </w:r>
      <w:proofErr w:type="spellEnd"/>
      <w:r w:rsidRPr="002C2E24">
        <w:rPr>
          <w:rFonts w:ascii="Arial" w:hAnsi="Arial" w:cs="Arial"/>
          <w:color w:val="222222"/>
          <w:sz w:val="20"/>
          <w:szCs w:val="20"/>
          <w:shd w:val="clear" w:color="auto" w:fill="FFFFFF"/>
        </w:rPr>
        <w:t xml:space="preserve">, A. N., </w:t>
      </w:r>
      <w:proofErr w:type="spellStart"/>
      <w:r w:rsidRPr="002C2E24">
        <w:rPr>
          <w:rFonts w:ascii="Arial" w:hAnsi="Arial" w:cs="Arial"/>
          <w:color w:val="222222"/>
          <w:sz w:val="20"/>
          <w:szCs w:val="20"/>
          <w:shd w:val="clear" w:color="auto" w:fill="FFFFFF"/>
        </w:rPr>
        <w:t>Anyalewechi</w:t>
      </w:r>
      <w:proofErr w:type="spellEnd"/>
      <w:r w:rsidRPr="002C2E24">
        <w:rPr>
          <w:rFonts w:ascii="Arial" w:hAnsi="Arial" w:cs="Arial"/>
          <w:color w:val="222222"/>
          <w:sz w:val="20"/>
          <w:szCs w:val="20"/>
          <w:shd w:val="clear" w:color="auto" w:fill="FFFFFF"/>
        </w:rPr>
        <w:t xml:space="preserve">, C. L., </w:t>
      </w:r>
      <w:proofErr w:type="spellStart"/>
      <w:r w:rsidRPr="002C2E24">
        <w:rPr>
          <w:rFonts w:ascii="Arial" w:hAnsi="Arial" w:cs="Arial"/>
          <w:color w:val="222222"/>
          <w:sz w:val="20"/>
          <w:szCs w:val="20"/>
          <w:shd w:val="clear" w:color="auto" w:fill="FFFFFF"/>
        </w:rPr>
        <w:t>Okieimen</w:t>
      </w:r>
      <w:proofErr w:type="spellEnd"/>
      <w:r w:rsidRPr="002C2E24">
        <w:rPr>
          <w:rFonts w:ascii="Arial" w:hAnsi="Arial" w:cs="Arial"/>
          <w:color w:val="222222"/>
          <w:sz w:val="20"/>
          <w:szCs w:val="20"/>
          <w:shd w:val="clear" w:color="auto" w:fill="FFFFFF"/>
        </w:rPr>
        <w:t>, C. O., &amp; Kusuma, H. S. (2021). Biomass pyrolysis technologies for value-added products: a state-of-the-art review. </w:t>
      </w:r>
      <w:r w:rsidRPr="002C2E24">
        <w:rPr>
          <w:rFonts w:ascii="Arial" w:hAnsi="Arial" w:cs="Arial"/>
          <w:i/>
          <w:iCs/>
          <w:color w:val="222222"/>
          <w:sz w:val="20"/>
          <w:szCs w:val="20"/>
          <w:shd w:val="clear" w:color="auto" w:fill="FFFFFF"/>
        </w:rPr>
        <w:t>Environment, Development and Sustainability</w:t>
      </w:r>
      <w:r w:rsidRPr="002C2E24">
        <w:rPr>
          <w:rFonts w:ascii="Arial" w:hAnsi="Arial" w:cs="Arial"/>
          <w:color w:val="222222"/>
          <w:sz w:val="20"/>
          <w:szCs w:val="20"/>
          <w:shd w:val="clear" w:color="auto" w:fill="FFFFFF"/>
        </w:rPr>
        <w:t>, 1-55.</w:t>
      </w:r>
    </w:p>
    <w:p w14:paraId="6055797C" w14:textId="77777777" w:rsidR="00DB23EF" w:rsidRPr="002C2E24" w:rsidRDefault="00DB23EF" w:rsidP="00DB23EF">
      <w:pPr>
        <w:spacing w:line="276" w:lineRule="auto"/>
        <w:ind w:left="720" w:hanging="720"/>
        <w:rPr>
          <w:rFonts w:ascii="Arial" w:hAnsi="Arial" w:cs="Arial"/>
          <w:color w:val="222222"/>
          <w:sz w:val="20"/>
          <w:szCs w:val="20"/>
          <w:shd w:val="clear" w:color="auto" w:fill="FFFFFF"/>
        </w:rPr>
      </w:pPr>
      <w:proofErr w:type="spellStart"/>
      <w:r w:rsidRPr="002C2E24">
        <w:rPr>
          <w:rFonts w:ascii="Arial" w:hAnsi="Arial" w:cs="Arial"/>
          <w:color w:val="222222"/>
          <w:sz w:val="20"/>
          <w:szCs w:val="20"/>
          <w:shd w:val="clear" w:color="auto" w:fill="FFFFFF"/>
        </w:rPr>
        <w:t>Arif</w:t>
      </w:r>
      <w:proofErr w:type="spellEnd"/>
      <w:r w:rsidRPr="002C2E24">
        <w:rPr>
          <w:rFonts w:ascii="Arial" w:hAnsi="Arial" w:cs="Arial"/>
          <w:color w:val="222222"/>
          <w:sz w:val="20"/>
          <w:szCs w:val="20"/>
          <w:shd w:val="clear" w:color="auto" w:fill="FFFFFF"/>
        </w:rPr>
        <w:t>, M., Ali, S., Ilyas, M., Riaz, M., Akhtar, K., Ali, K., ... &amp; Wang, H. (2021). Enhancing phosphorus availability, soil organic carbon, maize productivity and farm profitability through biochar and organic–inorganic fertilizers in an irrigated maize agroecosystem under semi</w:t>
      </w:r>
      <w:r w:rsidRPr="002C2E24">
        <w:rPr>
          <w:rFonts w:ascii="Cambria Math" w:hAnsi="Cambria Math" w:cs="Cambria Math"/>
          <w:color w:val="222222"/>
          <w:sz w:val="20"/>
          <w:szCs w:val="20"/>
          <w:shd w:val="clear" w:color="auto" w:fill="FFFFFF"/>
        </w:rPr>
        <w:t>‐</w:t>
      </w:r>
      <w:r w:rsidRPr="002C2E24">
        <w:rPr>
          <w:rFonts w:ascii="Arial" w:hAnsi="Arial" w:cs="Arial"/>
          <w:color w:val="222222"/>
          <w:sz w:val="20"/>
          <w:szCs w:val="20"/>
          <w:shd w:val="clear" w:color="auto" w:fill="FFFFFF"/>
        </w:rPr>
        <w:t>arid climate. </w:t>
      </w:r>
      <w:r w:rsidRPr="002C2E24">
        <w:rPr>
          <w:rFonts w:ascii="Arial" w:hAnsi="Arial" w:cs="Arial"/>
          <w:i/>
          <w:iCs/>
          <w:color w:val="222222"/>
          <w:sz w:val="20"/>
          <w:szCs w:val="20"/>
          <w:shd w:val="clear" w:color="auto" w:fill="FFFFFF"/>
        </w:rPr>
        <w:t>Soil Use and Management</w:t>
      </w:r>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37</w:t>
      </w:r>
      <w:r w:rsidRPr="002C2E24">
        <w:rPr>
          <w:rFonts w:ascii="Arial" w:hAnsi="Arial" w:cs="Arial"/>
          <w:color w:val="222222"/>
          <w:sz w:val="20"/>
          <w:szCs w:val="20"/>
          <w:shd w:val="clear" w:color="auto" w:fill="FFFFFF"/>
        </w:rPr>
        <w:t>(1), 104-119.</w:t>
      </w:r>
    </w:p>
    <w:p w14:paraId="4A22683B" w14:textId="77777777" w:rsidR="00DB23EF" w:rsidRPr="002C2E24" w:rsidRDefault="00DB23EF" w:rsidP="00DB23EF">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Begum, Y. A., Kumari, S., Jain, S. K., &amp; Garg, M. C. (2024). A review on waste biomass-to-energy: integrated thermochemical and biochemical conversion for resource recovery. </w:t>
      </w:r>
      <w:r w:rsidRPr="002C2E24">
        <w:rPr>
          <w:rFonts w:ascii="Arial" w:hAnsi="Arial" w:cs="Arial"/>
          <w:i/>
          <w:iCs/>
          <w:color w:val="222222"/>
          <w:sz w:val="20"/>
          <w:szCs w:val="20"/>
          <w:shd w:val="clear" w:color="auto" w:fill="FFFFFF"/>
        </w:rPr>
        <w:t>Environmental Science: Advances</w:t>
      </w:r>
      <w:r w:rsidRPr="002C2E24">
        <w:rPr>
          <w:rFonts w:ascii="Arial" w:hAnsi="Arial" w:cs="Arial"/>
          <w:color w:val="222222"/>
          <w:sz w:val="20"/>
          <w:szCs w:val="20"/>
          <w:shd w:val="clear" w:color="auto" w:fill="FFFFFF"/>
        </w:rPr>
        <w:t>.</w:t>
      </w:r>
    </w:p>
    <w:p w14:paraId="250585A3" w14:textId="77777777" w:rsidR="00DB23EF" w:rsidRPr="002C2E24" w:rsidRDefault="00DB23EF" w:rsidP="00DB23EF">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Cheam, W. C. (2018). </w:t>
      </w:r>
      <w:r w:rsidRPr="002C2E24">
        <w:rPr>
          <w:rFonts w:ascii="Arial" w:hAnsi="Arial" w:cs="Arial"/>
          <w:i/>
          <w:iCs/>
          <w:color w:val="222222"/>
          <w:sz w:val="20"/>
          <w:szCs w:val="20"/>
          <w:shd w:val="clear" w:color="auto" w:fill="FFFFFF"/>
        </w:rPr>
        <w:t>Synthesis of Iron Modified Sugarcane Bagasse Activated Carbon for Degradation of Organic Dye</w:t>
      </w:r>
      <w:r w:rsidRPr="002C2E24">
        <w:rPr>
          <w:rFonts w:ascii="Arial" w:hAnsi="Arial" w:cs="Arial"/>
          <w:color w:val="222222"/>
          <w:sz w:val="20"/>
          <w:szCs w:val="20"/>
          <w:shd w:val="clear" w:color="auto" w:fill="FFFFFF"/>
        </w:rPr>
        <w:t> (Doctoral dissertation, UTAR).</w:t>
      </w:r>
    </w:p>
    <w:p w14:paraId="5FE48EC3" w14:textId="77777777" w:rsidR="00DB23EF" w:rsidRPr="002C2E24" w:rsidRDefault="00DB23EF" w:rsidP="00DB23EF">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 xml:space="preserve">Dey, S., </w:t>
      </w:r>
      <w:proofErr w:type="spellStart"/>
      <w:r w:rsidRPr="002C2E24">
        <w:rPr>
          <w:rFonts w:ascii="Arial" w:hAnsi="Arial" w:cs="Arial"/>
          <w:color w:val="222222"/>
          <w:sz w:val="20"/>
          <w:szCs w:val="20"/>
          <w:shd w:val="clear" w:color="auto" w:fill="FFFFFF"/>
        </w:rPr>
        <w:t>Purakayastha</w:t>
      </w:r>
      <w:proofErr w:type="spellEnd"/>
      <w:r w:rsidRPr="002C2E24">
        <w:rPr>
          <w:rFonts w:ascii="Arial" w:hAnsi="Arial" w:cs="Arial"/>
          <w:color w:val="222222"/>
          <w:sz w:val="20"/>
          <w:szCs w:val="20"/>
          <w:shd w:val="clear" w:color="auto" w:fill="FFFFFF"/>
        </w:rPr>
        <w:t xml:space="preserve">, T. J., Sarkar, B., </w:t>
      </w:r>
      <w:proofErr w:type="spellStart"/>
      <w:r w:rsidRPr="002C2E24">
        <w:rPr>
          <w:rFonts w:ascii="Arial" w:hAnsi="Arial" w:cs="Arial"/>
          <w:color w:val="222222"/>
          <w:sz w:val="20"/>
          <w:szCs w:val="20"/>
          <w:shd w:val="clear" w:color="auto" w:fill="FFFFFF"/>
        </w:rPr>
        <w:t>Rinklebe</w:t>
      </w:r>
      <w:proofErr w:type="spellEnd"/>
      <w:r w:rsidRPr="002C2E24">
        <w:rPr>
          <w:rFonts w:ascii="Arial" w:hAnsi="Arial" w:cs="Arial"/>
          <w:color w:val="222222"/>
          <w:sz w:val="20"/>
          <w:szCs w:val="20"/>
          <w:shd w:val="clear" w:color="auto" w:fill="FFFFFF"/>
        </w:rPr>
        <w:t xml:space="preserve">, J., Kumar, S., Chakraborty, R., ... &amp; </w:t>
      </w:r>
      <w:proofErr w:type="spellStart"/>
      <w:r w:rsidRPr="002C2E24">
        <w:rPr>
          <w:rFonts w:ascii="Arial" w:hAnsi="Arial" w:cs="Arial"/>
          <w:color w:val="222222"/>
          <w:sz w:val="20"/>
          <w:szCs w:val="20"/>
          <w:shd w:val="clear" w:color="auto" w:fill="FFFFFF"/>
        </w:rPr>
        <w:t>Shivay</w:t>
      </w:r>
      <w:proofErr w:type="spellEnd"/>
      <w:r w:rsidRPr="002C2E24">
        <w:rPr>
          <w:rFonts w:ascii="Arial" w:hAnsi="Arial" w:cs="Arial"/>
          <w:color w:val="222222"/>
          <w:sz w:val="20"/>
          <w:szCs w:val="20"/>
          <w:shd w:val="clear" w:color="auto" w:fill="FFFFFF"/>
        </w:rPr>
        <w:t>, Y. S. (2023). Enhancing cation and anion exchange capacity of rice straw biochar by chemical modification for increased plant nutrient retention. </w:t>
      </w:r>
      <w:r w:rsidRPr="002C2E24">
        <w:rPr>
          <w:rFonts w:ascii="Arial" w:hAnsi="Arial" w:cs="Arial"/>
          <w:i/>
          <w:iCs/>
          <w:color w:val="222222"/>
          <w:sz w:val="20"/>
          <w:szCs w:val="20"/>
          <w:shd w:val="clear" w:color="auto" w:fill="FFFFFF"/>
        </w:rPr>
        <w:t>Science of the Total Environment</w:t>
      </w:r>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886</w:t>
      </w:r>
      <w:r w:rsidRPr="002C2E24">
        <w:rPr>
          <w:rFonts w:ascii="Arial" w:hAnsi="Arial" w:cs="Arial"/>
          <w:color w:val="222222"/>
          <w:sz w:val="20"/>
          <w:szCs w:val="20"/>
          <w:shd w:val="clear" w:color="auto" w:fill="FFFFFF"/>
        </w:rPr>
        <w:t>, 163681.</w:t>
      </w:r>
    </w:p>
    <w:p w14:paraId="5E45B2CB" w14:textId="77777777" w:rsidR="00DB23EF" w:rsidRPr="002C2E24" w:rsidRDefault="00DB23EF" w:rsidP="00DB23EF">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 xml:space="preserve">Hai, N. T., Hoang-Minh, T., </w:t>
      </w:r>
      <w:proofErr w:type="spellStart"/>
      <w:r w:rsidRPr="002C2E24">
        <w:rPr>
          <w:rFonts w:ascii="Arial" w:hAnsi="Arial" w:cs="Arial"/>
          <w:color w:val="222222"/>
          <w:sz w:val="20"/>
          <w:szCs w:val="20"/>
          <w:shd w:val="clear" w:color="auto" w:fill="FFFFFF"/>
        </w:rPr>
        <w:t>Hieu</w:t>
      </w:r>
      <w:proofErr w:type="spellEnd"/>
      <w:r w:rsidRPr="002C2E24">
        <w:rPr>
          <w:rFonts w:ascii="Arial" w:hAnsi="Arial" w:cs="Arial"/>
          <w:color w:val="222222"/>
          <w:sz w:val="20"/>
          <w:szCs w:val="20"/>
          <w:shd w:val="clear" w:color="auto" w:fill="FFFFFF"/>
        </w:rPr>
        <w:t xml:space="preserve">, D. T., Hien, P. T., Dung, L. V., </w:t>
      </w:r>
      <w:proofErr w:type="spellStart"/>
      <w:r w:rsidRPr="002C2E24">
        <w:rPr>
          <w:rFonts w:ascii="Arial" w:hAnsi="Arial" w:cs="Arial"/>
          <w:color w:val="222222"/>
          <w:sz w:val="20"/>
          <w:szCs w:val="20"/>
          <w:shd w:val="clear" w:color="auto" w:fill="FFFFFF"/>
        </w:rPr>
        <w:t>Hoai</w:t>
      </w:r>
      <w:proofErr w:type="spellEnd"/>
      <w:r w:rsidRPr="002C2E24">
        <w:rPr>
          <w:rFonts w:ascii="Arial" w:hAnsi="Arial" w:cs="Arial"/>
          <w:color w:val="222222"/>
          <w:sz w:val="20"/>
          <w:szCs w:val="20"/>
          <w:shd w:val="clear" w:color="auto" w:fill="FFFFFF"/>
        </w:rPr>
        <w:t>, T. T., ... &amp; Ha, N. T. H. (2025). Adsorption characteristics of ammonium on activated biochar synthesized from sugarcane waste: batch and column studies. </w:t>
      </w:r>
      <w:r w:rsidRPr="002C2E24">
        <w:rPr>
          <w:rFonts w:ascii="Arial" w:hAnsi="Arial" w:cs="Arial"/>
          <w:i/>
          <w:iCs/>
          <w:color w:val="222222"/>
          <w:sz w:val="20"/>
          <w:szCs w:val="20"/>
          <w:shd w:val="clear" w:color="auto" w:fill="FFFFFF"/>
        </w:rPr>
        <w:t>Biomass Conversion and Biorefinery</w:t>
      </w:r>
      <w:r w:rsidRPr="002C2E24">
        <w:rPr>
          <w:rFonts w:ascii="Arial" w:hAnsi="Arial" w:cs="Arial"/>
          <w:color w:val="222222"/>
          <w:sz w:val="20"/>
          <w:szCs w:val="20"/>
          <w:shd w:val="clear" w:color="auto" w:fill="FFFFFF"/>
        </w:rPr>
        <w:t>, 1-17.</w:t>
      </w:r>
    </w:p>
    <w:p w14:paraId="32E8FB6D" w14:textId="77777777" w:rsidR="00DB23EF" w:rsidRPr="002C2E24" w:rsidRDefault="00DB23EF" w:rsidP="00DB23EF">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Hussain, M., Farooq, M., Nawaz, A., Al-</w:t>
      </w:r>
      <w:proofErr w:type="spellStart"/>
      <w:r w:rsidRPr="002C2E24">
        <w:rPr>
          <w:rFonts w:ascii="Arial" w:hAnsi="Arial" w:cs="Arial"/>
          <w:color w:val="222222"/>
          <w:sz w:val="20"/>
          <w:szCs w:val="20"/>
          <w:shd w:val="clear" w:color="auto" w:fill="FFFFFF"/>
        </w:rPr>
        <w:t>Sadi</w:t>
      </w:r>
      <w:proofErr w:type="spellEnd"/>
      <w:r w:rsidRPr="002C2E24">
        <w:rPr>
          <w:rFonts w:ascii="Arial" w:hAnsi="Arial" w:cs="Arial"/>
          <w:color w:val="222222"/>
          <w:sz w:val="20"/>
          <w:szCs w:val="20"/>
          <w:shd w:val="clear" w:color="auto" w:fill="FFFFFF"/>
        </w:rPr>
        <w:t xml:space="preserve">, A. M., </w:t>
      </w:r>
      <w:proofErr w:type="spellStart"/>
      <w:r w:rsidRPr="002C2E24">
        <w:rPr>
          <w:rFonts w:ascii="Arial" w:hAnsi="Arial" w:cs="Arial"/>
          <w:color w:val="222222"/>
          <w:sz w:val="20"/>
          <w:szCs w:val="20"/>
          <w:shd w:val="clear" w:color="auto" w:fill="FFFFFF"/>
        </w:rPr>
        <w:t>Solaiman</w:t>
      </w:r>
      <w:proofErr w:type="spellEnd"/>
      <w:r w:rsidRPr="002C2E24">
        <w:rPr>
          <w:rFonts w:ascii="Arial" w:hAnsi="Arial" w:cs="Arial"/>
          <w:color w:val="222222"/>
          <w:sz w:val="20"/>
          <w:szCs w:val="20"/>
          <w:shd w:val="clear" w:color="auto" w:fill="FFFFFF"/>
        </w:rPr>
        <w:t>, Z. M., Alghamdi, S. S., ... &amp; Siddique, K. H. (2017). Biochar for crop production: potential benefits and risks. </w:t>
      </w:r>
      <w:r w:rsidRPr="002C2E24">
        <w:rPr>
          <w:rFonts w:ascii="Arial" w:hAnsi="Arial" w:cs="Arial"/>
          <w:i/>
          <w:iCs/>
          <w:color w:val="222222"/>
          <w:sz w:val="20"/>
          <w:szCs w:val="20"/>
          <w:shd w:val="clear" w:color="auto" w:fill="FFFFFF"/>
        </w:rPr>
        <w:t>Journal of Soils and Sediments</w:t>
      </w:r>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17</w:t>
      </w:r>
      <w:r w:rsidRPr="002C2E24">
        <w:rPr>
          <w:rFonts w:ascii="Arial" w:hAnsi="Arial" w:cs="Arial"/>
          <w:color w:val="222222"/>
          <w:sz w:val="20"/>
          <w:szCs w:val="20"/>
          <w:shd w:val="clear" w:color="auto" w:fill="FFFFFF"/>
        </w:rPr>
        <w:t>, 685-716.</w:t>
      </w:r>
    </w:p>
    <w:p w14:paraId="2F024ABB" w14:textId="77777777" w:rsidR="00DB23EF" w:rsidRDefault="00DB23EF" w:rsidP="00DB23EF">
      <w:pPr>
        <w:spacing w:line="276" w:lineRule="auto"/>
        <w:ind w:left="720" w:hanging="720"/>
        <w:rPr>
          <w:rFonts w:ascii="Arial" w:hAnsi="Arial" w:cs="Arial"/>
          <w:color w:val="222222"/>
          <w:sz w:val="20"/>
          <w:szCs w:val="20"/>
          <w:shd w:val="clear" w:color="auto" w:fill="FFFFFF"/>
        </w:rPr>
      </w:pPr>
      <w:proofErr w:type="spellStart"/>
      <w:r w:rsidRPr="002C2E24">
        <w:rPr>
          <w:rFonts w:ascii="Arial" w:hAnsi="Arial" w:cs="Arial"/>
          <w:color w:val="222222"/>
          <w:sz w:val="20"/>
          <w:szCs w:val="20"/>
          <w:shd w:val="clear" w:color="auto" w:fill="FFFFFF"/>
        </w:rPr>
        <w:t>Hussin</w:t>
      </w:r>
      <w:proofErr w:type="spellEnd"/>
      <w:r w:rsidRPr="002C2E24">
        <w:rPr>
          <w:rFonts w:ascii="Arial" w:hAnsi="Arial" w:cs="Arial"/>
          <w:color w:val="222222"/>
          <w:sz w:val="20"/>
          <w:szCs w:val="20"/>
          <w:shd w:val="clear" w:color="auto" w:fill="FFFFFF"/>
        </w:rPr>
        <w:t xml:space="preserve">, F., </w:t>
      </w:r>
      <w:proofErr w:type="spellStart"/>
      <w:r w:rsidRPr="002C2E24">
        <w:rPr>
          <w:rFonts w:ascii="Arial" w:hAnsi="Arial" w:cs="Arial"/>
          <w:color w:val="222222"/>
          <w:sz w:val="20"/>
          <w:szCs w:val="20"/>
          <w:shd w:val="clear" w:color="auto" w:fill="FFFFFF"/>
        </w:rPr>
        <w:t>Hazani</w:t>
      </w:r>
      <w:proofErr w:type="spellEnd"/>
      <w:r w:rsidRPr="002C2E24">
        <w:rPr>
          <w:rFonts w:ascii="Arial" w:hAnsi="Arial" w:cs="Arial"/>
          <w:color w:val="222222"/>
          <w:sz w:val="20"/>
          <w:szCs w:val="20"/>
          <w:shd w:val="clear" w:color="auto" w:fill="FFFFFF"/>
        </w:rPr>
        <w:t xml:space="preserve">, N. N., Khalil, M., &amp; </w:t>
      </w:r>
      <w:proofErr w:type="spellStart"/>
      <w:r w:rsidRPr="002C2E24">
        <w:rPr>
          <w:rFonts w:ascii="Arial" w:hAnsi="Arial" w:cs="Arial"/>
          <w:color w:val="222222"/>
          <w:sz w:val="20"/>
          <w:szCs w:val="20"/>
          <w:shd w:val="clear" w:color="auto" w:fill="FFFFFF"/>
        </w:rPr>
        <w:t>Aroua</w:t>
      </w:r>
      <w:proofErr w:type="spellEnd"/>
      <w:r w:rsidRPr="002C2E24">
        <w:rPr>
          <w:rFonts w:ascii="Arial" w:hAnsi="Arial" w:cs="Arial"/>
          <w:color w:val="222222"/>
          <w:sz w:val="20"/>
          <w:szCs w:val="20"/>
          <w:shd w:val="clear" w:color="auto" w:fill="FFFFFF"/>
        </w:rPr>
        <w:t>, M. K. (2023). Environmental life cycle assessment of biomass conversion using hydrothermal technology: A review. </w:t>
      </w:r>
      <w:r w:rsidRPr="002C2E24">
        <w:rPr>
          <w:rFonts w:ascii="Arial" w:hAnsi="Arial" w:cs="Arial"/>
          <w:i/>
          <w:iCs/>
          <w:color w:val="222222"/>
          <w:sz w:val="20"/>
          <w:szCs w:val="20"/>
          <w:shd w:val="clear" w:color="auto" w:fill="FFFFFF"/>
        </w:rPr>
        <w:t>Fuel Processing Technology</w:t>
      </w:r>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246</w:t>
      </w:r>
      <w:r w:rsidRPr="002C2E24">
        <w:rPr>
          <w:rFonts w:ascii="Arial" w:hAnsi="Arial" w:cs="Arial"/>
          <w:color w:val="222222"/>
          <w:sz w:val="20"/>
          <w:szCs w:val="20"/>
          <w:shd w:val="clear" w:color="auto" w:fill="FFFFFF"/>
        </w:rPr>
        <w:t>, 107747.</w:t>
      </w:r>
    </w:p>
    <w:p w14:paraId="05F9C260" w14:textId="77777777" w:rsidR="00DB23EF" w:rsidRPr="002C2E24" w:rsidRDefault="00DB23EF" w:rsidP="00DB23EF">
      <w:pPr>
        <w:spacing w:line="276" w:lineRule="auto"/>
        <w:ind w:left="720" w:hanging="720"/>
        <w:rPr>
          <w:rFonts w:ascii="Arial" w:hAnsi="Arial" w:cs="Arial"/>
          <w:color w:val="222222"/>
          <w:sz w:val="20"/>
          <w:szCs w:val="20"/>
          <w:shd w:val="clear" w:color="auto" w:fill="FFFFFF"/>
        </w:rPr>
      </w:pPr>
      <w:proofErr w:type="spellStart"/>
      <w:r w:rsidRPr="00250DED">
        <w:rPr>
          <w:rFonts w:ascii="Arial" w:hAnsi="Arial" w:cs="Arial"/>
          <w:color w:val="222222"/>
          <w:sz w:val="20"/>
          <w:szCs w:val="20"/>
          <w:shd w:val="clear" w:color="auto" w:fill="FFFFFF"/>
        </w:rPr>
        <w:t>Koul</w:t>
      </w:r>
      <w:proofErr w:type="spellEnd"/>
      <w:r w:rsidRPr="00250DED">
        <w:rPr>
          <w:rFonts w:ascii="Arial" w:hAnsi="Arial" w:cs="Arial"/>
          <w:color w:val="222222"/>
          <w:sz w:val="20"/>
          <w:szCs w:val="20"/>
          <w:shd w:val="clear" w:color="auto" w:fill="FFFFFF"/>
        </w:rPr>
        <w:t xml:space="preserve">, B., </w:t>
      </w:r>
      <w:proofErr w:type="spellStart"/>
      <w:r w:rsidRPr="00250DED">
        <w:rPr>
          <w:rFonts w:ascii="Arial" w:hAnsi="Arial" w:cs="Arial"/>
          <w:color w:val="222222"/>
          <w:sz w:val="20"/>
          <w:szCs w:val="20"/>
          <w:shd w:val="clear" w:color="auto" w:fill="FFFFFF"/>
        </w:rPr>
        <w:t>Yakoob</w:t>
      </w:r>
      <w:proofErr w:type="spellEnd"/>
      <w:r w:rsidRPr="00250DED">
        <w:rPr>
          <w:rFonts w:ascii="Arial" w:hAnsi="Arial" w:cs="Arial"/>
          <w:color w:val="222222"/>
          <w:sz w:val="20"/>
          <w:szCs w:val="20"/>
          <w:shd w:val="clear" w:color="auto" w:fill="FFFFFF"/>
        </w:rPr>
        <w:t xml:space="preserve">, M., &amp; Shah, M. P. (2022). Agricultural waste management strategies for environmental sustainability. Environmental Research, 206, 112285. </w:t>
      </w:r>
    </w:p>
    <w:p w14:paraId="59A29991" w14:textId="77777777" w:rsidR="00DB23EF" w:rsidRPr="002C2E24" w:rsidRDefault="00DB23EF" w:rsidP="00DB23EF">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 xml:space="preserve">Laird, D., Fleming, P., Wang, B., Horton, R., &amp; </w:t>
      </w:r>
      <w:proofErr w:type="spellStart"/>
      <w:r w:rsidRPr="002C2E24">
        <w:rPr>
          <w:rFonts w:ascii="Arial" w:hAnsi="Arial" w:cs="Arial"/>
          <w:color w:val="222222"/>
          <w:sz w:val="20"/>
          <w:szCs w:val="20"/>
          <w:shd w:val="clear" w:color="auto" w:fill="FFFFFF"/>
        </w:rPr>
        <w:t>Karlen</w:t>
      </w:r>
      <w:proofErr w:type="spellEnd"/>
      <w:r w:rsidRPr="002C2E24">
        <w:rPr>
          <w:rFonts w:ascii="Arial" w:hAnsi="Arial" w:cs="Arial"/>
          <w:color w:val="222222"/>
          <w:sz w:val="20"/>
          <w:szCs w:val="20"/>
          <w:shd w:val="clear" w:color="auto" w:fill="FFFFFF"/>
        </w:rPr>
        <w:t>, D. (2010). Biochar impact on nutrient leaching from a Midwestern agricultural soil. </w:t>
      </w:r>
      <w:proofErr w:type="spellStart"/>
      <w:r w:rsidRPr="002C2E24">
        <w:rPr>
          <w:rFonts w:ascii="Arial" w:hAnsi="Arial" w:cs="Arial"/>
          <w:i/>
          <w:iCs/>
          <w:color w:val="222222"/>
          <w:sz w:val="20"/>
          <w:szCs w:val="20"/>
          <w:shd w:val="clear" w:color="auto" w:fill="FFFFFF"/>
        </w:rPr>
        <w:t>Geoderma</w:t>
      </w:r>
      <w:proofErr w:type="spellEnd"/>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158</w:t>
      </w:r>
      <w:r w:rsidRPr="002C2E24">
        <w:rPr>
          <w:rFonts w:ascii="Arial" w:hAnsi="Arial" w:cs="Arial"/>
          <w:color w:val="222222"/>
          <w:sz w:val="20"/>
          <w:szCs w:val="20"/>
          <w:shd w:val="clear" w:color="auto" w:fill="FFFFFF"/>
        </w:rPr>
        <w:t>(3-4), 436-442.</w:t>
      </w:r>
    </w:p>
    <w:p w14:paraId="4DEA2E76" w14:textId="77777777" w:rsidR="00DB23EF" w:rsidRPr="002C2E24" w:rsidRDefault="00DB23EF" w:rsidP="00DB23EF">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 xml:space="preserve">Lu, T., Lin, D., Isa, Y. M., Kozlov, A., </w:t>
      </w:r>
      <w:proofErr w:type="spellStart"/>
      <w:r w:rsidRPr="002C2E24">
        <w:rPr>
          <w:rFonts w:ascii="Arial" w:hAnsi="Arial" w:cs="Arial"/>
          <w:color w:val="222222"/>
          <w:sz w:val="20"/>
          <w:szCs w:val="20"/>
          <w:shd w:val="clear" w:color="auto" w:fill="FFFFFF"/>
        </w:rPr>
        <w:t>Penzik</w:t>
      </w:r>
      <w:proofErr w:type="spellEnd"/>
      <w:r w:rsidRPr="002C2E24">
        <w:rPr>
          <w:rFonts w:ascii="Arial" w:hAnsi="Arial" w:cs="Arial"/>
          <w:color w:val="222222"/>
          <w:sz w:val="20"/>
          <w:szCs w:val="20"/>
          <w:shd w:val="clear" w:color="auto" w:fill="FFFFFF"/>
        </w:rPr>
        <w:t xml:space="preserve">, M., </w:t>
      </w:r>
      <w:proofErr w:type="spellStart"/>
      <w:r w:rsidRPr="002C2E24">
        <w:rPr>
          <w:rFonts w:ascii="Arial" w:hAnsi="Arial" w:cs="Arial"/>
          <w:color w:val="222222"/>
          <w:sz w:val="20"/>
          <w:szCs w:val="20"/>
          <w:shd w:val="clear" w:color="auto" w:fill="FFFFFF"/>
        </w:rPr>
        <w:t>Xie</w:t>
      </w:r>
      <w:proofErr w:type="spellEnd"/>
      <w:r w:rsidRPr="002C2E24">
        <w:rPr>
          <w:rFonts w:ascii="Arial" w:hAnsi="Arial" w:cs="Arial"/>
          <w:color w:val="222222"/>
          <w:sz w:val="20"/>
          <w:szCs w:val="20"/>
          <w:shd w:val="clear" w:color="auto" w:fill="FFFFFF"/>
        </w:rPr>
        <w:t>, X., ... &amp; Li, B. (2025). Influence of oxygen equivalence ratio on biochar oxidation characteristics under biomass oxidative pyrolysis conditions in a fluidized-bed reactor. </w:t>
      </w:r>
      <w:r w:rsidRPr="002C2E24">
        <w:rPr>
          <w:rFonts w:ascii="Arial" w:hAnsi="Arial" w:cs="Arial"/>
          <w:i/>
          <w:iCs/>
          <w:color w:val="222222"/>
          <w:sz w:val="20"/>
          <w:szCs w:val="20"/>
          <w:shd w:val="clear" w:color="auto" w:fill="FFFFFF"/>
        </w:rPr>
        <w:t>Journal of the Energy Institute</w:t>
      </w:r>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119</w:t>
      </w:r>
      <w:r w:rsidRPr="002C2E24">
        <w:rPr>
          <w:rFonts w:ascii="Arial" w:hAnsi="Arial" w:cs="Arial"/>
          <w:color w:val="222222"/>
          <w:sz w:val="20"/>
          <w:szCs w:val="20"/>
          <w:shd w:val="clear" w:color="auto" w:fill="FFFFFF"/>
        </w:rPr>
        <w:t>, 101995.</w:t>
      </w:r>
    </w:p>
    <w:p w14:paraId="2C053617" w14:textId="77777777" w:rsidR="00DB23EF" w:rsidRDefault="00DB23EF" w:rsidP="00DB23EF">
      <w:pPr>
        <w:spacing w:line="276" w:lineRule="auto"/>
        <w:ind w:left="720" w:hanging="720"/>
        <w:rPr>
          <w:rFonts w:ascii="Arial" w:hAnsi="Arial" w:cs="Arial"/>
          <w:color w:val="222222"/>
          <w:sz w:val="20"/>
          <w:szCs w:val="20"/>
          <w:shd w:val="clear" w:color="auto" w:fill="FFFFFF"/>
        </w:rPr>
      </w:pPr>
      <w:bookmarkStart w:id="28" w:name="_Hlk195657153"/>
      <w:r w:rsidRPr="002C2E24">
        <w:rPr>
          <w:rFonts w:ascii="Arial" w:hAnsi="Arial" w:cs="Arial"/>
          <w:color w:val="222222"/>
          <w:sz w:val="20"/>
          <w:szCs w:val="20"/>
          <w:shd w:val="clear" w:color="auto" w:fill="FFFFFF"/>
        </w:rPr>
        <w:lastRenderedPageBreak/>
        <w:t xml:space="preserve">Major, J., Steiner, C., </w:t>
      </w:r>
      <w:proofErr w:type="spellStart"/>
      <w:r w:rsidRPr="002C2E24">
        <w:rPr>
          <w:rFonts w:ascii="Arial" w:hAnsi="Arial" w:cs="Arial"/>
          <w:color w:val="222222"/>
          <w:sz w:val="20"/>
          <w:szCs w:val="20"/>
          <w:shd w:val="clear" w:color="auto" w:fill="FFFFFF"/>
        </w:rPr>
        <w:t>Downie</w:t>
      </w:r>
      <w:proofErr w:type="spellEnd"/>
      <w:r w:rsidRPr="002C2E24">
        <w:rPr>
          <w:rFonts w:ascii="Arial" w:hAnsi="Arial" w:cs="Arial"/>
          <w:color w:val="222222"/>
          <w:sz w:val="20"/>
          <w:szCs w:val="20"/>
          <w:shd w:val="clear" w:color="auto" w:fill="FFFFFF"/>
        </w:rPr>
        <w:t>, A., &amp; Lehmann, J. (2012). Biochar effects on nutrient leaching. In </w:t>
      </w:r>
      <w:r w:rsidRPr="002C2E24">
        <w:rPr>
          <w:rFonts w:ascii="Arial" w:hAnsi="Arial" w:cs="Arial"/>
          <w:i/>
          <w:iCs/>
          <w:color w:val="222222"/>
          <w:sz w:val="20"/>
          <w:szCs w:val="20"/>
          <w:shd w:val="clear" w:color="auto" w:fill="FFFFFF"/>
        </w:rPr>
        <w:t>Biochar for environmental management</w:t>
      </w:r>
      <w:r w:rsidRPr="002C2E24">
        <w:rPr>
          <w:rFonts w:ascii="Arial" w:hAnsi="Arial" w:cs="Arial"/>
          <w:color w:val="222222"/>
          <w:sz w:val="20"/>
          <w:szCs w:val="20"/>
          <w:shd w:val="clear" w:color="auto" w:fill="FFFFFF"/>
        </w:rPr>
        <w:t> (pp. 303-320). Routledge.</w:t>
      </w:r>
    </w:p>
    <w:p w14:paraId="5EF8E64C" w14:textId="77777777" w:rsidR="00DB23EF" w:rsidRPr="002C2E24" w:rsidRDefault="00DB23EF" w:rsidP="00DB23EF">
      <w:pPr>
        <w:spacing w:line="276" w:lineRule="auto"/>
        <w:ind w:left="720" w:hanging="720"/>
        <w:rPr>
          <w:rFonts w:ascii="Arial" w:hAnsi="Arial" w:cs="Arial"/>
          <w:color w:val="222222"/>
          <w:sz w:val="20"/>
          <w:szCs w:val="20"/>
          <w:shd w:val="clear" w:color="auto" w:fill="FFFFFF"/>
        </w:rPr>
      </w:pPr>
      <w:bookmarkStart w:id="29" w:name="_Hlk195867365"/>
      <w:bookmarkEnd w:id="28"/>
      <w:r w:rsidRPr="002C2E24">
        <w:rPr>
          <w:rFonts w:ascii="Arial" w:hAnsi="Arial" w:cs="Arial"/>
          <w:color w:val="222222"/>
          <w:sz w:val="20"/>
          <w:szCs w:val="20"/>
          <w:shd w:val="clear" w:color="auto" w:fill="FFFFFF"/>
        </w:rPr>
        <w:t xml:space="preserve">Mubarak, A. A., Ilyas, R. A., </w:t>
      </w:r>
      <w:proofErr w:type="spellStart"/>
      <w:r w:rsidRPr="002C2E24">
        <w:rPr>
          <w:rFonts w:ascii="Arial" w:hAnsi="Arial" w:cs="Arial"/>
          <w:color w:val="222222"/>
          <w:sz w:val="20"/>
          <w:szCs w:val="20"/>
          <w:shd w:val="clear" w:color="auto" w:fill="FFFFFF"/>
        </w:rPr>
        <w:t>Nordin</w:t>
      </w:r>
      <w:proofErr w:type="spellEnd"/>
      <w:r w:rsidRPr="002C2E24">
        <w:rPr>
          <w:rFonts w:ascii="Arial" w:hAnsi="Arial" w:cs="Arial"/>
          <w:color w:val="222222"/>
          <w:sz w:val="20"/>
          <w:szCs w:val="20"/>
          <w:shd w:val="clear" w:color="auto" w:fill="FFFFFF"/>
        </w:rPr>
        <w:t xml:space="preserve">, A. H., </w:t>
      </w:r>
      <w:proofErr w:type="spellStart"/>
      <w:r w:rsidRPr="002C2E24">
        <w:rPr>
          <w:rFonts w:ascii="Arial" w:hAnsi="Arial" w:cs="Arial"/>
          <w:color w:val="222222"/>
          <w:sz w:val="20"/>
          <w:szCs w:val="20"/>
          <w:shd w:val="clear" w:color="auto" w:fill="FFFFFF"/>
        </w:rPr>
        <w:t>Ngadi</w:t>
      </w:r>
      <w:proofErr w:type="spellEnd"/>
      <w:r w:rsidRPr="002C2E24">
        <w:rPr>
          <w:rFonts w:ascii="Arial" w:hAnsi="Arial" w:cs="Arial"/>
          <w:color w:val="222222"/>
          <w:sz w:val="20"/>
          <w:szCs w:val="20"/>
          <w:shd w:val="clear" w:color="auto" w:fill="FFFFFF"/>
        </w:rPr>
        <w:t xml:space="preserve">, N., &amp; </w:t>
      </w:r>
      <w:proofErr w:type="spellStart"/>
      <w:r w:rsidRPr="002C2E24">
        <w:rPr>
          <w:rFonts w:ascii="Arial" w:hAnsi="Arial" w:cs="Arial"/>
          <w:color w:val="222222"/>
          <w:sz w:val="20"/>
          <w:szCs w:val="20"/>
          <w:shd w:val="clear" w:color="auto" w:fill="FFFFFF"/>
        </w:rPr>
        <w:t>Alkbir</w:t>
      </w:r>
      <w:proofErr w:type="spellEnd"/>
      <w:r w:rsidRPr="002C2E24">
        <w:rPr>
          <w:rFonts w:ascii="Arial" w:hAnsi="Arial" w:cs="Arial"/>
          <w:color w:val="222222"/>
          <w:sz w:val="20"/>
          <w:szCs w:val="20"/>
          <w:shd w:val="clear" w:color="auto" w:fill="FFFFFF"/>
        </w:rPr>
        <w:t>, M. F. M. (2024). Recent developments in sugarcane bagasse fibre-based adsorbent and their potential industrial applications: a review. </w:t>
      </w:r>
      <w:r w:rsidRPr="002C2E24">
        <w:rPr>
          <w:rFonts w:ascii="Arial" w:hAnsi="Arial" w:cs="Arial"/>
          <w:i/>
          <w:iCs/>
          <w:color w:val="222222"/>
          <w:sz w:val="20"/>
          <w:szCs w:val="20"/>
          <w:shd w:val="clear" w:color="auto" w:fill="FFFFFF"/>
        </w:rPr>
        <w:t>International Journal of Biological Macromolecules</w:t>
      </w:r>
      <w:r w:rsidRPr="002C2E24">
        <w:rPr>
          <w:rFonts w:ascii="Arial" w:hAnsi="Arial" w:cs="Arial"/>
          <w:color w:val="222222"/>
          <w:sz w:val="20"/>
          <w:szCs w:val="20"/>
          <w:shd w:val="clear" w:color="auto" w:fill="FFFFFF"/>
        </w:rPr>
        <w:t>, 134165.</w:t>
      </w:r>
    </w:p>
    <w:p w14:paraId="0DA7D890" w14:textId="77777777" w:rsidR="00DB23EF" w:rsidRPr="002C2E24" w:rsidRDefault="00DB23EF" w:rsidP="00DB23EF">
      <w:pPr>
        <w:spacing w:line="276" w:lineRule="auto"/>
        <w:ind w:left="720" w:hanging="720"/>
        <w:rPr>
          <w:rFonts w:ascii="Arial" w:eastAsia="Times New Roman" w:hAnsi="Arial" w:cs="Arial"/>
          <w:sz w:val="20"/>
          <w:szCs w:val="20"/>
          <w:lang w:eastAsia="en-IN"/>
        </w:rPr>
      </w:pPr>
      <w:r w:rsidRPr="002C2E24">
        <w:rPr>
          <w:rFonts w:ascii="Arial" w:hAnsi="Arial" w:cs="Arial"/>
          <w:color w:val="222222"/>
          <w:sz w:val="20"/>
          <w:szCs w:val="20"/>
          <w:shd w:val="clear" w:color="auto" w:fill="FFFFFF"/>
        </w:rPr>
        <w:t xml:space="preserve">Murtaza, G., Ahmed, Z., </w:t>
      </w:r>
      <w:proofErr w:type="spellStart"/>
      <w:r w:rsidRPr="002C2E24">
        <w:rPr>
          <w:rFonts w:ascii="Arial" w:hAnsi="Arial" w:cs="Arial"/>
          <w:color w:val="222222"/>
          <w:sz w:val="20"/>
          <w:szCs w:val="20"/>
          <w:shd w:val="clear" w:color="auto" w:fill="FFFFFF"/>
        </w:rPr>
        <w:t>Eldin</w:t>
      </w:r>
      <w:proofErr w:type="spellEnd"/>
      <w:r w:rsidRPr="002C2E24">
        <w:rPr>
          <w:rFonts w:ascii="Arial" w:hAnsi="Arial" w:cs="Arial"/>
          <w:color w:val="222222"/>
          <w:sz w:val="20"/>
          <w:szCs w:val="20"/>
          <w:shd w:val="clear" w:color="auto" w:fill="FFFFFF"/>
        </w:rPr>
        <w:t xml:space="preserve">, S. M., Ali, B., </w:t>
      </w:r>
      <w:proofErr w:type="spellStart"/>
      <w:r w:rsidRPr="002C2E24">
        <w:rPr>
          <w:rFonts w:ascii="Arial" w:hAnsi="Arial" w:cs="Arial"/>
          <w:color w:val="222222"/>
          <w:sz w:val="20"/>
          <w:szCs w:val="20"/>
          <w:shd w:val="clear" w:color="auto" w:fill="FFFFFF"/>
        </w:rPr>
        <w:t>Bawazeer</w:t>
      </w:r>
      <w:proofErr w:type="spellEnd"/>
      <w:r w:rsidRPr="002C2E24">
        <w:rPr>
          <w:rFonts w:ascii="Arial" w:hAnsi="Arial" w:cs="Arial"/>
          <w:color w:val="222222"/>
          <w:sz w:val="20"/>
          <w:szCs w:val="20"/>
          <w:shd w:val="clear" w:color="auto" w:fill="FFFFFF"/>
        </w:rPr>
        <w:t>, S., Usman, M., ... &amp; Tariq, A. (2023). Biochar-Soil-Plant interactions: A cross talk for sustainable agriculture under changing climate. </w:t>
      </w:r>
      <w:r w:rsidRPr="002C2E24">
        <w:rPr>
          <w:rFonts w:ascii="Arial" w:hAnsi="Arial" w:cs="Arial"/>
          <w:i/>
          <w:iCs/>
          <w:color w:val="222222"/>
          <w:sz w:val="20"/>
          <w:szCs w:val="20"/>
          <w:shd w:val="clear" w:color="auto" w:fill="FFFFFF"/>
        </w:rPr>
        <w:t>Frontiers in Environmental Science</w:t>
      </w:r>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11</w:t>
      </w:r>
      <w:r w:rsidRPr="002C2E24">
        <w:rPr>
          <w:rFonts w:ascii="Arial" w:hAnsi="Arial" w:cs="Arial"/>
          <w:color w:val="222222"/>
          <w:sz w:val="20"/>
          <w:szCs w:val="20"/>
          <w:shd w:val="clear" w:color="auto" w:fill="FFFFFF"/>
        </w:rPr>
        <w:t>, 1059449.</w:t>
      </w:r>
    </w:p>
    <w:p w14:paraId="7B2BD5D0" w14:textId="77777777" w:rsidR="00DB23EF" w:rsidRPr="002C2E24" w:rsidRDefault="00DB23EF" w:rsidP="00DB23EF">
      <w:pPr>
        <w:spacing w:line="276" w:lineRule="auto"/>
        <w:ind w:left="720" w:hanging="720"/>
        <w:rPr>
          <w:rFonts w:ascii="Arial" w:hAnsi="Arial" w:cs="Arial"/>
          <w:color w:val="222222"/>
          <w:sz w:val="20"/>
          <w:szCs w:val="20"/>
          <w:shd w:val="clear" w:color="auto" w:fill="FFFFFF"/>
        </w:rPr>
      </w:pPr>
      <w:proofErr w:type="spellStart"/>
      <w:r w:rsidRPr="002C2E24">
        <w:rPr>
          <w:rFonts w:ascii="Arial" w:hAnsi="Arial" w:cs="Arial"/>
          <w:color w:val="222222"/>
          <w:sz w:val="20"/>
          <w:szCs w:val="20"/>
          <w:shd w:val="clear" w:color="auto" w:fill="FFFFFF"/>
        </w:rPr>
        <w:t>Nobahar</w:t>
      </w:r>
      <w:proofErr w:type="spellEnd"/>
      <w:r w:rsidRPr="002C2E24">
        <w:rPr>
          <w:rFonts w:ascii="Arial" w:hAnsi="Arial" w:cs="Arial"/>
          <w:color w:val="222222"/>
          <w:sz w:val="20"/>
          <w:szCs w:val="20"/>
          <w:shd w:val="clear" w:color="auto" w:fill="FFFFFF"/>
        </w:rPr>
        <w:t xml:space="preserve">, A., </w:t>
      </w:r>
      <w:proofErr w:type="spellStart"/>
      <w:r w:rsidRPr="002C2E24">
        <w:rPr>
          <w:rFonts w:ascii="Arial" w:hAnsi="Arial" w:cs="Arial"/>
          <w:color w:val="222222"/>
          <w:sz w:val="20"/>
          <w:szCs w:val="20"/>
          <w:shd w:val="clear" w:color="auto" w:fill="FFFFFF"/>
        </w:rPr>
        <w:t>Carlier</w:t>
      </w:r>
      <w:proofErr w:type="spellEnd"/>
      <w:r w:rsidRPr="002C2E24">
        <w:rPr>
          <w:rFonts w:ascii="Arial" w:hAnsi="Arial" w:cs="Arial"/>
          <w:color w:val="222222"/>
          <w:sz w:val="20"/>
          <w:szCs w:val="20"/>
          <w:shd w:val="clear" w:color="auto" w:fill="FFFFFF"/>
        </w:rPr>
        <w:t>, J. D., Miguel, M. G., &amp; Costa, M. C. (2021). A review of plant metabolites with metal interaction capacity: a green approach for industrial applications. </w:t>
      </w:r>
      <w:proofErr w:type="spellStart"/>
      <w:r w:rsidRPr="002C2E24">
        <w:rPr>
          <w:rFonts w:ascii="Arial" w:hAnsi="Arial" w:cs="Arial"/>
          <w:i/>
          <w:iCs/>
          <w:color w:val="222222"/>
          <w:sz w:val="20"/>
          <w:szCs w:val="20"/>
          <w:shd w:val="clear" w:color="auto" w:fill="FFFFFF"/>
        </w:rPr>
        <w:t>BioMetals</w:t>
      </w:r>
      <w:proofErr w:type="spellEnd"/>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34</w:t>
      </w:r>
      <w:r w:rsidRPr="002C2E24">
        <w:rPr>
          <w:rFonts w:ascii="Arial" w:hAnsi="Arial" w:cs="Arial"/>
          <w:color w:val="222222"/>
          <w:sz w:val="20"/>
          <w:szCs w:val="20"/>
          <w:shd w:val="clear" w:color="auto" w:fill="FFFFFF"/>
        </w:rPr>
        <w:t>(4), 761-793.</w:t>
      </w:r>
    </w:p>
    <w:p w14:paraId="5BB69408" w14:textId="77777777" w:rsidR="00DB23EF" w:rsidRPr="002C2E24" w:rsidRDefault="00DB23EF" w:rsidP="00DB23EF">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 xml:space="preserve">Oluwole, O., </w:t>
      </w:r>
      <w:proofErr w:type="spellStart"/>
      <w:r w:rsidRPr="002C2E24">
        <w:rPr>
          <w:rFonts w:ascii="Arial" w:hAnsi="Arial" w:cs="Arial"/>
          <w:color w:val="222222"/>
          <w:sz w:val="20"/>
          <w:szCs w:val="20"/>
          <w:shd w:val="clear" w:color="auto" w:fill="FFFFFF"/>
        </w:rPr>
        <w:t>Ibidapo</w:t>
      </w:r>
      <w:proofErr w:type="spellEnd"/>
      <w:r w:rsidRPr="002C2E24">
        <w:rPr>
          <w:rFonts w:ascii="Arial" w:hAnsi="Arial" w:cs="Arial"/>
          <w:color w:val="222222"/>
          <w:sz w:val="20"/>
          <w:szCs w:val="20"/>
          <w:shd w:val="clear" w:color="auto" w:fill="FFFFFF"/>
        </w:rPr>
        <w:t xml:space="preserve">, O., </w:t>
      </w:r>
      <w:proofErr w:type="spellStart"/>
      <w:r w:rsidRPr="002C2E24">
        <w:rPr>
          <w:rFonts w:ascii="Arial" w:hAnsi="Arial" w:cs="Arial"/>
          <w:color w:val="222222"/>
          <w:sz w:val="20"/>
          <w:szCs w:val="20"/>
          <w:shd w:val="clear" w:color="auto" w:fill="FFFFFF"/>
        </w:rPr>
        <w:t>Arowosola</w:t>
      </w:r>
      <w:proofErr w:type="spellEnd"/>
      <w:r w:rsidRPr="002C2E24">
        <w:rPr>
          <w:rFonts w:ascii="Arial" w:hAnsi="Arial" w:cs="Arial"/>
          <w:color w:val="222222"/>
          <w:sz w:val="20"/>
          <w:szCs w:val="20"/>
          <w:shd w:val="clear" w:color="auto" w:fill="FFFFFF"/>
        </w:rPr>
        <w:t xml:space="preserve">, T., Raji, F., </w:t>
      </w:r>
      <w:proofErr w:type="spellStart"/>
      <w:r w:rsidRPr="002C2E24">
        <w:rPr>
          <w:rFonts w:ascii="Arial" w:hAnsi="Arial" w:cs="Arial"/>
          <w:color w:val="222222"/>
          <w:sz w:val="20"/>
          <w:szCs w:val="20"/>
          <w:shd w:val="clear" w:color="auto" w:fill="FFFFFF"/>
        </w:rPr>
        <w:t>Zandonadi</w:t>
      </w:r>
      <w:proofErr w:type="spellEnd"/>
      <w:r w:rsidRPr="002C2E24">
        <w:rPr>
          <w:rFonts w:ascii="Arial" w:hAnsi="Arial" w:cs="Arial"/>
          <w:color w:val="222222"/>
          <w:sz w:val="20"/>
          <w:szCs w:val="20"/>
          <w:shd w:val="clear" w:color="auto" w:fill="FFFFFF"/>
        </w:rPr>
        <w:t xml:space="preserve">, R. P., </w:t>
      </w:r>
      <w:proofErr w:type="spellStart"/>
      <w:r w:rsidRPr="002C2E24">
        <w:rPr>
          <w:rFonts w:ascii="Arial" w:hAnsi="Arial" w:cs="Arial"/>
          <w:color w:val="222222"/>
          <w:sz w:val="20"/>
          <w:szCs w:val="20"/>
          <w:shd w:val="clear" w:color="auto" w:fill="FFFFFF"/>
        </w:rPr>
        <w:t>Alasqah</w:t>
      </w:r>
      <w:proofErr w:type="spellEnd"/>
      <w:r w:rsidRPr="002C2E24">
        <w:rPr>
          <w:rFonts w:ascii="Arial" w:hAnsi="Arial" w:cs="Arial"/>
          <w:color w:val="222222"/>
          <w:sz w:val="20"/>
          <w:szCs w:val="20"/>
          <w:shd w:val="clear" w:color="auto" w:fill="FFFFFF"/>
        </w:rPr>
        <w:t xml:space="preserve">, I., ... &amp; </w:t>
      </w:r>
      <w:proofErr w:type="spellStart"/>
      <w:r w:rsidRPr="002C2E24">
        <w:rPr>
          <w:rFonts w:ascii="Arial" w:hAnsi="Arial" w:cs="Arial"/>
          <w:color w:val="222222"/>
          <w:sz w:val="20"/>
          <w:szCs w:val="20"/>
          <w:shd w:val="clear" w:color="auto" w:fill="FFFFFF"/>
        </w:rPr>
        <w:t>Raposo</w:t>
      </w:r>
      <w:proofErr w:type="spellEnd"/>
      <w:r w:rsidRPr="002C2E24">
        <w:rPr>
          <w:rFonts w:ascii="Arial" w:hAnsi="Arial" w:cs="Arial"/>
          <w:color w:val="222222"/>
          <w:sz w:val="20"/>
          <w:szCs w:val="20"/>
          <w:shd w:val="clear" w:color="auto" w:fill="FFFFFF"/>
        </w:rPr>
        <w:t>, A. (2023). Sustainable transformation agenda for enhanced global food and nutrition security: a narrative review. </w:t>
      </w:r>
      <w:r w:rsidRPr="002C2E24">
        <w:rPr>
          <w:rFonts w:ascii="Arial" w:hAnsi="Arial" w:cs="Arial"/>
          <w:i/>
          <w:iCs/>
          <w:color w:val="222222"/>
          <w:sz w:val="20"/>
          <w:szCs w:val="20"/>
          <w:shd w:val="clear" w:color="auto" w:fill="FFFFFF"/>
        </w:rPr>
        <w:t>Frontiers in Nutrition</w:t>
      </w:r>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10</w:t>
      </w:r>
      <w:r w:rsidRPr="002C2E24">
        <w:rPr>
          <w:rFonts w:ascii="Arial" w:hAnsi="Arial" w:cs="Arial"/>
          <w:color w:val="222222"/>
          <w:sz w:val="20"/>
          <w:szCs w:val="20"/>
          <w:shd w:val="clear" w:color="auto" w:fill="FFFFFF"/>
        </w:rPr>
        <w:t>, 1226538.</w:t>
      </w:r>
    </w:p>
    <w:p w14:paraId="0659E056" w14:textId="77777777" w:rsidR="00DB23EF" w:rsidRPr="002C2E24" w:rsidRDefault="00DB23EF" w:rsidP="00DB23EF">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Panwar, N. L., &amp; Pawar, A. (2022). Influence of activation conditions on the physicochemical properties of activated biochar: A review. </w:t>
      </w:r>
      <w:r w:rsidRPr="002C2E24">
        <w:rPr>
          <w:rFonts w:ascii="Arial" w:hAnsi="Arial" w:cs="Arial"/>
          <w:i/>
          <w:iCs/>
          <w:color w:val="222222"/>
          <w:sz w:val="20"/>
          <w:szCs w:val="20"/>
          <w:shd w:val="clear" w:color="auto" w:fill="FFFFFF"/>
        </w:rPr>
        <w:t>Biomass Conversion and Biorefinery</w:t>
      </w:r>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12</w:t>
      </w:r>
      <w:r w:rsidRPr="002C2E24">
        <w:rPr>
          <w:rFonts w:ascii="Arial" w:hAnsi="Arial" w:cs="Arial"/>
          <w:color w:val="222222"/>
          <w:sz w:val="20"/>
          <w:szCs w:val="20"/>
          <w:shd w:val="clear" w:color="auto" w:fill="FFFFFF"/>
        </w:rPr>
        <w:t>(3), 925-947.</w:t>
      </w:r>
    </w:p>
    <w:p w14:paraId="40FFE629" w14:textId="77777777" w:rsidR="00DB23EF" w:rsidRDefault="00DB23EF" w:rsidP="00DB23EF">
      <w:pPr>
        <w:spacing w:line="276" w:lineRule="auto"/>
        <w:ind w:left="720" w:hanging="720"/>
        <w:rPr>
          <w:rFonts w:ascii="Arial" w:hAnsi="Arial" w:cs="Arial"/>
          <w:color w:val="222222"/>
          <w:sz w:val="20"/>
          <w:szCs w:val="20"/>
          <w:shd w:val="clear" w:color="auto" w:fill="FFFFFF"/>
        </w:rPr>
      </w:pPr>
      <w:proofErr w:type="spellStart"/>
      <w:r w:rsidRPr="002C2E24">
        <w:rPr>
          <w:rFonts w:ascii="Arial" w:hAnsi="Arial" w:cs="Arial"/>
          <w:color w:val="222222"/>
          <w:sz w:val="20"/>
          <w:szCs w:val="20"/>
          <w:shd w:val="clear" w:color="auto" w:fill="FFFFFF"/>
        </w:rPr>
        <w:t>Parasar</w:t>
      </w:r>
      <w:proofErr w:type="spellEnd"/>
      <w:r w:rsidRPr="002C2E24">
        <w:rPr>
          <w:rFonts w:ascii="Arial" w:hAnsi="Arial" w:cs="Arial"/>
          <w:color w:val="222222"/>
          <w:sz w:val="20"/>
          <w:szCs w:val="20"/>
          <w:shd w:val="clear" w:color="auto" w:fill="FFFFFF"/>
        </w:rPr>
        <w:t xml:space="preserve">, B. J., &amp; </w:t>
      </w:r>
      <w:proofErr w:type="spellStart"/>
      <w:r w:rsidRPr="002C2E24">
        <w:rPr>
          <w:rFonts w:ascii="Arial" w:hAnsi="Arial" w:cs="Arial"/>
          <w:color w:val="222222"/>
          <w:sz w:val="20"/>
          <w:szCs w:val="20"/>
          <w:shd w:val="clear" w:color="auto" w:fill="FFFFFF"/>
        </w:rPr>
        <w:t>Agarwala</w:t>
      </w:r>
      <w:proofErr w:type="spellEnd"/>
      <w:r w:rsidRPr="002C2E24">
        <w:rPr>
          <w:rFonts w:ascii="Arial" w:hAnsi="Arial" w:cs="Arial"/>
          <w:color w:val="222222"/>
          <w:sz w:val="20"/>
          <w:szCs w:val="20"/>
          <w:shd w:val="clear" w:color="auto" w:fill="FFFFFF"/>
        </w:rPr>
        <w:t>, N. (2025). Unravelling the role of biochar-microbe-soil tripartite interaction in regulating soil carbon and nitrogen budget: a panacea to soil sustainability. </w:t>
      </w:r>
      <w:r w:rsidRPr="002C2E24">
        <w:rPr>
          <w:rFonts w:ascii="Arial" w:hAnsi="Arial" w:cs="Arial"/>
          <w:i/>
          <w:iCs/>
          <w:color w:val="222222"/>
          <w:sz w:val="20"/>
          <w:szCs w:val="20"/>
          <w:shd w:val="clear" w:color="auto" w:fill="FFFFFF"/>
        </w:rPr>
        <w:t>Biochar</w:t>
      </w:r>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7</w:t>
      </w:r>
      <w:r w:rsidRPr="002C2E24">
        <w:rPr>
          <w:rFonts w:ascii="Arial" w:hAnsi="Arial" w:cs="Arial"/>
          <w:color w:val="222222"/>
          <w:sz w:val="20"/>
          <w:szCs w:val="20"/>
          <w:shd w:val="clear" w:color="auto" w:fill="FFFFFF"/>
        </w:rPr>
        <w:t>(1), 37.</w:t>
      </w:r>
    </w:p>
    <w:p w14:paraId="342D7F19" w14:textId="77777777" w:rsidR="00DB23EF" w:rsidRPr="002C2E24" w:rsidRDefault="00DB23EF" w:rsidP="00DB23EF">
      <w:pPr>
        <w:spacing w:line="276" w:lineRule="auto"/>
        <w:ind w:left="720" w:hanging="720"/>
        <w:rPr>
          <w:rFonts w:ascii="Arial" w:hAnsi="Arial" w:cs="Arial"/>
          <w:color w:val="222222"/>
          <w:sz w:val="20"/>
          <w:szCs w:val="20"/>
          <w:shd w:val="clear" w:color="auto" w:fill="FFFFFF"/>
        </w:rPr>
      </w:pPr>
      <w:r w:rsidRPr="00250DED">
        <w:rPr>
          <w:rFonts w:ascii="Arial" w:hAnsi="Arial" w:cs="Arial"/>
          <w:color w:val="222222"/>
          <w:sz w:val="20"/>
          <w:szCs w:val="20"/>
          <w:shd w:val="clear" w:color="auto" w:fill="FFFFFF"/>
        </w:rPr>
        <w:t>Prado-</w:t>
      </w:r>
      <w:proofErr w:type="spellStart"/>
      <w:r w:rsidRPr="00250DED">
        <w:rPr>
          <w:rFonts w:ascii="Arial" w:hAnsi="Arial" w:cs="Arial"/>
          <w:color w:val="222222"/>
          <w:sz w:val="20"/>
          <w:szCs w:val="20"/>
          <w:shd w:val="clear" w:color="auto" w:fill="FFFFFF"/>
        </w:rPr>
        <w:t>Acebo</w:t>
      </w:r>
      <w:proofErr w:type="spellEnd"/>
      <w:r w:rsidRPr="00250DED">
        <w:rPr>
          <w:rFonts w:ascii="Arial" w:hAnsi="Arial" w:cs="Arial"/>
          <w:color w:val="222222"/>
          <w:sz w:val="20"/>
          <w:szCs w:val="20"/>
          <w:shd w:val="clear" w:color="auto" w:fill="FFFFFF"/>
        </w:rPr>
        <w:t xml:space="preserve">, I., Cubero-Cardoso, J., Lu-Chau, T. A., &amp; </w:t>
      </w:r>
      <w:proofErr w:type="spellStart"/>
      <w:r w:rsidRPr="00250DED">
        <w:rPr>
          <w:rFonts w:ascii="Arial" w:hAnsi="Arial" w:cs="Arial"/>
          <w:color w:val="222222"/>
          <w:sz w:val="20"/>
          <w:szCs w:val="20"/>
          <w:shd w:val="clear" w:color="auto" w:fill="FFFFFF"/>
        </w:rPr>
        <w:t>Eibes</w:t>
      </w:r>
      <w:proofErr w:type="spellEnd"/>
      <w:r w:rsidRPr="00250DED">
        <w:rPr>
          <w:rFonts w:ascii="Arial" w:hAnsi="Arial" w:cs="Arial"/>
          <w:color w:val="222222"/>
          <w:sz w:val="20"/>
          <w:szCs w:val="20"/>
          <w:shd w:val="clear" w:color="auto" w:fill="FFFFFF"/>
        </w:rPr>
        <w:t>, G. (2024). Integral multi-</w:t>
      </w:r>
      <w:proofErr w:type="spellStart"/>
      <w:r w:rsidRPr="00250DED">
        <w:rPr>
          <w:rFonts w:ascii="Arial" w:hAnsi="Arial" w:cs="Arial"/>
          <w:color w:val="222222"/>
          <w:sz w:val="20"/>
          <w:szCs w:val="20"/>
          <w:shd w:val="clear" w:color="auto" w:fill="FFFFFF"/>
        </w:rPr>
        <w:t>valorization</w:t>
      </w:r>
      <w:proofErr w:type="spellEnd"/>
      <w:r w:rsidRPr="00250DED">
        <w:rPr>
          <w:rFonts w:ascii="Arial" w:hAnsi="Arial" w:cs="Arial"/>
          <w:color w:val="222222"/>
          <w:sz w:val="20"/>
          <w:szCs w:val="20"/>
          <w:shd w:val="clear" w:color="auto" w:fill="FFFFFF"/>
        </w:rPr>
        <w:t xml:space="preserve"> of </w:t>
      </w:r>
      <w:proofErr w:type="spellStart"/>
      <w:r w:rsidRPr="00250DED">
        <w:rPr>
          <w:rFonts w:ascii="Arial" w:hAnsi="Arial" w:cs="Arial"/>
          <w:color w:val="222222"/>
          <w:sz w:val="20"/>
          <w:szCs w:val="20"/>
          <w:shd w:val="clear" w:color="auto" w:fill="FFFFFF"/>
        </w:rPr>
        <w:t>agro</w:t>
      </w:r>
      <w:proofErr w:type="spellEnd"/>
      <w:r w:rsidRPr="00250DED">
        <w:rPr>
          <w:rFonts w:ascii="Arial" w:hAnsi="Arial" w:cs="Arial"/>
          <w:color w:val="222222"/>
          <w:sz w:val="20"/>
          <w:szCs w:val="20"/>
          <w:shd w:val="clear" w:color="auto" w:fill="FFFFFF"/>
        </w:rPr>
        <w:t>-industrial wastes: A review. Waste Management, 183, 42–52.</w:t>
      </w:r>
    </w:p>
    <w:p w14:paraId="5071B181" w14:textId="77777777" w:rsidR="00DB23EF" w:rsidRPr="002C2E24" w:rsidRDefault="00DB23EF" w:rsidP="00DB23EF">
      <w:pPr>
        <w:spacing w:line="276" w:lineRule="auto"/>
        <w:ind w:left="720" w:hanging="720"/>
        <w:rPr>
          <w:rFonts w:ascii="Arial" w:hAnsi="Arial" w:cs="Arial"/>
          <w:sz w:val="20"/>
          <w:szCs w:val="20"/>
        </w:rPr>
      </w:pPr>
      <w:proofErr w:type="spellStart"/>
      <w:r w:rsidRPr="002C2E24">
        <w:rPr>
          <w:rFonts w:ascii="Arial" w:hAnsi="Arial" w:cs="Arial"/>
          <w:sz w:val="20"/>
          <w:szCs w:val="20"/>
        </w:rPr>
        <w:t>Rab</w:t>
      </w:r>
      <w:proofErr w:type="spellEnd"/>
      <w:r w:rsidRPr="002C2E24">
        <w:rPr>
          <w:rFonts w:ascii="Arial" w:hAnsi="Arial" w:cs="Arial"/>
          <w:sz w:val="20"/>
          <w:szCs w:val="20"/>
        </w:rPr>
        <w:t xml:space="preserve">, A., Khan, M. R., </w:t>
      </w:r>
      <w:proofErr w:type="spellStart"/>
      <w:r w:rsidRPr="002C2E24">
        <w:rPr>
          <w:rFonts w:ascii="Arial" w:hAnsi="Arial" w:cs="Arial"/>
          <w:sz w:val="20"/>
          <w:szCs w:val="20"/>
        </w:rPr>
        <w:t>Haq</w:t>
      </w:r>
      <w:proofErr w:type="spellEnd"/>
      <w:r w:rsidRPr="002C2E24">
        <w:rPr>
          <w:rFonts w:ascii="Arial" w:hAnsi="Arial" w:cs="Arial"/>
          <w:sz w:val="20"/>
          <w:szCs w:val="20"/>
        </w:rPr>
        <w:t xml:space="preserve">, S. U., &amp; Zahid, S. (2016). Impact of biochar on mungbean yield and yield components. </w:t>
      </w:r>
      <w:r w:rsidRPr="002C2E24">
        <w:rPr>
          <w:rStyle w:val="Emphasis"/>
          <w:rFonts w:ascii="Arial" w:hAnsi="Arial" w:cs="Arial"/>
          <w:sz w:val="20"/>
          <w:szCs w:val="20"/>
        </w:rPr>
        <w:t>Pure and Applied Biology</w:t>
      </w:r>
      <w:r w:rsidRPr="002C2E24">
        <w:rPr>
          <w:rFonts w:ascii="Arial" w:hAnsi="Arial" w:cs="Arial"/>
          <w:sz w:val="20"/>
          <w:szCs w:val="20"/>
        </w:rPr>
        <w:t>, 5(3), 632–640.</w:t>
      </w:r>
    </w:p>
    <w:p w14:paraId="34B39062" w14:textId="77777777" w:rsidR="00DB23EF" w:rsidRPr="002C2E24" w:rsidRDefault="00DB23EF" w:rsidP="00DB23EF">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Raza, G., Ali, K., Hassan, M. A., Ashraf, M., Khan, M. T., &amp; Khan, I. A. (2019). Sugarcane as a bioenergy source. </w:t>
      </w:r>
      <w:r w:rsidRPr="002C2E24">
        <w:rPr>
          <w:rFonts w:ascii="Arial" w:hAnsi="Arial" w:cs="Arial"/>
          <w:i/>
          <w:iCs/>
          <w:color w:val="222222"/>
          <w:sz w:val="20"/>
          <w:szCs w:val="20"/>
          <w:shd w:val="clear" w:color="auto" w:fill="FFFFFF"/>
        </w:rPr>
        <w:t>Sugarcane biofuels: status, potential, and prospects of the sweet crop to fuel the world</w:t>
      </w:r>
      <w:r w:rsidRPr="002C2E24">
        <w:rPr>
          <w:rFonts w:ascii="Arial" w:hAnsi="Arial" w:cs="Arial"/>
          <w:color w:val="222222"/>
          <w:sz w:val="20"/>
          <w:szCs w:val="20"/>
          <w:shd w:val="clear" w:color="auto" w:fill="FFFFFF"/>
        </w:rPr>
        <w:t>, 3-19.</w:t>
      </w:r>
    </w:p>
    <w:p w14:paraId="67B6D65E" w14:textId="77777777" w:rsidR="00DB23EF" w:rsidRDefault="00DB23EF" w:rsidP="00DB23EF">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 xml:space="preserve">Saleh, M. E., &amp; </w:t>
      </w:r>
      <w:proofErr w:type="spellStart"/>
      <w:r w:rsidRPr="002C2E24">
        <w:rPr>
          <w:rFonts w:ascii="Arial" w:hAnsi="Arial" w:cs="Arial"/>
          <w:color w:val="222222"/>
          <w:sz w:val="20"/>
          <w:szCs w:val="20"/>
          <w:shd w:val="clear" w:color="auto" w:fill="FFFFFF"/>
        </w:rPr>
        <w:t>Hedia</w:t>
      </w:r>
      <w:proofErr w:type="spellEnd"/>
      <w:r w:rsidRPr="002C2E24">
        <w:rPr>
          <w:rFonts w:ascii="Arial" w:hAnsi="Arial" w:cs="Arial"/>
          <w:color w:val="222222"/>
          <w:sz w:val="20"/>
          <w:szCs w:val="20"/>
          <w:shd w:val="clear" w:color="auto" w:fill="FFFFFF"/>
        </w:rPr>
        <w:t>, R. M. (2018). Mg-modified sugarcane bagasse biochar for dual removal of ammonium and phosphate ions from aqueous solutions. </w:t>
      </w:r>
      <w:r w:rsidRPr="002C2E24">
        <w:rPr>
          <w:rFonts w:ascii="Arial" w:hAnsi="Arial" w:cs="Arial"/>
          <w:i/>
          <w:iCs/>
          <w:color w:val="222222"/>
          <w:sz w:val="20"/>
          <w:szCs w:val="20"/>
          <w:shd w:val="clear" w:color="auto" w:fill="FFFFFF"/>
        </w:rPr>
        <w:t>Alexandria Science Exchange Journal</w:t>
      </w:r>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39</w:t>
      </w:r>
      <w:r w:rsidRPr="002C2E24">
        <w:rPr>
          <w:rFonts w:ascii="Arial" w:hAnsi="Arial" w:cs="Arial"/>
          <w:color w:val="222222"/>
          <w:sz w:val="20"/>
          <w:szCs w:val="20"/>
          <w:shd w:val="clear" w:color="auto" w:fill="FFFFFF"/>
        </w:rPr>
        <w:t>(January-March), 74-91.</w:t>
      </w:r>
    </w:p>
    <w:p w14:paraId="6C4ABB06" w14:textId="77777777" w:rsidR="00DB23EF" w:rsidRPr="002C2E24" w:rsidRDefault="00DB23EF" w:rsidP="00DB23EF">
      <w:pPr>
        <w:spacing w:line="276" w:lineRule="auto"/>
        <w:ind w:left="720" w:hanging="720"/>
        <w:rPr>
          <w:rFonts w:ascii="Arial" w:hAnsi="Arial" w:cs="Arial"/>
          <w:color w:val="222222"/>
          <w:sz w:val="20"/>
          <w:szCs w:val="20"/>
          <w:shd w:val="clear" w:color="auto" w:fill="FFFFFF"/>
        </w:rPr>
      </w:pPr>
      <w:proofErr w:type="spellStart"/>
      <w:r w:rsidRPr="00250DED">
        <w:rPr>
          <w:rFonts w:ascii="Arial" w:hAnsi="Arial" w:cs="Arial"/>
          <w:color w:val="222222"/>
          <w:sz w:val="20"/>
          <w:szCs w:val="20"/>
          <w:shd w:val="clear" w:color="auto" w:fill="FFFFFF"/>
        </w:rPr>
        <w:t>Semida</w:t>
      </w:r>
      <w:proofErr w:type="spellEnd"/>
      <w:r w:rsidRPr="00250DED">
        <w:rPr>
          <w:rFonts w:ascii="Arial" w:hAnsi="Arial" w:cs="Arial"/>
          <w:color w:val="222222"/>
          <w:sz w:val="20"/>
          <w:szCs w:val="20"/>
          <w:shd w:val="clear" w:color="auto" w:fill="FFFFFF"/>
        </w:rPr>
        <w:t xml:space="preserve">, W. M., </w:t>
      </w:r>
      <w:proofErr w:type="spellStart"/>
      <w:r w:rsidRPr="00250DED">
        <w:rPr>
          <w:rFonts w:ascii="Arial" w:hAnsi="Arial" w:cs="Arial"/>
          <w:color w:val="222222"/>
          <w:sz w:val="20"/>
          <w:szCs w:val="20"/>
          <w:shd w:val="clear" w:color="auto" w:fill="FFFFFF"/>
        </w:rPr>
        <w:t>Beheiry</w:t>
      </w:r>
      <w:proofErr w:type="spellEnd"/>
      <w:r w:rsidRPr="00250DED">
        <w:rPr>
          <w:rFonts w:ascii="Arial" w:hAnsi="Arial" w:cs="Arial"/>
          <w:color w:val="222222"/>
          <w:sz w:val="20"/>
          <w:szCs w:val="20"/>
          <w:shd w:val="clear" w:color="auto" w:fill="FFFFFF"/>
        </w:rPr>
        <w:t xml:space="preserve">, H. R., </w:t>
      </w:r>
      <w:proofErr w:type="spellStart"/>
      <w:r w:rsidRPr="00250DED">
        <w:rPr>
          <w:rFonts w:ascii="Arial" w:hAnsi="Arial" w:cs="Arial"/>
          <w:color w:val="222222"/>
          <w:sz w:val="20"/>
          <w:szCs w:val="20"/>
          <w:shd w:val="clear" w:color="auto" w:fill="FFFFFF"/>
        </w:rPr>
        <w:t>Sétamou</w:t>
      </w:r>
      <w:proofErr w:type="spellEnd"/>
      <w:r w:rsidRPr="00250DED">
        <w:rPr>
          <w:rFonts w:ascii="Arial" w:hAnsi="Arial" w:cs="Arial"/>
          <w:color w:val="222222"/>
          <w:sz w:val="20"/>
          <w:szCs w:val="20"/>
          <w:shd w:val="clear" w:color="auto" w:fill="FFFFFF"/>
        </w:rPr>
        <w:t>, M., Simpson, C. R., Abd El-</w:t>
      </w:r>
      <w:proofErr w:type="spellStart"/>
      <w:r w:rsidRPr="00250DED">
        <w:rPr>
          <w:rFonts w:ascii="Arial" w:hAnsi="Arial" w:cs="Arial"/>
          <w:color w:val="222222"/>
          <w:sz w:val="20"/>
          <w:szCs w:val="20"/>
          <w:shd w:val="clear" w:color="auto" w:fill="FFFFFF"/>
        </w:rPr>
        <w:t>Mageed</w:t>
      </w:r>
      <w:proofErr w:type="spellEnd"/>
      <w:r w:rsidRPr="00250DED">
        <w:rPr>
          <w:rFonts w:ascii="Arial" w:hAnsi="Arial" w:cs="Arial"/>
          <w:color w:val="222222"/>
          <w:sz w:val="20"/>
          <w:szCs w:val="20"/>
          <w:shd w:val="clear" w:color="auto" w:fill="FFFFFF"/>
        </w:rPr>
        <w:t>, T. A., Rady, M. M., &amp; Nelson, S. D. (2019). Biochar implications for sustainable agriculture and environment: A review. South African Journal of Botany, 127, 333–347.</w:t>
      </w:r>
    </w:p>
    <w:p w14:paraId="09F5BE15" w14:textId="77777777" w:rsidR="00DB23EF" w:rsidRDefault="00DB23EF" w:rsidP="00DB23EF">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 xml:space="preserve">Shetty, R., Vidya, C. S. N., Prakash, N. B., Lux, A., &amp; </w:t>
      </w:r>
      <w:proofErr w:type="spellStart"/>
      <w:r w:rsidRPr="002C2E24">
        <w:rPr>
          <w:rFonts w:ascii="Arial" w:hAnsi="Arial" w:cs="Arial"/>
          <w:color w:val="222222"/>
          <w:sz w:val="20"/>
          <w:szCs w:val="20"/>
          <w:shd w:val="clear" w:color="auto" w:fill="FFFFFF"/>
        </w:rPr>
        <w:t>Vaculík</w:t>
      </w:r>
      <w:proofErr w:type="spellEnd"/>
      <w:r w:rsidRPr="002C2E24">
        <w:rPr>
          <w:rFonts w:ascii="Arial" w:hAnsi="Arial" w:cs="Arial"/>
          <w:color w:val="222222"/>
          <w:sz w:val="20"/>
          <w:szCs w:val="20"/>
          <w:shd w:val="clear" w:color="auto" w:fill="FFFFFF"/>
        </w:rPr>
        <w:t xml:space="preserve">, M. (2021). </w:t>
      </w:r>
      <w:proofErr w:type="spellStart"/>
      <w:r w:rsidRPr="002C2E24">
        <w:rPr>
          <w:rFonts w:ascii="Arial" w:hAnsi="Arial" w:cs="Arial"/>
          <w:color w:val="222222"/>
          <w:sz w:val="20"/>
          <w:szCs w:val="20"/>
          <w:shd w:val="clear" w:color="auto" w:fill="FFFFFF"/>
        </w:rPr>
        <w:t>Aluminum</w:t>
      </w:r>
      <w:proofErr w:type="spellEnd"/>
      <w:r w:rsidRPr="002C2E24">
        <w:rPr>
          <w:rFonts w:ascii="Arial" w:hAnsi="Arial" w:cs="Arial"/>
          <w:color w:val="222222"/>
          <w:sz w:val="20"/>
          <w:szCs w:val="20"/>
          <w:shd w:val="clear" w:color="auto" w:fill="FFFFFF"/>
        </w:rPr>
        <w:t xml:space="preserve"> toxicity in plants and its possible mitigation in acid soils by biochar: A review. </w:t>
      </w:r>
      <w:r w:rsidRPr="002C2E24">
        <w:rPr>
          <w:rFonts w:ascii="Arial" w:hAnsi="Arial" w:cs="Arial"/>
          <w:i/>
          <w:iCs/>
          <w:color w:val="222222"/>
          <w:sz w:val="20"/>
          <w:szCs w:val="20"/>
          <w:shd w:val="clear" w:color="auto" w:fill="FFFFFF"/>
        </w:rPr>
        <w:t>Science of the Total Environment</w:t>
      </w:r>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765</w:t>
      </w:r>
      <w:r w:rsidRPr="002C2E24">
        <w:rPr>
          <w:rFonts w:ascii="Arial" w:hAnsi="Arial" w:cs="Arial"/>
          <w:color w:val="222222"/>
          <w:sz w:val="20"/>
          <w:szCs w:val="20"/>
          <w:shd w:val="clear" w:color="auto" w:fill="FFFFFF"/>
        </w:rPr>
        <w:t>, 142744.</w:t>
      </w:r>
    </w:p>
    <w:p w14:paraId="3389EA7F" w14:textId="77777777" w:rsidR="00DB23EF" w:rsidRPr="002C2E24" w:rsidRDefault="00DB23EF" w:rsidP="00DB23EF">
      <w:pPr>
        <w:spacing w:line="276" w:lineRule="auto"/>
        <w:ind w:left="720" w:hanging="720"/>
        <w:rPr>
          <w:rFonts w:ascii="Arial" w:hAnsi="Arial" w:cs="Arial"/>
          <w:color w:val="222222"/>
          <w:sz w:val="20"/>
          <w:szCs w:val="20"/>
          <w:shd w:val="clear" w:color="auto" w:fill="FFFFFF"/>
        </w:rPr>
      </w:pPr>
      <w:proofErr w:type="spellStart"/>
      <w:r w:rsidRPr="00250DED">
        <w:rPr>
          <w:rFonts w:ascii="Arial" w:hAnsi="Arial" w:cs="Arial"/>
          <w:color w:val="222222"/>
          <w:sz w:val="20"/>
          <w:szCs w:val="20"/>
          <w:shd w:val="clear" w:color="auto" w:fill="FFFFFF"/>
        </w:rPr>
        <w:t>Shoudho</w:t>
      </w:r>
      <w:proofErr w:type="spellEnd"/>
      <w:r w:rsidRPr="00250DED">
        <w:rPr>
          <w:rFonts w:ascii="Arial" w:hAnsi="Arial" w:cs="Arial"/>
          <w:color w:val="222222"/>
          <w:sz w:val="20"/>
          <w:szCs w:val="20"/>
          <w:shd w:val="clear" w:color="auto" w:fill="FFFFFF"/>
        </w:rPr>
        <w:t xml:space="preserve">, K. N., Khan, T. H., Ara, U. R., Khan, M. R., </w:t>
      </w:r>
      <w:proofErr w:type="spellStart"/>
      <w:r w:rsidRPr="00250DED">
        <w:rPr>
          <w:rFonts w:ascii="Arial" w:hAnsi="Arial" w:cs="Arial"/>
          <w:color w:val="222222"/>
          <w:sz w:val="20"/>
          <w:szCs w:val="20"/>
          <w:shd w:val="clear" w:color="auto" w:fill="FFFFFF"/>
        </w:rPr>
        <w:t>Shawon</w:t>
      </w:r>
      <w:proofErr w:type="spellEnd"/>
      <w:r w:rsidRPr="00250DED">
        <w:rPr>
          <w:rFonts w:ascii="Arial" w:hAnsi="Arial" w:cs="Arial"/>
          <w:color w:val="222222"/>
          <w:sz w:val="20"/>
          <w:szCs w:val="20"/>
          <w:shd w:val="clear" w:color="auto" w:fill="FFFFFF"/>
        </w:rPr>
        <w:t>, Z. B. Z., &amp; Hoque, M. E. (2024). Biochar in global carbon cycle: Towards sustainable development goals. Current Research in Green and Sustainable Chemistry, 8, 100409.</w:t>
      </w:r>
    </w:p>
    <w:p w14:paraId="4CF5CCD3" w14:textId="77777777" w:rsidR="00DB23EF" w:rsidRPr="002C2E24" w:rsidRDefault="00DB23EF" w:rsidP="00DB23EF">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 xml:space="preserve">Singh, P., </w:t>
      </w:r>
      <w:proofErr w:type="spellStart"/>
      <w:r w:rsidRPr="002C2E24">
        <w:rPr>
          <w:rFonts w:ascii="Arial" w:hAnsi="Arial" w:cs="Arial"/>
          <w:color w:val="222222"/>
          <w:sz w:val="20"/>
          <w:szCs w:val="20"/>
          <w:shd w:val="clear" w:color="auto" w:fill="FFFFFF"/>
        </w:rPr>
        <w:t>Basak</w:t>
      </w:r>
      <w:proofErr w:type="spellEnd"/>
      <w:r w:rsidRPr="002C2E24">
        <w:rPr>
          <w:rFonts w:ascii="Arial" w:hAnsi="Arial" w:cs="Arial"/>
          <w:color w:val="222222"/>
          <w:sz w:val="20"/>
          <w:szCs w:val="20"/>
          <w:shd w:val="clear" w:color="auto" w:fill="FFFFFF"/>
        </w:rPr>
        <w:t xml:space="preserve">, B. B., Patel, V. J., Sarkar, R., Patel, K. C., &amp; </w:t>
      </w:r>
      <w:proofErr w:type="spellStart"/>
      <w:r w:rsidRPr="002C2E24">
        <w:rPr>
          <w:rFonts w:ascii="Arial" w:hAnsi="Arial" w:cs="Arial"/>
          <w:color w:val="222222"/>
          <w:sz w:val="20"/>
          <w:szCs w:val="20"/>
          <w:shd w:val="clear" w:color="auto" w:fill="FFFFFF"/>
        </w:rPr>
        <w:t>Motaka</w:t>
      </w:r>
      <w:proofErr w:type="spellEnd"/>
      <w:r w:rsidRPr="002C2E24">
        <w:rPr>
          <w:rFonts w:ascii="Arial" w:hAnsi="Arial" w:cs="Arial"/>
          <w:color w:val="222222"/>
          <w:sz w:val="20"/>
          <w:szCs w:val="20"/>
          <w:shd w:val="clear" w:color="auto" w:fill="FFFFFF"/>
        </w:rPr>
        <w:t>, G. N. (2024). Integration of Biochar with Chemical Fertilizers Improves the Economic Yield, Quality of Holy Basil (</w:t>
      </w:r>
      <w:proofErr w:type="spellStart"/>
      <w:r w:rsidRPr="002C2E24">
        <w:rPr>
          <w:rFonts w:ascii="Arial" w:hAnsi="Arial" w:cs="Arial"/>
          <w:color w:val="222222"/>
          <w:sz w:val="20"/>
          <w:szCs w:val="20"/>
          <w:shd w:val="clear" w:color="auto" w:fill="FFFFFF"/>
        </w:rPr>
        <w:t>Ocimum</w:t>
      </w:r>
      <w:proofErr w:type="spellEnd"/>
      <w:r w:rsidRPr="002C2E24">
        <w:rPr>
          <w:rFonts w:ascii="Arial" w:hAnsi="Arial" w:cs="Arial"/>
          <w:color w:val="222222"/>
          <w:sz w:val="20"/>
          <w:szCs w:val="20"/>
          <w:shd w:val="clear" w:color="auto" w:fill="FFFFFF"/>
        </w:rPr>
        <w:t xml:space="preserve"> sanctum L.) and Soil Health. </w:t>
      </w:r>
      <w:r w:rsidRPr="002C2E24">
        <w:rPr>
          <w:rFonts w:ascii="Arial" w:hAnsi="Arial" w:cs="Arial"/>
          <w:i/>
          <w:iCs/>
          <w:color w:val="222222"/>
          <w:sz w:val="20"/>
          <w:szCs w:val="20"/>
          <w:shd w:val="clear" w:color="auto" w:fill="FFFFFF"/>
        </w:rPr>
        <w:t>Journal of Soil Science and Plant Nutrition</w:t>
      </w:r>
      <w:r w:rsidRPr="002C2E24">
        <w:rPr>
          <w:rFonts w:ascii="Arial" w:hAnsi="Arial" w:cs="Arial"/>
          <w:color w:val="222222"/>
          <w:sz w:val="20"/>
          <w:szCs w:val="20"/>
          <w:shd w:val="clear" w:color="auto" w:fill="FFFFFF"/>
        </w:rPr>
        <w:t>, 1-14.</w:t>
      </w:r>
    </w:p>
    <w:p w14:paraId="0CBF8775" w14:textId="77777777" w:rsidR="00DB23EF" w:rsidRPr="002C2E24" w:rsidRDefault="00DB23EF" w:rsidP="00DB23EF">
      <w:pPr>
        <w:spacing w:line="276" w:lineRule="auto"/>
        <w:ind w:left="720" w:hanging="720"/>
        <w:rPr>
          <w:rFonts w:ascii="Arial" w:hAnsi="Arial" w:cs="Arial"/>
          <w:color w:val="222222"/>
          <w:sz w:val="20"/>
          <w:szCs w:val="20"/>
          <w:shd w:val="clear" w:color="auto" w:fill="FFFFFF"/>
        </w:rPr>
      </w:pPr>
      <w:proofErr w:type="spellStart"/>
      <w:r w:rsidRPr="002C2E24">
        <w:rPr>
          <w:rFonts w:ascii="Arial" w:hAnsi="Arial" w:cs="Arial"/>
          <w:color w:val="222222"/>
          <w:sz w:val="20"/>
          <w:szCs w:val="20"/>
          <w:shd w:val="clear" w:color="auto" w:fill="FFFFFF"/>
        </w:rPr>
        <w:t>Srinivasarao</w:t>
      </w:r>
      <w:proofErr w:type="spellEnd"/>
      <w:r w:rsidRPr="002C2E24">
        <w:rPr>
          <w:rFonts w:ascii="Arial" w:hAnsi="Arial" w:cs="Arial"/>
          <w:color w:val="222222"/>
          <w:sz w:val="20"/>
          <w:szCs w:val="20"/>
          <w:shd w:val="clear" w:color="auto" w:fill="FFFFFF"/>
        </w:rPr>
        <w:t xml:space="preserve">, C., Kundu, S., Rakesh, S., Lakshmi, C. S., Kumar, G. R., </w:t>
      </w:r>
      <w:proofErr w:type="spellStart"/>
      <w:r w:rsidRPr="002C2E24">
        <w:rPr>
          <w:rFonts w:ascii="Arial" w:hAnsi="Arial" w:cs="Arial"/>
          <w:color w:val="222222"/>
          <w:sz w:val="20"/>
          <w:szCs w:val="20"/>
          <w:shd w:val="clear" w:color="auto" w:fill="FFFFFF"/>
        </w:rPr>
        <w:t>Manasa</w:t>
      </w:r>
      <w:proofErr w:type="spellEnd"/>
      <w:r w:rsidRPr="002C2E24">
        <w:rPr>
          <w:rFonts w:ascii="Arial" w:hAnsi="Arial" w:cs="Arial"/>
          <w:color w:val="222222"/>
          <w:sz w:val="20"/>
          <w:szCs w:val="20"/>
          <w:shd w:val="clear" w:color="auto" w:fill="FFFFFF"/>
        </w:rPr>
        <w:t>, R., ... &amp; Prasad, J. V. N. S. (2021). Managing soil organic matter under dryland farming systems for climate change adaptation and sustaining agriculture productivity. In </w:t>
      </w:r>
      <w:r w:rsidRPr="002C2E24">
        <w:rPr>
          <w:rFonts w:ascii="Arial" w:hAnsi="Arial" w:cs="Arial"/>
          <w:i/>
          <w:iCs/>
          <w:color w:val="222222"/>
          <w:sz w:val="20"/>
          <w:szCs w:val="20"/>
          <w:shd w:val="clear" w:color="auto" w:fill="FFFFFF"/>
        </w:rPr>
        <w:t>Soil Organic Carbon and Feeding the Future</w:t>
      </w:r>
      <w:r w:rsidRPr="002C2E24">
        <w:rPr>
          <w:rFonts w:ascii="Arial" w:hAnsi="Arial" w:cs="Arial"/>
          <w:color w:val="222222"/>
          <w:sz w:val="20"/>
          <w:szCs w:val="20"/>
          <w:shd w:val="clear" w:color="auto" w:fill="FFFFFF"/>
        </w:rPr>
        <w:t> (pp. 219-251). CRC Press.</w:t>
      </w:r>
    </w:p>
    <w:p w14:paraId="2ABC4DF3" w14:textId="77777777" w:rsidR="00DB23EF" w:rsidRPr="002C2E24" w:rsidRDefault="00DB23EF" w:rsidP="00DB23EF">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Tan, X. F., Zhu, S. S., Wang, R. P., Chen, Y. D., Show, P. L., Zhang, F. F., &amp; Ho, S. H. (2021). Role of biochar surface characteristics in the adsorption of aromatic compounds: Pore structure and functional groups. </w:t>
      </w:r>
      <w:r w:rsidRPr="002C2E24">
        <w:rPr>
          <w:rFonts w:ascii="Arial" w:hAnsi="Arial" w:cs="Arial"/>
          <w:i/>
          <w:iCs/>
          <w:color w:val="222222"/>
          <w:sz w:val="20"/>
          <w:szCs w:val="20"/>
          <w:shd w:val="clear" w:color="auto" w:fill="FFFFFF"/>
        </w:rPr>
        <w:t>Chinese Chemical Letters</w:t>
      </w:r>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32</w:t>
      </w:r>
      <w:r w:rsidRPr="002C2E24">
        <w:rPr>
          <w:rFonts w:ascii="Arial" w:hAnsi="Arial" w:cs="Arial"/>
          <w:color w:val="222222"/>
          <w:sz w:val="20"/>
          <w:szCs w:val="20"/>
          <w:shd w:val="clear" w:color="auto" w:fill="FFFFFF"/>
        </w:rPr>
        <w:t>(10), 2939-2946.</w:t>
      </w:r>
    </w:p>
    <w:p w14:paraId="150730D5" w14:textId="77777777" w:rsidR="00DB23EF" w:rsidRPr="002C2E24" w:rsidRDefault="00DB23EF" w:rsidP="00DB23EF">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 xml:space="preserve">Uzoma, K. C., Inoue, M., </w:t>
      </w:r>
      <w:proofErr w:type="spellStart"/>
      <w:r w:rsidRPr="002C2E24">
        <w:rPr>
          <w:rFonts w:ascii="Arial" w:hAnsi="Arial" w:cs="Arial"/>
          <w:color w:val="222222"/>
          <w:sz w:val="20"/>
          <w:szCs w:val="20"/>
          <w:shd w:val="clear" w:color="auto" w:fill="FFFFFF"/>
        </w:rPr>
        <w:t>Andry</w:t>
      </w:r>
      <w:proofErr w:type="spellEnd"/>
      <w:r w:rsidRPr="002C2E24">
        <w:rPr>
          <w:rFonts w:ascii="Arial" w:hAnsi="Arial" w:cs="Arial"/>
          <w:color w:val="222222"/>
          <w:sz w:val="20"/>
          <w:szCs w:val="20"/>
          <w:shd w:val="clear" w:color="auto" w:fill="FFFFFF"/>
        </w:rPr>
        <w:t>, H., Fujimaki, H., Zahoor, A., &amp; Nishihara, E. (2011). Effect of cow manure biochar on maize productivity under sandy soil condition. </w:t>
      </w:r>
      <w:r w:rsidRPr="002C2E24">
        <w:rPr>
          <w:rFonts w:ascii="Arial" w:hAnsi="Arial" w:cs="Arial"/>
          <w:i/>
          <w:iCs/>
          <w:color w:val="222222"/>
          <w:sz w:val="20"/>
          <w:szCs w:val="20"/>
          <w:shd w:val="clear" w:color="auto" w:fill="FFFFFF"/>
        </w:rPr>
        <w:t>Soil use and management</w:t>
      </w:r>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27</w:t>
      </w:r>
      <w:r w:rsidRPr="002C2E24">
        <w:rPr>
          <w:rFonts w:ascii="Arial" w:hAnsi="Arial" w:cs="Arial"/>
          <w:color w:val="222222"/>
          <w:sz w:val="20"/>
          <w:szCs w:val="20"/>
          <w:shd w:val="clear" w:color="auto" w:fill="FFFFFF"/>
        </w:rPr>
        <w:t>(2), 205-212.</w:t>
      </w:r>
    </w:p>
    <w:p w14:paraId="4FE90EC7" w14:textId="77777777" w:rsidR="00DB23EF" w:rsidRPr="002C2E24" w:rsidRDefault="00DB23EF" w:rsidP="00DB23EF">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lastRenderedPageBreak/>
        <w:t>Wang, L., Chen, D., &amp; Zhu, L. (2023). Biochar carbon sequestration potential rectification in soils: Synthesis effects of biochar on soil CO2, CH4 and N2O emissions. </w:t>
      </w:r>
      <w:r w:rsidRPr="002C2E24">
        <w:rPr>
          <w:rFonts w:ascii="Arial" w:hAnsi="Arial" w:cs="Arial"/>
          <w:i/>
          <w:iCs/>
          <w:color w:val="222222"/>
          <w:sz w:val="20"/>
          <w:szCs w:val="20"/>
          <w:shd w:val="clear" w:color="auto" w:fill="FFFFFF"/>
        </w:rPr>
        <w:t>Science of The Total Environment</w:t>
      </w:r>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904</w:t>
      </w:r>
      <w:r w:rsidRPr="002C2E24">
        <w:rPr>
          <w:rFonts w:ascii="Arial" w:hAnsi="Arial" w:cs="Arial"/>
          <w:color w:val="222222"/>
          <w:sz w:val="20"/>
          <w:szCs w:val="20"/>
          <w:shd w:val="clear" w:color="auto" w:fill="FFFFFF"/>
        </w:rPr>
        <w:t>, 167047.</w:t>
      </w:r>
    </w:p>
    <w:p w14:paraId="3AE8D95C" w14:textId="77777777" w:rsidR="00DB23EF" w:rsidRPr="002C2E24" w:rsidRDefault="00DB23EF" w:rsidP="00DB23EF">
      <w:pPr>
        <w:spacing w:line="276" w:lineRule="auto"/>
        <w:ind w:left="720" w:hanging="720"/>
        <w:rPr>
          <w:rFonts w:ascii="Arial" w:hAnsi="Arial" w:cs="Arial"/>
          <w:color w:val="222222"/>
          <w:sz w:val="20"/>
          <w:szCs w:val="20"/>
          <w:shd w:val="clear" w:color="auto" w:fill="FFFFFF"/>
        </w:rPr>
      </w:pPr>
      <w:proofErr w:type="spellStart"/>
      <w:r w:rsidRPr="002C2E24">
        <w:rPr>
          <w:rFonts w:ascii="Arial" w:hAnsi="Arial" w:cs="Arial"/>
          <w:color w:val="222222"/>
          <w:sz w:val="20"/>
          <w:szCs w:val="20"/>
          <w:shd w:val="clear" w:color="auto" w:fill="FFFFFF"/>
        </w:rPr>
        <w:t>Wani</w:t>
      </w:r>
      <w:proofErr w:type="spellEnd"/>
      <w:r w:rsidRPr="002C2E24">
        <w:rPr>
          <w:rFonts w:ascii="Arial" w:hAnsi="Arial" w:cs="Arial"/>
          <w:color w:val="222222"/>
          <w:sz w:val="20"/>
          <w:szCs w:val="20"/>
          <w:shd w:val="clear" w:color="auto" w:fill="FFFFFF"/>
        </w:rPr>
        <w:t xml:space="preserve">, A. K., </w:t>
      </w:r>
      <w:proofErr w:type="spellStart"/>
      <w:r w:rsidRPr="002C2E24">
        <w:rPr>
          <w:rFonts w:ascii="Arial" w:hAnsi="Arial" w:cs="Arial"/>
          <w:color w:val="222222"/>
          <w:sz w:val="20"/>
          <w:szCs w:val="20"/>
          <w:shd w:val="clear" w:color="auto" w:fill="FFFFFF"/>
        </w:rPr>
        <w:t>Rahayu</w:t>
      </w:r>
      <w:proofErr w:type="spellEnd"/>
      <w:r w:rsidRPr="002C2E24">
        <w:rPr>
          <w:rFonts w:ascii="Arial" w:hAnsi="Arial" w:cs="Arial"/>
          <w:color w:val="222222"/>
          <w:sz w:val="20"/>
          <w:szCs w:val="20"/>
          <w:shd w:val="clear" w:color="auto" w:fill="FFFFFF"/>
        </w:rPr>
        <w:t xml:space="preserve">, F., </w:t>
      </w:r>
      <w:proofErr w:type="spellStart"/>
      <w:r w:rsidRPr="002C2E24">
        <w:rPr>
          <w:rFonts w:ascii="Arial" w:hAnsi="Arial" w:cs="Arial"/>
          <w:color w:val="222222"/>
          <w:sz w:val="20"/>
          <w:szCs w:val="20"/>
          <w:shd w:val="clear" w:color="auto" w:fill="FFFFFF"/>
        </w:rPr>
        <w:t>Fauziah</w:t>
      </w:r>
      <w:proofErr w:type="spellEnd"/>
      <w:r w:rsidRPr="002C2E24">
        <w:rPr>
          <w:rFonts w:ascii="Arial" w:hAnsi="Arial" w:cs="Arial"/>
          <w:color w:val="222222"/>
          <w:sz w:val="20"/>
          <w:szCs w:val="20"/>
          <w:shd w:val="clear" w:color="auto" w:fill="FFFFFF"/>
        </w:rPr>
        <w:t xml:space="preserve">, L., &amp; </w:t>
      </w:r>
      <w:proofErr w:type="spellStart"/>
      <w:r w:rsidRPr="002C2E24">
        <w:rPr>
          <w:rFonts w:ascii="Arial" w:hAnsi="Arial" w:cs="Arial"/>
          <w:color w:val="222222"/>
          <w:sz w:val="20"/>
          <w:szCs w:val="20"/>
          <w:shd w:val="clear" w:color="auto" w:fill="FFFFFF"/>
        </w:rPr>
        <w:t>Suhara</w:t>
      </w:r>
      <w:proofErr w:type="spellEnd"/>
      <w:r w:rsidRPr="002C2E24">
        <w:rPr>
          <w:rFonts w:ascii="Arial" w:hAnsi="Arial" w:cs="Arial"/>
          <w:color w:val="222222"/>
          <w:sz w:val="20"/>
          <w:szCs w:val="20"/>
          <w:shd w:val="clear" w:color="auto" w:fill="FFFFFF"/>
        </w:rPr>
        <w:t>, C. (2023). Advances in safe processing of sugarcane and bagasse for the generation of biofuels and bioactive compounds. </w:t>
      </w:r>
      <w:r w:rsidRPr="002C2E24">
        <w:rPr>
          <w:rFonts w:ascii="Arial" w:hAnsi="Arial" w:cs="Arial"/>
          <w:i/>
          <w:iCs/>
          <w:color w:val="222222"/>
          <w:sz w:val="20"/>
          <w:szCs w:val="20"/>
          <w:shd w:val="clear" w:color="auto" w:fill="FFFFFF"/>
        </w:rPr>
        <w:t>Journal of agriculture and food research</w:t>
      </w:r>
      <w:r w:rsidRPr="002C2E24">
        <w:rPr>
          <w:rFonts w:ascii="Arial" w:hAnsi="Arial" w:cs="Arial"/>
          <w:color w:val="222222"/>
          <w:sz w:val="20"/>
          <w:szCs w:val="20"/>
          <w:shd w:val="clear" w:color="auto" w:fill="FFFFFF"/>
        </w:rPr>
        <w:t>, </w:t>
      </w:r>
      <w:r w:rsidRPr="002C2E24">
        <w:rPr>
          <w:rFonts w:ascii="Arial" w:hAnsi="Arial" w:cs="Arial"/>
          <w:i/>
          <w:iCs/>
          <w:color w:val="222222"/>
          <w:sz w:val="20"/>
          <w:szCs w:val="20"/>
          <w:shd w:val="clear" w:color="auto" w:fill="FFFFFF"/>
        </w:rPr>
        <w:t>12</w:t>
      </w:r>
      <w:r w:rsidRPr="002C2E24">
        <w:rPr>
          <w:rFonts w:ascii="Arial" w:hAnsi="Arial" w:cs="Arial"/>
          <w:color w:val="222222"/>
          <w:sz w:val="20"/>
          <w:szCs w:val="20"/>
          <w:shd w:val="clear" w:color="auto" w:fill="FFFFFF"/>
        </w:rPr>
        <w:t>, 100549.</w:t>
      </w:r>
    </w:p>
    <w:p w14:paraId="11E77BEF" w14:textId="7DAE6BEE" w:rsidR="00DB23EF" w:rsidRDefault="00DB23EF" w:rsidP="00DB23EF">
      <w:pPr>
        <w:spacing w:line="276" w:lineRule="auto"/>
        <w:ind w:left="720" w:hanging="720"/>
        <w:rPr>
          <w:rFonts w:ascii="Arial" w:hAnsi="Arial" w:cs="Arial"/>
          <w:color w:val="222222"/>
          <w:sz w:val="20"/>
          <w:szCs w:val="20"/>
          <w:shd w:val="clear" w:color="auto" w:fill="FFFFFF"/>
        </w:rPr>
      </w:pPr>
      <w:r w:rsidRPr="002C2E24">
        <w:rPr>
          <w:rFonts w:ascii="Arial" w:hAnsi="Arial" w:cs="Arial"/>
          <w:color w:val="222222"/>
          <w:sz w:val="20"/>
          <w:szCs w:val="20"/>
          <w:shd w:val="clear" w:color="auto" w:fill="FFFFFF"/>
        </w:rPr>
        <w:t>Yang, J., &amp; Yang, G. (2024). Biomass-Derived Porous Carbon for Farmland Restoration. In </w:t>
      </w:r>
      <w:r w:rsidRPr="002C2E24">
        <w:rPr>
          <w:rFonts w:ascii="Arial" w:hAnsi="Arial" w:cs="Arial"/>
          <w:i/>
          <w:iCs/>
          <w:color w:val="222222"/>
          <w:sz w:val="20"/>
          <w:szCs w:val="20"/>
          <w:shd w:val="clear" w:color="auto" w:fill="FFFFFF"/>
        </w:rPr>
        <w:t>Fabrication and Applications of Biomass-Derived Porous Carbon</w:t>
      </w:r>
      <w:r w:rsidRPr="002C2E24">
        <w:rPr>
          <w:rFonts w:ascii="Arial" w:hAnsi="Arial" w:cs="Arial"/>
          <w:color w:val="222222"/>
          <w:sz w:val="20"/>
          <w:szCs w:val="20"/>
          <w:shd w:val="clear" w:color="auto" w:fill="FFFFFF"/>
        </w:rPr>
        <w:t> (pp. 150-216). CRC Press.</w:t>
      </w:r>
      <w:bookmarkEnd w:id="27"/>
      <w:bookmarkEnd w:id="29"/>
    </w:p>
    <w:p w14:paraId="276F925B" w14:textId="71F2D780" w:rsidR="00DB23EF" w:rsidRPr="00DB23EF" w:rsidRDefault="00DB23EF" w:rsidP="00DB23EF">
      <w:pPr>
        <w:spacing w:line="276" w:lineRule="auto"/>
        <w:ind w:left="720" w:hanging="720"/>
        <w:rPr>
          <w:rFonts w:ascii="Arial" w:hAnsi="Arial" w:cs="Arial"/>
          <w:color w:val="222222"/>
          <w:sz w:val="20"/>
          <w:szCs w:val="20"/>
          <w:highlight w:val="yellow"/>
          <w:shd w:val="clear" w:color="auto" w:fill="FFFFFF"/>
        </w:rPr>
      </w:pPr>
      <w:r w:rsidRPr="00DB23EF">
        <w:rPr>
          <w:rFonts w:ascii="Arial" w:hAnsi="Arial" w:cs="Arial"/>
          <w:color w:val="222222"/>
          <w:sz w:val="20"/>
          <w:szCs w:val="20"/>
          <w:highlight w:val="yellow"/>
          <w:shd w:val="clear" w:color="auto" w:fill="FFFFFF"/>
        </w:rPr>
        <w:t>Kumari, S., Kumar, R., Chouhan, S., &amp; Chaudhary, P. L. (2023). Influence of various organic amendments on growth and yield attributes of mung bean (Vigna radiata L.). </w:t>
      </w:r>
      <w:r w:rsidRPr="00DB23EF">
        <w:rPr>
          <w:rFonts w:ascii="Arial" w:hAnsi="Arial" w:cs="Arial"/>
          <w:i/>
          <w:iCs/>
          <w:color w:val="222222"/>
          <w:sz w:val="20"/>
          <w:szCs w:val="20"/>
          <w:highlight w:val="yellow"/>
          <w:shd w:val="clear" w:color="auto" w:fill="FFFFFF"/>
        </w:rPr>
        <w:t>International Journal of Plant &amp; Soil Science</w:t>
      </w:r>
      <w:r w:rsidRPr="00DB23EF">
        <w:rPr>
          <w:rFonts w:ascii="Arial" w:hAnsi="Arial" w:cs="Arial"/>
          <w:color w:val="222222"/>
          <w:sz w:val="20"/>
          <w:szCs w:val="20"/>
          <w:highlight w:val="yellow"/>
          <w:shd w:val="clear" w:color="auto" w:fill="FFFFFF"/>
        </w:rPr>
        <w:t>, </w:t>
      </w:r>
      <w:r w:rsidRPr="00DB23EF">
        <w:rPr>
          <w:rFonts w:ascii="Arial" w:hAnsi="Arial" w:cs="Arial"/>
          <w:i/>
          <w:iCs/>
          <w:color w:val="222222"/>
          <w:sz w:val="20"/>
          <w:szCs w:val="20"/>
          <w:highlight w:val="yellow"/>
          <w:shd w:val="clear" w:color="auto" w:fill="FFFFFF"/>
        </w:rPr>
        <w:t>35</w:t>
      </w:r>
      <w:r w:rsidRPr="00DB23EF">
        <w:rPr>
          <w:rFonts w:ascii="Arial" w:hAnsi="Arial" w:cs="Arial"/>
          <w:color w:val="222222"/>
          <w:sz w:val="20"/>
          <w:szCs w:val="20"/>
          <w:highlight w:val="yellow"/>
          <w:shd w:val="clear" w:color="auto" w:fill="FFFFFF"/>
        </w:rPr>
        <w:t>(12), 124-30.</w:t>
      </w:r>
    </w:p>
    <w:p w14:paraId="0C424057" w14:textId="6F987C4A" w:rsidR="00DB23EF" w:rsidRDefault="00DB23EF" w:rsidP="00DB23EF">
      <w:pPr>
        <w:spacing w:line="276" w:lineRule="auto"/>
        <w:ind w:left="720" w:hanging="720"/>
        <w:rPr>
          <w:rFonts w:ascii="Arial" w:hAnsi="Arial" w:cs="Arial"/>
          <w:color w:val="222222"/>
          <w:sz w:val="20"/>
          <w:szCs w:val="20"/>
          <w:highlight w:val="yellow"/>
          <w:shd w:val="clear" w:color="auto" w:fill="FFFFFF"/>
        </w:rPr>
      </w:pPr>
      <w:r w:rsidRPr="00DB23EF">
        <w:rPr>
          <w:rFonts w:ascii="Arial" w:hAnsi="Arial" w:cs="Arial"/>
          <w:color w:val="222222"/>
          <w:sz w:val="20"/>
          <w:szCs w:val="20"/>
          <w:highlight w:val="yellow"/>
          <w:shd w:val="clear" w:color="auto" w:fill="FFFFFF"/>
        </w:rPr>
        <w:t>Chouhan, S., Kumari, S., Kumar, R., &amp; Chaudhary, P. L. (2023). Climate resilient water management for sustainable agriculture. </w:t>
      </w:r>
      <w:r w:rsidRPr="00DB23EF">
        <w:rPr>
          <w:rFonts w:ascii="Arial" w:hAnsi="Arial" w:cs="Arial"/>
          <w:i/>
          <w:iCs/>
          <w:color w:val="222222"/>
          <w:sz w:val="20"/>
          <w:szCs w:val="20"/>
          <w:highlight w:val="yellow"/>
          <w:shd w:val="clear" w:color="auto" w:fill="FFFFFF"/>
        </w:rPr>
        <w:t>International Journal of Environment and Climate Change</w:t>
      </w:r>
      <w:r w:rsidRPr="00DB23EF">
        <w:rPr>
          <w:rFonts w:ascii="Arial" w:hAnsi="Arial" w:cs="Arial"/>
          <w:color w:val="222222"/>
          <w:sz w:val="20"/>
          <w:szCs w:val="20"/>
          <w:highlight w:val="yellow"/>
          <w:shd w:val="clear" w:color="auto" w:fill="FFFFFF"/>
        </w:rPr>
        <w:t>, </w:t>
      </w:r>
      <w:r w:rsidRPr="00DB23EF">
        <w:rPr>
          <w:rFonts w:ascii="Arial" w:hAnsi="Arial" w:cs="Arial"/>
          <w:i/>
          <w:iCs/>
          <w:color w:val="222222"/>
          <w:sz w:val="20"/>
          <w:szCs w:val="20"/>
          <w:highlight w:val="yellow"/>
          <w:shd w:val="clear" w:color="auto" w:fill="FFFFFF"/>
        </w:rPr>
        <w:t>13</w:t>
      </w:r>
      <w:r w:rsidRPr="00DB23EF">
        <w:rPr>
          <w:rFonts w:ascii="Arial" w:hAnsi="Arial" w:cs="Arial"/>
          <w:color w:val="222222"/>
          <w:sz w:val="20"/>
          <w:szCs w:val="20"/>
          <w:highlight w:val="yellow"/>
          <w:shd w:val="clear" w:color="auto" w:fill="FFFFFF"/>
        </w:rPr>
        <w:t>(7), 411-426.</w:t>
      </w:r>
    </w:p>
    <w:p w14:paraId="47E511C7" w14:textId="32F20499" w:rsidR="00DB23EF" w:rsidRDefault="00DB23EF" w:rsidP="00DB23EF">
      <w:pPr>
        <w:spacing w:line="276" w:lineRule="auto"/>
        <w:ind w:left="720" w:hanging="720"/>
        <w:rPr>
          <w:rFonts w:ascii="Arial" w:hAnsi="Arial" w:cs="Arial"/>
          <w:color w:val="222222"/>
          <w:sz w:val="20"/>
          <w:szCs w:val="20"/>
          <w:highlight w:val="yellow"/>
          <w:shd w:val="clear" w:color="auto" w:fill="FFFFFF"/>
        </w:rPr>
      </w:pPr>
      <w:proofErr w:type="spellStart"/>
      <w:r w:rsidRPr="00DB23EF">
        <w:rPr>
          <w:rFonts w:ascii="Arial" w:hAnsi="Arial" w:cs="Arial"/>
          <w:color w:val="222222"/>
          <w:sz w:val="20"/>
          <w:szCs w:val="20"/>
          <w:highlight w:val="yellow"/>
          <w:shd w:val="clear" w:color="auto" w:fill="FFFFFF"/>
        </w:rPr>
        <w:t>Tutlani</w:t>
      </w:r>
      <w:proofErr w:type="spellEnd"/>
      <w:r w:rsidRPr="00DB23EF">
        <w:rPr>
          <w:rFonts w:ascii="Arial" w:hAnsi="Arial" w:cs="Arial"/>
          <w:color w:val="222222"/>
          <w:sz w:val="20"/>
          <w:szCs w:val="20"/>
          <w:highlight w:val="yellow"/>
          <w:shd w:val="clear" w:color="auto" w:fill="FFFFFF"/>
        </w:rPr>
        <w:t>, A., Kumar, R., Kumari, S., &amp; Chouhan, S. (2023). Correlation and path analysis for yield and its phenological, physiological, morphological and biochemical traits under salinity stress in chickpea (</w:t>
      </w:r>
      <w:proofErr w:type="spellStart"/>
      <w:r w:rsidRPr="00DB23EF">
        <w:rPr>
          <w:rFonts w:ascii="Arial" w:hAnsi="Arial" w:cs="Arial"/>
          <w:i/>
          <w:color w:val="222222"/>
          <w:sz w:val="20"/>
          <w:szCs w:val="20"/>
          <w:highlight w:val="yellow"/>
          <w:shd w:val="clear" w:color="auto" w:fill="FFFFFF"/>
        </w:rPr>
        <w:t>Cicer</w:t>
      </w:r>
      <w:proofErr w:type="spellEnd"/>
      <w:r w:rsidRPr="00DB23EF">
        <w:rPr>
          <w:rFonts w:ascii="Arial" w:hAnsi="Arial" w:cs="Arial"/>
          <w:i/>
          <w:color w:val="222222"/>
          <w:sz w:val="20"/>
          <w:szCs w:val="20"/>
          <w:highlight w:val="yellow"/>
          <w:shd w:val="clear" w:color="auto" w:fill="FFFFFF"/>
        </w:rPr>
        <w:t xml:space="preserve"> arietinum</w:t>
      </w:r>
      <w:r w:rsidRPr="00DB23EF">
        <w:rPr>
          <w:rFonts w:ascii="Arial" w:hAnsi="Arial" w:cs="Arial"/>
          <w:color w:val="222222"/>
          <w:sz w:val="20"/>
          <w:szCs w:val="20"/>
          <w:highlight w:val="yellow"/>
          <w:shd w:val="clear" w:color="auto" w:fill="FFFFFF"/>
        </w:rPr>
        <w:t xml:space="preserve"> L.). </w:t>
      </w:r>
      <w:r w:rsidRPr="00DB23EF">
        <w:rPr>
          <w:rFonts w:ascii="Arial" w:hAnsi="Arial" w:cs="Arial"/>
          <w:i/>
          <w:iCs/>
          <w:color w:val="222222"/>
          <w:sz w:val="20"/>
          <w:szCs w:val="20"/>
          <w:highlight w:val="yellow"/>
          <w:shd w:val="clear" w:color="auto" w:fill="FFFFFF"/>
        </w:rPr>
        <w:t>International Journal of Bio-resource and Stress Management</w:t>
      </w:r>
      <w:r w:rsidRPr="00DB23EF">
        <w:rPr>
          <w:rFonts w:ascii="Arial" w:hAnsi="Arial" w:cs="Arial"/>
          <w:color w:val="222222"/>
          <w:sz w:val="20"/>
          <w:szCs w:val="20"/>
          <w:highlight w:val="yellow"/>
          <w:shd w:val="clear" w:color="auto" w:fill="FFFFFF"/>
        </w:rPr>
        <w:t>, </w:t>
      </w:r>
      <w:r w:rsidRPr="00DB23EF">
        <w:rPr>
          <w:rFonts w:ascii="Arial" w:hAnsi="Arial" w:cs="Arial"/>
          <w:i/>
          <w:iCs/>
          <w:color w:val="222222"/>
          <w:sz w:val="20"/>
          <w:szCs w:val="20"/>
          <w:highlight w:val="yellow"/>
          <w:shd w:val="clear" w:color="auto" w:fill="FFFFFF"/>
        </w:rPr>
        <w:t>14</w:t>
      </w:r>
      <w:r w:rsidRPr="00DB23EF">
        <w:rPr>
          <w:rFonts w:ascii="Arial" w:hAnsi="Arial" w:cs="Arial"/>
          <w:color w:val="222222"/>
          <w:sz w:val="20"/>
          <w:szCs w:val="20"/>
          <w:highlight w:val="yellow"/>
          <w:shd w:val="clear" w:color="auto" w:fill="FFFFFF"/>
        </w:rPr>
        <w:t>(6), 878-890.</w:t>
      </w:r>
    </w:p>
    <w:p w14:paraId="09A74072" w14:textId="77777777" w:rsidR="00DB23EF" w:rsidRPr="00644328" w:rsidRDefault="00DB23EF" w:rsidP="00DB23EF">
      <w:pPr>
        <w:spacing w:line="276" w:lineRule="auto"/>
        <w:ind w:left="720" w:hanging="720"/>
        <w:rPr>
          <w:rFonts w:ascii="Arial" w:hAnsi="Arial" w:cs="Arial"/>
          <w:color w:val="222222"/>
          <w:sz w:val="20"/>
          <w:szCs w:val="20"/>
          <w:shd w:val="clear" w:color="auto" w:fill="FFFFFF"/>
        </w:rPr>
      </w:pPr>
    </w:p>
    <w:p w14:paraId="022C02D9" w14:textId="71DF673F" w:rsidR="005230DF" w:rsidRPr="00DB23EF" w:rsidRDefault="005230DF" w:rsidP="00DB23EF">
      <w:r w:rsidRPr="00DB23EF">
        <w:t xml:space="preserve"> </w:t>
      </w:r>
      <w:bookmarkEnd w:id="0"/>
      <w:bookmarkEnd w:id="1"/>
      <w:bookmarkEnd w:id="2"/>
      <w:bookmarkEnd w:id="3"/>
    </w:p>
    <w:sectPr w:rsidR="005230DF" w:rsidRPr="00DB23EF" w:rsidSect="00D610C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931BA" w14:textId="77777777" w:rsidR="00D65F90" w:rsidRDefault="00D65F90" w:rsidP="00EF5339">
      <w:pPr>
        <w:spacing w:line="240" w:lineRule="auto"/>
      </w:pPr>
      <w:r>
        <w:separator/>
      </w:r>
    </w:p>
  </w:endnote>
  <w:endnote w:type="continuationSeparator" w:id="0">
    <w:p w14:paraId="74514F5C" w14:textId="77777777" w:rsidR="00D65F90" w:rsidRDefault="00D65F90" w:rsidP="00EF5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8350B" w14:textId="77777777" w:rsidR="00EF5339" w:rsidRDefault="00EF5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7E9D3" w14:textId="77777777" w:rsidR="00EF5339" w:rsidRDefault="00EF53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703E8" w14:textId="77777777" w:rsidR="00EF5339" w:rsidRDefault="00EF5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02EBC" w14:textId="77777777" w:rsidR="00D65F90" w:rsidRDefault="00D65F90" w:rsidP="00EF5339">
      <w:pPr>
        <w:spacing w:line="240" w:lineRule="auto"/>
      </w:pPr>
      <w:r>
        <w:separator/>
      </w:r>
    </w:p>
  </w:footnote>
  <w:footnote w:type="continuationSeparator" w:id="0">
    <w:p w14:paraId="46DE9144" w14:textId="77777777" w:rsidR="00D65F90" w:rsidRDefault="00D65F90" w:rsidP="00EF5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D904C" w14:textId="3D67F224" w:rsidR="00EF5339" w:rsidRDefault="00D65F90">
    <w:pPr>
      <w:pStyle w:val="Header"/>
    </w:pPr>
    <w:r>
      <w:rPr>
        <w:noProof/>
      </w:rPr>
      <w:pict w14:anchorId="498CE6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73047"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7A8BE" w14:textId="274CA02F" w:rsidR="00EF5339" w:rsidRDefault="00D65F90">
    <w:pPr>
      <w:pStyle w:val="Header"/>
    </w:pPr>
    <w:r>
      <w:rPr>
        <w:noProof/>
      </w:rPr>
      <w:pict w14:anchorId="3695AE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73048"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4238F" w14:textId="1E35022A" w:rsidR="00EF5339" w:rsidRDefault="00D65F90">
    <w:pPr>
      <w:pStyle w:val="Header"/>
    </w:pPr>
    <w:r>
      <w:rPr>
        <w:noProof/>
      </w:rPr>
      <w:pict w14:anchorId="379305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73046"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4BB8"/>
    <w:multiLevelType w:val="multilevel"/>
    <w:tmpl w:val="51326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17F87"/>
    <w:multiLevelType w:val="multilevel"/>
    <w:tmpl w:val="834EA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62995"/>
    <w:multiLevelType w:val="multilevel"/>
    <w:tmpl w:val="C30E7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50CCB"/>
    <w:multiLevelType w:val="multilevel"/>
    <w:tmpl w:val="DB42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E5551"/>
    <w:multiLevelType w:val="hybridMultilevel"/>
    <w:tmpl w:val="965A7F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DB25A5"/>
    <w:multiLevelType w:val="multilevel"/>
    <w:tmpl w:val="CF467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880793"/>
    <w:multiLevelType w:val="multilevel"/>
    <w:tmpl w:val="874E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A546BB"/>
    <w:multiLevelType w:val="multilevel"/>
    <w:tmpl w:val="7182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5E2916"/>
    <w:multiLevelType w:val="multilevel"/>
    <w:tmpl w:val="DDC2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717ABE"/>
    <w:multiLevelType w:val="multilevel"/>
    <w:tmpl w:val="1884C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C72065"/>
    <w:multiLevelType w:val="multilevel"/>
    <w:tmpl w:val="FD4E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F41A08"/>
    <w:multiLevelType w:val="multilevel"/>
    <w:tmpl w:val="A48E6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7272AE"/>
    <w:multiLevelType w:val="multilevel"/>
    <w:tmpl w:val="772E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8"/>
  </w:num>
  <w:num w:numId="4">
    <w:abstractNumId w:val="2"/>
  </w:num>
  <w:num w:numId="5">
    <w:abstractNumId w:val="9"/>
  </w:num>
  <w:num w:numId="6">
    <w:abstractNumId w:val="0"/>
  </w:num>
  <w:num w:numId="7">
    <w:abstractNumId w:val="1"/>
  </w:num>
  <w:num w:numId="8">
    <w:abstractNumId w:val="7"/>
  </w:num>
  <w:num w:numId="9">
    <w:abstractNumId w:val="5"/>
  </w:num>
  <w:num w:numId="10">
    <w:abstractNumId w:val="12"/>
  </w:num>
  <w:num w:numId="11">
    <w:abstractNumId w:val="6"/>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0C"/>
    <w:rsid w:val="0001523A"/>
    <w:rsid w:val="000377E1"/>
    <w:rsid w:val="00081CA2"/>
    <w:rsid w:val="000A0686"/>
    <w:rsid w:val="000A3D2B"/>
    <w:rsid w:val="000D3C7D"/>
    <w:rsid w:val="000D76CF"/>
    <w:rsid w:val="000E020B"/>
    <w:rsid w:val="000F768C"/>
    <w:rsid w:val="00100990"/>
    <w:rsid w:val="00107DEE"/>
    <w:rsid w:val="00187572"/>
    <w:rsid w:val="002102C9"/>
    <w:rsid w:val="0023351B"/>
    <w:rsid w:val="0024033D"/>
    <w:rsid w:val="00250DED"/>
    <w:rsid w:val="0026366B"/>
    <w:rsid w:val="00291AB0"/>
    <w:rsid w:val="002C2E24"/>
    <w:rsid w:val="002C596D"/>
    <w:rsid w:val="002E2025"/>
    <w:rsid w:val="003479E0"/>
    <w:rsid w:val="0038766B"/>
    <w:rsid w:val="003C556D"/>
    <w:rsid w:val="003D502B"/>
    <w:rsid w:val="003E235A"/>
    <w:rsid w:val="003F6CD7"/>
    <w:rsid w:val="0040390C"/>
    <w:rsid w:val="00414AAF"/>
    <w:rsid w:val="004609B3"/>
    <w:rsid w:val="004630C3"/>
    <w:rsid w:val="0047081E"/>
    <w:rsid w:val="004765D3"/>
    <w:rsid w:val="004E33C7"/>
    <w:rsid w:val="005230DF"/>
    <w:rsid w:val="00556904"/>
    <w:rsid w:val="005756F4"/>
    <w:rsid w:val="00576951"/>
    <w:rsid w:val="00586B7F"/>
    <w:rsid w:val="005B6AF2"/>
    <w:rsid w:val="005C0C4D"/>
    <w:rsid w:val="005D2482"/>
    <w:rsid w:val="005E0C56"/>
    <w:rsid w:val="005E18EE"/>
    <w:rsid w:val="006122E3"/>
    <w:rsid w:val="00644328"/>
    <w:rsid w:val="0069584A"/>
    <w:rsid w:val="006D3A6B"/>
    <w:rsid w:val="0071173C"/>
    <w:rsid w:val="00711AB7"/>
    <w:rsid w:val="00725B97"/>
    <w:rsid w:val="0074110A"/>
    <w:rsid w:val="007734B3"/>
    <w:rsid w:val="007F6FCB"/>
    <w:rsid w:val="00867972"/>
    <w:rsid w:val="00872A38"/>
    <w:rsid w:val="00872E61"/>
    <w:rsid w:val="008868F3"/>
    <w:rsid w:val="00895E19"/>
    <w:rsid w:val="008A43C7"/>
    <w:rsid w:val="008A5AB9"/>
    <w:rsid w:val="00936F2C"/>
    <w:rsid w:val="00944EEA"/>
    <w:rsid w:val="009550F4"/>
    <w:rsid w:val="00976E0C"/>
    <w:rsid w:val="009C1321"/>
    <w:rsid w:val="009D1726"/>
    <w:rsid w:val="009F2293"/>
    <w:rsid w:val="00A10F1A"/>
    <w:rsid w:val="00A849C1"/>
    <w:rsid w:val="00AC672D"/>
    <w:rsid w:val="00B3204B"/>
    <w:rsid w:val="00B34847"/>
    <w:rsid w:val="00B43974"/>
    <w:rsid w:val="00B62DBB"/>
    <w:rsid w:val="00C153BE"/>
    <w:rsid w:val="00C4782B"/>
    <w:rsid w:val="00C86529"/>
    <w:rsid w:val="00CB0071"/>
    <w:rsid w:val="00CB2E12"/>
    <w:rsid w:val="00CC2177"/>
    <w:rsid w:val="00D42A39"/>
    <w:rsid w:val="00D522A7"/>
    <w:rsid w:val="00D610CE"/>
    <w:rsid w:val="00D65F90"/>
    <w:rsid w:val="00D936A5"/>
    <w:rsid w:val="00DB23EF"/>
    <w:rsid w:val="00DB2A13"/>
    <w:rsid w:val="00DD54AA"/>
    <w:rsid w:val="00DE0A1D"/>
    <w:rsid w:val="00E41FE7"/>
    <w:rsid w:val="00E84F1D"/>
    <w:rsid w:val="00ED527E"/>
    <w:rsid w:val="00EF5339"/>
    <w:rsid w:val="00F631FF"/>
    <w:rsid w:val="00F72DDD"/>
    <w:rsid w:val="00F92818"/>
    <w:rsid w:val="00FD4C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58B86E"/>
  <w15:chartTrackingRefBased/>
  <w15:docId w15:val="{D24ABA5B-9988-4352-BF06-AE94D1EA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line="360" w:lineRule="auto"/>
        <w:ind w:left="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3EF"/>
  </w:style>
  <w:style w:type="paragraph" w:styleId="Heading1">
    <w:name w:val="heading 1"/>
    <w:basedOn w:val="Normal"/>
    <w:next w:val="Normal"/>
    <w:link w:val="Heading1Char"/>
    <w:uiPriority w:val="9"/>
    <w:qFormat/>
    <w:rsid w:val="00DB2A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C86529"/>
    <w:pPr>
      <w:spacing w:before="100" w:beforeAutospacing="1" w:after="100" w:afterAutospacing="1" w:line="240" w:lineRule="auto"/>
      <w:ind w:left="0"/>
      <w:jc w:val="left"/>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C86529"/>
    <w:pPr>
      <w:spacing w:before="100" w:beforeAutospacing="1" w:after="100" w:afterAutospacing="1" w:line="240" w:lineRule="auto"/>
      <w:ind w:left="0"/>
      <w:jc w:val="left"/>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6E0C"/>
    <w:pPr>
      <w:spacing w:line="240" w:lineRule="auto"/>
    </w:pPr>
  </w:style>
  <w:style w:type="paragraph" w:styleId="ListParagraph">
    <w:name w:val="List Paragraph"/>
    <w:basedOn w:val="Normal"/>
    <w:uiPriority w:val="34"/>
    <w:qFormat/>
    <w:rsid w:val="00976E0C"/>
    <w:pPr>
      <w:ind w:left="720"/>
      <w:contextualSpacing/>
    </w:pPr>
  </w:style>
  <w:style w:type="character" w:customStyle="1" w:styleId="Heading3Char">
    <w:name w:val="Heading 3 Char"/>
    <w:basedOn w:val="DefaultParagraphFont"/>
    <w:link w:val="Heading3"/>
    <w:uiPriority w:val="9"/>
    <w:rsid w:val="00C86529"/>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C86529"/>
    <w:rPr>
      <w:rFonts w:ascii="Times New Roman" w:eastAsia="Times New Roman" w:hAnsi="Times New Roman" w:cs="Times New Roman"/>
      <w:b/>
      <w:bCs/>
      <w:sz w:val="24"/>
      <w:szCs w:val="24"/>
      <w:lang w:eastAsia="en-IN"/>
    </w:rPr>
  </w:style>
  <w:style w:type="paragraph" w:styleId="NormalWeb">
    <w:name w:val="Normal (Web)"/>
    <w:basedOn w:val="Normal"/>
    <w:uiPriority w:val="99"/>
    <w:unhideWhenUsed/>
    <w:rsid w:val="00C86529"/>
    <w:pPr>
      <w:spacing w:before="100" w:beforeAutospacing="1" w:after="100" w:afterAutospacing="1" w:line="240" w:lineRule="auto"/>
      <w:ind w:left="0"/>
      <w:jc w:val="left"/>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86529"/>
    <w:rPr>
      <w:b/>
      <w:bCs/>
    </w:rPr>
  </w:style>
  <w:style w:type="character" w:styleId="Emphasis">
    <w:name w:val="Emphasis"/>
    <w:basedOn w:val="DefaultParagraphFont"/>
    <w:uiPriority w:val="20"/>
    <w:qFormat/>
    <w:rsid w:val="005C0C4D"/>
    <w:rPr>
      <w:i/>
      <w:iCs/>
    </w:rPr>
  </w:style>
  <w:style w:type="table" w:styleId="TableGrid">
    <w:name w:val="Table Grid"/>
    <w:basedOn w:val="TableNormal"/>
    <w:uiPriority w:val="39"/>
    <w:rsid w:val="00D936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B2A13"/>
    <w:rPr>
      <w:rFonts w:asciiTheme="majorHAnsi" w:eastAsiaTheme="majorEastAsia" w:hAnsiTheme="majorHAnsi" w:cstheme="majorBidi"/>
      <w:color w:val="2F5496" w:themeColor="accent1" w:themeShade="BF"/>
      <w:sz w:val="32"/>
      <w:szCs w:val="32"/>
    </w:rPr>
  </w:style>
  <w:style w:type="paragraph" w:customStyle="1" w:styleId="Default">
    <w:name w:val="Default"/>
    <w:rsid w:val="00D42A39"/>
    <w:pPr>
      <w:autoSpaceDE w:val="0"/>
      <w:autoSpaceDN w:val="0"/>
      <w:adjustRightInd w:val="0"/>
      <w:spacing w:line="240" w:lineRule="auto"/>
      <w:ind w:left="0"/>
      <w:jc w:val="left"/>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9D1726"/>
    <w:rPr>
      <w:color w:val="666666"/>
    </w:rPr>
  </w:style>
  <w:style w:type="character" w:styleId="Hyperlink">
    <w:name w:val="Hyperlink"/>
    <w:basedOn w:val="DefaultParagraphFont"/>
    <w:uiPriority w:val="99"/>
    <w:unhideWhenUsed/>
    <w:rsid w:val="00E41FE7"/>
    <w:rPr>
      <w:color w:val="0563C1" w:themeColor="hyperlink"/>
      <w:u w:val="single"/>
    </w:rPr>
  </w:style>
  <w:style w:type="character" w:styleId="UnresolvedMention">
    <w:name w:val="Unresolved Mention"/>
    <w:basedOn w:val="DefaultParagraphFont"/>
    <w:uiPriority w:val="99"/>
    <w:semiHidden/>
    <w:unhideWhenUsed/>
    <w:rsid w:val="00E41FE7"/>
    <w:rPr>
      <w:color w:val="605E5C"/>
      <w:shd w:val="clear" w:color="auto" w:fill="E1DFDD"/>
    </w:rPr>
  </w:style>
  <w:style w:type="paragraph" w:styleId="Header">
    <w:name w:val="header"/>
    <w:basedOn w:val="Normal"/>
    <w:link w:val="HeaderChar"/>
    <w:uiPriority w:val="99"/>
    <w:unhideWhenUsed/>
    <w:rsid w:val="00EF5339"/>
    <w:pPr>
      <w:tabs>
        <w:tab w:val="center" w:pos="4680"/>
        <w:tab w:val="right" w:pos="9360"/>
      </w:tabs>
      <w:spacing w:line="240" w:lineRule="auto"/>
    </w:pPr>
  </w:style>
  <w:style w:type="character" w:customStyle="1" w:styleId="HeaderChar">
    <w:name w:val="Header Char"/>
    <w:basedOn w:val="DefaultParagraphFont"/>
    <w:link w:val="Header"/>
    <w:uiPriority w:val="99"/>
    <w:rsid w:val="00EF5339"/>
  </w:style>
  <w:style w:type="paragraph" w:styleId="Footer">
    <w:name w:val="footer"/>
    <w:basedOn w:val="Normal"/>
    <w:link w:val="FooterChar"/>
    <w:uiPriority w:val="99"/>
    <w:unhideWhenUsed/>
    <w:rsid w:val="00EF5339"/>
    <w:pPr>
      <w:tabs>
        <w:tab w:val="center" w:pos="4680"/>
        <w:tab w:val="right" w:pos="9360"/>
      </w:tabs>
      <w:spacing w:line="240" w:lineRule="auto"/>
    </w:pPr>
  </w:style>
  <w:style w:type="character" w:customStyle="1" w:styleId="FooterChar">
    <w:name w:val="Footer Char"/>
    <w:basedOn w:val="DefaultParagraphFont"/>
    <w:link w:val="Footer"/>
    <w:uiPriority w:val="99"/>
    <w:rsid w:val="00EF5339"/>
  </w:style>
  <w:style w:type="paragraph" w:customStyle="1" w:styleId="ReferHead">
    <w:name w:val="Refer Head"/>
    <w:basedOn w:val="Normal"/>
    <w:rsid w:val="00DB23EF"/>
    <w:pPr>
      <w:keepNext/>
      <w:spacing w:after="240" w:line="240" w:lineRule="auto"/>
      <w:ind w:left="0"/>
      <w:jc w:val="left"/>
    </w:pPr>
    <w:rPr>
      <w:rFonts w:ascii="Helvetica" w:eastAsia="Times New Roman" w:hAnsi="Helvetica" w:cs="Times New Roman"/>
      <w:b/>
      <w:caps/>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9772">
      <w:bodyDiv w:val="1"/>
      <w:marLeft w:val="0"/>
      <w:marRight w:val="0"/>
      <w:marTop w:val="0"/>
      <w:marBottom w:val="0"/>
      <w:divBdr>
        <w:top w:val="none" w:sz="0" w:space="0" w:color="auto"/>
        <w:left w:val="none" w:sz="0" w:space="0" w:color="auto"/>
        <w:bottom w:val="none" w:sz="0" w:space="0" w:color="auto"/>
        <w:right w:val="none" w:sz="0" w:space="0" w:color="auto"/>
      </w:divBdr>
    </w:div>
    <w:div w:id="101582764">
      <w:bodyDiv w:val="1"/>
      <w:marLeft w:val="0"/>
      <w:marRight w:val="0"/>
      <w:marTop w:val="0"/>
      <w:marBottom w:val="0"/>
      <w:divBdr>
        <w:top w:val="none" w:sz="0" w:space="0" w:color="auto"/>
        <w:left w:val="none" w:sz="0" w:space="0" w:color="auto"/>
        <w:bottom w:val="none" w:sz="0" w:space="0" w:color="auto"/>
        <w:right w:val="none" w:sz="0" w:space="0" w:color="auto"/>
      </w:divBdr>
      <w:divsChild>
        <w:div w:id="1200899515">
          <w:marLeft w:val="640"/>
          <w:marRight w:val="0"/>
          <w:marTop w:val="0"/>
          <w:marBottom w:val="0"/>
          <w:divBdr>
            <w:top w:val="none" w:sz="0" w:space="0" w:color="auto"/>
            <w:left w:val="none" w:sz="0" w:space="0" w:color="auto"/>
            <w:bottom w:val="none" w:sz="0" w:space="0" w:color="auto"/>
            <w:right w:val="none" w:sz="0" w:space="0" w:color="auto"/>
          </w:divBdr>
        </w:div>
      </w:divsChild>
    </w:div>
    <w:div w:id="178785089">
      <w:bodyDiv w:val="1"/>
      <w:marLeft w:val="0"/>
      <w:marRight w:val="0"/>
      <w:marTop w:val="0"/>
      <w:marBottom w:val="0"/>
      <w:divBdr>
        <w:top w:val="none" w:sz="0" w:space="0" w:color="auto"/>
        <w:left w:val="none" w:sz="0" w:space="0" w:color="auto"/>
        <w:bottom w:val="none" w:sz="0" w:space="0" w:color="auto"/>
        <w:right w:val="none" w:sz="0" w:space="0" w:color="auto"/>
      </w:divBdr>
    </w:div>
    <w:div w:id="367683194">
      <w:bodyDiv w:val="1"/>
      <w:marLeft w:val="0"/>
      <w:marRight w:val="0"/>
      <w:marTop w:val="0"/>
      <w:marBottom w:val="0"/>
      <w:divBdr>
        <w:top w:val="none" w:sz="0" w:space="0" w:color="auto"/>
        <w:left w:val="none" w:sz="0" w:space="0" w:color="auto"/>
        <w:bottom w:val="none" w:sz="0" w:space="0" w:color="auto"/>
        <w:right w:val="none" w:sz="0" w:space="0" w:color="auto"/>
      </w:divBdr>
    </w:div>
    <w:div w:id="486483998">
      <w:bodyDiv w:val="1"/>
      <w:marLeft w:val="0"/>
      <w:marRight w:val="0"/>
      <w:marTop w:val="0"/>
      <w:marBottom w:val="0"/>
      <w:divBdr>
        <w:top w:val="none" w:sz="0" w:space="0" w:color="auto"/>
        <w:left w:val="none" w:sz="0" w:space="0" w:color="auto"/>
        <w:bottom w:val="none" w:sz="0" w:space="0" w:color="auto"/>
        <w:right w:val="none" w:sz="0" w:space="0" w:color="auto"/>
      </w:divBdr>
    </w:div>
    <w:div w:id="1355811728">
      <w:bodyDiv w:val="1"/>
      <w:marLeft w:val="0"/>
      <w:marRight w:val="0"/>
      <w:marTop w:val="0"/>
      <w:marBottom w:val="0"/>
      <w:divBdr>
        <w:top w:val="none" w:sz="0" w:space="0" w:color="auto"/>
        <w:left w:val="none" w:sz="0" w:space="0" w:color="auto"/>
        <w:bottom w:val="none" w:sz="0" w:space="0" w:color="auto"/>
        <w:right w:val="none" w:sz="0" w:space="0" w:color="auto"/>
      </w:divBdr>
      <w:divsChild>
        <w:div w:id="1493981338">
          <w:marLeft w:val="480"/>
          <w:marRight w:val="0"/>
          <w:marTop w:val="0"/>
          <w:marBottom w:val="0"/>
          <w:divBdr>
            <w:top w:val="none" w:sz="0" w:space="0" w:color="auto"/>
            <w:left w:val="none" w:sz="0" w:space="0" w:color="auto"/>
            <w:bottom w:val="none" w:sz="0" w:space="0" w:color="auto"/>
            <w:right w:val="none" w:sz="0" w:space="0" w:color="auto"/>
          </w:divBdr>
        </w:div>
        <w:div w:id="1648435806">
          <w:marLeft w:val="480"/>
          <w:marRight w:val="0"/>
          <w:marTop w:val="0"/>
          <w:marBottom w:val="0"/>
          <w:divBdr>
            <w:top w:val="none" w:sz="0" w:space="0" w:color="auto"/>
            <w:left w:val="none" w:sz="0" w:space="0" w:color="auto"/>
            <w:bottom w:val="none" w:sz="0" w:space="0" w:color="auto"/>
            <w:right w:val="none" w:sz="0" w:space="0" w:color="auto"/>
          </w:divBdr>
        </w:div>
        <w:div w:id="1911574774">
          <w:marLeft w:val="480"/>
          <w:marRight w:val="0"/>
          <w:marTop w:val="0"/>
          <w:marBottom w:val="0"/>
          <w:divBdr>
            <w:top w:val="none" w:sz="0" w:space="0" w:color="auto"/>
            <w:left w:val="none" w:sz="0" w:space="0" w:color="auto"/>
            <w:bottom w:val="none" w:sz="0" w:space="0" w:color="auto"/>
            <w:right w:val="none" w:sz="0" w:space="0" w:color="auto"/>
          </w:divBdr>
        </w:div>
        <w:div w:id="1005085388">
          <w:marLeft w:val="480"/>
          <w:marRight w:val="0"/>
          <w:marTop w:val="0"/>
          <w:marBottom w:val="0"/>
          <w:divBdr>
            <w:top w:val="none" w:sz="0" w:space="0" w:color="auto"/>
            <w:left w:val="none" w:sz="0" w:space="0" w:color="auto"/>
            <w:bottom w:val="none" w:sz="0" w:space="0" w:color="auto"/>
            <w:right w:val="none" w:sz="0" w:space="0" w:color="auto"/>
          </w:divBdr>
        </w:div>
      </w:divsChild>
    </w:div>
    <w:div w:id="1589584292">
      <w:bodyDiv w:val="1"/>
      <w:marLeft w:val="0"/>
      <w:marRight w:val="0"/>
      <w:marTop w:val="0"/>
      <w:marBottom w:val="0"/>
      <w:divBdr>
        <w:top w:val="none" w:sz="0" w:space="0" w:color="auto"/>
        <w:left w:val="none" w:sz="0" w:space="0" w:color="auto"/>
        <w:bottom w:val="none" w:sz="0" w:space="0" w:color="auto"/>
        <w:right w:val="none" w:sz="0" w:space="0" w:color="auto"/>
      </w:divBdr>
      <w:divsChild>
        <w:div w:id="23869219">
          <w:marLeft w:val="0"/>
          <w:marRight w:val="0"/>
          <w:marTop w:val="0"/>
          <w:marBottom w:val="0"/>
          <w:divBdr>
            <w:top w:val="none" w:sz="0" w:space="0" w:color="auto"/>
            <w:left w:val="none" w:sz="0" w:space="0" w:color="auto"/>
            <w:bottom w:val="none" w:sz="0" w:space="0" w:color="auto"/>
            <w:right w:val="none" w:sz="0" w:space="0" w:color="auto"/>
          </w:divBdr>
          <w:divsChild>
            <w:div w:id="2107384188">
              <w:marLeft w:val="0"/>
              <w:marRight w:val="0"/>
              <w:marTop w:val="0"/>
              <w:marBottom w:val="0"/>
              <w:divBdr>
                <w:top w:val="none" w:sz="0" w:space="0" w:color="auto"/>
                <w:left w:val="none" w:sz="0" w:space="0" w:color="auto"/>
                <w:bottom w:val="none" w:sz="0" w:space="0" w:color="auto"/>
                <w:right w:val="none" w:sz="0" w:space="0" w:color="auto"/>
              </w:divBdr>
            </w:div>
            <w:div w:id="8775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F1777C22A845CEAAC63CFD70BB30FB"/>
        <w:category>
          <w:name w:val="General"/>
          <w:gallery w:val="placeholder"/>
        </w:category>
        <w:types>
          <w:type w:val="bbPlcHdr"/>
        </w:types>
        <w:behaviors>
          <w:behavior w:val="content"/>
        </w:behaviors>
        <w:guid w:val="{B611561F-91D4-4781-AC9E-C347D87D97DF}"/>
      </w:docPartPr>
      <w:docPartBody>
        <w:p w:rsidR="004E355E" w:rsidRDefault="008A5F1F" w:rsidP="008A5F1F">
          <w:pPr>
            <w:pStyle w:val="26F1777C22A845CEAAC63CFD70BB30FB"/>
          </w:pPr>
          <w:r w:rsidRPr="009E377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1F"/>
    <w:rsid w:val="000826CF"/>
    <w:rsid w:val="000E020B"/>
    <w:rsid w:val="00181E04"/>
    <w:rsid w:val="00187572"/>
    <w:rsid w:val="002C596D"/>
    <w:rsid w:val="00423BAB"/>
    <w:rsid w:val="004C52C0"/>
    <w:rsid w:val="004E355E"/>
    <w:rsid w:val="00586B7F"/>
    <w:rsid w:val="005B1B1F"/>
    <w:rsid w:val="005D380A"/>
    <w:rsid w:val="006D3A6B"/>
    <w:rsid w:val="00895E19"/>
    <w:rsid w:val="008A5F1F"/>
    <w:rsid w:val="00A91D36"/>
    <w:rsid w:val="00AD4E99"/>
    <w:rsid w:val="00C646E9"/>
    <w:rsid w:val="00D97CF4"/>
    <w:rsid w:val="00E470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5F1F"/>
    <w:rPr>
      <w:color w:val="666666"/>
    </w:rPr>
  </w:style>
  <w:style w:type="paragraph" w:customStyle="1" w:styleId="26F1777C22A845CEAAC63CFD70BB30FB">
    <w:name w:val="26F1777C22A845CEAAC63CFD70BB30FB"/>
    <w:rsid w:val="008A5F1F"/>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A80D1AE-0918-4085-B589-A7F4EF84B61D}">
  <we:reference id="wa104382081" version="1.55.1.0" store="en-US" storeType="OMEX"/>
  <we:alternateReferences>
    <we:reference id="wa104382081" version="1.55.1.0" store="WA104382081" storeType="OMEX"/>
  </we:alternateReferences>
  <we:properties>
    <we:property name="MENDELEY_CITATIONS" value="[{&quot;citationID&quot;:&quot;MENDELEY_CITATION_279cf177-a9d6-4be8-ae64-47157fdd88df&quot;,&quot;properties&quot;:{&quot;noteIndex&quot;:0},&quot;isEdited&quot;:false,&quot;manualOverride&quot;:{&quot;isManuallyOverridden&quot;:false,&quot;citeprocText&quot;:&quot;(Koul et al., 2022; Prado-Acebo et al., 2024)&quot;,&quot;manualOverrideText&quot;:&quot;&quot;},&quot;citationTag&quot;:&quot;MENDELEY_CITATION_v3_eyJjaXRhdGlvbklEIjoiTUVOREVMRVlfQ0lUQVRJT05fMjc5Y2YxNzctYTlkNi00YmU4LWFlNjQtNDcxNTdmZGQ4OGRmIiwicHJvcGVydGllcyI6eyJub3RlSW5kZXgiOjB9LCJpc0VkaXRlZCI6ZmFsc2UsIm1hbnVhbE92ZXJyaWRlIjp7ImlzTWFudWFsbHlPdmVycmlkZGVuIjpmYWxzZSwiY2l0ZXByb2NUZXh0IjoiKEtvdWwgZXQgYWwuLCAyMDIyOyBQcmFkby1BY2VibyBldCBhbC4sIDIwMjQpIiwibWFudWFsT3ZlcnJpZGVUZXh0IjoiIn0sImNpdGF0aW9uSXRlbXMiOlt7ImlkIjoiYWI0MjJlY2ItMjkwYy0zM2RjLTk2OWMtMzI0ZjMwOWJiNTk4IiwiaXRlbURhdGEiOnsidHlwZSI6ImFydGljbGUtam91cm5hbCIsImlkIjoiYWI0MjJlY2ItMjkwYy0zM2RjLTk2OWMtMzI0ZjMwOWJiNTk4IiwidGl0bGUiOiJBZ3JpY3VsdHVyYWwgd2FzdGUgbWFuYWdlbWVudCBzdHJhdGVnaWVzIGZvciBlbnZpcm9ubWVudGFsIHN1c3RhaW5hYmlsaXR5IiwiYXV0aG9yIjpbeyJmYW1pbHkiOiJLb3VsIiwiZ2l2ZW4iOiJCaHVwZW5kcmEiLCJwYXJzZS1uYW1lcyI6ZmFsc2UsImRyb3BwaW5nLXBhcnRpY2xlIjoiIiwibm9uLWRyb3BwaW5nLXBhcnRpY2xlIjoiIn0seyJmYW1pbHkiOiJZYWtvb2IiLCJnaXZlbiI6Ik1vaGFtbWFkIiwicGFyc2UtbmFtZXMiOmZhbHNlLCJkcm9wcGluZy1wYXJ0aWNsZSI6IiIsIm5vbi1kcm9wcGluZy1wYXJ0aWNsZSI6IiJ9LHsiZmFtaWx5IjoiU2hhaCIsImdpdmVuIjoiTWF1bGluIFAuIiwicGFyc2UtbmFtZXMiOmZhbHNlLCJkcm9wcGluZy1wYXJ0aWNsZSI6IiIsIm5vbi1kcm9wcGluZy1wYXJ0aWNsZSI6IiJ9XSwiY29udGFpbmVyLXRpdGxlIjoiRW52aXJvbm1lbnRhbCBSZXNlYXJjaCIsImNvbnRhaW5lci10aXRsZS1zaG9ydCI6IkVudmlyb24gUmVzIiwiYWNjZXNzZWQiOnsiZGF0ZS1wYXJ0cyI6W1syMDI1LDQsMThdXX0sIkRPSSI6IjEwLjEwMTYvSi5FTlZSRVMuMjAyMS4xMTIyODUiLCJJU1NOIjoiMDAxMy05MzUxIiwiUE1JRCI6IjM0NzEwNDQyIiwiaXNzdWVkIjp7ImRhdGUtcGFydHMiOltbMjAyMiw0LDE1XV19LCJwYWdlIjoiMTEyMjg1IiwiYWJzdHJhY3QiOiJHbG9iYWxseSwgYWJ1bmRhbnQgYWdyaWN1bHR1cmFsIHdhc3RlcyAoQVdzKSBhcmUgYmVpbmcgZ2VuZXJhdGVkIGVhY2ggZGF5IHRvIGZ1bGZpbCB0aGUgaW5jcmVhc2luZyBkZW1hbmRzIG9mIHRoZSBmYXN0LWdyb3dpbmcgcG9wdWxhdGlvbi4gVGhlIGxpbWl0ZWQgYW5kL29yIGltcHJvcGVyIG1hbmFnZW1lbnQgb2YgdGhlIHNhbWUgaGFzIGNyZWF0ZWQgYW4gdXJnZW50IG5lZWQgdG8gZGV2aXNlIHN0cmF0ZWdpZXMgZm9yIHRoZWlyIHRpbWVseSB1dGlsaXphdGlvbiBhbmQgdmFsb3Jpc2F0aW9uLCBmb3IgYWdyaWN1bHR1cmFsIHN1c3RhaW5hYmlsaXR5IGFuZCBodW1hbi1mb29kIGFuZCBoZWFsdGggc2VjdXJpdHkuIFRoZSBBV3MgYXJlIGdlbmVyYXRlZCBmcm9tIGRpZmZlcmVudCBzb3VyY2VzIGluY2x1ZGluZyBjcm9wIHJlc2lkdWUsIGFncm8taW5kdXN0cmllcywgbGl2ZXN0b2NrLCBhbmQgYXF1YWN1bHR1cmUuIFRoZSBtYWluIGNvbXBvbmVudCBvZiB0aGUgY3JvcCByZXNpZHVlIGFuZCBhZ3JvLWluZHVzdHJpYWwgd2FzdGUgaXMgY2VsbHVsb3NlLCAodGhlIG1vc3QgYWJ1bmRhbnQgYmlvcG9seW1lciksIGZvbGxvd2VkIGJ5IGxpZ25pbiBhbmQgaGVtaWNlbGx1bG9zZSAobGlnbm9jZWxsdWxvc2ljIGJpb21hc3MpLiBUaGUgQVdzIGFuZCB0aGVpciBwcm9jZXNzaW5nIGFyZSBhIGdsb2JhbCBpc3N1ZSBzaW5jZSBpdHMgdmFzdCBtYWpvcml0eSBpcyBjdXJyZW50bHkgYnVybmVkIG9yIGJ1cmllZCBpbiBzb2lsLCBjYXVzaW5nIHBvbGx1dGlvbiBvZiBhaXIsIHdhdGVyIGFuZCBnbG9iYWwgd2FybWluZy4gVHJhZGl0aW9uYWxseSwgc29tZSBjcm9wIHJlc2lkdWVzIGhhdmUgYmVlbiB1c2VkIGluIGNvbWJ1c3Rpb24sIGFuaW1hbCBmb2RkZXIsIHJvb2YgdGhhdGNoaW5nLCBjb21wb3N0aW5nLCBzb2lsIG11bGNoaW5nLCBtYXRjaHN0aWNrcyBhbmQgcGFwZXIgcHJvZHVjdGlvbi4gQnV0LCBsaWdub2NlbGx1bG9zaWMgYmlvbWFzcyBjYW4gYWxzbyBzZXJ2ZSBhcyBhIHN1c3RhaW5hYmxlIHNvdXJjZSBvZiBiaW9mdWVsIChiaW9kaWVzZWwsIGJpb2V0aGFub2wsIGJpb2dhcywgYmlvaHlkcm9nZW4pIGFuZCBiaW9lbmVyZ3kgaW4gb3JkZXIgdG8gbWl0aWdhdGUgdGhlIGZvc3NpbCBmdWVsIHNob3J0YWdlIGFuZCBjbGltYXRlIGNoYW5nZSBpc3N1ZXMuIFRodXMsIHZhbG9yaXNhdGlvbiBvZiBsaWdub2NlbGx1bG9zaWMgcmVzaWR1ZXMgaGFzIHRoZSBwb3RlbnRpYWwgdG8gaW5mbHVlbmNlIHRoZSBiaW9lY29ub215IGJ5IHByb2R1Y2luZyB2YWx1ZS1hZGRlZCBwcm9kdWN0cyBpbmNsdWRpbmcgYmlvZmVydGlsaXplcnMsIGJpby1icmlja3MsIGJpby1jb2FsLCBiaW8tcGxhc3RpY3MsIHBhcGVyLCBiaW9mdWVscywgaW5kdXN0cmlhbCBlbnp5bWVzLCBvcmdhbmljIGFjaWRzIGV0Yy4gVGhpcyByZXZpZXcgZW5jb21wYXNzZXMgY2lyY3VsYXIgYmlvZWNvbm9teSBiYXNlZCB2YXJpb3VzIEFXIG1hbmFnZW1lbnQgc3RyYXRlZ2llcywgd2hpY2ggaW52b2x2ZSDigJhyZWR1Y3Rpb27igJksIOKAmHJldXNpbmfigJkgYW5kIOKAmHJlY3ljbGluZ+KAmSBvZiBBV3MgdG8gYm9vc3Qgc3VzdGFpbmFibGUgYWdyaWN1bHR1cmUgYW5kIG1pbmltaXNlIGVudmlyb25tZW50YWwgcG9sbHV0aW9uLiIsInB1Ymxpc2hlciI6IkFjYWRlbWljIFByZXNzIiwidm9sdW1lIjoiMjA2In0sImlzVGVtcG9yYXJ5IjpmYWxzZX0seyJpZCI6ImI4YzRhMWU0LTA0MGQtMzI3Ny1iMTcyLTRjYjhjODc5YTIzZSIsIml0ZW1EYXRhIjp7InR5cGUiOiJhcnRpY2xlLWpvdXJuYWwiLCJpZCI6ImI4YzRhMWU0LTA0MGQtMzI3Ny1iMTcyLTRjYjhjODc5YTIzZSIsInRpdGxlIjoiSW50ZWdyYWwgbXVsdGktdmFsb3JpemF0aW9uIG9mIGFncm8taW5kdXN0cmlhbCB3YXN0ZXM6IEEgcmV2aWV3IiwiYXV0aG9yIjpbeyJmYW1pbHkiOiJQcmFkby1BY2VibyIsImdpdmVuIjoiSW7DqXMiLCJwYXJzZS1uYW1lcyI6ZmFsc2UsImRyb3BwaW5nLXBhcnRpY2xlIjoiIiwibm9uLWRyb3BwaW5nLXBhcnRpY2xlIjoiIn0seyJmYW1pbHkiOiJDdWJlcm8tQ2FyZG9zbyIsImdpdmVuIjoiSnVhbiIsInBhcnNlLW5hbWVzIjpmYWxzZSwiZHJvcHBpbmctcGFydGljbGUiOiIiLCJub24tZHJvcHBpbmctcGFydGljbGUiOiIifSx7ImZhbWlseSI6Ikx1LUNoYXUiLCJnaXZlbiI6IlRoZWxtbyBBLiIsInBhcnNlLW5hbWVzIjpmYWxzZSwiZHJvcHBpbmctcGFydGljbGUiOiIiLCJub24tZHJvcHBpbmctcGFydGljbGUiOiIifSx7ImZhbWlseSI6IkVpYmVzIiwiZ2l2ZW4iOiJHZW1tYSIsInBhcnNlLW5hbWVzIjpmYWxzZSwiZHJvcHBpbmctcGFydGljbGUiOiIiLCJub24tZHJvcHBpbmctcGFydGljbGUiOiIifV0sImNvbnRhaW5lci10aXRsZSI6Ildhc3RlIE1hbmFnZW1lbnQiLCJhY2Nlc3NlZCI6eyJkYXRlLXBhcnRzIjpbWzIwMjUsNCwxOF1dfSwiRE9JIjoiMTAuMTAxNi9KLldBU01BTi4yMDI0LjA1LjAwMSIsIklTU04iOiIwOTU2LTA1M1giLCJQTUlEIjoiMzg3MTQxMjEiLCJpc3N1ZWQiOnsiZGF0ZS1wYXJ0cyI6W1syMDI0LDYsMzBdXX0sInBhZ2UiOiI0Mi01MiIsImFic3RyYWN0IjoiQWdyaWN1bHR1cmUgYW5kIGluZHVzdHJpZXMgcmVsYXRlZCB0byB0aGUgYWdyaWN1bHR1cmUgc2VjdG9yIGdlbmVyYXRlIGEgbGFyZ2UgYW1vdW50IG9mIHdhc3RlIGVhY2ggeWVhci4gVGhlc2Ugd2FzdGVzIGFyZSB1c3VhbGx5IGJ1cm5lZCBvciBkdW1wZWQsIGNhdXNpbmcgZGFtYWdlIHRvIHRoZSBlbnZpcm9ubWVudCwgdGhlIGVjb25vbXkgYW5kIHNvY2lldHkuIER1ZSB0byB0aGVpciBjb21wb3NpdGlvbiwgdGhleSBoYXZlIGdyZWF0IHBvdGVudGlhbCBmb3Igb2J0YWluaW5nIGhpZ2ggdmFsdWUtYWRkZWQgcHJvZHVjdHMgaW4gYmlvcmVmaW5lcmllcy4gVGhpcyBmYWN0LCBhZGRlZCB0byB0aGUgZ3Jvd2luZyBkZW1hbmQgZm9yIGVuZXJneSBhbmQgY2hlbWljYWxzIGZyb20gZm9zc2lsIHJlc291cmNlcywgaXMgZHJpdmluZyB0aGUgaW50ZXJlc3Qgb2YgdGhlIHNjaWVudGlmaWMgY29tbXVuaXR5IGluIHRoZW0uIEJpb3JlZmluZXJ5IHByb2Nlc3NlcyBhcmUgaGFyZGx5IHByb2ZpdGFibGUgd2hlbiBhcHBsaWVkIGluZGl2aWR1YWxseSwgc28gYSBiZXR0ZXIgYWx0ZXJuYXRpdmUgaXMgdG8gZGV2ZWxvcCBpbnRlZ3JhdGVkIG11bHRpLWZlZWRzdG9jayBhbmQgbXVsdGktcHJvZHVjdCBiaW9yZWZpbmVyeSBzY2hlbWVzIHVzaW5nIGFsbCBiaW9tYXNzIGZyYWN0aW9ucyBpbiBhIHplcm8td2FzdGUgYXBwcm9hY2guIEhvd2V2ZXIsIGZvciBpbmR1c3RyaWFsIHNjYWxlIGFwcGxpY2F0aW9uLCBleHRlbnNpdmUgcmVzZWFyY2gsIHNjYWxlLXVwIHN0dWRpZXMsIGFuZCB0ZWNobm8tZWNvbm9taWMgYW5kIGVudmlyb25tZW50YWwgZmVhc2liaWxpdHkgYW5hbHlzZXMgYXJlIG5lZWRlZC4gVGhpcyByZXZpZXcgY29tcGlsZXMgaW5mb3JtYXRpb24gb24gaW50ZWdyYXRlZCBtdWx0aS1iaW9yZWZpbmVyeSBwcm9jZXNzZXMgZnJvbSBhZ3JvLWluZHVzdHJpYWwgd2FzdGVzIHRvIHNoZWQgbGlnaHQgb24gdGhlIHBhdGggdG93YXJkcyBzdXN0YWluYWJsZSBkZXZlbG9wbWVudCBhbmQgY2lyY3VsYXIgYmlvZWNvbm9teS4iLCJwdWJsaXNoZXIiOiJQZXJnYW1vbiIsInZvbHVtZSI6IjE4MyIsImNvbnRhaW5lci10aXRsZS1zaG9ydCI6IiJ9LCJpc1RlbXBvcmFyeSI6ZmFsc2V9XX0=&quot;,&quot;citationItems&quot;:[{&quot;id&quot;:&quot;ab422ecb-290c-33dc-969c-324f309bb598&quot;,&quot;itemData&quot;:{&quot;type&quot;:&quot;article-journal&quot;,&quot;id&quot;:&quot;ab422ecb-290c-33dc-969c-324f309bb598&quot;,&quot;title&quot;:&quot;Agricultural waste management strategies for environmental sustainability&quot;,&quot;author&quot;:[{&quot;family&quot;:&quot;Koul&quot;,&quot;given&quot;:&quot;Bhupendra&quot;,&quot;parse-names&quot;:false,&quot;dropping-particle&quot;:&quot;&quot;,&quot;non-dropping-particle&quot;:&quot;&quot;},{&quot;family&quot;:&quot;Yakoob&quot;,&quot;given&quot;:&quot;Mohammad&quot;,&quot;parse-names&quot;:false,&quot;dropping-particle&quot;:&quot;&quot;,&quot;non-dropping-particle&quot;:&quot;&quot;},{&quot;family&quot;:&quot;Shah&quot;,&quot;given&quot;:&quot;Maulin P.&quot;,&quot;parse-names&quot;:false,&quot;dropping-particle&quot;:&quot;&quot;,&quot;non-dropping-particle&quot;:&quot;&quot;}],&quot;container-title&quot;:&quot;Environmental Research&quot;,&quot;container-title-short&quot;:&quot;Environ Res&quot;,&quot;accessed&quot;:{&quot;date-parts&quot;:[[2025,4,18]]},&quot;DOI&quot;:&quot;10.1016/J.ENVRES.2021.112285&quot;,&quot;ISSN&quot;:&quot;0013-9351&quot;,&quot;PMID&quot;:&quot;34710442&quot;,&quot;issued&quot;:{&quot;date-parts&quot;:[[2022,4,15]]},&quot;page&quot;:&quot;112285&quot;,&quot;abstract&quot;:&quot;Globally, abundant agricultural wastes (AWs) are being generated each day to fulfil the increasing demands of the fast-growing population. The limited and/or improper management of the same has created an urgent need to devise strategies for their timely utilization and valorisation, for agricultural sustainability and human-food and health security. The AWs are generated from different sources including crop residue, agro-industries, livestock, and aquaculture. The main component of the crop residue and agro-industrial waste is cellulose, (the most abundant biopolymer), followed by lignin and hemicellulose (lignocellulosic biomass). The AWs and their processing are a global issue since its vast majority is currently burned or buried in soil, causing pollution of air, water and global warming. Traditionally, some crop residues have been used in combustion, animal fodder, roof thatching, composting, soil mulching, matchsticks and paper production. But, lignocellulosic biomass can also serve as a sustainable source of biofuel (biodiesel, bioethanol, biogas, biohydrogen) and bioenergy in order to mitigate the fossil fuel shortage and climate change issues. Thus, valorisation of lignocellulosic residues has the potential to influence the bioeconomy by producing value-added products including biofertilizers, bio-bricks, bio-coal, bio-plastics, paper, biofuels, industrial enzymes, organic acids etc. This review encompasses circular bioeconomy based various AW management strategies, which involve ‘reduction’, ‘reusing’ and ‘recycling’ of AWs to boost sustainable agriculture and minimise environmental pollution.&quot;,&quot;publisher&quot;:&quot;Academic Press&quot;,&quot;volume&quot;:&quot;206&quot;},&quot;isTemporary&quot;:false},{&quot;id&quot;:&quot;b8c4a1e4-040d-3277-b172-4cb8c879a23e&quot;,&quot;itemData&quot;:{&quot;type&quot;:&quot;article-journal&quot;,&quot;id&quot;:&quot;b8c4a1e4-040d-3277-b172-4cb8c879a23e&quot;,&quot;title&quot;:&quot;Integral multi-valorization of agro-industrial wastes: A review&quot;,&quot;author&quot;:[{&quot;family&quot;:&quot;Prado-Acebo&quot;,&quot;given&quot;:&quot;Inés&quot;,&quot;parse-names&quot;:false,&quot;dropping-particle&quot;:&quot;&quot;,&quot;non-dropping-particle&quot;:&quot;&quot;},{&quot;family&quot;:&quot;Cubero-Cardoso&quot;,&quot;given&quot;:&quot;Juan&quot;,&quot;parse-names&quot;:false,&quot;dropping-particle&quot;:&quot;&quot;,&quot;non-dropping-particle&quot;:&quot;&quot;},{&quot;family&quot;:&quot;Lu-Chau&quot;,&quot;given&quot;:&quot;Thelmo A.&quot;,&quot;parse-names&quot;:false,&quot;dropping-particle&quot;:&quot;&quot;,&quot;non-dropping-particle&quot;:&quot;&quot;},{&quot;family&quot;:&quot;Eibes&quot;,&quot;given&quot;:&quot;Gemma&quot;,&quot;parse-names&quot;:false,&quot;dropping-particle&quot;:&quot;&quot;,&quot;non-dropping-particle&quot;:&quot;&quot;}],&quot;container-title&quot;:&quot;Waste Management&quot;,&quot;accessed&quot;:{&quot;date-parts&quot;:[[2025,4,18]]},&quot;DOI&quot;:&quot;10.1016/J.WASMAN.2024.05.001&quot;,&quot;ISSN&quot;:&quot;0956-053X&quot;,&quot;PMID&quot;:&quot;38714121&quot;,&quot;issued&quot;:{&quot;date-parts&quot;:[[2024,6,30]]},&quot;page&quot;:&quot;42-52&quot;,&quot;abstract&quot;:&quot;Agriculture and industries related to the agriculture sector generate a large amount of waste each year. These wastes are usually burned or dumped, causing damage to the environment, the economy and society. Due to their composition, they have great potential for obtaining high value-added products in biorefineries. This fact, added to the growing demand for energy and chemicals from fossil resources, is driving the interest of the scientific community in them. Biorefinery processes are hardly profitable when applied individually, so a better alternative is to develop integrated multi-feedstock and multi-product biorefinery schemes using all biomass fractions in a zero-waste approach. However, for industrial scale application, extensive research, scale-up studies, and techno-economic and environmental feasibility analyses are needed. This review compiles information on integrated multi-biorefinery processes from agro-industrial wastes to shed light on the path towards sustainable development and circular bioeconomy.&quot;,&quot;publisher&quot;:&quot;Pergamon&quot;,&quot;volume&quot;:&quot;183&quot;,&quot;container-title-short&quot;:&quot;&quot;},&quot;isTemporary&quot;:false}]},{&quot;citationID&quot;:&quot;MENDELEY_CITATION_766234da-c3fe-4897-9720-d86ea5795c14&quot;,&quot;properties&quot;:{&quot;noteIndex&quot;:0},&quot;isEdited&quot;:false,&quot;manualOverride&quot;:{&quot;isManuallyOverridden&quot;:false,&quot;citeprocText&quot;:&quot;(Semida et al., 2019; Shoudho et al., 2024)&quot;,&quot;manualOverrideText&quot;:&quot;&quot;},&quot;citationTag&quot;:&quot;MENDELEY_CITATION_v3_eyJjaXRhdGlvbklEIjoiTUVOREVMRVlfQ0lUQVRJT05fNzY2MjM0ZGEtYzNmZS00ODk3LTk3MjAtZDg2ZWE1Nzk1YzE0IiwicHJvcGVydGllcyI6eyJub3RlSW5kZXgiOjB9LCJpc0VkaXRlZCI6ZmFsc2UsIm1hbnVhbE92ZXJyaWRlIjp7ImlzTWFudWFsbHlPdmVycmlkZGVuIjpmYWxzZSwiY2l0ZXByb2NUZXh0IjoiKFNlbWlkYSBldCBhbC4sIDIwMTk7IFNob3VkaG8gZXQgYWwuLCAyMDI0KSIsIm1hbnVhbE92ZXJyaWRlVGV4dCI6IiJ9LCJjaXRhdGlvbkl0ZW1zIjpbeyJpZCI6ImIyYTllZWQyLTQ2ZjctM2JlYS1iYjY2LWQ2YWQ1OTIyYzc1OSIsIml0ZW1EYXRhIjp7InR5cGUiOiJhcnRpY2xlLWpvdXJuYWwiLCJpZCI6ImIyYTllZWQyLTQ2ZjctM2JlYS1iYjY2LWQ2YWQ1OTIyYzc1OSIsInRpdGxlIjoiQmlvY2hhciBpbXBsaWNhdGlvbnMgZm9yIHN1c3RhaW5hYmxlIGFncmljdWx0dXJlIGFuZCBlbnZpcm9ubWVudDogQSByZXZpZXciLCJhdXRob3IiOlt7ImZhbWlseSI6IlNlbWlkYSIsImdpdmVuIjoiV2FlbCBNLiIsInBhcnNlLW5hbWVzIjpmYWxzZSwiZHJvcHBpbmctcGFydGljbGUiOiIiLCJub24tZHJvcHBpbmctcGFydGljbGUiOiIifSx7ImZhbWlseSI6IkJlaGVpcnkiLCJnaXZlbiI6IkhhbWFkYSBSLiIsInBhcnNlLW5hbWVzIjpmYWxzZSwiZHJvcHBpbmctcGFydGljbGUiOiIiLCJub24tZHJvcHBpbmctcGFydGljbGUiOiIifSx7ImZhbWlseSI6IlPDqXRhbW91IiwiZ2l2ZW4iOiJNYW1vdWRvdSIsInBhcnNlLW5hbWVzIjpmYWxzZSwiZHJvcHBpbmctcGFydGljbGUiOiIiLCJub24tZHJvcHBpbmctcGFydGljbGUiOiIifSx7ImZhbWlseSI6IlNpbXBzb24iLCJnaXZlbiI6IkNhdGhlcmluZSBSLiIsInBhcnNlLW5hbWVzIjpmYWxzZSwiZHJvcHBpbmctcGFydGljbGUiOiIiLCJub24tZHJvcHBpbmctcGFydGljbGUiOiIifSx7ImZhbWlseSI6IkFiZCBFbC1NYWdlZWQiLCJnaXZlbiI6IlRhaWEgQS4iLCJwYXJzZS1uYW1lcyI6ZmFsc2UsImRyb3BwaW5nLXBhcnRpY2xlIjoiIiwibm9uLWRyb3BwaW5nLXBhcnRpY2xlIjoiIn0seyJmYW1pbHkiOiJSYWR5IiwiZ2l2ZW4iOiJNb3N0YWZhIE0uIiwicGFyc2UtbmFtZXMiOmZhbHNlLCJkcm9wcGluZy1wYXJ0aWNsZSI6IiIsIm5vbi1kcm9wcGluZy1wYXJ0aWNsZSI6IiJ9LHsiZmFtaWx5IjoiTmVsc29uIiwiZ2l2ZW4iOiJTaGFkIEQuIiwicGFyc2UtbmFtZXMiOmZhbHNlLCJkcm9wcGluZy1wYXJ0aWNsZSI6IiIsIm5vbi1kcm9wcGluZy1wYXJ0aWNsZSI6IiJ9XSwiY29udGFpbmVyLXRpdGxlIjoiU291dGggQWZyaWNhbiBKb3VybmFsIG9mIEJvdGFueSIsImFjY2Vzc2VkIjp7ImRhdGUtcGFydHMiOltbMjAyNSw0LDE4XV19LCJET0kiOiIxMC4xMDE2L0ouU0FKQi4yMDE5LjExLjAxNSIsIklTU04iOiIwMjU0LTYyOTkiLCJpc3N1ZWQiOnsiZGF0ZS1wYXJ0cyI6W1syMDE5LDEyLDFdXX0sInBhZ2UiOiIzMzMtMzQ3IiwiYWJzdHJhY3QiOiJTdXN0YWluYWJsZSBhZ3JpY3VsdHVyZSwgY2hhcmFjdGVyaXplZCBieSBmYXJtaW5nIHByb2ZpdGFibHkgd2hpbGUgbWluaW1pemluZyBkYW1hZ2UgdG8gdGhlIGVudmlyb25tZW50LCBpcyBub3QgZWFzeSB0byBwcmFjdGljZS4g4oCcQ29udmVudGlvbmFsIGFncmljdWx0dXJl4oCdIHdvcmxkd2lkZSBpcyBjb21tb25seSBjb25zaWRlcmVkIHRvIGludm9sdmUgbnVtZXJvdXMgcHJhY3RpY2VzIHRoYXQgaGF2ZSBwb3RlbnRpYWwgdG8gZGFtYWdlIHRoZSBlbnZpcm9ubWVudC4g4oCcU3VzdGFpbmFibGUgYWdyaWN1bHR1cmXigJ0gYXR0ZW1wdHMgdG8gZmluZCBhIHJhbmdlIG9mIGNvbnNlcnZhdGlvbiBhZ3JpY3VsdHVyYWwgcHJhY3RpY2VzIHdoaWNoIG1heSBtaXRpZ2F0ZSBzb21lIG9mIHRoZSBhZHZlcnNlIGltcGFjdHMgb2YgbGFuZCB1c2UgaW50ZW5zaWZpY2F0aW9uLiBBbW9uZyB0aGUgd2lkZSByYW5nZSBvZiB0aGUgY29uc2VydmF0aW9uIGFncmljdWx0dXJhbCBwcmFjdGljZXMsIGJpb2NoYXIgbWF5IHByb3ZlIGEga2V5IGFuZCBhY2Nlc3NpYmxlIGlucHV0IGZvciBzdXN0YWluYWJsZSBhZ3JpY3VsdHVyZSwgYXMgaXQgY291bGQgZWZmaWNpZW50bHkgc2VxdWVzdGVyIGxhcmdlIGFtb3VudCBvZiBjYXJib24gaW4gc29pbCBvdmVyIHRoZSBsb25nLXJ1biwgdGh1cyBpbXByb3Zpbmcgc29pbCBmZXJ0aWxpdHksIGNyb3AgcHJvZHVjdGl2aXR5LCBhbmQgbWl0aWdhdGUgZ2xvYmFsIHdhcm1pbmcuIEluIGFkZGl0aW9uLCBiaW9jaGFyIG1heSBlbmhhbmNlIGNyb3AgcHJvZHVjdGl2ZSBjYXBhY2l0eSBvZiBzb2lscyB1bmRlciBkaWZmZXJlbnQgYmlvdGljIGFuZCBhYmlvdGljIHN0cmVzc2VzLCBhbmQgYWR2YW5jZSBnbG9iYWwgZm9vZCBzZWN1cml0eS4gVGhlIG1haW4gZm9jdXMgb2YgdGhpcyByZXBvcnQgaXMgcHJvdmlkaW5nIGEgY3JpdGljYWwgc2NpZW50aWZpYyByZXZpZXcgb2YgdGhlIGN1cnJlbnQgc3RhdGUgb2Yga25vd2xlZGdlIHJlZ2FyZGluZyB0aGUgZWZmZWN0cyBvZiBiaW9jaGFyIGFwcGxpY2F0aW9uIHRvIHNvaWxzIG9uIHNvaWwgcHJvcGVydGllcywgcHJvY2Vzc2VzIGFuZCBmdW5jdGlvbnMuIFdpZGVyIGlzc3VlcywgaW5jbHVkaW5nIGF0bW9zcGhlcmljIGVtaXNzaW9ucyBhbmQgb2NjdXBhdGlvbmFsIGhlYWx0aCBhbmQgc2FmZXR5IGFzc29jaWF0ZWQgdG8gYmlvY2hhciBwcm9kdWN0aW9uIGFuZCBoYW5kbGluZywgYXJlIHB1dCBpbnRvIGNvbnRleHQuIFRoZSBhaW0gb2YgdGhpcyByZXZpZXcgaXMgdG8gcHJvdmlkZSBhIHNvdW5kIHNjaWVudGlmaWMgYmFzaXMgZm9yIHBvbGljeSBkZXZlbG9wbWVudCwgdG8gaWRlbnRpZnkgZ2FwcyBpbiBjdXJyZW50IGtub3dsZWRnZSwgYW5kIHRvIHJlY29tbWVuZCBmdXJ0aGVyIHJlc2VhcmNoIHJlbGF0aW5nIHRvIGJpb2NoYXIgYXBwbGljYXRpb24gdG8gc29pbHMuIiwicHVibGlzaGVyIjoiRWxzZXZpZXIiLCJ2b2x1bWUiOiIxMjciLCJjb250YWluZXItdGl0bGUtc2hvcnQiOiIifSwiaXNUZW1wb3JhcnkiOmZhbHNlfSx7ImlkIjoiMGNkM2M4NWEtMDVkYy0zZmVkLTkyNjgtYzk1MzU1OTk3YWM2IiwiaXRlbURhdGEiOnsidHlwZSI6ImFydGljbGUtam91cm5hbCIsImlkIjoiMGNkM2M4NWEtMDVkYy0zZmVkLTkyNjgtYzk1MzU1OTk3YWM2IiwidGl0bGUiOiJCaW9jaGFyIGluIGdsb2JhbCBjYXJib24gY3ljbGU6IFRvd2FyZHMgc3VzdGFpbmFibGUgZGV2ZWxvcG1lbnQgZ29hbHMiLCJhdXRob3IiOlt7ImZhbWlseSI6IlNob3VkaG8iLCJnaXZlbiI6Iktpc2hhbiBOYW5kaSIsInBhcnNlLW5hbWVzIjpmYWxzZSwiZHJvcHBpbmctcGFydGljbGUiOiIiLCJub24tZHJvcHBpbmctcGFydGljbGUiOiIifSx7ImZhbWlseSI6IktoYW4iLCJnaXZlbiI6IlRhdXNpZiBIYXNhbiIsInBhcnNlLW5hbWVzIjpmYWxzZSwiZHJvcHBpbmctcGFydGljbGUiOiIiLCJub24tZHJvcHBpbmctcGFydGljbGUiOiIifSx7ImZhbWlseSI6IkFyYSIsImdpdmVuIjoiVW1tYXkgUmlmYXQiLCJwYXJzZS1uYW1lcyI6ZmFsc2UsImRyb3BwaW5nLXBhcnRpY2xlIjoiIiwibm9uLWRyb3BwaW5nLXBhcnRpY2xlIjoiIn0seyJmYW1pbHkiOiJLaGFuIiwiZ2l2ZW4iOiJNb3NoaXVyIFJhaG1hbiIsInBhcnNlLW5hbWVzIjpmYWxzZSwiZHJvcHBpbmctcGFydGljbGUiOiIiLCJub24tZHJvcHBpbmctcGFydGljbGUiOiIifSx7ImZhbWlseSI6IlNoYXdvbiIsImdpdmVuIjoiWmF5ZWQgQmluIFpha2lyIiwicGFyc2UtbmFtZXMiOmZhbHNlLCJkcm9wcGluZy1wYXJ0aWNsZSI6IiIsIm5vbi1kcm9wcGluZy1wYXJ0aWNsZSI6IiJ9LHsiZmFtaWx5IjoiSG9xdWUiLCJnaXZlbiI6Ik1kIEVuYW11bCIsInBhcnNlLW5hbWVzIjpmYWxzZSwiZHJvcHBpbmctcGFydGljbGUiOiIiLCJub24tZHJvcHBpbmctcGFydGljbGUiOiIifV0sImNvbnRhaW5lci10aXRsZSI6IkN1cnJlbnQgUmVzZWFyY2ggaW4gR3JlZW4gYW5kIFN1c3RhaW5hYmxlIENoZW1pc3RyeSIsImFjY2Vzc2VkIjp7ImRhdGUtcGFydHMiOltbMjAyNSw0LDE4XV19LCJET0kiOiIxMC4xMDE2L0ouQ1JHU0MuMjAyNC4xMDA0MDkiLCJJU1NOIjoiMjY2Ni0wODY1IiwiaXNzdWVkIjp7ImRhdGUtcGFydHMiOltbMjAyNCwxLDFdXX0sInBhZ2UiOiIxMDA0MDkiLCJhYnN0cmFjdCI6IlRoZSB3b3JsZCBpcyBjdXJyZW50bHkgZmFjaW5nIHNpZ25pZmljYW50IGNoYWxsZW5nZXMgaW4gcmVkdWNpbmcgdGhlIGNvbmNlbnRyYXRpb24gb2YgYXRtb3NwaGVyaWMgY2FyYm9uIGRpb3hpZGUgKENPMikgdGhyb3VnaCBzY2llbnRpZmljIG1ldGhvZHMsIHByaW1hcmlseSBieSBzZXF1ZXN0ZXJpbmcgdGhlIENPMiBpbiB0aGUgc29pbC4gQmlvY2hhciBpcyBhIGtpbmQgb2YgY2hhcmNvYWwgdGhhdCBpcyBwcmltYXJpbHkgY29tcG9zZWQgb2YgY2FyYm9uLCBoeWRyb2dlbiwgYW5kIG94eWdlbi4gRHVlIHRvIGl0cyBhcm9tYXRpYyBjb250ZW50LCBiaW9jaGFyIGNhbiBwZXJzaXN0IGluIHRoZSBlbnZpcm9ubWVudCBmb3IgYW4gZXh0ZW5kZWQgcGVyaW9kIGFuZCBhYnNvcmIgZ3JlZW5ob3VzZSBnYXNlcyAoR0hHKS4gRWFjaCB5ZWFyLCBiaW9jaGFyIGVmZmVjdGl2ZWx5IGNhcHR1cmVzIGFuIGVzdGltYXRlZCBhbW91bnQgb2YgQ08yIHJhbmdpbmcgZnJvbSAxIHRvIDM1IGdpZ2F0b25zIChHdENPMikgYW5kIDc4IHRvIDQ3NyBHdENPMiBvdmVyIHRoaXMgY2VudHVyeS4gQmlvY2hhciBoZWxwcyBtaXRpZ2F0ZSBjbGltYXRlIGNoYW5nZSBieSBzZXF1ZXN0ZXJpbmcgY2FyYm9uIGluIHRoZSBzb2lsIGZvciBleHRlbmRlZCBwZXJpb2RzIGFuZCBjb25zZXF1ZW50bHkgcmVkdWNpbmcgR0hHIGVtaXNzaW9ucy4gVGhpcyBlbmhhbmNlcyBzb2lsIGZlcnRpbGl0eSwgd2F0ZXIgcmV0ZW50aW9uIGNhcGFjaXR5LCBhbmQgbnV0cmllbnQgY2lyY3VsYXRpb24sIHdoaWNoIHByb21vdGUgaGlnaGVyIGNyb3AgeWllbGRzLiBCaW9jaGFyJ3MgYnktcHJvZHVjdHMgb2YgYmlvY2hhciBjYW4gYmUgaGFydmVzdGVkIGFuZCB1c2VkIGFzIGEgcmVuZXdhYmxlIGVuZXJneSBzb3VyY2UuIEJlc2lkZXMsIGJpb2NoYXIgaW50ZWdyYXRpb24gY2FuIGJlIGVmZmVjdGl2ZSBpbiB3YXN0ZSBtYW5hZ2VtZW50IHN0cmF0ZWdpZXMgdGhhdCBtaXRpZ2F0ZSB0aGUgY2hhbGxlbmdlcyBvZiBvcmdhbmljIHdhc3RlIGRpc3Bvc2FsLiBCaW9jaGFyIGlzIGFsc28gYW4gZWZmaWNpZW50IHdhdGVyIHB1cmlmaWNhdGlvbiBlbGVtZW50IHRoYXQgZmF2b3JzIGNsaW1hdGUgYWN0aW9uLiBUaHJvdWdoIHRoZSBhcHBsaWNhdGlvbiBvZiBiaW9jaGFyIGFsdGVyYXRpb24gY2FuIGJlIGVtcGxveWVkIHRvIGVzdGFibGlzaCBjYXJib24gY3JlZGl0cywgYW5kIGl0cyBtZXRob2RzIGNhbiBlZmZlY3RpdmVseSByZWR1Y2UgY2FyYm9uIGVtaXNzaW9ucyB0byBhbiBhY2NlcHRhYmxlIGxldmVsLiBCaW9jaGFyJ3MgdW5pcXVlIHByb3BlcnRpZXMsIHdpZGUtc3ByZWFkIGFwcGxpY2FiaWxpdHksIGNvc3QtZWZmZWN0aXZlbmVzcywgYW5kIHRydXN0d29ydGh5IGRldmVsb3BtZW50IHByb3NwZWN0cyBkZW1vbnN0cmF0ZSBncmVhdCBwb3RlbnRpYWwgdG93YXJkcyB0aGUgU3VzdGFpbmFibGUgRGV2ZWxvcG1lbnQgR29hbHMgKFNERykuIFRoaXMgcmV2aWV3IGRpc2N1c3NlcyB0aGUgcHJvcGVydGllcywgZGl2ZXJzZSBhcHBsaWNhdGlvbnMsIGFuZCBzb2NpYWwgYW5kIHRlY2huaWNhbCBpbXBhY3RzIG9mIGJpb2NoYXIgaW4gdGhlIGdsb2JhbCBjYXJib24gY3ljbGUgdG93YXJkcyBzdXN0YWluYWJsZSBkZXZlbG9wbWVudCBnb2Fscy4iLCJwdWJsaXNoZXIiOiJFbHNldmllciIsInZvbHVtZSI6IjgiLCJjb250YWluZXItdGl0bGUtc2hvcnQiOiIifSwiaXNUZW1wb3JhcnkiOmZhbHNlfV19&quot;,&quot;citationItems&quot;:[{&quot;id&quot;:&quot;b2a9eed2-46f7-3bea-bb66-d6ad5922c759&quot;,&quot;itemData&quot;:{&quot;type&quot;:&quot;article-journal&quot;,&quot;id&quot;:&quot;b2a9eed2-46f7-3bea-bb66-d6ad5922c759&quot;,&quot;title&quot;:&quot;Biochar implications for sustainable agriculture and environment: A review&quot;,&quot;author&quot;:[{&quot;family&quot;:&quot;Semida&quot;,&quot;given&quot;:&quot;Wael M.&quot;,&quot;parse-names&quot;:false,&quot;dropping-particle&quot;:&quot;&quot;,&quot;non-dropping-particle&quot;:&quot;&quot;},{&quot;family&quot;:&quot;Beheiry&quot;,&quot;given&quot;:&quot;Hamada R.&quot;,&quot;parse-names&quot;:false,&quot;dropping-particle&quot;:&quot;&quot;,&quot;non-dropping-particle&quot;:&quot;&quot;},{&quot;family&quot;:&quot;Sétamou&quot;,&quot;given&quot;:&quot;Mamoudou&quot;,&quot;parse-names&quot;:false,&quot;dropping-particle&quot;:&quot;&quot;,&quot;non-dropping-particle&quot;:&quot;&quot;},{&quot;family&quot;:&quot;Simpson&quot;,&quot;given&quot;:&quot;Catherine R.&quot;,&quot;parse-names&quot;:false,&quot;dropping-particle&quot;:&quot;&quot;,&quot;non-dropping-particle&quot;:&quot;&quot;},{&quot;family&quot;:&quot;Abd El-Mageed&quot;,&quot;given&quot;:&quot;Taia A.&quot;,&quot;parse-names&quot;:false,&quot;dropping-particle&quot;:&quot;&quot;,&quot;non-dropping-particle&quot;:&quot;&quot;},{&quot;family&quot;:&quot;Rady&quot;,&quot;given&quot;:&quot;Mostafa M.&quot;,&quot;parse-names&quot;:false,&quot;dropping-particle&quot;:&quot;&quot;,&quot;non-dropping-particle&quot;:&quot;&quot;},{&quot;family&quot;:&quot;Nelson&quot;,&quot;given&quot;:&quot;Shad D.&quot;,&quot;parse-names&quot;:false,&quot;dropping-particle&quot;:&quot;&quot;,&quot;non-dropping-particle&quot;:&quot;&quot;}],&quot;container-title&quot;:&quot;South African Journal of Botany&quot;,&quot;accessed&quot;:{&quot;date-parts&quot;:[[2025,4,18]]},&quot;DOI&quot;:&quot;10.1016/J.SAJB.2019.11.015&quot;,&quot;ISSN&quot;:&quot;0254-6299&quot;,&quot;issued&quot;:{&quot;date-parts&quot;:[[2019,12,1]]},&quot;page&quot;:&quot;333-347&quot;,&quot;abstract&quot;:&quot;Sustainable agriculture, characterized by farming profitably while minimizing damage to the environment, is not easy to practice. “Conventional agriculture” worldwide is commonly considered to involve numerous practices that have potential to damage the environment. “Sustainable agriculture” attempts to find a range of conservation agricultural practices which may mitigate some of the adverse impacts of land use intensification. Among the wide range of the conservation agricultural practices, biochar may prove a key and accessible input for sustainable agriculture, as it could efficiently sequester large amount of carbon in soil over the long-run, thus improving soil fertility, crop productivity, and mitigate global warming. In addition, biochar may enhance crop productive capacity of soils under different biotic and abiotic stresses, and advance global food security. The main focus of this report is providing a critical scientific review of the current state of knowledge regarding the effects of biochar application to soils on soil properties, processes and functions. Wider issues, including atmospheric emissions and occupational health and safety associated to biochar production and handling, are put into context. The aim of this review is to provide a sound scientific basis for policy development, to identify gaps in current knowledge, and to recommend further research relating to biochar application to soils.&quot;,&quot;publisher&quot;:&quot;Elsevier&quot;,&quot;volume&quot;:&quot;127&quot;,&quot;container-title-short&quot;:&quot;&quot;},&quot;isTemporary&quot;:false},{&quot;id&quot;:&quot;0cd3c85a-05dc-3fed-9268-c95355997ac6&quot;,&quot;itemData&quot;:{&quot;type&quot;:&quot;article-journal&quot;,&quot;id&quot;:&quot;0cd3c85a-05dc-3fed-9268-c95355997ac6&quot;,&quot;title&quot;:&quot;Biochar in global carbon cycle: Towards sustainable development goals&quot;,&quot;author&quot;:[{&quot;family&quot;:&quot;Shoudho&quot;,&quot;given&quot;:&quot;Kishan Nandi&quot;,&quot;parse-names&quot;:false,&quot;dropping-particle&quot;:&quot;&quot;,&quot;non-dropping-particle&quot;:&quot;&quot;},{&quot;family&quot;:&quot;Khan&quot;,&quot;given&quot;:&quot;Tausif Hasan&quot;,&quot;parse-names&quot;:false,&quot;dropping-particle&quot;:&quot;&quot;,&quot;non-dropping-particle&quot;:&quot;&quot;},{&quot;family&quot;:&quot;Ara&quot;,&quot;given&quot;:&quot;Ummay Rifat&quot;,&quot;parse-names&quot;:false,&quot;dropping-particle&quot;:&quot;&quot;,&quot;non-dropping-particle&quot;:&quot;&quot;},{&quot;family&quot;:&quot;Khan&quot;,&quot;given&quot;:&quot;Moshiur Rahman&quot;,&quot;parse-names&quot;:false,&quot;dropping-particle&quot;:&quot;&quot;,&quot;non-dropping-particle&quot;:&quot;&quot;},{&quot;family&quot;:&quot;Shawon&quot;,&quot;given&quot;:&quot;Zayed Bin Zakir&quot;,&quot;parse-names&quot;:false,&quot;dropping-particle&quot;:&quot;&quot;,&quot;non-dropping-particle&quot;:&quot;&quot;},{&quot;family&quot;:&quot;Hoque&quot;,&quot;given&quot;:&quot;Md Enamul&quot;,&quot;parse-names&quot;:false,&quot;dropping-particle&quot;:&quot;&quot;,&quot;non-dropping-particle&quot;:&quot;&quot;}],&quot;container-title&quot;:&quot;Current Research in Green and Sustainable Chemistry&quot;,&quot;accessed&quot;:{&quot;date-parts&quot;:[[2025,4,18]]},&quot;DOI&quot;:&quot;10.1016/J.CRGSC.2024.100409&quot;,&quot;ISSN&quot;:&quot;2666-0865&quot;,&quot;issued&quot;:{&quot;date-parts&quot;:[[2024,1,1]]},&quot;page&quot;:&quot;100409&quot;,&quot;abstract&quot;:&quot;The world is currently facing significant challenges in reducing the concentration of atmospheric carbon dioxide (CO2) through scientific methods, primarily by sequestering the CO2 in the soil. Biochar is a kind of charcoal that is primarily composed of carbon, hydrogen, and oxygen. Due to its aromatic content, biochar can persist in the environment for an extended period and absorb greenhouse gases (GHG). Each year, biochar effectively captures an estimated amount of CO2 ranging from 1 to 35 gigatons (GtCO2) and 78 to 477 GtCO2 over this century. Biochar helps mitigate climate change by sequestering carbon in the soil for extended periods and consequently reducing GHG emissions. This enhances soil fertility, water retention capacity, and nutrient circulation, which promote higher crop yields. Biochar's by-products of biochar can be harvested and used as a renewable energy source. Besides, biochar integration can be effective in waste management strategies that mitigate the challenges of organic waste disposal. Biochar is also an efficient water purification element that favors climate action. Through the application of biochar alteration can be employed to establish carbon credits, and its methods can effectively reduce carbon emissions to an acceptable level. Biochar's unique properties, wide-spread applicability, cost-effectiveness, and trustworthy development prospects demonstrate great potential towards the Sustainable Development Goals (SDG). This review discusses the properties, diverse applications, and social and technical impacts of biochar in the global carbon cycle towards sustainable development goals.&quot;,&quot;publisher&quot;:&quot;Elsevier&quot;,&quot;volume&quot;:&quot;8&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1453</TotalTime>
  <Pages>13</Pages>
  <Words>6948</Words>
  <Characters>39609</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RAJNEESH KUMAR</dc:creator>
  <cp:keywords/>
  <dc:description/>
  <cp:lastModifiedBy>SDI 1137</cp:lastModifiedBy>
  <cp:revision>23</cp:revision>
  <cp:lastPrinted>2025-04-16T12:58:00Z</cp:lastPrinted>
  <dcterms:created xsi:type="dcterms:W3CDTF">2025-04-17T10:09:00Z</dcterms:created>
  <dcterms:modified xsi:type="dcterms:W3CDTF">2025-05-01T06:08:00Z</dcterms:modified>
</cp:coreProperties>
</file>