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097" w:rsidRPr="006F4A33" w:rsidRDefault="00653097" w:rsidP="009B5D7C">
      <w:pPr>
        <w:spacing w:line="360" w:lineRule="auto"/>
        <w:jc w:val="center"/>
        <w:rPr>
          <w:rFonts w:ascii="Times New Roman" w:hAnsi="Times New Roman" w:cs="Times New Roman"/>
          <w:b/>
          <w:bCs/>
          <w:sz w:val="28"/>
          <w:szCs w:val="24"/>
        </w:rPr>
      </w:pPr>
      <w:r w:rsidRPr="006F4A33">
        <w:rPr>
          <w:rFonts w:ascii="Times New Roman" w:hAnsi="Times New Roman" w:cs="Times New Roman"/>
          <w:b/>
          <w:bCs/>
          <w:sz w:val="28"/>
          <w:szCs w:val="24"/>
        </w:rPr>
        <w:t>Effect of Bio-fertilizers on Yield and Quality Attributes of Broccoli (</w:t>
      </w:r>
      <w:r w:rsidRPr="006F4A33">
        <w:rPr>
          <w:rFonts w:ascii="Times New Roman" w:hAnsi="Times New Roman" w:cs="Times New Roman"/>
          <w:b/>
          <w:bCs/>
          <w:i/>
          <w:iCs/>
          <w:sz w:val="28"/>
          <w:szCs w:val="24"/>
        </w:rPr>
        <w:t>Brassica oleracea</w:t>
      </w:r>
      <w:r w:rsidRPr="006F4A33">
        <w:rPr>
          <w:rFonts w:ascii="Times New Roman" w:hAnsi="Times New Roman" w:cs="Times New Roman"/>
          <w:b/>
          <w:bCs/>
          <w:sz w:val="28"/>
          <w:szCs w:val="24"/>
        </w:rPr>
        <w:t xml:space="preserve"> var. </w:t>
      </w:r>
      <w:proofErr w:type="spellStart"/>
      <w:r w:rsidRPr="006F4A33">
        <w:rPr>
          <w:rFonts w:ascii="Times New Roman" w:hAnsi="Times New Roman" w:cs="Times New Roman"/>
          <w:b/>
          <w:bCs/>
          <w:i/>
          <w:iCs/>
          <w:sz w:val="28"/>
          <w:szCs w:val="24"/>
        </w:rPr>
        <w:t>italica</w:t>
      </w:r>
      <w:proofErr w:type="spellEnd"/>
      <w:r w:rsidRPr="006F4A33">
        <w:rPr>
          <w:rFonts w:ascii="Times New Roman" w:hAnsi="Times New Roman" w:cs="Times New Roman"/>
          <w:b/>
          <w:bCs/>
          <w:sz w:val="28"/>
          <w:szCs w:val="24"/>
        </w:rPr>
        <w:t xml:space="preserve"> L.)</w:t>
      </w:r>
    </w:p>
    <w:p w:rsidR="00653097" w:rsidRPr="009B5D7C" w:rsidRDefault="00653097" w:rsidP="009B5D7C">
      <w:pPr>
        <w:spacing w:after="0" w:line="360" w:lineRule="auto"/>
        <w:jc w:val="center"/>
        <w:rPr>
          <w:rFonts w:ascii="Times New Roman" w:eastAsiaTheme="minorHAnsi" w:hAnsi="Times New Roman" w:cs="Times New Roman"/>
          <w:sz w:val="24"/>
          <w:szCs w:val="24"/>
          <w:lang w:bidi="ar-SA"/>
        </w:rPr>
      </w:pPr>
      <w:bookmarkStart w:id="0" w:name="_GoBack"/>
      <w:bookmarkEnd w:id="0"/>
    </w:p>
    <w:p w:rsidR="00653097" w:rsidRPr="009B5D7C" w:rsidRDefault="002C4FE6" w:rsidP="009B5D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653097" w:rsidRP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Aims: </w:t>
      </w:r>
      <w:r w:rsidRPr="009B5D7C">
        <w:rPr>
          <w:rFonts w:ascii="Times New Roman" w:hAnsi="Times New Roman" w:cs="Times New Roman"/>
          <w:sz w:val="24"/>
          <w:szCs w:val="24"/>
        </w:rPr>
        <w:t>The study aims to ev</w:t>
      </w:r>
      <w:r w:rsidR="00A12DC5" w:rsidRPr="009B5D7C">
        <w:rPr>
          <w:rFonts w:ascii="Times New Roman" w:hAnsi="Times New Roman" w:cs="Times New Roman"/>
          <w:sz w:val="24"/>
          <w:szCs w:val="24"/>
        </w:rPr>
        <w:t>aluate the effectiveness of bio</w:t>
      </w:r>
      <w:r w:rsidRPr="009B5D7C">
        <w:rPr>
          <w:rFonts w:ascii="Times New Roman" w:hAnsi="Times New Roman" w:cs="Times New Roman"/>
          <w:sz w:val="24"/>
          <w:szCs w:val="24"/>
        </w:rPr>
        <w:t>fertilizers on yield and quality attributes of Broccoli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proofErr w:type="spellStart"/>
      <w:r w:rsidRPr="009B5D7C">
        <w:rPr>
          <w:rFonts w:ascii="Times New Roman" w:hAnsi="Times New Roman" w:cs="Times New Roman"/>
          <w:i/>
          <w:iCs/>
          <w:sz w:val="24"/>
          <w:szCs w:val="24"/>
        </w:rPr>
        <w:t>italica</w:t>
      </w:r>
      <w:proofErr w:type="spellEnd"/>
      <w:r w:rsidRPr="009B5D7C">
        <w:rPr>
          <w:rFonts w:ascii="Times New Roman" w:hAnsi="Times New Roman" w:cs="Times New Roman"/>
          <w:sz w:val="24"/>
          <w:szCs w:val="24"/>
        </w:rPr>
        <w:t xml:space="preserve"> L.).</w:t>
      </w:r>
    </w:p>
    <w:p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Background: </w:t>
      </w:r>
      <w:r w:rsidRPr="009B5D7C">
        <w:rPr>
          <w:rFonts w:ascii="Times New Roman" w:hAnsi="Times New Roman" w:cs="Times New Roman"/>
          <w:sz w:val="24"/>
          <w:szCs w:val="24"/>
        </w:rPr>
        <w:t>The excessive and prolonged use of chemical fertilizers in broccoli cultivation has led to several negative consequences, including soil degradation, nutrient imbalance, reduced microbial diversity, and environmental pollution. These adverse effects ultimately hinder the sustainable enhancement of yield and</w:t>
      </w:r>
      <w:r w:rsidR="00A12DC5" w:rsidRPr="009B5D7C">
        <w:rPr>
          <w:rFonts w:ascii="Times New Roman" w:hAnsi="Times New Roman" w:cs="Times New Roman"/>
          <w:sz w:val="24"/>
          <w:szCs w:val="24"/>
        </w:rPr>
        <w:t xml:space="preserve"> crop quality. In contrast, bio</w:t>
      </w:r>
      <w:r w:rsidRPr="009B5D7C">
        <w:rPr>
          <w:rFonts w:ascii="Times New Roman" w:hAnsi="Times New Roman" w:cs="Times New Roman"/>
          <w:sz w:val="24"/>
          <w:szCs w:val="24"/>
        </w:rPr>
        <w:t>fertilizers offer an eco-friendly and efficient alternative, promoting soil health and enhancing plant growth through natural processes. By improving nutrient availability, stimulating root development, and supporting ben</w:t>
      </w:r>
      <w:r w:rsidR="00A12DC5" w:rsidRPr="009B5D7C">
        <w:rPr>
          <w:rFonts w:ascii="Times New Roman" w:hAnsi="Times New Roman" w:cs="Times New Roman"/>
          <w:sz w:val="24"/>
          <w:szCs w:val="24"/>
        </w:rPr>
        <w:t>eficial microbial activity, bio</w:t>
      </w:r>
      <w:r w:rsidRPr="009B5D7C">
        <w:rPr>
          <w:rFonts w:ascii="Times New Roman" w:hAnsi="Times New Roman" w:cs="Times New Roman"/>
          <w:sz w:val="24"/>
          <w:szCs w:val="24"/>
        </w:rPr>
        <w:t>fertilizers play a crucial role in boosting both yield and the quality of broccoli heads. Their use not only reduces dependency on harmful synthetic inputs but also contributes to long-term agricultural sustainability and food safety.</w:t>
      </w:r>
    </w:p>
    <w:p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Methodology: </w:t>
      </w:r>
      <w:r w:rsidRPr="009B5D7C">
        <w:rPr>
          <w:rFonts w:ascii="Times New Roman" w:hAnsi="Times New Roman" w:cs="Times New Roman"/>
          <w:sz w:val="24"/>
          <w:szCs w:val="24"/>
        </w:rPr>
        <w:t>This study was conducted during 2022–2023 at the Horticulture Research Farm-1, Department of Horticulture, Babasaheb Bhimrao Ambedkar Uni</w:t>
      </w:r>
      <w:r w:rsidR="009F74AA">
        <w:rPr>
          <w:rFonts w:ascii="Times New Roman" w:hAnsi="Times New Roman" w:cs="Times New Roman"/>
          <w:sz w:val="24"/>
          <w:szCs w:val="24"/>
        </w:rPr>
        <w:t xml:space="preserve">versity, Lucknow (U.P.), India. </w:t>
      </w:r>
      <w:r w:rsidRPr="009B5D7C">
        <w:rPr>
          <w:rFonts w:ascii="Times New Roman" w:hAnsi="Times New Roman" w:cs="Times New Roman"/>
          <w:sz w:val="24"/>
          <w:szCs w:val="24"/>
        </w:rPr>
        <w:t>The experiment included twelve treatments (T0–T11) to evaluate the impact of various biofertilizer combinations on broccoli yield and quality. T0 was the control (no fertilizer), while T1 received 100% RDF</w:t>
      </w:r>
      <w:r w:rsidR="000A6542">
        <w:rPr>
          <w:rFonts w:ascii="Times New Roman" w:hAnsi="Times New Roman" w:cs="Times New Roman"/>
          <w:sz w:val="24"/>
          <w:szCs w:val="24"/>
        </w:rPr>
        <w:t xml:space="preserve"> (Recommended dose of fertilizers)</w:t>
      </w:r>
      <w:r w:rsidRPr="009B5D7C">
        <w:rPr>
          <w:rFonts w:ascii="Times New Roman" w:hAnsi="Times New Roman" w:cs="Times New Roman"/>
          <w:sz w:val="24"/>
          <w:szCs w:val="24"/>
        </w:rPr>
        <w:t>. Treatments T2 to T4 involved sole applications of</w:t>
      </w:r>
      <w:r w:rsidR="000A6542">
        <w:rPr>
          <w:rFonts w:ascii="Times New Roman" w:hAnsi="Times New Roman" w:cs="Times New Roman"/>
          <w:sz w:val="24"/>
          <w:szCs w:val="24"/>
        </w:rPr>
        <w:t xml:space="preserve"> </w:t>
      </w:r>
      <w:proofErr w:type="spellStart"/>
      <w:r w:rsidR="000A6542">
        <w:rPr>
          <w:rFonts w:ascii="Times New Roman" w:hAnsi="Times New Roman" w:cs="Times New Roman"/>
          <w:sz w:val="24"/>
          <w:szCs w:val="24"/>
        </w:rPr>
        <w:t>Azotobacter</w:t>
      </w:r>
      <w:proofErr w:type="spellEnd"/>
      <w:r w:rsidR="000A6542">
        <w:rPr>
          <w:rFonts w:ascii="Times New Roman" w:hAnsi="Times New Roman" w:cs="Times New Roman"/>
          <w:sz w:val="24"/>
          <w:szCs w:val="24"/>
        </w:rPr>
        <w:t xml:space="preserve">, </w:t>
      </w:r>
      <w:proofErr w:type="spellStart"/>
      <w:r w:rsidR="000A6542">
        <w:rPr>
          <w:rFonts w:ascii="Times New Roman" w:hAnsi="Times New Roman" w:cs="Times New Roman"/>
          <w:sz w:val="24"/>
          <w:szCs w:val="24"/>
        </w:rPr>
        <w:t>Azospirillum</w:t>
      </w:r>
      <w:proofErr w:type="spellEnd"/>
      <w:r w:rsidR="000A6542">
        <w:rPr>
          <w:rFonts w:ascii="Times New Roman" w:hAnsi="Times New Roman" w:cs="Times New Roman"/>
          <w:sz w:val="24"/>
          <w:szCs w:val="24"/>
        </w:rPr>
        <w:t xml:space="preserve"> </w:t>
      </w:r>
      <w:r w:rsidRPr="009B5D7C">
        <w:rPr>
          <w:rFonts w:ascii="Times New Roman" w:hAnsi="Times New Roman" w:cs="Times New Roman"/>
          <w:sz w:val="24"/>
          <w:szCs w:val="24"/>
        </w:rPr>
        <w:t>and VAM</w:t>
      </w:r>
      <w:r w:rsidR="000A6542">
        <w:rPr>
          <w:rFonts w:ascii="Times New Roman" w:hAnsi="Times New Roman" w:cs="Times New Roman"/>
          <w:sz w:val="24"/>
          <w:szCs w:val="24"/>
        </w:rPr>
        <w:t xml:space="preserve"> (Vesicular arbuscular mycorrhiza)</w:t>
      </w:r>
      <w:r w:rsidRPr="009B5D7C">
        <w:rPr>
          <w:rFonts w:ascii="Times New Roman" w:hAnsi="Times New Roman" w:cs="Times New Roman"/>
          <w:sz w:val="24"/>
          <w:szCs w:val="24"/>
        </w:rPr>
        <w:t xml:space="preserve">, respectively. T5 to T7 combined RDF with each biofertilizer (50% each), and T8 to T10 tested biofertilizer pairings (50% each). T11 integrated RDF,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and VAM at 25% each to assess synergistic effects.</w:t>
      </w:r>
    </w:p>
    <w:p w:rsid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t xml:space="preserve">Findings: </w:t>
      </w:r>
      <w:r w:rsidRPr="009B5D7C">
        <w:rPr>
          <w:rFonts w:ascii="Times New Roman" w:hAnsi="Times New Roman" w:cs="Times New Roman"/>
          <w:sz w:val="24"/>
          <w:szCs w:val="24"/>
        </w:rPr>
        <w:t xml:space="preserve">The treatment T7 (RDF + VAM at 50% each) recorded the highest performance across all yield and quality parameters of broccoli, including maximum curd weight (558.64 g), curd diameter (168.22 mm), curd volume (1196.36 cc), total yield (359.98 q/ha), and vitamin-C content (92.54 mg/100g). It also showed the highest dry matter content (31.16%) and titratable acidity (0.87%). T6 (RDF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at 50% each) was the next best treatment, showing significant improvements in yield and quality traits compared to other combinations.</w:t>
      </w:r>
    </w:p>
    <w:p w:rsidR="00653097" w:rsidRPr="009B5D7C" w:rsidRDefault="00653097" w:rsidP="009B5D7C">
      <w:pPr>
        <w:spacing w:after="0" w:line="360" w:lineRule="auto"/>
        <w:jc w:val="both"/>
        <w:rPr>
          <w:rFonts w:ascii="Times New Roman" w:hAnsi="Times New Roman" w:cs="Times New Roman"/>
          <w:sz w:val="24"/>
          <w:szCs w:val="24"/>
        </w:rPr>
      </w:pPr>
      <w:r w:rsidRPr="009B5D7C">
        <w:rPr>
          <w:rFonts w:ascii="Times New Roman" w:hAnsi="Times New Roman" w:cs="Times New Roman"/>
          <w:b/>
          <w:bCs/>
          <w:sz w:val="24"/>
          <w:szCs w:val="24"/>
        </w:rPr>
        <w:lastRenderedPageBreak/>
        <w:t>Conclusion and Recommendation:</w:t>
      </w:r>
      <w:r w:rsidRPr="009B5D7C">
        <w:rPr>
          <w:rFonts w:ascii="Times New Roman" w:hAnsi="Times New Roman" w:cs="Times New Roman"/>
          <w:sz w:val="24"/>
          <w:szCs w:val="24"/>
        </w:rPr>
        <w:t xml:space="preserve"> </w:t>
      </w:r>
      <w:r w:rsidRPr="009B5D7C">
        <w:rPr>
          <w:rFonts w:ascii="Times New Roman" w:eastAsia="Times New Roman" w:hAnsi="Times New Roman" w:cs="Times New Roman"/>
          <w:sz w:val="24"/>
          <w:szCs w:val="24"/>
        </w:rPr>
        <w:t xml:space="preserve">The study concluded that the combination of RDF and VAM at 50% each (T7) was most effective in enhancing broccoli yield and quality, followed by RDF + </w:t>
      </w:r>
      <w:proofErr w:type="spellStart"/>
      <w:r w:rsidRPr="009B5D7C">
        <w:rPr>
          <w:rFonts w:ascii="Times New Roman" w:eastAsia="Times New Roman" w:hAnsi="Times New Roman" w:cs="Times New Roman"/>
          <w:sz w:val="24"/>
          <w:szCs w:val="24"/>
        </w:rPr>
        <w:t>Azospirillum</w:t>
      </w:r>
      <w:proofErr w:type="spellEnd"/>
      <w:r w:rsidRPr="009B5D7C">
        <w:rPr>
          <w:rFonts w:ascii="Times New Roman" w:eastAsia="Times New Roman" w:hAnsi="Times New Roman" w:cs="Times New Roman"/>
          <w:sz w:val="24"/>
          <w:szCs w:val="24"/>
        </w:rPr>
        <w:t xml:space="preserve"> (T6). It is recommended to adopt the T7 treatment for sustainable production with reduced chemical input and improved crop performance.</w:t>
      </w:r>
    </w:p>
    <w:p w:rsidR="00653097" w:rsidRPr="009B5D7C" w:rsidRDefault="00653097" w:rsidP="009B5D7C">
      <w:pPr>
        <w:spacing w:after="0" w:line="360" w:lineRule="auto"/>
        <w:jc w:val="both"/>
        <w:rPr>
          <w:rFonts w:ascii="Times New Roman" w:eastAsiaTheme="minorHAnsi" w:hAnsi="Times New Roman" w:cs="Times New Roman"/>
          <w:sz w:val="24"/>
          <w:szCs w:val="24"/>
          <w:lang w:bidi="ar-SA"/>
        </w:rPr>
      </w:pPr>
      <w:r w:rsidRPr="009B5D7C">
        <w:rPr>
          <w:rFonts w:ascii="Times New Roman" w:hAnsi="Times New Roman" w:cs="Times New Roman"/>
          <w:b/>
          <w:bCs/>
          <w:iCs/>
          <w:sz w:val="24"/>
          <w:szCs w:val="24"/>
        </w:rPr>
        <w:t>Keywords:</w:t>
      </w:r>
      <w:r w:rsidRPr="009B5D7C">
        <w:rPr>
          <w:rFonts w:ascii="Times New Roman" w:hAnsi="Times New Roman" w:cs="Times New Roman"/>
          <w:sz w:val="24"/>
          <w:szCs w:val="24"/>
        </w:rPr>
        <w:t xml:space="preserve"> Broccoli, Yield, Quality, Biofertilizer </w:t>
      </w:r>
    </w:p>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Introduction </w:t>
      </w:r>
    </w:p>
    <w:p w:rsidR="00653097" w:rsidRPr="009B5D7C" w:rsidRDefault="00653097" w:rsidP="009B5D7C">
      <w:pPr>
        <w:spacing w:line="360" w:lineRule="auto"/>
        <w:ind w:firstLine="720"/>
        <w:jc w:val="both"/>
        <w:rPr>
          <w:rFonts w:ascii="Times New Roman" w:hAnsi="Times New Roman" w:cs="Times New Roman"/>
          <w:color w:val="000000" w:themeColor="text1"/>
          <w:sz w:val="24"/>
          <w:szCs w:val="24"/>
        </w:rPr>
      </w:pPr>
      <w:r w:rsidRPr="009B5D7C">
        <w:rPr>
          <w:rFonts w:ascii="Times New Roman" w:hAnsi="Times New Roman" w:cs="Times New Roman"/>
          <w:sz w:val="24"/>
          <w:szCs w:val="24"/>
        </w:rPr>
        <w:t xml:space="preserve">Cruciferous vegetables are grown and used in different cultures around the world due to their good adaptability to environmental conditions </w:t>
      </w:r>
      <w:proofErr w:type="spellStart"/>
      <w:r w:rsidRPr="009B5D7C">
        <w:rPr>
          <w:rFonts w:ascii="Times New Roman" w:hAnsi="Times New Roman" w:cs="Times New Roman"/>
          <w:color w:val="000000" w:themeColor="text1"/>
          <w:sz w:val="24"/>
          <w:szCs w:val="24"/>
        </w:rPr>
        <w:t>Samec</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(2018).</w:t>
      </w:r>
      <w:r w:rsidRPr="009B5D7C">
        <w:rPr>
          <w:rFonts w:ascii="Times New Roman" w:hAnsi="Times New Roman" w:cs="Times New Roman"/>
          <w:sz w:val="24"/>
          <w:szCs w:val="24"/>
        </w:rPr>
        <w:t xml:space="preserve"> Broccoli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proofErr w:type="spellStart"/>
      <w:r w:rsidRPr="009B5D7C">
        <w:rPr>
          <w:rFonts w:ascii="Times New Roman" w:hAnsi="Times New Roman" w:cs="Times New Roman"/>
          <w:i/>
          <w:iCs/>
          <w:sz w:val="24"/>
          <w:szCs w:val="24"/>
        </w:rPr>
        <w:t>italica</w:t>
      </w:r>
      <w:proofErr w:type="spellEnd"/>
      <w:r w:rsidRPr="009B5D7C">
        <w:rPr>
          <w:rFonts w:ascii="Times New Roman" w:hAnsi="Times New Roman" w:cs="Times New Roman"/>
          <w:sz w:val="24"/>
          <w:szCs w:val="24"/>
        </w:rPr>
        <w:t xml:space="preserve">) belongs to family Brassicaceae (Cruciferae) is an important high value vegetable and becoming popular very fast worldwide. This </w:t>
      </w:r>
      <w:proofErr w:type="spellStart"/>
      <w:r w:rsidRPr="009B5D7C">
        <w:rPr>
          <w:rFonts w:ascii="Times New Roman" w:hAnsi="Times New Roman" w:cs="Times New Roman"/>
          <w:sz w:val="24"/>
          <w:szCs w:val="24"/>
        </w:rPr>
        <w:t>cole</w:t>
      </w:r>
      <w:proofErr w:type="spellEnd"/>
      <w:r w:rsidRPr="009B5D7C">
        <w:rPr>
          <w:rFonts w:ascii="Times New Roman" w:hAnsi="Times New Roman" w:cs="Times New Roman"/>
          <w:sz w:val="24"/>
          <w:szCs w:val="24"/>
        </w:rPr>
        <w:t xml:space="preserve"> crop originated from a common ancestor, the wild cabbage, </w:t>
      </w:r>
      <w:r w:rsidRPr="009B5D7C">
        <w:rPr>
          <w:rFonts w:ascii="Times New Roman" w:hAnsi="Times New Roman" w:cs="Times New Roman"/>
          <w:i/>
          <w:iCs/>
          <w:sz w:val="24"/>
          <w:szCs w:val="24"/>
        </w:rPr>
        <w:t>Brassica oleracea</w:t>
      </w:r>
      <w:r w:rsidRPr="009B5D7C">
        <w:rPr>
          <w:rFonts w:ascii="Times New Roman" w:hAnsi="Times New Roman" w:cs="Times New Roman"/>
          <w:sz w:val="24"/>
          <w:szCs w:val="24"/>
        </w:rPr>
        <w:t xml:space="preserve"> var. </w:t>
      </w:r>
      <w:proofErr w:type="spellStart"/>
      <w:r w:rsidRPr="009B5D7C">
        <w:rPr>
          <w:rFonts w:ascii="Times New Roman" w:hAnsi="Times New Roman" w:cs="Times New Roman"/>
          <w:i/>
          <w:iCs/>
          <w:sz w:val="24"/>
          <w:szCs w:val="24"/>
        </w:rPr>
        <w:t>sylvestris</w:t>
      </w:r>
      <w:proofErr w:type="spellEnd"/>
      <w:r w:rsidRPr="009B5D7C">
        <w:rPr>
          <w:rFonts w:ascii="Times New Roman" w:hAnsi="Times New Roman" w:cs="Times New Roman"/>
          <w:sz w:val="24"/>
          <w:szCs w:val="24"/>
        </w:rPr>
        <w:t xml:space="preserve">. Broccoli is herbaceous annual vegetable grown for its green tender curd and biennial in respect of seed </w:t>
      </w:r>
      <w:proofErr w:type="spellStart"/>
      <w:r w:rsidRPr="009B5D7C">
        <w:rPr>
          <w:rFonts w:ascii="Times New Roman" w:hAnsi="Times New Roman" w:cs="Times New Roman"/>
          <w:sz w:val="24"/>
          <w:szCs w:val="24"/>
        </w:rPr>
        <w:t>production.The</w:t>
      </w:r>
      <w:proofErr w:type="spellEnd"/>
      <w:r w:rsidRPr="009B5D7C">
        <w:rPr>
          <w:rFonts w:ascii="Times New Roman" w:hAnsi="Times New Roman" w:cs="Times New Roman"/>
          <w:sz w:val="24"/>
          <w:szCs w:val="24"/>
        </w:rPr>
        <w:t xml:space="preserve"> United States is the largest producer of sprouting broccoli followed by India. In Italy, it has been used as vegetable from early times but their economic importance becomes appreciable only since the thirties of the century when this vegetable become popular in U.S.A. It is a winter season vegetable and commonly known as </w:t>
      </w:r>
      <w:proofErr w:type="spellStart"/>
      <w:r w:rsidRPr="009B5D7C">
        <w:rPr>
          <w:rFonts w:ascii="Times New Roman" w:hAnsi="Times New Roman" w:cs="Times New Roman"/>
          <w:sz w:val="24"/>
          <w:szCs w:val="24"/>
        </w:rPr>
        <w:t>hari</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gobhi</w:t>
      </w:r>
      <w:proofErr w:type="spellEnd"/>
      <w:r w:rsidRPr="009B5D7C">
        <w:rPr>
          <w:rFonts w:ascii="Times New Roman" w:hAnsi="Times New Roman" w:cs="Times New Roman"/>
          <w:sz w:val="24"/>
          <w:szCs w:val="24"/>
        </w:rPr>
        <w:t xml:space="preserve">, In India morphologically, sprouting broccoli resembles cauliflower except secondary heads which develops in the axils of leaves and may contribute up to 50 per cent of the total yield. Broccoli is highly nutritious due to its high ascorbic acid, vitamins B1 and B2, calcium, and phosphorus minerals contents </w:t>
      </w:r>
      <w:proofErr w:type="spellStart"/>
      <w:r w:rsidRPr="009B5D7C">
        <w:rPr>
          <w:rFonts w:ascii="Times New Roman" w:hAnsi="Times New Roman" w:cs="Times New Roman"/>
          <w:color w:val="000000" w:themeColor="text1"/>
          <w:sz w:val="24"/>
          <w:szCs w:val="24"/>
        </w:rPr>
        <w:t>Regar</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(2018).</w:t>
      </w:r>
    </w:p>
    <w:p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 xml:space="preserve">The decrease in agricultural lands with population growth, urbanization and industrialization forced growers to use excessive chemical fertilizer inputs for higher yields over the last 150 years, which has led to pollution, decreased soil fertility, and serious health and environmental problems. Biofertilizers can be used to reduce these problems </w:t>
      </w:r>
      <w:r w:rsidRPr="009B5D7C">
        <w:rPr>
          <w:rFonts w:ascii="Times New Roman" w:hAnsi="Times New Roman" w:cs="Times New Roman"/>
          <w:color w:val="000000" w:themeColor="text1"/>
          <w:sz w:val="24"/>
          <w:szCs w:val="24"/>
        </w:rPr>
        <w:t>Mishra and Dash (2014).</w:t>
      </w:r>
      <w:r w:rsidRPr="009B5D7C">
        <w:rPr>
          <w:rFonts w:ascii="Times New Roman" w:hAnsi="Times New Roman" w:cs="Times New Roman"/>
          <w:sz w:val="24"/>
          <w:szCs w:val="24"/>
        </w:rPr>
        <w:t xml:space="preserve"> Living microorganisms are present i</w:t>
      </w:r>
      <w:r w:rsidR="00A12DC5" w:rsidRPr="009B5D7C">
        <w:rPr>
          <w:rFonts w:ascii="Times New Roman" w:hAnsi="Times New Roman" w:cs="Times New Roman"/>
          <w:sz w:val="24"/>
          <w:szCs w:val="24"/>
        </w:rPr>
        <w:t>n bio fertilizers. Applying bio</w:t>
      </w:r>
      <w:r w:rsidRPr="009B5D7C">
        <w:rPr>
          <w:rFonts w:ascii="Times New Roman" w:hAnsi="Times New Roman" w:cs="Times New Roman"/>
          <w:sz w:val="24"/>
          <w:szCs w:val="24"/>
        </w:rPr>
        <w:t xml:space="preserve">fertilizers to the rhizosphere, plant surfaces, or seeds boosts the concentrations of mineral elements available to the crops, which encourages growth. Biofertilizers are substitute fertilizers that have several uses for both plants and soil and are used to boost plant growth and productivity </w:t>
      </w:r>
      <w:proofErr w:type="spellStart"/>
      <w:r w:rsidRPr="009B5D7C">
        <w:rPr>
          <w:rFonts w:ascii="Times New Roman" w:hAnsi="Times New Roman" w:cs="Times New Roman"/>
          <w:color w:val="000000" w:themeColor="text1"/>
          <w:sz w:val="24"/>
          <w:szCs w:val="24"/>
        </w:rPr>
        <w:t>Itelima</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(2018).</w:t>
      </w:r>
      <w:r w:rsidRPr="009B5D7C">
        <w:rPr>
          <w:rFonts w:ascii="Times New Roman" w:hAnsi="Times New Roman" w:cs="Times New Roman"/>
          <w:sz w:val="24"/>
          <w:szCs w:val="24"/>
        </w:rPr>
        <w:t xml:space="preserve">When added to the soil, they increase plant nutrient uptake by colonizing the rhizosphere. </w:t>
      </w:r>
      <w:r w:rsidRPr="009B5D7C">
        <w:rPr>
          <w:rFonts w:ascii="Times New Roman" w:hAnsi="Times New Roman" w:cs="Times New Roman"/>
          <w:sz w:val="24"/>
          <w:szCs w:val="24"/>
        </w:rPr>
        <w:lastRenderedPageBreak/>
        <w:t>Due to their environmental friendliness and ability to supply plants with nutrients in accordance with chemical or organic fertilizers, their use is more efficient.</w:t>
      </w:r>
    </w:p>
    <w:p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 xml:space="preserve">Biofertilizers include a range of nitrogen fixers, </w:t>
      </w:r>
      <w:r w:rsidRPr="009B5D7C">
        <w:rPr>
          <w:rFonts w:ascii="Times New Roman" w:hAnsi="Times New Roman" w:cs="Times New Roman"/>
          <w:i/>
          <w:iCs/>
          <w:sz w:val="24"/>
          <w:szCs w:val="24"/>
        </w:rPr>
        <w:t xml:space="preserve">viz., Rhizobium, </w:t>
      </w:r>
      <w:proofErr w:type="spellStart"/>
      <w:r w:rsidRPr="009B5D7C">
        <w:rPr>
          <w:rFonts w:ascii="Times New Roman" w:hAnsi="Times New Roman" w:cs="Times New Roman"/>
          <w:i/>
          <w:iCs/>
          <w:sz w:val="24"/>
          <w:szCs w:val="24"/>
        </w:rPr>
        <w:t>Azotobacter</w:t>
      </w:r>
      <w:proofErr w:type="spellEnd"/>
      <w:r w:rsidRPr="009B5D7C">
        <w:rPr>
          <w:rFonts w:ascii="Times New Roman" w:hAnsi="Times New Roman" w:cs="Times New Roman"/>
          <w:i/>
          <w:iCs/>
          <w:sz w:val="24"/>
          <w:szCs w:val="24"/>
        </w:rPr>
        <w:t xml:space="preserve">, </w:t>
      </w:r>
      <w:proofErr w:type="spellStart"/>
      <w:r w:rsidRPr="009B5D7C">
        <w:rPr>
          <w:rFonts w:ascii="Times New Roman" w:hAnsi="Times New Roman" w:cs="Times New Roman"/>
          <w:i/>
          <w:iCs/>
          <w:sz w:val="24"/>
          <w:szCs w:val="24"/>
        </w:rPr>
        <w:t>Azospirillium</w:t>
      </w:r>
      <w:proofErr w:type="spellEnd"/>
      <w:r w:rsidRPr="009B5D7C">
        <w:rPr>
          <w:rFonts w:ascii="Times New Roman" w:hAnsi="Times New Roman" w:cs="Times New Roman"/>
          <w:i/>
          <w:iCs/>
          <w:sz w:val="24"/>
          <w:szCs w:val="24"/>
        </w:rPr>
        <w:t>,</w:t>
      </w:r>
      <w:r w:rsidRPr="009B5D7C">
        <w:rPr>
          <w:rFonts w:ascii="Times New Roman" w:hAnsi="Times New Roman" w:cs="Times New Roman"/>
          <w:sz w:val="24"/>
          <w:szCs w:val="24"/>
        </w:rPr>
        <w:t xml:space="preserve"> Blue Green Algae and </w:t>
      </w:r>
      <w:proofErr w:type="spellStart"/>
      <w:r w:rsidRPr="009B5D7C">
        <w:rPr>
          <w:rFonts w:ascii="Times New Roman" w:hAnsi="Times New Roman" w:cs="Times New Roman"/>
          <w:i/>
          <w:iCs/>
          <w:sz w:val="24"/>
          <w:szCs w:val="24"/>
        </w:rPr>
        <w:t>Azolla</w:t>
      </w:r>
      <w:proofErr w:type="spellEnd"/>
      <w:r w:rsidRPr="009B5D7C">
        <w:rPr>
          <w:rFonts w:ascii="Times New Roman" w:hAnsi="Times New Roman" w:cs="Times New Roman"/>
          <w:sz w:val="24"/>
          <w:szCs w:val="24"/>
        </w:rPr>
        <w:t xml:space="preserve">. In inoculated plants, the fixing of atmospheric nitrogen and its effectiveness increases with the addition of nitrogen at the lower level. In addition, there are other biofertilizers, Phosphate solubilizing bacteria (PSB), phosphate solubilizing fungi and vesicular arbuscular </w:t>
      </w:r>
      <w:proofErr w:type="spellStart"/>
      <w:r w:rsidRPr="009B5D7C">
        <w:rPr>
          <w:rFonts w:ascii="Times New Roman" w:hAnsi="Times New Roman" w:cs="Times New Roman"/>
          <w:sz w:val="24"/>
          <w:szCs w:val="24"/>
        </w:rPr>
        <w:t>mycorrhizea</w:t>
      </w:r>
      <w:proofErr w:type="spellEnd"/>
      <w:r w:rsidRPr="009B5D7C">
        <w:rPr>
          <w:rFonts w:ascii="Times New Roman" w:hAnsi="Times New Roman" w:cs="Times New Roman"/>
          <w:sz w:val="24"/>
          <w:szCs w:val="24"/>
        </w:rPr>
        <w:t xml:space="preserve"> (VAM). Besides increasing phosphate levels, VAM is also known to increase the levels of important micronutrients like copper and zinc in the plant parts of vegetables. These biofertilizers are organic in origin and thus are absolutely safe, therefore, it is essential to adopt a strategy of integrated nutrient </w:t>
      </w:r>
      <w:proofErr w:type="spellStart"/>
      <w:r w:rsidRPr="009B5D7C">
        <w:rPr>
          <w:rFonts w:ascii="Times New Roman" w:hAnsi="Times New Roman" w:cs="Times New Roman"/>
          <w:sz w:val="24"/>
          <w:szCs w:val="24"/>
        </w:rPr>
        <w:t>management.This</w:t>
      </w:r>
      <w:proofErr w:type="spellEnd"/>
      <w:r w:rsidRPr="009B5D7C">
        <w:rPr>
          <w:rFonts w:ascii="Times New Roman" w:hAnsi="Times New Roman" w:cs="Times New Roman"/>
          <w:sz w:val="24"/>
          <w:szCs w:val="24"/>
        </w:rPr>
        <w:t xml:space="preserve"> research was carried out to determine the effects of biofertilizer applications on the yield and quality attributes. </w:t>
      </w:r>
    </w:p>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Materials and Methods</w:t>
      </w:r>
    </w:p>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The research investigation was carried out in the field during the </w:t>
      </w:r>
      <w:proofErr w:type="spellStart"/>
      <w:r w:rsidRPr="009B5D7C">
        <w:rPr>
          <w:rFonts w:ascii="Times New Roman" w:hAnsi="Times New Roman" w:cs="Times New Roman"/>
          <w:sz w:val="24"/>
          <w:szCs w:val="24"/>
        </w:rPr>
        <w:t>rabi</w:t>
      </w:r>
      <w:proofErr w:type="spellEnd"/>
      <w:r w:rsidRPr="009B5D7C">
        <w:rPr>
          <w:rFonts w:ascii="Times New Roman" w:hAnsi="Times New Roman" w:cs="Times New Roman"/>
          <w:sz w:val="24"/>
          <w:szCs w:val="24"/>
        </w:rPr>
        <w:t xml:space="preserve"> season of 2022-23 at the Horticultural Research Farm-1, School of Agricultural Sciences, Babasaheb Bhimrao Ambedkar University, (A Central University), Vidya </w:t>
      </w:r>
      <w:proofErr w:type="spellStart"/>
      <w:r w:rsidRPr="009B5D7C">
        <w:rPr>
          <w:rFonts w:ascii="Times New Roman" w:hAnsi="Times New Roman" w:cs="Times New Roman"/>
          <w:sz w:val="24"/>
          <w:szCs w:val="24"/>
        </w:rPr>
        <w:t>Vihar</w:t>
      </w:r>
      <w:proofErr w:type="spellEnd"/>
      <w:r w:rsidRPr="009B5D7C">
        <w:rPr>
          <w:rFonts w:ascii="Times New Roman" w:hAnsi="Times New Roman" w:cs="Times New Roman"/>
          <w:sz w:val="24"/>
          <w:szCs w:val="24"/>
        </w:rPr>
        <w:t xml:space="preserve">, </w:t>
      </w:r>
      <w:proofErr w:type="spellStart"/>
      <w:r w:rsidRPr="009B5D7C">
        <w:rPr>
          <w:rFonts w:ascii="Times New Roman" w:eastAsia="Times New Roman" w:hAnsi="Times New Roman" w:cs="Times New Roman"/>
          <w:color w:val="000000"/>
          <w:sz w:val="24"/>
          <w:szCs w:val="24"/>
        </w:rPr>
        <w:t>Raebareli</w:t>
      </w:r>
      <w:proofErr w:type="spellEnd"/>
      <w:r w:rsidRPr="009B5D7C">
        <w:rPr>
          <w:rFonts w:ascii="Times New Roman" w:eastAsia="Times New Roman" w:hAnsi="Times New Roman" w:cs="Times New Roman"/>
          <w:color w:val="000000"/>
          <w:sz w:val="24"/>
          <w:szCs w:val="24"/>
        </w:rPr>
        <w:t xml:space="preserve"> </w:t>
      </w:r>
      <w:r w:rsidRPr="009B5D7C">
        <w:rPr>
          <w:rFonts w:ascii="Times New Roman" w:hAnsi="Times New Roman" w:cs="Times New Roman"/>
          <w:sz w:val="24"/>
          <w:szCs w:val="24"/>
        </w:rPr>
        <w:t>Road, Lucknow -226025 (U.P.), India by adopting Randomized Block Design (RBD) with three replications. Lucknow's geographic coordinates are 260 50´ N latitude, 800 52´ E longitude, and 123 meters above mean sea level (MSL). Lucknow experiences 50–70% relative humidity and 700 mm of annual rainfall on average due to its humid subtropical climate. Summer is hot and dry, while winter is harsh.</w:t>
      </w:r>
      <w:r w:rsidR="000A6542">
        <w:rPr>
          <w:rFonts w:ascii="Times New Roman" w:hAnsi="Times New Roman" w:cs="Times New Roman"/>
          <w:sz w:val="24"/>
          <w:szCs w:val="24"/>
        </w:rPr>
        <w:t xml:space="preserve"> </w:t>
      </w:r>
      <w:r w:rsidRPr="009B5D7C">
        <w:rPr>
          <w:rFonts w:ascii="Times New Roman" w:hAnsi="Times New Roman" w:cs="Times New Roman"/>
          <w:sz w:val="24"/>
          <w:szCs w:val="24"/>
        </w:rPr>
        <w:t xml:space="preserve">Even in the winter, there are sporadic showers. In general, the temperature fluctuates between 5°C and 42°C. January is the coldest and May and June are the hottest months of the year, respectively. The </w:t>
      </w:r>
      <w:r w:rsidR="000A6542">
        <w:rPr>
          <w:rFonts w:ascii="Times New Roman" w:hAnsi="Times New Roman" w:cs="Times New Roman"/>
          <w:sz w:val="24"/>
          <w:szCs w:val="24"/>
        </w:rPr>
        <w:t xml:space="preserve">soil was black clay type and </w:t>
      </w:r>
      <w:r w:rsidRPr="009B5D7C">
        <w:rPr>
          <w:rFonts w:ascii="Times New Roman" w:hAnsi="Times New Roman" w:cs="Times New Roman"/>
          <w:sz w:val="24"/>
          <w:szCs w:val="24"/>
        </w:rPr>
        <w:t xml:space="preserve">field was prepared by deep ploughing, harrowing and leveling and these operations were done by tractor drown implements. Standard agronomic practices followed during the experimental investigation.  Broccoli seeds were sown in the nursery beds of Horticulture Research Farm-I, by sowing in row method during October month. Raised bed about 5-6 meter long, one meter width and 15 cm above ground level, was prepared. The seed beds were covered with compost, mulching, and thatches with polythene paper over the bed to protect the young seedlings from adverse climatic condition, 30 days after sowing, seedlings were ready for transplanting. These healthy seedling uniform shape and size were </w:t>
      </w:r>
      <w:r w:rsidRPr="009B5D7C">
        <w:rPr>
          <w:rFonts w:ascii="Times New Roman" w:hAnsi="Times New Roman" w:cs="Times New Roman"/>
          <w:sz w:val="24"/>
          <w:szCs w:val="24"/>
        </w:rPr>
        <w:lastRenderedPageBreak/>
        <w:t xml:space="preserve">selected and transplanting in well prepared field. A spacing of 45 x 30 cm was adopted for transplanting. Seedlings of bold and uniform size were selected from the nursery for this </w:t>
      </w:r>
      <w:proofErr w:type="spellStart"/>
      <w:r w:rsidRPr="009B5D7C">
        <w:rPr>
          <w:rFonts w:ascii="Times New Roman" w:hAnsi="Times New Roman" w:cs="Times New Roman"/>
          <w:sz w:val="24"/>
          <w:szCs w:val="24"/>
        </w:rPr>
        <w:t>purpose.Thick</w:t>
      </w:r>
      <w:proofErr w:type="spellEnd"/>
      <w:r w:rsidRPr="009B5D7C">
        <w:rPr>
          <w:rFonts w:ascii="Times New Roman" w:hAnsi="Times New Roman" w:cs="Times New Roman"/>
          <w:sz w:val="24"/>
          <w:szCs w:val="24"/>
        </w:rPr>
        <w:t xml:space="preserve"> slurry of each of bio-fertilizer viz. </w:t>
      </w:r>
      <w:proofErr w:type="spellStart"/>
      <w:r w:rsidRPr="009B5D7C">
        <w:rPr>
          <w:rFonts w:ascii="Times New Roman" w:hAnsi="Times New Roman" w:cs="Times New Roman"/>
          <w:i/>
          <w:iCs/>
          <w:sz w:val="24"/>
          <w:szCs w:val="24"/>
        </w:rPr>
        <w:t>Azotobacter</w:t>
      </w:r>
      <w:proofErr w:type="spellEnd"/>
      <w:r w:rsidRPr="009B5D7C">
        <w:rPr>
          <w:rFonts w:ascii="Times New Roman" w:hAnsi="Times New Roman" w:cs="Times New Roman"/>
          <w:sz w:val="24"/>
          <w:szCs w:val="24"/>
        </w:rPr>
        <w:t xml:space="preserve">,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w:t>
      </w:r>
      <w:r w:rsidRPr="009B5D7C">
        <w:rPr>
          <w:rFonts w:ascii="Times New Roman" w:hAnsi="Times New Roman" w:cs="Times New Roman"/>
          <w:i/>
          <w:iCs/>
          <w:sz w:val="24"/>
          <w:szCs w:val="24"/>
        </w:rPr>
        <w:t xml:space="preserve">Vesicular </w:t>
      </w:r>
      <w:proofErr w:type="spellStart"/>
      <w:r w:rsidRPr="009B5D7C">
        <w:rPr>
          <w:rFonts w:ascii="Times New Roman" w:hAnsi="Times New Roman" w:cs="Times New Roman"/>
          <w:i/>
          <w:iCs/>
          <w:sz w:val="24"/>
          <w:szCs w:val="24"/>
        </w:rPr>
        <w:t>Arbusicular</w:t>
      </w:r>
      <w:proofErr w:type="spellEnd"/>
      <w:r w:rsidRPr="009B5D7C">
        <w:rPr>
          <w:rFonts w:ascii="Times New Roman" w:hAnsi="Times New Roman" w:cs="Times New Roman"/>
          <w:i/>
          <w:iCs/>
          <w:sz w:val="24"/>
          <w:szCs w:val="24"/>
        </w:rPr>
        <w:t xml:space="preserve"> </w:t>
      </w:r>
      <w:proofErr w:type="spellStart"/>
      <w:r w:rsidRPr="009B5D7C">
        <w:rPr>
          <w:rFonts w:ascii="Times New Roman" w:hAnsi="Times New Roman" w:cs="Times New Roman"/>
          <w:i/>
          <w:iCs/>
          <w:sz w:val="24"/>
          <w:szCs w:val="24"/>
        </w:rPr>
        <w:t>Mycorrhize</w:t>
      </w:r>
      <w:proofErr w:type="spellEnd"/>
      <w:r w:rsidRPr="009B5D7C">
        <w:rPr>
          <w:rFonts w:ascii="Times New Roman" w:hAnsi="Times New Roman" w:cs="Times New Roman"/>
          <w:sz w:val="24"/>
          <w:szCs w:val="24"/>
        </w:rPr>
        <w:t xml:space="preserve"> (VAM) and Phosphate Solubilizing Bacteria (PSB) was prepared before transplanting. Broccoli seedling was inoculated by dipping </w:t>
      </w:r>
      <w:r w:rsidR="00A12DC5" w:rsidRPr="009B5D7C">
        <w:rPr>
          <w:rFonts w:ascii="Times New Roman" w:hAnsi="Times New Roman" w:cs="Times New Roman"/>
          <w:sz w:val="24"/>
          <w:szCs w:val="24"/>
        </w:rPr>
        <w:t>them in the slurry of these bio</w:t>
      </w:r>
      <w:r w:rsidRPr="009B5D7C">
        <w:rPr>
          <w:rFonts w:ascii="Times New Roman" w:hAnsi="Times New Roman" w:cs="Times New Roman"/>
          <w:sz w:val="24"/>
          <w:szCs w:val="24"/>
        </w:rPr>
        <w:t xml:space="preserve">fertilizers for 20 minutes. VAM was applied in soil near about the roots of seedling at the time of transplanting. The details of treatment used in experimental investigation are depicted in Table-1. Various observations pertaining to yield attributes were recorded on curd initiation days, curd formation (%), curd harvesting days, curd diameter (mm), curd weight with and without leaf (g), curd volume (cc), dry matter content (%), yield/plot (kg) and total yield (q/ha). At maturity heads were harvested from each plant and the quality parameters such as ascorbic acid (Vitamin C), total soluble solid (TSS), total sugar, reducing sugar and non-reducing sugar content determined according to the method suggested by </w:t>
      </w:r>
      <w:r w:rsidRPr="009B5D7C">
        <w:rPr>
          <w:rFonts w:ascii="Times New Roman" w:hAnsi="Times New Roman" w:cs="Times New Roman"/>
          <w:color w:val="000000" w:themeColor="text1"/>
          <w:sz w:val="24"/>
          <w:szCs w:val="24"/>
        </w:rPr>
        <w:t xml:space="preserve">Association of Official Analytical Chemists (1995), Dubois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(1956) and Miller (1959).</w:t>
      </w:r>
      <w:r w:rsidRPr="009B5D7C">
        <w:rPr>
          <w:rFonts w:ascii="Times New Roman" w:hAnsi="Times New Roman" w:cs="Times New Roman"/>
          <w:sz w:val="24"/>
          <w:szCs w:val="24"/>
        </w:rPr>
        <w:t xml:space="preserve"> The non-reducing sugar was determined by subtraction of reducing sugar from total sugar.</w:t>
      </w:r>
    </w:p>
    <w:p w:rsidR="00653097" w:rsidRPr="009B5D7C" w:rsidRDefault="00653097" w:rsidP="009B5D7C">
      <w:pPr>
        <w:spacing w:line="360" w:lineRule="auto"/>
        <w:jc w:val="both"/>
        <w:rPr>
          <w:rFonts w:ascii="Times New Roman" w:hAnsi="Times New Roman" w:cs="Times New Roman"/>
          <w:sz w:val="24"/>
          <w:szCs w:val="24"/>
        </w:rPr>
      </w:pPr>
    </w:p>
    <w:p w:rsidR="00653097" w:rsidRPr="009B5D7C" w:rsidRDefault="00653097" w:rsidP="009B5D7C">
      <w:pPr>
        <w:spacing w:line="360" w:lineRule="auto"/>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6930"/>
        <w:gridCol w:w="387"/>
        <w:gridCol w:w="1053"/>
      </w:tblGrid>
      <w:tr w:rsidR="00653097" w:rsidRPr="009B5D7C" w:rsidTr="00653097">
        <w:tc>
          <w:tcPr>
            <w:tcW w:w="8370" w:type="dxa"/>
            <w:gridSpan w:val="3"/>
            <w:tcBorders>
              <w:top w:val="single" w:sz="18" w:space="0" w:color="auto"/>
              <w:left w:val="nil"/>
              <w:bottom w:val="single" w:sz="18" w:space="0" w:color="auto"/>
              <w:right w:val="nil"/>
            </w:tcBorders>
            <w:hideMark/>
          </w:tcPr>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Table 1: Details of Treatment</w:t>
            </w:r>
          </w:p>
        </w:tc>
      </w:tr>
      <w:tr w:rsidR="00653097" w:rsidRPr="009B5D7C" w:rsidTr="00653097">
        <w:tc>
          <w:tcPr>
            <w:tcW w:w="6930" w:type="dxa"/>
            <w:tcBorders>
              <w:top w:val="single" w:sz="18" w:space="0" w:color="auto"/>
              <w:left w:val="nil"/>
              <w:bottom w:val="nil"/>
              <w:right w:val="nil"/>
            </w:tcBorders>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Treatment Components</w:t>
            </w:r>
          </w:p>
        </w:tc>
        <w:tc>
          <w:tcPr>
            <w:tcW w:w="387" w:type="dxa"/>
            <w:tcBorders>
              <w:top w:val="single" w:sz="18" w:space="0" w:color="auto"/>
              <w:left w:val="nil"/>
              <w:bottom w:val="nil"/>
              <w:right w:val="nil"/>
            </w:tcBorders>
          </w:tcPr>
          <w:p w:rsidR="00653097" w:rsidRPr="009B5D7C" w:rsidRDefault="00653097" w:rsidP="009B5D7C">
            <w:pPr>
              <w:spacing w:line="360" w:lineRule="auto"/>
              <w:jc w:val="center"/>
              <w:rPr>
                <w:rFonts w:ascii="Times New Roman" w:hAnsi="Times New Roman" w:cs="Times New Roman"/>
                <w:b/>
                <w:bCs/>
                <w:sz w:val="24"/>
                <w:szCs w:val="24"/>
              </w:rPr>
            </w:pPr>
          </w:p>
        </w:tc>
        <w:tc>
          <w:tcPr>
            <w:tcW w:w="1053" w:type="dxa"/>
            <w:tcBorders>
              <w:top w:val="single" w:sz="18" w:space="0" w:color="auto"/>
              <w:left w:val="nil"/>
              <w:bottom w:val="nil"/>
              <w:right w:val="nil"/>
            </w:tcBorders>
            <w:hideMark/>
          </w:tcPr>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Symbol</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Control</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0</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RDF (100%)</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(100%)</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2</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(100%)</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3</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VAM (100%)</w:t>
            </w:r>
          </w:p>
        </w:tc>
        <w:tc>
          <w:tcPr>
            <w:tcW w:w="387" w:type="dxa"/>
            <w:tcBorders>
              <w:top w:val="nil"/>
              <w:left w:val="nil"/>
              <w:bottom w:val="nil"/>
              <w:right w:val="nil"/>
            </w:tcBorders>
            <w:vAlign w:val="center"/>
          </w:tcPr>
          <w:p w:rsidR="00653097" w:rsidRPr="009B5D7C" w:rsidRDefault="00653097" w:rsidP="009B5D7C">
            <w:pPr>
              <w:spacing w:line="360" w:lineRule="auto"/>
              <w:jc w:val="center"/>
              <w:rPr>
                <w:rFonts w:ascii="Times New Roman" w:hAnsi="Times New Roman" w:cs="Times New Roman"/>
                <w:b/>
                <w:bCs/>
                <w:sz w:val="24"/>
                <w:szCs w:val="24"/>
              </w:rPr>
            </w:pP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4</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5</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6</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RDF + VAM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7</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8</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VAM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9</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proofErr w:type="spellStart"/>
            <w:r w:rsidRPr="009B5D7C">
              <w:rPr>
                <w:rFonts w:ascii="Times New Roman" w:hAnsi="Times New Roman" w:cs="Times New Roman"/>
                <w:sz w:val="24"/>
                <w:szCs w:val="24"/>
              </w:rPr>
              <w:lastRenderedPageBreak/>
              <w:t>Azospirillum</w:t>
            </w:r>
            <w:proofErr w:type="spellEnd"/>
            <w:r w:rsidRPr="009B5D7C">
              <w:rPr>
                <w:rFonts w:ascii="Times New Roman" w:hAnsi="Times New Roman" w:cs="Times New Roman"/>
                <w:sz w:val="24"/>
                <w:szCs w:val="24"/>
              </w:rPr>
              <w:t xml:space="preserve"> + VAM (50% + 50%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b/>
                <w:bCs/>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10</w:t>
            </w:r>
          </w:p>
        </w:tc>
      </w:tr>
      <w:tr w:rsidR="00653097" w:rsidRPr="009B5D7C" w:rsidTr="00653097">
        <w:tc>
          <w:tcPr>
            <w:tcW w:w="6930" w:type="dxa"/>
            <w:tcBorders>
              <w:top w:val="nil"/>
              <w:left w:val="nil"/>
              <w:bottom w:val="nil"/>
              <w:right w:val="nil"/>
            </w:tcBorders>
            <w:hideMark/>
          </w:tcPr>
          <w:p w:rsidR="00653097" w:rsidRPr="009B5D7C" w:rsidRDefault="00653097" w:rsidP="009B5D7C">
            <w:pPr>
              <w:spacing w:line="360" w:lineRule="auto"/>
              <w:jc w:val="both"/>
              <w:rPr>
                <w:rFonts w:ascii="Times New Roman" w:hAnsi="Times New Roman" w:cs="Times New Roman"/>
                <w:sz w:val="24"/>
                <w:szCs w:val="24"/>
              </w:rPr>
            </w:pP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 VAM (25 + 25 + 25 + 25 Each)</w:t>
            </w:r>
          </w:p>
        </w:tc>
        <w:tc>
          <w:tcPr>
            <w:tcW w:w="387"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b/>
                <w:bCs/>
                <w:sz w:val="24"/>
                <w:szCs w:val="24"/>
              </w:rPr>
              <w:t>:</w:t>
            </w:r>
          </w:p>
        </w:tc>
        <w:tc>
          <w:tcPr>
            <w:tcW w:w="1053" w:type="dxa"/>
            <w:tcBorders>
              <w:top w:val="nil"/>
              <w:left w:val="nil"/>
              <w:bottom w:val="nil"/>
              <w:right w:val="nil"/>
            </w:tcBorders>
            <w:vAlign w:val="center"/>
            <w:hideMark/>
          </w:tcPr>
          <w:p w:rsidR="00653097" w:rsidRPr="009B5D7C" w:rsidRDefault="00653097" w:rsidP="009B5D7C">
            <w:pPr>
              <w:spacing w:line="360" w:lineRule="auto"/>
              <w:jc w:val="center"/>
              <w:rPr>
                <w:rFonts w:ascii="Times New Roman" w:hAnsi="Times New Roman" w:cs="Times New Roman"/>
                <w:sz w:val="24"/>
                <w:szCs w:val="24"/>
              </w:rPr>
            </w:pPr>
            <w:r w:rsidRPr="009B5D7C">
              <w:rPr>
                <w:rFonts w:ascii="Times New Roman" w:hAnsi="Times New Roman" w:cs="Times New Roman"/>
                <w:sz w:val="24"/>
                <w:szCs w:val="24"/>
              </w:rPr>
              <w:t>T</w:t>
            </w:r>
            <w:r w:rsidRPr="009B5D7C">
              <w:rPr>
                <w:rFonts w:ascii="Times New Roman" w:hAnsi="Times New Roman" w:cs="Times New Roman"/>
                <w:sz w:val="24"/>
                <w:szCs w:val="24"/>
                <w:vertAlign w:val="subscript"/>
              </w:rPr>
              <w:t>11</w:t>
            </w:r>
          </w:p>
        </w:tc>
      </w:tr>
    </w:tbl>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Results and Discussion </w:t>
      </w:r>
    </w:p>
    <w:p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data on the first visib</w:t>
      </w:r>
      <w:r w:rsidR="009F74AA">
        <w:rPr>
          <w:rFonts w:ascii="Times New Roman" w:hAnsi="Times New Roman" w:cs="Times New Roman"/>
          <w:sz w:val="24"/>
          <w:szCs w:val="24"/>
        </w:rPr>
        <w:t>le days are presented in Table-2</w:t>
      </w:r>
      <w:r w:rsidRPr="009B5D7C">
        <w:rPr>
          <w:rFonts w:ascii="Times New Roman" w:hAnsi="Times New Roman" w:cs="Times New Roman"/>
          <w:sz w:val="24"/>
          <w:szCs w:val="24"/>
        </w:rPr>
        <w:t xml:space="preserve">. The results of the one year investigation (2022–23) showed that the first visible days was significantly affected by different integrated </w:t>
      </w:r>
      <w:proofErr w:type="spellStart"/>
      <w:r w:rsidRPr="009B5D7C">
        <w:rPr>
          <w:rFonts w:ascii="Times New Roman" w:hAnsi="Times New Roman" w:cs="Times New Roman"/>
          <w:sz w:val="24"/>
          <w:szCs w:val="24"/>
        </w:rPr>
        <w:t>nutrients.The</w:t>
      </w:r>
      <w:proofErr w:type="spellEnd"/>
      <w:r w:rsidRPr="009B5D7C">
        <w:rPr>
          <w:rFonts w:ascii="Times New Roman" w:hAnsi="Times New Roman" w:cs="Times New Roman"/>
          <w:sz w:val="24"/>
          <w:szCs w:val="24"/>
        </w:rPr>
        <w:t xml:space="preserve"> earlier first visible curd days (56.98 days) during 2022–23 was recorded under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It was followed by treatment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a value (54.45 days) during the experimental period. Wh</w:t>
      </w:r>
      <w:r w:rsidR="009F74AA">
        <w:rPr>
          <w:rFonts w:ascii="Times New Roman" w:hAnsi="Times New Roman" w:cs="Times New Roman"/>
          <w:sz w:val="24"/>
          <w:szCs w:val="24"/>
        </w:rPr>
        <w:t xml:space="preserve">ile the late first visible days </w:t>
      </w:r>
      <w:r w:rsidRPr="009B5D7C">
        <w:rPr>
          <w:rFonts w:ascii="Times New Roman" w:hAnsi="Times New Roman" w:cs="Times New Roman"/>
          <w:sz w:val="24"/>
          <w:szCs w:val="24"/>
        </w:rPr>
        <w:t>was recorded under the treatment,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-(control) showed a value of 52.03 days. Similarly, days to 50% visible curd was earlier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and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a value 70.12 and 69.04 days, respectively. </w:t>
      </w:r>
    </w:p>
    <w:p w:rsidR="00653097" w:rsidRPr="009B5D7C" w:rsidRDefault="00653097" w:rsidP="009B5D7C">
      <w:pPr>
        <w:spacing w:line="360" w:lineRule="auto"/>
        <w:ind w:firstLine="720"/>
        <w:jc w:val="both"/>
        <w:rPr>
          <w:rFonts w:ascii="Times New Roman" w:hAnsi="Times New Roman" w:cs="Times New Roman"/>
          <w:color w:val="000000" w:themeColor="text1"/>
          <w:sz w:val="24"/>
          <w:szCs w:val="24"/>
        </w:rPr>
      </w:pPr>
      <w:r w:rsidRPr="009B5D7C">
        <w:rPr>
          <w:rFonts w:ascii="Times New Roman" w:hAnsi="Times New Roman" w:cs="Times New Roman"/>
          <w:sz w:val="24"/>
          <w:szCs w:val="24"/>
        </w:rPr>
        <w:t>The results indicate that application of different integrated nutrients also shows variations in curd formation (%) at days to first and 50% visible curd. The results pertaining to first and 50% visible curd formation (%) stated that significantly highest curd formation (%) was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with 62.07 and 93.00 %, respectively. The next superior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showed 56.50 and 87.75 % first and 50% visible curd, respectively. The other evaluated treatments viz., T</w:t>
      </w:r>
      <w:r w:rsidRPr="009B5D7C">
        <w:rPr>
          <w:rFonts w:ascii="Times New Roman" w:hAnsi="Times New Roman" w:cs="Times New Roman"/>
          <w:sz w:val="24"/>
          <w:szCs w:val="24"/>
          <w:vertAlign w:val="subscript"/>
        </w:rPr>
        <w:t>1</w:t>
      </w:r>
      <w:r w:rsidRPr="009B5D7C">
        <w:rPr>
          <w:rFonts w:ascii="Times New Roman" w:hAnsi="Times New Roman" w:cs="Times New Roman"/>
          <w:sz w:val="24"/>
          <w:szCs w:val="24"/>
        </w:rPr>
        <w:t>- RDF (100%), T</w:t>
      </w:r>
      <w:r w:rsidRPr="009B5D7C">
        <w:rPr>
          <w:rFonts w:ascii="Times New Roman" w:hAnsi="Times New Roman" w:cs="Times New Roman"/>
          <w:sz w:val="24"/>
          <w:szCs w:val="24"/>
          <w:vertAlign w:val="subscript"/>
        </w:rPr>
        <w:t xml:space="preserve">2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(100%), T</w:t>
      </w:r>
      <w:r w:rsidRPr="009B5D7C">
        <w:rPr>
          <w:rFonts w:ascii="Times New Roman" w:hAnsi="Times New Roman" w:cs="Times New Roman"/>
          <w:sz w:val="24"/>
          <w:szCs w:val="24"/>
          <w:vertAlign w:val="subscript"/>
        </w:rPr>
        <w:t xml:space="preserve">3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(100%), T</w:t>
      </w:r>
      <w:r w:rsidRPr="009B5D7C">
        <w:rPr>
          <w:rFonts w:ascii="Times New Roman" w:hAnsi="Times New Roman" w:cs="Times New Roman"/>
          <w:sz w:val="24"/>
          <w:szCs w:val="24"/>
          <w:vertAlign w:val="subscript"/>
        </w:rPr>
        <w:t xml:space="preserve">4 </w:t>
      </w:r>
      <w:r w:rsidRPr="009B5D7C">
        <w:rPr>
          <w:rFonts w:ascii="Times New Roman" w:hAnsi="Times New Roman" w:cs="Times New Roman"/>
          <w:sz w:val="24"/>
          <w:szCs w:val="24"/>
        </w:rPr>
        <w:t>-VAM (100%), T</w:t>
      </w:r>
      <w:r w:rsidRPr="009B5D7C">
        <w:rPr>
          <w:rFonts w:ascii="Times New Roman" w:hAnsi="Times New Roman" w:cs="Times New Roman"/>
          <w:sz w:val="24"/>
          <w:szCs w:val="24"/>
          <w:vertAlign w:val="subscript"/>
        </w:rPr>
        <w:t>5</w:t>
      </w:r>
      <w:r w:rsidRPr="009B5D7C">
        <w:rPr>
          <w:rFonts w:ascii="Times New Roman" w:hAnsi="Times New Roman" w:cs="Times New Roman"/>
          <w:sz w:val="24"/>
          <w:szCs w:val="24"/>
        </w:rPr>
        <w:t xml:space="preserve"> -RDF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(50% + 50% Each), T</w:t>
      </w:r>
      <w:r w:rsidRPr="009B5D7C">
        <w:rPr>
          <w:rFonts w:ascii="Times New Roman" w:hAnsi="Times New Roman" w:cs="Times New Roman"/>
          <w:sz w:val="24"/>
          <w:szCs w:val="24"/>
          <w:vertAlign w:val="subscript"/>
        </w:rPr>
        <w:t xml:space="preserve">8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(50% + 50% Each), T</w:t>
      </w:r>
      <w:r w:rsidRPr="009B5D7C">
        <w:rPr>
          <w:rFonts w:ascii="Times New Roman" w:hAnsi="Times New Roman" w:cs="Times New Roman"/>
          <w:sz w:val="24"/>
          <w:szCs w:val="24"/>
          <w:vertAlign w:val="subscript"/>
        </w:rPr>
        <w:t xml:space="preserve">9 </w:t>
      </w:r>
      <w:r w:rsidRPr="009B5D7C">
        <w:rPr>
          <w:rFonts w:ascii="Times New Roman" w:hAnsi="Times New Roman" w:cs="Times New Roman"/>
          <w:sz w:val="24"/>
          <w:szCs w:val="24"/>
        </w:rPr>
        <w:t xml:space="preserve">-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VAM (50% + 50% Each), T</w:t>
      </w:r>
      <w:r w:rsidRPr="009B5D7C">
        <w:rPr>
          <w:rFonts w:ascii="Times New Roman" w:hAnsi="Times New Roman" w:cs="Times New Roman"/>
          <w:sz w:val="24"/>
          <w:szCs w:val="24"/>
          <w:vertAlign w:val="subscript"/>
        </w:rPr>
        <w:t xml:space="preserve">10 </w:t>
      </w:r>
      <w:r w:rsidRPr="009B5D7C">
        <w:rPr>
          <w:rFonts w:ascii="Times New Roman" w:hAnsi="Times New Roman" w:cs="Times New Roman"/>
          <w:sz w:val="24"/>
          <w:szCs w:val="24"/>
        </w:rPr>
        <w:t>-</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 VAM (50% + 50% Each), T</w:t>
      </w:r>
      <w:r w:rsidRPr="009B5D7C">
        <w:rPr>
          <w:rFonts w:ascii="Times New Roman" w:hAnsi="Times New Roman" w:cs="Times New Roman"/>
          <w:sz w:val="24"/>
          <w:szCs w:val="24"/>
          <w:vertAlign w:val="subscript"/>
        </w:rPr>
        <w:t>11</w:t>
      </w:r>
      <w:r w:rsidRPr="009B5D7C">
        <w:rPr>
          <w:rFonts w:ascii="Times New Roman" w:hAnsi="Times New Roman" w:cs="Times New Roman"/>
          <w:sz w:val="24"/>
          <w:szCs w:val="24"/>
        </w:rPr>
        <w:t xml:space="preserve">- RDF + </w:t>
      </w:r>
      <w:proofErr w:type="spellStart"/>
      <w:r w:rsidRPr="009B5D7C">
        <w:rPr>
          <w:rFonts w:ascii="Times New Roman" w:hAnsi="Times New Roman" w:cs="Times New Roman"/>
          <w:sz w:val="24"/>
          <w:szCs w:val="24"/>
        </w:rPr>
        <w:t>Azotobacter</w:t>
      </w:r>
      <w:proofErr w:type="spellEnd"/>
      <w:r w:rsidRPr="009B5D7C">
        <w:rPr>
          <w:rFonts w:ascii="Times New Roman" w:hAnsi="Times New Roman" w:cs="Times New Roman"/>
          <w:sz w:val="24"/>
          <w:szCs w:val="24"/>
        </w:rPr>
        <w:t xml:space="preserve"> + </w:t>
      </w:r>
      <w:proofErr w:type="spellStart"/>
      <w:r w:rsidRPr="009B5D7C">
        <w:rPr>
          <w:rFonts w:ascii="Times New Roman" w:hAnsi="Times New Roman" w:cs="Times New Roman"/>
          <w:i/>
          <w:iCs/>
          <w:sz w:val="24"/>
          <w:szCs w:val="24"/>
        </w:rPr>
        <w:t>Azospirillum</w:t>
      </w:r>
      <w:proofErr w:type="spellEnd"/>
      <w:r w:rsidRPr="009B5D7C">
        <w:rPr>
          <w:rFonts w:ascii="Times New Roman" w:hAnsi="Times New Roman" w:cs="Times New Roman"/>
          <w:sz w:val="24"/>
          <w:szCs w:val="24"/>
        </w:rPr>
        <w:t xml:space="preserve"> + VAM (25 + 25 + 25 + 25 Each) at days to 50% visible curd recorded 86.50, 83.24, 87.75, 81.25, 87.75, 81.24, 87.20, 78.00, 80.25 % curd formation, respectively. The similar result was recorded by the </w:t>
      </w:r>
      <w:proofErr w:type="spellStart"/>
      <w:r w:rsidRPr="009B5D7C">
        <w:rPr>
          <w:rFonts w:ascii="Times New Roman" w:hAnsi="Times New Roman" w:cs="Times New Roman"/>
          <w:color w:val="000000" w:themeColor="text1"/>
          <w:sz w:val="24"/>
          <w:szCs w:val="24"/>
        </w:rPr>
        <w:t>Shapla</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(2014).</w:t>
      </w:r>
    </w:p>
    <w:p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maximum curd harvesting days (87.08)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followed by 85.12 days in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treatment. It was discovered that the effects of various treatments had a substantial impact on the curd diameter (mm). According to the data,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had the biggest curd diameter (168.22 mm), followed by treatments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 and T</w:t>
      </w:r>
      <w:r w:rsidRPr="009B5D7C">
        <w:rPr>
          <w:rFonts w:ascii="Times New Roman" w:hAnsi="Times New Roman" w:cs="Times New Roman"/>
          <w:sz w:val="24"/>
          <w:szCs w:val="24"/>
          <w:vertAlign w:val="subscript"/>
        </w:rPr>
        <w:t>3</w:t>
      </w:r>
      <w:r w:rsidRPr="009B5D7C">
        <w:rPr>
          <w:rFonts w:ascii="Times New Roman" w:hAnsi="Times New Roman" w:cs="Times New Roman"/>
          <w:sz w:val="24"/>
          <w:szCs w:val="24"/>
        </w:rPr>
        <w:t xml:space="preserve"> (167.59 and 167.01 </w:t>
      </w:r>
      <w:r w:rsidRPr="009B5D7C">
        <w:rPr>
          <w:rFonts w:ascii="Times New Roman" w:hAnsi="Times New Roman" w:cs="Times New Roman"/>
          <w:sz w:val="24"/>
          <w:szCs w:val="24"/>
        </w:rPr>
        <w:lastRenderedPageBreak/>
        <w:t>mm, respectively). The maximum curd weight with and without leaves (558.64 and 459.50 g, respectively) was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while lowest curd weight with and without leaves (434.15 and 364.81 g, respectively) was observed in control treatment. The broccoli crop superior in its vegetative growth like plant height, number of leaves and fresh weight which allowed plants to receive more light energy and consequently more photosynthesis and photosynthetic metabolites which translocated and stored in the forms of curd yie</w:t>
      </w:r>
      <w:r w:rsidR="009F74AA">
        <w:rPr>
          <w:rFonts w:ascii="Times New Roman" w:hAnsi="Times New Roman" w:cs="Times New Roman"/>
          <w:sz w:val="24"/>
          <w:szCs w:val="24"/>
        </w:rPr>
        <w:t xml:space="preserve">ld. </w:t>
      </w:r>
      <w:r w:rsidRPr="009B5D7C">
        <w:rPr>
          <w:rFonts w:ascii="Times New Roman" w:hAnsi="Times New Roman" w:cs="Times New Roman"/>
          <w:sz w:val="24"/>
          <w:szCs w:val="24"/>
        </w:rPr>
        <w:t xml:space="preserve">This results also indicate by other </w:t>
      </w:r>
      <w:proofErr w:type="spellStart"/>
      <w:r w:rsidRPr="009B5D7C">
        <w:rPr>
          <w:rFonts w:ascii="Times New Roman" w:hAnsi="Times New Roman" w:cs="Times New Roman"/>
          <w:color w:val="000000" w:themeColor="text1"/>
          <w:sz w:val="24"/>
          <w:szCs w:val="24"/>
        </w:rPr>
        <w:t>Solunke</w:t>
      </w:r>
      <w:proofErr w:type="spellEnd"/>
      <w:r w:rsidRPr="009B5D7C">
        <w:rPr>
          <w:rFonts w:ascii="Times New Roman" w:hAnsi="Times New Roman" w:cs="Times New Roman"/>
          <w:color w:val="000000" w:themeColor="text1"/>
          <w:sz w:val="24"/>
          <w:szCs w:val="24"/>
        </w:rPr>
        <w:t xml:space="preserve">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(2011).</w:t>
      </w:r>
      <w:r w:rsidRPr="009B5D7C">
        <w:rPr>
          <w:rFonts w:ascii="Times New Roman" w:hAnsi="Times New Roman" w:cs="Times New Roman"/>
          <w:sz w:val="24"/>
          <w:szCs w:val="24"/>
        </w:rPr>
        <w:t xml:space="preserve"> The data on the volume of curd are showed that maximum volume of curd (1196.36 cc)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whereas minimum curd volume (867.43 cc) recorded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-(Control) treatment. Likewise, maximum dry matter content (31.16%) was observed in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followed by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with 30.21% of dry matter content. Using biofertilizers, organic manures, and inorganic fertilizers can significantly increase development characteristics by providing a consistent supply of nutrients throughout the growth period. Biofertilizers may stimulate the synthesis of phytohormones such as IAA, GA, and Cytokines, leading to improved root development, nutrient uptake, and growth which might have </w:t>
      </w:r>
      <w:proofErr w:type="spellStart"/>
      <w:r w:rsidRPr="009B5D7C">
        <w:rPr>
          <w:rFonts w:ascii="Times New Roman" w:hAnsi="Times New Roman" w:cs="Times New Roman"/>
          <w:sz w:val="24"/>
          <w:szCs w:val="24"/>
        </w:rPr>
        <w:t>favoured</w:t>
      </w:r>
      <w:proofErr w:type="spellEnd"/>
      <w:r w:rsidRPr="009B5D7C">
        <w:rPr>
          <w:rFonts w:ascii="Times New Roman" w:hAnsi="Times New Roman" w:cs="Times New Roman"/>
          <w:sz w:val="24"/>
          <w:szCs w:val="24"/>
        </w:rPr>
        <w:t xml:space="preserve"> the production as well as accumulation of prepared food. Similar results were also observed by </w:t>
      </w:r>
      <w:r w:rsidRPr="009B5D7C">
        <w:rPr>
          <w:rFonts w:ascii="Times New Roman" w:hAnsi="Times New Roman" w:cs="Times New Roman"/>
          <w:color w:val="000000" w:themeColor="text1"/>
          <w:sz w:val="24"/>
          <w:szCs w:val="24"/>
        </w:rPr>
        <w:t xml:space="preserve">Maurya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(2008)</w:t>
      </w:r>
      <w:r w:rsidRPr="009B5D7C">
        <w:rPr>
          <w:rFonts w:ascii="Times New Roman" w:hAnsi="Times New Roman" w:cs="Times New Roman"/>
          <w:sz w:val="24"/>
          <w:szCs w:val="24"/>
        </w:rPr>
        <w:t xml:space="preserve"> in broccoli.</w:t>
      </w:r>
    </w:p>
    <w:p w:rsidR="00653097" w:rsidRPr="009B5D7C" w:rsidRDefault="00653097" w:rsidP="009B5D7C">
      <w:pPr>
        <w:spacing w:line="360" w:lineRule="auto"/>
        <w:ind w:firstLine="720"/>
        <w:jc w:val="both"/>
        <w:rPr>
          <w:rFonts w:ascii="Times New Roman" w:hAnsi="Times New Roman" w:cs="Times New Roman"/>
          <w:sz w:val="24"/>
          <w:szCs w:val="24"/>
        </w:rPr>
      </w:pPr>
      <w:r w:rsidRPr="009B5D7C">
        <w:rPr>
          <w:rFonts w:ascii="Times New Roman" w:hAnsi="Times New Roman" w:cs="Times New Roman"/>
          <w:sz w:val="24"/>
          <w:szCs w:val="24"/>
        </w:rPr>
        <w:t>The findings of the one-year study (2022–2023) demonstrated that various integrated nutrients had a substantial impact on the yi</w:t>
      </w:r>
      <w:r w:rsidR="009F74AA">
        <w:rPr>
          <w:rFonts w:ascii="Times New Roman" w:hAnsi="Times New Roman" w:cs="Times New Roman"/>
          <w:sz w:val="24"/>
          <w:szCs w:val="24"/>
        </w:rPr>
        <w:t>eld per plot at harvest. Table-2</w:t>
      </w:r>
      <w:r w:rsidRPr="009B5D7C">
        <w:rPr>
          <w:rFonts w:ascii="Times New Roman" w:hAnsi="Times New Roman" w:cs="Times New Roman"/>
          <w:sz w:val="24"/>
          <w:szCs w:val="24"/>
        </w:rPr>
        <w:t xml:space="preserve"> makes it evident that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produced the highest yield (7.59 kg/plot&amp; 359.98 q/ha) during experimental investigation. Treatment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came next, and it produced yield of 7.23 kg/plot and 351.39 q/ha of broccoli curd. The lowest yield (5.65 kg/plot &amp; 252.47 q/ha) was observed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 xml:space="preserve">-(Control) treatment. In addition, VAM provide biologically fixed nutrients to plants and the secretion of beneficial growth promoting substances like IAA, GA, </w:t>
      </w:r>
      <w:proofErr w:type="spellStart"/>
      <w:r w:rsidRPr="009B5D7C">
        <w:rPr>
          <w:rFonts w:ascii="Times New Roman" w:hAnsi="Times New Roman" w:cs="Times New Roman"/>
          <w:sz w:val="24"/>
          <w:szCs w:val="24"/>
        </w:rPr>
        <w:t>kinetins</w:t>
      </w:r>
      <w:proofErr w:type="spellEnd"/>
      <w:r w:rsidRPr="009B5D7C">
        <w:rPr>
          <w:rFonts w:ascii="Times New Roman" w:hAnsi="Times New Roman" w:cs="Times New Roman"/>
          <w:sz w:val="24"/>
          <w:szCs w:val="24"/>
        </w:rPr>
        <w:t xml:space="preserve">, riboflavin, and thiamine, which can result in higher apical and lateral head yield </w:t>
      </w:r>
      <w:r w:rsidRPr="009B5D7C">
        <w:rPr>
          <w:rFonts w:ascii="Times New Roman" w:hAnsi="Times New Roman" w:cs="Times New Roman"/>
          <w:color w:val="000000" w:themeColor="text1"/>
          <w:sz w:val="24"/>
          <w:szCs w:val="24"/>
        </w:rPr>
        <w:t xml:space="preserve">(Das </w:t>
      </w:r>
      <w:r w:rsidRPr="009B5D7C">
        <w:rPr>
          <w:rFonts w:ascii="Times New Roman" w:hAnsi="Times New Roman" w:cs="Times New Roman"/>
          <w:i/>
          <w:iCs/>
          <w:color w:val="000000" w:themeColor="text1"/>
          <w:sz w:val="24"/>
          <w:szCs w:val="24"/>
        </w:rPr>
        <w:t>et al</w:t>
      </w:r>
      <w:r w:rsidRPr="009B5D7C">
        <w:rPr>
          <w:rFonts w:ascii="Times New Roman" w:hAnsi="Times New Roman" w:cs="Times New Roman"/>
          <w:color w:val="000000" w:themeColor="text1"/>
          <w:sz w:val="24"/>
          <w:szCs w:val="24"/>
        </w:rPr>
        <w:t>., 2006).</w:t>
      </w:r>
      <w:r w:rsidRPr="009B5D7C">
        <w:rPr>
          <w:rFonts w:ascii="Times New Roman" w:hAnsi="Times New Roman" w:cs="Times New Roman"/>
          <w:sz w:val="24"/>
          <w:szCs w:val="24"/>
        </w:rPr>
        <w:t xml:space="preserve"> The data on different quality parameters of b</w:t>
      </w:r>
      <w:r w:rsidR="009F74AA">
        <w:rPr>
          <w:rFonts w:ascii="Times New Roman" w:hAnsi="Times New Roman" w:cs="Times New Roman"/>
          <w:sz w:val="24"/>
          <w:szCs w:val="24"/>
        </w:rPr>
        <w:t>roccoli are presented in Table-3</w:t>
      </w:r>
      <w:r w:rsidRPr="009B5D7C">
        <w:rPr>
          <w:rFonts w:ascii="Times New Roman" w:hAnsi="Times New Roman" w:cs="Times New Roman"/>
          <w:sz w:val="24"/>
          <w:szCs w:val="24"/>
        </w:rPr>
        <w:t>. Maximum reducing sugar (2.96%) was observed in treatment T4-(VAM 100%) followed by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with 2.87 %. Highest Non-reducing (1.51%) and total sugar (4.00%) was observed treatment T</w:t>
      </w:r>
      <w:r w:rsidRPr="009B5D7C">
        <w:rPr>
          <w:rFonts w:ascii="Times New Roman" w:hAnsi="Times New Roman" w:cs="Times New Roman"/>
          <w:sz w:val="24"/>
          <w:szCs w:val="24"/>
          <w:vertAlign w:val="subscript"/>
        </w:rPr>
        <w:t>3</w:t>
      </w:r>
      <w:r w:rsidRPr="009B5D7C">
        <w:rPr>
          <w:rFonts w:ascii="Times New Roman" w:hAnsi="Times New Roman" w:cs="Times New Roman"/>
          <w:sz w:val="24"/>
          <w:szCs w:val="24"/>
        </w:rPr>
        <w:t>-(</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100%) followed by T</w:t>
      </w:r>
      <w:r w:rsidRPr="009B5D7C">
        <w:rPr>
          <w:rFonts w:ascii="Times New Roman" w:hAnsi="Times New Roman" w:cs="Times New Roman"/>
          <w:sz w:val="24"/>
          <w:szCs w:val="24"/>
          <w:vertAlign w:val="subscript"/>
        </w:rPr>
        <w:t>10</w:t>
      </w:r>
      <w:r w:rsidRPr="009B5D7C">
        <w:rPr>
          <w:rFonts w:ascii="Times New Roman" w:hAnsi="Times New Roman" w:cs="Times New Roman"/>
          <w:sz w:val="24"/>
          <w:szCs w:val="24"/>
        </w:rPr>
        <w:t>-(</w:t>
      </w:r>
      <w:proofErr w:type="spellStart"/>
      <w:r w:rsidRPr="009B5D7C">
        <w:rPr>
          <w:rFonts w:ascii="Times New Roman" w:hAnsi="Times New Roman" w:cs="Times New Roman"/>
          <w:sz w:val="24"/>
          <w:szCs w:val="24"/>
        </w:rPr>
        <w:t>Azospirillum</w:t>
      </w:r>
      <w:proofErr w:type="spellEnd"/>
      <w:r w:rsidRPr="009B5D7C">
        <w:rPr>
          <w:rFonts w:ascii="Times New Roman" w:hAnsi="Times New Roman" w:cs="Times New Roman"/>
          <w:sz w:val="24"/>
          <w:szCs w:val="24"/>
        </w:rPr>
        <w:t xml:space="preserve"> + VAM; 50% + 50% Each) with 1.21 % non-reducing and 3.85 % total reducing sugar, respectively. The data regarding vi</w:t>
      </w:r>
      <w:r w:rsidR="009F74AA">
        <w:rPr>
          <w:rFonts w:ascii="Times New Roman" w:hAnsi="Times New Roman" w:cs="Times New Roman"/>
          <w:sz w:val="24"/>
          <w:szCs w:val="24"/>
        </w:rPr>
        <w:t>tamin-c are presented in Table-3</w:t>
      </w:r>
      <w:r w:rsidRPr="009B5D7C">
        <w:rPr>
          <w:rFonts w:ascii="Times New Roman" w:hAnsi="Times New Roman" w:cs="Times New Roman"/>
          <w:sz w:val="24"/>
          <w:szCs w:val="24"/>
        </w:rPr>
        <w:t xml:space="preserve">. </w:t>
      </w:r>
      <w:r w:rsidRPr="009B5D7C">
        <w:rPr>
          <w:rFonts w:ascii="Times New Roman" w:hAnsi="Times New Roman" w:cs="Times New Roman"/>
          <w:sz w:val="24"/>
          <w:szCs w:val="24"/>
        </w:rPr>
        <w:lastRenderedPageBreak/>
        <w:t>Maximum vitamin-c content (92.54 mg/100g) observed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 VAM 50% + 50% each) treatment. The next better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-(RDF + </w:t>
      </w:r>
      <w:proofErr w:type="spellStart"/>
      <w:r w:rsidRPr="009B5D7C">
        <w:rPr>
          <w:rFonts w:ascii="Times New Roman" w:hAnsi="Times New Roman" w:cs="Times New Roman"/>
          <w:sz w:val="24"/>
          <w:szCs w:val="24"/>
        </w:rPr>
        <w:t>Azospirillium</w:t>
      </w:r>
      <w:proofErr w:type="spellEnd"/>
      <w:r w:rsidRPr="009B5D7C">
        <w:rPr>
          <w:rFonts w:ascii="Times New Roman" w:hAnsi="Times New Roman" w:cs="Times New Roman"/>
          <w:sz w:val="24"/>
          <w:szCs w:val="24"/>
        </w:rPr>
        <w:t xml:space="preserve"> 50% + 50% each) with value of 91.79 mg/100g. The highest </w:t>
      </w:r>
      <w:proofErr w:type="spellStart"/>
      <w:r w:rsidRPr="009B5D7C">
        <w:rPr>
          <w:rFonts w:ascii="Times New Roman" w:hAnsi="Times New Roman" w:cs="Times New Roman"/>
          <w:sz w:val="24"/>
          <w:szCs w:val="24"/>
        </w:rPr>
        <w:t>titrable</w:t>
      </w:r>
      <w:proofErr w:type="spellEnd"/>
      <w:r w:rsidRPr="009B5D7C">
        <w:rPr>
          <w:rFonts w:ascii="Times New Roman" w:hAnsi="Times New Roman" w:cs="Times New Roman"/>
          <w:sz w:val="24"/>
          <w:szCs w:val="24"/>
        </w:rPr>
        <w:t xml:space="preserve"> acidity (0.87) recorded in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 xml:space="preserve">-(RDF + VAM 50% + 50% each) treatment, whereas lowest </w:t>
      </w:r>
      <w:proofErr w:type="spellStart"/>
      <w:r w:rsidRPr="009B5D7C">
        <w:rPr>
          <w:rFonts w:ascii="Times New Roman" w:hAnsi="Times New Roman" w:cs="Times New Roman"/>
          <w:sz w:val="24"/>
          <w:szCs w:val="24"/>
        </w:rPr>
        <w:t>titrable</w:t>
      </w:r>
      <w:proofErr w:type="spellEnd"/>
      <w:r w:rsidRPr="009B5D7C">
        <w:rPr>
          <w:rFonts w:ascii="Times New Roman" w:hAnsi="Times New Roman" w:cs="Times New Roman"/>
          <w:sz w:val="24"/>
          <w:szCs w:val="24"/>
        </w:rPr>
        <w:t xml:space="preserve"> acidity (0.54) was recorded in T</w:t>
      </w:r>
      <w:r w:rsidRPr="009B5D7C">
        <w:rPr>
          <w:rFonts w:ascii="Times New Roman" w:hAnsi="Times New Roman" w:cs="Times New Roman"/>
          <w:sz w:val="24"/>
          <w:szCs w:val="24"/>
          <w:vertAlign w:val="subscript"/>
        </w:rPr>
        <w:t>0</w:t>
      </w:r>
      <w:r w:rsidRPr="009B5D7C">
        <w:rPr>
          <w:rFonts w:ascii="Times New Roman" w:hAnsi="Times New Roman" w:cs="Times New Roman"/>
          <w:sz w:val="24"/>
          <w:szCs w:val="24"/>
        </w:rPr>
        <w:t xml:space="preserve">-(Control) treatment. More or less similar trends observed for total soluble solid (TSS) of broccoli curd. </w:t>
      </w:r>
    </w:p>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Conclusion </w:t>
      </w:r>
    </w:p>
    <w:p w:rsidR="00653097" w:rsidRDefault="00653097" w:rsidP="009B5D7C">
      <w:pPr>
        <w:spacing w:line="360" w:lineRule="auto"/>
        <w:ind w:firstLine="360"/>
        <w:jc w:val="both"/>
        <w:rPr>
          <w:rFonts w:ascii="Times New Roman" w:hAnsi="Times New Roman" w:cs="Times New Roman"/>
          <w:sz w:val="24"/>
          <w:szCs w:val="24"/>
        </w:rPr>
      </w:pPr>
      <w:r w:rsidRPr="009B5D7C">
        <w:rPr>
          <w:rFonts w:ascii="Times New Roman" w:hAnsi="Times New Roman" w:cs="Times New Roman"/>
          <w:sz w:val="24"/>
          <w:szCs w:val="24"/>
        </w:rPr>
        <w:t>On the basis of the present experimentation, it was concluding that the treatment T</w:t>
      </w:r>
      <w:r w:rsidRPr="009B5D7C">
        <w:rPr>
          <w:rFonts w:ascii="Times New Roman" w:hAnsi="Times New Roman" w:cs="Times New Roman"/>
          <w:sz w:val="24"/>
          <w:szCs w:val="24"/>
          <w:vertAlign w:val="subscript"/>
        </w:rPr>
        <w:t>7</w:t>
      </w:r>
      <w:r w:rsidRPr="009B5D7C">
        <w:rPr>
          <w:rFonts w:ascii="Times New Roman" w:hAnsi="Times New Roman" w:cs="Times New Roman"/>
          <w:sz w:val="24"/>
          <w:szCs w:val="24"/>
        </w:rPr>
        <w:t>-(RDF 50%+ VAM 50%) was found superior in terms of different yield and quality parameter such as curd initiation days, curd formation (%), curd harvesting days, curd diameter (mm), curd weight with and without leaf (g), curd volume (cc), dry matter content (%), yield/plot (kg) and total yield (q/ha), ascorbic acid, total soluble solid (TSS), total sugar, reducing sugar and non-reducing sugar content The next better treatment was T</w:t>
      </w:r>
      <w:r w:rsidRPr="009B5D7C">
        <w:rPr>
          <w:rFonts w:ascii="Times New Roman" w:hAnsi="Times New Roman" w:cs="Times New Roman"/>
          <w:sz w:val="24"/>
          <w:szCs w:val="24"/>
          <w:vertAlign w:val="subscript"/>
        </w:rPr>
        <w:t>6</w:t>
      </w:r>
      <w:r w:rsidRPr="009B5D7C">
        <w:rPr>
          <w:rFonts w:ascii="Times New Roman" w:hAnsi="Times New Roman" w:cs="Times New Roman"/>
          <w:sz w:val="24"/>
          <w:szCs w:val="24"/>
        </w:rPr>
        <w:t xml:space="preserve"> (RDF + </w:t>
      </w:r>
      <w:proofErr w:type="spellStart"/>
      <w:r w:rsidRPr="009B5D7C">
        <w:rPr>
          <w:rFonts w:ascii="Times New Roman" w:hAnsi="Times New Roman" w:cs="Times New Roman"/>
          <w:i/>
          <w:iCs/>
          <w:sz w:val="24"/>
          <w:szCs w:val="24"/>
        </w:rPr>
        <w:t>Azospirillium</w:t>
      </w:r>
      <w:proofErr w:type="spellEnd"/>
      <w:r w:rsidRPr="009B5D7C">
        <w:rPr>
          <w:rFonts w:ascii="Times New Roman" w:hAnsi="Times New Roman" w:cs="Times New Roman"/>
          <w:sz w:val="24"/>
          <w:szCs w:val="24"/>
        </w:rPr>
        <w:t xml:space="preserve"> 50% + 50% each).</w:t>
      </w:r>
    </w:p>
    <w:p w:rsidR="002C4FE6" w:rsidRDefault="002C4FE6" w:rsidP="00F7161F">
      <w:pPr>
        <w:tabs>
          <w:tab w:val="left" w:pos="5824"/>
        </w:tabs>
        <w:spacing w:line="360" w:lineRule="auto"/>
        <w:jc w:val="both"/>
        <w:rPr>
          <w:rFonts w:ascii="Times New Roman" w:hAnsi="Times New Roman" w:cs="Times New Roman"/>
          <w:b/>
          <w:sz w:val="24"/>
          <w:szCs w:val="24"/>
        </w:rPr>
      </w:pPr>
    </w:p>
    <w:p w:rsidR="002C4FE6" w:rsidRDefault="002C4FE6" w:rsidP="00F7161F">
      <w:pPr>
        <w:tabs>
          <w:tab w:val="left" w:pos="5824"/>
        </w:tabs>
        <w:spacing w:line="360" w:lineRule="auto"/>
        <w:jc w:val="both"/>
        <w:rPr>
          <w:rFonts w:ascii="Times New Roman" w:hAnsi="Times New Roman" w:cs="Times New Roman"/>
          <w:b/>
          <w:sz w:val="24"/>
          <w:szCs w:val="24"/>
        </w:rPr>
      </w:pPr>
    </w:p>
    <w:p w:rsidR="00F7161F" w:rsidRDefault="00F7161F" w:rsidP="00F7161F">
      <w:pPr>
        <w:tabs>
          <w:tab w:val="left" w:pos="5824"/>
        </w:tabs>
        <w:spacing w:line="360" w:lineRule="auto"/>
        <w:jc w:val="both"/>
        <w:rPr>
          <w:rFonts w:ascii="Times New Roman" w:hAnsi="Times New Roman" w:cs="Times New Roman"/>
          <w:b/>
          <w:sz w:val="24"/>
          <w:szCs w:val="24"/>
        </w:rPr>
      </w:pPr>
      <w:r>
        <w:rPr>
          <w:rFonts w:ascii="Times New Roman" w:hAnsi="Times New Roman" w:cs="Times New Roman"/>
          <w:b/>
          <w:sz w:val="24"/>
          <w:szCs w:val="24"/>
        </w:rPr>
        <w:t>Disclaimer</w:t>
      </w:r>
      <w:r>
        <w:rPr>
          <w:rFonts w:ascii="Times New Roman" w:hAnsi="Times New Roman" w:cs="Times New Roman"/>
          <w:b/>
          <w:sz w:val="24"/>
          <w:szCs w:val="24"/>
        </w:rPr>
        <w:tab/>
      </w:r>
    </w:p>
    <w:p w:rsidR="00F7161F" w:rsidRDefault="00F7161F" w:rsidP="00F7161F">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text-to-image generators have been used during writing or editing of this manuscript.</w:t>
      </w:r>
    </w:p>
    <w:p w:rsidR="00F7161F" w:rsidRPr="00D75CBD" w:rsidRDefault="00F7161F" w:rsidP="00F7161F">
      <w:pPr>
        <w:spacing w:line="360" w:lineRule="auto"/>
        <w:jc w:val="both"/>
        <w:rPr>
          <w:rFonts w:ascii="Times New Roman" w:hAnsi="Times New Roman" w:cs="Times New Roman"/>
          <w:b/>
          <w:color w:val="000000" w:themeColor="text1"/>
          <w:sz w:val="24"/>
          <w:szCs w:val="24"/>
        </w:rPr>
      </w:pPr>
      <w:r w:rsidRPr="00D75CBD">
        <w:rPr>
          <w:rFonts w:ascii="Times New Roman" w:hAnsi="Times New Roman" w:cs="Times New Roman"/>
          <w:b/>
          <w:color w:val="000000" w:themeColor="text1"/>
          <w:sz w:val="24"/>
          <w:szCs w:val="24"/>
        </w:rPr>
        <w:t>Acknowledgement</w:t>
      </w:r>
    </w:p>
    <w:p w:rsidR="00F7161F" w:rsidRPr="00D75CBD" w:rsidRDefault="00F7161F" w:rsidP="00D75CBD">
      <w:pPr>
        <w:spacing w:after="0" w:line="360" w:lineRule="auto"/>
        <w:rPr>
          <w:rFonts w:ascii="Times New Roman" w:eastAsia="Times New Roman" w:hAnsi="Times New Roman" w:cs="Times New Roman"/>
          <w:color w:val="000000" w:themeColor="text1"/>
          <w:sz w:val="24"/>
          <w:szCs w:val="24"/>
        </w:rPr>
      </w:pPr>
      <w:r w:rsidRPr="00D75CBD">
        <w:rPr>
          <w:rFonts w:ascii="Times New Roman" w:hAnsi="Times New Roman" w:cs="Times New Roman"/>
          <w:color w:val="000000" w:themeColor="text1"/>
          <w:sz w:val="24"/>
          <w:szCs w:val="24"/>
        </w:rPr>
        <w:t>The authors are grateful to the chairma</w:t>
      </w:r>
      <w:r w:rsidR="00D75CBD" w:rsidRPr="00D75CBD">
        <w:rPr>
          <w:rFonts w:ascii="Times New Roman" w:hAnsi="Times New Roman" w:cs="Times New Roman"/>
          <w:color w:val="000000" w:themeColor="text1"/>
          <w:sz w:val="24"/>
          <w:szCs w:val="24"/>
        </w:rPr>
        <w:t>n of advisory committee, Department of Horticulture</w:t>
      </w:r>
      <w:r w:rsidRPr="00D75CBD">
        <w:rPr>
          <w:rFonts w:ascii="Times New Roman" w:hAnsi="Times New Roman" w:cs="Times New Roman"/>
          <w:color w:val="000000" w:themeColor="text1"/>
          <w:sz w:val="24"/>
          <w:szCs w:val="24"/>
        </w:rPr>
        <w:t xml:space="preserve"> and all the member of advisory committee </w:t>
      </w:r>
      <w:r w:rsidR="00D75CBD" w:rsidRPr="00D75CBD">
        <w:rPr>
          <w:rFonts w:ascii="Times New Roman" w:eastAsia="Times New Roman" w:hAnsi="Times New Roman" w:cs="Times New Roman"/>
          <w:color w:val="000000" w:themeColor="text1"/>
          <w:sz w:val="24"/>
          <w:szCs w:val="24"/>
        </w:rPr>
        <w:t>school of agriculture sciences and technology, Babasaheb Bhimrao Ambedkar University (A Central University), Lucknow, Uttar Pradesh</w:t>
      </w:r>
      <w:r w:rsidR="00D75CBD" w:rsidRPr="00D75CBD">
        <w:rPr>
          <w:rFonts w:ascii="Times New Roman" w:hAnsi="Times New Roman" w:cs="Times New Roman"/>
          <w:color w:val="000000" w:themeColor="text1"/>
          <w:sz w:val="24"/>
          <w:szCs w:val="24"/>
        </w:rPr>
        <w:t xml:space="preserve"> </w:t>
      </w:r>
      <w:r w:rsidRPr="00D75CBD">
        <w:rPr>
          <w:rFonts w:ascii="Times New Roman" w:hAnsi="Times New Roman" w:cs="Times New Roman"/>
          <w:color w:val="000000" w:themeColor="text1"/>
          <w:sz w:val="24"/>
          <w:szCs w:val="24"/>
        </w:rPr>
        <w:t>for providing all the facilities to conduct the research.</w:t>
      </w:r>
    </w:p>
    <w:p w:rsidR="00F7161F" w:rsidRPr="00EC3BC2" w:rsidRDefault="00F7161F" w:rsidP="00F7161F">
      <w:pPr>
        <w:spacing w:after="0" w:line="360" w:lineRule="auto"/>
        <w:jc w:val="both"/>
        <w:rPr>
          <w:rFonts w:ascii="Times New Roman" w:hAnsi="Times New Roman" w:cs="Times New Roman"/>
          <w:b/>
          <w:bCs/>
          <w:color w:val="000000" w:themeColor="text1"/>
          <w:sz w:val="24"/>
          <w:szCs w:val="24"/>
        </w:rPr>
      </w:pPr>
      <w:r w:rsidRPr="00EC3BC2">
        <w:rPr>
          <w:rFonts w:ascii="Times New Roman" w:hAnsi="Times New Roman" w:cs="Times New Roman"/>
          <w:b/>
          <w:bCs/>
          <w:color w:val="000000" w:themeColor="text1"/>
          <w:sz w:val="24"/>
          <w:szCs w:val="24"/>
        </w:rPr>
        <w:t>Author contributions</w:t>
      </w:r>
    </w:p>
    <w:p w:rsidR="00F7161F" w:rsidRPr="00EC3BC2" w:rsidRDefault="00D75CBD" w:rsidP="00F7161F">
      <w:pPr>
        <w:spacing w:after="0" w:line="360" w:lineRule="auto"/>
        <w:jc w:val="both"/>
        <w:rPr>
          <w:rFonts w:ascii="Times New Roman" w:eastAsia="MinionPro-Regular" w:hAnsi="Times New Roman" w:cs="Times New Roman"/>
          <w:color w:val="000000" w:themeColor="text1"/>
          <w:sz w:val="24"/>
          <w:szCs w:val="24"/>
        </w:rPr>
      </w:pPr>
      <w:r w:rsidRPr="00EC3BC2">
        <w:rPr>
          <w:rFonts w:ascii="Times New Roman" w:eastAsia="MinionPro-Regular" w:hAnsi="Times New Roman" w:cs="Times New Roman"/>
          <w:color w:val="000000" w:themeColor="text1"/>
          <w:sz w:val="24"/>
          <w:szCs w:val="24"/>
        </w:rPr>
        <w:t>S.S., S.K. and S.Y. designed the study. S</w:t>
      </w:r>
      <w:r w:rsidR="00F7161F" w:rsidRPr="00EC3BC2">
        <w:rPr>
          <w:rFonts w:ascii="Times New Roman" w:eastAsia="MinionPro-Regular" w:hAnsi="Times New Roman" w:cs="Times New Roman"/>
          <w:color w:val="000000" w:themeColor="text1"/>
          <w:sz w:val="24"/>
          <w:szCs w:val="24"/>
        </w:rPr>
        <w:t>.</w:t>
      </w:r>
      <w:r w:rsidRPr="00EC3BC2">
        <w:rPr>
          <w:rFonts w:ascii="Times New Roman" w:eastAsia="MinionPro-Regular" w:hAnsi="Times New Roman" w:cs="Times New Roman"/>
          <w:color w:val="000000" w:themeColor="text1"/>
          <w:sz w:val="24"/>
          <w:szCs w:val="24"/>
        </w:rPr>
        <w:t>S.</w:t>
      </w:r>
      <w:r w:rsidR="00F7161F" w:rsidRPr="00EC3BC2">
        <w:rPr>
          <w:rFonts w:ascii="Times New Roman" w:eastAsia="MinionPro-Regular" w:hAnsi="Times New Roman" w:cs="Times New Roman"/>
          <w:color w:val="000000" w:themeColor="text1"/>
          <w:sz w:val="24"/>
          <w:szCs w:val="24"/>
        </w:rPr>
        <w:t xml:space="preserve"> conducted the</w:t>
      </w:r>
      <w:r w:rsidRPr="00EC3BC2">
        <w:rPr>
          <w:rFonts w:ascii="Times New Roman" w:eastAsia="MinionPro-Regular" w:hAnsi="Times New Roman" w:cs="Times New Roman"/>
          <w:color w:val="000000" w:themeColor="text1"/>
          <w:sz w:val="24"/>
          <w:szCs w:val="24"/>
        </w:rPr>
        <w:t xml:space="preserve"> field and laboratory experiments. M</w:t>
      </w:r>
      <w:r w:rsidR="00F7161F" w:rsidRPr="00EC3BC2">
        <w:rPr>
          <w:rFonts w:ascii="Times New Roman" w:eastAsia="MinionPro-Regular" w:hAnsi="Times New Roman" w:cs="Times New Roman"/>
          <w:color w:val="000000" w:themeColor="text1"/>
          <w:sz w:val="24"/>
          <w:szCs w:val="24"/>
        </w:rPr>
        <w:t>.</w:t>
      </w:r>
      <w:r w:rsidRPr="00EC3BC2">
        <w:rPr>
          <w:rFonts w:ascii="Times New Roman" w:eastAsia="MinionPro-Regular" w:hAnsi="Times New Roman" w:cs="Times New Roman"/>
          <w:color w:val="000000" w:themeColor="text1"/>
          <w:sz w:val="24"/>
          <w:szCs w:val="24"/>
        </w:rPr>
        <w:t>B.M., J.A., and F.K</w:t>
      </w:r>
      <w:r w:rsidR="00F7161F" w:rsidRPr="00EC3BC2">
        <w:rPr>
          <w:rFonts w:ascii="Times New Roman" w:eastAsia="MinionPro-Regular" w:hAnsi="Times New Roman" w:cs="Times New Roman"/>
          <w:color w:val="000000" w:themeColor="text1"/>
          <w:sz w:val="24"/>
          <w:szCs w:val="24"/>
        </w:rPr>
        <w:t>. prep</w:t>
      </w:r>
      <w:r w:rsidRPr="00EC3BC2">
        <w:rPr>
          <w:rFonts w:ascii="Times New Roman" w:eastAsia="MinionPro-Regular" w:hAnsi="Times New Roman" w:cs="Times New Roman"/>
          <w:color w:val="000000" w:themeColor="text1"/>
          <w:sz w:val="24"/>
          <w:szCs w:val="24"/>
        </w:rPr>
        <w:t>ared figures and tables. S.K. and S.Y</w:t>
      </w:r>
      <w:r w:rsidR="00F7161F" w:rsidRPr="00EC3BC2">
        <w:rPr>
          <w:rFonts w:ascii="Times New Roman" w:eastAsia="MinionPro-Regular" w:hAnsi="Times New Roman" w:cs="Times New Roman"/>
          <w:color w:val="000000" w:themeColor="text1"/>
          <w:sz w:val="24"/>
          <w:szCs w:val="24"/>
        </w:rPr>
        <w:t>. provided overall</w:t>
      </w:r>
      <w:r w:rsidR="005F34AC">
        <w:rPr>
          <w:rFonts w:ascii="Times New Roman" w:eastAsia="MinionPro-Regular" w:hAnsi="Times New Roman" w:cs="Times New Roman"/>
          <w:color w:val="000000" w:themeColor="text1"/>
          <w:sz w:val="24"/>
          <w:szCs w:val="24"/>
        </w:rPr>
        <w:t xml:space="preserve"> supervision </w:t>
      </w:r>
      <w:r w:rsidR="005F34AC">
        <w:rPr>
          <w:rFonts w:ascii="Times New Roman" w:eastAsia="MinionPro-Regular" w:hAnsi="Times New Roman" w:cs="Times New Roman"/>
          <w:color w:val="000000" w:themeColor="text1"/>
          <w:sz w:val="24"/>
          <w:szCs w:val="24"/>
        </w:rPr>
        <w:lastRenderedPageBreak/>
        <w:t>to the project. M.M. and S.S</w:t>
      </w:r>
      <w:r w:rsidR="00F7161F" w:rsidRPr="00EC3BC2">
        <w:rPr>
          <w:rFonts w:ascii="Times New Roman" w:eastAsia="MinionPro-Regular" w:hAnsi="Times New Roman" w:cs="Times New Roman"/>
          <w:color w:val="000000" w:themeColor="text1"/>
          <w:sz w:val="24"/>
          <w:szCs w:val="24"/>
        </w:rPr>
        <w:t>. wrote and revised the manuscript. All the authors gone through manuscript, improved and approved the final version of manuscript for submission.</w:t>
      </w:r>
    </w:p>
    <w:p w:rsidR="00F7161F" w:rsidRDefault="00F7161F" w:rsidP="00F7161F">
      <w:pPr>
        <w:spacing w:line="360" w:lineRule="auto"/>
        <w:jc w:val="both"/>
        <w:rPr>
          <w:rFonts w:ascii="Times New Roman" w:eastAsia="Calibri" w:hAnsi="Times New Roman" w:cs="Times New Roman"/>
          <w:b/>
          <w:sz w:val="24"/>
          <w:szCs w:val="24"/>
        </w:rPr>
      </w:pPr>
      <w:r>
        <w:rPr>
          <w:rFonts w:ascii="Times New Roman" w:hAnsi="Times New Roman" w:cs="Times New Roman"/>
          <w:b/>
          <w:sz w:val="24"/>
          <w:szCs w:val="24"/>
        </w:rPr>
        <w:t>Competing interests</w:t>
      </w:r>
    </w:p>
    <w:p w:rsidR="00F7161F" w:rsidRPr="009B5D7C" w:rsidRDefault="00F7161F" w:rsidP="00CE1D11">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interests exist.</w:t>
      </w:r>
    </w:p>
    <w:p w:rsidR="00653097" w:rsidRPr="009B5D7C" w:rsidRDefault="00653097" w:rsidP="009B5D7C">
      <w:pPr>
        <w:spacing w:line="360" w:lineRule="auto"/>
        <w:jc w:val="both"/>
        <w:rPr>
          <w:rFonts w:ascii="Times New Roman" w:hAnsi="Times New Roman" w:cs="Times New Roman"/>
          <w:b/>
          <w:bCs/>
          <w:sz w:val="24"/>
          <w:szCs w:val="24"/>
        </w:rPr>
      </w:pPr>
      <w:r w:rsidRPr="009B5D7C">
        <w:rPr>
          <w:rFonts w:ascii="Times New Roman" w:hAnsi="Times New Roman" w:cs="Times New Roman"/>
          <w:b/>
          <w:bCs/>
          <w:sz w:val="24"/>
          <w:szCs w:val="24"/>
        </w:rPr>
        <w:t xml:space="preserve">References </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AOAC. 1995. Official Methods of Analysis, 16th Ed., Association of Official Analytical Chemists, </w:t>
      </w:r>
      <w:proofErr w:type="spellStart"/>
      <w:r w:rsidRPr="009B5D7C">
        <w:rPr>
          <w:rFonts w:ascii="Times New Roman" w:hAnsi="Times New Roman" w:cs="Times New Roman"/>
          <w:sz w:val="24"/>
          <w:szCs w:val="24"/>
        </w:rPr>
        <w:t>Gaithersberg</w:t>
      </w:r>
      <w:proofErr w:type="spellEnd"/>
      <w:r w:rsidRPr="009B5D7C">
        <w:rPr>
          <w:rFonts w:ascii="Times New Roman" w:hAnsi="Times New Roman" w:cs="Times New Roman"/>
          <w:sz w:val="24"/>
          <w:szCs w:val="24"/>
        </w:rPr>
        <w:t>, MD.</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Das, A., Gautam, M., Gautam, R. C., &amp; </w:t>
      </w:r>
      <w:proofErr w:type="spellStart"/>
      <w:r w:rsidRPr="009B5D7C">
        <w:rPr>
          <w:rFonts w:ascii="Times New Roman" w:hAnsi="Times New Roman" w:cs="Times New Roman"/>
          <w:sz w:val="24"/>
          <w:szCs w:val="24"/>
        </w:rPr>
        <w:t>Shivay</w:t>
      </w:r>
      <w:proofErr w:type="spellEnd"/>
      <w:r w:rsidRPr="009B5D7C">
        <w:rPr>
          <w:rFonts w:ascii="Times New Roman" w:hAnsi="Times New Roman" w:cs="Times New Roman"/>
          <w:sz w:val="24"/>
          <w:szCs w:val="24"/>
        </w:rPr>
        <w:t xml:space="preserve">, Y. S. (2006). </w:t>
      </w:r>
      <w:proofErr w:type="spellStart"/>
      <w:r w:rsidRPr="009B5D7C">
        <w:rPr>
          <w:rFonts w:ascii="Times New Roman" w:hAnsi="Times New Roman" w:cs="Times New Roman"/>
          <w:sz w:val="24"/>
          <w:szCs w:val="24"/>
        </w:rPr>
        <w:t>Productivy</w:t>
      </w:r>
      <w:proofErr w:type="spellEnd"/>
      <w:r w:rsidRPr="009B5D7C">
        <w:rPr>
          <w:rFonts w:ascii="Times New Roman" w:hAnsi="Times New Roman" w:cs="Times New Roman"/>
          <w:sz w:val="24"/>
          <w:szCs w:val="24"/>
        </w:rPr>
        <w:t xml:space="preserve"> of cotton (</w:t>
      </w:r>
      <w:proofErr w:type="spellStart"/>
      <w:r w:rsidRPr="009B5D7C">
        <w:rPr>
          <w:rFonts w:ascii="Times New Roman" w:hAnsi="Times New Roman" w:cs="Times New Roman"/>
          <w:sz w:val="24"/>
          <w:szCs w:val="24"/>
        </w:rPr>
        <w:t>Gossypiumhirsutum</w:t>
      </w:r>
      <w:proofErr w:type="spellEnd"/>
      <w:r w:rsidRPr="009B5D7C">
        <w:rPr>
          <w:rFonts w:ascii="Times New Roman" w:hAnsi="Times New Roman" w:cs="Times New Roman"/>
          <w:sz w:val="24"/>
          <w:szCs w:val="24"/>
        </w:rPr>
        <w:t>) as influenced by organic and inorganic sources of nitrogen. </w:t>
      </w:r>
      <w:r w:rsidRPr="009B5D7C">
        <w:rPr>
          <w:rFonts w:ascii="Times New Roman" w:hAnsi="Times New Roman" w:cs="Times New Roman"/>
          <w:i/>
          <w:iCs/>
          <w:sz w:val="24"/>
          <w:szCs w:val="24"/>
        </w:rPr>
        <w:t>The Indian Journal of Agricultural Sciences</w:t>
      </w:r>
      <w:r w:rsidRPr="009B5D7C">
        <w:rPr>
          <w:rFonts w:ascii="Times New Roman" w:hAnsi="Times New Roman" w:cs="Times New Roman"/>
          <w:sz w:val="24"/>
          <w:szCs w:val="24"/>
        </w:rPr>
        <w:t>, </w:t>
      </w:r>
      <w:r w:rsidRPr="009B5D7C">
        <w:rPr>
          <w:rFonts w:ascii="Times New Roman" w:hAnsi="Times New Roman" w:cs="Times New Roman"/>
          <w:b/>
          <w:bCs/>
          <w:sz w:val="24"/>
          <w:szCs w:val="24"/>
        </w:rPr>
        <w:t>76</w:t>
      </w:r>
      <w:r w:rsidRPr="009B5D7C">
        <w:rPr>
          <w:rFonts w:ascii="Times New Roman" w:hAnsi="Times New Roman" w:cs="Times New Roman"/>
          <w:sz w:val="24"/>
          <w:szCs w:val="24"/>
        </w:rPr>
        <w:t>(6): 354-357.</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DuBois, M., Gilles, K. A., Hamilton, J. K., </w:t>
      </w:r>
      <w:proofErr w:type="spellStart"/>
      <w:r w:rsidRPr="009B5D7C">
        <w:rPr>
          <w:rFonts w:ascii="Times New Roman" w:hAnsi="Times New Roman" w:cs="Times New Roman"/>
          <w:sz w:val="24"/>
          <w:szCs w:val="24"/>
        </w:rPr>
        <w:t>Rebers</w:t>
      </w:r>
      <w:proofErr w:type="spellEnd"/>
      <w:r w:rsidRPr="009B5D7C">
        <w:rPr>
          <w:rFonts w:ascii="Times New Roman" w:hAnsi="Times New Roman" w:cs="Times New Roman"/>
          <w:sz w:val="24"/>
          <w:szCs w:val="24"/>
        </w:rPr>
        <w:t>, P. T., &amp; Smith, F. (1956). Colorimetric method for determination of sugars and related substances. </w:t>
      </w:r>
      <w:r w:rsidRPr="009B5D7C">
        <w:rPr>
          <w:rFonts w:ascii="Times New Roman" w:hAnsi="Times New Roman" w:cs="Times New Roman"/>
          <w:i/>
          <w:iCs/>
          <w:sz w:val="24"/>
          <w:szCs w:val="24"/>
        </w:rPr>
        <w:t>Analytical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28</w:t>
      </w:r>
      <w:r w:rsidRPr="009B5D7C">
        <w:rPr>
          <w:rFonts w:ascii="Times New Roman" w:hAnsi="Times New Roman" w:cs="Times New Roman"/>
          <w:sz w:val="24"/>
          <w:szCs w:val="24"/>
        </w:rPr>
        <w:t>(3): 350-356.</w:t>
      </w:r>
    </w:p>
    <w:p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Itelima</w:t>
      </w:r>
      <w:proofErr w:type="spellEnd"/>
      <w:r w:rsidRPr="009B5D7C">
        <w:rPr>
          <w:rFonts w:ascii="Times New Roman" w:hAnsi="Times New Roman" w:cs="Times New Roman"/>
          <w:sz w:val="24"/>
          <w:szCs w:val="24"/>
        </w:rPr>
        <w:t xml:space="preserve">, J. U., Bang, W. J., </w:t>
      </w:r>
      <w:proofErr w:type="spellStart"/>
      <w:r w:rsidRPr="009B5D7C">
        <w:rPr>
          <w:rFonts w:ascii="Times New Roman" w:hAnsi="Times New Roman" w:cs="Times New Roman"/>
          <w:sz w:val="24"/>
          <w:szCs w:val="24"/>
        </w:rPr>
        <w:t>Onyimba</w:t>
      </w:r>
      <w:proofErr w:type="spellEnd"/>
      <w:r w:rsidRPr="009B5D7C">
        <w:rPr>
          <w:rFonts w:ascii="Times New Roman" w:hAnsi="Times New Roman" w:cs="Times New Roman"/>
          <w:sz w:val="24"/>
          <w:szCs w:val="24"/>
        </w:rPr>
        <w:t xml:space="preserve">, I. A., </w:t>
      </w:r>
      <w:proofErr w:type="spellStart"/>
      <w:r w:rsidRPr="009B5D7C">
        <w:rPr>
          <w:rFonts w:ascii="Times New Roman" w:hAnsi="Times New Roman" w:cs="Times New Roman"/>
          <w:sz w:val="24"/>
          <w:szCs w:val="24"/>
        </w:rPr>
        <w:t>Sila</w:t>
      </w:r>
      <w:proofErr w:type="spellEnd"/>
      <w:r w:rsidRPr="009B5D7C">
        <w:rPr>
          <w:rFonts w:ascii="Times New Roman" w:hAnsi="Times New Roman" w:cs="Times New Roman"/>
          <w:sz w:val="24"/>
          <w:szCs w:val="24"/>
        </w:rPr>
        <w:t xml:space="preserve">, M. D., &amp; </w:t>
      </w:r>
      <w:proofErr w:type="spellStart"/>
      <w:r w:rsidRPr="009B5D7C">
        <w:rPr>
          <w:rFonts w:ascii="Times New Roman" w:hAnsi="Times New Roman" w:cs="Times New Roman"/>
          <w:sz w:val="24"/>
          <w:szCs w:val="24"/>
        </w:rPr>
        <w:t>Egbere</w:t>
      </w:r>
      <w:proofErr w:type="spellEnd"/>
      <w:r w:rsidRPr="009B5D7C">
        <w:rPr>
          <w:rFonts w:ascii="Times New Roman" w:hAnsi="Times New Roman" w:cs="Times New Roman"/>
          <w:sz w:val="24"/>
          <w:szCs w:val="24"/>
        </w:rPr>
        <w:t xml:space="preserve">, O. J. (2018). Bio-fertilizers as key player in enhancing soil fertility and crop productivity: A review. </w:t>
      </w:r>
      <w:r w:rsidRPr="009B5D7C">
        <w:rPr>
          <w:rFonts w:ascii="Times New Roman" w:hAnsi="Times New Roman" w:cs="Times New Roman"/>
          <w:i/>
          <w:iCs/>
          <w:sz w:val="24"/>
          <w:szCs w:val="24"/>
        </w:rPr>
        <w:t>Direct Research Journal of Agriculture and Food Science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6</w:t>
      </w:r>
      <w:r w:rsidRPr="009B5D7C">
        <w:rPr>
          <w:rFonts w:ascii="Times New Roman" w:hAnsi="Times New Roman" w:cs="Times New Roman"/>
          <w:sz w:val="24"/>
          <w:szCs w:val="24"/>
        </w:rPr>
        <w:t>(3): 73-83.</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Maurya, A. K., Singh, M. P., Srivastava, B. K., Singh, Y. V., Singh, D. K., Singh, S., &amp; Singh, P. K. (2008). Effect of organic manures and inorganic fertilizers on growth characters, yield and economics of sprouting broccoli cv. Fiesta. </w:t>
      </w:r>
      <w:r w:rsidRPr="009B5D7C">
        <w:rPr>
          <w:rFonts w:ascii="Times New Roman" w:hAnsi="Times New Roman" w:cs="Times New Roman"/>
          <w:i/>
          <w:iCs/>
          <w:sz w:val="24"/>
          <w:szCs w:val="24"/>
        </w:rPr>
        <w:t>Indian Journal of Horticulture</w:t>
      </w:r>
      <w:r w:rsidRPr="009B5D7C">
        <w:rPr>
          <w:rFonts w:ascii="Times New Roman" w:hAnsi="Times New Roman" w:cs="Times New Roman"/>
          <w:sz w:val="24"/>
          <w:szCs w:val="24"/>
        </w:rPr>
        <w:t>, </w:t>
      </w:r>
      <w:r w:rsidRPr="009B5D7C">
        <w:rPr>
          <w:rFonts w:ascii="Times New Roman" w:hAnsi="Times New Roman" w:cs="Times New Roman"/>
          <w:b/>
          <w:bCs/>
          <w:sz w:val="24"/>
          <w:szCs w:val="24"/>
        </w:rPr>
        <w:t>65</w:t>
      </w:r>
      <w:r w:rsidRPr="009B5D7C">
        <w:rPr>
          <w:rFonts w:ascii="Times New Roman" w:hAnsi="Times New Roman" w:cs="Times New Roman"/>
          <w:sz w:val="24"/>
          <w:szCs w:val="24"/>
        </w:rPr>
        <w:t>(1): 116-118.</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 xml:space="preserve">Miller, G. L. (1959). Use of </w:t>
      </w:r>
      <w:proofErr w:type="spellStart"/>
      <w:r w:rsidRPr="009B5D7C">
        <w:rPr>
          <w:rFonts w:ascii="Times New Roman" w:hAnsi="Times New Roman" w:cs="Times New Roman"/>
          <w:sz w:val="24"/>
          <w:szCs w:val="24"/>
        </w:rPr>
        <w:t>dinitrosalicylic</w:t>
      </w:r>
      <w:proofErr w:type="spellEnd"/>
      <w:r w:rsidRPr="009B5D7C">
        <w:rPr>
          <w:rFonts w:ascii="Times New Roman" w:hAnsi="Times New Roman" w:cs="Times New Roman"/>
          <w:sz w:val="24"/>
          <w:szCs w:val="24"/>
        </w:rPr>
        <w:t xml:space="preserve"> acid reagent for determination of reducing sugar. </w:t>
      </w:r>
      <w:r w:rsidRPr="009B5D7C">
        <w:rPr>
          <w:rFonts w:ascii="Times New Roman" w:hAnsi="Times New Roman" w:cs="Times New Roman"/>
          <w:i/>
          <w:iCs/>
          <w:sz w:val="24"/>
          <w:szCs w:val="24"/>
        </w:rPr>
        <w:t>Analytical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31</w:t>
      </w:r>
      <w:r w:rsidRPr="009B5D7C">
        <w:rPr>
          <w:rFonts w:ascii="Times New Roman" w:hAnsi="Times New Roman" w:cs="Times New Roman"/>
          <w:sz w:val="24"/>
          <w:szCs w:val="24"/>
        </w:rPr>
        <w:t>(3): 426-428.</w:t>
      </w:r>
    </w:p>
    <w:p w:rsidR="00653097" w:rsidRPr="009B5D7C" w:rsidRDefault="00653097" w:rsidP="009B5D7C">
      <w:pPr>
        <w:spacing w:line="360" w:lineRule="auto"/>
        <w:ind w:left="630" w:hanging="630"/>
        <w:jc w:val="both"/>
        <w:rPr>
          <w:rFonts w:ascii="Times New Roman" w:hAnsi="Times New Roman" w:cs="Times New Roman"/>
          <w:sz w:val="24"/>
          <w:szCs w:val="24"/>
        </w:rPr>
      </w:pPr>
      <w:r w:rsidRPr="009B5D7C">
        <w:rPr>
          <w:rFonts w:ascii="Times New Roman" w:hAnsi="Times New Roman" w:cs="Times New Roman"/>
          <w:sz w:val="24"/>
          <w:szCs w:val="24"/>
        </w:rPr>
        <w:t>Mishra, P., &amp; Dash, D. (2014). Rejuvenation of biofertilizer for sustainable agriculture and economic development. </w:t>
      </w:r>
      <w:r w:rsidRPr="009B5D7C">
        <w:rPr>
          <w:rFonts w:ascii="Times New Roman" w:hAnsi="Times New Roman" w:cs="Times New Roman"/>
          <w:i/>
          <w:iCs/>
          <w:sz w:val="24"/>
          <w:szCs w:val="24"/>
        </w:rPr>
        <w:t>Consilience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11</w:t>
      </w:r>
      <w:r w:rsidRPr="009B5D7C">
        <w:rPr>
          <w:rFonts w:ascii="Times New Roman" w:hAnsi="Times New Roman" w:cs="Times New Roman"/>
          <w:sz w:val="24"/>
          <w:szCs w:val="24"/>
        </w:rPr>
        <w:t>(1): 41-61.</w:t>
      </w:r>
    </w:p>
    <w:p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lastRenderedPageBreak/>
        <w:t>Regar</w:t>
      </w:r>
      <w:proofErr w:type="spellEnd"/>
      <w:r w:rsidRPr="009B5D7C">
        <w:rPr>
          <w:rFonts w:ascii="Times New Roman" w:hAnsi="Times New Roman" w:cs="Times New Roman"/>
          <w:sz w:val="24"/>
          <w:szCs w:val="24"/>
        </w:rPr>
        <w:t xml:space="preserve">, O. P., Sharma, M. K., Ola, A. L., &amp; </w:t>
      </w:r>
      <w:proofErr w:type="spellStart"/>
      <w:r w:rsidRPr="009B5D7C">
        <w:rPr>
          <w:rFonts w:ascii="Times New Roman" w:hAnsi="Times New Roman" w:cs="Times New Roman"/>
          <w:sz w:val="24"/>
          <w:szCs w:val="24"/>
        </w:rPr>
        <w:t>Shivran</w:t>
      </w:r>
      <w:proofErr w:type="spellEnd"/>
      <w:r w:rsidRPr="009B5D7C">
        <w:rPr>
          <w:rFonts w:ascii="Times New Roman" w:hAnsi="Times New Roman" w:cs="Times New Roman"/>
          <w:sz w:val="24"/>
          <w:szCs w:val="24"/>
        </w:rPr>
        <w:t xml:space="preserve">, B. C. (2018). Effect of mulching and bio-fertilizers on quality characteristics of sprouting Broccoli (Brassica oleracea var. </w:t>
      </w:r>
      <w:proofErr w:type="spellStart"/>
      <w:r w:rsidRPr="009B5D7C">
        <w:rPr>
          <w:rFonts w:ascii="Times New Roman" w:hAnsi="Times New Roman" w:cs="Times New Roman"/>
          <w:sz w:val="24"/>
          <w:szCs w:val="24"/>
        </w:rPr>
        <w:t>italica</w:t>
      </w:r>
      <w:proofErr w:type="spellEnd"/>
      <w:r w:rsidRPr="009B5D7C">
        <w:rPr>
          <w:rFonts w:ascii="Times New Roman" w:hAnsi="Times New Roman" w:cs="Times New Roman"/>
          <w:sz w:val="24"/>
          <w:szCs w:val="24"/>
        </w:rPr>
        <w:t xml:space="preserve"> L.). </w:t>
      </w:r>
      <w:r w:rsidRPr="009B5D7C">
        <w:rPr>
          <w:rFonts w:ascii="Times New Roman" w:hAnsi="Times New Roman" w:cs="Times New Roman"/>
          <w:i/>
          <w:iCs/>
          <w:sz w:val="24"/>
          <w:szCs w:val="24"/>
        </w:rPr>
        <w:t>Journal of Pharmacognosy and Phytochemistry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7</w:t>
      </w:r>
      <w:r w:rsidRPr="009B5D7C">
        <w:rPr>
          <w:rFonts w:ascii="Times New Roman" w:hAnsi="Times New Roman" w:cs="Times New Roman"/>
          <w:sz w:val="24"/>
          <w:szCs w:val="24"/>
        </w:rPr>
        <w:t>(2): 181-184.</w:t>
      </w:r>
    </w:p>
    <w:p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Samec</w:t>
      </w:r>
      <w:proofErr w:type="spellEnd"/>
      <w:r w:rsidRPr="009B5D7C">
        <w:rPr>
          <w:rFonts w:ascii="Times New Roman" w:hAnsi="Times New Roman" w:cs="Times New Roman"/>
          <w:sz w:val="24"/>
          <w:szCs w:val="24"/>
        </w:rPr>
        <w:t xml:space="preserve">, D., Pavlovic, I., </w:t>
      </w:r>
      <w:proofErr w:type="spellStart"/>
      <w:r w:rsidRPr="009B5D7C">
        <w:rPr>
          <w:rFonts w:ascii="Times New Roman" w:hAnsi="Times New Roman" w:cs="Times New Roman"/>
          <w:sz w:val="24"/>
          <w:szCs w:val="24"/>
        </w:rPr>
        <w:t>Redovnikovic</w:t>
      </w:r>
      <w:proofErr w:type="spellEnd"/>
      <w:r w:rsidRPr="009B5D7C">
        <w:rPr>
          <w:rFonts w:ascii="Times New Roman" w:hAnsi="Times New Roman" w:cs="Times New Roman"/>
          <w:sz w:val="24"/>
          <w:szCs w:val="24"/>
        </w:rPr>
        <w:t xml:space="preserve">, I. R., &amp; </w:t>
      </w:r>
      <w:proofErr w:type="spellStart"/>
      <w:r w:rsidRPr="009B5D7C">
        <w:rPr>
          <w:rFonts w:ascii="Times New Roman" w:hAnsi="Times New Roman" w:cs="Times New Roman"/>
          <w:sz w:val="24"/>
          <w:szCs w:val="24"/>
        </w:rPr>
        <w:t>Salopek-Sondi</w:t>
      </w:r>
      <w:proofErr w:type="spellEnd"/>
      <w:r w:rsidRPr="009B5D7C">
        <w:rPr>
          <w:rFonts w:ascii="Times New Roman" w:hAnsi="Times New Roman" w:cs="Times New Roman"/>
          <w:sz w:val="24"/>
          <w:szCs w:val="24"/>
        </w:rPr>
        <w:t>, B. (2018). Comparative analysis of phytochemicals and activity of endogenous enzymes associated with their stability, bioavailability and food quality in five Brassicaceae sprouts. </w:t>
      </w:r>
      <w:r w:rsidRPr="009B5D7C">
        <w:rPr>
          <w:rFonts w:ascii="Times New Roman" w:hAnsi="Times New Roman" w:cs="Times New Roman"/>
          <w:i/>
          <w:iCs/>
          <w:sz w:val="24"/>
          <w:szCs w:val="24"/>
        </w:rPr>
        <w:t>Food chemistry</w:t>
      </w:r>
      <w:r w:rsidRPr="009B5D7C">
        <w:rPr>
          <w:rFonts w:ascii="Times New Roman" w:hAnsi="Times New Roman" w:cs="Times New Roman"/>
          <w:sz w:val="24"/>
          <w:szCs w:val="24"/>
        </w:rPr>
        <w:t>, </w:t>
      </w:r>
      <w:r w:rsidRPr="009B5D7C">
        <w:rPr>
          <w:rFonts w:ascii="Times New Roman" w:hAnsi="Times New Roman" w:cs="Times New Roman"/>
          <w:b/>
          <w:bCs/>
          <w:sz w:val="24"/>
          <w:szCs w:val="24"/>
        </w:rPr>
        <w:t>269</w:t>
      </w:r>
      <w:r w:rsidRPr="009B5D7C">
        <w:rPr>
          <w:rFonts w:ascii="Times New Roman" w:hAnsi="Times New Roman" w:cs="Times New Roman"/>
          <w:sz w:val="24"/>
          <w:szCs w:val="24"/>
        </w:rPr>
        <w:t>: 96-102.</w:t>
      </w:r>
    </w:p>
    <w:p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Shapla</w:t>
      </w:r>
      <w:proofErr w:type="spellEnd"/>
      <w:r w:rsidRPr="009B5D7C">
        <w:rPr>
          <w:rFonts w:ascii="Times New Roman" w:hAnsi="Times New Roman" w:cs="Times New Roman"/>
          <w:sz w:val="24"/>
          <w:szCs w:val="24"/>
        </w:rPr>
        <w:t xml:space="preserve">, S. A., Hussain, M. A., Mandal, M. S. H., </w:t>
      </w:r>
      <w:proofErr w:type="spellStart"/>
      <w:r w:rsidRPr="009B5D7C">
        <w:rPr>
          <w:rFonts w:ascii="Times New Roman" w:hAnsi="Times New Roman" w:cs="Times New Roman"/>
          <w:sz w:val="24"/>
          <w:szCs w:val="24"/>
        </w:rPr>
        <w:t>Mehraj</w:t>
      </w:r>
      <w:proofErr w:type="spellEnd"/>
      <w:r w:rsidRPr="009B5D7C">
        <w:rPr>
          <w:rFonts w:ascii="Times New Roman" w:hAnsi="Times New Roman" w:cs="Times New Roman"/>
          <w:sz w:val="24"/>
          <w:szCs w:val="24"/>
        </w:rPr>
        <w:t xml:space="preserve">, H., &amp; Jamal Uddin, A. F. M. (2014). Growth and yield of broccoli (Brassica oleracea var. </w:t>
      </w:r>
      <w:proofErr w:type="spellStart"/>
      <w:r w:rsidRPr="009B5D7C">
        <w:rPr>
          <w:rFonts w:ascii="Times New Roman" w:hAnsi="Times New Roman" w:cs="Times New Roman"/>
          <w:sz w:val="24"/>
          <w:szCs w:val="24"/>
        </w:rPr>
        <w:t>italica</w:t>
      </w:r>
      <w:proofErr w:type="spellEnd"/>
      <w:r w:rsidRPr="009B5D7C">
        <w:rPr>
          <w:rFonts w:ascii="Times New Roman" w:hAnsi="Times New Roman" w:cs="Times New Roman"/>
          <w:sz w:val="24"/>
          <w:szCs w:val="24"/>
        </w:rPr>
        <w:t>) to different organic manures. </w:t>
      </w:r>
      <w:r w:rsidRPr="009B5D7C">
        <w:rPr>
          <w:rFonts w:ascii="Times New Roman" w:hAnsi="Times New Roman" w:cs="Times New Roman"/>
          <w:i/>
          <w:iCs/>
          <w:sz w:val="24"/>
          <w:szCs w:val="24"/>
        </w:rPr>
        <w:t>International Journal of Sustainable Crop Production</w:t>
      </w:r>
      <w:r w:rsidRPr="009B5D7C">
        <w:rPr>
          <w:rFonts w:ascii="Times New Roman" w:hAnsi="Times New Roman" w:cs="Times New Roman"/>
          <w:sz w:val="24"/>
          <w:szCs w:val="24"/>
        </w:rPr>
        <w:t>, </w:t>
      </w:r>
      <w:r w:rsidRPr="009B5D7C">
        <w:rPr>
          <w:rFonts w:ascii="Times New Roman" w:hAnsi="Times New Roman" w:cs="Times New Roman"/>
          <w:b/>
          <w:bCs/>
          <w:sz w:val="24"/>
          <w:szCs w:val="24"/>
        </w:rPr>
        <w:t>9</w:t>
      </w:r>
      <w:r w:rsidRPr="009B5D7C">
        <w:rPr>
          <w:rFonts w:ascii="Times New Roman" w:hAnsi="Times New Roman" w:cs="Times New Roman"/>
          <w:sz w:val="24"/>
          <w:szCs w:val="24"/>
        </w:rPr>
        <w:t>(2): 29-32.</w:t>
      </w:r>
    </w:p>
    <w:p w:rsidR="00653097" w:rsidRPr="009B5D7C" w:rsidRDefault="00653097" w:rsidP="009B5D7C">
      <w:pPr>
        <w:spacing w:line="360" w:lineRule="auto"/>
        <w:ind w:left="630" w:hanging="630"/>
        <w:jc w:val="both"/>
        <w:rPr>
          <w:rFonts w:ascii="Times New Roman" w:hAnsi="Times New Roman" w:cs="Times New Roman"/>
          <w:sz w:val="24"/>
          <w:szCs w:val="24"/>
        </w:rPr>
      </w:pPr>
      <w:proofErr w:type="spellStart"/>
      <w:r w:rsidRPr="009B5D7C">
        <w:rPr>
          <w:rFonts w:ascii="Times New Roman" w:hAnsi="Times New Roman" w:cs="Times New Roman"/>
          <w:sz w:val="24"/>
          <w:szCs w:val="24"/>
        </w:rPr>
        <w:t>Solunke</w:t>
      </w:r>
      <w:proofErr w:type="spellEnd"/>
      <w:r w:rsidRPr="009B5D7C">
        <w:rPr>
          <w:rFonts w:ascii="Times New Roman" w:hAnsi="Times New Roman" w:cs="Times New Roman"/>
          <w:sz w:val="24"/>
          <w:szCs w:val="24"/>
        </w:rPr>
        <w:t xml:space="preserve">, B. G., </w:t>
      </w:r>
      <w:proofErr w:type="spellStart"/>
      <w:r w:rsidRPr="009B5D7C">
        <w:rPr>
          <w:rFonts w:ascii="Times New Roman" w:hAnsi="Times New Roman" w:cs="Times New Roman"/>
          <w:sz w:val="24"/>
          <w:szCs w:val="24"/>
        </w:rPr>
        <w:t>Wagh</w:t>
      </w:r>
      <w:proofErr w:type="spellEnd"/>
      <w:r w:rsidRPr="009B5D7C">
        <w:rPr>
          <w:rFonts w:ascii="Times New Roman" w:hAnsi="Times New Roman" w:cs="Times New Roman"/>
          <w:sz w:val="24"/>
          <w:szCs w:val="24"/>
        </w:rPr>
        <w:t xml:space="preserve">, A. P., </w:t>
      </w:r>
      <w:proofErr w:type="spellStart"/>
      <w:r w:rsidRPr="009B5D7C">
        <w:rPr>
          <w:rFonts w:ascii="Times New Roman" w:hAnsi="Times New Roman" w:cs="Times New Roman"/>
          <w:sz w:val="24"/>
          <w:szCs w:val="24"/>
        </w:rPr>
        <w:t>Dod</w:t>
      </w:r>
      <w:proofErr w:type="spellEnd"/>
      <w:r w:rsidRPr="009B5D7C">
        <w:rPr>
          <w:rFonts w:ascii="Times New Roman" w:hAnsi="Times New Roman" w:cs="Times New Roman"/>
          <w:sz w:val="24"/>
          <w:szCs w:val="24"/>
        </w:rPr>
        <w:t xml:space="preserve">, V. N., &amp; </w:t>
      </w:r>
      <w:proofErr w:type="spellStart"/>
      <w:r w:rsidRPr="009B5D7C">
        <w:rPr>
          <w:rFonts w:ascii="Times New Roman" w:hAnsi="Times New Roman" w:cs="Times New Roman"/>
          <w:sz w:val="24"/>
          <w:szCs w:val="24"/>
        </w:rPr>
        <w:t>Nagre</w:t>
      </w:r>
      <w:proofErr w:type="spellEnd"/>
      <w:r w:rsidRPr="009B5D7C">
        <w:rPr>
          <w:rFonts w:ascii="Times New Roman" w:hAnsi="Times New Roman" w:cs="Times New Roman"/>
          <w:sz w:val="24"/>
          <w:szCs w:val="24"/>
        </w:rPr>
        <w:t xml:space="preserve">, P. K. (2011). Effect of dates of planting and spacing on growth and yield of </w:t>
      </w:r>
      <w:proofErr w:type="gramStart"/>
      <w:r w:rsidRPr="009B5D7C">
        <w:rPr>
          <w:rFonts w:ascii="Times New Roman" w:hAnsi="Times New Roman" w:cs="Times New Roman"/>
          <w:sz w:val="24"/>
          <w:szCs w:val="24"/>
        </w:rPr>
        <w:t>broccoli..</w:t>
      </w:r>
      <w:proofErr w:type="gramEnd"/>
      <w:r w:rsidRPr="009B5D7C">
        <w:rPr>
          <w:rFonts w:ascii="Times New Roman" w:hAnsi="Times New Roman" w:cs="Times New Roman"/>
          <w:sz w:val="24"/>
          <w:szCs w:val="24"/>
        </w:rPr>
        <w:t xml:space="preserve"> </w:t>
      </w:r>
      <w:r w:rsidRPr="009B5D7C">
        <w:rPr>
          <w:rFonts w:ascii="Times New Roman" w:hAnsi="Times New Roman" w:cs="Times New Roman"/>
          <w:i/>
          <w:iCs/>
          <w:sz w:val="24"/>
          <w:szCs w:val="24"/>
        </w:rPr>
        <w:t>The Asian Journal of Horticulture,</w:t>
      </w:r>
      <w:r w:rsidRPr="009B5D7C">
        <w:rPr>
          <w:rFonts w:ascii="Times New Roman" w:hAnsi="Times New Roman" w:cs="Times New Roman"/>
          <w:sz w:val="24"/>
          <w:szCs w:val="24"/>
        </w:rPr>
        <w:t xml:space="preserve"> </w:t>
      </w:r>
      <w:r w:rsidRPr="009B5D7C">
        <w:rPr>
          <w:rFonts w:ascii="Times New Roman" w:hAnsi="Times New Roman" w:cs="Times New Roman"/>
          <w:b/>
          <w:bCs/>
          <w:sz w:val="24"/>
          <w:szCs w:val="24"/>
        </w:rPr>
        <w:t>6</w:t>
      </w:r>
      <w:r w:rsidRPr="009B5D7C">
        <w:rPr>
          <w:rFonts w:ascii="Times New Roman" w:hAnsi="Times New Roman" w:cs="Times New Roman"/>
          <w:sz w:val="24"/>
          <w:szCs w:val="24"/>
        </w:rPr>
        <w:t>(2): 294-296.</w:t>
      </w:r>
    </w:p>
    <w:p w:rsidR="00653097" w:rsidRDefault="00653097" w:rsidP="00653097">
      <w:pPr>
        <w:spacing w:line="360" w:lineRule="auto"/>
        <w:ind w:left="630" w:hanging="630"/>
        <w:jc w:val="both"/>
        <w:rPr>
          <w:rFonts w:ascii="Times New Roman" w:hAnsi="Times New Roman" w:cs="Times New Roman"/>
        </w:rPr>
      </w:pPr>
      <w:r>
        <w:rPr>
          <w:rFonts w:ascii="Times New Roman" w:hAnsi="Times New Roman" w:cs="Times New Roman"/>
        </w:rPr>
        <w:br w:type="page"/>
      </w:r>
    </w:p>
    <w:p w:rsidR="00653097" w:rsidRDefault="00653097" w:rsidP="00653097">
      <w:pPr>
        <w:spacing w:after="0" w:line="360" w:lineRule="auto"/>
        <w:rPr>
          <w:rFonts w:ascii="Times New Roman" w:hAnsi="Times New Roman" w:cs="Times New Roman"/>
        </w:rPr>
        <w:sectPr w:rsidR="00653097">
          <w:pgSz w:w="12240" w:h="15840"/>
          <w:pgMar w:top="1440" w:right="1440" w:bottom="1440" w:left="1440" w:header="720" w:footer="720" w:gutter="0"/>
          <w:cols w:space="720"/>
        </w:sectPr>
      </w:pPr>
    </w:p>
    <w:tbl>
      <w:tblPr>
        <w:tblStyle w:val="TableGrid"/>
        <w:tblW w:w="5050" w:type="pct"/>
        <w:tblLook w:val="04A0" w:firstRow="1" w:lastRow="0" w:firstColumn="1" w:lastColumn="0" w:noHBand="0" w:noVBand="1"/>
      </w:tblPr>
      <w:tblGrid>
        <w:gridCol w:w="1352"/>
        <w:gridCol w:w="992"/>
        <w:gridCol w:w="902"/>
        <w:gridCol w:w="903"/>
        <w:gridCol w:w="900"/>
        <w:gridCol w:w="1206"/>
        <w:gridCol w:w="1174"/>
        <w:gridCol w:w="996"/>
        <w:gridCol w:w="991"/>
        <w:gridCol w:w="1084"/>
        <w:gridCol w:w="991"/>
        <w:gridCol w:w="996"/>
        <w:gridCol w:w="821"/>
      </w:tblGrid>
      <w:tr w:rsidR="00653097" w:rsidTr="00653097">
        <w:tc>
          <w:tcPr>
            <w:tcW w:w="5000" w:type="pct"/>
            <w:gridSpan w:val="13"/>
            <w:tcBorders>
              <w:top w:val="single" w:sz="4" w:space="0" w:color="auto"/>
              <w:left w:val="single" w:sz="4" w:space="0" w:color="auto"/>
              <w:bottom w:val="single" w:sz="4" w:space="0" w:color="auto"/>
              <w:right w:val="single" w:sz="4" w:space="0" w:color="auto"/>
            </w:tcBorders>
            <w:hideMark/>
          </w:tcPr>
          <w:p w:rsidR="00653097" w:rsidRDefault="009F74AA" w:rsidP="009B5D7C">
            <w:pPr>
              <w:spacing w:line="276" w:lineRule="auto"/>
              <w:rPr>
                <w:rFonts w:ascii="Times New Roman" w:hAnsi="Times New Roman" w:cs="Times New Roman"/>
                <w:b/>
                <w:bCs/>
              </w:rPr>
            </w:pPr>
            <w:r>
              <w:rPr>
                <w:rFonts w:ascii="Times New Roman" w:hAnsi="Times New Roman" w:cs="Times New Roman"/>
                <w:b/>
                <w:bCs/>
              </w:rPr>
              <w:lastRenderedPageBreak/>
              <w:t>Table 2</w:t>
            </w:r>
            <w:r w:rsidR="00653097">
              <w:rPr>
                <w:rFonts w:ascii="Times New Roman" w:hAnsi="Times New Roman" w:cs="Times New Roman"/>
                <w:b/>
                <w:bCs/>
              </w:rPr>
              <w:t xml:space="preserve">: Effect of various bio-fertilizer on different yield parameters of Broccoli </w:t>
            </w:r>
          </w:p>
        </w:tc>
      </w:tr>
      <w:tr w:rsidR="00653097" w:rsidTr="00653097">
        <w:tc>
          <w:tcPr>
            <w:tcW w:w="512"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Treatment</w:t>
            </w:r>
          </w:p>
        </w:tc>
        <w:tc>
          <w:tcPr>
            <w:tcW w:w="720" w:type="pct"/>
            <w:gridSpan w:val="2"/>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Initiation Days</w:t>
            </w:r>
          </w:p>
        </w:tc>
        <w:tc>
          <w:tcPr>
            <w:tcW w:w="685" w:type="pct"/>
            <w:gridSpan w:val="2"/>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formation %</w:t>
            </w:r>
          </w:p>
        </w:tc>
        <w:tc>
          <w:tcPr>
            <w:tcW w:w="411"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 xml:space="preserve">Curd </w:t>
            </w:r>
          </w:p>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harvesting days</w:t>
            </w:r>
          </w:p>
        </w:tc>
        <w:tc>
          <w:tcPr>
            <w:tcW w:w="445"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diameter (mm)</w:t>
            </w:r>
          </w:p>
        </w:tc>
        <w:tc>
          <w:tcPr>
            <w:tcW w:w="378"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weight with leaves (g)</w:t>
            </w:r>
          </w:p>
        </w:tc>
        <w:tc>
          <w:tcPr>
            <w:tcW w:w="376"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weight without leaves (g)</w:t>
            </w:r>
          </w:p>
        </w:tc>
        <w:tc>
          <w:tcPr>
            <w:tcW w:w="411"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Curd volume (cc)</w:t>
            </w:r>
          </w:p>
        </w:tc>
        <w:tc>
          <w:tcPr>
            <w:tcW w:w="376"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 xml:space="preserve">Dry matter content (%) </w:t>
            </w:r>
          </w:p>
        </w:tc>
        <w:tc>
          <w:tcPr>
            <w:tcW w:w="378"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Yield Kg/plot</w:t>
            </w:r>
          </w:p>
        </w:tc>
        <w:tc>
          <w:tcPr>
            <w:tcW w:w="308" w:type="pct"/>
            <w:vMerge w:val="restar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b/>
                <w:bCs/>
              </w:rPr>
            </w:pPr>
            <w:r>
              <w:rPr>
                <w:rFonts w:ascii="Times New Roman" w:hAnsi="Times New Roman" w:cs="Times New Roman"/>
                <w:b/>
                <w:bCs/>
              </w:rPr>
              <w:t>Yield Q/ha</w:t>
            </w:r>
          </w:p>
        </w:tc>
      </w:tr>
      <w:tr w:rsidR="00653097" w:rsidTr="00653097">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First visible days</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50% visible days</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First visible days</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50% visible days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rPr>
                <w:rFonts w:ascii="Times New Roman" w:hAnsi="Times New Roman" w:cs="Times New Roman"/>
                <w:b/>
                <w:bCs/>
              </w:rPr>
            </w:pP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52.03</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62.06</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32.26</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76.45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82.12</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151.62</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434.15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364.81</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867.43</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21.45</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5.65</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252.47</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67.00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55.35</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86.50</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76.24</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162.21</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495.94</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454.35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1057.56</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29.56</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7.00</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334.82</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52.10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64.99</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39.60</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83.24</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73.00</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161.97</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511.85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441.99</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983.45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23.12</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7.18</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324.36</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53.07</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63.98</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44.75</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80.34</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167.01</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507.17</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449.78</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1011.23</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23.36</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7.02</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322.48</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54.25</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68.99</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37.34</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81.25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78.30</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164.53</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516.89</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450.19</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1098.25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25.39</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6.86</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318.19</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53.89</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55.55</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79.12</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155.75</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462.26</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413.47</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978.23</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24.12</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6.59</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321.41</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54.45</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69.04</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56.50</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87.75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85.12</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167.59</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538.09</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457.02</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1193.22</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30.21</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7.23</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351.39</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7</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56.98</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70.12</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62.07</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93.00</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87.08</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168.22</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558.64</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459.50</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1196.36</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31.16</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7.59</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359.98</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8</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54.25</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81.24</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77.14</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162.74</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518.61</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445.08</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1092.12</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24.65</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6.84</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323.94</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9</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54.17</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65.06</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44.79</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87.20</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80.44</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165.99</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532.27</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452.02</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987.34</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26.57</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7.10</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319.20</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10</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54.00</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68.34</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39.50</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78.00</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81.63</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159.37</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496.69</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374.51</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1086.90</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25.14</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6.32</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301.44</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11</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54.03</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67.43</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50.09</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80.25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71.56</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161.10</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483.65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383.11</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913.65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27.45</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6.06</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285.12</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SE(m) E±</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2.29</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2.47</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1.62</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3.13</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2.09</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0.81</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13.85</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13.95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33.56</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0.86</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0.10</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4.45</w:t>
            </w:r>
          </w:p>
        </w:tc>
      </w:tr>
      <w:tr w:rsidR="00653097" w:rsidTr="00653097">
        <w:trPr>
          <w:trHeight w:val="276"/>
        </w:trPr>
        <w:tc>
          <w:tcPr>
            <w:tcW w:w="512" w:type="pct"/>
            <w:tcBorders>
              <w:top w:val="single" w:sz="4" w:space="0" w:color="auto"/>
              <w:left w:val="single" w:sz="4" w:space="0" w:color="auto"/>
              <w:bottom w:val="single" w:sz="4" w:space="0" w:color="auto"/>
              <w:right w:val="single" w:sz="4" w:space="0" w:color="auto"/>
            </w:tcBorders>
            <w:vAlign w:val="center"/>
            <w:hideMark/>
          </w:tcPr>
          <w:p w:rsidR="00653097" w:rsidRDefault="00653097" w:rsidP="009B5D7C">
            <w:pPr>
              <w:spacing w:line="276" w:lineRule="auto"/>
              <w:jc w:val="center"/>
              <w:rPr>
                <w:rFonts w:ascii="Times New Roman" w:hAnsi="Times New Roman" w:cs="Times New Roman"/>
              </w:rPr>
            </w:pPr>
            <w:r>
              <w:rPr>
                <w:rFonts w:ascii="Times New Roman" w:hAnsi="Times New Roman" w:cs="Times New Roman"/>
              </w:rPr>
              <w:t>CD at 5%</w:t>
            </w:r>
          </w:p>
        </w:tc>
        <w:tc>
          <w:tcPr>
            <w:tcW w:w="377"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0.77</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0.83</w:t>
            </w:r>
          </w:p>
        </w:tc>
        <w:tc>
          <w:tcPr>
            <w:tcW w:w="343"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0.55</w:t>
            </w:r>
          </w:p>
        </w:tc>
        <w:tc>
          <w:tcPr>
            <w:tcW w:w="342"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1.06</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0.70</w:t>
            </w:r>
          </w:p>
        </w:tc>
        <w:tc>
          <w:tcPr>
            <w:tcW w:w="445"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0.27</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42.16</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39.45</w:t>
            </w:r>
          </w:p>
        </w:tc>
        <w:tc>
          <w:tcPr>
            <w:tcW w:w="411"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11.37</w:t>
            </w:r>
          </w:p>
        </w:tc>
        <w:tc>
          <w:tcPr>
            <w:tcW w:w="376"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0.29</w:t>
            </w:r>
          </w:p>
        </w:tc>
        <w:tc>
          <w:tcPr>
            <w:tcW w:w="37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0.30</w:t>
            </w:r>
          </w:p>
        </w:tc>
        <w:tc>
          <w:tcPr>
            <w:tcW w:w="308" w:type="pct"/>
            <w:tcBorders>
              <w:top w:val="single" w:sz="4" w:space="0" w:color="auto"/>
              <w:left w:val="single" w:sz="4" w:space="0" w:color="auto"/>
              <w:bottom w:val="single" w:sz="4" w:space="0" w:color="auto"/>
              <w:right w:val="single" w:sz="4" w:space="0" w:color="auto"/>
            </w:tcBorders>
            <w:hideMark/>
          </w:tcPr>
          <w:p w:rsidR="00653097" w:rsidRDefault="00653097" w:rsidP="009B5D7C">
            <w:pPr>
              <w:spacing w:line="276" w:lineRule="auto"/>
              <w:rPr>
                <w:rFonts w:ascii="Times New Roman" w:hAnsi="Times New Roman" w:cs="Times New Roman"/>
              </w:rPr>
            </w:pPr>
            <w:r>
              <w:rPr>
                <w:rFonts w:ascii="Times New Roman" w:hAnsi="Times New Roman" w:cs="Times New Roman"/>
              </w:rPr>
              <w:t>13.56</w:t>
            </w:r>
          </w:p>
        </w:tc>
      </w:tr>
      <w:tr w:rsidR="00653097" w:rsidTr="00653097">
        <w:tc>
          <w:tcPr>
            <w:tcW w:w="5000" w:type="pct"/>
            <w:gridSpan w:val="13"/>
            <w:tcBorders>
              <w:top w:val="single" w:sz="4" w:space="0" w:color="auto"/>
              <w:left w:val="single" w:sz="4" w:space="0" w:color="auto"/>
              <w:bottom w:val="single" w:sz="4" w:space="0" w:color="auto"/>
              <w:right w:val="single" w:sz="4" w:space="0" w:color="auto"/>
            </w:tcBorders>
            <w:vAlign w:val="center"/>
          </w:tcPr>
          <w:p w:rsidR="00653097" w:rsidRDefault="00653097" w:rsidP="009B5D7C">
            <w:pPr>
              <w:spacing w:line="276" w:lineRule="auto"/>
              <w:rPr>
                <w:rFonts w:ascii="Times New Roman" w:hAnsi="Times New Roman" w:cs="Times New Roman"/>
              </w:rPr>
            </w:pPr>
          </w:p>
          <w:p w:rsidR="00653097" w:rsidRDefault="00653097" w:rsidP="009B5D7C">
            <w:pPr>
              <w:spacing w:line="276" w:lineRule="auto"/>
              <w:ind w:left="360"/>
              <w:jc w:val="both"/>
              <w:rPr>
                <w:rFonts w:ascii="Times New Roman" w:hAnsi="Times New Roman" w:cs="Times New Roman"/>
              </w:rPr>
            </w:pPr>
            <w:r>
              <w:rPr>
                <w:rFonts w:ascii="Times New Roman" w:hAnsi="Times New Roman" w:cs="Times New Roman"/>
                <w:b/>
                <w:bCs/>
              </w:rPr>
              <w:t>T</w:t>
            </w:r>
            <w:r>
              <w:rPr>
                <w:rFonts w:ascii="Times New Roman" w:hAnsi="Times New Roman" w:cs="Times New Roman"/>
                <w:b/>
                <w:bCs/>
                <w:vertAlign w:val="subscript"/>
              </w:rPr>
              <w:t xml:space="preserve">0 </w:t>
            </w:r>
            <w:r>
              <w:rPr>
                <w:rFonts w:ascii="Times New Roman" w:hAnsi="Times New Roman" w:cs="Times New Roman"/>
                <w:b/>
                <w:bCs/>
              </w:rPr>
              <w:t>–</w:t>
            </w:r>
            <w:r>
              <w:rPr>
                <w:rFonts w:ascii="Times New Roman" w:hAnsi="Times New Roman" w:cs="Times New Roman"/>
              </w:rPr>
              <w:t xml:space="preserve"> Control, </w:t>
            </w:r>
            <w:r>
              <w:rPr>
                <w:rFonts w:ascii="Times New Roman" w:hAnsi="Times New Roman" w:cs="Times New Roman"/>
                <w:b/>
                <w:bCs/>
              </w:rPr>
              <w:t>T</w:t>
            </w:r>
            <w:r>
              <w:rPr>
                <w:rFonts w:ascii="Times New Roman" w:hAnsi="Times New Roman" w:cs="Times New Roman"/>
                <w:b/>
                <w:bCs/>
                <w:vertAlign w:val="subscript"/>
              </w:rPr>
              <w:t>1</w:t>
            </w:r>
            <w:r>
              <w:rPr>
                <w:rFonts w:ascii="Times New Roman" w:hAnsi="Times New Roman" w:cs="Times New Roman"/>
                <w:b/>
                <w:bCs/>
              </w:rPr>
              <w:t>-</w:t>
            </w:r>
            <w:r>
              <w:rPr>
                <w:rFonts w:ascii="Times New Roman" w:hAnsi="Times New Roman" w:cs="Times New Roman"/>
              </w:rPr>
              <w:t xml:space="preserve">RDF (100%), </w:t>
            </w:r>
            <w:r>
              <w:rPr>
                <w:rFonts w:ascii="Times New Roman" w:hAnsi="Times New Roman" w:cs="Times New Roman"/>
                <w:b/>
                <w:bCs/>
              </w:rPr>
              <w:t>T</w:t>
            </w:r>
            <w:r>
              <w:rPr>
                <w:rFonts w:ascii="Times New Roman" w:hAnsi="Times New Roman" w:cs="Times New Roman"/>
                <w:b/>
                <w:bCs/>
                <w:vertAlign w:val="subscript"/>
              </w:rPr>
              <w:t xml:space="preserve">2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3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4 </w:t>
            </w:r>
            <w:r>
              <w:rPr>
                <w:rFonts w:ascii="Times New Roman" w:hAnsi="Times New Roman" w:cs="Times New Roman"/>
                <w:b/>
                <w:bCs/>
              </w:rPr>
              <w:t>-</w:t>
            </w:r>
            <w:r>
              <w:rPr>
                <w:rFonts w:ascii="Times New Roman" w:hAnsi="Times New Roman" w:cs="Times New Roman"/>
              </w:rPr>
              <w:t xml:space="preserve">VAM (100%), </w:t>
            </w:r>
            <w:r>
              <w:rPr>
                <w:rFonts w:ascii="Times New Roman" w:hAnsi="Times New Roman" w:cs="Times New Roman"/>
                <w:b/>
                <w:bCs/>
              </w:rPr>
              <w:t>T</w:t>
            </w:r>
            <w:r>
              <w:rPr>
                <w:rFonts w:ascii="Times New Roman" w:hAnsi="Times New Roman" w:cs="Times New Roman"/>
                <w:b/>
                <w:bCs/>
                <w:vertAlign w:val="subscript"/>
              </w:rPr>
              <w:t>5</w:t>
            </w:r>
            <w:r>
              <w:rPr>
                <w:rFonts w:ascii="Times New Roman" w:hAnsi="Times New Roman" w:cs="Times New Roman"/>
                <w:b/>
                <w:bCs/>
              </w:rPr>
              <w:t xml:space="preserve"> -</w:t>
            </w:r>
            <w:r>
              <w:rPr>
                <w:rFonts w:ascii="Times New Roman" w:hAnsi="Times New Roman" w:cs="Times New Roman"/>
              </w:rPr>
              <w:t xml:space="preserve">RDF + </w:t>
            </w:r>
            <w:proofErr w:type="spellStart"/>
            <w:r>
              <w:rPr>
                <w:rFonts w:ascii="Times New Roman" w:hAnsi="Times New Roman" w:cs="Times New Roman"/>
              </w:rPr>
              <w:t>Azotobacter</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6 </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7 </w:t>
            </w:r>
            <w:r>
              <w:rPr>
                <w:rFonts w:ascii="Times New Roman" w:hAnsi="Times New Roman" w:cs="Times New Roman"/>
                <w:b/>
                <w:bCs/>
              </w:rPr>
              <w:t>-</w:t>
            </w:r>
            <w:r>
              <w:rPr>
                <w:rFonts w:ascii="Times New Roman" w:hAnsi="Times New Roman" w:cs="Times New Roman"/>
              </w:rPr>
              <w:t xml:space="preserve"> RDF + VAM (50% + 50% Each), </w:t>
            </w:r>
            <w:r>
              <w:rPr>
                <w:rFonts w:ascii="Times New Roman" w:hAnsi="Times New Roman" w:cs="Times New Roman"/>
                <w:b/>
                <w:bCs/>
              </w:rPr>
              <w:t>T</w:t>
            </w:r>
            <w:r>
              <w:rPr>
                <w:rFonts w:ascii="Times New Roman" w:hAnsi="Times New Roman" w:cs="Times New Roman"/>
                <w:b/>
                <w:bCs/>
                <w:vertAlign w:val="subscript"/>
              </w:rPr>
              <w:t xml:space="preserve">8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9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 xml:space="preserve">10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11</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 VAM (25 + 25 + 25 + 25 Each)</w:t>
            </w:r>
          </w:p>
        </w:tc>
      </w:tr>
    </w:tbl>
    <w:p w:rsidR="00653097" w:rsidRDefault="00653097" w:rsidP="00653097">
      <w:pPr>
        <w:spacing w:after="0" w:line="360" w:lineRule="auto"/>
        <w:rPr>
          <w:rFonts w:ascii="Times New Roman" w:hAnsi="Times New Roman" w:cs="Times New Roman"/>
        </w:rPr>
        <w:sectPr w:rsidR="00653097">
          <w:pgSz w:w="15840" w:h="12240" w:orient="landscape"/>
          <w:pgMar w:top="1440" w:right="1440" w:bottom="1440" w:left="1440" w:header="720" w:footer="720" w:gutter="0"/>
          <w:cols w:space="720"/>
        </w:sectPr>
      </w:pP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653097" w:rsidTr="00653097">
        <w:tc>
          <w:tcPr>
            <w:tcW w:w="9445" w:type="dxa"/>
            <w:gridSpan w:val="7"/>
            <w:tcBorders>
              <w:top w:val="single" w:sz="4" w:space="0" w:color="auto"/>
              <w:left w:val="single" w:sz="4" w:space="0" w:color="auto"/>
              <w:bottom w:val="single" w:sz="4" w:space="0" w:color="auto"/>
              <w:right w:val="single" w:sz="4" w:space="0" w:color="auto"/>
            </w:tcBorders>
            <w:hideMark/>
          </w:tcPr>
          <w:p w:rsidR="00653097" w:rsidRDefault="009F74AA">
            <w:pPr>
              <w:spacing w:line="360" w:lineRule="auto"/>
              <w:jc w:val="both"/>
              <w:rPr>
                <w:rFonts w:ascii="Times New Roman" w:hAnsi="Times New Roman" w:cs="Times New Roman"/>
              </w:rPr>
            </w:pPr>
            <w:r>
              <w:rPr>
                <w:rFonts w:ascii="Times New Roman" w:hAnsi="Times New Roman" w:cs="Times New Roman"/>
                <w:b/>
                <w:bCs/>
              </w:rPr>
              <w:lastRenderedPageBreak/>
              <w:t>Table 3</w:t>
            </w:r>
            <w:r w:rsidR="00653097">
              <w:rPr>
                <w:rFonts w:ascii="Times New Roman" w:hAnsi="Times New Roman" w:cs="Times New Roman"/>
                <w:b/>
                <w:bCs/>
              </w:rPr>
              <w:t>: Effect of various bio-fertilizer on different quality parameters of Broccoli</w:t>
            </w:r>
          </w:p>
        </w:tc>
      </w:tr>
      <w:tr w:rsidR="00653097" w:rsidTr="00653097">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Treatment</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Reducing sugar (%)</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Non-Reducing sugar (%)</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Total sugar (%)</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Vitamin C</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Acidity</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b/>
                <w:bCs/>
              </w:rPr>
            </w:pPr>
            <w:r>
              <w:rPr>
                <w:rFonts w:ascii="Times New Roman" w:hAnsi="Times New Roman" w:cs="Times New Roman"/>
                <w:b/>
                <w:bCs/>
              </w:rPr>
              <w:t>TSS</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0</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2.40</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0.48</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2.88</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85.17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0.54</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7.73</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2.37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0.53</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2.90</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85.77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0.81</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8.60</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2.41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0.36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2.77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86.11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8.20</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2.49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1.51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4.00</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91.74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0.84</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9.21</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2.96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0.11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3.07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90.29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8.40</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2.67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0.66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3.33</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88.87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0.85</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8.23</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6</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2.72</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0.62</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3.34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91.79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0.86</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9.38</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7</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2.87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0.49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3.36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92.54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0.87</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9.50</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8</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2.50</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3.26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88.69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0.80</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7.90</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9</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2.66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0.68</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3.34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87.65</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0.72</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8.52</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10</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2.64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1.21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3.85</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90.54</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0.84</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8.12</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11</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2.67</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0.09</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2.76</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90.02</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0.76</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8.33</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SE(m) E±</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0.72</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0.71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0.98</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0.11</w:t>
            </w:r>
          </w:p>
        </w:tc>
      </w:tr>
      <w:tr w:rsidR="00653097" w:rsidTr="00653097">
        <w:tc>
          <w:tcPr>
            <w:tcW w:w="1335" w:type="dxa"/>
            <w:tcBorders>
              <w:top w:val="single" w:sz="4" w:space="0" w:color="auto"/>
              <w:left w:val="single" w:sz="4" w:space="0" w:color="auto"/>
              <w:bottom w:val="single" w:sz="4" w:space="0" w:color="auto"/>
              <w:right w:val="single" w:sz="4" w:space="0" w:color="auto"/>
            </w:tcBorders>
            <w:vAlign w:val="center"/>
            <w:hideMark/>
          </w:tcPr>
          <w:p w:rsidR="00653097" w:rsidRDefault="00653097">
            <w:pPr>
              <w:spacing w:line="360" w:lineRule="auto"/>
              <w:jc w:val="center"/>
              <w:rPr>
                <w:rFonts w:ascii="Times New Roman" w:hAnsi="Times New Roman" w:cs="Times New Roman"/>
              </w:rPr>
            </w:pPr>
            <w:r>
              <w:rPr>
                <w:rFonts w:ascii="Times New Roman" w:hAnsi="Times New Roman" w:cs="Times New Roman"/>
              </w:rPr>
              <w:t>CD at 5%</w:t>
            </w:r>
          </w:p>
        </w:tc>
        <w:tc>
          <w:tcPr>
            <w:tcW w:w="1335"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0.21</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2.12</w:t>
            </w:r>
          </w:p>
        </w:tc>
        <w:tc>
          <w:tcPr>
            <w:tcW w:w="1336"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0.33</w:t>
            </w:r>
          </w:p>
        </w:tc>
        <w:tc>
          <w:tcPr>
            <w:tcW w:w="1431" w:type="dxa"/>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rPr>
              <w:t>0.33</w:t>
            </w:r>
          </w:p>
        </w:tc>
      </w:tr>
      <w:tr w:rsidR="00653097" w:rsidTr="00653097">
        <w:tc>
          <w:tcPr>
            <w:tcW w:w="9445" w:type="dxa"/>
            <w:gridSpan w:val="7"/>
            <w:tcBorders>
              <w:top w:val="single" w:sz="4" w:space="0" w:color="auto"/>
              <w:left w:val="single" w:sz="4" w:space="0" w:color="auto"/>
              <w:bottom w:val="single" w:sz="4" w:space="0" w:color="auto"/>
              <w:right w:val="single" w:sz="4" w:space="0" w:color="auto"/>
            </w:tcBorders>
            <w:hideMark/>
          </w:tcPr>
          <w:p w:rsidR="00653097" w:rsidRDefault="00653097">
            <w:pPr>
              <w:spacing w:line="360" w:lineRule="auto"/>
              <w:jc w:val="both"/>
              <w:rPr>
                <w:rFonts w:ascii="Times New Roman" w:hAnsi="Times New Roman" w:cs="Times New Roman"/>
              </w:rPr>
            </w:pPr>
            <w:r>
              <w:rPr>
                <w:rFonts w:ascii="Times New Roman" w:hAnsi="Times New Roman" w:cs="Times New Roman"/>
                <w:b/>
                <w:bCs/>
              </w:rPr>
              <w:t>T</w:t>
            </w:r>
            <w:r>
              <w:rPr>
                <w:rFonts w:ascii="Times New Roman" w:hAnsi="Times New Roman" w:cs="Times New Roman"/>
                <w:b/>
                <w:bCs/>
                <w:vertAlign w:val="subscript"/>
              </w:rPr>
              <w:t xml:space="preserve">0 </w:t>
            </w:r>
            <w:r>
              <w:rPr>
                <w:rFonts w:ascii="Times New Roman" w:hAnsi="Times New Roman" w:cs="Times New Roman"/>
                <w:b/>
                <w:bCs/>
              </w:rPr>
              <w:t>-</w:t>
            </w:r>
            <w:r>
              <w:rPr>
                <w:rFonts w:ascii="Times New Roman" w:hAnsi="Times New Roman" w:cs="Times New Roman"/>
              </w:rPr>
              <w:t xml:space="preserve"> Control </w:t>
            </w:r>
            <w:r>
              <w:rPr>
                <w:rFonts w:ascii="Times New Roman" w:hAnsi="Times New Roman" w:cs="Times New Roman"/>
                <w:b/>
                <w:bCs/>
              </w:rPr>
              <w:t>T</w:t>
            </w:r>
            <w:r>
              <w:rPr>
                <w:rFonts w:ascii="Times New Roman" w:hAnsi="Times New Roman" w:cs="Times New Roman"/>
                <w:b/>
                <w:bCs/>
                <w:vertAlign w:val="subscript"/>
              </w:rPr>
              <w:t>1</w:t>
            </w:r>
            <w:r>
              <w:rPr>
                <w:rFonts w:ascii="Times New Roman" w:hAnsi="Times New Roman" w:cs="Times New Roman"/>
                <w:b/>
                <w:bCs/>
              </w:rPr>
              <w:t>-</w:t>
            </w:r>
            <w:r>
              <w:rPr>
                <w:rFonts w:ascii="Times New Roman" w:hAnsi="Times New Roman" w:cs="Times New Roman"/>
              </w:rPr>
              <w:t xml:space="preserve">RDF (100%), </w:t>
            </w:r>
            <w:r>
              <w:rPr>
                <w:rFonts w:ascii="Times New Roman" w:hAnsi="Times New Roman" w:cs="Times New Roman"/>
                <w:b/>
                <w:bCs/>
              </w:rPr>
              <w:t>T</w:t>
            </w:r>
            <w:r>
              <w:rPr>
                <w:rFonts w:ascii="Times New Roman" w:hAnsi="Times New Roman" w:cs="Times New Roman"/>
                <w:b/>
                <w:bCs/>
                <w:vertAlign w:val="subscript"/>
              </w:rPr>
              <w:t xml:space="preserve">2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3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(100%), </w:t>
            </w:r>
            <w:r>
              <w:rPr>
                <w:rFonts w:ascii="Times New Roman" w:hAnsi="Times New Roman" w:cs="Times New Roman"/>
                <w:b/>
                <w:bCs/>
              </w:rPr>
              <w:t>T</w:t>
            </w:r>
            <w:r>
              <w:rPr>
                <w:rFonts w:ascii="Times New Roman" w:hAnsi="Times New Roman" w:cs="Times New Roman"/>
                <w:b/>
                <w:bCs/>
                <w:vertAlign w:val="subscript"/>
              </w:rPr>
              <w:t xml:space="preserve">4 </w:t>
            </w:r>
            <w:r>
              <w:rPr>
                <w:rFonts w:ascii="Times New Roman" w:hAnsi="Times New Roman" w:cs="Times New Roman"/>
                <w:b/>
                <w:bCs/>
              </w:rPr>
              <w:t>-</w:t>
            </w:r>
            <w:r>
              <w:rPr>
                <w:rFonts w:ascii="Times New Roman" w:hAnsi="Times New Roman" w:cs="Times New Roman"/>
              </w:rPr>
              <w:t xml:space="preserve">VAM (100%), </w:t>
            </w:r>
            <w:r>
              <w:rPr>
                <w:rFonts w:ascii="Times New Roman" w:hAnsi="Times New Roman" w:cs="Times New Roman"/>
                <w:b/>
                <w:bCs/>
              </w:rPr>
              <w:t>T</w:t>
            </w:r>
            <w:r>
              <w:rPr>
                <w:rFonts w:ascii="Times New Roman" w:hAnsi="Times New Roman" w:cs="Times New Roman"/>
                <w:b/>
                <w:bCs/>
                <w:vertAlign w:val="subscript"/>
              </w:rPr>
              <w:t>5</w:t>
            </w:r>
            <w:r>
              <w:rPr>
                <w:rFonts w:ascii="Times New Roman" w:hAnsi="Times New Roman" w:cs="Times New Roman"/>
                <w:b/>
                <w:bCs/>
              </w:rPr>
              <w:t xml:space="preserve"> -</w:t>
            </w:r>
            <w:r>
              <w:rPr>
                <w:rFonts w:ascii="Times New Roman" w:hAnsi="Times New Roman" w:cs="Times New Roman"/>
              </w:rPr>
              <w:t xml:space="preserve">RDF + </w:t>
            </w:r>
            <w:proofErr w:type="spellStart"/>
            <w:r>
              <w:rPr>
                <w:rFonts w:ascii="Times New Roman" w:hAnsi="Times New Roman" w:cs="Times New Roman"/>
              </w:rPr>
              <w:t>Azotobacter</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6 </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7 </w:t>
            </w:r>
            <w:r>
              <w:rPr>
                <w:rFonts w:ascii="Times New Roman" w:hAnsi="Times New Roman" w:cs="Times New Roman"/>
                <w:b/>
                <w:bCs/>
              </w:rPr>
              <w:t>-</w:t>
            </w:r>
            <w:r>
              <w:rPr>
                <w:rFonts w:ascii="Times New Roman" w:hAnsi="Times New Roman" w:cs="Times New Roman"/>
              </w:rPr>
              <w:t xml:space="preserve"> RDF + VAM (50% + 50% Each), </w:t>
            </w:r>
            <w:r>
              <w:rPr>
                <w:rFonts w:ascii="Times New Roman" w:hAnsi="Times New Roman" w:cs="Times New Roman"/>
                <w:b/>
                <w:bCs/>
              </w:rPr>
              <w:t>T</w:t>
            </w:r>
            <w:r>
              <w:rPr>
                <w:rFonts w:ascii="Times New Roman" w:hAnsi="Times New Roman" w:cs="Times New Roman"/>
                <w:b/>
                <w:bCs/>
                <w:vertAlign w:val="subscript"/>
              </w:rPr>
              <w:t xml:space="preserve">8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(50% + 50% Each), </w:t>
            </w:r>
            <w:r>
              <w:rPr>
                <w:rFonts w:ascii="Times New Roman" w:hAnsi="Times New Roman" w:cs="Times New Roman"/>
                <w:b/>
                <w:bCs/>
              </w:rPr>
              <w:t>T</w:t>
            </w:r>
            <w:r>
              <w:rPr>
                <w:rFonts w:ascii="Times New Roman" w:hAnsi="Times New Roman" w:cs="Times New Roman"/>
                <w:b/>
                <w:bCs/>
                <w:vertAlign w:val="subscript"/>
              </w:rPr>
              <w:t xml:space="preserve">9 </w:t>
            </w:r>
            <w:r>
              <w:rPr>
                <w:rFonts w:ascii="Times New Roman" w:hAnsi="Times New Roman" w:cs="Times New Roman"/>
                <w:b/>
                <w:bCs/>
              </w:rPr>
              <w:t>-</w:t>
            </w:r>
            <w:proofErr w:type="spellStart"/>
            <w:r>
              <w:rPr>
                <w:rFonts w:ascii="Times New Roman" w:hAnsi="Times New Roman" w:cs="Times New Roman"/>
              </w:rPr>
              <w:t>Azotobacter</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 xml:space="preserve">10 </w:t>
            </w:r>
            <w:r>
              <w:rPr>
                <w:rFonts w:ascii="Times New Roman" w:hAnsi="Times New Roman" w:cs="Times New Roman"/>
                <w:b/>
                <w:bCs/>
              </w:rPr>
              <w:t>-</w:t>
            </w:r>
            <w:proofErr w:type="spellStart"/>
            <w:r>
              <w:rPr>
                <w:rFonts w:ascii="Times New Roman" w:hAnsi="Times New Roman" w:cs="Times New Roman"/>
                <w:i/>
                <w:iCs/>
              </w:rPr>
              <w:t>Azospirillum</w:t>
            </w:r>
            <w:proofErr w:type="spellEnd"/>
            <w:r>
              <w:rPr>
                <w:rFonts w:ascii="Times New Roman" w:hAnsi="Times New Roman" w:cs="Times New Roman"/>
              </w:rPr>
              <w:t xml:space="preserve"> + VAM (50% + 50% Each), </w:t>
            </w:r>
            <w:r>
              <w:rPr>
                <w:rFonts w:ascii="Times New Roman" w:hAnsi="Times New Roman" w:cs="Times New Roman"/>
                <w:b/>
                <w:bCs/>
              </w:rPr>
              <w:t>T</w:t>
            </w:r>
            <w:r>
              <w:rPr>
                <w:rFonts w:ascii="Times New Roman" w:hAnsi="Times New Roman" w:cs="Times New Roman"/>
                <w:b/>
                <w:bCs/>
                <w:vertAlign w:val="subscript"/>
              </w:rPr>
              <w:t>11</w:t>
            </w:r>
            <w:r>
              <w:rPr>
                <w:rFonts w:ascii="Times New Roman" w:hAnsi="Times New Roman" w:cs="Times New Roman"/>
                <w:b/>
                <w:bCs/>
              </w:rPr>
              <w:t>-</w:t>
            </w:r>
            <w:r>
              <w:rPr>
                <w:rFonts w:ascii="Times New Roman" w:hAnsi="Times New Roman" w:cs="Times New Roman"/>
              </w:rPr>
              <w:t xml:space="preserve"> RDF + </w:t>
            </w:r>
            <w:proofErr w:type="spellStart"/>
            <w:r>
              <w:rPr>
                <w:rFonts w:ascii="Times New Roman" w:hAnsi="Times New Roman" w:cs="Times New Roman"/>
              </w:rPr>
              <w:t>Azotobacter</w:t>
            </w:r>
            <w:proofErr w:type="spellEnd"/>
            <w:r>
              <w:rPr>
                <w:rFonts w:ascii="Times New Roman" w:hAnsi="Times New Roman" w:cs="Times New Roman"/>
              </w:rPr>
              <w:t xml:space="preserve"> + </w:t>
            </w:r>
            <w:proofErr w:type="spellStart"/>
            <w:r>
              <w:rPr>
                <w:rFonts w:ascii="Times New Roman" w:hAnsi="Times New Roman" w:cs="Times New Roman"/>
                <w:i/>
                <w:iCs/>
              </w:rPr>
              <w:t>Azospirillum</w:t>
            </w:r>
            <w:proofErr w:type="spellEnd"/>
            <w:r>
              <w:rPr>
                <w:rFonts w:ascii="Times New Roman" w:hAnsi="Times New Roman" w:cs="Times New Roman"/>
              </w:rPr>
              <w:t xml:space="preserve"> + VAM (25 + 25 + 25 + 25 Each)</w:t>
            </w:r>
          </w:p>
        </w:tc>
      </w:tr>
    </w:tbl>
    <w:p w:rsidR="00653097" w:rsidRDefault="00653097" w:rsidP="00653097">
      <w:pPr>
        <w:spacing w:line="360" w:lineRule="auto"/>
        <w:jc w:val="both"/>
        <w:rPr>
          <w:rFonts w:ascii="Times New Roman" w:hAnsi="Times New Roman" w:cs="Times New Roman"/>
          <w:szCs w:val="22"/>
          <w:lang w:bidi="ar-SA"/>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jc w:val="both"/>
        <w:rPr>
          <w:rFonts w:ascii="Times New Roman" w:hAnsi="Times New Roman" w:cs="Times New Roman"/>
          <w:lang w:bidi="ar-SA"/>
        </w:rPr>
      </w:pPr>
      <w:r>
        <w:rPr>
          <w:noProof/>
        </w:rPr>
        <w:lastRenderedPageBreak/>
        <w:drawing>
          <wp:anchor distT="0" distB="8471" distL="114300" distR="114300" simplePos="0" relativeHeight="251657216" behindDoc="0" locked="0" layoutInCell="1" allowOverlap="1">
            <wp:simplePos x="0" y="0"/>
            <wp:positionH relativeFrom="column">
              <wp:posOffset>-6350</wp:posOffset>
            </wp:positionH>
            <wp:positionV relativeFrom="paragraph">
              <wp:posOffset>356235</wp:posOffset>
            </wp:positionV>
            <wp:extent cx="5766435" cy="3103245"/>
            <wp:effectExtent l="0" t="0" r="0" b="0"/>
            <wp:wrapNone/>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jc w:val="center"/>
        <w:rPr>
          <w:rFonts w:ascii="Times New Roman" w:hAnsi="Times New Roman" w:cs="Times New Roman"/>
          <w:b/>
          <w:bCs/>
        </w:rPr>
      </w:pPr>
      <w:r>
        <w:rPr>
          <w:rFonts w:ascii="Times New Roman" w:hAnsi="Times New Roman" w:cs="Times New Roman"/>
          <w:b/>
          <w:bCs/>
        </w:rPr>
        <w:t>Fig.1: Effect of different treatments on yield of broccoli</w:t>
      </w:r>
    </w:p>
    <w:p w:rsidR="00653097" w:rsidRDefault="00653097" w:rsidP="00653097">
      <w:pPr>
        <w:tabs>
          <w:tab w:val="left" w:pos="4133"/>
        </w:tabs>
        <w:spacing w:line="360" w:lineRule="auto"/>
        <w:rPr>
          <w:rFonts w:ascii="Times New Roman" w:hAnsi="Times New Roman" w:cs="Times New Roman"/>
        </w:rPr>
      </w:pPr>
      <w:r>
        <w:rPr>
          <w:rFonts w:ascii="Times New Roman" w:hAnsi="Times New Roman" w:cs="Times New Roman"/>
        </w:rPr>
        <w:tab/>
      </w:r>
      <w:r>
        <w:rPr>
          <w:noProof/>
        </w:rPr>
        <w:drawing>
          <wp:anchor distT="0" distB="0" distL="114300" distR="114300" simplePos="0" relativeHeight="251658240" behindDoc="0" locked="0" layoutInCell="1" allowOverlap="1">
            <wp:simplePos x="0" y="0"/>
            <wp:positionH relativeFrom="column">
              <wp:posOffset>-23495</wp:posOffset>
            </wp:positionH>
            <wp:positionV relativeFrom="paragraph">
              <wp:posOffset>57785</wp:posOffset>
            </wp:positionV>
            <wp:extent cx="5894705" cy="3035935"/>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rPr>
          <w:rFonts w:ascii="Times New Roman" w:hAnsi="Times New Roman" w:cs="Times New Roman"/>
        </w:rPr>
      </w:pPr>
    </w:p>
    <w:p w:rsidR="00653097" w:rsidRDefault="00653097" w:rsidP="00653097">
      <w:pPr>
        <w:spacing w:line="360" w:lineRule="auto"/>
        <w:jc w:val="center"/>
        <w:rPr>
          <w:rFonts w:ascii="Times New Roman" w:hAnsi="Times New Roman" w:cs="Times New Roman"/>
          <w:b/>
          <w:bCs/>
        </w:rPr>
      </w:pPr>
    </w:p>
    <w:p w:rsidR="00653097" w:rsidRDefault="00653097" w:rsidP="00653097">
      <w:pPr>
        <w:spacing w:line="360" w:lineRule="auto"/>
        <w:jc w:val="center"/>
        <w:rPr>
          <w:rFonts w:ascii="Times New Roman" w:hAnsi="Times New Roman" w:cs="Times New Roman"/>
          <w:b/>
          <w:bCs/>
        </w:rPr>
      </w:pPr>
      <w:r>
        <w:rPr>
          <w:rFonts w:ascii="Times New Roman" w:hAnsi="Times New Roman" w:cs="Times New Roman"/>
          <w:b/>
          <w:bCs/>
        </w:rPr>
        <w:t>Fig.2: Effect of different treatments on quality parameters of broccoli</w:t>
      </w:r>
    </w:p>
    <w:p w:rsidR="00E54A43" w:rsidRDefault="00E54A43"/>
    <w:sectPr w:rsidR="00E54A43" w:rsidSect="00ED3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w:altName w:val="Times New Roman"/>
    <w:panose1 w:val="00000000000000000000"/>
    <w:charset w:val="00"/>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097"/>
    <w:rsid w:val="00023396"/>
    <w:rsid w:val="000A6542"/>
    <w:rsid w:val="00264918"/>
    <w:rsid w:val="002C4FE6"/>
    <w:rsid w:val="003175B9"/>
    <w:rsid w:val="003465FE"/>
    <w:rsid w:val="00357CC3"/>
    <w:rsid w:val="004D15F4"/>
    <w:rsid w:val="004E225D"/>
    <w:rsid w:val="00523FD4"/>
    <w:rsid w:val="005F34AC"/>
    <w:rsid w:val="00653097"/>
    <w:rsid w:val="006F4A33"/>
    <w:rsid w:val="009B5D7C"/>
    <w:rsid w:val="009F74AA"/>
    <w:rsid w:val="00A12DC5"/>
    <w:rsid w:val="00A72C16"/>
    <w:rsid w:val="00B849E0"/>
    <w:rsid w:val="00CE1D11"/>
    <w:rsid w:val="00D75CBD"/>
    <w:rsid w:val="00DE71A3"/>
    <w:rsid w:val="00E146C2"/>
    <w:rsid w:val="00E54A43"/>
    <w:rsid w:val="00E64275"/>
    <w:rsid w:val="00E670F1"/>
    <w:rsid w:val="00EC3BC2"/>
    <w:rsid w:val="00ED3042"/>
    <w:rsid w:val="00F609A5"/>
    <w:rsid w:val="00F7161F"/>
    <w:rsid w:val="00F778B0"/>
    <w:rsid w:val="00FD40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8CBCE-67F3-4B99-B491-F424A382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3097"/>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91813">
      <w:bodyDiv w:val="1"/>
      <w:marLeft w:val="0"/>
      <w:marRight w:val="0"/>
      <w:marTop w:val="0"/>
      <w:marBottom w:val="0"/>
      <w:divBdr>
        <w:top w:val="none" w:sz="0" w:space="0" w:color="auto"/>
        <w:left w:val="none" w:sz="0" w:space="0" w:color="auto"/>
        <w:bottom w:val="none" w:sz="0" w:space="0" w:color="auto"/>
        <w:right w:val="none" w:sz="0" w:space="0" w:color="auto"/>
      </w:divBdr>
    </w:div>
    <w:div w:id="12003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JAY\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JAY\Desktop\DOCTOR%20LIST%20BY%20VISHAL%20BALDANIY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Sheet2!$F$6</c:f>
              <c:strCache>
                <c:ptCount val="1"/>
                <c:pt idx="0">
                  <c:v>Yield Q/ha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Sheet2!$E$7:$E$19</c:f>
              <c:strCache>
                <c:ptCount val="13"/>
                <c:pt idx="1">
                  <c:v>T0</c:v>
                </c:pt>
                <c:pt idx="2">
                  <c:v>T1</c:v>
                </c:pt>
                <c:pt idx="3">
                  <c:v>T2</c:v>
                </c:pt>
                <c:pt idx="4">
                  <c:v>T3</c:v>
                </c:pt>
                <c:pt idx="5">
                  <c:v>T4</c:v>
                </c:pt>
                <c:pt idx="6">
                  <c:v>T5</c:v>
                </c:pt>
                <c:pt idx="7">
                  <c:v>T6</c:v>
                </c:pt>
                <c:pt idx="8">
                  <c:v>T7</c:v>
                </c:pt>
                <c:pt idx="9">
                  <c:v>T8</c:v>
                </c:pt>
                <c:pt idx="10">
                  <c:v>T9</c:v>
                </c:pt>
                <c:pt idx="11">
                  <c:v>T10</c:v>
                </c:pt>
                <c:pt idx="12">
                  <c:v>T11</c:v>
                </c:pt>
              </c:strCache>
            </c:strRef>
          </c:cat>
          <c:val>
            <c:numRef>
              <c:f>Sheet2!$F$7:$F$19</c:f>
              <c:numCache>
                <c:formatCode>General</c:formatCode>
                <c:ptCount val="13"/>
                <c:pt idx="1">
                  <c:v>252.47</c:v>
                </c:pt>
                <c:pt idx="2">
                  <c:v>334.82</c:v>
                </c:pt>
                <c:pt idx="3">
                  <c:v>324.36</c:v>
                </c:pt>
                <c:pt idx="4">
                  <c:v>322.47999999999894</c:v>
                </c:pt>
                <c:pt idx="5">
                  <c:v>318.19</c:v>
                </c:pt>
                <c:pt idx="6">
                  <c:v>321.41000000000003</c:v>
                </c:pt>
                <c:pt idx="7">
                  <c:v>351.39</c:v>
                </c:pt>
                <c:pt idx="8">
                  <c:v>359.97999999999894</c:v>
                </c:pt>
                <c:pt idx="9">
                  <c:v>323.94</c:v>
                </c:pt>
                <c:pt idx="10">
                  <c:v>319.2</c:v>
                </c:pt>
                <c:pt idx="11">
                  <c:v>301.44</c:v>
                </c:pt>
                <c:pt idx="12">
                  <c:v>285.12</c:v>
                </c:pt>
              </c:numCache>
            </c:numRef>
          </c:val>
          <c:extLst>
            <c:ext xmlns:c16="http://schemas.microsoft.com/office/drawing/2014/chart" uri="{C3380CC4-5D6E-409C-BE32-E72D297353CC}">
              <c16:uniqueId val="{00000000-1F25-4F83-BA18-679D42C5A07F}"/>
            </c:ext>
          </c:extLst>
        </c:ser>
        <c:dLbls>
          <c:showLegendKey val="0"/>
          <c:showVal val="0"/>
          <c:showCatName val="0"/>
          <c:showSerName val="0"/>
          <c:showPercent val="0"/>
          <c:showBubbleSize val="0"/>
        </c:dLbls>
        <c:gapWidth val="100"/>
        <c:overlap val="-24"/>
        <c:axId val="79548416"/>
        <c:axId val="79550336"/>
      </c:barChart>
      <c:catAx>
        <c:axId val="795484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Treatment</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9550336"/>
        <c:crosses val="autoZero"/>
        <c:auto val="1"/>
        <c:lblAlgn val="ctr"/>
        <c:lblOffset val="100"/>
        <c:noMultiLvlLbl val="0"/>
      </c:catAx>
      <c:valAx>
        <c:axId val="79550336"/>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yield</a:t>
                </a:r>
                <a:r>
                  <a:rPr lang="en-US" baseline="0"/>
                  <a:t> (q/ha)</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95484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latin typeface="Bahnschrift SemiCondensed" panose="020B0502040204020203" pitchFamily="34" charset="0"/>
                <a:cs typeface="Times New Roman" panose="02020603050405020304" pitchFamily="18" charset="0"/>
              </a:rPr>
              <a:t>Quality</a:t>
            </a:r>
            <a:r>
              <a:rPr lang="en-US" sz="1300" b="1" baseline="0">
                <a:latin typeface="Bahnschrift SemiCondensed" panose="020B0502040204020203" pitchFamily="34" charset="0"/>
                <a:cs typeface="Times New Roman" panose="02020603050405020304" pitchFamily="18" charset="0"/>
              </a:rPr>
              <a:t> parameters </a:t>
            </a:r>
            <a:endParaRPr lang="en-US" sz="1300" b="1">
              <a:latin typeface="Bahnschrift SemiCondensed" panose="020B0502040204020203" pitchFamily="34"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Sheet2!$F$5</c:f>
              <c:strCache>
                <c:ptCount val="1"/>
                <c:pt idx="0">
                  <c:v>Reducing sugar (%)</c:v>
                </c:pt>
              </c:strCache>
            </c:strRef>
          </c:tx>
          <c:spPr>
            <a:solidFill>
              <a:schemeClr val="accent1"/>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Sheet2!$F$6:$F$17</c:f>
              <c:numCache>
                <c:formatCode>General</c:formatCode>
                <c:ptCount val="12"/>
                <c:pt idx="0">
                  <c:v>2.4</c:v>
                </c:pt>
                <c:pt idx="1">
                  <c:v>2.3699999999999997</c:v>
                </c:pt>
                <c:pt idx="2">
                  <c:v>2.4099999999999997</c:v>
                </c:pt>
                <c:pt idx="3">
                  <c:v>2.4899999999999998</c:v>
                </c:pt>
                <c:pt idx="4">
                  <c:v>2.96</c:v>
                </c:pt>
                <c:pt idx="5">
                  <c:v>2.67</c:v>
                </c:pt>
                <c:pt idx="6">
                  <c:v>2.72</c:v>
                </c:pt>
                <c:pt idx="7">
                  <c:v>2.8699999999999997</c:v>
                </c:pt>
                <c:pt idx="8">
                  <c:v>2.5</c:v>
                </c:pt>
                <c:pt idx="9">
                  <c:v>2.66</c:v>
                </c:pt>
                <c:pt idx="10">
                  <c:v>2.64</c:v>
                </c:pt>
                <c:pt idx="11">
                  <c:v>2.67</c:v>
                </c:pt>
              </c:numCache>
            </c:numRef>
          </c:val>
          <c:extLst>
            <c:ext xmlns:c16="http://schemas.microsoft.com/office/drawing/2014/chart" uri="{C3380CC4-5D6E-409C-BE32-E72D297353CC}">
              <c16:uniqueId val="{00000000-E6D7-4465-864A-51BD2BFBA9C1}"/>
            </c:ext>
          </c:extLst>
        </c:ser>
        <c:ser>
          <c:idx val="1"/>
          <c:order val="1"/>
          <c:tx>
            <c:strRef>
              <c:f>Sheet2!$G$5</c:f>
              <c:strCache>
                <c:ptCount val="1"/>
                <c:pt idx="0">
                  <c:v>Non-Reducing sugar (%)</c:v>
                </c:pt>
              </c:strCache>
            </c:strRef>
          </c:tx>
          <c:spPr>
            <a:solidFill>
              <a:schemeClr val="accent2"/>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Sheet2!$G$6:$G$17</c:f>
              <c:numCache>
                <c:formatCode>General</c:formatCode>
                <c:ptCount val="12"/>
                <c:pt idx="0">
                  <c:v>0.48000000000000032</c:v>
                </c:pt>
                <c:pt idx="1">
                  <c:v>0.53</c:v>
                </c:pt>
                <c:pt idx="2">
                  <c:v>0.36000000000000032</c:v>
                </c:pt>
                <c:pt idx="3">
                  <c:v>1.51</c:v>
                </c:pt>
                <c:pt idx="4">
                  <c:v>0.11000000000000001</c:v>
                </c:pt>
                <c:pt idx="5">
                  <c:v>0.66000000000000392</c:v>
                </c:pt>
                <c:pt idx="6">
                  <c:v>0.62000000000000299</c:v>
                </c:pt>
                <c:pt idx="7">
                  <c:v>0.49000000000000032</c:v>
                </c:pt>
                <c:pt idx="8">
                  <c:v>0.76000000000000334</c:v>
                </c:pt>
                <c:pt idx="9">
                  <c:v>0.6800000000000006</c:v>
                </c:pt>
                <c:pt idx="10">
                  <c:v>1.21</c:v>
                </c:pt>
                <c:pt idx="11">
                  <c:v>9.0000000000000066E-2</c:v>
                </c:pt>
              </c:numCache>
            </c:numRef>
          </c:val>
          <c:extLst>
            <c:ext xmlns:c16="http://schemas.microsoft.com/office/drawing/2014/chart" uri="{C3380CC4-5D6E-409C-BE32-E72D297353CC}">
              <c16:uniqueId val="{00000001-E6D7-4465-864A-51BD2BFBA9C1}"/>
            </c:ext>
          </c:extLst>
        </c:ser>
        <c:ser>
          <c:idx val="2"/>
          <c:order val="2"/>
          <c:tx>
            <c:strRef>
              <c:f>Sheet2!$H$5</c:f>
              <c:strCache>
                <c:ptCount val="1"/>
                <c:pt idx="0">
                  <c:v>Total sugar (%)</c:v>
                </c:pt>
              </c:strCache>
            </c:strRef>
          </c:tx>
          <c:spPr>
            <a:solidFill>
              <a:schemeClr val="accent3"/>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Sheet2!$H$6:$H$17</c:f>
              <c:numCache>
                <c:formatCode>General</c:formatCode>
                <c:ptCount val="12"/>
                <c:pt idx="0">
                  <c:v>2.88</c:v>
                </c:pt>
                <c:pt idx="1">
                  <c:v>2.9</c:v>
                </c:pt>
                <c:pt idx="2">
                  <c:v>2.77</c:v>
                </c:pt>
                <c:pt idx="3">
                  <c:v>4</c:v>
                </c:pt>
                <c:pt idx="4">
                  <c:v>3.07</c:v>
                </c:pt>
                <c:pt idx="5">
                  <c:v>3.3299999999999987</c:v>
                </c:pt>
                <c:pt idx="6">
                  <c:v>3.34</c:v>
                </c:pt>
                <c:pt idx="7">
                  <c:v>3.36</c:v>
                </c:pt>
                <c:pt idx="8">
                  <c:v>3.2600000000000002</c:v>
                </c:pt>
                <c:pt idx="9">
                  <c:v>3.34</c:v>
                </c:pt>
                <c:pt idx="10">
                  <c:v>3.8499999999999988</c:v>
                </c:pt>
                <c:pt idx="11">
                  <c:v>2.7600000000000002</c:v>
                </c:pt>
              </c:numCache>
            </c:numRef>
          </c:val>
          <c:extLst>
            <c:ext xmlns:c16="http://schemas.microsoft.com/office/drawing/2014/chart" uri="{C3380CC4-5D6E-409C-BE32-E72D297353CC}">
              <c16:uniqueId val="{00000002-E6D7-4465-864A-51BD2BFBA9C1}"/>
            </c:ext>
          </c:extLst>
        </c:ser>
        <c:ser>
          <c:idx val="3"/>
          <c:order val="3"/>
          <c:tx>
            <c:strRef>
              <c:f>Sheet2!$I$5</c:f>
              <c:strCache>
                <c:ptCount val="1"/>
                <c:pt idx="0">
                  <c:v>Vitamin C</c:v>
                </c:pt>
              </c:strCache>
            </c:strRef>
          </c:tx>
          <c:spPr>
            <a:solidFill>
              <a:schemeClr val="accent4"/>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Sheet2!$I$6:$I$17</c:f>
              <c:numCache>
                <c:formatCode>General</c:formatCode>
                <c:ptCount val="12"/>
                <c:pt idx="0">
                  <c:v>85.169999999999987</c:v>
                </c:pt>
                <c:pt idx="1">
                  <c:v>85.77</c:v>
                </c:pt>
                <c:pt idx="2">
                  <c:v>86.11</c:v>
                </c:pt>
                <c:pt idx="3">
                  <c:v>91.740000000000023</c:v>
                </c:pt>
                <c:pt idx="4">
                  <c:v>90.29</c:v>
                </c:pt>
                <c:pt idx="5">
                  <c:v>88.86999999999999</c:v>
                </c:pt>
                <c:pt idx="6">
                  <c:v>91.79</c:v>
                </c:pt>
                <c:pt idx="7">
                  <c:v>92.54</c:v>
                </c:pt>
                <c:pt idx="8">
                  <c:v>88.69</c:v>
                </c:pt>
                <c:pt idx="9">
                  <c:v>87.649999999999991</c:v>
                </c:pt>
                <c:pt idx="10">
                  <c:v>90.54</c:v>
                </c:pt>
                <c:pt idx="11">
                  <c:v>90.02</c:v>
                </c:pt>
              </c:numCache>
            </c:numRef>
          </c:val>
          <c:extLst>
            <c:ext xmlns:c16="http://schemas.microsoft.com/office/drawing/2014/chart" uri="{C3380CC4-5D6E-409C-BE32-E72D297353CC}">
              <c16:uniqueId val="{00000003-E6D7-4465-864A-51BD2BFBA9C1}"/>
            </c:ext>
          </c:extLst>
        </c:ser>
        <c:ser>
          <c:idx val="4"/>
          <c:order val="4"/>
          <c:tx>
            <c:strRef>
              <c:f>Sheet2!$J$5</c:f>
              <c:strCache>
                <c:ptCount val="1"/>
                <c:pt idx="0">
                  <c:v>Acidity</c:v>
                </c:pt>
              </c:strCache>
            </c:strRef>
          </c:tx>
          <c:spPr>
            <a:solidFill>
              <a:schemeClr val="accent5"/>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Sheet2!$J$6:$J$17</c:f>
              <c:numCache>
                <c:formatCode>General</c:formatCode>
                <c:ptCount val="12"/>
                <c:pt idx="0">
                  <c:v>0.54</c:v>
                </c:pt>
                <c:pt idx="1">
                  <c:v>0.81</c:v>
                </c:pt>
                <c:pt idx="2">
                  <c:v>0.76000000000000334</c:v>
                </c:pt>
                <c:pt idx="3">
                  <c:v>0.84000000000000064</c:v>
                </c:pt>
                <c:pt idx="4">
                  <c:v>0.76000000000000334</c:v>
                </c:pt>
                <c:pt idx="5">
                  <c:v>0.85000000000000064</c:v>
                </c:pt>
                <c:pt idx="6">
                  <c:v>0.86000000000000065</c:v>
                </c:pt>
                <c:pt idx="7">
                  <c:v>0.87000000000000299</c:v>
                </c:pt>
                <c:pt idx="8">
                  <c:v>0.8</c:v>
                </c:pt>
                <c:pt idx="9">
                  <c:v>0.72000000000000064</c:v>
                </c:pt>
                <c:pt idx="10">
                  <c:v>0.84000000000000064</c:v>
                </c:pt>
                <c:pt idx="11">
                  <c:v>0.76000000000000334</c:v>
                </c:pt>
              </c:numCache>
            </c:numRef>
          </c:val>
          <c:extLst>
            <c:ext xmlns:c16="http://schemas.microsoft.com/office/drawing/2014/chart" uri="{C3380CC4-5D6E-409C-BE32-E72D297353CC}">
              <c16:uniqueId val="{00000004-E6D7-4465-864A-51BD2BFBA9C1}"/>
            </c:ext>
          </c:extLst>
        </c:ser>
        <c:ser>
          <c:idx val="5"/>
          <c:order val="5"/>
          <c:tx>
            <c:strRef>
              <c:f>Sheet2!$K$5</c:f>
              <c:strCache>
                <c:ptCount val="1"/>
                <c:pt idx="0">
                  <c:v>TSS</c:v>
                </c:pt>
              </c:strCache>
            </c:strRef>
          </c:tx>
          <c:spPr>
            <a:solidFill>
              <a:schemeClr val="accent6"/>
            </a:solidFill>
            <a:ln>
              <a:noFill/>
            </a:ln>
            <a:effectLst/>
          </c:spPr>
          <c:invertIfNegative val="0"/>
          <c:cat>
            <c:strRef>
              <c:f>Sheet2!$E$6:$E$17</c:f>
              <c:strCache>
                <c:ptCount val="12"/>
                <c:pt idx="0">
                  <c:v>T0</c:v>
                </c:pt>
                <c:pt idx="1">
                  <c:v>T1</c:v>
                </c:pt>
                <c:pt idx="2">
                  <c:v>T2</c:v>
                </c:pt>
                <c:pt idx="3">
                  <c:v>T3</c:v>
                </c:pt>
                <c:pt idx="4">
                  <c:v>T4</c:v>
                </c:pt>
                <c:pt idx="5">
                  <c:v>T5</c:v>
                </c:pt>
                <c:pt idx="6">
                  <c:v>T6</c:v>
                </c:pt>
                <c:pt idx="7">
                  <c:v>T7</c:v>
                </c:pt>
                <c:pt idx="8">
                  <c:v>T8</c:v>
                </c:pt>
                <c:pt idx="9">
                  <c:v>T9</c:v>
                </c:pt>
                <c:pt idx="10">
                  <c:v>T10</c:v>
                </c:pt>
                <c:pt idx="11">
                  <c:v>T11</c:v>
                </c:pt>
              </c:strCache>
            </c:strRef>
          </c:cat>
          <c:val>
            <c:numRef>
              <c:f>Sheet2!$K$6:$K$17</c:f>
              <c:numCache>
                <c:formatCode>General</c:formatCode>
                <c:ptCount val="12"/>
                <c:pt idx="0">
                  <c:v>7.73</c:v>
                </c:pt>
                <c:pt idx="1">
                  <c:v>8.6</c:v>
                </c:pt>
                <c:pt idx="2">
                  <c:v>8.2000000000000011</c:v>
                </c:pt>
                <c:pt idx="3">
                  <c:v>9.2100000000000009</c:v>
                </c:pt>
                <c:pt idx="4">
                  <c:v>8.4</c:v>
                </c:pt>
                <c:pt idx="5">
                  <c:v>8.2299999999999986</c:v>
                </c:pt>
                <c:pt idx="6">
                  <c:v>9.3800000000000008</c:v>
                </c:pt>
                <c:pt idx="7">
                  <c:v>9.5</c:v>
                </c:pt>
                <c:pt idx="8">
                  <c:v>7.9</c:v>
                </c:pt>
                <c:pt idx="9">
                  <c:v>8.52</c:v>
                </c:pt>
                <c:pt idx="10">
                  <c:v>8.120000000000001</c:v>
                </c:pt>
                <c:pt idx="11">
                  <c:v>8.33</c:v>
                </c:pt>
              </c:numCache>
            </c:numRef>
          </c:val>
          <c:extLst>
            <c:ext xmlns:c16="http://schemas.microsoft.com/office/drawing/2014/chart" uri="{C3380CC4-5D6E-409C-BE32-E72D297353CC}">
              <c16:uniqueId val="{00000005-E6D7-4465-864A-51BD2BFBA9C1}"/>
            </c:ext>
          </c:extLst>
        </c:ser>
        <c:dLbls>
          <c:showLegendKey val="0"/>
          <c:showVal val="0"/>
          <c:showCatName val="0"/>
          <c:showSerName val="0"/>
          <c:showPercent val="0"/>
          <c:showBubbleSize val="0"/>
        </c:dLbls>
        <c:gapWidth val="219"/>
        <c:overlap val="-27"/>
        <c:axId val="79656448"/>
        <c:axId val="79657984"/>
      </c:barChart>
      <c:catAx>
        <c:axId val="7965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57984"/>
        <c:crosses val="autoZero"/>
        <c:auto val="1"/>
        <c:lblAlgn val="ctr"/>
        <c:lblOffset val="100"/>
        <c:noMultiLvlLbl val="0"/>
      </c:catAx>
      <c:valAx>
        <c:axId val="7965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5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dc:creator>
  <cp:keywords/>
  <dc:description/>
  <cp:lastModifiedBy>SDI 1137</cp:lastModifiedBy>
  <cp:revision>27</cp:revision>
  <dcterms:created xsi:type="dcterms:W3CDTF">2025-04-16T14:00:00Z</dcterms:created>
  <dcterms:modified xsi:type="dcterms:W3CDTF">2025-05-01T12:13:00Z</dcterms:modified>
</cp:coreProperties>
</file>