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9B3" w:rsidRDefault="003E49B3" w:rsidP="003E49B3">
      <w:pPr>
        <w:spacing w:before="100" w:beforeAutospacing="1" w:after="100" w:afterAutospacing="1" w:line="360" w:lineRule="auto"/>
        <w:jc w:val="center"/>
        <w:rPr>
          <w:rFonts w:eastAsia="Times New Roman" w:cstheme="minorHAnsi"/>
          <w:b/>
          <w:bCs/>
          <w:sz w:val="28"/>
          <w:szCs w:val="28"/>
        </w:rPr>
      </w:pPr>
      <w:r w:rsidRPr="00711D4D">
        <w:rPr>
          <w:rFonts w:eastAsia="Times New Roman" w:cstheme="minorHAnsi"/>
          <w:b/>
          <w:bCs/>
          <w:sz w:val="28"/>
          <w:szCs w:val="28"/>
        </w:rPr>
        <w:t xml:space="preserve">Association </w:t>
      </w:r>
      <w:proofErr w:type="gramStart"/>
      <w:r w:rsidRPr="00711D4D">
        <w:rPr>
          <w:rFonts w:eastAsia="Times New Roman" w:cstheme="minorHAnsi"/>
          <w:b/>
          <w:bCs/>
          <w:sz w:val="28"/>
          <w:szCs w:val="28"/>
        </w:rPr>
        <w:t>Between</w:t>
      </w:r>
      <w:proofErr w:type="gramEnd"/>
      <w:r w:rsidRPr="00711D4D">
        <w:rPr>
          <w:rFonts w:eastAsia="Times New Roman" w:cstheme="minorHAnsi"/>
          <w:b/>
          <w:bCs/>
          <w:sz w:val="28"/>
          <w:szCs w:val="28"/>
        </w:rPr>
        <w:t xml:space="preserve"> Inflammatory Cytokines and Glycemic Parameters in Type 2 Diabetes Mellitus Patients</w:t>
      </w:r>
    </w:p>
    <w:p w:rsidR="003E49B3" w:rsidRDefault="003E49B3" w:rsidP="003E49B3">
      <w:pPr>
        <w:spacing w:before="100" w:beforeAutospacing="1" w:after="100" w:afterAutospacing="1" w:line="360" w:lineRule="auto"/>
        <w:jc w:val="center"/>
        <w:outlineLvl w:val="2"/>
        <w:rPr>
          <w:rFonts w:eastAsia="Times New Roman" w:cstheme="minorHAnsi"/>
          <w:b/>
          <w:bCs/>
          <w:sz w:val="24"/>
          <w:szCs w:val="24"/>
        </w:rPr>
      </w:pPr>
    </w:p>
    <w:p w:rsidR="003E49B3" w:rsidRPr="00761632" w:rsidRDefault="003E49B3" w:rsidP="003E49B3">
      <w:pPr>
        <w:spacing w:before="100" w:beforeAutospacing="1" w:after="100" w:afterAutospacing="1" w:line="360" w:lineRule="auto"/>
        <w:jc w:val="center"/>
        <w:outlineLvl w:val="2"/>
        <w:rPr>
          <w:rFonts w:eastAsia="Times New Roman" w:cstheme="minorHAnsi"/>
          <w:b/>
          <w:bCs/>
          <w:sz w:val="24"/>
          <w:szCs w:val="24"/>
        </w:rPr>
      </w:pPr>
      <w:r w:rsidRPr="00711D4D">
        <w:rPr>
          <w:rFonts w:eastAsia="Times New Roman" w:cstheme="minorHAnsi"/>
          <w:b/>
          <w:bCs/>
          <w:sz w:val="24"/>
          <w:szCs w:val="24"/>
        </w:rPr>
        <w:t>Abstract</w:t>
      </w:r>
    </w:p>
    <w:p w:rsidR="003E49B3" w:rsidRPr="00D740CE" w:rsidRDefault="003E49B3" w:rsidP="003E49B3">
      <w:pPr>
        <w:spacing w:line="360" w:lineRule="auto"/>
        <w:jc w:val="both"/>
        <w:rPr>
          <w:rFonts w:eastAsia="Times New Roman" w:cstheme="minorHAnsi"/>
          <w:sz w:val="24"/>
          <w:szCs w:val="24"/>
        </w:rPr>
      </w:pPr>
      <w:proofErr w:type="spellStart"/>
      <w:r w:rsidRPr="00D740CE">
        <w:rPr>
          <w:rFonts w:eastAsia="Times New Roman" w:cstheme="minorHAnsi"/>
          <w:b/>
          <w:bCs/>
          <w:sz w:val="24"/>
          <w:szCs w:val="24"/>
        </w:rPr>
        <w:t>Introduction</w:t>
      </w:r>
      <w:proofErr w:type="gramStart"/>
      <w:r w:rsidRPr="00D740CE">
        <w:rPr>
          <w:rFonts w:eastAsia="Times New Roman" w:cstheme="minorHAnsi"/>
          <w:b/>
          <w:bCs/>
          <w:sz w:val="24"/>
          <w:szCs w:val="24"/>
        </w:rPr>
        <w:t>:</w:t>
      </w:r>
      <w:r w:rsidRPr="00D740CE">
        <w:rPr>
          <w:rFonts w:eastAsia="Times New Roman" w:cstheme="minorHAnsi"/>
          <w:sz w:val="24"/>
          <w:szCs w:val="24"/>
        </w:rPr>
        <w:t>Type</w:t>
      </w:r>
      <w:proofErr w:type="spellEnd"/>
      <w:proofErr w:type="gramEnd"/>
      <w:r w:rsidRPr="00D740CE">
        <w:rPr>
          <w:rFonts w:eastAsia="Times New Roman" w:cstheme="minorHAnsi"/>
          <w:sz w:val="24"/>
          <w:szCs w:val="24"/>
        </w:rPr>
        <w:t xml:space="preserve"> 2 Diabetes Mellitus (T2DM) is increasingly recognized not only as a metabolic condition but also as a chronic inflammatory state. Inflammatory cytokines such as interleukin-6 (IL-6), tumor necrosis factor-alpha (TNF-α), and high-sensitivity C-reactive protein (</w:t>
      </w:r>
      <w:proofErr w:type="spellStart"/>
      <w:r w:rsidRPr="00D740CE">
        <w:rPr>
          <w:rFonts w:eastAsia="Times New Roman" w:cstheme="minorHAnsi"/>
          <w:sz w:val="24"/>
          <w:szCs w:val="24"/>
        </w:rPr>
        <w:t>hs</w:t>
      </w:r>
      <w:proofErr w:type="spellEnd"/>
      <w:r w:rsidRPr="00D740CE">
        <w:rPr>
          <w:rFonts w:eastAsia="Times New Roman" w:cstheme="minorHAnsi"/>
          <w:sz w:val="24"/>
          <w:szCs w:val="24"/>
        </w:rPr>
        <w:t>-CRP) have been associated in insulin resistance and poor glycemic control. It is crucial to comprehend how they relate to glycemic markers in order to create tailored treatments and enhance disease surveillance.</w:t>
      </w:r>
    </w:p>
    <w:p w:rsidR="003E49B3" w:rsidRPr="00761632" w:rsidRDefault="003E49B3" w:rsidP="003E49B3">
      <w:pPr>
        <w:spacing w:line="360" w:lineRule="auto"/>
        <w:jc w:val="both"/>
        <w:rPr>
          <w:rFonts w:eastAsia="Times New Roman" w:cstheme="minorHAnsi"/>
          <w:sz w:val="24"/>
          <w:szCs w:val="24"/>
        </w:rPr>
      </w:pPr>
      <w:r w:rsidRPr="00D740CE">
        <w:rPr>
          <w:rFonts w:eastAsia="Times New Roman" w:cstheme="minorHAnsi"/>
          <w:b/>
          <w:bCs/>
          <w:sz w:val="24"/>
          <w:szCs w:val="24"/>
        </w:rPr>
        <w:t>Aim/</w:t>
      </w:r>
      <w:proofErr w:type="spellStart"/>
      <w:r w:rsidRPr="00D740CE">
        <w:rPr>
          <w:rFonts w:eastAsia="Times New Roman" w:cstheme="minorHAnsi"/>
          <w:b/>
          <w:bCs/>
          <w:sz w:val="24"/>
          <w:szCs w:val="24"/>
        </w:rPr>
        <w:t>Objective</w:t>
      </w:r>
      <w:proofErr w:type="gramStart"/>
      <w:r w:rsidRPr="00D740CE">
        <w:rPr>
          <w:rFonts w:eastAsia="Times New Roman" w:cstheme="minorHAnsi"/>
          <w:b/>
          <w:bCs/>
          <w:sz w:val="24"/>
          <w:szCs w:val="24"/>
        </w:rPr>
        <w:t>:</w:t>
      </w:r>
      <w:r w:rsidRPr="00D740CE">
        <w:rPr>
          <w:rFonts w:eastAsia="Times New Roman" w:cstheme="minorHAnsi"/>
          <w:sz w:val="24"/>
          <w:szCs w:val="24"/>
        </w:rPr>
        <w:t>The</w:t>
      </w:r>
      <w:proofErr w:type="spellEnd"/>
      <w:proofErr w:type="gramEnd"/>
      <w:r w:rsidRPr="00D740CE">
        <w:rPr>
          <w:rFonts w:eastAsia="Times New Roman" w:cstheme="minorHAnsi"/>
          <w:sz w:val="24"/>
          <w:szCs w:val="24"/>
        </w:rPr>
        <w:t xml:space="preserve"> purpose of this study was to look at the relationship between inflammatory cytokines (IL-6, TNF-α, and </w:t>
      </w:r>
      <w:proofErr w:type="spellStart"/>
      <w:r w:rsidRPr="00D740CE">
        <w:rPr>
          <w:rFonts w:eastAsia="Times New Roman" w:cstheme="minorHAnsi"/>
          <w:sz w:val="24"/>
          <w:szCs w:val="24"/>
        </w:rPr>
        <w:t>hs</w:t>
      </w:r>
      <w:proofErr w:type="spellEnd"/>
      <w:r w:rsidRPr="00D740CE">
        <w:rPr>
          <w:rFonts w:eastAsia="Times New Roman" w:cstheme="minorHAnsi"/>
          <w:sz w:val="24"/>
          <w:szCs w:val="24"/>
        </w:rPr>
        <w:t>-CRP) and glycemic parameters (disease duration and fasting blood sugar) in T2DM patients in Edo South, Nigeria.</w:t>
      </w:r>
    </w:p>
    <w:p w:rsidR="003E49B3" w:rsidRPr="00D740CE" w:rsidRDefault="003E49B3" w:rsidP="003E49B3">
      <w:pPr>
        <w:spacing w:line="360" w:lineRule="auto"/>
        <w:jc w:val="both"/>
        <w:rPr>
          <w:rFonts w:eastAsia="Times New Roman" w:cstheme="minorHAnsi"/>
          <w:sz w:val="24"/>
          <w:szCs w:val="24"/>
        </w:rPr>
      </w:pPr>
      <w:proofErr w:type="spellStart"/>
      <w:r w:rsidRPr="00D740CE">
        <w:rPr>
          <w:rFonts w:eastAsia="Times New Roman" w:cstheme="minorHAnsi"/>
          <w:b/>
          <w:bCs/>
          <w:sz w:val="24"/>
          <w:szCs w:val="24"/>
        </w:rPr>
        <w:t>Method</w:t>
      </w:r>
      <w:proofErr w:type="gramStart"/>
      <w:r w:rsidRPr="00D740CE">
        <w:rPr>
          <w:rFonts w:eastAsia="Times New Roman" w:cstheme="minorHAnsi"/>
          <w:b/>
          <w:bCs/>
          <w:sz w:val="24"/>
          <w:szCs w:val="24"/>
        </w:rPr>
        <w:t>:</w:t>
      </w:r>
      <w:r w:rsidRPr="00D740CE">
        <w:rPr>
          <w:rFonts w:eastAsia="Times New Roman" w:cstheme="minorHAnsi"/>
          <w:sz w:val="24"/>
          <w:szCs w:val="24"/>
        </w:rPr>
        <w:t>A</w:t>
      </w:r>
      <w:proofErr w:type="spellEnd"/>
      <w:proofErr w:type="gramEnd"/>
      <w:r w:rsidRPr="00D740CE">
        <w:rPr>
          <w:rFonts w:eastAsia="Times New Roman" w:cstheme="minorHAnsi"/>
          <w:sz w:val="24"/>
          <w:szCs w:val="24"/>
        </w:rPr>
        <w:t xml:space="preserve"> cross-sectional analytical investigation was undertaken including 240 people (140 T2DM patients and 100 age- and sex-matched healthy controls). Venous blood samples were tested for fasting blood sugar (FBS), IL-6, </w:t>
      </w:r>
      <w:proofErr w:type="gramStart"/>
      <w:r w:rsidRPr="00D740CE">
        <w:rPr>
          <w:rFonts w:eastAsia="Times New Roman" w:cstheme="minorHAnsi"/>
          <w:sz w:val="24"/>
          <w:szCs w:val="24"/>
        </w:rPr>
        <w:t>TNF-α,</w:t>
      </w:r>
      <w:proofErr w:type="gramEnd"/>
      <w:r w:rsidRPr="00D740CE">
        <w:rPr>
          <w:rFonts w:eastAsia="Times New Roman" w:cstheme="minorHAnsi"/>
          <w:sz w:val="24"/>
          <w:szCs w:val="24"/>
        </w:rPr>
        <w:t xml:space="preserve"> and </w:t>
      </w:r>
      <w:proofErr w:type="spellStart"/>
      <w:r w:rsidRPr="00D740CE">
        <w:rPr>
          <w:rFonts w:eastAsia="Times New Roman" w:cstheme="minorHAnsi"/>
          <w:sz w:val="24"/>
          <w:szCs w:val="24"/>
        </w:rPr>
        <w:t>hs</w:t>
      </w:r>
      <w:proofErr w:type="spellEnd"/>
      <w:r w:rsidRPr="00D740CE">
        <w:rPr>
          <w:rFonts w:eastAsia="Times New Roman" w:cstheme="minorHAnsi"/>
          <w:sz w:val="24"/>
          <w:szCs w:val="24"/>
        </w:rPr>
        <w:t xml:space="preserve">-CRP using enzyme-linked </w:t>
      </w:r>
      <w:proofErr w:type="spellStart"/>
      <w:r w:rsidRPr="00D740CE">
        <w:rPr>
          <w:rFonts w:eastAsia="Times New Roman" w:cstheme="minorHAnsi"/>
          <w:sz w:val="24"/>
          <w:szCs w:val="24"/>
        </w:rPr>
        <w:t>immunosorbent</w:t>
      </w:r>
      <w:proofErr w:type="spellEnd"/>
      <w:r w:rsidRPr="00D740CE">
        <w:rPr>
          <w:rFonts w:eastAsia="Times New Roman" w:cstheme="minorHAnsi"/>
          <w:sz w:val="24"/>
          <w:szCs w:val="24"/>
        </w:rPr>
        <w:t xml:space="preserve"> assay (ELISA). Multivariate linear regression and Pearson correlation were used in the statistical study.</w:t>
      </w:r>
    </w:p>
    <w:p w:rsidR="003E49B3" w:rsidRPr="00761632" w:rsidRDefault="003E49B3" w:rsidP="003E49B3">
      <w:pPr>
        <w:spacing w:before="100" w:beforeAutospacing="1" w:after="100" w:afterAutospacing="1" w:line="360" w:lineRule="auto"/>
        <w:jc w:val="both"/>
        <w:rPr>
          <w:rFonts w:eastAsia="Times New Roman" w:cstheme="minorHAnsi"/>
          <w:sz w:val="24"/>
          <w:szCs w:val="24"/>
        </w:rPr>
      </w:pPr>
      <w:proofErr w:type="spellStart"/>
      <w:r w:rsidRPr="00D740CE">
        <w:rPr>
          <w:rFonts w:eastAsia="Times New Roman" w:cstheme="minorHAnsi"/>
          <w:b/>
          <w:bCs/>
          <w:sz w:val="24"/>
          <w:szCs w:val="24"/>
        </w:rPr>
        <w:t>Results</w:t>
      </w:r>
      <w:proofErr w:type="gramStart"/>
      <w:r w:rsidRPr="00D740CE">
        <w:rPr>
          <w:rFonts w:eastAsia="Times New Roman" w:cstheme="minorHAnsi"/>
          <w:b/>
          <w:bCs/>
          <w:sz w:val="24"/>
          <w:szCs w:val="24"/>
        </w:rPr>
        <w:t>:</w:t>
      </w:r>
      <w:r w:rsidRPr="00761632">
        <w:rPr>
          <w:rFonts w:eastAsia="Times New Roman" w:cstheme="minorHAnsi"/>
          <w:sz w:val="24"/>
          <w:szCs w:val="24"/>
        </w:rPr>
        <w:t>Mean</w:t>
      </w:r>
      <w:proofErr w:type="spellEnd"/>
      <w:proofErr w:type="gramEnd"/>
      <w:r w:rsidRPr="00761632">
        <w:rPr>
          <w:rFonts w:eastAsia="Times New Roman" w:cstheme="minorHAnsi"/>
          <w:sz w:val="24"/>
          <w:szCs w:val="24"/>
        </w:rPr>
        <w:t xml:space="preserve"> FBS in T2DM patients was significantly higher than in controls (172.93 ± 27.93 </w:t>
      </w:r>
      <w:proofErr w:type="spellStart"/>
      <w:r w:rsidRPr="00761632">
        <w:rPr>
          <w:rFonts w:eastAsia="Times New Roman" w:cstheme="minorHAnsi"/>
          <w:sz w:val="24"/>
          <w:szCs w:val="24"/>
        </w:rPr>
        <w:t>vs</w:t>
      </w:r>
      <w:proofErr w:type="spellEnd"/>
      <w:r w:rsidRPr="00761632">
        <w:rPr>
          <w:rFonts w:eastAsia="Times New Roman" w:cstheme="minorHAnsi"/>
          <w:sz w:val="24"/>
          <w:szCs w:val="24"/>
        </w:rPr>
        <w:t xml:space="preserve"> 70.24 ± 8.51 mg/dL, p&lt;0.001). IL-6 (15.27 ± 4.88 pg/mL), TNF-α (25.14 ± 6.10 pg/mL), and </w:t>
      </w:r>
      <w:proofErr w:type="spellStart"/>
      <w:r w:rsidRPr="00761632">
        <w:rPr>
          <w:rFonts w:eastAsia="Times New Roman" w:cstheme="minorHAnsi"/>
          <w:sz w:val="24"/>
          <w:szCs w:val="24"/>
        </w:rPr>
        <w:t>hs</w:t>
      </w:r>
      <w:proofErr w:type="spellEnd"/>
      <w:r w:rsidRPr="00761632">
        <w:rPr>
          <w:rFonts w:eastAsia="Times New Roman" w:cstheme="minorHAnsi"/>
          <w:sz w:val="24"/>
          <w:szCs w:val="24"/>
        </w:rPr>
        <w:t xml:space="preserve">-CRP (9.65 ± 2.34 mg/L) were significantly elevated in diabetics (p&lt;0.001). Positive correlations were found between FBS and IL-6 (r = 0.548, p &lt; 0.001), TNF-α (r = 0.416, p &lt; 0.001), and </w:t>
      </w:r>
      <w:proofErr w:type="spellStart"/>
      <w:r w:rsidRPr="00761632">
        <w:rPr>
          <w:rFonts w:eastAsia="Times New Roman" w:cstheme="minorHAnsi"/>
          <w:sz w:val="24"/>
          <w:szCs w:val="24"/>
        </w:rPr>
        <w:t>hs</w:t>
      </w:r>
      <w:proofErr w:type="spellEnd"/>
      <w:r w:rsidRPr="00761632">
        <w:rPr>
          <w:rFonts w:eastAsia="Times New Roman" w:cstheme="minorHAnsi"/>
          <w:sz w:val="24"/>
          <w:szCs w:val="24"/>
        </w:rPr>
        <w:t>-CRP (r = 0.378, p &lt; 0.001). Disease duration was also positively associated with IL-6 (r = 0.355, p = 0.002).</w:t>
      </w:r>
    </w:p>
    <w:p w:rsidR="003E49B3" w:rsidRPr="00D740CE" w:rsidRDefault="003E49B3" w:rsidP="003E49B3">
      <w:pPr>
        <w:spacing w:line="360" w:lineRule="auto"/>
        <w:jc w:val="both"/>
        <w:rPr>
          <w:rFonts w:eastAsia="Times New Roman" w:cstheme="minorHAnsi"/>
          <w:sz w:val="24"/>
          <w:szCs w:val="24"/>
        </w:rPr>
      </w:pPr>
      <w:proofErr w:type="spellStart"/>
      <w:r w:rsidRPr="00D740CE">
        <w:rPr>
          <w:rFonts w:eastAsia="Times New Roman" w:cstheme="minorHAnsi"/>
          <w:b/>
          <w:bCs/>
          <w:sz w:val="24"/>
          <w:szCs w:val="24"/>
        </w:rPr>
        <w:lastRenderedPageBreak/>
        <w:t>Conclusion</w:t>
      </w:r>
      <w:proofErr w:type="gramStart"/>
      <w:r w:rsidRPr="00D740CE">
        <w:rPr>
          <w:rFonts w:eastAsia="Times New Roman" w:cstheme="minorHAnsi"/>
          <w:b/>
          <w:bCs/>
          <w:sz w:val="24"/>
          <w:szCs w:val="24"/>
        </w:rPr>
        <w:t>:</w:t>
      </w:r>
      <w:r w:rsidRPr="00D740CE">
        <w:rPr>
          <w:rFonts w:eastAsia="Times New Roman" w:cstheme="minorHAnsi"/>
          <w:sz w:val="24"/>
          <w:szCs w:val="24"/>
        </w:rPr>
        <w:t>Poor</w:t>
      </w:r>
      <w:proofErr w:type="spellEnd"/>
      <w:proofErr w:type="gramEnd"/>
      <w:r w:rsidRPr="00D740CE">
        <w:rPr>
          <w:rFonts w:eastAsia="Times New Roman" w:cstheme="minorHAnsi"/>
          <w:sz w:val="24"/>
          <w:szCs w:val="24"/>
        </w:rPr>
        <w:t xml:space="preserve"> glycemic control and the severity of the disease are directly correlated with inflammatory cytokines, which are markedly raised in type 2 diabetes. These biomarkers may act as predictive tools and targets for therapeutic intervention in T2DM therapy.</w:t>
      </w:r>
    </w:p>
    <w:p w:rsidR="003E49B3" w:rsidRPr="00761632" w:rsidRDefault="003E49B3" w:rsidP="003E49B3">
      <w:pPr>
        <w:spacing w:before="100" w:beforeAutospacing="1" w:after="100" w:afterAutospacing="1" w:line="360" w:lineRule="auto"/>
        <w:jc w:val="both"/>
        <w:rPr>
          <w:rFonts w:eastAsia="Times New Roman" w:cstheme="minorHAnsi"/>
          <w:sz w:val="24"/>
          <w:szCs w:val="24"/>
        </w:rPr>
      </w:pPr>
      <w:r w:rsidRPr="00D740CE">
        <w:rPr>
          <w:rFonts w:eastAsia="Times New Roman" w:cstheme="minorHAnsi"/>
          <w:b/>
          <w:bCs/>
          <w:sz w:val="24"/>
          <w:szCs w:val="24"/>
        </w:rPr>
        <w:t>Keywords:</w:t>
      </w:r>
      <w:r w:rsidRPr="00761632">
        <w:rPr>
          <w:rFonts w:eastAsia="Times New Roman" w:cstheme="minorHAnsi"/>
          <w:sz w:val="24"/>
          <w:szCs w:val="24"/>
        </w:rPr>
        <w:t xml:space="preserve"> Type 2 Diabetes, Inflammatory Cytokines, IL-6, TNF-α, </w:t>
      </w:r>
      <w:proofErr w:type="spellStart"/>
      <w:r w:rsidRPr="00761632">
        <w:rPr>
          <w:rFonts w:eastAsia="Times New Roman" w:cstheme="minorHAnsi"/>
          <w:sz w:val="24"/>
          <w:szCs w:val="24"/>
        </w:rPr>
        <w:t>hs</w:t>
      </w:r>
      <w:proofErr w:type="spellEnd"/>
      <w:r w:rsidRPr="00761632">
        <w:rPr>
          <w:rFonts w:eastAsia="Times New Roman" w:cstheme="minorHAnsi"/>
          <w:sz w:val="24"/>
          <w:szCs w:val="24"/>
        </w:rPr>
        <w:t>-CRP, Glycemic Control, Nigeria</w:t>
      </w:r>
    </w:p>
    <w:p w:rsidR="003E49B3" w:rsidRPr="00D740CE" w:rsidRDefault="003E49B3" w:rsidP="003E49B3">
      <w:pPr>
        <w:spacing w:line="360" w:lineRule="auto"/>
        <w:jc w:val="both"/>
        <w:rPr>
          <w:rFonts w:cstheme="minorHAnsi"/>
          <w:sz w:val="24"/>
          <w:szCs w:val="24"/>
        </w:rPr>
      </w:pPr>
    </w:p>
    <w:p w:rsidR="003E49B3" w:rsidRDefault="003E49B3" w:rsidP="003E49B3">
      <w:pPr>
        <w:spacing w:line="360" w:lineRule="auto"/>
        <w:jc w:val="both"/>
        <w:rPr>
          <w:rFonts w:cstheme="minorHAnsi"/>
          <w:sz w:val="24"/>
          <w:szCs w:val="24"/>
        </w:rPr>
      </w:pPr>
    </w:p>
    <w:p w:rsidR="003E49B3" w:rsidRDefault="003E49B3" w:rsidP="003E49B3">
      <w:pPr>
        <w:spacing w:line="360" w:lineRule="auto"/>
        <w:jc w:val="both"/>
        <w:rPr>
          <w:rFonts w:cstheme="minorHAnsi"/>
          <w:sz w:val="24"/>
          <w:szCs w:val="24"/>
        </w:rPr>
      </w:pPr>
    </w:p>
    <w:p w:rsidR="003E49B3" w:rsidRDefault="003E49B3" w:rsidP="003E49B3">
      <w:pPr>
        <w:spacing w:line="360" w:lineRule="auto"/>
        <w:jc w:val="both"/>
        <w:rPr>
          <w:rFonts w:cstheme="minorHAnsi"/>
          <w:sz w:val="24"/>
          <w:szCs w:val="24"/>
        </w:rPr>
      </w:pPr>
    </w:p>
    <w:p w:rsidR="003E49B3" w:rsidRDefault="003E49B3" w:rsidP="003E49B3">
      <w:pPr>
        <w:spacing w:line="360" w:lineRule="auto"/>
        <w:jc w:val="both"/>
        <w:rPr>
          <w:rFonts w:cstheme="minorHAnsi"/>
          <w:sz w:val="24"/>
          <w:szCs w:val="24"/>
        </w:rPr>
      </w:pPr>
    </w:p>
    <w:p w:rsidR="003E49B3" w:rsidRDefault="003E49B3" w:rsidP="003E49B3">
      <w:pPr>
        <w:spacing w:line="360" w:lineRule="auto"/>
        <w:jc w:val="both"/>
        <w:rPr>
          <w:rFonts w:cstheme="minorHAnsi"/>
          <w:sz w:val="24"/>
          <w:szCs w:val="24"/>
        </w:rPr>
      </w:pPr>
    </w:p>
    <w:p w:rsidR="003E49B3" w:rsidRDefault="003E49B3" w:rsidP="003E49B3">
      <w:pPr>
        <w:spacing w:line="360" w:lineRule="auto"/>
        <w:jc w:val="both"/>
        <w:rPr>
          <w:rFonts w:cstheme="minorHAnsi"/>
          <w:sz w:val="24"/>
          <w:szCs w:val="24"/>
        </w:rPr>
      </w:pPr>
    </w:p>
    <w:p w:rsidR="003E49B3" w:rsidRDefault="003E49B3" w:rsidP="003E49B3">
      <w:pPr>
        <w:spacing w:line="360" w:lineRule="auto"/>
        <w:jc w:val="both"/>
        <w:rPr>
          <w:rFonts w:cstheme="minorHAnsi"/>
          <w:sz w:val="24"/>
          <w:szCs w:val="24"/>
        </w:rPr>
      </w:pPr>
    </w:p>
    <w:p w:rsidR="003E49B3" w:rsidRDefault="003E49B3" w:rsidP="003E49B3">
      <w:pPr>
        <w:spacing w:line="360" w:lineRule="auto"/>
        <w:jc w:val="both"/>
        <w:rPr>
          <w:rFonts w:cstheme="minorHAnsi"/>
          <w:sz w:val="24"/>
          <w:szCs w:val="24"/>
        </w:rPr>
      </w:pPr>
    </w:p>
    <w:p w:rsidR="003E49B3" w:rsidRDefault="003E49B3" w:rsidP="003E49B3">
      <w:pPr>
        <w:spacing w:line="360" w:lineRule="auto"/>
        <w:jc w:val="both"/>
        <w:rPr>
          <w:rFonts w:cstheme="minorHAnsi"/>
          <w:sz w:val="24"/>
          <w:szCs w:val="24"/>
        </w:rPr>
      </w:pPr>
    </w:p>
    <w:p w:rsidR="003E49B3" w:rsidRPr="00711D4D" w:rsidRDefault="003E49B3" w:rsidP="003E49B3">
      <w:pPr>
        <w:spacing w:line="360" w:lineRule="auto"/>
        <w:jc w:val="both"/>
        <w:rPr>
          <w:rFonts w:cstheme="minorHAnsi"/>
          <w:sz w:val="24"/>
          <w:szCs w:val="24"/>
        </w:rPr>
      </w:pPr>
    </w:p>
    <w:p w:rsidR="003E49B3" w:rsidRDefault="003E49B3" w:rsidP="003E49B3">
      <w:pPr>
        <w:spacing w:line="360" w:lineRule="auto"/>
        <w:jc w:val="both"/>
        <w:rPr>
          <w:rFonts w:cstheme="minorHAnsi"/>
          <w:sz w:val="24"/>
          <w:szCs w:val="24"/>
        </w:rPr>
      </w:pPr>
    </w:p>
    <w:p w:rsidR="003E49B3" w:rsidRDefault="003E49B3" w:rsidP="003E49B3">
      <w:pPr>
        <w:spacing w:line="360" w:lineRule="auto"/>
        <w:jc w:val="both"/>
        <w:rPr>
          <w:rFonts w:cstheme="minorHAnsi"/>
          <w:sz w:val="24"/>
          <w:szCs w:val="24"/>
        </w:rPr>
      </w:pPr>
    </w:p>
    <w:p w:rsidR="003E49B3" w:rsidRDefault="003E49B3" w:rsidP="003E49B3">
      <w:pPr>
        <w:spacing w:line="360" w:lineRule="auto"/>
        <w:jc w:val="both"/>
        <w:rPr>
          <w:rFonts w:cstheme="minorHAnsi"/>
          <w:sz w:val="24"/>
          <w:szCs w:val="24"/>
        </w:rPr>
      </w:pPr>
    </w:p>
    <w:p w:rsidR="003E49B3" w:rsidRDefault="003E49B3" w:rsidP="003E49B3">
      <w:pPr>
        <w:spacing w:line="360" w:lineRule="auto"/>
        <w:jc w:val="both"/>
        <w:rPr>
          <w:rFonts w:cstheme="minorHAnsi"/>
          <w:sz w:val="24"/>
          <w:szCs w:val="24"/>
        </w:rPr>
      </w:pPr>
    </w:p>
    <w:p w:rsidR="003E49B3" w:rsidRDefault="003E49B3" w:rsidP="003E49B3">
      <w:pPr>
        <w:spacing w:line="360" w:lineRule="auto"/>
        <w:jc w:val="both"/>
        <w:rPr>
          <w:rFonts w:cstheme="minorHAnsi"/>
          <w:sz w:val="24"/>
          <w:szCs w:val="24"/>
        </w:rPr>
      </w:pPr>
    </w:p>
    <w:p w:rsidR="003E49B3" w:rsidRPr="00F85DB8" w:rsidRDefault="003E49B3" w:rsidP="003E49B3">
      <w:pPr>
        <w:spacing w:before="100" w:beforeAutospacing="1" w:after="100" w:afterAutospacing="1" w:line="360" w:lineRule="auto"/>
        <w:jc w:val="both"/>
        <w:outlineLvl w:val="2"/>
        <w:rPr>
          <w:rFonts w:eastAsia="Times New Roman" w:cstheme="minorHAnsi"/>
          <w:b/>
          <w:bCs/>
          <w:sz w:val="24"/>
          <w:szCs w:val="24"/>
        </w:rPr>
      </w:pPr>
      <w:r w:rsidRPr="00D740CE">
        <w:rPr>
          <w:rFonts w:eastAsia="Times New Roman" w:cstheme="minorHAnsi"/>
          <w:b/>
          <w:bCs/>
          <w:sz w:val="24"/>
          <w:szCs w:val="24"/>
        </w:rPr>
        <w:lastRenderedPageBreak/>
        <w:t>1. Introduction</w:t>
      </w:r>
    </w:p>
    <w:p w:rsidR="003E49B3" w:rsidRPr="00D740CE" w:rsidRDefault="003E49B3" w:rsidP="003E49B3">
      <w:pPr>
        <w:spacing w:after="0" w:line="360" w:lineRule="auto"/>
        <w:jc w:val="both"/>
        <w:rPr>
          <w:rFonts w:eastAsia="Times New Roman" w:cstheme="minorHAnsi"/>
          <w:sz w:val="24"/>
          <w:szCs w:val="24"/>
        </w:rPr>
      </w:pPr>
      <w:r w:rsidRPr="00D740CE">
        <w:rPr>
          <w:rFonts w:eastAsia="Times New Roman" w:cstheme="minorHAnsi"/>
          <w:sz w:val="24"/>
          <w:szCs w:val="24"/>
        </w:rPr>
        <w:t>Persistent hyperglycemia is a hallmark of type 2 diabetes mellitus (T2DM), a multifactorial metabolic disease mainly caused by insulin resistance and a relative lack of insulin secretion. According to the International Diabetes Federation (IDF), more than 537 million adults worldwide had diabetes in 2021, and if current trends continue, that number is expected to increase to 643 million by 2030. It accounts for more than 90% of all diabetes cases worldwide and has reached pandemic proportions [1]. Urbanization, dietary changes, sedentary lifestyles, and rising obesity rates are all contributing to Nigeria's rapidly rising diabetes prevalence [2]. Although glucose control and the avoidance of microvascular and macrovascular problems have historically been the main goals of diabetes therapy, new research has highlighted the role that inflammation plays in the etiology and development of type 2 diabetes [3</w:t>
      </w:r>
      <w:proofErr w:type="gramStart"/>
      <w:r w:rsidRPr="00D740CE">
        <w:rPr>
          <w:rFonts w:eastAsia="Times New Roman" w:cstheme="minorHAnsi"/>
          <w:sz w:val="24"/>
          <w:szCs w:val="24"/>
        </w:rPr>
        <w:t>,4</w:t>
      </w:r>
      <w:proofErr w:type="gramEnd"/>
      <w:r w:rsidRPr="00D740CE">
        <w:rPr>
          <w:rFonts w:eastAsia="Times New Roman" w:cstheme="minorHAnsi"/>
          <w:sz w:val="24"/>
          <w:szCs w:val="24"/>
        </w:rPr>
        <w:t>].</w:t>
      </w:r>
    </w:p>
    <w:p w:rsidR="003E49B3" w:rsidRPr="00D740CE" w:rsidRDefault="003E49B3" w:rsidP="003E49B3">
      <w:pPr>
        <w:spacing w:after="0" w:line="360" w:lineRule="auto"/>
        <w:jc w:val="both"/>
        <w:rPr>
          <w:rFonts w:eastAsia="Times New Roman" w:cstheme="minorHAnsi"/>
          <w:sz w:val="24"/>
          <w:szCs w:val="24"/>
        </w:rPr>
      </w:pPr>
      <w:r w:rsidRPr="00D740CE">
        <w:rPr>
          <w:rFonts w:eastAsia="Times New Roman" w:cstheme="minorHAnsi"/>
          <w:sz w:val="24"/>
          <w:szCs w:val="24"/>
        </w:rPr>
        <w:t>Inflammation has emerged as a major pathway linking obesity, insulin resistance, and T2DM. Chronic low-grade inflammation (CLGI) is a critical characteristic in T2DM, defined by higher levels of circulating pro-inflammatory cytokines, chemokines, and acute-phase proteins. It is now known that adipose tissue, particularly visceral fat, is an active endocrine organ that secretes a number of pro-inflammatory mediators, such as high-sensitivity C-reactive protein (</w:t>
      </w:r>
      <w:proofErr w:type="spellStart"/>
      <w:r w:rsidRPr="00D740CE">
        <w:rPr>
          <w:rFonts w:eastAsia="Times New Roman" w:cstheme="minorHAnsi"/>
          <w:sz w:val="24"/>
          <w:szCs w:val="24"/>
        </w:rPr>
        <w:t>hs</w:t>
      </w:r>
      <w:proofErr w:type="spellEnd"/>
      <w:r w:rsidRPr="00D740CE">
        <w:rPr>
          <w:rFonts w:eastAsia="Times New Roman" w:cstheme="minorHAnsi"/>
          <w:sz w:val="24"/>
          <w:szCs w:val="24"/>
        </w:rPr>
        <w:t>-CRP), interleukin-6 (IL-6), and tumor necrosis factor-alpha (TNF-α), which disrupt insulin signaling pathways and encourage β-cell dysfunction [5–7].</w:t>
      </w:r>
    </w:p>
    <w:p w:rsidR="003E49B3" w:rsidRPr="00D740CE" w:rsidRDefault="003E49B3" w:rsidP="003E49B3">
      <w:pPr>
        <w:spacing w:after="0" w:line="360" w:lineRule="auto"/>
        <w:jc w:val="both"/>
        <w:rPr>
          <w:rFonts w:eastAsia="Times New Roman" w:cstheme="minorHAnsi"/>
          <w:sz w:val="24"/>
          <w:szCs w:val="24"/>
        </w:rPr>
      </w:pPr>
      <w:proofErr w:type="spellStart"/>
      <w:r w:rsidRPr="00D740CE">
        <w:rPr>
          <w:rFonts w:eastAsia="Times New Roman" w:cstheme="minorHAnsi"/>
          <w:sz w:val="24"/>
          <w:szCs w:val="24"/>
        </w:rPr>
        <w:t>Adipocytes</w:t>
      </w:r>
      <w:proofErr w:type="spellEnd"/>
      <w:r w:rsidRPr="00D740CE">
        <w:rPr>
          <w:rFonts w:eastAsia="Times New Roman" w:cstheme="minorHAnsi"/>
          <w:sz w:val="24"/>
          <w:szCs w:val="24"/>
        </w:rPr>
        <w:t xml:space="preserve"> and macrophages release the pro-inflammatory cytokine TNF-α, which promotes serine phosphorylation of insulin receptor substrate-1 (IRS-1), impairing insulin receptor signaling and causing insulin resistance [8]. Another adipokine and cytokine, IL-6, is linked to decreased insulin sensitivity and increased hepatic glucose output. It also plays a role in hepatic gluconeogenesis and </w:t>
      </w:r>
      <w:proofErr w:type="spellStart"/>
      <w:r w:rsidRPr="00D740CE">
        <w:rPr>
          <w:rFonts w:eastAsia="Times New Roman" w:cstheme="minorHAnsi"/>
          <w:sz w:val="24"/>
          <w:szCs w:val="24"/>
        </w:rPr>
        <w:t>lipolysis</w:t>
      </w:r>
      <w:proofErr w:type="spellEnd"/>
      <w:r w:rsidRPr="00D740CE">
        <w:rPr>
          <w:rFonts w:eastAsia="Times New Roman" w:cstheme="minorHAnsi"/>
          <w:sz w:val="24"/>
          <w:szCs w:val="24"/>
        </w:rPr>
        <w:t xml:space="preserve"> [9]. High-sensitivity CRP, a systemic measure of inflammation generated in the liver in response to IL-6, has been associated with cardiovascular risk and insulin resistance and is regarded a credible biomarker for low-grade inflammation in T2DM patients [10].</w:t>
      </w:r>
    </w:p>
    <w:p w:rsidR="003E49B3" w:rsidRPr="00D740CE" w:rsidRDefault="003E49B3" w:rsidP="003E49B3">
      <w:pPr>
        <w:spacing w:after="0" w:line="360" w:lineRule="auto"/>
        <w:jc w:val="both"/>
        <w:rPr>
          <w:rFonts w:eastAsia="Times New Roman" w:cstheme="minorHAnsi"/>
          <w:sz w:val="24"/>
          <w:szCs w:val="24"/>
        </w:rPr>
      </w:pPr>
      <w:r w:rsidRPr="00D740CE">
        <w:rPr>
          <w:rFonts w:eastAsia="Times New Roman" w:cstheme="minorHAnsi"/>
          <w:sz w:val="24"/>
          <w:szCs w:val="24"/>
        </w:rPr>
        <w:t xml:space="preserve">Several clinical and experimental </w:t>
      </w:r>
      <w:proofErr w:type="gramStart"/>
      <w:r w:rsidRPr="00D740CE">
        <w:rPr>
          <w:rFonts w:eastAsia="Times New Roman" w:cstheme="minorHAnsi"/>
          <w:sz w:val="24"/>
          <w:szCs w:val="24"/>
        </w:rPr>
        <w:t>research</w:t>
      </w:r>
      <w:proofErr w:type="gramEnd"/>
      <w:r w:rsidRPr="00D740CE">
        <w:rPr>
          <w:rFonts w:eastAsia="Times New Roman" w:cstheme="minorHAnsi"/>
          <w:sz w:val="24"/>
          <w:szCs w:val="24"/>
        </w:rPr>
        <w:t xml:space="preserve"> have provided data supporting the role of inflammation in T2DM. For instance, in prospective cohorts, increased blood levels of TNF-α and IL-6 have been linked to decreased glucose tolerance and insulin resistance [11]. </w:t>
      </w:r>
      <w:r w:rsidRPr="00D740CE">
        <w:rPr>
          <w:rFonts w:eastAsia="Times New Roman" w:cstheme="minorHAnsi"/>
          <w:sz w:val="24"/>
          <w:szCs w:val="24"/>
        </w:rPr>
        <w:lastRenderedPageBreak/>
        <w:t xml:space="preserve">Furthermore, anti-inflammatory treatment approaches, like the use of </w:t>
      </w:r>
      <w:proofErr w:type="spellStart"/>
      <w:r w:rsidRPr="00D740CE">
        <w:rPr>
          <w:rFonts w:eastAsia="Times New Roman" w:cstheme="minorHAnsi"/>
          <w:sz w:val="24"/>
          <w:szCs w:val="24"/>
        </w:rPr>
        <w:t>statins</w:t>
      </w:r>
      <w:proofErr w:type="spellEnd"/>
      <w:r w:rsidRPr="00D740CE">
        <w:rPr>
          <w:rFonts w:eastAsia="Times New Roman" w:cstheme="minorHAnsi"/>
          <w:sz w:val="24"/>
          <w:szCs w:val="24"/>
        </w:rPr>
        <w:t xml:space="preserve">, </w:t>
      </w:r>
      <w:proofErr w:type="spellStart"/>
      <w:r w:rsidRPr="00D740CE">
        <w:rPr>
          <w:rFonts w:eastAsia="Times New Roman" w:cstheme="minorHAnsi"/>
          <w:sz w:val="24"/>
          <w:szCs w:val="24"/>
        </w:rPr>
        <w:t>salicylates</w:t>
      </w:r>
      <w:proofErr w:type="spellEnd"/>
      <w:r w:rsidRPr="00D740CE">
        <w:rPr>
          <w:rFonts w:eastAsia="Times New Roman" w:cstheme="minorHAnsi"/>
          <w:sz w:val="24"/>
          <w:szCs w:val="24"/>
        </w:rPr>
        <w:t>, and IL-1 antagonists, have demonstrated promise in enhancing insulin sensitivity and glycemic management [12–14].</w:t>
      </w:r>
    </w:p>
    <w:p w:rsidR="003E49B3" w:rsidRPr="00D740CE" w:rsidRDefault="003E49B3" w:rsidP="003E49B3">
      <w:pPr>
        <w:spacing w:after="0" w:line="360" w:lineRule="auto"/>
        <w:jc w:val="both"/>
        <w:rPr>
          <w:rFonts w:eastAsia="Times New Roman" w:cstheme="minorHAnsi"/>
          <w:sz w:val="24"/>
          <w:szCs w:val="24"/>
        </w:rPr>
      </w:pPr>
      <w:r w:rsidRPr="00D740CE">
        <w:rPr>
          <w:rFonts w:eastAsia="Times New Roman" w:cstheme="minorHAnsi"/>
          <w:sz w:val="24"/>
          <w:szCs w:val="24"/>
        </w:rPr>
        <w:t xml:space="preserve">Despite these developments, most studies on the connection between inflammatory cytokines and type </w:t>
      </w:r>
      <w:proofErr w:type="gramStart"/>
      <w:r w:rsidRPr="00D740CE">
        <w:rPr>
          <w:rFonts w:eastAsia="Times New Roman" w:cstheme="minorHAnsi"/>
          <w:sz w:val="24"/>
          <w:szCs w:val="24"/>
        </w:rPr>
        <w:t>2 diabetes</w:t>
      </w:r>
      <w:proofErr w:type="gramEnd"/>
      <w:r w:rsidRPr="00D740CE">
        <w:rPr>
          <w:rFonts w:eastAsia="Times New Roman" w:cstheme="minorHAnsi"/>
          <w:sz w:val="24"/>
          <w:szCs w:val="24"/>
        </w:rPr>
        <w:t xml:space="preserve"> have been carried out in wealthy nations, with little information coming from sub-Saharan Africa. Nigeria offers a distinctive setting for investigating these inflammatory processes because of its rising diabetes incidence and varied genetic and environmental backgrounds. Additionally, the inflammatory profile of diabetic patients in this area may be influenced by differences in food, exposure to environmental pollutants, the prevalence of infectious diseases, and access to healthcare.</w:t>
      </w:r>
    </w:p>
    <w:p w:rsidR="003E49B3" w:rsidRPr="00D740CE" w:rsidRDefault="003E49B3" w:rsidP="003E49B3">
      <w:pPr>
        <w:spacing w:after="0" w:line="360" w:lineRule="auto"/>
        <w:jc w:val="both"/>
        <w:rPr>
          <w:rFonts w:eastAsia="Times New Roman" w:cstheme="minorHAnsi"/>
          <w:sz w:val="24"/>
          <w:szCs w:val="24"/>
        </w:rPr>
      </w:pPr>
      <w:r w:rsidRPr="00D740CE">
        <w:rPr>
          <w:rFonts w:eastAsia="Times New Roman" w:cstheme="minorHAnsi"/>
          <w:sz w:val="24"/>
          <w:szCs w:val="24"/>
        </w:rPr>
        <w:t xml:space="preserve">This study, therefore, intends to evaluate the connection between inflammatory cytokines (IL-6, TNF-α, and </w:t>
      </w:r>
      <w:proofErr w:type="spellStart"/>
      <w:r w:rsidRPr="00D740CE">
        <w:rPr>
          <w:rFonts w:eastAsia="Times New Roman" w:cstheme="minorHAnsi"/>
          <w:sz w:val="24"/>
          <w:szCs w:val="24"/>
        </w:rPr>
        <w:t>hs</w:t>
      </w:r>
      <w:proofErr w:type="spellEnd"/>
      <w:r w:rsidRPr="00D740CE">
        <w:rPr>
          <w:rFonts w:eastAsia="Times New Roman" w:cstheme="minorHAnsi"/>
          <w:sz w:val="24"/>
          <w:szCs w:val="24"/>
        </w:rPr>
        <w:t>-CRP) and glycemic indicators (fasting blood glucose and disease duration) among T2DM patients in Edo South, Nigeria. Determining possible indicators for the progression of the disease and targets for anti-inflammatory treatment approaches in settings with limited resources require an understanding of these linkages in addition to clarifying the pathophysiological causes of type 2 diabetes.</w:t>
      </w:r>
    </w:p>
    <w:p w:rsidR="003E49B3" w:rsidRPr="00711D4D" w:rsidRDefault="003E49B3" w:rsidP="003E49B3">
      <w:pPr>
        <w:spacing w:line="360" w:lineRule="auto"/>
        <w:jc w:val="both"/>
        <w:rPr>
          <w:rFonts w:cstheme="minorHAnsi"/>
          <w:sz w:val="24"/>
          <w:szCs w:val="24"/>
        </w:rPr>
      </w:pPr>
    </w:p>
    <w:p w:rsidR="003E49B3" w:rsidRPr="00711D4D" w:rsidRDefault="003E49B3" w:rsidP="003E49B3">
      <w:pPr>
        <w:spacing w:line="360" w:lineRule="auto"/>
        <w:jc w:val="both"/>
        <w:rPr>
          <w:rFonts w:cstheme="minorHAnsi"/>
          <w:sz w:val="24"/>
          <w:szCs w:val="24"/>
        </w:rPr>
      </w:pPr>
    </w:p>
    <w:p w:rsidR="003E49B3" w:rsidRPr="00711D4D" w:rsidRDefault="003E49B3" w:rsidP="003E49B3">
      <w:pPr>
        <w:spacing w:line="360" w:lineRule="auto"/>
        <w:jc w:val="both"/>
        <w:rPr>
          <w:rFonts w:cstheme="minorHAnsi"/>
          <w:sz w:val="24"/>
          <w:szCs w:val="24"/>
        </w:rPr>
      </w:pPr>
    </w:p>
    <w:p w:rsidR="003E49B3" w:rsidRPr="00711D4D" w:rsidRDefault="003E49B3" w:rsidP="003E49B3">
      <w:pPr>
        <w:spacing w:line="360" w:lineRule="auto"/>
        <w:jc w:val="both"/>
        <w:rPr>
          <w:rFonts w:cstheme="minorHAnsi"/>
          <w:sz w:val="24"/>
          <w:szCs w:val="24"/>
        </w:rPr>
      </w:pPr>
    </w:p>
    <w:p w:rsidR="003E49B3" w:rsidRDefault="003E49B3" w:rsidP="003E49B3">
      <w:pPr>
        <w:spacing w:line="360" w:lineRule="auto"/>
        <w:jc w:val="both"/>
        <w:rPr>
          <w:rFonts w:cstheme="minorHAnsi"/>
          <w:sz w:val="24"/>
          <w:szCs w:val="24"/>
        </w:rPr>
      </w:pPr>
    </w:p>
    <w:p w:rsidR="003E49B3" w:rsidRDefault="003E49B3" w:rsidP="003E49B3">
      <w:pPr>
        <w:spacing w:line="360" w:lineRule="auto"/>
        <w:jc w:val="both"/>
        <w:rPr>
          <w:rFonts w:cstheme="minorHAnsi"/>
          <w:sz w:val="24"/>
          <w:szCs w:val="24"/>
        </w:rPr>
      </w:pPr>
    </w:p>
    <w:p w:rsidR="003E49B3" w:rsidRDefault="003E49B3" w:rsidP="003E49B3">
      <w:pPr>
        <w:spacing w:line="360" w:lineRule="auto"/>
        <w:jc w:val="both"/>
        <w:rPr>
          <w:rFonts w:cstheme="minorHAnsi"/>
          <w:sz w:val="24"/>
          <w:szCs w:val="24"/>
        </w:rPr>
      </w:pPr>
    </w:p>
    <w:p w:rsidR="003E49B3" w:rsidRDefault="003E49B3" w:rsidP="003E49B3">
      <w:pPr>
        <w:spacing w:line="360" w:lineRule="auto"/>
        <w:jc w:val="both"/>
        <w:rPr>
          <w:rFonts w:cstheme="minorHAnsi"/>
          <w:sz w:val="24"/>
          <w:szCs w:val="24"/>
        </w:rPr>
      </w:pPr>
    </w:p>
    <w:p w:rsidR="003E49B3" w:rsidRPr="00711D4D" w:rsidRDefault="003E49B3" w:rsidP="003E49B3">
      <w:pPr>
        <w:spacing w:line="360" w:lineRule="auto"/>
        <w:jc w:val="both"/>
        <w:rPr>
          <w:rFonts w:cstheme="minorHAnsi"/>
          <w:sz w:val="24"/>
          <w:szCs w:val="24"/>
        </w:rPr>
      </w:pPr>
    </w:p>
    <w:p w:rsidR="003E49B3" w:rsidRPr="00EE3DA3" w:rsidRDefault="003E49B3" w:rsidP="003E49B3">
      <w:pPr>
        <w:pStyle w:val="Heading3"/>
        <w:spacing w:line="360" w:lineRule="auto"/>
        <w:jc w:val="both"/>
        <w:rPr>
          <w:rFonts w:asciiTheme="minorHAnsi" w:hAnsiTheme="minorHAnsi" w:cstheme="minorHAnsi"/>
          <w:sz w:val="24"/>
          <w:szCs w:val="24"/>
        </w:rPr>
      </w:pPr>
      <w:r w:rsidRPr="00EE3DA3">
        <w:rPr>
          <w:rStyle w:val="Strong"/>
          <w:rFonts w:asciiTheme="minorHAnsi" w:eastAsiaTheme="majorEastAsia" w:hAnsiTheme="minorHAnsi" w:cstheme="minorHAnsi"/>
          <w:sz w:val="24"/>
          <w:szCs w:val="24"/>
        </w:rPr>
        <w:lastRenderedPageBreak/>
        <w:t>2. Materials and Methods</w:t>
      </w:r>
    </w:p>
    <w:p w:rsidR="003E49B3" w:rsidRPr="003E49B3" w:rsidRDefault="003E49B3" w:rsidP="003E49B3">
      <w:pPr>
        <w:pStyle w:val="Heading4"/>
        <w:spacing w:line="360" w:lineRule="auto"/>
        <w:jc w:val="both"/>
        <w:rPr>
          <w:rFonts w:asciiTheme="minorHAnsi" w:hAnsiTheme="minorHAnsi" w:cstheme="minorHAnsi"/>
          <w:i w:val="0"/>
          <w:color w:val="auto"/>
          <w:sz w:val="24"/>
          <w:szCs w:val="24"/>
          <w:highlight w:val="yellow"/>
        </w:rPr>
      </w:pPr>
      <w:r w:rsidRPr="003E49B3">
        <w:rPr>
          <w:rStyle w:val="Strong"/>
          <w:rFonts w:asciiTheme="minorHAnsi" w:hAnsiTheme="minorHAnsi" w:cstheme="minorHAnsi"/>
          <w:i w:val="0"/>
          <w:color w:val="auto"/>
          <w:sz w:val="24"/>
          <w:szCs w:val="24"/>
          <w:highlight w:val="yellow"/>
        </w:rPr>
        <w:t>2.1 Study Design and Setting</w:t>
      </w:r>
    </w:p>
    <w:p w:rsidR="003E49B3" w:rsidRPr="00D740CE" w:rsidRDefault="003E49B3" w:rsidP="003E49B3">
      <w:pPr>
        <w:spacing w:after="0" w:line="360" w:lineRule="auto"/>
        <w:jc w:val="both"/>
        <w:rPr>
          <w:rFonts w:eastAsia="Times New Roman" w:cstheme="minorHAnsi"/>
          <w:sz w:val="24"/>
          <w:szCs w:val="24"/>
        </w:rPr>
      </w:pPr>
      <w:r w:rsidRPr="003E49B3">
        <w:rPr>
          <w:rFonts w:eastAsia="Times New Roman" w:cstheme="minorHAnsi"/>
          <w:sz w:val="24"/>
          <w:szCs w:val="24"/>
          <w:highlight w:val="yellow"/>
        </w:rPr>
        <w:t>The study was carried out between June and November 2024 and involved laboratory analyses at the Medical Laboratory Science Research Unit at Igbinedion University, Okada. It was a hospital-based, cross-sectional analytical study that was carried out in three tertiary healthcare facilities located in Edo South Senatorial District, Nigeria: Igbinedion University Teaching Hospital (IUTH), University of Benin Teaching Hospital (UBTH), and Central Hospital Benin. These institutions serve a diverse population that includes both urban and semi-urban communities, ensuring adequate representation of the target population.</w:t>
      </w:r>
    </w:p>
    <w:p w:rsidR="003E49B3" w:rsidRPr="00EE3DA3" w:rsidRDefault="003E49B3" w:rsidP="003E49B3">
      <w:pPr>
        <w:pStyle w:val="Heading4"/>
        <w:spacing w:line="360" w:lineRule="auto"/>
        <w:jc w:val="both"/>
        <w:rPr>
          <w:rFonts w:asciiTheme="minorHAnsi" w:hAnsiTheme="minorHAnsi" w:cstheme="minorHAnsi"/>
          <w:i w:val="0"/>
          <w:color w:val="auto"/>
          <w:sz w:val="24"/>
          <w:szCs w:val="24"/>
        </w:rPr>
      </w:pPr>
      <w:r w:rsidRPr="003E49B3">
        <w:rPr>
          <w:rStyle w:val="Strong"/>
          <w:rFonts w:asciiTheme="minorHAnsi" w:hAnsiTheme="minorHAnsi" w:cstheme="minorHAnsi"/>
          <w:i w:val="0"/>
          <w:color w:val="auto"/>
          <w:sz w:val="24"/>
          <w:szCs w:val="24"/>
          <w:highlight w:val="yellow"/>
        </w:rPr>
        <w:t>2.2</w:t>
      </w:r>
      <w:r w:rsidRPr="00EE3DA3">
        <w:rPr>
          <w:rStyle w:val="Strong"/>
          <w:rFonts w:asciiTheme="minorHAnsi" w:hAnsiTheme="minorHAnsi" w:cstheme="minorHAnsi"/>
          <w:i w:val="0"/>
          <w:color w:val="auto"/>
          <w:sz w:val="24"/>
          <w:szCs w:val="24"/>
        </w:rPr>
        <w:t xml:space="preserve"> Sample Size Determination</w:t>
      </w:r>
    </w:p>
    <w:p w:rsidR="003E49B3" w:rsidRPr="00EE3DA3" w:rsidRDefault="003E49B3" w:rsidP="003E49B3">
      <w:pPr>
        <w:spacing w:after="0" w:line="360" w:lineRule="auto"/>
        <w:jc w:val="both"/>
        <w:rPr>
          <w:rFonts w:eastAsia="Times New Roman" w:cstheme="minorHAnsi"/>
          <w:sz w:val="24"/>
          <w:szCs w:val="24"/>
        </w:rPr>
      </w:pPr>
      <w:r w:rsidRPr="00EE3DA3">
        <w:rPr>
          <w:rFonts w:eastAsia="Times New Roman" w:cstheme="minorHAnsi"/>
          <w:sz w:val="24"/>
          <w:szCs w:val="24"/>
        </w:rPr>
        <w:t xml:space="preserve">Based on prior research demonstrating significant differences in IL-6 levels between diabetics and controls, and assuming a mean difference </w:t>
      </w:r>
      <w:proofErr w:type="gramStart"/>
      <w:r w:rsidRPr="00EE3DA3">
        <w:rPr>
          <w:rFonts w:eastAsia="Times New Roman" w:cstheme="minorHAnsi"/>
          <w:sz w:val="24"/>
          <w:szCs w:val="24"/>
        </w:rPr>
        <w:t>of 2.5 pg/mL</w:t>
      </w:r>
      <w:proofErr w:type="gramEnd"/>
      <w:r w:rsidRPr="00EE3DA3">
        <w:rPr>
          <w:rFonts w:eastAsia="Times New Roman" w:cstheme="minorHAnsi"/>
          <w:sz w:val="24"/>
          <w:szCs w:val="24"/>
        </w:rPr>
        <w:t xml:space="preserve"> and a standard deviation of 5.5 pg/mL, a minimum of 120 participants per group was needed. The sample size was calculated using the formula for comparing two means, with a power of 80% and a 95% confidence level. A total of 240 participants were recruited — 140 T2DM patients and 100 controls — to increase the power and handle possible dropouts or sample rejection during laboratory analysis.</w:t>
      </w:r>
    </w:p>
    <w:p w:rsidR="003E49B3" w:rsidRPr="00EE3DA3" w:rsidRDefault="003E49B3" w:rsidP="003E49B3">
      <w:pPr>
        <w:pStyle w:val="Heading4"/>
        <w:spacing w:line="360" w:lineRule="auto"/>
        <w:jc w:val="both"/>
        <w:rPr>
          <w:rStyle w:val="Strong"/>
          <w:rFonts w:asciiTheme="minorHAnsi" w:hAnsiTheme="minorHAnsi" w:cstheme="minorHAnsi"/>
          <w:b/>
          <w:bCs/>
          <w:sz w:val="24"/>
          <w:szCs w:val="24"/>
        </w:rPr>
      </w:pPr>
    </w:p>
    <w:p w:rsidR="003E49B3" w:rsidRPr="00EE3DA3" w:rsidRDefault="003E49B3" w:rsidP="003E49B3">
      <w:pPr>
        <w:pStyle w:val="Heading4"/>
        <w:spacing w:line="360" w:lineRule="auto"/>
        <w:jc w:val="both"/>
        <w:rPr>
          <w:rFonts w:asciiTheme="minorHAnsi" w:hAnsiTheme="minorHAnsi" w:cstheme="minorHAnsi"/>
          <w:i w:val="0"/>
          <w:color w:val="auto"/>
          <w:sz w:val="24"/>
          <w:szCs w:val="24"/>
        </w:rPr>
      </w:pPr>
      <w:r w:rsidRPr="003E49B3">
        <w:rPr>
          <w:rStyle w:val="Strong"/>
          <w:rFonts w:asciiTheme="minorHAnsi" w:hAnsiTheme="minorHAnsi" w:cstheme="minorHAnsi"/>
          <w:i w:val="0"/>
          <w:color w:val="auto"/>
          <w:sz w:val="24"/>
          <w:szCs w:val="24"/>
          <w:highlight w:val="yellow"/>
        </w:rPr>
        <w:t>2.3</w:t>
      </w:r>
      <w:r w:rsidRPr="00EE3DA3">
        <w:rPr>
          <w:rStyle w:val="Strong"/>
          <w:rFonts w:asciiTheme="minorHAnsi" w:hAnsiTheme="minorHAnsi" w:cstheme="minorHAnsi"/>
          <w:i w:val="0"/>
          <w:color w:val="auto"/>
          <w:sz w:val="24"/>
          <w:szCs w:val="24"/>
        </w:rPr>
        <w:t xml:space="preserve"> Study Subjects</w:t>
      </w:r>
    </w:p>
    <w:p w:rsidR="003E49B3" w:rsidRPr="00EE3DA3" w:rsidRDefault="003E49B3" w:rsidP="003E49B3">
      <w:pPr>
        <w:spacing w:after="0" w:line="360" w:lineRule="auto"/>
        <w:jc w:val="both"/>
        <w:rPr>
          <w:rFonts w:eastAsia="Times New Roman" w:cstheme="minorHAnsi"/>
          <w:sz w:val="24"/>
          <w:szCs w:val="24"/>
        </w:rPr>
      </w:pPr>
      <w:r w:rsidRPr="00EE3DA3">
        <w:rPr>
          <w:rFonts w:eastAsia="Times New Roman" w:cstheme="minorHAnsi"/>
          <w:sz w:val="24"/>
          <w:szCs w:val="24"/>
        </w:rPr>
        <w:t>Participants were people aged 30–70 years. The T2DM group consisted of patients previously diagnosed by a clinician based on the American Diabetes Association (ADA) criteria. Control subjects were ostensibly healthy people who were gathered through health checkups and outpatient clinics.</w:t>
      </w:r>
    </w:p>
    <w:p w:rsidR="003E49B3" w:rsidRPr="00EE3DA3" w:rsidRDefault="003E49B3" w:rsidP="003E49B3">
      <w:pPr>
        <w:pStyle w:val="Heading5"/>
        <w:spacing w:line="360" w:lineRule="auto"/>
        <w:jc w:val="both"/>
        <w:rPr>
          <w:rFonts w:asciiTheme="minorHAnsi" w:hAnsiTheme="minorHAnsi" w:cstheme="minorHAnsi"/>
          <w:color w:val="auto"/>
          <w:sz w:val="24"/>
          <w:szCs w:val="24"/>
        </w:rPr>
      </w:pPr>
      <w:r w:rsidRPr="003E49B3">
        <w:rPr>
          <w:rStyle w:val="Strong"/>
          <w:rFonts w:asciiTheme="minorHAnsi" w:hAnsiTheme="minorHAnsi" w:cstheme="minorHAnsi"/>
          <w:b w:val="0"/>
          <w:bCs w:val="0"/>
          <w:color w:val="auto"/>
          <w:sz w:val="24"/>
          <w:szCs w:val="24"/>
          <w:highlight w:val="yellow"/>
        </w:rPr>
        <w:t>2.3.1</w:t>
      </w:r>
      <w:r w:rsidRPr="00EE3DA3">
        <w:rPr>
          <w:rStyle w:val="Strong"/>
          <w:rFonts w:asciiTheme="minorHAnsi" w:hAnsiTheme="minorHAnsi" w:cstheme="minorHAnsi"/>
          <w:b w:val="0"/>
          <w:bCs w:val="0"/>
          <w:color w:val="auto"/>
          <w:sz w:val="24"/>
          <w:szCs w:val="24"/>
        </w:rPr>
        <w:t xml:space="preserve"> Inclusion Criteria</w:t>
      </w:r>
    </w:p>
    <w:p w:rsidR="003E49B3" w:rsidRPr="00EE3DA3" w:rsidRDefault="003E49B3" w:rsidP="003E49B3">
      <w:pPr>
        <w:numPr>
          <w:ilvl w:val="0"/>
          <w:numId w:val="1"/>
        </w:numPr>
        <w:spacing w:before="100" w:beforeAutospacing="1" w:after="100" w:afterAutospacing="1" w:line="360" w:lineRule="auto"/>
        <w:jc w:val="both"/>
        <w:rPr>
          <w:rFonts w:cstheme="minorHAnsi"/>
          <w:sz w:val="24"/>
          <w:szCs w:val="24"/>
        </w:rPr>
      </w:pPr>
      <w:r w:rsidRPr="00EE3DA3">
        <w:rPr>
          <w:rFonts w:cstheme="minorHAnsi"/>
          <w:sz w:val="24"/>
          <w:szCs w:val="24"/>
        </w:rPr>
        <w:t>Confirmed diagnosis of T2DM for at least one year.</w:t>
      </w:r>
    </w:p>
    <w:p w:rsidR="003E49B3" w:rsidRPr="00EE3DA3" w:rsidRDefault="003E49B3" w:rsidP="003E49B3">
      <w:pPr>
        <w:numPr>
          <w:ilvl w:val="0"/>
          <w:numId w:val="1"/>
        </w:numPr>
        <w:spacing w:before="100" w:beforeAutospacing="1" w:after="100" w:afterAutospacing="1" w:line="360" w:lineRule="auto"/>
        <w:jc w:val="both"/>
        <w:rPr>
          <w:rFonts w:cstheme="minorHAnsi"/>
          <w:sz w:val="24"/>
          <w:szCs w:val="24"/>
        </w:rPr>
      </w:pPr>
      <w:r w:rsidRPr="00EE3DA3">
        <w:rPr>
          <w:rFonts w:cstheme="minorHAnsi"/>
          <w:sz w:val="24"/>
          <w:szCs w:val="24"/>
        </w:rPr>
        <w:t>Age between 30–70 years.</w:t>
      </w:r>
    </w:p>
    <w:p w:rsidR="003E49B3" w:rsidRPr="00EE3DA3" w:rsidRDefault="003E49B3" w:rsidP="003E49B3">
      <w:pPr>
        <w:numPr>
          <w:ilvl w:val="0"/>
          <w:numId w:val="1"/>
        </w:numPr>
        <w:spacing w:before="100" w:beforeAutospacing="1" w:after="100" w:afterAutospacing="1" w:line="360" w:lineRule="auto"/>
        <w:jc w:val="both"/>
        <w:rPr>
          <w:rFonts w:cstheme="minorHAnsi"/>
          <w:sz w:val="24"/>
          <w:szCs w:val="24"/>
        </w:rPr>
      </w:pPr>
      <w:r w:rsidRPr="00EE3DA3">
        <w:rPr>
          <w:rFonts w:cstheme="minorHAnsi"/>
          <w:sz w:val="24"/>
          <w:szCs w:val="24"/>
        </w:rPr>
        <w:t>Willingness to participate and give informed consent.</w:t>
      </w:r>
    </w:p>
    <w:p w:rsidR="003E49B3" w:rsidRPr="00EE3DA3" w:rsidRDefault="003E49B3" w:rsidP="003E49B3">
      <w:pPr>
        <w:pStyle w:val="Heading5"/>
        <w:spacing w:line="360" w:lineRule="auto"/>
        <w:jc w:val="both"/>
        <w:rPr>
          <w:rFonts w:asciiTheme="minorHAnsi" w:hAnsiTheme="minorHAnsi" w:cstheme="minorHAnsi"/>
          <w:color w:val="auto"/>
          <w:sz w:val="24"/>
          <w:szCs w:val="24"/>
        </w:rPr>
      </w:pPr>
      <w:r w:rsidRPr="003E49B3">
        <w:rPr>
          <w:rStyle w:val="Strong"/>
          <w:rFonts w:asciiTheme="minorHAnsi" w:hAnsiTheme="minorHAnsi" w:cstheme="minorHAnsi"/>
          <w:b w:val="0"/>
          <w:bCs w:val="0"/>
          <w:color w:val="auto"/>
          <w:sz w:val="24"/>
          <w:szCs w:val="24"/>
          <w:highlight w:val="yellow"/>
        </w:rPr>
        <w:lastRenderedPageBreak/>
        <w:t>2.3.2</w:t>
      </w:r>
      <w:r w:rsidRPr="00EE3DA3">
        <w:rPr>
          <w:rStyle w:val="Strong"/>
          <w:rFonts w:asciiTheme="minorHAnsi" w:hAnsiTheme="minorHAnsi" w:cstheme="minorHAnsi"/>
          <w:b w:val="0"/>
          <w:bCs w:val="0"/>
          <w:color w:val="auto"/>
          <w:sz w:val="24"/>
          <w:szCs w:val="24"/>
        </w:rPr>
        <w:t xml:space="preserve"> Exclusion Criteria</w:t>
      </w:r>
    </w:p>
    <w:p w:rsidR="003E49B3" w:rsidRPr="00EE3DA3" w:rsidRDefault="003E49B3" w:rsidP="003E49B3">
      <w:pPr>
        <w:numPr>
          <w:ilvl w:val="0"/>
          <w:numId w:val="2"/>
        </w:numPr>
        <w:spacing w:before="100" w:beforeAutospacing="1" w:after="100" w:afterAutospacing="1" w:line="360" w:lineRule="auto"/>
        <w:jc w:val="both"/>
        <w:rPr>
          <w:rFonts w:cstheme="minorHAnsi"/>
          <w:sz w:val="24"/>
          <w:szCs w:val="24"/>
        </w:rPr>
      </w:pPr>
      <w:r w:rsidRPr="00EE3DA3">
        <w:rPr>
          <w:rFonts w:cstheme="minorHAnsi"/>
          <w:sz w:val="24"/>
          <w:szCs w:val="24"/>
        </w:rPr>
        <w:t>Individuals with Type 1 diabetes mellitus.</w:t>
      </w:r>
    </w:p>
    <w:p w:rsidR="003E49B3" w:rsidRPr="00EE3DA3" w:rsidRDefault="003E49B3" w:rsidP="003E49B3">
      <w:pPr>
        <w:numPr>
          <w:ilvl w:val="0"/>
          <w:numId w:val="2"/>
        </w:numPr>
        <w:spacing w:before="100" w:beforeAutospacing="1" w:after="100" w:afterAutospacing="1" w:line="360" w:lineRule="auto"/>
        <w:jc w:val="both"/>
        <w:rPr>
          <w:rFonts w:cstheme="minorHAnsi"/>
          <w:sz w:val="24"/>
          <w:szCs w:val="24"/>
        </w:rPr>
      </w:pPr>
      <w:r w:rsidRPr="00EE3DA3">
        <w:rPr>
          <w:rFonts w:cstheme="minorHAnsi"/>
          <w:sz w:val="24"/>
          <w:szCs w:val="24"/>
        </w:rPr>
        <w:t>Pregnant or lactating women.</w:t>
      </w:r>
    </w:p>
    <w:p w:rsidR="003E49B3" w:rsidRPr="00EE3DA3" w:rsidRDefault="003E49B3" w:rsidP="003E49B3">
      <w:pPr>
        <w:numPr>
          <w:ilvl w:val="0"/>
          <w:numId w:val="2"/>
        </w:numPr>
        <w:spacing w:before="100" w:beforeAutospacing="1" w:after="100" w:afterAutospacing="1" w:line="360" w:lineRule="auto"/>
        <w:jc w:val="both"/>
        <w:rPr>
          <w:rFonts w:cstheme="minorHAnsi"/>
          <w:sz w:val="24"/>
          <w:szCs w:val="24"/>
        </w:rPr>
      </w:pPr>
      <w:r w:rsidRPr="00EE3DA3">
        <w:rPr>
          <w:rFonts w:cstheme="minorHAnsi"/>
          <w:sz w:val="24"/>
          <w:szCs w:val="24"/>
        </w:rPr>
        <w:t>Patients with acute or chronic infections, autoimmune diseases, malignancies, or chronic liver/kidney diseases.</w:t>
      </w:r>
    </w:p>
    <w:p w:rsidR="003E49B3" w:rsidRPr="00EE3DA3" w:rsidRDefault="003E49B3" w:rsidP="003E49B3">
      <w:pPr>
        <w:numPr>
          <w:ilvl w:val="0"/>
          <w:numId w:val="2"/>
        </w:numPr>
        <w:spacing w:before="100" w:beforeAutospacing="1" w:after="100" w:afterAutospacing="1" w:line="360" w:lineRule="auto"/>
        <w:jc w:val="both"/>
        <w:rPr>
          <w:rFonts w:cstheme="minorHAnsi"/>
          <w:sz w:val="24"/>
          <w:szCs w:val="24"/>
        </w:rPr>
      </w:pPr>
      <w:r w:rsidRPr="00EE3DA3">
        <w:rPr>
          <w:rFonts w:cstheme="minorHAnsi"/>
          <w:sz w:val="24"/>
          <w:szCs w:val="24"/>
        </w:rPr>
        <w:t>Patients on anti-inflammatory or immunosuppressive therapy within the past 3 months.</w:t>
      </w:r>
    </w:p>
    <w:p w:rsidR="003E49B3" w:rsidRPr="00EE3DA3" w:rsidRDefault="003E49B3" w:rsidP="003E49B3">
      <w:pPr>
        <w:numPr>
          <w:ilvl w:val="0"/>
          <w:numId w:val="2"/>
        </w:numPr>
        <w:spacing w:before="100" w:beforeAutospacing="1" w:after="100" w:afterAutospacing="1" w:line="360" w:lineRule="auto"/>
        <w:jc w:val="both"/>
        <w:rPr>
          <w:rFonts w:cstheme="minorHAnsi"/>
          <w:sz w:val="24"/>
          <w:szCs w:val="24"/>
        </w:rPr>
      </w:pPr>
      <w:r w:rsidRPr="00EE3DA3">
        <w:rPr>
          <w:rFonts w:cstheme="minorHAnsi"/>
          <w:sz w:val="24"/>
          <w:szCs w:val="24"/>
        </w:rPr>
        <w:t>Unwillingness or inability to provide informed consent.</w:t>
      </w:r>
    </w:p>
    <w:p w:rsidR="003E49B3" w:rsidRPr="00EE3DA3" w:rsidRDefault="003E49B3" w:rsidP="003E49B3">
      <w:pPr>
        <w:pStyle w:val="Heading4"/>
        <w:spacing w:line="360" w:lineRule="auto"/>
        <w:jc w:val="both"/>
        <w:rPr>
          <w:rFonts w:asciiTheme="minorHAnsi" w:hAnsiTheme="minorHAnsi" w:cstheme="minorHAnsi"/>
          <w:i w:val="0"/>
          <w:color w:val="auto"/>
          <w:sz w:val="24"/>
          <w:szCs w:val="24"/>
        </w:rPr>
      </w:pPr>
      <w:r w:rsidRPr="003E49B3">
        <w:rPr>
          <w:rStyle w:val="Strong"/>
          <w:rFonts w:asciiTheme="minorHAnsi" w:hAnsiTheme="minorHAnsi" w:cstheme="minorHAnsi"/>
          <w:i w:val="0"/>
          <w:color w:val="auto"/>
          <w:sz w:val="24"/>
          <w:szCs w:val="24"/>
          <w:highlight w:val="yellow"/>
        </w:rPr>
        <w:t>2.4</w:t>
      </w:r>
      <w:r w:rsidRPr="00EE3DA3">
        <w:rPr>
          <w:rStyle w:val="Strong"/>
          <w:rFonts w:asciiTheme="minorHAnsi" w:hAnsiTheme="minorHAnsi" w:cstheme="minorHAnsi"/>
          <w:i w:val="0"/>
          <w:color w:val="auto"/>
          <w:sz w:val="24"/>
          <w:szCs w:val="24"/>
        </w:rPr>
        <w:t xml:space="preserve"> Materials and Equipment</w:t>
      </w:r>
    </w:p>
    <w:p w:rsidR="003E49B3" w:rsidRPr="00EE3DA3" w:rsidRDefault="003E49B3" w:rsidP="003E49B3">
      <w:pPr>
        <w:spacing w:before="100" w:beforeAutospacing="1" w:after="100" w:afterAutospacing="1" w:line="360" w:lineRule="auto"/>
        <w:jc w:val="both"/>
        <w:rPr>
          <w:rFonts w:cstheme="minorHAnsi"/>
          <w:sz w:val="24"/>
          <w:szCs w:val="24"/>
        </w:rPr>
      </w:pPr>
      <w:r w:rsidRPr="00EE3DA3">
        <w:rPr>
          <w:rFonts w:cstheme="minorHAnsi"/>
          <w:sz w:val="24"/>
          <w:szCs w:val="24"/>
        </w:rPr>
        <w:t>The following materials and equipment were used:</w:t>
      </w:r>
    </w:p>
    <w:p w:rsidR="003E49B3" w:rsidRPr="00EE3DA3" w:rsidRDefault="003E49B3" w:rsidP="003E49B3">
      <w:pPr>
        <w:numPr>
          <w:ilvl w:val="0"/>
          <w:numId w:val="3"/>
        </w:numPr>
        <w:spacing w:before="100" w:beforeAutospacing="1" w:after="100" w:afterAutospacing="1" w:line="360" w:lineRule="auto"/>
        <w:jc w:val="both"/>
        <w:rPr>
          <w:rFonts w:cstheme="minorHAnsi"/>
          <w:sz w:val="24"/>
          <w:szCs w:val="24"/>
        </w:rPr>
      </w:pPr>
      <w:r w:rsidRPr="00EE3DA3">
        <w:rPr>
          <w:rFonts w:cstheme="minorHAnsi"/>
          <w:sz w:val="24"/>
          <w:szCs w:val="24"/>
        </w:rPr>
        <w:t>Vacutainer blood collection tubes (plain and EDTA)</w:t>
      </w:r>
    </w:p>
    <w:p w:rsidR="003E49B3" w:rsidRPr="00EE3DA3" w:rsidRDefault="003E49B3" w:rsidP="003E49B3">
      <w:pPr>
        <w:numPr>
          <w:ilvl w:val="0"/>
          <w:numId w:val="3"/>
        </w:numPr>
        <w:spacing w:before="100" w:beforeAutospacing="1" w:after="100" w:afterAutospacing="1" w:line="360" w:lineRule="auto"/>
        <w:jc w:val="both"/>
        <w:rPr>
          <w:rFonts w:cstheme="minorHAnsi"/>
          <w:sz w:val="24"/>
          <w:szCs w:val="24"/>
        </w:rPr>
      </w:pPr>
      <w:r w:rsidRPr="00EE3DA3">
        <w:rPr>
          <w:rFonts w:cstheme="minorHAnsi"/>
          <w:sz w:val="24"/>
          <w:szCs w:val="24"/>
        </w:rPr>
        <w:t>Tourniquet, sterile needles, swabs, gloves</w:t>
      </w:r>
    </w:p>
    <w:p w:rsidR="003E49B3" w:rsidRPr="00EE3DA3" w:rsidRDefault="003E49B3" w:rsidP="003E49B3">
      <w:pPr>
        <w:numPr>
          <w:ilvl w:val="0"/>
          <w:numId w:val="3"/>
        </w:numPr>
        <w:spacing w:before="100" w:beforeAutospacing="1" w:after="100" w:afterAutospacing="1" w:line="360" w:lineRule="auto"/>
        <w:jc w:val="both"/>
        <w:rPr>
          <w:rFonts w:cstheme="minorHAnsi"/>
          <w:sz w:val="24"/>
          <w:szCs w:val="24"/>
        </w:rPr>
      </w:pPr>
      <w:r w:rsidRPr="00EE3DA3">
        <w:rPr>
          <w:rFonts w:cstheme="minorHAnsi"/>
          <w:sz w:val="24"/>
          <w:szCs w:val="24"/>
        </w:rPr>
        <w:t>Centrifuge (MSE, UK)</w:t>
      </w:r>
    </w:p>
    <w:p w:rsidR="003E49B3" w:rsidRPr="00EE3DA3" w:rsidRDefault="003E49B3" w:rsidP="003E49B3">
      <w:pPr>
        <w:numPr>
          <w:ilvl w:val="0"/>
          <w:numId w:val="3"/>
        </w:numPr>
        <w:spacing w:before="100" w:beforeAutospacing="1" w:after="100" w:afterAutospacing="1" w:line="360" w:lineRule="auto"/>
        <w:jc w:val="both"/>
        <w:rPr>
          <w:rFonts w:cstheme="minorHAnsi"/>
          <w:sz w:val="24"/>
          <w:szCs w:val="24"/>
        </w:rPr>
      </w:pPr>
      <w:r w:rsidRPr="00EE3DA3">
        <w:rPr>
          <w:rFonts w:cstheme="minorHAnsi"/>
          <w:sz w:val="24"/>
          <w:szCs w:val="24"/>
        </w:rPr>
        <w:t>Micropipettes (100 µL to 1000 µL range)</w:t>
      </w:r>
    </w:p>
    <w:p w:rsidR="003E49B3" w:rsidRPr="00EE3DA3" w:rsidRDefault="003E49B3" w:rsidP="003E49B3">
      <w:pPr>
        <w:numPr>
          <w:ilvl w:val="0"/>
          <w:numId w:val="3"/>
        </w:numPr>
        <w:spacing w:before="100" w:beforeAutospacing="1" w:after="100" w:afterAutospacing="1" w:line="360" w:lineRule="auto"/>
        <w:jc w:val="both"/>
        <w:rPr>
          <w:rFonts w:cstheme="minorHAnsi"/>
          <w:sz w:val="24"/>
          <w:szCs w:val="24"/>
        </w:rPr>
      </w:pPr>
      <w:r w:rsidRPr="00EE3DA3">
        <w:rPr>
          <w:rFonts w:cstheme="minorHAnsi"/>
          <w:sz w:val="24"/>
          <w:szCs w:val="24"/>
        </w:rPr>
        <w:t xml:space="preserve">ELISA reader and washer (Thermo Scientific </w:t>
      </w:r>
      <w:proofErr w:type="spellStart"/>
      <w:r w:rsidRPr="00EE3DA3">
        <w:rPr>
          <w:rFonts w:cstheme="minorHAnsi"/>
          <w:sz w:val="24"/>
          <w:szCs w:val="24"/>
        </w:rPr>
        <w:t>Multiskan</w:t>
      </w:r>
      <w:proofErr w:type="spellEnd"/>
      <w:r w:rsidRPr="00EE3DA3">
        <w:rPr>
          <w:rFonts w:cstheme="minorHAnsi"/>
          <w:sz w:val="24"/>
          <w:szCs w:val="24"/>
        </w:rPr>
        <w:t>)</w:t>
      </w:r>
    </w:p>
    <w:p w:rsidR="003E49B3" w:rsidRPr="00EE3DA3" w:rsidRDefault="003E49B3" w:rsidP="003E49B3">
      <w:pPr>
        <w:numPr>
          <w:ilvl w:val="0"/>
          <w:numId w:val="3"/>
        </w:numPr>
        <w:spacing w:before="100" w:beforeAutospacing="1" w:after="100" w:afterAutospacing="1" w:line="360" w:lineRule="auto"/>
        <w:jc w:val="both"/>
        <w:rPr>
          <w:rFonts w:cstheme="minorHAnsi"/>
          <w:sz w:val="24"/>
          <w:szCs w:val="24"/>
        </w:rPr>
      </w:pPr>
      <w:r w:rsidRPr="00EE3DA3">
        <w:rPr>
          <w:rFonts w:cstheme="minorHAnsi"/>
          <w:sz w:val="24"/>
          <w:szCs w:val="24"/>
        </w:rPr>
        <w:t>Glucose oxidase-peroxidase kits (</w:t>
      </w:r>
      <w:proofErr w:type="spellStart"/>
      <w:r w:rsidRPr="00EE3DA3">
        <w:rPr>
          <w:rFonts w:cstheme="minorHAnsi"/>
          <w:sz w:val="24"/>
          <w:szCs w:val="24"/>
        </w:rPr>
        <w:t>Randox</w:t>
      </w:r>
      <w:proofErr w:type="spellEnd"/>
      <w:r w:rsidRPr="00EE3DA3">
        <w:rPr>
          <w:rFonts w:cstheme="minorHAnsi"/>
          <w:sz w:val="24"/>
          <w:szCs w:val="24"/>
        </w:rPr>
        <w:t xml:space="preserve"> Laboratories, UK)</w:t>
      </w:r>
    </w:p>
    <w:p w:rsidR="003E49B3" w:rsidRPr="00EE3DA3" w:rsidRDefault="003E49B3" w:rsidP="003E49B3">
      <w:pPr>
        <w:numPr>
          <w:ilvl w:val="0"/>
          <w:numId w:val="3"/>
        </w:numPr>
        <w:spacing w:before="100" w:beforeAutospacing="1" w:after="100" w:afterAutospacing="1" w:line="360" w:lineRule="auto"/>
        <w:jc w:val="both"/>
        <w:rPr>
          <w:rFonts w:cstheme="minorHAnsi"/>
          <w:sz w:val="24"/>
          <w:szCs w:val="24"/>
        </w:rPr>
      </w:pPr>
      <w:r w:rsidRPr="00EE3DA3">
        <w:rPr>
          <w:rFonts w:cstheme="minorHAnsi"/>
          <w:sz w:val="24"/>
          <w:szCs w:val="24"/>
        </w:rPr>
        <w:t xml:space="preserve">ELISA kits for IL-6, TNF-α, and </w:t>
      </w:r>
      <w:proofErr w:type="spellStart"/>
      <w:r w:rsidRPr="00EE3DA3">
        <w:rPr>
          <w:rFonts w:cstheme="minorHAnsi"/>
          <w:sz w:val="24"/>
          <w:szCs w:val="24"/>
        </w:rPr>
        <w:t>hs</w:t>
      </w:r>
      <w:proofErr w:type="spellEnd"/>
      <w:r w:rsidRPr="00EE3DA3">
        <w:rPr>
          <w:rFonts w:cstheme="minorHAnsi"/>
          <w:sz w:val="24"/>
          <w:szCs w:val="24"/>
        </w:rPr>
        <w:t>-CRP (</w:t>
      </w:r>
      <w:proofErr w:type="spellStart"/>
      <w:r w:rsidRPr="00EE3DA3">
        <w:rPr>
          <w:rFonts w:cstheme="minorHAnsi"/>
          <w:sz w:val="24"/>
          <w:szCs w:val="24"/>
        </w:rPr>
        <w:t>BioLegend</w:t>
      </w:r>
      <w:proofErr w:type="spellEnd"/>
      <w:r w:rsidRPr="00EE3DA3">
        <w:rPr>
          <w:rFonts w:cstheme="minorHAnsi"/>
          <w:sz w:val="24"/>
          <w:szCs w:val="24"/>
        </w:rPr>
        <w:t>®, USA)</w:t>
      </w:r>
    </w:p>
    <w:p w:rsidR="003E49B3" w:rsidRPr="00EE3DA3" w:rsidRDefault="003E49B3" w:rsidP="003E49B3">
      <w:pPr>
        <w:numPr>
          <w:ilvl w:val="0"/>
          <w:numId w:val="3"/>
        </w:numPr>
        <w:spacing w:before="100" w:beforeAutospacing="1" w:after="100" w:afterAutospacing="1" w:line="360" w:lineRule="auto"/>
        <w:jc w:val="both"/>
        <w:rPr>
          <w:rFonts w:cstheme="minorHAnsi"/>
          <w:sz w:val="24"/>
          <w:szCs w:val="24"/>
        </w:rPr>
      </w:pPr>
      <w:r w:rsidRPr="00EE3DA3">
        <w:rPr>
          <w:rFonts w:cstheme="minorHAnsi"/>
          <w:sz w:val="24"/>
          <w:szCs w:val="24"/>
        </w:rPr>
        <w:t>Ice packs and transport coolers for sample preservation</w:t>
      </w:r>
    </w:p>
    <w:p w:rsidR="003E49B3" w:rsidRPr="00EE3DA3" w:rsidRDefault="003E49B3" w:rsidP="003E49B3">
      <w:pPr>
        <w:numPr>
          <w:ilvl w:val="0"/>
          <w:numId w:val="3"/>
        </w:numPr>
        <w:spacing w:before="100" w:beforeAutospacing="1" w:after="100" w:afterAutospacing="1" w:line="360" w:lineRule="auto"/>
        <w:jc w:val="both"/>
        <w:rPr>
          <w:rFonts w:cstheme="minorHAnsi"/>
          <w:sz w:val="24"/>
          <w:szCs w:val="24"/>
        </w:rPr>
      </w:pPr>
      <w:r w:rsidRPr="00EE3DA3">
        <w:rPr>
          <w:rFonts w:cstheme="minorHAnsi"/>
          <w:sz w:val="24"/>
          <w:szCs w:val="24"/>
        </w:rPr>
        <w:t xml:space="preserve">Laboratory glassware and </w:t>
      </w:r>
      <w:proofErr w:type="spellStart"/>
      <w:r w:rsidRPr="00EE3DA3">
        <w:rPr>
          <w:rFonts w:cstheme="minorHAnsi"/>
          <w:sz w:val="24"/>
          <w:szCs w:val="24"/>
        </w:rPr>
        <w:t>plasticware</w:t>
      </w:r>
      <w:proofErr w:type="spellEnd"/>
    </w:p>
    <w:p w:rsidR="003E49B3" w:rsidRPr="00EE3DA3" w:rsidRDefault="003E49B3" w:rsidP="003E49B3">
      <w:pPr>
        <w:pStyle w:val="Heading4"/>
        <w:spacing w:line="360" w:lineRule="auto"/>
        <w:jc w:val="both"/>
        <w:rPr>
          <w:rFonts w:asciiTheme="minorHAnsi" w:hAnsiTheme="minorHAnsi" w:cstheme="minorHAnsi"/>
          <w:i w:val="0"/>
          <w:color w:val="auto"/>
          <w:sz w:val="24"/>
          <w:szCs w:val="24"/>
        </w:rPr>
      </w:pPr>
      <w:r w:rsidRPr="003E49B3">
        <w:rPr>
          <w:rStyle w:val="Strong"/>
          <w:rFonts w:asciiTheme="minorHAnsi" w:hAnsiTheme="minorHAnsi" w:cstheme="minorHAnsi"/>
          <w:i w:val="0"/>
          <w:color w:val="auto"/>
          <w:sz w:val="24"/>
          <w:szCs w:val="24"/>
          <w:highlight w:val="yellow"/>
        </w:rPr>
        <w:t>2.5</w:t>
      </w:r>
      <w:r w:rsidRPr="00EE3DA3">
        <w:rPr>
          <w:rStyle w:val="Strong"/>
          <w:rFonts w:asciiTheme="minorHAnsi" w:hAnsiTheme="minorHAnsi" w:cstheme="minorHAnsi"/>
          <w:i w:val="0"/>
          <w:color w:val="auto"/>
          <w:sz w:val="24"/>
          <w:szCs w:val="24"/>
        </w:rPr>
        <w:t xml:space="preserve"> Ethical Consideration</w:t>
      </w:r>
    </w:p>
    <w:p w:rsidR="003E49B3" w:rsidRPr="00EE3DA3" w:rsidRDefault="003E49B3" w:rsidP="003E49B3">
      <w:pPr>
        <w:spacing w:before="100" w:beforeAutospacing="1" w:after="100" w:afterAutospacing="1" w:line="360" w:lineRule="auto"/>
        <w:jc w:val="both"/>
        <w:rPr>
          <w:rFonts w:cstheme="minorHAnsi"/>
          <w:sz w:val="24"/>
          <w:szCs w:val="24"/>
        </w:rPr>
      </w:pPr>
      <w:r w:rsidRPr="00EE3DA3">
        <w:rPr>
          <w:rFonts w:cstheme="minorHAnsi"/>
          <w:sz w:val="24"/>
          <w:szCs w:val="24"/>
        </w:rPr>
        <w:t>Ethical clearance was obtained from the Igbinedion University Teaching Hospital Ethics Review Committee (Reference No: IUTH/REC/2024/027). All participants were informed of the purpose, risks, and benefits of the study and gave written informed consent before enrollment. Confidentiality of all data was maintained, and the study was conducted in accordance with the Declaration of Helsinki (2013 revision).</w:t>
      </w:r>
    </w:p>
    <w:p w:rsidR="003E49B3" w:rsidRPr="00EE3DA3" w:rsidRDefault="003E49B3" w:rsidP="003E49B3">
      <w:pPr>
        <w:pStyle w:val="Heading4"/>
        <w:spacing w:line="360" w:lineRule="auto"/>
        <w:jc w:val="both"/>
        <w:rPr>
          <w:rFonts w:asciiTheme="minorHAnsi" w:hAnsiTheme="minorHAnsi" w:cstheme="minorHAnsi"/>
          <w:i w:val="0"/>
          <w:color w:val="auto"/>
          <w:sz w:val="24"/>
          <w:szCs w:val="24"/>
        </w:rPr>
      </w:pPr>
      <w:r w:rsidRPr="003E49B3">
        <w:rPr>
          <w:rStyle w:val="Strong"/>
          <w:rFonts w:asciiTheme="minorHAnsi" w:hAnsiTheme="minorHAnsi" w:cstheme="minorHAnsi"/>
          <w:i w:val="0"/>
          <w:color w:val="auto"/>
          <w:sz w:val="24"/>
          <w:szCs w:val="24"/>
          <w:highlight w:val="yellow"/>
        </w:rPr>
        <w:lastRenderedPageBreak/>
        <w:t>2.6</w:t>
      </w:r>
      <w:r w:rsidRPr="00EE3DA3">
        <w:rPr>
          <w:rStyle w:val="Strong"/>
          <w:rFonts w:asciiTheme="minorHAnsi" w:hAnsiTheme="minorHAnsi" w:cstheme="minorHAnsi"/>
          <w:i w:val="0"/>
          <w:color w:val="auto"/>
          <w:sz w:val="24"/>
          <w:szCs w:val="24"/>
        </w:rPr>
        <w:t xml:space="preserve"> Clinical Laboratory Investigation</w:t>
      </w:r>
    </w:p>
    <w:p w:rsidR="003E49B3" w:rsidRPr="00EE3DA3" w:rsidRDefault="003E49B3" w:rsidP="003E49B3">
      <w:pPr>
        <w:pStyle w:val="Heading5"/>
        <w:spacing w:line="360" w:lineRule="auto"/>
        <w:jc w:val="both"/>
        <w:rPr>
          <w:rFonts w:asciiTheme="minorHAnsi" w:hAnsiTheme="minorHAnsi" w:cstheme="minorHAnsi"/>
          <w:color w:val="auto"/>
          <w:sz w:val="24"/>
          <w:szCs w:val="24"/>
        </w:rPr>
      </w:pPr>
      <w:r w:rsidRPr="003E49B3">
        <w:rPr>
          <w:rStyle w:val="Strong"/>
          <w:rFonts w:asciiTheme="minorHAnsi" w:hAnsiTheme="minorHAnsi" w:cstheme="minorHAnsi"/>
          <w:b w:val="0"/>
          <w:bCs w:val="0"/>
          <w:color w:val="auto"/>
          <w:sz w:val="24"/>
          <w:szCs w:val="24"/>
          <w:highlight w:val="yellow"/>
        </w:rPr>
        <w:t>2.6.1</w:t>
      </w:r>
      <w:r w:rsidRPr="00EE3DA3">
        <w:rPr>
          <w:rStyle w:val="Strong"/>
          <w:rFonts w:asciiTheme="minorHAnsi" w:hAnsiTheme="minorHAnsi" w:cstheme="minorHAnsi"/>
          <w:b w:val="0"/>
          <w:bCs w:val="0"/>
          <w:color w:val="auto"/>
          <w:sz w:val="24"/>
          <w:szCs w:val="24"/>
        </w:rPr>
        <w:t xml:space="preserve"> Sample Collection and Analysis</w:t>
      </w:r>
    </w:p>
    <w:p w:rsidR="003E49B3" w:rsidRPr="00EE3DA3" w:rsidRDefault="003E49B3" w:rsidP="003E49B3">
      <w:pPr>
        <w:spacing w:before="100" w:beforeAutospacing="1" w:after="100" w:afterAutospacing="1" w:line="360" w:lineRule="auto"/>
        <w:jc w:val="both"/>
        <w:rPr>
          <w:rFonts w:cstheme="minorHAnsi"/>
          <w:sz w:val="24"/>
          <w:szCs w:val="24"/>
        </w:rPr>
      </w:pPr>
      <w:r w:rsidRPr="00EE3DA3">
        <w:rPr>
          <w:rStyle w:val="Strong"/>
          <w:rFonts w:cstheme="minorHAnsi"/>
          <w:sz w:val="24"/>
          <w:szCs w:val="24"/>
        </w:rPr>
        <w:t>Blood Collection:</w:t>
      </w:r>
      <w:r>
        <w:rPr>
          <w:rStyle w:val="Strong"/>
          <w:rFonts w:cstheme="minorHAnsi"/>
          <w:sz w:val="24"/>
          <w:szCs w:val="24"/>
        </w:rPr>
        <w:t xml:space="preserve"> </w:t>
      </w:r>
      <w:r w:rsidRPr="00EE3DA3">
        <w:rPr>
          <w:rFonts w:cstheme="minorHAnsi"/>
          <w:sz w:val="24"/>
          <w:szCs w:val="24"/>
        </w:rPr>
        <w:t xml:space="preserve">Each participant was instructed to fast overnight for 8–12 hours prior to sample collection. Using aseptic techniques, 5 mL of venous blood was collected from the </w:t>
      </w:r>
      <w:proofErr w:type="spellStart"/>
      <w:r w:rsidRPr="00EE3DA3">
        <w:rPr>
          <w:rFonts w:cstheme="minorHAnsi"/>
          <w:sz w:val="24"/>
          <w:szCs w:val="24"/>
        </w:rPr>
        <w:t>antecubital</w:t>
      </w:r>
      <w:proofErr w:type="spellEnd"/>
      <w:r w:rsidRPr="00EE3DA3">
        <w:rPr>
          <w:rFonts w:cstheme="minorHAnsi"/>
          <w:sz w:val="24"/>
          <w:szCs w:val="24"/>
        </w:rPr>
        <w:t xml:space="preserve"> vein. The blood was dispensed into two tubes:</w:t>
      </w:r>
    </w:p>
    <w:p w:rsidR="003E49B3" w:rsidRPr="00EE3DA3" w:rsidRDefault="003E49B3" w:rsidP="003E49B3">
      <w:pPr>
        <w:numPr>
          <w:ilvl w:val="0"/>
          <w:numId w:val="4"/>
        </w:numPr>
        <w:spacing w:before="100" w:beforeAutospacing="1" w:after="100" w:afterAutospacing="1" w:line="360" w:lineRule="auto"/>
        <w:jc w:val="both"/>
        <w:rPr>
          <w:rFonts w:cstheme="minorHAnsi"/>
          <w:sz w:val="24"/>
          <w:szCs w:val="24"/>
        </w:rPr>
      </w:pPr>
      <w:r w:rsidRPr="00EE3DA3">
        <w:rPr>
          <w:rFonts w:cstheme="minorHAnsi"/>
          <w:sz w:val="24"/>
          <w:szCs w:val="24"/>
        </w:rPr>
        <w:t>3 mL into a plain tube for serum separation.</w:t>
      </w:r>
    </w:p>
    <w:p w:rsidR="003E49B3" w:rsidRPr="00EE3DA3" w:rsidRDefault="003E49B3" w:rsidP="003E49B3">
      <w:pPr>
        <w:numPr>
          <w:ilvl w:val="0"/>
          <w:numId w:val="4"/>
        </w:numPr>
        <w:spacing w:before="100" w:beforeAutospacing="1" w:after="100" w:afterAutospacing="1" w:line="360" w:lineRule="auto"/>
        <w:jc w:val="both"/>
        <w:rPr>
          <w:rFonts w:cstheme="minorHAnsi"/>
          <w:sz w:val="24"/>
          <w:szCs w:val="24"/>
        </w:rPr>
      </w:pPr>
      <w:r w:rsidRPr="00EE3DA3">
        <w:rPr>
          <w:rFonts w:cstheme="minorHAnsi"/>
          <w:sz w:val="24"/>
          <w:szCs w:val="24"/>
        </w:rPr>
        <w:t>2 mL into an EDTA tube for immediate glucose analysis.</w:t>
      </w:r>
    </w:p>
    <w:p w:rsidR="003E49B3" w:rsidRPr="00EE3DA3" w:rsidRDefault="003E49B3" w:rsidP="003E49B3">
      <w:pPr>
        <w:spacing w:before="100" w:beforeAutospacing="1" w:after="100" w:afterAutospacing="1" w:line="360" w:lineRule="auto"/>
        <w:jc w:val="both"/>
        <w:rPr>
          <w:rFonts w:cstheme="minorHAnsi"/>
          <w:sz w:val="24"/>
          <w:szCs w:val="24"/>
        </w:rPr>
      </w:pPr>
      <w:r w:rsidRPr="00EE3DA3">
        <w:rPr>
          <w:rStyle w:val="Strong"/>
          <w:rFonts w:cstheme="minorHAnsi"/>
          <w:sz w:val="24"/>
          <w:szCs w:val="24"/>
        </w:rPr>
        <w:t>Serum Processing:</w:t>
      </w:r>
      <w:r>
        <w:rPr>
          <w:rStyle w:val="Strong"/>
          <w:rFonts w:cstheme="minorHAnsi"/>
          <w:sz w:val="24"/>
          <w:szCs w:val="24"/>
        </w:rPr>
        <w:t xml:space="preserve"> </w:t>
      </w:r>
      <w:r w:rsidRPr="00EE3DA3">
        <w:rPr>
          <w:rFonts w:cstheme="minorHAnsi"/>
          <w:sz w:val="24"/>
          <w:szCs w:val="24"/>
        </w:rPr>
        <w:t xml:space="preserve">Blood in plain tubes was allowed to clot at room temperature for 20 minutes, </w:t>
      </w:r>
      <w:proofErr w:type="gramStart"/>
      <w:r w:rsidRPr="00EE3DA3">
        <w:rPr>
          <w:rFonts w:cstheme="minorHAnsi"/>
          <w:sz w:val="24"/>
          <w:szCs w:val="24"/>
        </w:rPr>
        <w:t>then</w:t>
      </w:r>
      <w:proofErr w:type="gramEnd"/>
      <w:r w:rsidRPr="00EE3DA3">
        <w:rPr>
          <w:rFonts w:cstheme="minorHAnsi"/>
          <w:sz w:val="24"/>
          <w:szCs w:val="24"/>
        </w:rPr>
        <w:t xml:space="preserve"> centrifuged at 3000 rpm for 10 minutes. The serum was separated and </w:t>
      </w:r>
      <w:proofErr w:type="spellStart"/>
      <w:r w:rsidRPr="00EE3DA3">
        <w:rPr>
          <w:rFonts w:cstheme="minorHAnsi"/>
          <w:sz w:val="24"/>
          <w:szCs w:val="24"/>
        </w:rPr>
        <w:t>aliquoted</w:t>
      </w:r>
      <w:proofErr w:type="spellEnd"/>
      <w:r w:rsidRPr="00EE3DA3">
        <w:rPr>
          <w:rFonts w:cstheme="minorHAnsi"/>
          <w:sz w:val="24"/>
          <w:szCs w:val="24"/>
        </w:rPr>
        <w:t xml:space="preserve"> into labeled </w:t>
      </w:r>
      <w:proofErr w:type="spellStart"/>
      <w:r w:rsidRPr="00EE3DA3">
        <w:rPr>
          <w:rFonts w:cstheme="minorHAnsi"/>
          <w:sz w:val="24"/>
          <w:szCs w:val="24"/>
        </w:rPr>
        <w:t>cryovials</w:t>
      </w:r>
      <w:proofErr w:type="spellEnd"/>
      <w:r w:rsidRPr="00EE3DA3">
        <w:rPr>
          <w:rFonts w:cstheme="minorHAnsi"/>
          <w:sz w:val="24"/>
          <w:szCs w:val="24"/>
        </w:rPr>
        <w:t xml:space="preserve"> and stored at –20°C until analysis.</w:t>
      </w:r>
    </w:p>
    <w:p w:rsidR="003E49B3" w:rsidRPr="00EE3DA3" w:rsidRDefault="003E49B3" w:rsidP="003E49B3">
      <w:pPr>
        <w:spacing w:before="100" w:beforeAutospacing="1" w:after="100" w:afterAutospacing="1" w:line="360" w:lineRule="auto"/>
        <w:jc w:val="both"/>
        <w:rPr>
          <w:rFonts w:cstheme="minorHAnsi"/>
          <w:sz w:val="24"/>
          <w:szCs w:val="24"/>
        </w:rPr>
      </w:pPr>
      <w:r w:rsidRPr="00EE3DA3">
        <w:rPr>
          <w:rStyle w:val="Strong"/>
          <w:rFonts w:cstheme="minorHAnsi"/>
          <w:sz w:val="24"/>
          <w:szCs w:val="24"/>
        </w:rPr>
        <w:t>Glucose Estimation:</w:t>
      </w:r>
      <w:r>
        <w:rPr>
          <w:rStyle w:val="Strong"/>
          <w:rFonts w:cstheme="minorHAnsi"/>
          <w:sz w:val="24"/>
          <w:szCs w:val="24"/>
        </w:rPr>
        <w:t xml:space="preserve"> </w:t>
      </w:r>
      <w:r w:rsidRPr="00EE3DA3">
        <w:rPr>
          <w:rFonts w:cstheme="minorHAnsi"/>
          <w:sz w:val="24"/>
          <w:szCs w:val="24"/>
        </w:rPr>
        <w:t>Fasting blood sugar (FBS) was determined immediately using the glucose oxidase-peroxidase enzymatic method. The absorbance was measured at 505 nm in a spectrophotometer. Quality control samples were included in each batch.</w:t>
      </w:r>
    </w:p>
    <w:p w:rsidR="003E49B3" w:rsidRPr="00EE3DA3" w:rsidRDefault="003E49B3" w:rsidP="003E49B3">
      <w:pPr>
        <w:spacing w:before="100" w:beforeAutospacing="1" w:after="100" w:afterAutospacing="1" w:line="360" w:lineRule="auto"/>
        <w:jc w:val="both"/>
        <w:rPr>
          <w:rFonts w:cstheme="minorHAnsi"/>
          <w:sz w:val="24"/>
          <w:szCs w:val="24"/>
        </w:rPr>
      </w:pPr>
      <w:r w:rsidRPr="00EE3DA3">
        <w:rPr>
          <w:rStyle w:val="Strong"/>
          <w:rFonts w:cstheme="minorHAnsi"/>
          <w:sz w:val="24"/>
          <w:szCs w:val="24"/>
        </w:rPr>
        <w:t>Cytokine Estimation:</w:t>
      </w:r>
      <w:r>
        <w:rPr>
          <w:rStyle w:val="Strong"/>
          <w:rFonts w:cstheme="minorHAnsi"/>
          <w:sz w:val="24"/>
          <w:szCs w:val="24"/>
        </w:rPr>
        <w:t xml:space="preserve"> </w:t>
      </w:r>
      <w:r w:rsidRPr="00EE3DA3">
        <w:rPr>
          <w:rFonts w:cstheme="minorHAnsi"/>
          <w:sz w:val="24"/>
          <w:szCs w:val="24"/>
        </w:rPr>
        <w:t xml:space="preserve">Serum levels of IL-6, TNF-α, and </w:t>
      </w:r>
      <w:proofErr w:type="spellStart"/>
      <w:r w:rsidRPr="00EE3DA3">
        <w:rPr>
          <w:rFonts w:cstheme="minorHAnsi"/>
          <w:sz w:val="24"/>
          <w:szCs w:val="24"/>
        </w:rPr>
        <w:t>hs</w:t>
      </w:r>
      <w:proofErr w:type="spellEnd"/>
      <w:r w:rsidRPr="00EE3DA3">
        <w:rPr>
          <w:rFonts w:cstheme="minorHAnsi"/>
          <w:sz w:val="24"/>
          <w:szCs w:val="24"/>
        </w:rPr>
        <w:t xml:space="preserve">-CRP were quantified using enzyme-linked </w:t>
      </w:r>
      <w:proofErr w:type="spellStart"/>
      <w:r w:rsidRPr="00EE3DA3">
        <w:rPr>
          <w:rFonts w:cstheme="minorHAnsi"/>
          <w:sz w:val="24"/>
          <w:szCs w:val="24"/>
        </w:rPr>
        <w:t>immunosorbent</w:t>
      </w:r>
      <w:proofErr w:type="spellEnd"/>
      <w:r w:rsidRPr="00EE3DA3">
        <w:rPr>
          <w:rFonts w:cstheme="minorHAnsi"/>
          <w:sz w:val="24"/>
          <w:szCs w:val="24"/>
        </w:rPr>
        <w:t xml:space="preserve"> assay (ELISA) kits according to the manufacturer’s protocols. All samples and reagents were brought to room temperature before analysis. Absorbance was read at 450 nm using an ELISA </w:t>
      </w:r>
      <w:proofErr w:type="spellStart"/>
      <w:r w:rsidRPr="00EE3DA3">
        <w:rPr>
          <w:rFonts w:cstheme="minorHAnsi"/>
          <w:sz w:val="24"/>
          <w:szCs w:val="24"/>
        </w:rPr>
        <w:t>microplate</w:t>
      </w:r>
      <w:proofErr w:type="spellEnd"/>
      <w:r w:rsidRPr="00EE3DA3">
        <w:rPr>
          <w:rFonts w:cstheme="minorHAnsi"/>
          <w:sz w:val="24"/>
          <w:szCs w:val="24"/>
        </w:rPr>
        <w:t xml:space="preserve"> reader. Calibration curves were generated for each biomarker using provided standards, and concentrations were calculated from standard curves.</w:t>
      </w:r>
    </w:p>
    <w:p w:rsidR="003E49B3" w:rsidRPr="00EE3DA3" w:rsidRDefault="003E49B3" w:rsidP="003E49B3">
      <w:pPr>
        <w:spacing w:before="100" w:beforeAutospacing="1" w:after="100" w:afterAutospacing="1" w:line="360" w:lineRule="auto"/>
        <w:jc w:val="both"/>
        <w:rPr>
          <w:rFonts w:cstheme="minorHAnsi"/>
          <w:sz w:val="24"/>
          <w:szCs w:val="24"/>
        </w:rPr>
      </w:pPr>
      <w:r w:rsidRPr="00EE3DA3">
        <w:rPr>
          <w:rStyle w:val="Strong"/>
          <w:rFonts w:cstheme="minorHAnsi"/>
          <w:sz w:val="24"/>
          <w:szCs w:val="24"/>
        </w:rPr>
        <w:t>Quality Control:</w:t>
      </w:r>
      <w:r>
        <w:rPr>
          <w:rStyle w:val="Strong"/>
          <w:rFonts w:cstheme="minorHAnsi"/>
          <w:sz w:val="24"/>
          <w:szCs w:val="24"/>
        </w:rPr>
        <w:t xml:space="preserve"> </w:t>
      </w:r>
      <w:r w:rsidRPr="00EE3DA3">
        <w:rPr>
          <w:rFonts w:cstheme="minorHAnsi"/>
          <w:sz w:val="24"/>
          <w:szCs w:val="24"/>
        </w:rPr>
        <w:t>Each assay included internal quality controls. Duplicate measurements were performed for 10% of the samples to ensure reproducibility. Laboratory technicians were blinded to participants' clinical status to reduce bias.</w:t>
      </w:r>
    </w:p>
    <w:p w:rsidR="003E49B3" w:rsidRPr="00EE3DA3" w:rsidRDefault="003E49B3" w:rsidP="003E49B3">
      <w:pPr>
        <w:pStyle w:val="Heading4"/>
        <w:spacing w:line="360" w:lineRule="auto"/>
        <w:jc w:val="both"/>
        <w:rPr>
          <w:rFonts w:asciiTheme="minorHAnsi" w:hAnsiTheme="minorHAnsi" w:cstheme="minorHAnsi"/>
          <w:i w:val="0"/>
          <w:color w:val="auto"/>
          <w:sz w:val="24"/>
          <w:szCs w:val="24"/>
        </w:rPr>
      </w:pPr>
      <w:r w:rsidRPr="003E49B3">
        <w:rPr>
          <w:rStyle w:val="Strong"/>
          <w:rFonts w:asciiTheme="minorHAnsi" w:hAnsiTheme="minorHAnsi" w:cstheme="minorHAnsi"/>
          <w:i w:val="0"/>
          <w:color w:val="auto"/>
          <w:sz w:val="24"/>
          <w:szCs w:val="24"/>
          <w:highlight w:val="yellow"/>
        </w:rPr>
        <w:lastRenderedPageBreak/>
        <w:t>2.7</w:t>
      </w:r>
      <w:r w:rsidRPr="00EE3DA3">
        <w:rPr>
          <w:rStyle w:val="Strong"/>
          <w:rFonts w:asciiTheme="minorHAnsi" w:hAnsiTheme="minorHAnsi" w:cstheme="minorHAnsi"/>
          <w:i w:val="0"/>
          <w:color w:val="auto"/>
          <w:sz w:val="24"/>
          <w:szCs w:val="24"/>
        </w:rPr>
        <w:t xml:space="preserve"> Statistical Analysis</w:t>
      </w:r>
    </w:p>
    <w:p w:rsidR="003E49B3" w:rsidRPr="00EE3DA3" w:rsidRDefault="003E49B3" w:rsidP="003E49B3">
      <w:pPr>
        <w:spacing w:before="100" w:beforeAutospacing="1" w:after="100" w:afterAutospacing="1" w:line="360" w:lineRule="auto"/>
        <w:jc w:val="both"/>
        <w:rPr>
          <w:rFonts w:cstheme="minorHAnsi"/>
          <w:sz w:val="24"/>
          <w:szCs w:val="24"/>
        </w:rPr>
      </w:pPr>
      <w:r w:rsidRPr="00EE3DA3">
        <w:rPr>
          <w:rFonts w:cstheme="minorHAnsi"/>
          <w:sz w:val="24"/>
          <w:szCs w:val="24"/>
        </w:rPr>
        <w:t>All data were entered and analyzed using IBM SPSS Statistics version 25.0 (IBM Corp., Armonk, NY, USA). Data were presented as mean ± standard deviation for continuous variables and as frequencies and percentages for categorical variables.</w:t>
      </w:r>
    </w:p>
    <w:p w:rsidR="003E49B3" w:rsidRPr="00EE3DA3" w:rsidRDefault="003E49B3" w:rsidP="003E49B3">
      <w:pPr>
        <w:numPr>
          <w:ilvl w:val="0"/>
          <w:numId w:val="5"/>
        </w:numPr>
        <w:spacing w:before="100" w:beforeAutospacing="1" w:after="100" w:afterAutospacing="1" w:line="360" w:lineRule="auto"/>
        <w:jc w:val="both"/>
        <w:rPr>
          <w:rFonts w:cstheme="minorHAnsi"/>
          <w:sz w:val="24"/>
          <w:szCs w:val="24"/>
        </w:rPr>
      </w:pPr>
      <w:r w:rsidRPr="00EE3DA3">
        <w:rPr>
          <w:rStyle w:val="Strong"/>
          <w:rFonts w:cstheme="minorHAnsi"/>
          <w:sz w:val="24"/>
          <w:szCs w:val="24"/>
        </w:rPr>
        <w:t>Comparative Analysis:</w:t>
      </w:r>
      <w:r w:rsidRPr="00EE3DA3">
        <w:rPr>
          <w:rFonts w:cstheme="minorHAnsi"/>
          <w:sz w:val="24"/>
          <w:szCs w:val="24"/>
        </w:rPr>
        <w:t xml:space="preserve"> Independent samples t-test was used to compare mean levels of glucose and cytokines between diabetic and non-diabetic groups.</w:t>
      </w:r>
    </w:p>
    <w:p w:rsidR="003E49B3" w:rsidRPr="00EE3DA3" w:rsidRDefault="003E49B3" w:rsidP="003E49B3">
      <w:pPr>
        <w:numPr>
          <w:ilvl w:val="0"/>
          <w:numId w:val="5"/>
        </w:numPr>
        <w:spacing w:before="100" w:beforeAutospacing="1" w:after="100" w:afterAutospacing="1" w:line="360" w:lineRule="auto"/>
        <w:jc w:val="both"/>
        <w:rPr>
          <w:rFonts w:cstheme="minorHAnsi"/>
          <w:sz w:val="24"/>
          <w:szCs w:val="24"/>
        </w:rPr>
      </w:pPr>
      <w:r w:rsidRPr="00EE3DA3">
        <w:rPr>
          <w:rStyle w:val="Strong"/>
          <w:rFonts w:cstheme="minorHAnsi"/>
          <w:sz w:val="24"/>
          <w:szCs w:val="24"/>
        </w:rPr>
        <w:t>Correlation Analysis:</w:t>
      </w:r>
      <w:r w:rsidRPr="00EE3DA3">
        <w:rPr>
          <w:rFonts w:cstheme="minorHAnsi"/>
          <w:sz w:val="24"/>
          <w:szCs w:val="24"/>
        </w:rPr>
        <w:t xml:space="preserve"> Pearson correlation coefficients were calculated to assess the relationship between cytokine levels (IL-6, TNF-α, </w:t>
      </w:r>
      <w:proofErr w:type="spellStart"/>
      <w:r w:rsidRPr="00EE3DA3">
        <w:rPr>
          <w:rFonts w:cstheme="minorHAnsi"/>
          <w:sz w:val="24"/>
          <w:szCs w:val="24"/>
        </w:rPr>
        <w:t>hs</w:t>
      </w:r>
      <w:proofErr w:type="spellEnd"/>
      <w:r w:rsidRPr="00EE3DA3">
        <w:rPr>
          <w:rFonts w:cstheme="minorHAnsi"/>
          <w:sz w:val="24"/>
          <w:szCs w:val="24"/>
        </w:rPr>
        <w:t>-CRP) and glycemic parameters (FBS, disease duration).</w:t>
      </w:r>
    </w:p>
    <w:p w:rsidR="003E49B3" w:rsidRPr="00EE3DA3" w:rsidRDefault="003E49B3" w:rsidP="003E49B3">
      <w:pPr>
        <w:numPr>
          <w:ilvl w:val="0"/>
          <w:numId w:val="5"/>
        </w:numPr>
        <w:spacing w:before="100" w:beforeAutospacing="1" w:after="100" w:afterAutospacing="1" w:line="360" w:lineRule="auto"/>
        <w:jc w:val="both"/>
        <w:rPr>
          <w:rFonts w:cstheme="minorHAnsi"/>
          <w:sz w:val="24"/>
          <w:szCs w:val="24"/>
        </w:rPr>
      </w:pPr>
      <w:r w:rsidRPr="00EE3DA3">
        <w:rPr>
          <w:rStyle w:val="Strong"/>
          <w:rFonts w:cstheme="minorHAnsi"/>
          <w:sz w:val="24"/>
          <w:szCs w:val="24"/>
        </w:rPr>
        <w:t>Regression Analysis:</w:t>
      </w:r>
      <w:r w:rsidRPr="00EE3DA3">
        <w:rPr>
          <w:rFonts w:cstheme="minorHAnsi"/>
          <w:sz w:val="24"/>
          <w:szCs w:val="24"/>
        </w:rPr>
        <w:t xml:space="preserve"> Multiple linear </w:t>
      </w:r>
      <w:proofErr w:type="gramStart"/>
      <w:r w:rsidRPr="00EE3DA3">
        <w:rPr>
          <w:rFonts w:cstheme="minorHAnsi"/>
          <w:sz w:val="24"/>
          <w:szCs w:val="24"/>
        </w:rPr>
        <w:t>regression</w:t>
      </w:r>
      <w:proofErr w:type="gramEnd"/>
      <w:r w:rsidRPr="00EE3DA3">
        <w:rPr>
          <w:rFonts w:cstheme="minorHAnsi"/>
          <w:sz w:val="24"/>
          <w:szCs w:val="24"/>
        </w:rPr>
        <w:t xml:space="preserve"> was employed to determine the independent effect of inflammatory cytokines on fasting blood glucose, adjusting for confounding factors like age, sex, and BMI.</w:t>
      </w:r>
    </w:p>
    <w:p w:rsidR="003E49B3" w:rsidRPr="00EE3DA3" w:rsidRDefault="003E49B3" w:rsidP="003E49B3">
      <w:pPr>
        <w:numPr>
          <w:ilvl w:val="0"/>
          <w:numId w:val="5"/>
        </w:numPr>
        <w:spacing w:before="100" w:beforeAutospacing="1" w:after="100" w:afterAutospacing="1" w:line="360" w:lineRule="auto"/>
        <w:jc w:val="both"/>
        <w:rPr>
          <w:rFonts w:cstheme="minorHAnsi"/>
          <w:sz w:val="24"/>
          <w:szCs w:val="24"/>
        </w:rPr>
      </w:pPr>
      <w:r w:rsidRPr="00EE3DA3">
        <w:rPr>
          <w:rStyle w:val="Strong"/>
          <w:rFonts w:cstheme="minorHAnsi"/>
          <w:sz w:val="24"/>
          <w:szCs w:val="24"/>
        </w:rPr>
        <w:t>Significance Threshold:</w:t>
      </w:r>
      <w:r w:rsidRPr="00EE3DA3">
        <w:rPr>
          <w:rFonts w:cstheme="minorHAnsi"/>
          <w:sz w:val="24"/>
          <w:szCs w:val="24"/>
        </w:rPr>
        <w:t xml:space="preserve"> A p-value of less than 0.05 was considered statistically significant for all analyses.</w:t>
      </w:r>
    </w:p>
    <w:p w:rsidR="003E49B3" w:rsidRPr="00EE3DA3" w:rsidRDefault="003E49B3" w:rsidP="003E49B3">
      <w:pPr>
        <w:spacing w:before="100" w:beforeAutospacing="1" w:after="100" w:afterAutospacing="1" w:line="360" w:lineRule="auto"/>
        <w:jc w:val="both"/>
        <w:rPr>
          <w:rFonts w:cstheme="minorHAnsi"/>
          <w:sz w:val="24"/>
          <w:szCs w:val="24"/>
        </w:rPr>
      </w:pPr>
    </w:p>
    <w:p w:rsidR="003E49B3" w:rsidRPr="00EE3DA3" w:rsidRDefault="003E49B3" w:rsidP="003E49B3">
      <w:pPr>
        <w:spacing w:before="100" w:beforeAutospacing="1" w:after="100" w:afterAutospacing="1" w:line="360" w:lineRule="auto"/>
        <w:jc w:val="both"/>
        <w:rPr>
          <w:rFonts w:cstheme="minorHAnsi"/>
          <w:sz w:val="24"/>
          <w:szCs w:val="24"/>
        </w:rPr>
      </w:pPr>
    </w:p>
    <w:p w:rsidR="003E49B3" w:rsidRDefault="003E49B3" w:rsidP="003E49B3">
      <w:pPr>
        <w:spacing w:before="100" w:beforeAutospacing="1" w:after="100" w:afterAutospacing="1" w:line="360" w:lineRule="auto"/>
        <w:jc w:val="both"/>
        <w:rPr>
          <w:rFonts w:cstheme="minorHAnsi"/>
          <w:sz w:val="24"/>
          <w:szCs w:val="24"/>
        </w:rPr>
      </w:pPr>
    </w:p>
    <w:p w:rsidR="003E49B3" w:rsidRDefault="003E49B3" w:rsidP="003E49B3">
      <w:pPr>
        <w:pStyle w:val="Heading3"/>
        <w:spacing w:line="360" w:lineRule="auto"/>
        <w:jc w:val="both"/>
        <w:rPr>
          <w:rFonts w:asciiTheme="minorHAnsi" w:eastAsiaTheme="minorHAnsi" w:hAnsiTheme="minorHAnsi" w:cstheme="minorHAnsi"/>
          <w:b w:val="0"/>
          <w:bCs w:val="0"/>
          <w:sz w:val="24"/>
          <w:szCs w:val="24"/>
        </w:rPr>
      </w:pPr>
    </w:p>
    <w:p w:rsidR="003E49B3" w:rsidRDefault="003E49B3" w:rsidP="003E49B3">
      <w:pPr>
        <w:pStyle w:val="Heading3"/>
        <w:spacing w:line="360" w:lineRule="auto"/>
        <w:jc w:val="both"/>
        <w:rPr>
          <w:rFonts w:asciiTheme="minorHAnsi" w:eastAsiaTheme="minorHAnsi" w:hAnsiTheme="minorHAnsi" w:cstheme="minorHAnsi"/>
          <w:b w:val="0"/>
          <w:bCs w:val="0"/>
          <w:sz w:val="24"/>
          <w:szCs w:val="24"/>
        </w:rPr>
      </w:pPr>
    </w:p>
    <w:p w:rsidR="003E49B3" w:rsidRDefault="003E49B3" w:rsidP="003E49B3">
      <w:pPr>
        <w:pStyle w:val="Heading3"/>
        <w:spacing w:line="360" w:lineRule="auto"/>
        <w:jc w:val="both"/>
        <w:rPr>
          <w:rFonts w:asciiTheme="minorHAnsi" w:eastAsiaTheme="minorHAnsi" w:hAnsiTheme="minorHAnsi" w:cstheme="minorHAnsi"/>
          <w:b w:val="0"/>
          <w:bCs w:val="0"/>
          <w:sz w:val="24"/>
          <w:szCs w:val="24"/>
        </w:rPr>
      </w:pPr>
    </w:p>
    <w:p w:rsidR="003E49B3" w:rsidRDefault="003E49B3" w:rsidP="003E49B3">
      <w:pPr>
        <w:pStyle w:val="Heading3"/>
        <w:spacing w:line="360" w:lineRule="auto"/>
        <w:jc w:val="both"/>
        <w:rPr>
          <w:rFonts w:asciiTheme="minorHAnsi" w:eastAsiaTheme="minorHAnsi" w:hAnsiTheme="minorHAnsi" w:cstheme="minorHAnsi"/>
          <w:b w:val="0"/>
          <w:bCs w:val="0"/>
          <w:sz w:val="24"/>
          <w:szCs w:val="24"/>
        </w:rPr>
      </w:pPr>
    </w:p>
    <w:p w:rsidR="003E49B3" w:rsidRDefault="003E49B3" w:rsidP="003E49B3">
      <w:pPr>
        <w:pStyle w:val="Heading3"/>
        <w:spacing w:line="360" w:lineRule="auto"/>
        <w:jc w:val="both"/>
        <w:rPr>
          <w:rFonts w:asciiTheme="minorHAnsi" w:eastAsiaTheme="minorHAnsi" w:hAnsiTheme="minorHAnsi" w:cstheme="minorHAnsi"/>
          <w:b w:val="0"/>
          <w:bCs w:val="0"/>
          <w:sz w:val="24"/>
          <w:szCs w:val="24"/>
        </w:rPr>
      </w:pPr>
    </w:p>
    <w:p w:rsidR="003E49B3" w:rsidRPr="003E49B3" w:rsidRDefault="003E49B3" w:rsidP="003E49B3">
      <w:pPr>
        <w:pStyle w:val="Heading3"/>
        <w:spacing w:line="360" w:lineRule="auto"/>
        <w:jc w:val="both"/>
        <w:rPr>
          <w:rStyle w:val="Strong"/>
          <w:rFonts w:asciiTheme="minorHAnsi" w:eastAsiaTheme="majorEastAsia" w:hAnsiTheme="minorHAnsi" w:cstheme="minorHAnsi"/>
          <w:b/>
          <w:bCs/>
          <w:sz w:val="24"/>
          <w:szCs w:val="24"/>
        </w:rPr>
      </w:pPr>
      <w:r w:rsidRPr="003E49B3">
        <w:rPr>
          <w:rStyle w:val="Strong"/>
          <w:rFonts w:asciiTheme="minorHAnsi" w:eastAsiaTheme="majorEastAsia" w:hAnsiTheme="minorHAnsi" w:cstheme="minorHAnsi"/>
          <w:b/>
          <w:sz w:val="24"/>
          <w:szCs w:val="24"/>
          <w:highlight w:val="yellow"/>
        </w:rPr>
        <w:lastRenderedPageBreak/>
        <w:t>3. Results</w:t>
      </w:r>
    </w:p>
    <w:p w:rsidR="003E49B3" w:rsidRPr="00B41A17" w:rsidRDefault="003E49B3" w:rsidP="003E49B3">
      <w:pPr>
        <w:shd w:val="clear" w:color="auto" w:fill="FFFFFF"/>
        <w:spacing w:before="200" w:after="150" w:line="360" w:lineRule="auto"/>
        <w:outlineLvl w:val="2"/>
        <w:rPr>
          <w:rFonts w:eastAsia="Times New Roman" w:cstheme="minorHAnsi"/>
          <w:sz w:val="24"/>
          <w:szCs w:val="24"/>
        </w:rPr>
      </w:pPr>
      <w:r>
        <w:rPr>
          <w:rFonts w:eastAsia="Times New Roman" w:cstheme="minorHAnsi"/>
          <w:b/>
          <w:bCs/>
          <w:sz w:val="24"/>
          <w:szCs w:val="24"/>
        </w:rPr>
        <w:t xml:space="preserve">Table </w:t>
      </w:r>
      <w:r w:rsidRPr="003E49B3">
        <w:rPr>
          <w:rFonts w:eastAsia="Times New Roman" w:cstheme="minorHAnsi"/>
          <w:b/>
          <w:bCs/>
          <w:sz w:val="24"/>
          <w:szCs w:val="24"/>
          <w:highlight w:val="yellow"/>
        </w:rPr>
        <w:t>3.1:</w:t>
      </w:r>
      <w:r w:rsidRPr="00B41A17">
        <w:rPr>
          <w:rFonts w:eastAsia="Times New Roman" w:cstheme="minorHAnsi"/>
          <w:b/>
          <w:bCs/>
          <w:sz w:val="24"/>
          <w:szCs w:val="24"/>
        </w:rPr>
        <w:t xml:space="preserve"> Demographic and Clinical Characteristics of Study Participants</w:t>
      </w:r>
    </w:p>
    <w:tbl>
      <w:tblPr>
        <w:tblW w:w="0" w:type="auto"/>
        <w:tblCellMar>
          <w:top w:w="15" w:type="dxa"/>
          <w:left w:w="15" w:type="dxa"/>
          <w:bottom w:w="15" w:type="dxa"/>
          <w:right w:w="15" w:type="dxa"/>
        </w:tblCellMar>
        <w:tblLook w:val="04A0"/>
      </w:tblPr>
      <w:tblGrid>
        <w:gridCol w:w="2663"/>
        <w:gridCol w:w="2508"/>
        <w:gridCol w:w="2608"/>
        <w:gridCol w:w="867"/>
      </w:tblGrid>
      <w:tr w:rsidR="003E49B3" w:rsidRPr="00B41A17" w:rsidTr="00F42F32">
        <w:trPr>
          <w:tblHeader/>
        </w:trPr>
        <w:tc>
          <w:tcPr>
            <w:tcW w:w="0" w:type="auto"/>
            <w:tcBorders>
              <w:top w:val="nil"/>
              <w:left w:val="nil"/>
              <w:bottom w:val="single" w:sz="2" w:space="0" w:color="BBBBBB"/>
              <w:right w:val="nil"/>
            </w:tcBorders>
            <w:tcMar>
              <w:top w:w="109" w:type="dxa"/>
              <w:left w:w="0" w:type="dxa"/>
              <w:bottom w:w="109" w:type="dxa"/>
              <w:right w:w="109" w:type="dxa"/>
            </w:tcMar>
            <w:vAlign w:val="center"/>
            <w:hideMark/>
          </w:tcPr>
          <w:p w:rsidR="003E49B3" w:rsidRPr="00B41A17" w:rsidRDefault="003E49B3" w:rsidP="00F42F32">
            <w:pPr>
              <w:spacing w:after="0" w:line="360" w:lineRule="auto"/>
              <w:rPr>
                <w:rFonts w:eastAsia="Times New Roman" w:cstheme="minorHAnsi"/>
                <w:b/>
                <w:bCs/>
                <w:sz w:val="24"/>
                <w:szCs w:val="24"/>
              </w:rPr>
            </w:pPr>
            <w:r w:rsidRPr="00B41A17">
              <w:rPr>
                <w:rFonts w:eastAsia="Times New Roman" w:cstheme="minorHAnsi"/>
                <w:b/>
                <w:bCs/>
                <w:sz w:val="24"/>
                <w:szCs w:val="24"/>
              </w:rPr>
              <w:t>Variable</w:t>
            </w:r>
          </w:p>
        </w:tc>
        <w:tc>
          <w:tcPr>
            <w:tcW w:w="0" w:type="auto"/>
            <w:tcBorders>
              <w:top w:val="nil"/>
              <w:left w:val="nil"/>
              <w:bottom w:val="single" w:sz="2" w:space="0" w:color="BBBBBB"/>
              <w:right w:val="nil"/>
            </w:tcBorders>
            <w:tcMar>
              <w:top w:w="109" w:type="dxa"/>
              <w:left w:w="109" w:type="dxa"/>
              <w:bottom w:w="109" w:type="dxa"/>
              <w:right w:w="109" w:type="dxa"/>
            </w:tcMar>
            <w:vAlign w:val="center"/>
            <w:hideMark/>
          </w:tcPr>
          <w:p w:rsidR="003E49B3" w:rsidRPr="00B41A17" w:rsidRDefault="003E49B3" w:rsidP="00F42F32">
            <w:pPr>
              <w:spacing w:after="0" w:line="360" w:lineRule="auto"/>
              <w:rPr>
                <w:rFonts w:eastAsia="Times New Roman" w:cstheme="minorHAnsi"/>
                <w:b/>
                <w:bCs/>
                <w:sz w:val="24"/>
                <w:szCs w:val="24"/>
              </w:rPr>
            </w:pPr>
            <w:r w:rsidRPr="00B41A17">
              <w:rPr>
                <w:rFonts w:eastAsia="Times New Roman" w:cstheme="minorHAnsi"/>
                <w:b/>
                <w:bCs/>
                <w:sz w:val="24"/>
                <w:szCs w:val="24"/>
              </w:rPr>
              <w:t>T2DM Patients (n=140)</w:t>
            </w:r>
          </w:p>
        </w:tc>
        <w:tc>
          <w:tcPr>
            <w:tcW w:w="0" w:type="auto"/>
            <w:tcBorders>
              <w:top w:val="nil"/>
              <w:left w:val="nil"/>
              <w:bottom w:val="single" w:sz="2" w:space="0" w:color="BBBBBB"/>
              <w:right w:val="nil"/>
            </w:tcBorders>
            <w:tcMar>
              <w:top w:w="109" w:type="dxa"/>
              <w:bottom w:w="109" w:type="dxa"/>
              <w:right w:w="109" w:type="dxa"/>
            </w:tcMar>
            <w:vAlign w:val="center"/>
            <w:hideMark/>
          </w:tcPr>
          <w:p w:rsidR="003E49B3" w:rsidRPr="00B41A17" w:rsidRDefault="003E49B3" w:rsidP="00F42F32">
            <w:pPr>
              <w:spacing w:after="0" w:line="360" w:lineRule="auto"/>
              <w:rPr>
                <w:rFonts w:eastAsia="Times New Roman" w:cstheme="minorHAnsi"/>
                <w:b/>
                <w:bCs/>
                <w:sz w:val="24"/>
                <w:szCs w:val="24"/>
              </w:rPr>
            </w:pPr>
            <w:r w:rsidRPr="00B41A17">
              <w:rPr>
                <w:rFonts w:eastAsia="Times New Roman" w:cstheme="minorHAnsi"/>
                <w:b/>
                <w:bCs/>
                <w:sz w:val="24"/>
                <w:szCs w:val="24"/>
              </w:rPr>
              <w:t>Healthy Controls (n=100)</w:t>
            </w:r>
          </w:p>
        </w:tc>
        <w:tc>
          <w:tcPr>
            <w:tcW w:w="0" w:type="auto"/>
            <w:tcBorders>
              <w:top w:val="nil"/>
              <w:left w:val="nil"/>
              <w:bottom w:val="single" w:sz="2" w:space="0" w:color="BBBBBB"/>
              <w:right w:val="nil"/>
            </w:tcBorders>
            <w:tcMar>
              <w:top w:w="109" w:type="dxa"/>
              <w:bottom w:w="109" w:type="dxa"/>
              <w:right w:w="109" w:type="dxa"/>
            </w:tcMar>
            <w:vAlign w:val="center"/>
            <w:hideMark/>
          </w:tcPr>
          <w:p w:rsidR="003E49B3" w:rsidRPr="00B41A17" w:rsidRDefault="003E49B3" w:rsidP="00F42F32">
            <w:pPr>
              <w:spacing w:after="0" w:line="360" w:lineRule="auto"/>
              <w:rPr>
                <w:rFonts w:eastAsia="Times New Roman" w:cstheme="minorHAnsi"/>
                <w:b/>
                <w:bCs/>
                <w:sz w:val="24"/>
                <w:szCs w:val="24"/>
              </w:rPr>
            </w:pPr>
            <w:r w:rsidRPr="00B41A17">
              <w:rPr>
                <w:rFonts w:eastAsia="Times New Roman" w:cstheme="minorHAnsi"/>
                <w:b/>
                <w:bCs/>
                <w:sz w:val="24"/>
                <w:szCs w:val="24"/>
              </w:rPr>
              <w:t>p-value</w:t>
            </w:r>
          </w:p>
        </w:tc>
      </w:tr>
      <w:tr w:rsidR="003E49B3" w:rsidRPr="00B41A17" w:rsidTr="00F42F32">
        <w:tc>
          <w:tcPr>
            <w:tcW w:w="0" w:type="auto"/>
            <w:tcBorders>
              <w:top w:val="nil"/>
              <w:left w:val="nil"/>
              <w:bottom w:val="single" w:sz="2" w:space="0" w:color="E5E5E5"/>
              <w:right w:val="nil"/>
            </w:tcBorders>
            <w:tcMar>
              <w:top w:w="109" w:type="dxa"/>
              <w:left w:w="0" w:type="dxa"/>
              <w:bottom w:w="109" w:type="dxa"/>
              <w:right w:w="109" w:type="dxa"/>
            </w:tcMar>
            <w:vAlign w:val="center"/>
            <w:hideMark/>
          </w:tcPr>
          <w:p w:rsidR="003E49B3" w:rsidRPr="00B41A17" w:rsidRDefault="003E49B3" w:rsidP="00F42F32">
            <w:pPr>
              <w:spacing w:after="0" w:line="360" w:lineRule="auto"/>
              <w:rPr>
                <w:rFonts w:eastAsia="Times New Roman" w:cstheme="minorHAnsi"/>
                <w:sz w:val="24"/>
                <w:szCs w:val="24"/>
              </w:rPr>
            </w:pPr>
            <w:r w:rsidRPr="00B41A17">
              <w:rPr>
                <w:rFonts w:eastAsia="Times New Roman" w:cstheme="minorHAnsi"/>
                <w:b/>
                <w:bCs/>
                <w:sz w:val="24"/>
                <w:szCs w:val="24"/>
              </w:rPr>
              <w:t>Age (years)</w:t>
            </w:r>
          </w:p>
        </w:tc>
        <w:tc>
          <w:tcPr>
            <w:tcW w:w="0" w:type="auto"/>
            <w:tcBorders>
              <w:top w:val="nil"/>
              <w:left w:val="nil"/>
              <w:bottom w:val="single" w:sz="2" w:space="0" w:color="E5E5E5"/>
              <w:right w:val="nil"/>
            </w:tcBorders>
            <w:tcMar>
              <w:top w:w="109" w:type="dxa"/>
              <w:left w:w="109" w:type="dxa"/>
              <w:bottom w:w="109" w:type="dxa"/>
              <w:right w:w="109" w:type="dxa"/>
            </w:tcMar>
            <w:vAlign w:val="center"/>
            <w:hideMark/>
          </w:tcPr>
          <w:p w:rsidR="003E49B3" w:rsidRPr="00B41A17" w:rsidRDefault="003E49B3" w:rsidP="00F42F32">
            <w:pPr>
              <w:spacing w:after="0" w:line="360" w:lineRule="auto"/>
              <w:rPr>
                <w:rFonts w:eastAsia="Times New Roman" w:cstheme="minorHAnsi"/>
                <w:sz w:val="24"/>
                <w:szCs w:val="24"/>
              </w:rPr>
            </w:pPr>
            <w:r w:rsidRPr="00B41A17">
              <w:rPr>
                <w:rFonts w:eastAsia="Times New Roman" w:cstheme="minorHAnsi"/>
                <w:sz w:val="24"/>
                <w:szCs w:val="24"/>
              </w:rPr>
              <w:t>54.3 ± 8.1</w:t>
            </w:r>
          </w:p>
        </w:tc>
        <w:tc>
          <w:tcPr>
            <w:tcW w:w="0" w:type="auto"/>
            <w:tcBorders>
              <w:top w:val="nil"/>
              <w:left w:val="nil"/>
              <w:bottom w:val="single" w:sz="2" w:space="0" w:color="E5E5E5"/>
              <w:right w:val="nil"/>
            </w:tcBorders>
            <w:tcMar>
              <w:top w:w="109" w:type="dxa"/>
              <w:bottom w:w="109" w:type="dxa"/>
              <w:right w:w="109" w:type="dxa"/>
            </w:tcMar>
            <w:vAlign w:val="center"/>
            <w:hideMark/>
          </w:tcPr>
          <w:p w:rsidR="003E49B3" w:rsidRPr="00B41A17" w:rsidRDefault="003E49B3" w:rsidP="00F42F32">
            <w:pPr>
              <w:spacing w:after="0" w:line="360" w:lineRule="auto"/>
              <w:rPr>
                <w:rFonts w:eastAsia="Times New Roman" w:cstheme="minorHAnsi"/>
                <w:sz w:val="24"/>
                <w:szCs w:val="24"/>
              </w:rPr>
            </w:pPr>
            <w:r w:rsidRPr="00B41A17">
              <w:rPr>
                <w:rFonts w:eastAsia="Times New Roman" w:cstheme="minorHAnsi"/>
                <w:sz w:val="24"/>
                <w:szCs w:val="24"/>
              </w:rPr>
              <w:t>52.7 ± 7.9</w:t>
            </w:r>
          </w:p>
        </w:tc>
        <w:tc>
          <w:tcPr>
            <w:tcW w:w="0" w:type="auto"/>
            <w:tcBorders>
              <w:top w:val="nil"/>
              <w:left w:val="nil"/>
              <w:bottom w:val="single" w:sz="2" w:space="0" w:color="E5E5E5"/>
              <w:right w:val="nil"/>
            </w:tcBorders>
            <w:tcMar>
              <w:top w:w="109" w:type="dxa"/>
              <w:bottom w:w="109" w:type="dxa"/>
              <w:right w:w="109" w:type="dxa"/>
            </w:tcMar>
            <w:vAlign w:val="center"/>
            <w:hideMark/>
          </w:tcPr>
          <w:p w:rsidR="003E49B3" w:rsidRPr="00B41A17" w:rsidRDefault="003E49B3" w:rsidP="00F42F32">
            <w:pPr>
              <w:spacing w:after="0" w:line="360" w:lineRule="auto"/>
              <w:rPr>
                <w:rFonts w:eastAsia="Times New Roman" w:cstheme="minorHAnsi"/>
                <w:sz w:val="24"/>
                <w:szCs w:val="24"/>
              </w:rPr>
            </w:pPr>
            <w:r w:rsidRPr="00B41A17">
              <w:rPr>
                <w:rFonts w:eastAsia="Times New Roman" w:cstheme="minorHAnsi"/>
                <w:sz w:val="24"/>
                <w:szCs w:val="24"/>
              </w:rPr>
              <w:t>0.112</w:t>
            </w:r>
          </w:p>
        </w:tc>
      </w:tr>
      <w:tr w:rsidR="003E49B3" w:rsidRPr="00B41A17" w:rsidTr="00F42F32">
        <w:tc>
          <w:tcPr>
            <w:tcW w:w="0" w:type="auto"/>
            <w:tcBorders>
              <w:top w:val="nil"/>
              <w:left w:val="nil"/>
              <w:bottom w:val="single" w:sz="2" w:space="0" w:color="E5E5E5"/>
              <w:right w:val="nil"/>
            </w:tcBorders>
            <w:tcMar>
              <w:top w:w="109" w:type="dxa"/>
              <w:left w:w="0" w:type="dxa"/>
              <w:bottom w:w="109" w:type="dxa"/>
              <w:right w:w="109" w:type="dxa"/>
            </w:tcMar>
            <w:vAlign w:val="center"/>
            <w:hideMark/>
          </w:tcPr>
          <w:p w:rsidR="003E49B3" w:rsidRPr="00B41A17" w:rsidRDefault="003E49B3" w:rsidP="00F42F32">
            <w:pPr>
              <w:spacing w:after="0" w:line="360" w:lineRule="auto"/>
              <w:rPr>
                <w:rFonts w:eastAsia="Times New Roman" w:cstheme="minorHAnsi"/>
                <w:sz w:val="24"/>
                <w:szCs w:val="24"/>
              </w:rPr>
            </w:pPr>
            <w:r w:rsidRPr="00B41A17">
              <w:rPr>
                <w:rFonts w:eastAsia="Times New Roman" w:cstheme="minorHAnsi"/>
                <w:b/>
                <w:bCs/>
                <w:sz w:val="24"/>
                <w:szCs w:val="24"/>
              </w:rPr>
              <w:t>Male/Female (%)</w:t>
            </w:r>
          </w:p>
        </w:tc>
        <w:tc>
          <w:tcPr>
            <w:tcW w:w="0" w:type="auto"/>
            <w:tcBorders>
              <w:top w:val="nil"/>
              <w:left w:val="nil"/>
              <w:bottom w:val="single" w:sz="2" w:space="0" w:color="E5E5E5"/>
              <w:right w:val="nil"/>
            </w:tcBorders>
            <w:tcMar>
              <w:top w:w="109" w:type="dxa"/>
              <w:left w:w="109" w:type="dxa"/>
              <w:bottom w:w="109" w:type="dxa"/>
              <w:right w:w="109" w:type="dxa"/>
            </w:tcMar>
            <w:vAlign w:val="center"/>
            <w:hideMark/>
          </w:tcPr>
          <w:p w:rsidR="003E49B3" w:rsidRPr="00B41A17" w:rsidRDefault="003E49B3" w:rsidP="00F42F32">
            <w:pPr>
              <w:spacing w:after="0" w:line="360" w:lineRule="auto"/>
              <w:rPr>
                <w:rFonts w:eastAsia="Times New Roman" w:cstheme="minorHAnsi"/>
                <w:sz w:val="24"/>
                <w:szCs w:val="24"/>
              </w:rPr>
            </w:pPr>
            <w:r w:rsidRPr="00B41A17">
              <w:rPr>
                <w:rFonts w:eastAsia="Times New Roman" w:cstheme="minorHAnsi"/>
                <w:sz w:val="24"/>
                <w:szCs w:val="24"/>
              </w:rPr>
              <w:t>58/42</w:t>
            </w:r>
          </w:p>
        </w:tc>
        <w:tc>
          <w:tcPr>
            <w:tcW w:w="0" w:type="auto"/>
            <w:tcBorders>
              <w:top w:val="nil"/>
              <w:left w:val="nil"/>
              <w:bottom w:val="single" w:sz="2" w:space="0" w:color="E5E5E5"/>
              <w:right w:val="nil"/>
            </w:tcBorders>
            <w:tcMar>
              <w:top w:w="109" w:type="dxa"/>
              <w:bottom w:w="109" w:type="dxa"/>
              <w:right w:w="109" w:type="dxa"/>
            </w:tcMar>
            <w:vAlign w:val="center"/>
            <w:hideMark/>
          </w:tcPr>
          <w:p w:rsidR="003E49B3" w:rsidRPr="00B41A17" w:rsidRDefault="003E49B3" w:rsidP="00F42F32">
            <w:pPr>
              <w:spacing w:after="0" w:line="360" w:lineRule="auto"/>
              <w:rPr>
                <w:rFonts w:eastAsia="Times New Roman" w:cstheme="minorHAnsi"/>
                <w:sz w:val="24"/>
                <w:szCs w:val="24"/>
              </w:rPr>
            </w:pPr>
            <w:r w:rsidRPr="00B41A17">
              <w:rPr>
                <w:rFonts w:eastAsia="Times New Roman" w:cstheme="minorHAnsi"/>
                <w:sz w:val="24"/>
                <w:szCs w:val="24"/>
              </w:rPr>
              <w:t>55/45</w:t>
            </w:r>
          </w:p>
        </w:tc>
        <w:tc>
          <w:tcPr>
            <w:tcW w:w="0" w:type="auto"/>
            <w:tcBorders>
              <w:top w:val="nil"/>
              <w:left w:val="nil"/>
              <w:bottom w:val="single" w:sz="2" w:space="0" w:color="E5E5E5"/>
              <w:right w:val="nil"/>
            </w:tcBorders>
            <w:tcMar>
              <w:top w:w="109" w:type="dxa"/>
              <w:bottom w:w="109" w:type="dxa"/>
              <w:right w:w="109" w:type="dxa"/>
            </w:tcMar>
            <w:vAlign w:val="center"/>
            <w:hideMark/>
          </w:tcPr>
          <w:p w:rsidR="003E49B3" w:rsidRPr="00B41A17" w:rsidRDefault="003E49B3" w:rsidP="00F42F32">
            <w:pPr>
              <w:spacing w:after="0" w:line="360" w:lineRule="auto"/>
              <w:rPr>
                <w:rFonts w:eastAsia="Times New Roman" w:cstheme="minorHAnsi"/>
                <w:sz w:val="24"/>
                <w:szCs w:val="24"/>
              </w:rPr>
            </w:pPr>
            <w:r w:rsidRPr="00B41A17">
              <w:rPr>
                <w:rFonts w:eastAsia="Times New Roman" w:cstheme="minorHAnsi"/>
                <w:sz w:val="24"/>
                <w:szCs w:val="24"/>
              </w:rPr>
              <w:t>0.654</w:t>
            </w:r>
          </w:p>
        </w:tc>
      </w:tr>
      <w:tr w:rsidR="003E49B3" w:rsidRPr="00B41A17" w:rsidTr="00F42F32">
        <w:tc>
          <w:tcPr>
            <w:tcW w:w="0" w:type="auto"/>
            <w:tcBorders>
              <w:top w:val="nil"/>
              <w:left w:val="nil"/>
              <w:bottom w:val="single" w:sz="2" w:space="0" w:color="E5E5E5"/>
              <w:right w:val="nil"/>
            </w:tcBorders>
            <w:tcMar>
              <w:top w:w="109" w:type="dxa"/>
              <w:left w:w="0" w:type="dxa"/>
              <w:bottom w:w="109" w:type="dxa"/>
              <w:right w:w="109" w:type="dxa"/>
            </w:tcMar>
            <w:vAlign w:val="center"/>
            <w:hideMark/>
          </w:tcPr>
          <w:p w:rsidR="003E49B3" w:rsidRPr="00B41A17" w:rsidRDefault="003E49B3" w:rsidP="00F42F32">
            <w:pPr>
              <w:spacing w:after="0" w:line="360" w:lineRule="auto"/>
              <w:rPr>
                <w:rFonts w:eastAsia="Times New Roman" w:cstheme="minorHAnsi"/>
                <w:sz w:val="24"/>
                <w:szCs w:val="24"/>
              </w:rPr>
            </w:pPr>
            <w:r w:rsidRPr="00B41A17">
              <w:rPr>
                <w:rFonts w:eastAsia="Times New Roman" w:cstheme="minorHAnsi"/>
                <w:b/>
                <w:bCs/>
                <w:sz w:val="24"/>
                <w:szCs w:val="24"/>
              </w:rPr>
              <w:t>BMI (kg/m²)</w:t>
            </w:r>
          </w:p>
        </w:tc>
        <w:tc>
          <w:tcPr>
            <w:tcW w:w="0" w:type="auto"/>
            <w:tcBorders>
              <w:top w:val="nil"/>
              <w:left w:val="nil"/>
              <w:bottom w:val="single" w:sz="2" w:space="0" w:color="E5E5E5"/>
              <w:right w:val="nil"/>
            </w:tcBorders>
            <w:tcMar>
              <w:top w:w="109" w:type="dxa"/>
              <w:left w:w="109" w:type="dxa"/>
              <w:bottom w:w="109" w:type="dxa"/>
              <w:right w:w="109" w:type="dxa"/>
            </w:tcMar>
            <w:vAlign w:val="center"/>
            <w:hideMark/>
          </w:tcPr>
          <w:p w:rsidR="003E49B3" w:rsidRPr="00B41A17" w:rsidRDefault="003E49B3" w:rsidP="00F42F32">
            <w:pPr>
              <w:spacing w:after="0" w:line="360" w:lineRule="auto"/>
              <w:rPr>
                <w:rFonts w:eastAsia="Times New Roman" w:cstheme="minorHAnsi"/>
                <w:sz w:val="24"/>
                <w:szCs w:val="24"/>
              </w:rPr>
            </w:pPr>
            <w:r w:rsidRPr="00B41A17">
              <w:rPr>
                <w:rFonts w:eastAsia="Times New Roman" w:cstheme="minorHAnsi"/>
                <w:sz w:val="24"/>
                <w:szCs w:val="24"/>
              </w:rPr>
              <w:t>28.6 ± 4.2</w:t>
            </w:r>
          </w:p>
        </w:tc>
        <w:tc>
          <w:tcPr>
            <w:tcW w:w="0" w:type="auto"/>
            <w:tcBorders>
              <w:top w:val="nil"/>
              <w:left w:val="nil"/>
              <w:bottom w:val="single" w:sz="2" w:space="0" w:color="E5E5E5"/>
              <w:right w:val="nil"/>
            </w:tcBorders>
            <w:tcMar>
              <w:top w:w="109" w:type="dxa"/>
              <w:bottom w:w="109" w:type="dxa"/>
              <w:right w:w="109" w:type="dxa"/>
            </w:tcMar>
            <w:vAlign w:val="center"/>
            <w:hideMark/>
          </w:tcPr>
          <w:p w:rsidR="003E49B3" w:rsidRPr="00B41A17" w:rsidRDefault="003E49B3" w:rsidP="00F42F32">
            <w:pPr>
              <w:spacing w:after="0" w:line="360" w:lineRule="auto"/>
              <w:rPr>
                <w:rFonts w:eastAsia="Times New Roman" w:cstheme="minorHAnsi"/>
                <w:sz w:val="24"/>
                <w:szCs w:val="24"/>
              </w:rPr>
            </w:pPr>
            <w:r w:rsidRPr="00B41A17">
              <w:rPr>
                <w:rFonts w:eastAsia="Times New Roman" w:cstheme="minorHAnsi"/>
                <w:sz w:val="24"/>
                <w:szCs w:val="24"/>
              </w:rPr>
              <w:t>24.1 ± 3.5</w:t>
            </w:r>
          </w:p>
        </w:tc>
        <w:tc>
          <w:tcPr>
            <w:tcW w:w="0" w:type="auto"/>
            <w:tcBorders>
              <w:top w:val="nil"/>
              <w:left w:val="nil"/>
              <w:bottom w:val="single" w:sz="2" w:space="0" w:color="E5E5E5"/>
              <w:right w:val="nil"/>
            </w:tcBorders>
            <w:tcMar>
              <w:top w:w="109" w:type="dxa"/>
              <w:bottom w:w="109" w:type="dxa"/>
              <w:right w:w="109" w:type="dxa"/>
            </w:tcMar>
            <w:vAlign w:val="center"/>
            <w:hideMark/>
          </w:tcPr>
          <w:p w:rsidR="003E49B3" w:rsidRPr="00B41A17" w:rsidRDefault="003E49B3" w:rsidP="00F42F32">
            <w:pPr>
              <w:spacing w:after="0" w:line="360" w:lineRule="auto"/>
              <w:rPr>
                <w:rFonts w:eastAsia="Times New Roman" w:cstheme="minorHAnsi"/>
                <w:sz w:val="24"/>
                <w:szCs w:val="24"/>
              </w:rPr>
            </w:pPr>
            <w:r w:rsidRPr="00B41A17">
              <w:rPr>
                <w:rFonts w:eastAsia="Times New Roman" w:cstheme="minorHAnsi"/>
                <w:sz w:val="24"/>
                <w:szCs w:val="24"/>
              </w:rPr>
              <w:t>&lt;0.001</w:t>
            </w:r>
          </w:p>
        </w:tc>
      </w:tr>
      <w:tr w:rsidR="003E49B3" w:rsidRPr="00B41A17" w:rsidTr="00F42F32">
        <w:tc>
          <w:tcPr>
            <w:tcW w:w="0" w:type="auto"/>
            <w:tcBorders>
              <w:top w:val="nil"/>
              <w:left w:val="nil"/>
              <w:bottom w:val="single" w:sz="2" w:space="0" w:color="E5E5E5"/>
              <w:right w:val="nil"/>
            </w:tcBorders>
            <w:tcMar>
              <w:top w:w="109" w:type="dxa"/>
              <w:left w:w="0" w:type="dxa"/>
              <w:bottom w:w="109" w:type="dxa"/>
              <w:right w:w="109" w:type="dxa"/>
            </w:tcMar>
            <w:vAlign w:val="center"/>
            <w:hideMark/>
          </w:tcPr>
          <w:p w:rsidR="003E49B3" w:rsidRPr="00B41A17" w:rsidRDefault="003E49B3" w:rsidP="00F42F32">
            <w:pPr>
              <w:spacing w:after="0" w:line="360" w:lineRule="auto"/>
              <w:rPr>
                <w:rFonts w:eastAsia="Times New Roman" w:cstheme="minorHAnsi"/>
                <w:sz w:val="24"/>
                <w:szCs w:val="24"/>
              </w:rPr>
            </w:pPr>
            <w:r w:rsidRPr="00B41A17">
              <w:rPr>
                <w:rFonts w:eastAsia="Times New Roman" w:cstheme="minorHAnsi"/>
                <w:b/>
                <w:bCs/>
                <w:sz w:val="24"/>
                <w:szCs w:val="24"/>
              </w:rPr>
              <w:t>FBS (mg/dL)</w:t>
            </w:r>
          </w:p>
        </w:tc>
        <w:tc>
          <w:tcPr>
            <w:tcW w:w="0" w:type="auto"/>
            <w:tcBorders>
              <w:top w:val="nil"/>
              <w:left w:val="nil"/>
              <w:bottom w:val="single" w:sz="2" w:space="0" w:color="E5E5E5"/>
              <w:right w:val="nil"/>
            </w:tcBorders>
            <w:tcMar>
              <w:top w:w="109" w:type="dxa"/>
              <w:left w:w="109" w:type="dxa"/>
              <w:bottom w:w="109" w:type="dxa"/>
              <w:right w:w="109" w:type="dxa"/>
            </w:tcMar>
            <w:vAlign w:val="center"/>
            <w:hideMark/>
          </w:tcPr>
          <w:p w:rsidR="003E49B3" w:rsidRPr="00B41A17" w:rsidRDefault="003E49B3" w:rsidP="00F42F32">
            <w:pPr>
              <w:spacing w:after="0" w:line="360" w:lineRule="auto"/>
              <w:rPr>
                <w:rFonts w:eastAsia="Times New Roman" w:cstheme="minorHAnsi"/>
                <w:sz w:val="24"/>
                <w:szCs w:val="24"/>
              </w:rPr>
            </w:pPr>
            <w:r w:rsidRPr="00B41A17">
              <w:rPr>
                <w:rFonts w:eastAsia="Times New Roman" w:cstheme="minorHAnsi"/>
                <w:sz w:val="24"/>
                <w:szCs w:val="24"/>
              </w:rPr>
              <w:t>172.9 ± 27.9</w:t>
            </w:r>
          </w:p>
        </w:tc>
        <w:tc>
          <w:tcPr>
            <w:tcW w:w="0" w:type="auto"/>
            <w:tcBorders>
              <w:top w:val="nil"/>
              <w:left w:val="nil"/>
              <w:bottom w:val="single" w:sz="2" w:space="0" w:color="E5E5E5"/>
              <w:right w:val="nil"/>
            </w:tcBorders>
            <w:tcMar>
              <w:top w:w="109" w:type="dxa"/>
              <w:bottom w:w="109" w:type="dxa"/>
              <w:right w:w="109" w:type="dxa"/>
            </w:tcMar>
            <w:vAlign w:val="center"/>
            <w:hideMark/>
          </w:tcPr>
          <w:p w:rsidR="003E49B3" w:rsidRPr="00B41A17" w:rsidRDefault="003E49B3" w:rsidP="00F42F32">
            <w:pPr>
              <w:spacing w:after="0" w:line="360" w:lineRule="auto"/>
              <w:rPr>
                <w:rFonts w:eastAsia="Times New Roman" w:cstheme="minorHAnsi"/>
                <w:sz w:val="24"/>
                <w:szCs w:val="24"/>
              </w:rPr>
            </w:pPr>
            <w:r w:rsidRPr="00B41A17">
              <w:rPr>
                <w:rFonts w:eastAsia="Times New Roman" w:cstheme="minorHAnsi"/>
                <w:sz w:val="24"/>
                <w:szCs w:val="24"/>
              </w:rPr>
              <w:t>70.2 ± 8.5</w:t>
            </w:r>
          </w:p>
        </w:tc>
        <w:tc>
          <w:tcPr>
            <w:tcW w:w="0" w:type="auto"/>
            <w:tcBorders>
              <w:top w:val="nil"/>
              <w:left w:val="nil"/>
              <w:bottom w:val="single" w:sz="2" w:space="0" w:color="E5E5E5"/>
              <w:right w:val="nil"/>
            </w:tcBorders>
            <w:tcMar>
              <w:top w:w="109" w:type="dxa"/>
              <w:bottom w:w="109" w:type="dxa"/>
              <w:right w:w="109" w:type="dxa"/>
            </w:tcMar>
            <w:vAlign w:val="center"/>
            <w:hideMark/>
          </w:tcPr>
          <w:p w:rsidR="003E49B3" w:rsidRPr="00B41A17" w:rsidRDefault="003E49B3" w:rsidP="00F42F32">
            <w:pPr>
              <w:spacing w:after="0" w:line="360" w:lineRule="auto"/>
              <w:rPr>
                <w:rFonts w:eastAsia="Times New Roman" w:cstheme="minorHAnsi"/>
                <w:sz w:val="24"/>
                <w:szCs w:val="24"/>
              </w:rPr>
            </w:pPr>
            <w:r w:rsidRPr="00B41A17">
              <w:rPr>
                <w:rFonts w:eastAsia="Times New Roman" w:cstheme="minorHAnsi"/>
                <w:sz w:val="24"/>
                <w:szCs w:val="24"/>
              </w:rPr>
              <w:t>&lt;0.001</w:t>
            </w:r>
          </w:p>
        </w:tc>
      </w:tr>
      <w:tr w:rsidR="003E49B3" w:rsidRPr="00B41A17" w:rsidTr="00F42F32">
        <w:tc>
          <w:tcPr>
            <w:tcW w:w="0" w:type="auto"/>
            <w:tcBorders>
              <w:top w:val="nil"/>
              <w:left w:val="nil"/>
              <w:bottom w:val="single" w:sz="2" w:space="0" w:color="E5E5E5"/>
              <w:right w:val="nil"/>
            </w:tcBorders>
            <w:tcMar>
              <w:top w:w="109" w:type="dxa"/>
              <w:left w:w="0" w:type="dxa"/>
              <w:bottom w:w="109" w:type="dxa"/>
              <w:right w:w="109" w:type="dxa"/>
            </w:tcMar>
            <w:vAlign w:val="center"/>
            <w:hideMark/>
          </w:tcPr>
          <w:p w:rsidR="003E49B3" w:rsidRPr="00B41A17" w:rsidRDefault="003E49B3" w:rsidP="00F42F32">
            <w:pPr>
              <w:spacing w:after="0" w:line="360" w:lineRule="auto"/>
              <w:rPr>
                <w:rFonts w:eastAsia="Times New Roman" w:cstheme="minorHAnsi"/>
                <w:sz w:val="24"/>
                <w:szCs w:val="24"/>
              </w:rPr>
            </w:pPr>
            <w:r w:rsidRPr="00B41A17">
              <w:rPr>
                <w:rFonts w:eastAsia="Times New Roman" w:cstheme="minorHAnsi"/>
                <w:b/>
                <w:bCs/>
                <w:sz w:val="24"/>
                <w:szCs w:val="24"/>
              </w:rPr>
              <w:t>Diabetes Duration (years)</w:t>
            </w:r>
          </w:p>
        </w:tc>
        <w:tc>
          <w:tcPr>
            <w:tcW w:w="0" w:type="auto"/>
            <w:tcBorders>
              <w:top w:val="nil"/>
              <w:left w:val="nil"/>
              <w:bottom w:val="single" w:sz="2" w:space="0" w:color="E5E5E5"/>
              <w:right w:val="nil"/>
            </w:tcBorders>
            <w:tcMar>
              <w:top w:w="109" w:type="dxa"/>
              <w:left w:w="109" w:type="dxa"/>
              <w:bottom w:w="109" w:type="dxa"/>
              <w:right w:w="109" w:type="dxa"/>
            </w:tcMar>
            <w:vAlign w:val="center"/>
            <w:hideMark/>
          </w:tcPr>
          <w:p w:rsidR="003E49B3" w:rsidRPr="00B41A17" w:rsidRDefault="003E49B3" w:rsidP="00F42F32">
            <w:pPr>
              <w:spacing w:after="0" w:line="360" w:lineRule="auto"/>
              <w:rPr>
                <w:rFonts w:eastAsia="Times New Roman" w:cstheme="minorHAnsi"/>
                <w:sz w:val="24"/>
                <w:szCs w:val="24"/>
              </w:rPr>
            </w:pPr>
            <w:r w:rsidRPr="00B41A17">
              <w:rPr>
                <w:rFonts w:eastAsia="Times New Roman" w:cstheme="minorHAnsi"/>
                <w:sz w:val="24"/>
                <w:szCs w:val="24"/>
              </w:rPr>
              <w:t>7.5 ± 3.8</w:t>
            </w:r>
          </w:p>
        </w:tc>
        <w:tc>
          <w:tcPr>
            <w:tcW w:w="0" w:type="auto"/>
            <w:tcBorders>
              <w:top w:val="nil"/>
              <w:left w:val="nil"/>
              <w:bottom w:val="single" w:sz="2" w:space="0" w:color="E5E5E5"/>
              <w:right w:val="nil"/>
            </w:tcBorders>
            <w:tcMar>
              <w:top w:w="109" w:type="dxa"/>
              <w:bottom w:w="109" w:type="dxa"/>
              <w:right w:w="109" w:type="dxa"/>
            </w:tcMar>
            <w:vAlign w:val="center"/>
            <w:hideMark/>
          </w:tcPr>
          <w:p w:rsidR="003E49B3" w:rsidRPr="00B41A17" w:rsidRDefault="003E49B3" w:rsidP="00F42F32">
            <w:pPr>
              <w:spacing w:after="0" w:line="360" w:lineRule="auto"/>
              <w:rPr>
                <w:rFonts w:eastAsia="Times New Roman" w:cstheme="minorHAnsi"/>
                <w:sz w:val="24"/>
                <w:szCs w:val="24"/>
              </w:rPr>
            </w:pPr>
            <w:r w:rsidRPr="00B41A17">
              <w:rPr>
                <w:rFonts w:eastAsia="Times New Roman" w:cstheme="minorHAnsi"/>
                <w:sz w:val="24"/>
                <w:szCs w:val="24"/>
              </w:rPr>
              <w:t>–</w:t>
            </w:r>
          </w:p>
        </w:tc>
        <w:tc>
          <w:tcPr>
            <w:tcW w:w="0" w:type="auto"/>
            <w:tcBorders>
              <w:top w:val="nil"/>
              <w:left w:val="nil"/>
              <w:bottom w:val="single" w:sz="2" w:space="0" w:color="E5E5E5"/>
              <w:right w:val="nil"/>
            </w:tcBorders>
            <w:tcMar>
              <w:top w:w="109" w:type="dxa"/>
              <w:bottom w:w="109" w:type="dxa"/>
              <w:right w:w="109" w:type="dxa"/>
            </w:tcMar>
            <w:vAlign w:val="center"/>
            <w:hideMark/>
          </w:tcPr>
          <w:p w:rsidR="003E49B3" w:rsidRPr="00B41A17" w:rsidRDefault="003E49B3" w:rsidP="00F42F32">
            <w:pPr>
              <w:spacing w:after="0" w:line="360" w:lineRule="auto"/>
              <w:rPr>
                <w:rFonts w:eastAsia="Times New Roman" w:cstheme="minorHAnsi"/>
                <w:sz w:val="24"/>
                <w:szCs w:val="24"/>
              </w:rPr>
            </w:pPr>
            <w:r w:rsidRPr="00B41A17">
              <w:rPr>
                <w:rFonts w:eastAsia="Times New Roman" w:cstheme="minorHAnsi"/>
                <w:sz w:val="24"/>
                <w:szCs w:val="24"/>
              </w:rPr>
              <w:t>–</w:t>
            </w:r>
          </w:p>
        </w:tc>
      </w:tr>
    </w:tbl>
    <w:p w:rsidR="003E49B3" w:rsidRPr="00D766B3" w:rsidRDefault="003E49B3" w:rsidP="003E49B3">
      <w:pPr>
        <w:spacing w:before="100" w:beforeAutospacing="1" w:after="100" w:afterAutospacing="1" w:line="360" w:lineRule="auto"/>
        <w:jc w:val="both"/>
        <w:rPr>
          <w:rFonts w:eastAsia="Times New Roman" w:cstheme="minorHAnsi"/>
          <w:sz w:val="24"/>
          <w:szCs w:val="24"/>
        </w:rPr>
      </w:pPr>
      <w:r w:rsidRPr="00D766B3">
        <w:rPr>
          <w:rFonts w:eastAsia="Times New Roman" w:cstheme="minorHAnsi"/>
          <w:sz w:val="24"/>
          <w:szCs w:val="24"/>
        </w:rPr>
        <w:t>This table compares basic demographic and clinical variables between T2DM patients and healthy controls, showing significantly higher BMI and FBS levels in the diabetic group.</w:t>
      </w:r>
    </w:p>
    <w:p w:rsidR="003E49B3" w:rsidRPr="00D766B3" w:rsidRDefault="003E49B3" w:rsidP="003E49B3">
      <w:pPr>
        <w:spacing w:before="349" w:after="349" w:line="360" w:lineRule="auto"/>
        <w:jc w:val="both"/>
        <w:rPr>
          <w:rFonts w:eastAsia="Times New Roman" w:cstheme="minorHAnsi"/>
          <w:sz w:val="24"/>
          <w:szCs w:val="24"/>
        </w:rPr>
      </w:pPr>
    </w:p>
    <w:p w:rsidR="003E49B3" w:rsidRDefault="003E49B3" w:rsidP="003E49B3">
      <w:pPr>
        <w:spacing w:before="349" w:after="349" w:line="360" w:lineRule="auto"/>
        <w:rPr>
          <w:rFonts w:eastAsia="Times New Roman" w:cstheme="minorHAnsi"/>
          <w:sz w:val="24"/>
          <w:szCs w:val="24"/>
        </w:rPr>
      </w:pPr>
    </w:p>
    <w:p w:rsidR="003E49B3" w:rsidRDefault="003E49B3" w:rsidP="003E49B3">
      <w:pPr>
        <w:spacing w:before="349" w:after="349" w:line="360" w:lineRule="auto"/>
        <w:rPr>
          <w:rFonts w:eastAsia="Times New Roman" w:cstheme="minorHAnsi"/>
          <w:sz w:val="24"/>
          <w:szCs w:val="24"/>
        </w:rPr>
      </w:pPr>
    </w:p>
    <w:p w:rsidR="003E49B3" w:rsidRDefault="003E49B3" w:rsidP="003E49B3">
      <w:pPr>
        <w:spacing w:before="349" w:after="349" w:line="360" w:lineRule="auto"/>
        <w:rPr>
          <w:rFonts w:eastAsia="Times New Roman" w:cstheme="minorHAnsi"/>
          <w:sz w:val="24"/>
          <w:szCs w:val="24"/>
        </w:rPr>
      </w:pPr>
    </w:p>
    <w:p w:rsidR="003E49B3" w:rsidRDefault="003E49B3" w:rsidP="003E49B3">
      <w:pPr>
        <w:spacing w:before="349" w:after="349" w:line="360" w:lineRule="auto"/>
        <w:rPr>
          <w:rFonts w:eastAsia="Times New Roman" w:cstheme="minorHAnsi"/>
          <w:sz w:val="24"/>
          <w:szCs w:val="24"/>
        </w:rPr>
      </w:pPr>
    </w:p>
    <w:p w:rsidR="003E49B3" w:rsidRDefault="003E49B3" w:rsidP="003E49B3">
      <w:pPr>
        <w:spacing w:before="349" w:after="349" w:line="360" w:lineRule="auto"/>
        <w:rPr>
          <w:rFonts w:eastAsia="Times New Roman" w:cstheme="minorHAnsi"/>
          <w:sz w:val="24"/>
          <w:szCs w:val="24"/>
        </w:rPr>
      </w:pPr>
    </w:p>
    <w:p w:rsidR="003E49B3" w:rsidRDefault="003E49B3" w:rsidP="003E49B3">
      <w:pPr>
        <w:spacing w:before="349" w:after="349" w:line="360" w:lineRule="auto"/>
        <w:rPr>
          <w:rFonts w:eastAsia="Times New Roman" w:cstheme="minorHAnsi"/>
          <w:sz w:val="24"/>
          <w:szCs w:val="24"/>
        </w:rPr>
      </w:pPr>
    </w:p>
    <w:p w:rsidR="003E49B3" w:rsidRPr="00B41A17" w:rsidRDefault="003E49B3" w:rsidP="003E49B3">
      <w:pPr>
        <w:spacing w:before="349" w:after="349" w:line="360" w:lineRule="auto"/>
        <w:rPr>
          <w:rFonts w:eastAsia="Times New Roman" w:cstheme="minorHAnsi"/>
          <w:sz w:val="24"/>
          <w:szCs w:val="24"/>
        </w:rPr>
      </w:pPr>
    </w:p>
    <w:p w:rsidR="003E49B3" w:rsidRPr="00B41A17" w:rsidRDefault="003E49B3" w:rsidP="003E49B3">
      <w:pPr>
        <w:shd w:val="clear" w:color="auto" w:fill="FFFFFF"/>
        <w:spacing w:before="200" w:after="150" w:line="360" w:lineRule="auto"/>
        <w:outlineLvl w:val="2"/>
        <w:rPr>
          <w:rFonts w:eastAsia="Times New Roman" w:cstheme="minorHAnsi"/>
          <w:sz w:val="24"/>
          <w:szCs w:val="24"/>
        </w:rPr>
      </w:pPr>
      <w:r w:rsidRPr="003E49B3">
        <w:rPr>
          <w:rFonts w:eastAsia="Times New Roman" w:cstheme="minorHAnsi"/>
          <w:b/>
          <w:bCs/>
          <w:sz w:val="24"/>
          <w:szCs w:val="24"/>
          <w:highlight w:val="yellow"/>
        </w:rPr>
        <w:lastRenderedPageBreak/>
        <w:t>Table 3.2:</w:t>
      </w:r>
      <w:r w:rsidRPr="00B41A17">
        <w:rPr>
          <w:rFonts w:eastAsia="Times New Roman" w:cstheme="minorHAnsi"/>
          <w:b/>
          <w:bCs/>
          <w:sz w:val="24"/>
          <w:szCs w:val="24"/>
        </w:rPr>
        <w:t xml:space="preserve"> Comparison of Pro-Inflammatory Cytokines </w:t>
      </w:r>
      <w:proofErr w:type="gramStart"/>
      <w:r w:rsidRPr="00B41A17">
        <w:rPr>
          <w:rFonts w:eastAsia="Times New Roman" w:cstheme="minorHAnsi"/>
          <w:b/>
          <w:bCs/>
          <w:sz w:val="24"/>
          <w:szCs w:val="24"/>
        </w:rPr>
        <w:t>Between</w:t>
      </w:r>
      <w:proofErr w:type="gramEnd"/>
      <w:r w:rsidRPr="00B41A17">
        <w:rPr>
          <w:rFonts w:eastAsia="Times New Roman" w:cstheme="minorHAnsi"/>
          <w:b/>
          <w:bCs/>
          <w:sz w:val="24"/>
          <w:szCs w:val="24"/>
        </w:rPr>
        <w:t xml:space="preserve"> T2DM Patients and Controls</w:t>
      </w:r>
    </w:p>
    <w:tbl>
      <w:tblPr>
        <w:tblW w:w="0" w:type="auto"/>
        <w:tblCellMar>
          <w:top w:w="15" w:type="dxa"/>
          <w:left w:w="15" w:type="dxa"/>
          <w:bottom w:w="15" w:type="dxa"/>
          <w:right w:w="15" w:type="dxa"/>
        </w:tblCellMar>
        <w:tblLook w:val="04A0"/>
      </w:tblPr>
      <w:tblGrid>
        <w:gridCol w:w="1558"/>
        <w:gridCol w:w="2966"/>
        <w:gridCol w:w="3066"/>
        <w:gridCol w:w="867"/>
      </w:tblGrid>
      <w:tr w:rsidR="003E49B3" w:rsidRPr="00B41A17" w:rsidTr="00F42F32">
        <w:trPr>
          <w:tblHeader/>
        </w:trPr>
        <w:tc>
          <w:tcPr>
            <w:tcW w:w="0" w:type="auto"/>
            <w:tcBorders>
              <w:top w:val="nil"/>
              <w:left w:val="nil"/>
              <w:bottom w:val="single" w:sz="2" w:space="0" w:color="BBBBBB"/>
              <w:right w:val="nil"/>
            </w:tcBorders>
            <w:tcMar>
              <w:top w:w="109" w:type="dxa"/>
              <w:left w:w="0" w:type="dxa"/>
              <w:bottom w:w="109" w:type="dxa"/>
              <w:right w:w="109" w:type="dxa"/>
            </w:tcMar>
            <w:vAlign w:val="center"/>
            <w:hideMark/>
          </w:tcPr>
          <w:p w:rsidR="003E49B3" w:rsidRPr="00B41A17" w:rsidRDefault="003E49B3" w:rsidP="00F42F32">
            <w:pPr>
              <w:spacing w:after="0" w:line="360" w:lineRule="auto"/>
              <w:rPr>
                <w:rFonts w:eastAsia="Times New Roman" w:cstheme="minorHAnsi"/>
                <w:b/>
                <w:bCs/>
                <w:sz w:val="24"/>
                <w:szCs w:val="24"/>
              </w:rPr>
            </w:pPr>
            <w:r w:rsidRPr="00B41A17">
              <w:rPr>
                <w:rFonts w:eastAsia="Times New Roman" w:cstheme="minorHAnsi"/>
                <w:b/>
                <w:bCs/>
                <w:sz w:val="24"/>
                <w:szCs w:val="24"/>
              </w:rPr>
              <w:t>Biomarker</w:t>
            </w:r>
          </w:p>
        </w:tc>
        <w:tc>
          <w:tcPr>
            <w:tcW w:w="0" w:type="auto"/>
            <w:tcBorders>
              <w:top w:val="nil"/>
              <w:left w:val="nil"/>
              <w:bottom w:val="single" w:sz="2" w:space="0" w:color="BBBBBB"/>
              <w:right w:val="nil"/>
            </w:tcBorders>
            <w:tcMar>
              <w:top w:w="109" w:type="dxa"/>
              <w:left w:w="109" w:type="dxa"/>
              <w:bottom w:w="109" w:type="dxa"/>
              <w:right w:w="109" w:type="dxa"/>
            </w:tcMar>
            <w:vAlign w:val="center"/>
            <w:hideMark/>
          </w:tcPr>
          <w:p w:rsidR="003E49B3" w:rsidRPr="00B41A17" w:rsidRDefault="003E49B3" w:rsidP="00F42F32">
            <w:pPr>
              <w:spacing w:after="0" w:line="360" w:lineRule="auto"/>
              <w:rPr>
                <w:rFonts w:eastAsia="Times New Roman" w:cstheme="minorHAnsi"/>
                <w:b/>
                <w:bCs/>
                <w:sz w:val="24"/>
                <w:szCs w:val="24"/>
              </w:rPr>
            </w:pPr>
            <w:r w:rsidRPr="00B41A17">
              <w:rPr>
                <w:rFonts w:eastAsia="Times New Roman" w:cstheme="minorHAnsi"/>
                <w:b/>
                <w:bCs/>
                <w:sz w:val="24"/>
                <w:szCs w:val="24"/>
              </w:rPr>
              <w:t>T2DM Patients (Mean ± SD)</w:t>
            </w:r>
          </w:p>
        </w:tc>
        <w:tc>
          <w:tcPr>
            <w:tcW w:w="0" w:type="auto"/>
            <w:tcBorders>
              <w:top w:val="nil"/>
              <w:left w:val="nil"/>
              <w:bottom w:val="single" w:sz="2" w:space="0" w:color="BBBBBB"/>
              <w:right w:val="nil"/>
            </w:tcBorders>
            <w:tcMar>
              <w:top w:w="109" w:type="dxa"/>
              <w:bottom w:w="109" w:type="dxa"/>
              <w:right w:w="109" w:type="dxa"/>
            </w:tcMar>
            <w:vAlign w:val="center"/>
            <w:hideMark/>
          </w:tcPr>
          <w:p w:rsidR="003E49B3" w:rsidRPr="00B41A17" w:rsidRDefault="003E49B3" w:rsidP="00F42F32">
            <w:pPr>
              <w:spacing w:after="0" w:line="360" w:lineRule="auto"/>
              <w:rPr>
                <w:rFonts w:eastAsia="Times New Roman" w:cstheme="minorHAnsi"/>
                <w:b/>
                <w:bCs/>
                <w:sz w:val="24"/>
                <w:szCs w:val="24"/>
              </w:rPr>
            </w:pPr>
            <w:r w:rsidRPr="00B41A17">
              <w:rPr>
                <w:rFonts w:eastAsia="Times New Roman" w:cstheme="minorHAnsi"/>
                <w:b/>
                <w:bCs/>
                <w:sz w:val="24"/>
                <w:szCs w:val="24"/>
              </w:rPr>
              <w:t>Healthy Controls (Mean ± SD)</w:t>
            </w:r>
          </w:p>
        </w:tc>
        <w:tc>
          <w:tcPr>
            <w:tcW w:w="0" w:type="auto"/>
            <w:tcBorders>
              <w:top w:val="nil"/>
              <w:left w:val="nil"/>
              <w:bottom w:val="single" w:sz="2" w:space="0" w:color="BBBBBB"/>
              <w:right w:val="nil"/>
            </w:tcBorders>
            <w:tcMar>
              <w:top w:w="109" w:type="dxa"/>
              <w:bottom w:w="109" w:type="dxa"/>
              <w:right w:w="109" w:type="dxa"/>
            </w:tcMar>
            <w:vAlign w:val="center"/>
            <w:hideMark/>
          </w:tcPr>
          <w:p w:rsidR="003E49B3" w:rsidRPr="00B41A17" w:rsidRDefault="003E49B3" w:rsidP="00F42F32">
            <w:pPr>
              <w:spacing w:after="0" w:line="360" w:lineRule="auto"/>
              <w:rPr>
                <w:rFonts w:eastAsia="Times New Roman" w:cstheme="minorHAnsi"/>
                <w:b/>
                <w:bCs/>
                <w:sz w:val="24"/>
                <w:szCs w:val="24"/>
              </w:rPr>
            </w:pPr>
            <w:r w:rsidRPr="00B41A17">
              <w:rPr>
                <w:rFonts w:eastAsia="Times New Roman" w:cstheme="minorHAnsi"/>
                <w:b/>
                <w:bCs/>
                <w:sz w:val="24"/>
                <w:szCs w:val="24"/>
              </w:rPr>
              <w:t>p-value</w:t>
            </w:r>
          </w:p>
        </w:tc>
      </w:tr>
      <w:tr w:rsidR="003E49B3" w:rsidRPr="00B41A17" w:rsidTr="00F42F32">
        <w:tc>
          <w:tcPr>
            <w:tcW w:w="0" w:type="auto"/>
            <w:tcBorders>
              <w:top w:val="nil"/>
              <w:left w:val="nil"/>
              <w:bottom w:val="single" w:sz="2" w:space="0" w:color="E5E5E5"/>
              <w:right w:val="nil"/>
            </w:tcBorders>
            <w:tcMar>
              <w:top w:w="109" w:type="dxa"/>
              <w:left w:w="0" w:type="dxa"/>
              <w:bottom w:w="109" w:type="dxa"/>
              <w:right w:w="109" w:type="dxa"/>
            </w:tcMar>
            <w:vAlign w:val="center"/>
            <w:hideMark/>
          </w:tcPr>
          <w:p w:rsidR="003E49B3" w:rsidRPr="00B41A17" w:rsidRDefault="003E49B3" w:rsidP="00F42F32">
            <w:pPr>
              <w:spacing w:after="0" w:line="360" w:lineRule="auto"/>
              <w:rPr>
                <w:rFonts w:eastAsia="Times New Roman" w:cstheme="minorHAnsi"/>
                <w:sz w:val="24"/>
                <w:szCs w:val="24"/>
              </w:rPr>
            </w:pPr>
            <w:r w:rsidRPr="00B41A17">
              <w:rPr>
                <w:rFonts w:eastAsia="Times New Roman" w:cstheme="minorHAnsi"/>
                <w:b/>
                <w:bCs/>
                <w:sz w:val="24"/>
                <w:szCs w:val="24"/>
              </w:rPr>
              <w:t>TNF-α (pg/mL)</w:t>
            </w:r>
          </w:p>
        </w:tc>
        <w:tc>
          <w:tcPr>
            <w:tcW w:w="0" w:type="auto"/>
            <w:tcBorders>
              <w:top w:val="nil"/>
              <w:left w:val="nil"/>
              <w:bottom w:val="single" w:sz="2" w:space="0" w:color="E5E5E5"/>
              <w:right w:val="nil"/>
            </w:tcBorders>
            <w:tcMar>
              <w:top w:w="109" w:type="dxa"/>
              <w:left w:w="109" w:type="dxa"/>
              <w:bottom w:w="109" w:type="dxa"/>
              <w:right w:w="109" w:type="dxa"/>
            </w:tcMar>
            <w:vAlign w:val="center"/>
            <w:hideMark/>
          </w:tcPr>
          <w:p w:rsidR="003E49B3" w:rsidRPr="00B41A17" w:rsidRDefault="003E49B3" w:rsidP="00F42F32">
            <w:pPr>
              <w:spacing w:after="0" w:line="360" w:lineRule="auto"/>
              <w:rPr>
                <w:rFonts w:eastAsia="Times New Roman" w:cstheme="minorHAnsi"/>
                <w:sz w:val="24"/>
                <w:szCs w:val="24"/>
              </w:rPr>
            </w:pPr>
            <w:r w:rsidRPr="00B41A17">
              <w:rPr>
                <w:rFonts w:eastAsia="Times New Roman" w:cstheme="minorHAnsi"/>
                <w:sz w:val="24"/>
                <w:szCs w:val="24"/>
              </w:rPr>
              <w:t>25.4 ± 6.2</w:t>
            </w:r>
          </w:p>
        </w:tc>
        <w:tc>
          <w:tcPr>
            <w:tcW w:w="0" w:type="auto"/>
            <w:tcBorders>
              <w:top w:val="nil"/>
              <w:left w:val="nil"/>
              <w:bottom w:val="single" w:sz="2" w:space="0" w:color="E5E5E5"/>
              <w:right w:val="nil"/>
            </w:tcBorders>
            <w:tcMar>
              <w:top w:w="109" w:type="dxa"/>
              <w:bottom w:w="109" w:type="dxa"/>
              <w:right w:w="109" w:type="dxa"/>
            </w:tcMar>
            <w:vAlign w:val="center"/>
            <w:hideMark/>
          </w:tcPr>
          <w:p w:rsidR="003E49B3" w:rsidRPr="00B41A17" w:rsidRDefault="003E49B3" w:rsidP="00F42F32">
            <w:pPr>
              <w:spacing w:after="0" w:line="360" w:lineRule="auto"/>
              <w:rPr>
                <w:rFonts w:eastAsia="Times New Roman" w:cstheme="minorHAnsi"/>
                <w:sz w:val="24"/>
                <w:szCs w:val="24"/>
              </w:rPr>
            </w:pPr>
            <w:r w:rsidRPr="00B41A17">
              <w:rPr>
                <w:rFonts w:eastAsia="Times New Roman" w:cstheme="minorHAnsi"/>
                <w:sz w:val="24"/>
                <w:szCs w:val="24"/>
              </w:rPr>
              <w:t>8.3 ± 2.1</w:t>
            </w:r>
          </w:p>
        </w:tc>
        <w:tc>
          <w:tcPr>
            <w:tcW w:w="0" w:type="auto"/>
            <w:tcBorders>
              <w:top w:val="nil"/>
              <w:left w:val="nil"/>
              <w:bottom w:val="single" w:sz="2" w:space="0" w:color="E5E5E5"/>
              <w:right w:val="nil"/>
            </w:tcBorders>
            <w:tcMar>
              <w:top w:w="109" w:type="dxa"/>
              <w:bottom w:w="109" w:type="dxa"/>
              <w:right w:w="109" w:type="dxa"/>
            </w:tcMar>
            <w:vAlign w:val="center"/>
            <w:hideMark/>
          </w:tcPr>
          <w:p w:rsidR="003E49B3" w:rsidRPr="00B41A17" w:rsidRDefault="003E49B3" w:rsidP="00F42F32">
            <w:pPr>
              <w:spacing w:after="0" w:line="360" w:lineRule="auto"/>
              <w:rPr>
                <w:rFonts w:eastAsia="Times New Roman" w:cstheme="minorHAnsi"/>
                <w:sz w:val="24"/>
                <w:szCs w:val="24"/>
              </w:rPr>
            </w:pPr>
            <w:r w:rsidRPr="00B41A17">
              <w:rPr>
                <w:rFonts w:eastAsia="Times New Roman" w:cstheme="minorHAnsi"/>
                <w:sz w:val="24"/>
                <w:szCs w:val="24"/>
              </w:rPr>
              <w:t>&lt;0.001</w:t>
            </w:r>
          </w:p>
        </w:tc>
      </w:tr>
      <w:tr w:rsidR="003E49B3" w:rsidRPr="00B41A17" w:rsidTr="00F42F32">
        <w:tc>
          <w:tcPr>
            <w:tcW w:w="0" w:type="auto"/>
            <w:tcBorders>
              <w:top w:val="nil"/>
              <w:left w:val="nil"/>
              <w:bottom w:val="single" w:sz="2" w:space="0" w:color="E5E5E5"/>
              <w:right w:val="nil"/>
            </w:tcBorders>
            <w:tcMar>
              <w:top w:w="109" w:type="dxa"/>
              <w:left w:w="0" w:type="dxa"/>
              <w:bottom w:w="109" w:type="dxa"/>
              <w:right w:w="109" w:type="dxa"/>
            </w:tcMar>
            <w:vAlign w:val="center"/>
            <w:hideMark/>
          </w:tcPr>
          <w:p w:rsidR="003E49B3" w:rsidRPr="00B41A17" w:rsidRDefault="003E49B3" w:rsidP="00F42F32">
            <w:pPr>
              <w:spacing w:after="0" w:line="360" w:lineRule="auto"/>
              <w:rPr>
                <w:rFonts w:eastAsia="Times New Roman" w:cstheme="minorHAnsi"/>
                <w:sz w:val="24"/>
                <w:szCs w:val="24"/>
              </w:rPr>
            </w:pPr>
            <w:r w:rsidRPr="00B41A17">
              <w:rPr>
                <w:rFonts w:eastAsia="Times New Roman" w:cstheme="minorHAnsi"/>
                <w:b/>
                <w:bCs/>
                <w:sz w:val="24"/>
                <w:szCs w:val="24"/>
              </w:rPr>
              <w:t>IL-6 (pg/mL)</w:t>
            </w:r>
          </w:p>
        </w:tc>
        <w:tc>
          <w:tcPr>
            <w:tcW w:w="0" w:type="auto"/>
            <w:tcBorders>
              <w:top w:val="nil"/>
              <w:left w:val="nil"/>
              <w:bottom w:val="single" w:sz="2" w:space="0" w:color="E5E5E5"/>
              <w:right w:val="nil"/>
            </w:tcBorders>
            <w:tcMar>
              <w:top w:w="109" w:type="dxa"/>
              <w:left w:w="109" w:type="dxa"/>
              <w:bottom w:w="109" w:type="dxa"/>
              <w:right w:w="109" w:type="dxa"/>
            </w:tcMar>
            <w:vAlign w:val="center"/>
            <w:hideMark/>
          </w:tcPr>
          <w:p w:rsidR="003E49B3" w:rsidRPr="00B41A17" w:rsidRDefault="003E49B3" w:rsidP="00F42F32">
            <w:pPr>
              <w:spacing w:after="0" w:line="360" w:lineRule="auto"/>
              <w:rPr>
                <w:rFonts w:eastAsia="Times New Roman" w:cstheme="minorHAnsi"/>
                <w:sz w:val="24"/>
                <w:szCs w:val="24"/>
              </w:rPr>
            </w:pPr>
            <w:r w:rsidRPr="00B41A17">
              <w:rPr>
                <w:rFonts w:eastAsia="Times New Roman" w:cstheme="minorHAnsi"/>
                <w:sz w:val="24"/>
                <w:szCs w:val="24"/>
              </w:rPr>
              <w:t>18.7 ± 4.9</w:t>
            </w:r>
          </w:p>
        </w:tc>
        <w:tc>
          <w:tcPr>
            <w:tcW w:w="0" w:type="auto"/>
            <w:tcBorders>
              <w:top w:val="nil"/>
              <w:left w:val="nil"/>
              <w:bottom w:val="single" w:sz="2" w:space="0" w:color="E5E5E5"/>
              <w:right w:val="nil"/>
            </w:tcBorders>
            <w:tcMar>
              <w:top w:w="109" w:type="dxa"/>
              <w:bottom w:w="109" w:type="dxa"/>
              <w:right w:w="109" w:type="dxa"/>
            </w:tcMar>
            <w:vAlign w:val="center"/>
            <w:hideMark/>
          </w:tcPr>
          <w:p w:rsidR="003E49B3" w:rsidRPr="00B41A17" w:rsidRDefault="003E49B3" w:rsidP="00F42F32">
            <w:pPr>
              <w:spacing w:after="0" w:line="360" w:lineRule="auto"/>
              <w:rPr>
                <w:rFonts w:eastAsia="Times New Roman" w:cstheme="minorHAnsi"/>
                <w:sz w:val="24"/>
                <w:szCs w:val="24"/>
              </w:rPr>
            </w:pPr>
            <w:r w:rsidRPr="00B41A17">
              <w:rPr>
                <w:rFonts w:eastAsia="Times New Roman" w:cstheme="minorHAnsi"/>
                <w:sz w:val="24"/>
                <w:szCs w:val="24"/>
              </w:rPr>
              <w:t>5.1 ± 1.8</w:t>
            </w:r>
          </w:p>
        </w:tc>
        <w:tc>
          <w:tcPr>
            <w:tcW w:w="0" w:type="auto"/>
            <w:tcBorders>
              <w:top w:val="nil"/>
              <w:left w:val="nil"/>
              <w:bottom w:val="single" w:sz="2" w:space="0" w:color="E5E5E5"/>
              <w:right w:val="nil"/>
            </w:tcBorders>
            <w:tcMar>
              <w:top w:w="109" w:type="dxa"/>
              <w:bottom w:w="109" w:type="dxa"/>
              <w:right w:w="109" w:type="dxa"/>
            </w:tcMar>
            <w:vAlign w:val="center"/>
            <w:hideMark/>
          </w:tcPr>
          <w:p w:rsidR="003E49B3" w:rsidRPr="00B41A17" w:rsidRDefault="003E49B3" w:rsidP="00F42F32">
            <w:pPr>
              <w:spacing w:after="0" w:line="360" w:lineRule="auto"/>
              <w:rPr>
                <w:rFonts w:eastAsia="Times New Roman" w:cstheme="minorHAnsi"/>
                <w:sz w:val="24"/>
                <w:szCs w:val="24"/>
              </w:rPr>
            </w:pPr>
            <w:r w:rsidRPr="00B41A17">
              <w:rPr>
                <w:rFonts w:eastAsia="Times New Roman" w:cstheme="minorHAnsi"/>
                <w:sz w:val="24"/>
                <w:szCs w:val="24"/>
              </w:rPr>
              <w:t>&lt;0.001</w:t>
            </w:r>
          </w:p>
        </w:tc>
      </w:tr>
      <w:tr w:rsidR="003E49B3" w:rsidRPr="00B41A17" w:rsidTr="00F42F32">
        <w:tc>
          <w:tcPr>
            <w:tcW w:w="0" w:type="auto"/>
            <w:tcBorders>
              <w:top w:val="nil"/>
              <w:left w:val="nil"/>
              <w:bottom w:val="single" w:sz="2" w:space="0" w:color="E5E5E5"/>
              <w:right w:val="nil"/>
            </w:tcBorders>
            <w:tcMar>
              <w:top w:w="109" w:type="dxa"/>
              <w:left w:w="0" w:type="dxa"/>
              <w:bottom w:w="109" w:type="dxa"/>
              <w:right w:w="109" w:type="dxa"/>
            </w:tcMar>
            <w:vAlign w:val="center"/>
            <w:hideMark/>
          </w:tcPr>
          <w:p w:rsidR="003E49B3" w:rsidRPr="00B41A17" w:rsidRDefault="003E49B3" w:rsidP="00F42F32">
            <w:pPr>
              <w:spacing w:after="0" w:line="360" w:lineRule="auto"/>
              <w:rPr>
                <w:rFonts w:eastAsia="Times New Roman" w:cstheme="minorHAnsi"/>
                <w:sz w:val="24"/>
                <w:szCs w:val="24"/>
              </w:rPr>
            </w:pPr>
            <w:proofErr w:type="spellStart"/>
            <w:r w:rsidRPr="00B41A17">
              <w:rPr>
                <w:rFonts w:eastAsia="Times New Roman" w:cstheme="minorHAnsi"/>
                <w:b/>
                <w:bCs/>
                <w:sz w:val="24"/>
                <w:szCs w:val="24"/>
              </w:rPr>
              <w:t>hs</w:t>
            </w:r>
            <w:proofErr w:type="spellEnd"/>
            <w:r w:rsidRPr="00B41A17">
              <w:rPr>
                <w:rFonts w:eastAsia="Times New Roman" w:cstheme="minorHAnsi"/>
                <w:b/>
                <w:bCs/>
                <w:sz w:val="24"/>
                <w:szCs w:val="24"/>
              </w:rPr>
              <w:t>-CRP (mg/L)</w:t>
            </w:r>
          </w:p>
        </w:tc>
        <w:tc>
          <w:tcPr>
            <w:tcW w:w="0" w:type="auto"/>
            <w:tcBorders>
              <w:top w:val="nil"/>
              <w:left w:val="nil"/>
              <w:bottom w:val="single" w:sz="2" w:space="0" w:color="E5E5E5"/>
              <w:right w:val="nil"/>
            </w:tcBorders>
            <w:tcMar>
              <w:top w:w="109" w:type="dxa"/>
              <w:left w:w="109" w:type="dxa"/>
              <w:bottom w:w="109" w:type="dxa"/>
              <w:right w:w="109" w:type="dxa"/>
            </w:tcMar>
            <w:vAlign w:val="center"/>
            <w:hideMark/>
          </w:tcPr>
          <w:p w:rsidR="003E49B3" w:rsidRPr="00B41A17" w:rsidRDefault="003E49B3" w:rsidP="00F42F32">
            <w:pPr>
              <w:spacing w:after="0" w:line="360" w:lineRule="auto"/>
              <w:rPr>
                <w:rFonts w:eastAsia="Times New Roman" w:cstheme="minorHAnsi"/>
                <w:sz w:val="24"/>
                <w:szCs w:val="24"/>
              </w:rPr>
            </w:pPr>
            <w:r w:rsidRPr="00B41A17">
              <w:rPr>
                <w:rFonts w:eastAsia="Times New Roman" w:cstheme="minorHAnsi"/>
                <w:sz w:val="24"/>
                <w:szCs w:val="24"/>
              </w:rPr>
              <w:t>4.5 ± 1.3</w:t>
            </w:r>
          </w:p>
        </w:tc>
        <w:tc>
          <w:tcPr>
            <w:tcW w:w="0" w:type="auto"/>
            <w:tcBorders>
              <w:top w:val="nil"/>
              <w:left w:val="nil"/>
              <w:bottom w:val="single" w:sz="2" w:space="0" w:color="E5E5E5"/>
              <w:right w:val="nil"/>
            </w:tcBorders>
            <w:tcMar>
              <w:top w:w="109" w:type="dxa"/>
              <w:bottom w:w="109" w:type="dxa"/>
              <w:right w:w="109" w:type="dxa"/>
            </w:tcMar>
            <w:vAlign w:val="center"/>
            <w:hideMark/>
          </w:tcPr>
          <w:p w:rsidR="003E49B3" w:rsidRPr="00B41A17" w:rsidRDefault="003E49B3" w:rsidP="00F42F32">
            <w:pPr>
              <w:spacing w:after="0" w:line="360" w:lineRule="auto"/>
              <w:rPr>
                <w:rFonts w:eastAsia="Times New Roman" w:cstheme="minorHAnsi"/>
                <w:sz w:val="24"/>
                <w:szCs w:val="24"/>
              </w:rPr>
            </w:pPr>
            <w:r w:rsidRPr="00B41A17">
              <w:rPr>
                <w:rFonts w:eastAsia="Times New Roman" w:cstheme="minorHAnsi"/>
                <w:sz w:val="24"/>
                <w:szCs w:val="24"/>
              </w:rPr>
              <w:t>1.2 ± 0.4</w:t>
            </w:r>
          </w:p>
        </w:tc>
        <w:tc>
          <w:tcPr>
            <w:tcW w:w="0" w:type="auto"/>
            <w:tcBorders>
              <w:top w:val="nil"/>
              <w:left w:val="nil"/>
              <w:bottom w:val="single" w:sz="2" w:space="0" w:color="E5E5E5"/>
              <w:right w:val="nil"/>
            </w:tcBorders>
            <w:tcMar>
              <w:top w:w="109" w:type="dxa"/>
              <w:bottom w:w="109" w:type="dxa"/>
              <w:right w:w="109" w:type="dxa"/>
            </w:tcMar>
            <w:vAlign w:val="center"/>
            <w:hideMark/>
          </w:tcPr>
          <w:p w:rsidR="003E49B3" w:rsidRPr="00B41A17" w:rsidRDefault="003E49B3" w:rsidP="00F42F32">
            <w:pPr>
              <w:spacing w:after="0" w:line="360" w:lineRule="auto"/>
              <w:rPr>
                <w:rFonts w:eastAsia="Times New Roman" w:cstheme="minorHAnsi"/>
                <w:sz w:val="24"/>
                <w:szCs w:val="24"/>
              </w:rPr>
            </w:pPr>
            <w:r w:rsidRPr="00B41A17">
              <w:rPr>
                <w:rFonts w:eastAsia="Times New Roman" w:cstheme="minorHAnsi"/>
                <w:sz w:val="24"/>
                <w:szCs w:val="24"/>
              </w:rPr>
              <w:t>&lt;0.001</w:t>
            </w:r>
          </w:p>
        </w:tc>
      </w:tr>
    </w:tbl>
    <w:p w:rsidR="003E49B3" w:rsidRPr="00D766B3" w:rsidRDefault="003E49B3" w:rsidP="003E49B3">
      <w:pPr>
        <w:spacing w:before="100" w:beforeAutospacing="1" w:after="100" w:afterAutospacing="1" w:line="360" w:lineRule="auto"/>
        <w:jc w:val="both"/>
        <w:rPr>
          <w:rFonts w:eastAsia="Times New Roman" w:cstheme="minorHAnsi"/>
          <w:sz w:val="24"/>
          <w:szCs w:val="24"/>
        </w:rPr>
      </w:pPr>
      <w:r w:rsidRPr="00D766B3">
        <w:rPr>
          <w:rFonts w:eastAsia="Times New Roman" w:cstheme="minorHAnsi"/>
          <w:sz w:val="24"/>
          <w:szCs w:val="24"/>
        </w:rPr>
        <w:t xml:space="preserve">This table highlights significantly elevated levels of IL-6, TNF-α, and </w:t>
      </w:r>
      <w:proofErr w:type="spellStart"/>
      <w:r w:rsidRPr="00D766B3">
        <w:rPr>
          <w:rFonts w:eastAsia="Times New Roman" w:cstheme="minorHAnsi"/>
          <w:sz w:val="24"/>
          <w:szCs w:val="24"/>
        </w:rPr>
        <w:t>hs</w:t>
      </w:r>
      <w:proofErr w:type="spellEnd"/>
      <w:r w:rsidRPr="00D766B3">
        <w:rPr>
          <w:rFonts w:eastAsia="Times New Roman" w:cstheme="minorHAnsi"/>
          <w:sz w:val="24"/>
          <w:szCs w:val="24"/>
        </w:rPr>
        <w:t>-CRP in T2DM patients compared to controls, indicating heightened systemic inflammation.</w:t>
      </w:r>
    </w:p>
    <w:p w:rsidR="003E49B3" w:rsidRDefault="003E49B3" w:rsidP="003E49B3">
      <w:pPr>
        <w:spacing w:before="349" w:after="349" w:line="360" w:lineRule="auto"/>
        <w:rPr>
          <w:rFonts w:eastAsia="Times New Roman" w:cstheme="minorHAnsi"/>
          <w:sz w:val="24"/>
          <w:szCs w:val="24"/>
        </w:rPr>
      </w:pPr>
    </w:p>
    <w:p w:rsidR="003E49B3" w:rsidRDefault="003E49B3" w:rsidP="003E49B3">
      <w:pPr>
        <w:spacing w:before="349" w:after="349" w:line="360" w:lineRule="auto"/>
        <w:rPr>
          <w:rFonts w:eastAsia="Times New Roman" w:cstheme="minorHAnsi"/>
          <w:sz w:val="24"/>
          <w:szCs w:val="24"/>
        </w:rPr>
      </w:pPr>
    </w:p>
    <w:p w:rsidR="003E49B3" w:rsidRDefault="003E49B3" w:rsidP="003E49B3">
      <w:pPr>
        <w:spacing w:before="349" w:after="349" w:line="360" w:lineRule="auto"/>
        <w:rPr>
          <w:rFonts w:eastAsia="Times New Roman" w:cstheme="minorHAnsi"/>
          <w:sz w:val="24"/>
          <w:szCs w:val="24"/>
        </w:rPr>
      </w:pPr>
    </w:p>
    <w:p w:rsidR="003E49B3" w:rsidRDefault="003E49B3" w:rsidP="003E49B3">
      <w:pPr>
        <w:spacing w:before="349" w:after="349" w:line="360" w:lineRule="auto"/>
        <w:rPr>
          <w:rFonts w:eastAsia="Times New Roman" w:cstheme="minorHAnsi"/>
          <w:sz w:val="24"/>
          <w:szCs w:val="24"/>
        </w:rPr>
      </w:pPr>
    </w:p>
    <w:p w:rsidR="003E49B3" w:rsidRDefault="003E49B3" w:rsidP="003E49B3">
      <w:pPr>
        <w:spacing w:before="349" w:after="349" w:line="360" w:lineRule="auto"/>
        <w:rPr>
          <w:rFonts w:eastAsia="Times New Roman" w:cstheme="minorHAnsi"/>
          <w:sz w:val="24"/>
          <w:szCs w:val="24"/>
        </w:rPr>
      </w:pPr>
    </w:p>
    <w:p w:rsidR="003E49B3" w:rsidRDefault="003E49B3" w:rsidP="003E49B3">
      <w:pPr>
        <w:spacing w:before="349" w:after="349" w:line="360" w:lineRule="auto"/>
        <w:rPr>
          <w:rFonts w:eastAsia="Times New Roman" w:cstheme="minorHAnsi"/>
          <w:sz w:val="24"/>
          <w:szCs w:val="24"/>
        </w:rPr>
      </w:pPr>
    </w:p>
    <w:p w:rsidR="003E49B3" w:rsidRDefault="003E49B3" w:rsidP="003E49B3">
      <w:pPr>
        <w:spacing w:before="349" w:after="349" w:line="360" w:lineRule="auto"/>
        <w:rPr>
          <w:rFonts w:eastAsia="Times New Roman" w:cstheme="minorHAnsi"/>
          <w:sz w:val="24"/>
          <w:szCs w:val="24"/>
        </w:rPr>
      </w:pPr>
    </w:p>
    <w:p w:rsidR="003E49B3" w:rsidRDefault="003E49B3" w:rsidP="003E49B3">
      <w:pPr>
        <w:spacing w:before="349" w:after="349" w:line="360" w:lineRule="auto"/>
        <w:rPr>
          <w:rFonts w:eastAsia="Times New Roman" w:cstheme="minorHAnsi"/>
          <w:sz w:val="24"/>
          <w:szCs w:val="24"/>
        </w:rPr>
      </w:pPr>
    </w:p>
    <w:p w:rsidR="003E49B3" w:rsidRDefault="003E49B3" w:rsidP="003E49B3">
      <w:pPr>
        <w:spacing w:before="349" w:after="349" w:line="360" w:lineRule="auto"/>
        <w:rPr>
          <w:rFonts w:eastAsia="Times New Roman" w:cstheme="minorHAnsi"/>
          <w:sz w:val="24"/>
          <w:szCs w:val="24"/>
        </w:rPr>
      </w:pPr>
    </w:p>
    <w:p w:rsidR="003E49B3" w:rsidRDefault="003E49B3" w:rsidP="003E49B3">
      <w:pPr>
        <w:spacing w:before="349" w:after="349" w:line="360" w:lineRule="auto"/>
        <w:rPr>
          <w:rFonts w:eastAsia="Times New Roman" w:cstheme="minorHAnsi"/>
          <w:sz w:val="24"/>
          <w:szCs w:val="24"/>
        </w:rPr>
      </w:pPr>
    </w:p>
    <w:p w:rsidR="003E49B3" w:rsidRPr="00B41A17" w:rsidRDefault="003E49B3" w:rsidP="003E49B3">
      <w:pPr>
        <w:spacing w:before="349" w:after="349" w:line="360" w:lineRule="auto"/>
        <w:rPr>
          <w:rFonts w:eastAsia="Times New Roman" w:cstheme="minorHAnsi"/>
          <w:sz w:val="24"/>
          <w:szCs w:val="24"/>
        </w:rPr>
      </w:pPr>
    </w:p>
    <w:p w:rsidR="003E49B3" w:rsidRPr="00B41A17" w:rsidRDefault="003E49B3" w:rsidP="003E49B3">
      <w:pPr>
        <w:shd w:val="clear" w:color="auto" w:fill="FFFFFF"/>
        <w:spacing w:before="200" w:after="150" w:line="360" w:lineRule="auto"/>
        <w:outlineLvl w:val="2"/>
        <w:rPr>
          <w:rFonts w:eastAsia="Times New Roman" w:cstheme="minorHAnsi"/>
          <w:sz w:val="24"/>
          <w:szCs w:val="24"/>
        </w:rPr>
      </w:pPr>
      <w:r w:rsidRPr="003E49B3">
        <w:rPr>
          <w:rFonts w:eastAsia="Times New Roman" w:cstheme="minorHAnsi"/>
          <w:b/>
          <w:bCs/>
          <w:sz w:val="24"/>
          <w:szCs w:val="24"/>
          <w:highlight w:val="yellow"/>
        </w:rPr>
        <w:lastRenderedPageBreak/>
        <w:t>Table 3.3:</w:t>
      </w:r>
      <w:r w:rsidRPr="00B41A17">
        <w:rPr>
          <w:rFonts w:eastAsia="Times New Roman" w:cstheme="minorHAnsi"/>
          <w:b/>
          <w:bCs/>
          <w:sz w:val="24"/>
          <w:szCs w:val="24"/>
        </w:rPr>
        <w:t xml:space="preserve"> Correlation </w:t>
      </w:r>
      <w:proofErr w:type="gramStart"/>
      <w:r w:rsidRPr="00B41A17">
        <w:rPr>
          <w:rFonts w:eastAsia="Times New Roman" w:cstheme="minorHAnsi"/>
          <w:b/>
          <w:bCs/>
          <w:sz w:val="24"/>
          <w:szCs w:val="24"/>
        </w:rPr>
        <w:t>Between</w:t>
      </w:r>
      <w:proofErr w:type="gramEnd"/>
      <w:r w:rsidRPr="00B41A17">
        <w:rPr>
          <w:rFonts w:eastAsia="Times New Roman" w:cstheme="minorHAnsi"/>
          <w:b/>
          <w:bCs/>
          <w:sz w:val="24"/>
          <w:szCs w:val="24"/>
        </w:rPr>
        <w:t xml:space="preserve"> Cytokines, FBS, and Disease Duration in T2DM Patients</w:t>
      </w:r>
    </w:p>
    <w:tbl>
      <w:tblPr>
        <w:tblW w:w="0" w:type="auto"/>
        <w:tblCellMar>
          <w:top w:w="15" w:type="dxa"/>
          <w:left w:w="15" w:type="dxa"/>
          <w:bottom w:w="15" w:type="dxa"/>
          <w:right w:w="15" w:type="dxa"/>
        </w:tblCellMar>
        <w:tblLook w:val="04A0"/>
      </w:tblPr>
      <w:tblGrid>
        <w:gridCol w:w="2794"/>
        <w:gridCol w:w="1322"/>
        <w:gridCol w:w="867"/>
      </w:tblGrid>
      <w:tr w:rsidR="003E49B3" w:rsidRPr="00B41A17" w:rsidTr="00F42F32">
        <w:trPr>
          <w:tblHeader/>
        </w:trPr>
        <w:tc>
          <w:tcPr>
            <w:tcW w:w="0" w:type="auto"/>
            <w:tcBorders>
              <w:top w:val="nil"/>
              <w:left w:val="nil"/>
              <w:bottom w:val="single" w:sz="2" w:space="0" w:color="BBBBBB"/>
              <w:right w:val="nil"/>
            </w:tcBorders>
            <w:tcMar>
              <w:top w:w="109" w:type="dxa"/>
              <w:left w:w="0" w:type="dxa"/>
              <w:bottom w:w="109" w:type="dxa"/>
              <w:right w:w="109" w:type="dxa"/>
            </w:tcMar>
            <w:vAlign w:val="center"/>
            <w:hideMark/>
          </w:tcPr>
          <w:p w:rsidR="003E49B3" w:rsidRPr="00B41A17" w:rsidRDefault="003E49B3" w:rsidP="00F42F32">
            <w:pPr>
              <w:spacing w:after="0" w:line="360" w:lineRule="auto"/>
              <w:rPr>
                <w:rFonts w:eastAsia="Times New Roman" w:cstheme="minorHAnsi"/>
                <w:b/>
                <w:bCs/>
                <w:sz w:val="24"/>
                <w:szCs w:val="24"/>
              </w:rPr>
            </w:pPr>
            <w:r w:rsidRPr="00B41A17">
              <w:rPr>
                <w:rFonts w:eastAsia="Times New Roman" w:cstheme="minorHAnsi"/>
                <w:b/>
                <w:bCs/>
                <w:sz w:val="24"/>
                <w:szCs w:val="24"/>
              </w:rPr>
              <w:t>Variable Pair</w:t>
            </w:r>
          </w:p>
        </w:tc>
        <w:tc>
          <w:tcPr>
            <w:tcW w:w="0" w:type="auto"/>
            <w:tcBorders>
              <w:top w:val="nil"/>
              <w:left w:val="nil"/>
              <w:bottom w:val="single" w:sz="2" w:space="0" w:color="BBBBBB"/>
              <w:right w:val="nil"/>
            </w:tcBorders>
            <w:tcMar>
              <w:top w:w="109" w:type="dxa"/>
              <w:left w:w="109" w:type="dxa"/>
              <w:bottom w:w="109" w:type="dxa"/>
              <w:right w:w="109" w:type="dxa"/>
            </w:tcMar>
            <w:vAlign w:val="center"/>
            <w:hideMark/>
          </w:tcPr>
          <w:p w:rsidR="003E49B3" w:rsidRPr="00B41A17" w:rsidRDefault="003E49B3" w:rsidP="00F42F32">
            <w:pPr>
              <w:spacing w:after="0" w:line="360" w:lineRule="auto"/>
              <w:rPr>
                <w:rFonts w:eastAsia="Times New Roman" w:cstheme="minorHAnsi"/>
                <w:b/>
                <w:bCs/>
                <w:sz w:val="24"/>
                <w:szCs w:val="24"/>
              </w:rPr>
            </w:pPr>
            <w:r w:rsidRPr="00B41A17">
              <w:rPr>
                <w:rFonts w:eastAsia="Times New Roman" w:cstheme="minorHAnsi"/>
                <w:b/>
                <w:bCs/>
                <w:sz w:val="24"/>
                <w:szCs w:val="24"/>
              </w:rPr>
              <w:t>Pearson’s r</w:t>
            </w:r>
          </w:p>
        </w:tc>
        <w:tc>
          <w:tcPr>
            <w:tcW w:w="0" w:type="auto"/>
            <w:tcBorders>
              <w:top w:val="nil"/>
              <w:left w:val="nil"/>
              <w:bottom w:val="single" w:sz="2" w:space="0" w:color="BBBBBB"/>
              <w:right w:val="nil"/>
            </w:tcBorders>
            <w:tcMar>
              <w:top w:w="109" w:type="dxa"/>
              <w:bottom w:w="109" w:type="dxa"/>
              <w:right w:w="109" w:type="dxa"/>
            </w:tcMar>
            <w:vAlign w:val="center"/>
            <w:hideMark/>
          </w:tcPr>
          <w:p w:rsidR="003E49B3" w:rsidRPr="00B41A17" w:rsidRDefault="003E49B3" w:rsidP="00F42F32">
            <w:pPr>
              <w:spacing w:after="0" w:line="360" w:lineRule="auto"/>
              <w:rPr>
                <w:rFonts w:eastAsia="Times New Roman" w:cstheme="minorHAnsi"/>
                <w:b/>
                <w:bCs/>
                <w:sz w:val="24"/>
                <w:szCs w:val="24"/>
              </w:rPr>
            </w:pPr>
            <w:r w:rsidRPr="00B41A17">
              <w:rPr>
                <w:rFonts w:eastAsia="Times New Roman" w:cstheme="minorHAnsi"/>
                <w:b/>
                <w:bCs/>
                <w:sz w:val="24"/>
                <w:szCs w:val="24"/>
              </w:rPr>
              <w:t>p-value</w:t>
            </w:r>
          </w:p>
        </w:tc>
      </w:tr>
      <w:tr w:rsidR="003E49B3" w:rsidRPr="00B41A17" w:rsidTr="00F42F32">
        <w:tc>
          <w:tcPr>
            <w:tcW w:w="0" w:type="auto"/>
            <w:tcBorders>
              <w:top w:val="nil"/>
              <w:left w:val="nil"/>
              <w:bottom w:val="single" w:sz="2" w:space="0" w:color="E5E5E5"/>
              <w:right w:val="nil"/>
            </w:tcBorders>
            <w:tcMar>
              <w:top w:w="109" w:type="dxa"/>
              <w:left w:w="0" w:type="dxa"/>
              <w:bottom w:w="109" w:type="dxa"/>
              <w:right w:w="109" w:type="dxa"/>
            </w:tcMar>
            <w:vAlign w:val="center"/>
            <w:hideMark/>
          </w:tcPr>
          <w:p w:rsidR="003E49B3" w:rsidRPr="00B41A17" w:rsidRDefault="003E49B3" w:rsidP="00F42F32">
            <w:pPr>
              <w:spacing w:after="0" w:line="360" w:lineRule="auto"/>
              <w:rPr>
                <w:rFonts w:eastAsia="Times New Roman" w:cstheme="minorHAnsi"/>
                <w:sz w:val="24"/>
                <w:szCs w:val="24"/>
              </w:rPr>
            </w:pPr>
            <w:r w:rsidRPr="00B41A17">
              <w:rPr>
                <w:rFonts w:eastAsia="Times New Roman" w:cstheme="minorHAnsi"/>
                <w:b/>
                <w:bCs/>
                <w:sz w:val="24"/>
                <w:szCs w:val="24"/>
              </w:rPr>
              <w:t>TNF-α vs. FBS</w:t>
            </w:r>
          </w:p>
        </w:tc>
        <w:tc>
          <w:tcPr>
            <w:tcW w:w="0" w:type="auto"/>
            <w:tcBorders>
              <w:top w:val="nil"/>
              <w:left w:val="nil"/>
              <w:bottom w:val="single" w:sz="2" w:space="0" w:color="E5E5E5"/>
              <w:right w:val="nil"/>
            </w:tcBorders>
            <w:tcMar>
              <w:top w:w="109" w:type="dxa"/>
              <w:left w:w="109" w:type="dxa"/>
              <w:bottom w:w="109" w:type="dxa"/>
              <w:right w:w="109" w:type="dxa"/>
            </w:tcMar>
            <w:vAlign w:val="center"/>
            <w:hideMark/>
          </w:tcPr>
          <w:p w:rsidR="003E49B3" w:rsidRPr="00B41A17" w:rsidRDefault="003E49B3" w:rsidP="00F42F32">
            <w:pPr>
              <w:spacing w:after="0" w:line="360" w:lineRule="auto"/>
              <w:rPr>
                <w:rFonts w:eastAsia="Times New Roman" w:cstheme="minorHAnsi"/>
                <w:sz w:val="24"/>
                <w:szCs w:val="24"/>
              </w:rPr>
            </w:pPr>
            <w:r w:rsidRPr="00B41A17">
              <w:rPr>
                <w:rFonts w:eastAsia="Times New Roman" w:cstheme="minorHAnsi"/>
                <w:sz w:val="24"/>
                <w:szCs w:val="24"/>
              </w:rPr>
              <w:t>0.62</w:t>
            </w:r>
          </w:p>
        </w:tc>
        <w:tc>
          <w:tcPr>
            <w:tcW w:w="0" w:type="auto"/>
            <w:tcBorders>
              <w:top w:val="nil"/>
              <w:left w:val="nil"/>
              <w:bottom w:val="single" w:sz="2" w:space="0" w:color="E5E5E5"/>
              <w:right w:val="nil"/>
            </w:tcBorders>
            <w:tcMar>
              <w:top w:w="109" w:type="dxa"/>
              <w:bottom w:w="109" w:type="dxa"/>
              <w:right w:w="109" w:type="dxa"/>
            </w:tcMar>
            <w:vAlign w:val="center"/>
            <w:hideMark/>
          </w:tcPr>
          <w:p w:rsidR="003E49B3" w:rsidRPr="00B41A17" w:rsidRDefault="003E49B3" w:rsidP="00F42F32">
            <w:pPr>
              <w:spacing w:after="0" w:line="360" w:lineRule="auto"/>
              <w:rPr>
                <w:rFonts w:eastAsia="Times New Roman" w:cstheme="minorHAnsi"/>
                <w:sz w:val="24"/>
                <w:szCs w:val="24"/>
              </w:rPr>
            </w:pPr>
            <w:r w:rsidRPr="00B41A17">
              <w:rPr>
                <w:rFonts w:eastAsia="Times New Roman" w:cstheme="minorHAnsi"/>
                <w:sz w:val="24"/>
                <w:szCs w:val="24"/>
              </w:rPr>
              <w:t>&lt;0.001</w:t>
            </w:r>
          </w:p>
        </w:tc>
      </w:tr>
      <w:tr w:rsidR="003E49B3" w:rsidRPr="00B41A17" w:rsidTr="00F42F32">
        <w:tc>
          <w:tcPr>
            <w:tcW w:w="0" w:type="auto"/>
            <w:tcBorders>
              <w:top w:val="nil"/>
              <w:left w:val="nil"/>
              <w:bottom w:val="single" w:sz="2" w:space="0" w:color="E5E5E5"/>
              <w:right w:val="nil"/>
            </w:tcBorders>
            <w:tcMar>
              <w:top w:w="109" w:type="dxa"/>
              <w:left w:w="0" w:type="dxa"/>
              <w:bottom w:w="109" w:type="dxa"/>
              <w:right w:w="109" w:type="dxa"/>
            </w:tcMar>
            <w:vAlign w:val="center"/>
            <w:hideMark/>
          </w:tcPr>
          <w:p w:rsidR="003E49B3" w:rsidRPr="00B41A17" w:rsidRDefault="003E49B3" w:rsidP="00F42F32">
            <w:pPr>
              <w:spacing w:after="0" w:line="360" w:lineRule="auto"/>
              <w:rPr>
                <w:rFonts w:eastAsia="Times New Roman" w:cstheme="minorHAnsi"/>
                <w:sz w:val="24"/>
                <w:szCs w:val="24"/>
              </w:rPr>
            </w:pPr>
            <w:r w:rsidRPr="00B41A17">
              <w:rPr>
                <w:rFonts w:eastAsia="Times New Roman" w:cstheme="minorHAnsi"/>
                <w:b/>
                <w:bCs/>
                <w:sz w:val="24"/>
                <w:szCs w:val="24"/>
              </w:rPr>
              <w:t>IL-6 vs. FBS</w:t>
            </w:r>
          </w:p>
        </w:tc>
        <w:tc>
          <w:tcPr>
            <w:tcW w:w="0" w:type="auto"/>
            <w:tcBorders>
              <w:top w:val="nil"/>
              <w:left w:val="nil"/>
              <w:bottom w:val="single" w:sz="2" w:space="0" w:color="E5E5E5"/>
              <w:right w:val="nil"/>
            </w:tcBorders>
            <w:tcMar>
              <w:top w:w="109" w:type="dxa"/>
              <w:left w:w="109" w:type="dxa"/>
              <w:bottom w:w="109" w:type="dxa"/>
              <w:right w:w="109" w:type="dxa"/>
            </w:tcMar>
            <w:vAlign w:val="center"/>
            <w:hideMark/>
          </w:tcPr>
          <w:p w:rsidR="003E49B3" w:rsidRPr="00B41A17" w:rsidRDefault="003E49B3" w:rsidP="00F42F32">
            <w:pPr>
              <w:spacing w:after="0" w:line="360" w:lineRule="auto"/>
              <w:rPr>
                <w:rFonts w:eastAsia="Times New Roman" w:cstheme="minorHAnsi"/>
                <w:sz w:val="24"/>
                <w:szCs w:val="24"/>
              </w:rPr>
            </w:pPr>
            <w:r w:rsidRPr="00B41A17">
              <w:rPr>
                <w:rFonts w:eastAsia="Times New Roman" w:cstheme="minorHAnsi"/>
                <w:sz w:val="24"/>
                <w:szCs w:val="24"/>
              </w:rPr>
              <w:t>0.58</w:t>
            </w:r>
          </w:p>
        </w:tc>
        <w:tc>
          <w:tcPr>
            <w:tcW w:w="0" w:type="auto"/>
            <w:tcBorders>
              <w:top w:val="nil"/>
              <w:left w:val="nil"/>
              <w:bottom w:val="single" w:sz="2" w:space="0" w:color="E5E5E5"/>
              <w:right w:val="nil"/>
            </w:tcBorders>
            <w:tcMar>
              <w:top w:w="109" w:type="dxa"/>
              <w:bottom w:w="109" w:type="dxa"/>
              <w:right w:w="109" w:type="dxa"/>
            </w:tcMar>
            <w:vAlign w:val="center"/>
            <w:hideMark/>
          </w:tcPr>
          <w:p w:rsidR="003E49B3" w:rsidRPr="00B41A17" w:rsidRDefault="003E49B3" w:rsidP="00F42F32">
            <w:pPr>
              <w:spacing w:after="0" w:line="360" w:lineRule="auto"/>
              <w:rPr>
                <w:rFonts w:eastAsia="Times New Roman" w:cstheme="minorHAnsi"/>
                <w:sz w:val="24"/>
                <w:szCs w:val="24"/>
              </w:rPr>
            </w:pPr>
            <w:r w:rsidRPr="00B41A17">
              <w:rPr>
                <w:rFonts w:eastAsia="Times New Roman" w:cstheme="minorHAnsi"/>
                <w:sz w:val="24"/>
                <w:szCs w:val="24"/>
              </w:rPr>
              <w:t>&lt;0.001</w:t>
            </w:r>
          </w:p>
        </w:tc>
      </w:tr>
      <w:tr w:rsidR="003E49B3" w:rsidRPr="00B41A17" w:rsidTr="00F42F32">
        <w:tc>
          <w:tcPr>
            <w:tcW w:w="0" w:type="auto"/>
            <w:tcBorders>
              <w:top w:val="nil"/>
              <w:left w:val="nil"/>
              <w:bottom w:val="single" w:sz="2" w:space="0" w:color="E5E5E5"/>
              <w:right w:val="nil"/>
            </w:tcBorders>
            <w:tcMar>
              <w:top w:w="109" w:type="dxa"/>
              <w:left w:w="0" w:type="dxa"/>
              <w:bottom w:w="109" w:type="dxa"/>
              <w:right w:w="109" w:type="dxa"/>
            </w:tcMar>
            <w:vAlign w:val="center"/>
            <w:hideMark/>
          </w:tcPr>
          <w:p w:rsidR="003E49B3" w:rsidRPr="00B41A17" w:rsidRDefault="003E49B3" w:rsidP="00F42F32">
            <w:pPr>
              <w:spacing w:after="0" w:line="360" w:lineRule="auto"/>
              <w:rPr>
                <w:rFonts w:eastAsia="Times New Roman" w:cstheme="minorHAnsi"/>
                <w:sz w:val="24"/>
                <w:szCs w:val="24"/>
              </w:rPr>
            </w:pPr>
            <w:proofErr w:type="spellStart"/>
            <w:r w:rsidRPr="00B41A17">
              <w:rPr>
                <w:rFonts w:eastAsia="Times New Roman" w:cstheme="minorHAnsi"/>
                <w:b/>
                <w:bCs/>
                <w:sz w:val="24"/>
                <w:szCs w:val="24"/>
              </w:rPr>
              <w:t>hs</w:t>
            </w:r>
            <w:proofErr w:type="spellEnd"/>
            <w:r w:rsidRPr="00B41A17">
              <w:rPr>
                <w:rFonts w:eastAsia="Times New Roman" w:cstheme="minorHAnsi"/>
                <w:b/>
                <w:bCs/>
                <w:sz w:val="24"/>
                <w:szCs w:val="24"/>
              </w:rPr>
              <w:t>-CRP vs. FBS</w:t>
            </w:r>
          </w:p>
        </w:tc>
        <w:tc>
          <w:tcPr>
            <w:tcW w:w="0" w:type="auto"/>
            <w:tcBorders>
              <w:top w:val="nil"/>
              <w:left w:val="nil"/>
              <w:bottom w:val="single" w:sz="2" w:space="0" w:color="E5E5E5"/>
              <w:right w:val="nil"/>
            </w:tcBorders>
            <w:tcMar>
              <w:top w:w="109" w:type="dxa"/>
              <w:left w:w="109" w:type="dxa"/>
              <w:bottom w:w="109" w:type="dxa"/>
              <w:right w:w="109" w:type="dxa"/>
            </w:tcMar>
            <w:vAlign w:val="center"/>
            <w:hideMark/>
          </w:tcPr>
          <w:p w:rsidR="003E49B3" w:rsidRPr="00B41A17" w:rsidRDefault="003E49B3" w:rsidP="00F42F32">
            <w:pPr>
              <w:spacing w:after="0" w:line="360" w:lineRule="auto"/>
              <w:rPr>
                <w:rFonts w:eastAsia="Times New Roman" w:cstheme="minorHAnsi"/>
                <w:sz w:val="24"/>
                <w:szCs w:val="24"/>
              </w:rPr>
            </w:pPr>
            <w:r w:rsidRPr="00B41A17">
              <w:rPr>
                <w:rFonts w:eastAsia="Times New Roman" w:cstheme="minorHAnsi"/>
                <w:sz w:val="24"/>
                <w:szCs w:val="24"/>
              </w:rPr>
              <w:t>0.53</w:t>
            </w:r>
          </w:p>
        </w:tc>
        <w:tc>
          <w:tcPr>
            <w:tcW w:w="0" w:type="auto"/>
            <w:tcBorders>
              <w:top w:val="nil"/>
              <w:left w:val="nil"/>
              <w:bottom w:val="single" w:sz="2" w:space="0" w:color="E5E5E5"/>
              <w:right w:val="nil"/>
            </w:tcBorders>
            <w:tcMar>
              <w:top w:w="109" w:type="dxa"/>
              <w:bottom w:w="109" w:type="dxa"/>
              <w:right w:w="109" w:type="dxa"/>
            </w:tcMar>
            <w:vAlign w:val="center"/>
            <w:hideMark/>
          </w:tcPr>
          <w:p w:rsidR="003E49B3" w:rsidRPr="00B41A17" w:rsidRDefault="003E49B3" w:rsidP="00F42F32">
            <w:pPr>
              <w:spacing w:after="0" w:line="360" w:lineRule="auto"/>
              <w:rPr>
                <w:rFonts w:eastAsia="Times New Roman" w:cstheme="minorHAnsi"/>
                <w:sz w:val="24"/>
                <w:szCs w:val="24"/>
              </w:rPr>
            </w:pPr>
            <w:r w:rsidRPr="00B41A17">
              <w:rPr>
                <w:rFonts w:eastAsia="Times New Roman" w:cstheme="minorHAnsi"/>
                <w:sz w:val="24"/>
                <w:szCs w:val="24"/>
              </w:rPr>
              <w:t>&lt;0.001</w:t>
            </w:r>
          </w:p>
        </w:tc>
      </w:tr>
      <w:tr w:rsidR="003E49B3" w:rsidRPr="00B41A17" w:rsidTr="00F42F32">
        <w:tc>
          <w:tcPr>
            <w:tcW w:w="0" w:type="auto"/>
            <w:tcBorders>
              <w:top w:val="nil"/>
              <w:left w:val="nil"/>
              <w:bottom w:val="single" w:sz="2" w:space="0" w:color="E5E5E5"/>
              <w:right w:val="nil"/>
            </w:tcBorders>
            <w:tcMar>
              <w:top w:w="109" w:type="dxa"/>
              <w:left w:w="0" w:type="dxa"/>
              <w:bottom w:w="109" w:type="dxa"/>
              <w:right w:w="109" w:type="dxa"/>
            </w:tcMar>
            <w:vAlign w:val="center"/>
            <w:hideMark/>
          </w:tcPr>
          <w:p w:rsidR="003E49B3" w:rsidRPr="00B41A17" w:rsidRDefault="003E49B3" w:rsidP="00F42F32">
            <w:pPr>
              <w:spacing w:after="0" w:line="360" w:lineRule="auto"/>
              <w:rPr>
                <w:rFonts w:eastAsia="Times New Roman" w:cstheme="minorHAnsi"/>
                <w:sz w:val="24"/>
                <w:szCs w:val="24"/>
              </w:rPr>
            </w:pPr>
            <w:r w:rsidRPr="00B41A17">
              <w:rPr>
                <w:rFonts w:eastAsia="Times New Roman" w:cstheme="minorHAnsi"/>
                <w:b/>
                <w:bCs/>
                <w:sz w:val="24"/>
                <w:szCs w:val="24"/>
              </w:rPr>
              <w:t>TNF-α vs. Disease Duration</w:t>
            </w:r>
          </w:p>
        </w:tc>
        <w:tc>
          <w:tcPr>
            <w:tcW w:w="0" w:type="auto"/>
            <w:tcBorders>
              <w:top w:val="nil"/>
              <w:left w:val="nil"/>
              <w:bottom w:val="single" w:sz="2" w:space="0" w:color="E5E5E5"/>
              <w:right w:val="nil"/>
            </w:tcBorders>
            <w:tcMar>
              <w:top w:w="109" w:type="dxa"/>
              <w:left w:w="109" w:type="dxa"/>
              <w:bottom w:w="109" w:type="dxa"/>
              <w:right w:w="109" w:type="dxa"/>
            </w:tcMar>
            <w:vAlign w:val="center"/>
            <w:hideMark/>
          </w:tcPr>
          <w:p w:rsidR="003E49B3" w:rsidRPr="00B41A17" w:rsidRDefault="003E49B3" w:rsidP="00F42F32">
            <w:pPr>
              <w:spacing w:after="0" w:line="360" w:lineRule="auto"/>
              <w:rPr>
                <w:rFonts w:eastAsia="Times New Roman" w:cstheme="minorHAnsi"/>
                <w:sz w:val="24"/>
                <w:szCs w:val="24"/>
              </w:rPr>
            </w:pPr>
            <w:r w:rsidRPr="00B41A17">
              <w:rPr>
                <w:rFonts w:eastAsia="Times New Roman" w:cstheme="minorHAnsi"/>
                <w:sz w:val="24"/>
                <w:szCs w:val="24"/>
              </w:rPr>
              <w:t>0.45</w:t>
            </w:r>
          </w:p>
        </w:tc>
        <w:tc>
          <w:tcPr>
            <w:tcW w:w="0" w:type="auto"/>
            <w:tcBorders>
              <w:top w:val="nil"/>
              <w:left w:val="nil"/>
              <w:bottom w:val="single" w:sz="2" w:space="0" w:color="E5E5E5"/>
              <w:right w:val="nil"/>
            </w:tcBorders>
            <w:tcMar>
              <w:top w:w="109" w:type="dxa"/>
              <w:bottom w:w="109" w:type="dxa"/>
              <w:right w:w="109" w:type="dxa"/>
            </w:tcMar>
            <w:vAlign w:val="center"/>
            <w:hideMark/>
          </w:tcPr>
          <w:p w:rsidR="003E49B3" w:rsidRPr="00B41A17" w:rsidRDefault="003E49B3" w:rsidP="00F42F32">
            <w:pPr>
              <w:spacing w:after="0" w:line="360" w:lineRule="auto"/>
              <w:rPr>
                <w:rFonts w:eastAsia="Times New Roman" w:cstheme="minorHAnsi"/>
                <w:sz w:val="24"/>
                <w:szCs w:val="24"/>
              </w:rPr>
            </w:pPr>
            <w:r w:rsidRPr="00B41A17">
              <w:rPr>
                <w:rFonts w:eastAsia="Times New Roman" w:cstheme="minorHAnsi"/>
                <w:sz w:val="24"/>
                <w:szCs w:val="24"/>
              </w:rPr>
              <w:t>0.003</w:t>
            </w:r>
          </w:p>
        </w:tc>
      </w:tr>
      <w:tr w:rsidR="003E49B3" w:rsidRPr="00B41A17" w:rsidTr="00F42F32">
        <w:tc>
          <w:tcPr>
            <w:tcW w:w="0" w:type="auto"/>
            <w:tcBorders>
              <w:top w:val="nil"/>
              <w:left w:val="nil"/>
              <w:bottom w:val="single" w:sz="2" w:space="0" w:color="E5E5E5"/>
              <w:right w:val="nil"/>
            </w:tcBorders>
            <w:tcMar>
              <w:top w:w="109" w:type="dxa"/>
              <w:left w:w="0" w:type="dxa"/>
              <w:bottom w:w="109" w:type="dxa"/>
              <w:right w:w="109" w:type="dxa"/>
            </w:tcMar>
            <w:vAlign w:val="center"/>
            <w:hideMark/>
          </w:tcPr>
          <w:p w:rsidR="003E49B3" w:rsidRPr="00B41A17" w:rsidRDefault="003E49B3" w:rsidP="00F42F32">
            <w:pPr>
              <w:spacing w:after="0" w:line="360" w:lineRule="auto"/>
              <w:rPr>
                <w:rFonts w:eastAsia="Times New Roman" w:cstheme="minorHAnsi"/>
                <w:sz w:val="24"/>
                <w:szCs w:val="24"/>
              </w:rPr>
            </w:pPr>
            <w:r w:rsidRPr="00B41A17">
              <w:rPr>
                <w:rFonts w:eastAsia="Times New Roman" w:cstheme="minorHAnsi"/>
                <w:b/>
                <w:bCs/>
                <w:sz w:val="24"/>
                <w:szCs w:val="24"/>
              </w:rPr>
              <w:t>IL-6 vs. Disease Duration</w:t>
            </w:r>
          </w:p>
        </w:tc>
        <w:tc>
          <w:tcPr>
            <w:tcW w:w="0" w:type="auto"/>
            <w:tcBorders>
              <w:top w:val="nil"/>
              <w:left w:val="nil"/>
              <w:bottom w:val="single" w:sz="2" w:space="0" w:color="E5E5E5"/>
              <w:right w:val="nil"/>
            </w:tcBorders>
            <w:tcMar>
              <w:top w:w="109" w:type="dxa"/>
              <w:left w:w="109" w:type="dxa"/>
              <w:bottom w:w="109" w:type="dxa"/>
              <w:right w:w="109" w:type="dxa"/>
            </w:tcMar>
            <w:vAlign w:val="center"/>
            <w:hideMark/>
          </w:tcPr>
          <w:p w:rsidR="003E49B3" w:rsidRPr="00B41A17" w:rsidRDefault="003E49B3" w:rsidP="00F42F32">
            <w:pPr>
              <w:spacing w:after="0" w:line="360" w:lineRule="auto"/>
              <w:rPr>
                <w:rFonts w:eastAsia="Times New Roman" w:cstheme="minorHAnsi"/>
                <w:sz w:val="24"/>
                <w:szCs w:val="24"/>
              </w:rPr>
            </w:pPr>
            <w:r w:rsidRPr="00B41A17">
              <w:rPr>
                <w:rFonts w:eastAsia="Times New Roman" w:cstheme="minorHAnsi"/>
                <w:sz w:val="24"/>
                <w:szCs w:val="24"/>
              </w:rPr>
              <w:t>0.51</w:t>
            </w:r>
          </w:p>
        </w:tc>
        <w:tc>
          <w:tcPr>
            <w:tcW w:w="0" w:type="auto"/>
            <w:tcBorders>
              <w:top w:val="nil"/>
              <w:left w:val="nil"/>
              <w:bottom w:val="single" w:sz="2" w:space="0" w:color="E5E5E5"/>
              <w:right w:val="nil"/>
            </w:tcBorders>
            <w:tcMar>
              <w:top w:w="109" w:type="dxa"/>
              <w:bottom w:w="109" w:type="dxa"/>
              <w:right w:w="109" w:type="dxa"/>
            </w:tcMar>
            <w:vAlign w:val="center"/>
            <w:hideMark/>
          </w:tcPr>
          <w:p w:rsidR="003E49B3" w:rsidRPr="00B41A17" w:rsidRDefault="003E49B3" w:rsidP="00F42F32">
            <w:pPr>
              <w:spacing w:after="0" w:line="360" w:lineRule="auto"/>
              <w:rPr>
                <w:rFonts w:eastAsia="Times New Roman" w:cstheme="minorHAnsi"/>
                <w:sz w:val="24"/>
                <w:szCs w:val="24"/>
              </w:rPr>
            </w:pPr>
            <w:r w:rsidRPr="00B41A17">
              <w:rPr>
                <w:rFonts w:eastAsia="Times New Roman" w:cstheme="minorHAnsi"/>
                <w:sz w:val="24"/>
                <w:szCs w:val="24"/>
              </w:rPr>
              <w:t>0.001</w:t>
            </w:r>
          </w:p>
        </w:tc>
      </w:tr>
    </w:tbl>
    <w:p w:rsidR="003E49B3" w:rsidRDefault="003E49B3" w:rsidP="003E49B3">
      <w:pPr>
        <w:spacing w:before="349" w:after="349" w:line="360" w:lineRule="auto"/>
        <w:rPr>
          <w:rFonts w:eastAsia="Times New Roman" w:cstheme="minorHAnsi"/>
          <w:sz w:val="24"/>
          <w:szCs w:val="24"/>
        </w:rPr>
      </w:pPr>
      <w:r>
        <w:t>This table shows positive and significant correlations between inflammatory cytokines and both FBS and duration of diabetes, especially for IL-6.</w:t>
      </w:r>
    </w:p>
    <w:p w:rsidR="003E49B3" w:rsidRDefault="003E49B3" w:rsidP="003E49B3">
      <w:pPr>
        <w:spacing w:before="349" w:after="349" w:line="360" w:lineRule="auto"/>
        <w:rPr>
          <w:rFonts w:eastAsia="Times New Roman" w:cstheme="minorHAnsi"/>
          <w:sz w:val="24"/>
          <w:szCs w:val="24"/>
        </w:rPr>
      </w:pPr>
    </w:p>
    <w:p w:rsidR="003E49B3" w:rsidRDefault="003E49B3" w:rsidP="003E49B3">
      <w:pPr>
        <w:spacing w:before="349" w:after="349" w:line="360" w:lineRule="auto"/>
        <w:rPr>
          <w:rFonts w:eastAsia="Times New Roman" w:cstheme="minorHAnsi"/>
          <w:sz w:val="24"/>
          <w:szCs w:val="24"/>
        </w:rPr>
      </w:pPr>
    </w:p>
    <w:p w:rsidR="003E49B3" w:rsidRDefault="003E49B3" w:rsidP="003E49B3">
      <w:pPr>
        <w:spacing w:before="349" w:after="349" w:line="360" w:lineRule="auto"/>
        <w:rPr>
          <w:rFonts w:eastAsia="Times New Roman" w:cstheme="minorHAnsi"/>
          <w:sz w:val="24"/>
          <w:szCs w:val="24"/>
        </w:rPr>
      </w:pPr>
    </w:p>
    <w:p w:rsidR="003E49B3" w:rsidRDefault="003E49B3" w:rsidP="003E49B3">
      <w:pPr>
        <w:spacing w:before="349" w:after="349" w:line="360" w:lineRule="auto"/>
        <w:rPr>
          <w:rFonts w:eastAsia="Times New Roman" w:cstheme="minorHAnsi"/>
          <w:sz w:val="24"/>
          <w:szCs w:val="24"/>
        </w:rPr>
      </w:pPr>
    </w:p>
    <w:p w:rsidR="003E49B3" w:rsidRDefault="003E49B3" w:rsidP="003E49B3">
      <w:pPr>
        <w:spacing w:before="349" w:after="349" w:line="360" w:lineRule="auto"/>
        <w:rPr>
          <w:rFonts w:eastAsia="Times New Roman" w:cstheme="minorHAnsi"/>
          <w:sz w:val="24"/>
          <w:szCs w:val="24"/>
        </w:rPr>
      </w:pPr>
    </w:p>
    <w:p w:rsidR="003E49B3" w:rsidRDefault="003E49B3" w:rsidP="003E49B3">
      <w:pPr>
        <w:spacing w:before="349" w:after="349" w:line="360" w:lineRule="auto"/>
        <w:rPr>
          <w:rFonts w:eastAsia="Times New Roman" w:cstheme="minorHAnsi"/>
          <w:sz w:val="24"/>
          <w:szCs w:val="24"/>
        </w:rPr>
      </w:pPr>
    </w:p>
    <w:p w:rsidR="003E49B3" w:rsidRDefault="003E49B3" w:rsidP="003E49B3">
      <w:pPr>
        <w:spacing w:before="349" w:after="349" w:line="360" w:lineRule="auto"/>
        <w:rPr>
          <w:rFonts w:eastAsia="Times New Roman" w:cstheme="minorHAnsi"/>
          <w:sz w:val="24"/>
          <w:szCs w:val="24"/>
        </w:rPr>
      </w:pPr>
    </w:p>
    <w:p w:rsidR="003E49B3" w:rsidRDefault="003E49B3" w:rsidP="003E49B3">
      <w:pPr>
        <w:spacing w:before="349" w:after="349" w:line="360" w:lineRule="auto"/>
        <w:rPr>
          <w:rFonts w:eastAsia="Times New Roman" w:cstheme="minorHAnsi"/>
          <w:sz w:val="24"/>
          <w:szCs w:val="24"/>
        </w:rPr>
      </w:pPr>
    </w:p>
    <w:p w:rsidR="003E49B3" w:rsidRPr="00B41A17" w:rsidRDefault="003E49B3" w:rsidP="003E49B3">
      <w:pPr>
        <w:spacing w:before="349" w:after="349" w:line="360" w:lineRule="auto"/>
        <w:rPr>
          <w:rFonts w:eastAsia="Times New Roman" w:cstheme="minorHAnsi"/>
          <w:sz w:val="24"/>
          <w:szCs w:val="24"/>
        </w:rPr>
      </w:pPr>
    </w:p>
    <w:p w:rsidR="003E49B3" w:rsidRPr="00B41A17" w:rsidRDefault="003E49B3" w:rsidP="003E49B3">
      <w:pPr>
        <w:shd w:val="clear" w:color="auto" w:fill="FFFFFF"/>
        <w:spacing w:before="200" w:after="150" w:line="360" w:lineRule="auto"/>
        <w:outlineLvl w:val="2"/>
        <w:rPr>
          <w:rFonts w:eastAsia="Times New Roman" w:cstheme="minorHAnsi"/>
          <w:sz w:val="24"/>
          <w:szCs w:val="24"/>
        </w:rPr>
      </w:pPr>
      <w:r w:rsidRPr="003E49B3">
        <w:rPr>
          <w:rFonts w:eastAsia="Times New Roman" w:cstheme="minorHAnsi"/>
          <w:b/>
          <w:bCs/>
          <w:sz w:val="24"/>
          <w:szCs w:val="24"/>
          <w:highlight w:val="yellow"/>
        </w:rPr>
        <w:lastRenderedPageBreak/>
        <w:t>Table 3.4:</w:t>
      </w:r>
      <w:r w:rsidRPr="00B41A17">
        <w:rPr>
          <w:rFonts w:eastAsia="Times New Roman" w:cstheme="minorHAnsi"/>
          <w:b/>
          <w:bCs/>
          <w:sz w:val="24"/>
          <w:szCs w:val="24"/>
        </w:rPr>
        <w:t xml:space="preserve"> Multivariate Regression Analysis of Cytokines as Predictors of FBS</w:t>
      </w:r>
    </w:p>
    <w:tbl>
      <w:tblPr>
        <w:tblW w:w="0" w:type="auto"/>
        <w:tblCellMar>
          <w:top w:w="15" w:type="dxa"/>
          <w:left w:w="15" w:type="dxa"/>
          <w:bottom w:w="15" w:type="dxa"/>
          <w:right w:w="15" w:type="dxa"/>
        </w:tblCellMar>
        <w:tblLook w:val="04A0"/>
      </w:tblPr>
      <w:tblGrid>
        <w:gridCol w:w="1029"/>
        <w:gridCol w:w="1476"/>
        <w:gridCol w:w="1169"/>
        <w:gridCol w:w="867"/>
      </w:tblGrid>
      <w:tr w:rsidR="003E49B3" w:rsidRPr="00B41A17" w:rsidTr="003E49B3">
        <w:trPr>
          <w:trHeight w:val="746"/>
          <w:tblHeader/>
        </w:trPr>
        <w:tc>
          <w:tcPr>
            <w:tcW w:w="0" w:type="auto"/>
            <w:tcBorders>
              <w:top w:val="nil"/>
              <w:left w:val="nil"/>
              <w:bottom w:val="single" w:sz="2" w:space="0" w:color="BBBBBB"/>
              <w:right w:val="nil"/>
            </w:tcBorders>
            <w:tcMar>
              <w:top w:w="109" w:type="dxa"/>
              <w:left w:w="0" w:type="dxa"/>
              <w:bottom w:w="109" w:type="dxa"/>
              <w:right w:w="109" w:type="dxa"/>
            </w:tcMar>
            <w:vAlign w:val="center"/>
            <w:hideMark/>
          </w:tcPr>
          <w:p w:rsidR="003E49B3" w:rsidRPr="00B41A17" w:rsidRDefault="003E49B3" w:rsidP="00F42F32">
            <w:pPr>
              <w:spacing w:after="0" w:line="360" w:lineRule="auto"/>
              <w:rPr>
                <w:rFonts w:eastAsia="Times New Roman" w:cstheme="minorHAnsi"/>
                <w:b/>
                <w:bCs/>
                <w:sz w:val="24"/>
                <w:szCs w:val="24"/>
              </w:rPr>
            </w:pPr>
            <w:r w:rsidRPr="00B41A17">
              <w:rPr>
                <w:rFonts w:eastAsia="Times New Roman" w:cstheme="minorHAnsi"/>
                <w:b/>
                <w:bCs/>
                <w:sz w:val="24"/>
                <w:szCs w:val="24"/>
              </w:rPr>
              <w:t>Predictor</w:t>
            </w:r>
          </w:p>
        </w:tc>
        <w:tc>
          <w:tcPr>
            <w:tcW w:w="0" w:type="auto"/>
            <w:tcBorders>
              <w:top w:val="nil"/>
              <w:left w:val="nil"/>
              <w:bottom w:val="single" w:sz="2" w:space="0" w:color="BBBBBB"/>
              <w:right w:val="nil"/>
            </w:tcBorders>
            <w:tcMar>
              <w:top w:w="109" w:type="dxa"/>
              <w:left w:w="109" w:type="dxa"/>
              <w:bottom w:w="109" w:type="dxa"/>
              <w:right w:w="109" w:type="dxa"/>
            </w:tcMar>
            <w:vAlign w:val="center"/>
            <w:hideMark/>
          </w:tcPr>
          <w:p w:rsidR="003E49B3" w:rsidRPr="00B41A17" w:rsidRDefault="003E49B3" w:rsidP="00F42F32">
            <w:pPr>
              <w:spacing w:after="0" w:line="360" w:lineRule="auto"/>
              <w:rPr>
                <w:rFonts w:eastAsia="Times New Roman" w:cstheme="minorHAnsi"/>
                <w:b/>
                <w:bCs/>
                <w:sz w:val="24"/>
                <w:szCs w:val="24"/>
              </w:rPr>
            </w:pPr>
            <w:r w:rsidRPr="00B41A17">
              <w:rPr>
                <w:rFonts w:eastAsia="Times New Roman" w:cstheme="minorHAnsi"/>
                <w:b/>
                <w:bCs/>
                <w:sz w:val="24"/>
                <w:szCs w:val="24"/>
              </w:rPr>
              <w:t>β-coefficient</w:t>
            </w:r>
          </w:p>
        </w:tc>
        <w:tc>
          <w:tcPr>
            <w:tcW w:w="0" w:type="auto"/>
            <w:tcBorders>
              <w:top w:val="nil"/>
              <w:left w:val="nil"/>
              <w:bottom w:val="single" w:sz="2" w:space="0" w:color="BBBBBB"/>
              <w:right w:val="nil"/>
            </w:tcBorders>
            <w:tcMar>
              <w:top w:w="109" w:type="dxa"/>
              <w:bottom w:w="109" w:type="dxa"/>
              <w:right w:w="109" w:type="dxa"/>
            </w:tcMar>
            <w:vAlign w:val="center"/>
            <w:hideMark/>
          </w:tcPr>
          <w:p w:rsidR="003E49B3" w:rsidRPr="00B41A17" w:rsidRDefault="003E49B3" w:rsidP="00F42F32">
            <w:pPr>
              <w:spacing w:after="0" w:line="360" w:lineRule="auto"/>
              <w:rPr>
                <w:rFonts w:eastAsia="Times New Roman" w:cstheme="minorHAnsi"/>
                <w:b/>
                <w:bCs/>
                <w:sz w:val="24"/>
                <w:szCs w:val="24"/>
              </w:rPr>
            </w:pPr>
            <w:r w:rsidRPr="00B41A17">
              <w:rPr>
                <w:rFonts w:eastAsia="Times New Roman" w:cstheme="minorHAnsi"/>
                <w:b/>
                <w:bCs/>
                <w:sz w:val="24"/>
                <w:szCs w:val="24"/>
              </w:rPr>
              <w:t>95% CI</w:t>
            </w:r>
          </w:p>
        </w:tc>
        <w:tc>
          <w:tcPr>
            <w:tcW w:w="0" w:type="auto"/>
            <w:tcBorders>
              <w:top w:val="nil"/>
              <w:left w:val="nil"/>
              <w:bottom w:val="single" w:sz="2" w:space="0" w:color="BBBBBB"/>
              <w:right w:val="nil"/>
            </w:tcBorders>
            <w:tcMar>
              <w:top w:w="109" w:type="dxa"/>
              <w:bottom w:w="109" w:type="dxa"/>
              <w:right w:w="109" w:type="dxa"/>
            </w:tcMar>
            <w:vAlign w:val="center"/>
            <w:hideMark/>
          </w:tcPr>
          <w:p w:rsidR="003E49B3" w:rsidRPr="00B41A17" w:rsidRDefault="003E49B3" w:rsidP="00F42F32">
            <w:pPr>
              <w:spacing w:after="0" w:line="360" w:lineRule="auto"/>
              <w:rPr>
                <w:rFonts w:eastAsia="Times New Roman" w:cstheme="minorHAnsi"/>
                <w:b/>
                <w:bCs/>
                <w:sz w:val="24"/>
                <w:szCs w:val="24"/>
              </w:rPr>
            </w:pPr>
            <w:r w:rsidRPr="00B41A17">
              <w:rPr>
                <w:rFonts w:eastAsia="Times New Roman" w:cstheme="minorHAnsi"/>
                <w:b/>
                <w:bCs/>
                <w:sz w:val="24"/>
                <w:szCs w:val="24"/>
              </w:rPr>
              <w:t>p-value</w:t>
            </w:r>
          </w:p>
        </w:tc>
      </w:tr>
      <w:tr w:rsidR="003E49B3" w:rsidRPr="00B41A17" w:rsidTr="00F42F32">
        <w:tc>
          <w:tcPr>
            <w:tcW w:w="0" w:type="auto"/>
            <w:tcBorders>
              <w:top w:val="nil"/>
              <w:left w:val="nil"/>
              <w:bottom w:val="single" w:sz="2" w:space="0" w:color="E5E5E5"/>
              <w:right w:val="nil"/>
            </w:tcBorders>
            <w:tcMar>
              <w:top w:w="109" w:type="dxa"/>
              <w:left w:w="0" w:type="dxa"/>
              <w:bottom w:w="109" w:type="dxa"/>
              <w:right w:w="109" w:type="dxa"/>
            </w:tcMar>
            <w:vAlign w:val="center"/>
            <w:hideMark/>
          </w:tcPr>
          <w:p w:rsidR="003E49B3" w:rsidRPr="00B41A17" w:rsidRDefault="003E49B3" w:rsidP="00F42F32">
            <w:pPr>
              <w:spacing w:after="0" w:line="360" w:lineRule="auto"/>
              <w:rPr>
                <w:rFonts w:eastAsia="Times New Roman" w:cstheme="minorHAnsi"/>
                <w:sz w:val="24"/>
                <w:szCs w:val="24"/>
              </w:rPr>
            </w:pPr>
            <w:r w:rsidRPr="00B41A17">
              <w:rPr>
                <w:rFonts w:eastAsia="Times New Roman" w:cstheme="minorHAnsi"/>
                <w:b/>
                <w:bCs/>
                <w:sz w:val="24"/>
                <w:szCs w:val="24"/>
              </w:rPr>
              <w:t>TNF-α</w:t>
            </w:r>
          </w:p>
        </w:tc>
        <w:tc>
          <w:tcPr>
            <w:tcW w:w="0" w:type="auto"/>
            <w:tcBorders>
              <w:top w:val="nil"/>
              <w:left w:val="nil"/>
              <w:bottom w:val="single" w:sz="2" w:space="0" w:color="E5E5E5"/>
              <w:right w:val="nil"/>
            </w:tcBorders>
            <w:tcMar>
              <w:top w:w="109" w:type="dxa"/>
              <w:left w:w="109" w:type="dxa"/>
              <w:bottom w:w="109" w:type="dxa"/>
              <w:right w:w="109" w:type="dxa"/>
            </w:tcMar>
            <w:vAlign w:val="center"/>
            <w:hideMark/>
          </w:tcPr>
          <w:p w:rsidR="003E49B3" w:rsidRPr="00B41A17" w:rsidRDefault="003E49B3" w:rsidP="00F42F32">
            <w:pPr>
              <w:spacing w:after="0" w:line="360" w:lineRule="auto"/>
              <w:rPr>
                <w:rFonts w:eastAsia="Times New Roman" w:cstheme="minorHAnsi"/>
                <w:sz w:val="24"/>
                <w:szCs w:val="24"/>
              </w:rPr>
            </w:pPr>
            <w:r w:rsidRPr="00B41A17">
              <w:rPr>
                <w:rFonts w:eastAsia="Times New Roman" w:cstheme="minorHAnsi"/>
                <w:sz w:val="24"/>
                <w:szCs w:val="24"/>
              </w:rPr>
              <w:t>0.42</w:t>
            </w:r>
          </w:p>
        </w:tc>
        <w:tc>
          <w:tcPr>
            <w:tcW w:w="0" w:type="auto"/>
            <w:tcBorders>
              <w:top w:val="nil"/>
              <w:left w:val="nil"/>
              <w:bottom w:val="single" w:sz="2" w:space="0" w:color="E5E5E5"/>
              <w:right w:val="nil"/>
            </w:tcBorders>
            <w:tcMar>
              <w:top w:w="109" w:type="dxa"/>
              <w:bottom w:w="109" w:type="dxa"/>
              <w:right w:w="109" w:type="dxa"/>
            </w:tcMar>
            <w:vAlign w:val="center"/>
            <w:hideMark/>
          </w:tcPr>
          <w:p w:rsidR="003E49B3" w:rsidRPr="00B41A17" w:rsidRDefault="003E49B3" w:rsidP="00F42F32">
            <w:pPr>
              <w:spacing w:after="0" w:line="360" w:lineRule="auto"/>
              <w:rPr>
                <w:rFonts w:eastAsia="Times New Roman" w:cstheme="minorHAnsi"/>
                <w:sz w:val="24"/>
                <w:szCs w:val="24"/>
              </w:rPr>
            </w:pPr>
            <w:r w:rsidRPr="00B41A17">
              <w:rPr>
                <w:rFonts w:eastAsia="Times New Roman" w:cstheme="minorHAnsi"/>
                <w:sz w:val="24"/>
                <w:szCs w:val="24"/>
              </w:rPr>
              <w:t>0.31–0.53</w:t>
            </w:r>
          </w:p>
        </w:tc>
        <w:tc>
          <w:tcPr>
            <w:tcW w:w="0" w:type="auto"/>
            <w:tcBorders>
              <w:top w:val="nil"/>
              <w:left w:val="nil"/>
              <w:bottom w:val="single" w:sz="2" w:space="0" w:color="E5E5E5"/>
              <w:right w:val="nil"/>
            </w:tcBorders>
            <w:tcMar>
              <w:top w:w="109" w:type="dxa"/>
              <w:bottom w:w="109" w:type="dxa"/>
              <w:right w:w="109" w:type="dxa"/>
            </w:tcMar>
            <w:vAlign w:val="center"/>
            <w:hideMark/>
          </w:tcPr>
          <w:p w:rsidR="003E49B3" w:rsidRPr="00B41A17" w:rsidRDefault="003E49B3" w:rsidP="00F42F32">
            <w:pPr>
              <w:spacing w:after="0" w:line="360" w:lineRule="auto"/>
              <w:rPr>
                <w:rFonts w:eastAsia="Times New Roman" w:cstheme="minorHAnsi"/>
                <w:sz w:val="24"/>
                <w:szCs w:val="24"/>
              </w:rPr>
            </w:pPr>
            <w:r w:rsidRPr="00B41A17">
              <w:rPr>
                <w:rFonts w:eastAsia="Times New Roman" w:cstheme="minorHAnsi"/>
                <w:sz w:val="24"/>
                <w:szCs w:val="24"/>
              </w:rPr>
              <w:t>0.001</w:t>
            </w:r>
          </w:p>
        </w:tc>
      </w:tr>
      <w:tr w:rsidR="003E49B3" w:rsidRPr="00B41A17" w:rsidTr="00F42F32">
        <w:tc>
          <w:tcPr>
            <w:tcW w:w="0" w:type="auto"/>
            <w:tcBorders>
              <w:top w:val="nil"/>
              <w:left w:val="nil"/>
              <w:bottom w:val="single" w:sz="2" w:space="0" w:color="E5E5E5"/>
              <w:right w:val="nil"/>
            </w:tcBorders>
            <w:tcMar>
              <w:top w:w="109" w:type="dxa"/>
              <w:left w:w="0" w:type="dxa"/>
              <w:bottom w:w="109" w:type="dxa"/>
              <w:right w:w="109" w:type="dxa"/>
            </w:tcMar>
            <w:vAlign w:val="center"/>
            <w:hideMark/>
          </w:tcPr>
          <w:p w:rsidR="003E49B3" w:rsidRPr="00B41A17" w:rsidRDefault="003E49B3" w:rsidP="00F42F32">
            <w:pPr>
              <w:spacing w:after="0" w:line="360" w:lineRule="auto"/>
              <w:rPr>
                <w:rFonts w:eastAsia="Times New Roman" w:cstheme="minorHAnsi"/>
                <w:sz w:val="24"/>
                <w:szCs w:val="24"/>
              </w:rPr>
            </w:pPr>
            <w:r w:rsidRPr="00B41A17">
              <w:rPr>
                <w:rFonts w:eastAsia="Times New Roman" w:cstheme="minorHAnsi"/>
                <w:b/>
                <w:bCs/>
                <w:sz w:val="24"/>
                <w:szCs w:val="24"/>
              </w:rPr>
              <w:t>IL-6</w:t>
            </w:r>
          </w:p>
        </w:tc>
        <w:tc>
          <w:tcPr>
            <w:tcW w:w="0" w:type="auto"/>
            <w:tcBorders>
              <w:top w:val="nil"/>
              <w:left w:val="nil"/>
              <w:bottom w:val="single" w:sz="2" w:space="0" w:color="E5E5E5"/>
              <w:right w:val="nil"/>
            </w:tcBorders>
            <w:tcMar>
              <w:top w:w="109" w:type="dxa"/>
              <w:left w:w="109" w:type="dxa"/>
              <w:bottom w:w="109" w:type="dxa"/>
              <w:right w:w="109" w:type="dxa"/>
            </w:tcMar>
            <w:vAlign w:val="center"/>
            <w:hideMark/>
          </w:tcPr>
          <w:p w:rsidR="003E49B3" w:rsidRPr="00B41A17" w:rsidRDefault="003E49B3" w:rsidP="00F42F32">
            <w:pPr>
              <w:spacing w:after="0" w:line="360" w:lineRule="auto"/>
              <w:rPr>
                <w:rFonts w:eastAsia="Times New Roman" w:cstheme="minorHAnsi"/>
                <w:sz w:val="24"/>
                <w:szCs w:val="24"/>
              </w:rPr>
            </w:pPr>
            <w:r w:rsidRPr="00B41A17">
              <w:rPr>
                <w:rFonts w:eastAsia="Times New Roman" w:cstheme="minorHAnsi"/>
                <w:sz w:val="24"/>
                <w:szCs w:val="24"/>
              </w:rPr>
              <w:t>0.38</w:t>
            </w:r>
          </w:p>
        </w:tc>
        <w:tc>
          <w:tcPr>
            <w:tcW w:w="0" w:type="auto"/>
            <w:tcBorders>
              <w:top w:val="nil"/>
              <w:left w:val="nil"/>
              <w:bottom w:val="single" w:sz="2" w:space="0" w:color="E5E5E5"/>
              <w:right w:val="nil"/>
            </w:tcBorders>
            <w:tcMar>
              <w:top w:w="109" w:type="dxa"/>
              <w:bottom w:w="109" w:type="dxa"/>
              <w:right w:w="109" w:type="dxa"/>
            </w:tcMar>
            <w:vAlign w:val="center"/>
            <w:hideMark/>
          </w:tcPr>
          <w:p w:rsidR="003E49B3" w:rsidRPr="00B41A17" w:rsidRDefault="003E49B3" w:rsidP="00F42F32">
            <w:pPr>
              <w:spacing w:after="0" w:line="360" w:lineRule="auto"/>
              <w:rPr>
                <w:rFonts w:eastAsia="Times New Roman" w:cstheme="minorHAnsi"/>
                <w:sz w:val="24"/>
                <w:szCs w:val="24"/>
              </w:rPr>
            </w:pPr>
            <w:r w:rsidRPr="00B41A17">
              <w:rPr>
                <w:rFonts w:eastAsia="Times New Roman" w:cstheme="minorHAnsi"/>
                <w:sz w:val="24"/>
                <w:szCs w:val="24"/>
              </w:rPr>
              <w:t>0.25–0.51</w:t>
            </w:r>
          </w:p>
        </w:tc>
        <w:tc>
          <w:tcPr>
            <w:tcW w:w="0" w:type="auto"/>
            <w:tcBorders>
              <w:top w:val="nil"/>
              <w:left w:val="nil"/>
              <w:bottom w:val="single" w:sz="2" w:space="0" w:color="E5E5E5"/>
              <w:right w:val="nil"/>
            </w:tcBorders>
            <w:tcMar>
              <w:top w:w="109" w:type="dxa"/>
              <w:bottom w:w="109" w:type="dxa"/>
              <w:right w:w="109" w:type="dxa"/>
            </w:tcMar>
            <w:vAlign w:val="center"/>
            <w:hideMark/>
          </w:tcPr>
          <w:p w:rsidR="003E49B3" w:rsidRPr="00B41A17" w:rsidRDefault="003E49B3" w:rsidP="00F42F32">
            <w:pPr>
              <w:spacing w:after="0" w:line="360" w:lineRule="auto"/>
              <w:rPr>
                <w:rFonts w:eastAsia="Times New Roman" w:cstheme="minorHAnsi"/>
                <w:sz w:val="24"/>
                <w:szCs w:val="24"/>
              </w:rPr>
            </w:pPr>
            <w:r w:rsidRPr="00B41A17">
              <w:rPr>
                <w:rFonts w:eastAsia="Times New Roman" w:cstheme="minorHAnsi"/>
                <w:sz w:val="24"/>
                <w:szCs w:val="24"/>
              </w:rPr>
              <w:t>0.003</w:t>
            </w:r>
          </w:p>
        </w:tc>
      </w:tr>
      <w:tr w:rsidR="003E49B3" w:rsidRPr="00B41A17" w:rsidTr="00F42F32">
        <w:tc>
          <w:tcPr>
            <w:tcW w:w="0" w:type="auto"/>
            <w:tcBorders>
              <w:top w:val="nil"/>
              <w:left w:val="nil"/>
              <w:bottom w:val="single" w:sz="2" w:space="0" w:color="E5E5E5"/>
              <w:right w:val="nil"/>
            </w:tcBorders>
            <w:tcMar>
              <w:top w:w="109" w:type="dxa"/>
              <w:left w:w="0" w:type="dxa"/>
              <w:bottom w:w="109" w:type="dxa"/>
              <w:right w:w="109" w:type="dxa"/>
            </w:tcMar>
            <w:vAlign w:val="center"/>
            <w:hideMark/>
          </w:tcPr>
          <w:p w:rsidR="003E49B3" w:rsidRPr="00B41A17" w:rsidRDefault="003E49B3" w:rsidP="00F42F32">
            <w:pPr>
              <w:spacing w:after="0" w:line="360" w:lineRule="auto"/>
              <w:rPr>
                <w:rFonts w:eastAsia="Times New Roman" w:cstheme="minorHAnsi"/>
                <w:sz w:val="24"/>
                <w:szCs w:val="24"/>
              </w:rPr>
            </w:pPr>
            <w:proofErr w:type="spellStart"/>
            <w:r w:rsidRPr="00B41A17">
              <w:rPr>
                <w:rFonts w:eastAsia="Times New Roman" w:cstheme="minorHAnsi"/>
                <w:b/>
                <w:bCs/>
                <w:sz w:val="24"/>
                <w:szCs w:val="24"/>
              </w:rPr>
              <w:t>hs</w:t>
            </w:r>
            <w:proofErr w:type="spellEnd"/>
            <w:r w:rsidRPr="00B41A17">
              <w:rPr>
                <w:rFonts w:eastAsia="Times New Roman" w:cstheme="minorHAnsi"/>
                <w:b/>
                <w:bCs/>
                <w:sz w:val="24"/>
                <w:szCs w:val="24"/>
              </w:rPr>
              <w:t>-CRP</w:t>
            </w:r>
          </w:p>
        </w:tc>
        <w:tc>
          <w:tcPr>
            <w:tcW w:w="0" w:type="auto"/>
            <w:tcBorders>
              <w:top w:val="nil"/>
              <w:left w:val="nil"/>
              <w:bottom w:val="single" w:sz="2" w:space="0" w:color="E5E5E5"/>
              <w:right w:val="nil"/>
            </w:tcBorders>
            <w:tcMar>
              <w:top w:w="109" w:type="dxa"/>
              <w:left w:w="109" w:type="dxa"/>
              <w:bottom w:w="109" w:type="dxa"/>
              <w:right w:w="109" w:type="dxa"/>
            </w:tcMar>
            <w:vAlign w:val="center"/>
            <w:hideMark/>
          </w:tcPr>
          <w:p w:rsidR="003E49B3" w:rsidRPr="00B41A17" w:rsidRDefault="003E49B3" w:rsidP="00F42F32">
            <w:pPr>
              <w:spacing w:after="0" w:line="360" w:lineRule="auto"/>
              <w:rPr>
                <w:rFonts w:eastAsia="Times New Roman" w:cstheme="minorHAnsi"/>
                <w:sz w:val="24"/>
                <w:szCs w:val="24"/>
              </w:rPr>
            </w:pPr>
            <w:r w:rsidRPr="00B41A17">
              <w:rPr>
                <w:rFonts w:eastAsia="Times New Roman" w:cstheme="minorHAnsi"/>
                <w:sz w:val="24"/>
                <w:szCs w:val="24"/>
              </w:rPr>
              <w:t>0.29</w:t>
            </w:r>
          </w:p>
        </w:tc>
        <w:tc>
          <w:tcPr>
            <w:tcW w:w="0" w:type="auto"/>
            <w:tcBorders>
              <w:top w:val="nil"/>
              <w:left w:val="nil"/>
              <w:bottom w:val="single" w:sz="2" w:space="0" w:color="E5E5E5"/>
              <w:right w:val="nil"/>
            </w:tcBorders>
            <w:tcMar>
              <w:top w:w="109" w:type="dxa"/>
              <w:bottom w:w="109" w:type="dxa"/>
              <w:right w:w="109" w:type="dxa"/>
            </w:tcMar>
            <w:vAlign w:val="center"/>
            <w:hideMark/>
          </w:tcPr>
          <w:p w:rsidR="003E49B3" w:rsidRPr="00B41A17" w:rsidRDefault="003E49B3" w:rsidP="00F42F32">
            <w:pPr>
              <w:spacing w:after="0" w:line="360" w:lineRule="auto"/>
              <w:rPr>
                <w:rFonts w:eastAsia="Times New Roman" w:cstheme="minorHAnsi"/>
                <w:sz w:val="24"/>
                <w:szCs w:val="24"/>
              </w:rPr>
            </w:pPr>
            <w:r w:rsidRPr="00B41A17">
              <w:rPr>
                <w:rFonts w:eastAsia="Times New Roman" w:cstheme="minorHAnsi"/>
                <w:sz w:val="24"/>
                <w:szCs w:val="24"/>
              </w:rPr>
              <w:t>0.15–0.43</w:t>
            </w:r>
          </w:p>
        </w:tc>
        <w:tc>
          <w:tcPr>
            <w:tcW w:w="0" w:type="auto"/>
            <w:tcBorders>
              <w:top w:val="nil"/>
              <w:left w:val="nil"/>
              <w:bottom w:val="single" w:sz="2" w:space="0" w:color="E5E5E5"/>
              <w:right w:val="nil"/>
            </w:tcBorders>
            <w:tcMar>
              <w:top w:w="109" w:type="dxa"/>
              <w:bottom w:w="109" w:type="dxa"/>
              <w:right w:w="109" w:type="dxa"/>
            </w:tcMar>
            <w:vAlign w:val="center"/>
            <w:hideMark/>
          </w:tcPr>
          <w:p w:rsidR="003E49B3" w:rsidRPr="00B41A17" w:rsidRDefault="003E49B3" w:rsidP="00F42F32">
            <w:pPr>
              <w:spacing w:after="0" w:line="360" w:lineRule="auto"/>
              <w:rPr>
                <w:rFonts w:eastAsia="Times New Roman" w:cstheme="minorHAnsi"/>
                <w:sz w:val="24"/>
                <w:szCs w:val="24"/>
              </w:rPr>
            </w:pPr>
            <w:r w:rsidRPr="00B41A17">
              <w:rPr>
                <w:rFonts w:eastAsia="Times New Roman" w:cstheme="minorHAnsi"/>
                <w:sz w:val="24"/>
                <w:szCs w:val="24"/>
              </w:rPr>
              <w:t>0.012</w:t>
            </w:r>
          </w:p>
        </w:tc>
      </w:tr>
      <w:tr w:rsidR="003E49B3" w:rsidRPr="00B41A17" w:rsidTr="00F42F32">
        <w:tc>
          <w:tcPr>
            <w:tcW w:w="0" w:type="auto"/>
            <w:tcBorders>
              <w:top w:val="nil"/>
              <w:left w:val="nil"/>
              <w:bottom w:val="single" w:sz="2" w:space="0" w:color="E5E5E5"/>
              <w:right w:val="nil"/>
            </w:tcBorders>
            <w:tcMar>
              <w:top w:w="109" w:type="dxa"/>
              <w:left w:w="0" w:type="dxa"/>
              <w:bottom w:w="109" w:type="dxa"/>
              <w:right w:w="109" w:type="dxa"/>
            </w:tcMar>
            <w:vAlign w:val="center"/>
            <w:hideMark/>
          </w:tcPr>
          <w:p w:rsidR="003E49B3" w:rsidRPr="00B41A17" w:rsidRDefault="003E49B3" w:rsidP="00F42F32">
            <w:pPr>
              <w:spacing w:after="0" w:line="360" w:lineRule="auto"/>
              <w:rPr>
                <w:rFonts w:eastAsia="Times New Roman" w:cstheme="minorHAnsi"/>
                <w:sz w:val="24"/>
                <w:szCs w:val="24"/>
              </w:rPr>
            </w:pPr>
            <w:r w:rsidRPr="00B41A17">
              <w:rPr>
                <w:rFonts w:eastAsia="Times New Roman" w:cstheme="minorHAnsi"/>
                <w:b/>
                <w:bCs/>
                <w:sz w:val="24"/>
                <w:szCs w:val="24"/>
              </w:rPr>
              <w:t>Age</w:t>
            </w:r>
          </w:p>
        </w:tc>
        <w:tc>
          <w:tcPr>
            <w:tcW w:w="0" w:type="auto"/>
            <w:tcBorders>
              <w:top w:val="nil"/>
              <w:left w:val="nil"/>
              <w:bottom w:val="single" w:sz="2" w:space="0" w:color="E5E5E5"/>
              <w:right w:val="nil"/>
            </w:tcBorders>
            <w:tcMar>
              <w:top w:w="109" w:type="dxa"/>
              <w:left w:w="109" w:type="dxa"/>
              <w:bottom w:w="109" w:type="dxa"/>
              <w:right w:w="109" w:type="dxa"/>
            </w:tcMar>
            <w:vAlign w:val="center"/>
            <w:hideMark/>
          </w:tcPr>
          <w:p w:rsidR="003E49B3" w:rsidRPr="00B41A17" w:rsidRDefault="003E49B3" w:rsidP="00F42F32">
            <w:pPr>
              <w:spacing w:after="0" w:line="360" w:lineRule="auto"/>
              <w:rPr>
                <w:rFonts w:eastAsia="Times New Roman" w:cstheme="minorHAnsi"/>
                <w:sz w:val="24"/>
                <w:szCs w:val="24"/>
              </w:rPr>
            </w:pPr>
            <w:r w:rsidRPr="00B41A17">
              <w:rPr>
                <w:rFonts w:eastAsia="Times New Roman" w:cstheme="minorHAnsi"/>
                <w:sz w:val="24"/>
                <w:szCs w:val="24"/>
              </w:rPr>
              <w:t>0.11</w:t>
            </w:r>
          </w:p>
        </w:tc>
        <w:tc>
          <w:tcPr>
            <w:tcW w:w="0" w:type="auto"/>
            <w:tcBorders>
              <w:top w:val="nil"/>
              <w:left w:val="nil"/>
              <w:bottom w:val="single" w:sz="2" w:space="0" w:color="E5E5E5"/>
              <w:right w:val="nil"/>
            </w:tcBorders>
            <w:tcMar>
              <w:top w:w="109" w:type="dxa"/>
              <w:bottom w:w="109" w:type="dxa"/>
              <w:right w:w="109" w:type="dxa"/>
            </w:tcMar>
            <w:vAlign w:val="center"/>
            <w:hideMark/>
          </w:tcPr>
          <w:p w:rsidR="003E49B3" w:rsidRPr="00B41A17" w:rsidRDefault="003E49B3" w:rsidP="00F42F32">
            <w:pPr>
              <w:spacing w:after="0" w:line="360" w:lineRule="auto"/>
              <w:rPr>
                <w:rFonts w:eastAsia="Times New Roman" w:cstheme="minorHAnsi"/>
                <w:sz w:val="24"/>
                <w:szCs w:val="24"/>
              </w:rPr>
            </w:pPr>
            <w:r w:rsidRPr="00B41A17">
              <w:rPr>
                <w:rFonts w:eastAsia="Times New Roman" w:cstheme="minorHAnsi"/>
                <w:sz w:val="24"/>
                <w:szCs w:val="24"/>
              </w:rPr>
              <w:t>-0.02–0.24</w:t>
            </w:r>
          </w:p>
        </w:tc>
        <w:tc>
          <w:tcPr>
            <w:tcW w:w="0" w:type="auto"/>
            <w:tcBorders>
              <w:top w:val="nil"/>
              <w:left w:val="nil"/>
              <w:bottom w:val="single" w:sz="2" w:space="0" w:color="E5E5E5"/>
              <w:right w:val="nil"/>
            </w:tcBorders>
            <w:tcMar>
              <w:top w:w="109" w:type="dxa"/>
              <w:bottom w:w="109" w:type="dxa"/>
              <w:right w:w="109" w:type="dxa"/>
            </w:tcMar>
            <w:vAlign w:val="center"/>
            <w:hideMark/>
          </w:tcPr>
          <w:p w:rsidR="003E49B3" w:rsidRPr="00B41A17" w:rsidRDefault="003E49B3" w:rsidP="00F42F32">
            <w:pPr>
              <w:spacing w:after="0" w:line="360" w:lineRule="auto"/>
              <w:rPr>
                <w:rFonts w:eastAsia="Times New Roman" w:cstheme="minorHAnsi"/>
                <w:sz w:val="24"/>
                <w:szCs w:val="24"/>
              </w:rPr>
            </w:pPr>
            <w:r w:rsidRPr="00B41A17">
              <w:rPr>
                <w:rFonts w:eastAsia="Times New Roman" w:cstheme="minorHAnsi"/>
                <w:sz w:val="24"/>
                <w:szCs w:val="24"/>
              </w:rPr>
              <w:t>0.089</w:t>
            </w:r>
          </w:p>
        </w:tc>
      </w:tr>
      <w:tr w:rsidR="003E49B3" w:rsidRPr="00B41A17" w:rsidTr="00F42F32">
        <w:tc>
          <w:tcPr>
            <w:tcW w:w="0" w:type="auto"/>
            <w:tcBorders>
              <w:top w:val="nil"/>
              <w:left w:val="nil"/>
              <w:bottom w:val="single" w:sz="2" w:space="0" w:color="E5E5E5"/>
              <w:right w:val="nil"/>
            </w:tcBorders>
            <w:tcMar>
              <w:top w:w="109" w:type="dxa"/>
              <w:left w:w="0" w:type="dxa"/>
              <w:bottom w:w="109" w:type="dxa"/>
              <w:right w:w="109" w:type="dxa"/>
            </w:tcMar>
            <w:vAlign w:val="center"/>
            <w:hideMark/>
          </w:tcPr>
          <w:p w:rsidR="003E49B3" w:rsidRPr="00B41A17" w:rsidRDefault="003E49B3" w:rsidP="00F42F32">
            <w:pPr>
              <w:spacing w:after="0" w:line="360" w:lineRule="auto"/>
              <w:rPr>
                <w:rFonts w:eastAsia="Times New Roman" w:cstheme="minorHAnsi"/>
                <w:sz w:val="24"/>
                <w:szCs w:val="24"/>
              </w:rPr>
            </w:pPr>
            <w:r w:rsidRPr="00B41A17">
              <w:rPr>
                <w:rFonts w:eastAsia="Times New Roman" w:cstheme="minorHAnsi"/>
                <w:b/>
                <w:bCs/>
                <w:sz w:val="24"/>
                <w:szCs w:val="24"/>
              </w:rPr>
              <w:t>BMI</w:t>
            </w:r>
          </w:p>
        </w:tc>
        <w:tc>
          <w:tcPr>
            <w:tcW w:w="0" w:type="auto"/>
            <w:tcBorders>
              <w:top w:val="nil"/>
              <w:left w:val="nil"/>
              <w:bottom w:val="single" w:sz="2" w:space="0" w:color="E5E5E5"/>
              <w:right w:val="nil"/>
            </w:tcBorders>
            <w:tcMar>
              <w:top w:w="109" w:type="dxa"/>
              <w:left w:w="109" w:type="dxa"/>
              <w:bottom w:w="109" w:type="dxa"/>
              <w:right w:w="109" w:type="dxa"/>
            </w:tcMar>
            <w:vAlign w:val="center"/>
            <w:hideMark/>
          </w:tcPr>
          <w:p w:rsidR="003E49B3" w:rsidRPr="00B41A17" w:rsidRDefault="003E49B3" w:rsidP="00F42F32">
            <w:pPr>
              <w:spacing w:after="0" w:line="360" w:lineRule="auto"/>
              <w:rPr>
                <w:rFonts w:eastAsia="Times New Roman" w:cstheme="minorHAnsi"/>
                <w:sz w:val="24"/>
                <w:szCs w:val="24"/>
              </w:rPr>
            </w:pPr>
            <w:r w:rsidRPr="00B41A17">
              <w:rPr>
                <w:rFonts w:eastAsia="Times New Roman" w:cstheme="minorHAnsi"/>
                <w:sz w:val="24"/>
                <w:szCs w:val="24"/>
              </w:rPr>
              <w:t>0.23</w:t>
            </w:r>
          </w:p>
        </w:tc>
        <w:tc>
          <w:tcPr>
            <w:tcW w:w="0" w:type="auto"/>
            <w:tcBorders>
              <w:top w:val="nil"/>
              <w:left w:val="nil"/>
              <w:bottom w:val="single" w:sz="2" w:space="0" w:color="E5E5E5"/>
              <w:right w:val="nil"/>
            </w:tcBorders>
            <w:tcMar>
              <w:top w:w="109" w:type="dxa"/>
              <w:bottom w:w="109" w:type="dxa"/>
              <w:right w:w="109" w:type="dxa"/>
            </w:tcMar>
            <w:vAlign w:val="center"/>
            <w:hideMark/>
          </w:tcPr>
          <w:p w:rsidR="003E49B3" w:rsidRPr="00B41A17" w:rsidRDefault="003E49B3" w:rsidP="00F42F32">
            <w:pPr>
              <w:spacing w:after="0" w:line="360" w:lineRule="auto"/>
              <w:rPr>
                <w:rFonts w:eastAsia="Times New Roman" w:cstheme="minorHAnsi"/>
                <w:sz w:val="24"/>
                <w:szCs w:val="24"/>
              </w:rPr>
            </w:pPr>
            <w:r w:rsidRPr="00B41A17">
              <w:rPr>
                <w:rFonts w:eastAsia="Times New Roman" w:cstheme="minorHAnsi"/>
                <w:sz w:val="24"/>
                <w:szCs w:val="24"/>
              </w:rPr>
              <w:t>0.09–0.37</w:t>
            </w:r>
          </w:p>
        </w:tc>
        <w:tc>
          <w:tcPr>
            <w:tcW w:w="0" w:type="auto"/>
            <w:tcBorders>
              <w:top w:val="nil"/>
              <w:left w:val="nil"/>
              <w:bottom w:val="single" w:sz="2" w:space="0" w:color="E5E5E5"/>
              <w:right w:val="nil"/>
            </w:tcBorders>
            <w:tcMar>
              <w:top w:w="109" w:type="dxa"/>
              <w:bottom w:w="109" w:type="dxa"/>
              <w:right w:w="109" w:type="dxa"/>
            </w:tcMar>
            <w:vAlign w:val="center"/>
            <w:hideMark/>
          </w:tcPr>
          <w:p w:rsidR="003E49B3" w:rsidRPr="00B41A17" w:rsidRDefault="003E49B3" w:rsidP="00F42F32">
            <w:pPr>
              <w:spacing w:after="0" w:line="360" w:lineRule="auto"/>
              <w:rPr>
                <w:rFonts w:eastAsia="Times New Roman" w:cstheme="minorHAnsi"/>
                <w:sz w:val="24"/>
                <w:szCs w:val="24"/>
              </w:rPr>
            </w:pPr>
            <w:r w:rsidRPr="00B41A17">
              <w:rPr>
                <w:rFonts w:eastAsia="Times New Roman" w:cstheme="minorHAnsi"/>
                <w:sz w:val="24"/>
                <w:szCs w:val="24"/>
              </w:rPr>
              <w:t>0.002</w:t>
            </w:r>
          </w:p>
        </w:tc>
      </w:tr>
    </w:tbl>
    <w:p w:rsidR="003E49B3" w:rsidRDefault="003E49B3" w:rsidP="003E49B3">
      <w:pPr>
        <w:shd w:val="clear" w:color="auto" w:fill="FFFFFF"/>
        <w:spacing w:before="150" w:after="150" w:line="360" w:lineRule="auto"/>
        <w:rPr>
          <w:rFonts w:eastAsia="Times New Roman" w:cstheme="minorHAnsi"/>
          <w:sz w:val="24"/>
          <w:szCs w:val="24"/>
        </w:rPr>
      </w:pPr>
      <w:r w:rsidRPr="00B41A17">
        <w:rPr>
          <w:rFonts w:eastAsia="Times New Roman" w:cstheme="minorHAnsi"/>
          <w:b/>
          <w:bCs/>
          <w:sz w:val="24"/>
          <w:szCs w:val="24"/>
        </w:rPr>
        <w:t>Adjusted R² = 0.67</w:t>
      </w:r>
      <w:r w:rsidRPr="00B41A17">
        <w:rPr>
          <w:rFonts w:eastAsia="Times New Roman" w:cstheme="minorHAnsi"/>
          <w:sz w:val="24"/>
          <w:szCs w:val="24"/>
        </w:rPr>
        <w:t> (</w:t>
      </w:r>
      <w:r w:rsidRPr="00B41A17">
        <w:rPr>
          <w:rFonts w:eastAsia="Times New Roman" w:cstheme="minorHAnsi"/>
          <w:i/>
          <w:iCs/>
          <w:sz w:val="24"/>
          <w:szCs w:val="24"/>
        </w:rPr>
        <w:t>Model significance: p &lt; 0.001</w:t>
      </w:r>
      <w:r w:rsidRPr="00B41A17">
        <w:rPr>
          <w:rFonts w:eastAsia="Times New Roman" w:cstheme="minorHAnsi"/>
          <w:sz w:val="24"/>
          <w:szCs w:val="24"/>
        </w:rPr>
        <w:t>)</w:t>
      </w:r>
    </w:p>
    <w:p w:rsidR="003E49B3" w:rsidRPr="00D766B3" w:rsidRDefault="003E49B3" w:rsidP="003E49B3">
      <w:pPr>
        <w:spacing w:before="100" w:beforeAutospacing="1" w:after="100" w:afterAutospacing="1" w:line="240" w:lineRule="auto"/>
        <w:jc w:val="both"/>
        <w:rPr>
          <w:rFonts w:eastAsia="Times New Roman" w:cstheme="minorHAnsi"/>
          <w:sz w:val="24"/>
          <w:szCs w:val="24"/>
        </w:rPr>
      </w:pPr>
      <w:r w:rsidRPr="00D766B3">
        <w:rPr>
          <w:rFonts w:eastAsia="Times New Roman" w:cstheme="minorHAnsi"/>
          <w:sz w:val="24"/>
          <w:szCs w:val="24"/>
        </w:rPr>
        <w:t>This table demonstrates that IL-6 and TNF-</w:t>
      </w:r>
      <w:proofErr w:type="gramStart"/>
      <w:r w:rsidRPr="00D766B3">
        <w:rPr>
          <w:rFonts w:eastAsia="Times New Roman" w:cstheme="minorHAnsi"/>
          <w:sz w:val="24"/>
          <w:szCs w:val="24"/>
        </w:rPr>
        <w:t>α are</w:t>
      </w:r>
      <w:proofErr w:type="gramEnd"/>
      <w:r w:rsidRPr="00D766B3">
        <w:rPr>
          <w:rFonts w:eastAsia="Times New Roman" w:cstheme="minorHAnsi"/>
          <w:sz w:val="24"/>
          <w:szCs w:val="24"/>
        </w:rPr>
        <w:t xml:space="preserve"> significant independent predictors of fasting blood sugar after adjusting for confounders.</w:t>
      </w:r>
    </w:p>
    <w:p w:rsidR="003E49B3" w:rsidRPr="00D766B3" w:rsidRDefault="003E49B3" w:rsidP="003E49B3">
      <w:pPr>
        <w:shd w:val="clear" w:color="auto" w:fill="FFFFFF"/>
        <w:spacing w:before="150" w:after="150" w:line="360" w:lineRule="auto"/>
        <w:rPr>
          <w:rFonts w:eastAsia="Times New Roman" w:cstheme="minorHAnsi"/>
          <w:sz w:val="24"/>
          <w:szCs w:val="24"/>
        </w:rPr>
      </w:pPr>
    </w:p>
    <w:p w:rsidR="003E49B3" w:rsidRDefault="003E49B3" w:rsidP="003E49B3">
      <w:pPr>
        <w:spacing w:before="100" w:beforeAutospacing="1" w:after="100" w:afterAutospacing="1" w:line="360" w:lineRule="auto"/>
        <w:jc w:val="both"/>
        <w:outlineLvl w:val="2"/>
        <w:rPr>
          <w:rFonts w:eastAsia="Times New Roman" w:cstheme="minorHAnsi"/>
          <w:b/>
          <w:bCs/>
          <w:sz w:val="24"/>
          <w:szCs w:val="24"/>
        </w:rPr>
      </w:pPr>
    </w:p>
    <w:p w:rsidR="003E49B3" w:rsidRDefault="003E49B3" w:rsidP="003E49B3">
      <w:pPr>
        <w:spacing w:before="100" w:beforeAutospacing="1" w:after="100" w:afterAutospacing="1" w:line="360" w:lineRule="auto"/>
        <w:jc w:val="both"/>
        <w:outlineLvl w:val="2"/>
        <w:rPr>
          <w:rFonts w:eastAsia="Times New Roman" w:cstheme="minorHAnsi"/>
          <w:b/>
          <w:bCs/>
          <w:sz w:val="24"/>
          <w:szCs w:val="24"/>
        </w:rPr>
      </w:pPr>
    </w:p>
    <w:p w:rsidR="003E49B3" w:rsidRDefault="003E49B3" w:rsidP="003E49B3">
      <w:pPr>
        <w:spacing w:before="100" w:beforeAutospacing="1" w:after="100" w:afterAutospacing="1" w:line="360" w:lineRule="auto"/>
        <w:jc w:val="both"/>
        <w:outlineLvl w:val="2"/>
        <w:rPr>
          <w:rFonts w:eastAsia="Times New Roman" w:cstheme="minorHAnsi"/>
          <w:b/>
          <w:bCs/>
          <w:sz w:val="24"/>
          <w:szCs w:val="24"/>
        </w:rPr>
      </w:pPr>
    </w:p>
    <w:p w:rsidR="003E49B3" w:rsidRDefault="003E49B3" w:rsidP="003E49B3">
      <w:pPr>
        <w:spacing w:before="100" w:beforeAutospacing="1" w:after="100" w:afterAutospacing="1" w:line="360" w:lineRule="auto"/>
        <w:jc w:val="both"/>
        <w:outlineLvl w:val="2"/>
        <w:rPr>
          <w:rFonts w:eastAsia="Times New Roman" w:cstheme="minorHAnsi"/>
          <w:b/>
          <w:bCs/>
          <w:sz w:val="24"/>
          <w:szCs w:val="24"/>
        </w:rPr>
      </w:pPr>
    </w:p>
    <w:p w:rsidR="003E49B3" w:rsidRDefault="003E49B3" w:rsidP="003E49B3">
      <w:pPr>
        <w:spacing w:before="100" w:beforeAutospacing="1" w:after="100" w:afterAutospacing="1" w:line="360" w:lineRule="auto"/>
        <w:jc w:val="both"/>
        <w:outlineLvl w:val="2"/>
        <w:rPr>
          <w:rFonts w:eastAsia="Times New Roman" w:cstheme="minorHAnsi"/>
          <w:b/>
          <w:bCs/>
          <w:sz w:val="24"/>
          <w:szCs w:val="24"/>
        </w:rPr>
      </w:pPr>
    </w:p>
    <w:p w:rsidR="003E49B3" w:rsidRDefault="003E49B3" w:rsidP="003E49B3">
      <w:pPr>
        <w:spacing w:before="100" w:beforeAutospacing="1" w:after="100" w:afterAutospacing="1" w:line="360" w:lineRule="auto"/>
        <w:jc w:val="both"/>
        <w:outlineLvl w:val="2"/>
        <w:rPr>
          <w:rFonts w:eastAsia="Times New Roman" w:cstheme="minorHAnsi"/>
          <w:b/>
          <w:bCs/>
          <w:sz w:val="24"/>
          <w:szCs w:val="24"/>
        </w:rPr>
      </w:pPr>
    </w:p>
    <w:p w:rsidR="003E49B3" w:rsidRDefault="003E49B3" w:rsidP="003E49B3">
      <w:pPr>
        <w:spacing w:before="100" w:beforeAutospacing="1" w:after="100" w:afterAutospacing="1" w:line="360" w:lineRule="auto"/>
        <w:jc w:val="both"/>
        <w:outlineLvl w:val="2"/>
        <w:rPr>
          <w:rFonts w:eastAsia="Times New Roman" w:cstheme="minorHAnsi"/>
          <w:b/>
          <w:bCs/>
          <w:sz w:val="24"/>
          <w:szCs w:val="24"/>
        </w:rPr>
      </w:pPr>
    </w:p>
    <w:p w:rsidR="003E49B3" w:rsidRDefault="003E49B3" w:rsidP="003E49B3">
      <w:pPr>
        <w:spacing w:before="100" w:beforeAutospacing="1" w:after="100" w:afterAutospacing="1" w:line="360" w:lineRule="auto"/>
        <w:jc w:val="both"/>
        <w:outlineLvl w:val="2"/>
        <w:rPr>
          <w:rFonts w:eastAsia="Times New Roman" w:cstheme="minorHAnsi"/>
          <w:b/>
          <w:bCs/>
          <w:sz w:val="24"/>
          <w:szCs w:val="24"/>
        </w:rPr>
      </w:pPr>
    </w:p>
    <w:p w:rsidR="003E49B3" w:rsidRDefault="003E49B3" w:rsidP="003E49B3">
      <w:pPr>
        <w:spacing w:before="100" w:beforeAutospacing="1" w:after="100" w:afterAutospacing="1" w:line="360" w:lineRule="auto"/>
        <w:jc w:val="both"/>
        <w:outlineLvl w:val="2"/>
        <w:rPr>
          <w:rFonts w:eastAsia="Times New Roman" w:cstheme="minorHAnsi"/>
          <w:b/>
          <w:bCs/>
          <w:sz w:val="24"/>
          <w:szCs w:val="24"/>
        </w:rPr>
      </w:pPr>
    </w:p>
    <w:p w:rsidR="003E49B3" w:rsidRPr="00F85DB8" w:rsidRDefault="003E49B3" w:rsidP="003E49B3">
      <w:pPr>
        <w:spacing w:before="100" w:beforeAutospacing="1" w:after="100" w:afterAutospacing="1" w:line="360" w:lineRule="auto"/>
        <w:jc w:val="both"/>
        <w:outlineLvl w:val="2"/>
        <w:rPr>
          <w:rFonts w:eastAsia="Times New Roman" w:cstheme="minorHAnsi"/>
          <w:b/>
          <w:bCs/>
          <w:sz w:val="24"/>
          <w:szCs w:val="24"/>
        </w:rPr>
      </w:pPr>
      <w:r w:rsidRPr="00BB6477">
        <w:rPr>
          <w:rFonts w:eastAsia="Times New Roman" w:cstheme="minorHAnsi"/>
          <w:b/>
          <w:bCs/>
          <w:sz w:val="24"/>
          <w:szCs w:val="24"/>
        </w:rPr>
        <w:t>4. Discussion</w:t>
      </w:r>
    </w:p>
    <w:p w:rsidR="003E49B3" w:rsidRPr="00EE3DA3" w:rsidRDefault="003E49B3" w:rsidP="003E49B3">
      <w:pPr>
        <w:spacing w:after="0" w:line="360" w:lineRule="auto"/>
        <w:jc w:val="both"/>
        <w:rPr>
          <w:rFonts w:eastAsia="Times New Roman" w:cstheme="minorHAnsi"/>
          <w:sz w:val="24"/>
          <w:szCs w:val="24"/>
        </w:rPr>
      </w:pPr>
      <w:r w:rsidRPr="00EE3DA3">
        <w:rPr>
          <w:rFonts w:eastAsia="Times New Roman" w:cstheme="minorHAnsi"/>
          <w:sz w:val="24"/>
          <w:szCs w:val="24"/>
        </w:rPr>
        <w:t>Among patients with Type 2 Diabetes Mellitus (T2DM) in Edo South, Nigeria, this study examined the association between inflammatory cytokines—interleukin-6 (IL-6), tumor necrosis factor-alpha (TNF-α), and high-sensitivity C-reactive protein (</w:t>
      </w:r>
      <w:proofErr w:type="spellStart"/>
      <w:r w:rsidRPr="00EE3DA3">
        <w:rPr>
          <w:rFonts w:eastAsia="Times New Roman" w:cstheme="minorHAnsi"/>
          <w:sz w:val="24"/>
          <w:szCs w:val="24"/>
        </w:rPr>
        <w:t>hs</w:t>
      </w:r>
      <w:proofErr w:type="spellEnd"/>
      <w:r w:rsidRPr="00EE3DA3">
        <w:rPr>
          <w:rFonts w:eastAsia="Times New Roman" w:cstheme="minorHAnsi"/>
          <w:sz w:val="24"/>
          <w:szCs w:val="24"/>
        </w:rPr>
        <w:t>-CRP)—and glycemic parameters. The findings showed that T2DM patients had significantly higher levels of all three cytokines than healthy cont</w:t>
      </w:r>
      <w:r>
        <w:rPr>
          <w:rFonts w:eastAsia="Times New Roman" w:cstheme="minorHAnsi"/>
          <w:sz w:val="24"/>
          <w:szCs w:val="24"/>
        </w:rPr>
        <w:t xml:space="preserve">rols, and there were also </w:t>
      </w:r>
      <w:r w:rsidRPr="003E49B3">
        <w:rPr>
          <w:rFonts w:eastAsia="Times New Roman" w:cstheme="minorHAnsi"/>
          <w:sz w:val="24"/>
          <w:szCs w:val="24"/>
          <w:highlight w:val="yellow"/>
        </w:rPr>
        <w:t>moderately</w:t>
      </w:r>
      <w:r>
        <w:rPr>
          <w:rFonts w:eastAsia="Times New Roman" w:cstheme="minorHAnsi"/>
          <w:sz w:val="24"/>
          <w:szCs w:val="24"/>
        </w:rPr>
        <w:t xml:space="preserve"> </w:t>
      </w:r>
      <w:r w:rsidRPr="00EE3DA3">
        <w:rPr>
          <w:rFonts w:eastAsia="Times New Roman" w:cstheme="minorHAnsi"/>
          <w:sz w:val="24"/>
          <w:szCs w:val="24"/>
        </w:rPr>
        <w:t>positive connections between these inflammatory markers and the length of the disease as well as fasting blood sugar (FBS) levels.</w:t>
      </w:r>
    </w:p>
    <w:p w:rsidR="003E49B3" w:rsidRPr="00EE3DA3" w:rsidRDefault="003E49B3" w:rsidP="003E49B3">
      <w:pPr>
        <w:spacing w:after="0" w:line="360" w:lineRule="auto"/>
        <w:jc w:val="both"/>
        <w:rPr>
          <w:rFonts w:eastAsia="Times New Roman" w:cstheme="minorHAnsi"/>
          <w:sz w:val="24"/>
          <w:szCs w:val="24"/>
        </w:rPr>
      </w:pPr>
      <w:r w:rsidRPr="00EE3DA3">
        <w:rPr>
          <w:rFonts w:eastAsia="Times New Roman" w:cstheme="minorHAnsi"/>
          <w:sz w:val="24"/>
          <w:szCs w:val="24"/>
        </w:rPr>
        <w:t>The control group's mean fasting blood glucose (FBS) was 70.24 ± 8.51 mg/dL, but the T2DM patients' FBS was 172.93 ± 27.93 mg/dL (p &lt; 0.001). This is consistent with accepted diagnostic standards and indicates poor glycemic control in the study population, which could be caused by insulin resistance, chronic hyperglycemia, and inadequate adherence to treatment [1].</w:t>
      </w:r>
    </w:p>
    <w:p w:rsidR="003E49B3" w:rsidRPr="00EE3DA3" w:rsidRDefault="003E49B3" w:rsidP="003E49B3">
      <w:pPr>
        <w:spacing w:after="0" w:line="360" w:lineRule="auto"/>
        <w:jc w:val="both"/>
        <w:rPr>
          <w:rFonts w:eastAsia="Times New Roman" w:cstheme="minorHAnsi"/>
          <w:sz w:val="24"/>
          <w:szCs w:val="24"/>
        </w:rPr>
      </w:pPr>
      <w:r w:rsidRPr="00EE3DA3">
        <w:rPr>
          <w:rFonts w:eastAsia="Times New Roman" w:cstheme="minorHAnsi"/>
          <w:sz w:val="24"/>
          <w:szCs w:val="24"/>
        </w:rPr>
        <w:t xml:space="preserve">Interestingly, the mean IL-6 level in diabetic patients was </w:t>
      </w:r>
      <w:proofErr w:type="gramStart"/>
      <w:r w:rsidRPr="00EE3DA3">
        <w:rPr>
          <w:rFonts w:eastAsia="Times New Roman" w:cstheme="minorHAnsi"/>
          <w:sz w:val="24"/>
          <w:szCs w:val="24"/>
        </w:rPr>
        <w:t>15.27 ± 4.88 pg/mL,</w:t>
      </w:r>
      <w:proofErr w:type="gramEnd"/>
      <w:r w:rsidRPr="00EE3DA3">
        <w:rPr>
          <w:rFonts w:eastAsia="Times New Roman" w:cstheme="minorHAnsi"/>
          <w:sz w:val="24"/>
          <w:szCs w:val="24"/>
        </w:rPr>
        <w:t xml:space="preserve"> which was significantly higher than the 6.03 ± 2.11 pg/mL observed in controls (p &lt; 0.001). </w:t>
      </w:r>
      <w:r w:rsidR="009679C6">
        <w:rPr>
          <w:rFonts w:eastAsia="Times New Roman" w:cstheme="minorHAnsi"/>
          <w:sz w:val="24"/>
          <w:szCs w:val="24"/>
        </w:rPr>
        <w:t xml:space="preserve">Additionally, there was a </w:t>
      </w:r>
      <w:r w:rsidR="009679C6" w:rsidRPr="009679C6">
        <w:rPr>
          <w:rFonts w:eastAsia="Times New Roman" w:cstheme="minorHAnsi"/>
          <w:sz w:val="24"/>
          <w:szCs w:val="24"/>
          <w:highlight w:val="yellow"/>
        </w:rPr>
        <w:t>moderately</w:t>
      </w:r>
      <w:r w:rsidRPr="00EE3DA3">
        <w:rPr>
          <w:rFonts w:eastAsia="Times New Roman" w:cstheme="minorHAnsi"/>
          <w:sz w:val="24"/>
          <w:szCs w:val="24"/>
        </w:rPr>
        <w:t xml:space="preserve"> positive correlation between IL-6 and FBS (r = 0.548, p &lt; 0.001) and with the length of the disease (r = 0.355, p = 0.002). These results corroborate earlier findings that chronic hyperglycemia triggers the release of IL-6 from immune cells and adipose tissue, contributing to a self-perpetuating inflammatory cycle that exacerbates insulin resistance [2–4]. IL-6 has been demonstrated to increase hepatic glucose production and disrupt insulin receptor signaling through Janus </w:t>
      </w:r>
      <w:proofErr w:type="spellStart"/>
      <w:r w:rsidRPr="00EE3DA3">
        <w:rPr>
          <w:rFonts w:eastAsia="Times New Roman" w:cstheme="minorHAnsi"/>
          <w:sz w:val="24"/>
          <w:szCs w:val="24"/>
        </w:rPr>
        <w:t>kinase</w:t>
      </w:r>
      <w:proofErr w:type="spellEnd"/>
      <w:r w:rsidRPr="00EE3DA3">
        <w:rPr>
          <w:rFonts w:eastAsia="Times New Roman" w:cstheme="minorHAnsi"/>
          <w:sz w:val="24"/>
          <w:szCs w:val="24"/>
        </w:rPr>
        <w:t>/signal transducers and activators of transcription (JAK/STAT) pathways, exacerbating hyperglycemia [5].</w:t>
      </w:r>
    </w:p>
    <w:p w:rsidR="003E49B3" w:rsidRPr="00EE3DA3" w:rsidRDefault="003E49B3" w:rsidP="003E49B3">
      <w:pPr>
        <w:spacing w:after="0" w:line="360" w:lineRule="auto"/>
        <w:jc w:val="both"/>
        <w:rPr>
          <w:rFonts w:eastAsia="Times New Roman" w:cstheme="minorHAnsi"/>
          <w:sz w:val="24"/>
          <w:szCs w:val="24"/>
        </w:rPr>
      </w:pPr>
      <w:r w:rsidRPr="00EE3DA3">
        <w:rPr>
          <w:rFonts w:eastAsia="Times New Roman" w:cstheme="minorHAnsi"/>
          <w:sz w:val="24"/>
          <w:szCs w:val="24"/>
        </w:rPr>
        <w:t xml:space="preserve">Similarly, TNF-α levels showed a moderately positive correlate with FBS (r = 0.416, p &lt; 0.001) and were substantially greater in diabetics (25.14 ± 6.10 pg/mL) than in controls (12.34 ± 3.26 pg/mL). By encouraging the serine phosphorylation of insulin receptor substrate-1 (IRS-1), TNF-α is known to suppress insulin signaling and interfere with the absorption of glucose in skeletal muscle and adipose tissue [6–8]. The cytokine also induces </w:t>
      </w:r>
      <w:proofErr w:type="spellStart"/>
      <w:r w:rsidRPr="00EE3DA3">
        <w:rPr>
          <w:rFonts w:eastAsia="Times New Roman" w:cstheme="minorHAnsi"/>
          <w:sz w:val="24"/>
          <w:szCs w:val="24"/>
        </w:rPr>
        <w:t>lipolysis</w:t>
      </w:r>
      <w:proofErr w:type="spellEnd"/>
      <w:r w:rsidRPr="00EE3DA3">
        <w:rPr>
          <w:rFonts w:eastAsia="Times New Roman" w:cstheme="minorHAnsi"/>
          <w:sz w:val="24"/>
          <w:szCs w:val="24"/>
        </w:rPr>
        <w:t xml:space="preserve"> and increases circulating free fatty acids, which further decrease insulin sensitivity. Because of its mechanistic function in </w:t>
      </w:r>
      <w:r w:rsidRPr="00EE3DA3">
        <w:rPr>
          <w:rFonts w:eastAsia="Times New Roman" w:cstheme="minorHAnsi"/>
          <w:sz w:val="24"/>
          <w:szCs w:val="24"/>
        </w:rPr>
        <w:lastRenderedPageBreak/>
        <w:t xml:space="preserve">glucose metabolism, TNF-α plays a significant role in the pathogenesis of type </w:t>
      </w:r>
      <w:proofErr w:type="gramStart"/>
      <w:r w:rsidRPr="00EE3DA3">
        <w:rPr>
          <w:rFonts w:eastAsia="Times New Roman" w:cstheme="minorHAnsi"/>
          <w:sz w:val="24"/>
          <w:szCs w:val="24"/>
        </w:rPr>
        <w:t>2 diabetes</w:t>
      </w:r>
      <w:proofErr w:type="gramEnd"/>
      <w:r w:rsidRPr="00EE3DA3">
        <w:rPr>
          <w:rFonts w:eastAsia="Times New Roman" w:cstheme="minorHAnsi"/>
          <w:sz w:val="24"/>
          <w:szCs w:val="24"/>
        </w:rPr>
        <w:t xml:space="preserve"> and may be a target for anti-inflammatory treatments [9].</w:t>
      </w:r>
    </w:p>
    <w:p w:rsidR="003E49B3" w:rsidRPr="00EE3DA3" w:rsidRDefault="003E49B3" w:rsidP="003E49B3">
      <w:pPr>
        <w:spacing w:after="0" w:line="360" w:lineRule="auto"/>
        <w:jc w:val="both"/>
        <w:rPr>
          <w:rFonts w:eastAsia="Times New Roman" w:cstheme="minorHAnsi"/>
          <w:sz w:val="24"/>
          <w:szCs w:val="24"/>
        </w:rPr>
      </w:pPr>
      <w:r w:rsidRPr="00EE3DA3">
        <w:rPr>
          <w:rFonts w:eastAsia="Times New Roman" w:cstheme="minorHAnsi"/>
          <w:sz w:val="24"/>
          <w:szCs w:val="24"/>
        </w:rPr>
        <w:t>High-sensitivity C-reactive protein (</w:t>
      </w:r>
      <w:proofErr w:type="spellStart"/>
      <w:r w:rsidRPr="00EE3DA3">
        <w:rPr>
          <w:rFonts w:eastAsia="Times New Roman" w:cstheme="minorHAnsi"/>
          <w:sz w:val="24"/>
          <w:szCs w:val="24"/>
        </w:rPr>
        <w:t>hs</w:t>
      </w:r>
      <w:proofErr w:type="spellEnd"/>
      <w:r w:rsidRPr="00EE3DA3">
        <w:rPr>
          <w:rFonts w:eastAsia="Times New Roman" w:cstheme="minorHAnsi"/>
          <w:sz w:val="24"/>
          <w:szCs w:val="24"/>
        </w:rPr>
        <w:t xml:space="preserve">-CRP), an acute-phase reactant and a downstream measure of IL-6 activity, was likewise higher in T2DM patients (9.65 ± 2.34 mg/L) compared to controls (2.87 ± 1.12 mg/L), p &lt; 0.001. The connection between </w:t>
      </w:r>
      <w:proofErr w:type="spellStart"/>
      <w:r w:rsidRPr="00EE3DA3">
        <w:rPr>
          <w:rFonts w:eastAsia="Times New Roman" w:cstheme="minorHAnsi"/>
          <w:sz w:val="24"/>
          <w:szCs w:val="24"/>
        </w:rPr>
        <w:t>hs</w:t>
      </w:r>
      <w:proofErr w:type="spellEnd"/>
      <w:r w:rsidRPr="00EE3DA3">
        <w:rPr>
          <w:rFonts w:eastAsia="Times New Roman" w:cstheme="minorHAnsi"/>
          <w:sz w:val="24"/>
          <w:szCs w:val="24"/>
        </w:rPr>
        <w:t>-CRP and FBS was moderate (r = 0.378, p &lt; 0.001), showing that systemic inflammation may represent the degree of glycemic dysregulation. Long acknowledged as a diagnostic of cardiovascular risk, elevated CRP in diabetics emphasizes the patients' heightened vulnerability to vascular problems [10–12].</w:t>
      </w:r>
    </w:p>
    <w:p w:rsidR="003E49B3" w:rsidRPr="00EE3DA3" w:rsidRDefault="003E49B3" w:rsidP="003E49B3">
      <w:pPr>
        <w:spacing w:after="0" w:line="360" w:lineRule="auto"/>
        <w:jc w:val="both"/>
        <w:rPr>
          <w:rFonts w:eastAsia="Times New Roman" w:cstheme="minorHAnsi"/>
          <w:sz w:val="24"/>
          <w:szCs w:val="24"/>
        </w:rPr>
      </w:pPr>
      <w:r w:rsidRPr="00EE3DA3">
        <w:rPr>
          <w:rFonts w:eastAsia="Times New Roman" w:cstheme="minorHAnsi"/>
          <w:sz w:val="24"/>
          <w:szCs w:val="24"/>
        </w:rPr>
        <w:t>Even after controlling for age, sex, body mass index (BMI), and length of disease, our multivariate regression analysis further supported the independent associations of TNF-α (β = 0.29, p = 0.006) and IL-6 (β = 0.45, p &lt; 0.001) with fasting glucose levels. This supports the idea that inflammatory cytokines are active mediators of metabolic failure in diabetes rather than only being the result of hyperglycemia [13–15].</w:t>
      </w:r>
    </w:p>
    <w:p w:rsidR="003E49B3" w:rsidRPr="00BB6477" w:rsidRDefault="003E49B3" w:rsidP="003E49B3">
      <w:pPr>
        <w:spacing w:after="0" w:line="360" w:lineRule="auto"/>
        <w:jc w:val="both"/>
        <w:rPr>
          <w:rFonts w:eastAsia="Times New Roman" w:cstheme="minorHAnsi"/>
          <w:sz w:val="24"/>
          <w:szCs w:val="24"/>
        </w:rPr>
      </w:pPr>
      <w:r w:rsidRPr="00BB6477">
        <w:rPr>
          <w:rFonts w:eastAsia="Times New Roman" w:cstheme="minorHAnsi"/>
          <w:sz w:val="24"/>
          <w:szCs w:val="24"/>
        </w:rPr>
        <w:t xml:space="preserve">These results are in line with those of </w:t>
      </w:r>
      <w:proofErr w:type="spellStart"/>
      <w:r w:rsidRPr="00BB6477">
        <w:rPr>
          <w:rFonts w:eastAsia="Times New Roman" w:cstheme="minorHAnsi"/>
          <w:sz w:val="24"/>
          <w:szCs w:val="24"/>
        </w:rPr>
        <w:t>Pradhan</w:t>
      </w:r>
      <w:proofErr w:type="spellEnd"/>
      <w:r w:rsidRPr="00BB6477">
        <w:rPr>
          <w:rFonts w:eastAsia="Times New Roman" w:cstheme="minorHAnsi"/>
          <w:sz w:val="24"/>
          <w:szCs w:val="24"/>
        </w:rPr>
        <w:t xml:space="preserve"> et al. [16], who found that in a prospective cohort, increased levels of CRP and IL-6 were predictive of incident diabetes. Similarly, </w:t>
      </w:r>
      <w:proofErr w:type="spellStart"/>
      <w:r w:rsidRPr="00BB6477">
        <w:rPr>
          <w:rFonts w:eastAsia="Times New Roman" w:cstheme="minorHAnsi"/>
          <w:sz w:val="24"/>
          <w:szCs w:val="24"/>
        </w:rPr>
        <w:t>Spranger</w:t>
      </w:r>
      <w:proofErr w:type="spellEnd"/>
      <w:r w:rsidRPr="00BB6477">
        <w:rPr>
          <w:rFonts w:eastAsia="Times New Roman" w:cstheme="minorHAnsi"/>
          <w:sz w:val="24"/>
          <w:szCs w:val="24"/>
        </w:rPr>
        <w:t xml:space="preserve"> et al. [17] shown that in non-diabetic people, increased TNF-α occurred prior to the onset of T2DM, indicating a pathogenic function rather than a simple correlation. Our investigation corroborates these observations in a Nigerian sample, where environmental factors such as food habits, infections, and heavy metal exposure may further enhance the inflammatory response in diabetics [18</w:t>
      </w:r>
      <w:proofErr w:type="gramStart"/>
      <w:r w:rsidRPr="00BB6477">
        <w:rPr>
          <w:rFonts w:eastAsia="Times New Roman" w:cstheme="minorHAnsi"/>
          <w:sz w:val="24"/>
          <w:szCs w:val="24"/>
        </w:rPr>
        <w:t>,19</w:t>
      </w:r>
      <w:proofErr w:type="gramEnd"/>
      <w:r w:rsidRPr="00BB6477">
        <w:rPr>
          <w:rFonts w:eastAsia="Times New Roman" w:cstheme="minorHAnsi"/>
          <w:sz w:val="24"/>
          <w:szCs w:val="24"/>
        </w:rPr>
        <w:t>].</w:t>
      </w:r>
    </w:p>
    <w:p w:rsidR="003E49B3" w:rsidRPr="00BB6477" w:rsidRDefault="003E49B3" w:rsidP="003E49B3">
      <w:pPr>
        <w:spacing w:after="0" w:line="360" w:lineRule="auto"/>
        <w:jc w:val="both"/>
        <w:rPr>
          <w:rFonts w:eastAsia="Times New Roman" w:cstheme="minorHAnsi"/>
          <w:sz w:val="24"/>
          <w:szCs w:val="24"/>
        </w:rPr>
      </w:pPr>
      <w:proofErr w:type="spellStart"/>
      <w:r w:rsidRPr="00BB6477">
        <w:rPr>
          <w:rFonts w:eastAsia="Times New Roman" w:cstheme="minorHAnsi"/>
          <w:sz w:val="24"/>
          <w:szCs w:val="24"/>
        </w:rPr>
        <w:t>Pathophysiologically</w:t>
      </w:r>
      <w:proofErr w:type="spellEnd"/>
      <w:r w:rsidRPr="00BB6477">
        <w:rPr>
          <w:rFonts w:eastAsia="Times New Roman" w:cstheme="minorHAnsi"/>
          <w:sz w:val="24"/>
          <w:szCs w:val="24"/>
        </w:rPr>
        <w:t xml:space="preserve"> speaking, malfunctioning adipose tissue, elevated oxidative stress, and the release of pro-inflammatory mediators from immune cells are the main causes of the interaction between metabolic dysregulation and persistent low-grade inflammation [20</w:t>
      </w:r>
      <w:proofErr w:type="gramStart"/>
      <w:r w:rsidRPr="00BB6477">
        <w:rPr>
          <w:rFonts w:eastAsia="Times New Roman" w:cstheme="minorHAnsi"/>
          <w:sz w:val="24"/>
          <w:szCs w:val="24"/>
        </w:rPr>
        <w:t>,21</w:t>
      </w:r>
      <w:proofErr w:type="gramEnd"/>
      <w:r w:rsidRPr="00BB6477">
        <w:rPr>
          <w:rFonts w:eastAsia="Times New Roman" w:cstheme="minorHAnsi"/>
          <w:sz w:val="24"/>
          <w:szCs w:val="24"/>
        </w:rPr>
        <w:t>]. Hyperglycemia and cytokine production reinforce one another at this immune-metabolic interface, creating a vicious cycle that eventually results in insulin resistance and β-cell fatigue [22, 23].</w:t>
      </w:r>
    </w:p>
    <w:p w:rsidR="003E49B3" w:rsidRPr="00BB6477" w:rsidRDefault="003E49B3" w:rsidP="003E49B3">
      <w:pPr>
        <w:spacing w:after="0" w:line="360" w:lineRule="auto"/>
        <w:jc w:val="both"/>
        <w:rPr>
          <w:rFonts w:eastAsia="Times New Roman" w:cstheme="minorHAnsi"/>
          <w:sz w:val="24"/>
          <w:szCs w:val="24"/>
        </w:rPr>
      </w:pPr>
      <w:r w:rsidRPr="00BB6477">
        <w:rPr>
          <w:rFonts w:eastAsia="Times New Roman" w:cstheme="minorHAnsi"/>
          <w:sz w:val="24"/>
          <w:szCs w:val="24"/>
        </w:rPr>
        <w:t xml:space="preserve">Our findings have important clinical implications. Glycemic parameters and inflammatory cytokines have a high association, suggesting that these indicators may be used to track the course of the disease and forecast how well a treatment will work. For instance, patients with </w:t>
      </w:r>
      <w:r w:rsidRPr="00BB6477">
        <w:rPr>
          <w:rFonts w:eastAsia="Times New Roman" w:cstheme="minorHAnsi"/>
          <w:sz w:val="24"/>
          <w:szCs w:val="24"/>
        </w:rPr>
        <w:lastRenderedPageBreak/>
        <w:t xml:space="preserve">consistently high IL-6 or TNF-α </w:t>
      </w:r>
      <w:proofErr w:type="gramStart"/>
      <w:r w:rsidRPr="00BB6477">
        <w:rPr>
          <w:rFonts w:eastAsia="Times New Roman" w:cstheme="minorHAnsi"/>
          <w:sz w:val="24"/>
          <w:szCs w:val="24"/>
        </w:rPr>
        <w:t>levels</w:t>
      </w:r>
      <w:proofErr w:type="gramEnd"/>
      <w:r w:rsidRPr="00BB6477">
        <w:rPr>
          <w:rFonts w:eastAsia="Times New Roman" w:cstheme="minorHAnsi"/>
          <w:sz w:val="24"/>
          <w:szCs w:val="24"/>
        </w:rPr>
        <w:t xml:space="preserve"> despite excellent glucose control may be candidates for supplementary anti-inflammatory therapy. Indeed, recent studies using IL-1 antagonists and the anti-inflammatory medication </w:t>
      </w:r>
      <w:proofErr w:type="spellStart"/>
      <w:r w:rsidRPr="00BB6477">
        <w:rPr>
          <w:rFonts w:eastAsia="Times New Roman" w:cstheme="minorHAnsi"/>
          <w:sz w:val="24"/>
          <w:szCs w:val="24"/>
        </w:rPr>
        <w:t>salsalate</w:t>
      </w:r>
      <w:proofErr w:type="spellEnd"/>
      <w:r w:rsidRPr="00BB6477">
        <w:rPr>
          <w:rFonts w:eastAsia="Times New Roman" w:cstheme="minorHAnsi"/>
          <w:sz w:val="24"/>
          <w:szCs w:val="24"/>
        </w:rPr>
        <w:t xml:space="preserve"> have demonstrated encouraging outcomes in terms of raising insulin sensitivity and lowering HbA1c in individuals with type 2 diabetes [24</w:t>
      </w:r>
      <w:proofErr w:type="gramStart"/>
      <w:r w:rsidRPr="00BB6477">
        <w:rPr>
          <w:rFonts w:eastAsia="Times New Roman" w:cstheme="minorHAnsi"/>
          <w:sz w:val="24"/>
          <w:szCs w:val="24"/>
        </w:rPr>
        <w:t>,25</w:t>
      </w:r>
      <w:proofErr w:type="gramEnd"/>
      <w:r w:rsidRPr="00BB6477">
        <w:rPr>
          <w:rFonts w:eastAsia="Times New Roman" w:cstheme="minorHAnsi"/>
          <w:sz w:val="24"/>
          <w:szCs w:val="24"/>
        </w:rPr>
        <w:t>].</w:t>
      </w:r>
    </w:p>
    <w:p w:rsidR="003E49B3" w:rsidRPr="00BB6477" w:rsidRDefault="003E49B3" w:rsidP="003E49B3">
      <w:pPr>
        <w:spacing w:after="0" w:line="360" w:lineRule="auto"/>
        <w:jc w:val="both"/>
        <w:rPr>
          <w:rFonts w:eastAsia="Times New Roman" w:cstheme="minorHAnsi"/>
          <w:sz w:val="24"/>
          <w:szCs w:val="24"/>
        </w:rPr>
      </w:pPr>
      <w:r w:rsidRPr="00BB6477">
        <w:rPr>
          <w:rFonts w:eastAsia="Times New Roman" w:cstheme="minorHAnsi"/>
          <w:sz w:val="24"/>
          <w:szCs w:val="24"/>
        </w:rPr>
        <w:t>However, this study is not without limits. Since the design is cross-sectional, causality cannot be deduced. Additionally, because of resource limitations, HbA1c—a more reliable measure of long-term glycemic control—was not evaluated. Additionally, the study did not account for other variables that can affect cytokine levels, such as socioeconomic status, nutritional intake, or physical activity.</w:t>
      </w:r>
    </w:p>
    <w:p w:rsidR="003E49B3" w:rsidRPr="00BB6477" w:rsidRDefault="003E49B3" w:rsidP="003E49B3">
      <w:pPr>
        <w:spacing w:after="0" w:line="360" w:lineRule="auto"/>
        <w:jc w:val="both"/>
        <w:rPr>
          <w:rFonts w:eastAsia="Times New Roman" w:cstheme="minorHAnsi"/>
          <w:sz w:val="24"/>
          <w:szCs w:val="24"/>
        </w:rPr>
      </w:pPr>
      <w:r w:rsidRPr="00BB6477">
        <w:rPr>
          <w:rFonts w:eastAsia="Times New Roman" w:cstheme="minorHAnsi"/>
          <w:sz w:val="24"/>
          <w:szCs w:val="24"/>
        </w:rPr>
        <w:t>Although this is one of the few studies in sub-Saharan Africa to systematically assess the association between glycemic indices and pro-inflammatory cytokines, it offers new information about the inflammatory profile of T2DM patients in Nigeria and contributes to the paradigm shift toward considering T2DM as both an inflammatory and metabolic disease.</w:t>
      </w:r>
    </w:p>
    <w:p w:rsidR="003E49B3" w:rsidRPr="00BB6477" w:rsidRDefault="003E49B3" w:rsidP="003E49B3">
      <w:pPr>
        <w:spacing w:line="360" w:lineRule="auto"/>
        <w:jc w:val="both"/>
        <w:rPr>
          <w:rFonts w:cstheme="minorHAnsi"/>
          <w:sz w:val="24"/>
          <w:szCs w:val="24"/>
        </w:rPr>
      </w:pPr>
    </w:p>
    <w:p w:rsidR="003E49B3" w:rsidRPr="00BB6477" w:rsidRDefault="003E49B3" w:rsidP="003E49B3">
      <w:pPr>
        <w:spacing w:line="360" w:lineRule="auto"/>
        <w:jc w:val="both"/>
        <w:rPr>
          <w:rFonts w:cstheme="minorHAnsi"/>
          <w:sz w:val="24"/>
          <w:szCs w:val="24"/>
        </w:rPr>
      </w:pPr>
    </w:p>
    <w:p w:rsidR="003E49B3" w:rsidRPr="00BB6477" w:rsidRDefault="003E49B3" w:rsidP="003E49B3">
      <w:pPr>
        <w:spacing w:line="360" w:lineRule="auto"/>
        <w:jc w:val="both"/>
        <w:rPr>
          <w:rFonts w:cstheme="minorHAnsi"/>
          <w:sz w:val="24"/>
          <w:szCs w:val="24"/>
        </w:rPr>
      </w:pPr>
    </w:p>
    <w:p w:rsidR="003E49B3" w:rsidRPr="00BB6477" w:rsidRDefault="003E49B3" w:rsidP="003E49B3">
      <w:pPr>
        <w:spacing w:line="360" w:lineRule="auto"/>
        <w:jc w:val="both"/>
        <w:rPr>
          <w:rFonts w:cstheme="minorHAnsi"/>
          <w:sz w:val="24"/>
          <w:szCs w:val="24"/>
        </w:rPr>
      </w:pPr>
    </w:p>
    <w:p w:rsidR="003E49B3" w:rsidRPr="00BB6477" w:rsidRDefault="003E49B3" w:rsidP="003E49B3">
      <w:pPr>
        <w:spacing w:line="360" w:lineRule="auto"/>
        <w:jc w:val="both"/>
        <w:rPr>
          <w:rFonts w:cstheme="minorHAnsi"/>
          <w:sz w:val="24"/>
          <w:szCs w:val="24"/>
        </w:rPr>
      </w:pPr>
    </w:p>
    <w:p w:rsidR="003E49B3" w:rsidRPr="00711D4D" w:rsidRDefault="003E49B3" w:rsidP="003E49B3">
      <w:pPr>
        <w:spacing w:line="360" w:lineRule="auto"/>
        <w:jc w:val="both"/>
        <w:rPr>
          <w:rFonts w:cstheme="minorHAnsi"/>
          <w:sz w:val="24"/>
          <w:szCs w:val="24"/>
        </w:rPr>
      </w:pPr>
    </w:p>
    <w:p w:rsidR="003E49B3" w:rsidRPr="00711D4D" w:rsidRDefault="003E49B3" w:rsidP="003E49B3">
      <w:pPr>
        <w:spacing w:line="360" w:lineRule="auto"/>
        <w:jc w:val="both"/>
        <w:rPr>
          <w:rFonts w:cstheme="minorHAnsi"/>
          <w:sz w:val="24"/>
          <w:szCs w:val="24"/>
        </w:rPr>
      </w:pPr>
    </w:p>
    <w:p w:rsidR="003E49B3" w:rsidRPr="00711D4D" w:rsidRDefault="003E49B3" w:rsidP="003E49B3">
      <w:pPr>
        <w:spacing w:line="360" w:lineRule="auto"/>
        <w:jc w:val="both"/>
        <w:rPr>
          <w:rFonts w:cstheme="minorHAnsi"/>
          <w:sz w:val="24"/>
          <w:szCs w:val="24"/>
        </w:rPr>
      </w:pPr>
    </w:p>
    <w:p w:rsidR="003E49B3" w:rsidRPr="00711D4D" w:rsidRDefault="003E49B3" w:rsidP="003E49B3">
      <w:pPr>
        <w:spacing w:line="360" w:lineRule="auto"/>
        <w:jc w:val="both"/>
        <w:rPr>
          <w:rFonts w:cstheme="minorHAnsi"/>
          <w:sz w:val="24"/>
          <w:szCs w:val="24"/>
        </w:rPr>
      </w:pPr>
    </w:p>
    <w:p w:rsidR="003E49B3" w:rsidRPr="00711D4D" w:rsidRDefault="003E49B3" w:rsidP="003E49B3">
      <w:pPr>
        <w:spacing w:line="360" w:lineRule="auto"/>
        <w:jc w:val="both"/>
        <w:rPr>
          <w:rFonts w:cstheme="minorHAnsi"/>
          <w:sz w:val="24"/>
          <w:szCs w:val="24"/>
        </w:rPr>
      </w:pPr>
    </w:p>
    <w:p w:rsidR="003E49B3" w:rsidRPr="00711D4D" w:rsidRDefault="003E49B3" w:rsidP="003E49B3">
      <w:pPr>
        <w:spacing w:line="360" w:lineRule="auto"/>
        <w:jc w:val="both"/>
        <w:rPr>
          <w:rFonts w:cstheme="minorHAnsi"/>
          <w:sz w:val="24"/>
          <w:szCs w:val="24"/>
        </w:rPr>
      </w:pPr>
    </w:p>
    <w:p w:rsidR="003E49B3" w:rsidRDefault="003E49B3" w:rsidP="003E49B3">
      <w:pPr>
        <w:spacing w:line="360" w:lineRule="auto"/>
        <w:jc w:val="both"/>
        <w:rPr>
          <w:rFonts w:cstheme="minorHAnsi"/>
          <w:sz w:val="24"/>
          <w:szCs w:val="24"/>
        </w:rPr>
      </w:pPr>
    </w:p>
    <w:p w:rsidR="003E49B3" w:rsidRPr="00711D4D" w:rsidRDefault="003E49B3" w:rsidP="003E49B3">
      <w:pPr>
        <w:spacing w:line="360" w:lineRule="auto"/>
        <w:jc w:val="both"/>
        <w:rPr>
          <w:rFonts w:cstheme="minorHAnsi"/>
          <w:sz w:val="24"/>
          <w:szCs w:val="24"/>
        </w:rPr>
      </w:pPr>
    </w:p>
    <w:p w:rsidR="003E49B3" w:rsidRPr="00F85DB8" w:rsidRDefault="003E49B3" w:rsidP="003E49B3">
      <w:pPr>
        <w:spacing w:before="100" w:beforeAutospacing="1" w:after="100" w:afterAutospacing="1" w:line="360" w:lineRule="auto"/>
        <w:jc w:val="both"/>
        <w:outlineLvl w:val="2"/>
        <w:rPr>
          <w:rFonts w:eastAsia="Times New Roman" w:cstheme="minorHAnsi"/>
          <w:b/>
          <w:bCs/>
          <w:sz w:val="24"/>
          <w:szCs w:val="24"/>
        </w:rPr>
      </w:pPr>
      <w:r w:rsidRPr="00711D4D">
        <w:rPr>
          <w:rFonts w:eastAsia="Times New Roman" w:cstheme="minorHAnsi"/>
          <w:b/>
          <w:bCs/>
          <w:sz w:val="24"/>
          <w:szCs w:val="24"/>
        </w:rPr>
        <w:t>5. Conclusion</w:t>
      </w:r>
    </w:p>
    <w:p w:rsidR="003E49B3" w:rsidRPr="00F85DB8" w:rsidRDefault="003E49B3" w:rsidP="003E49B3">
      <w:pPr>
        <w:spacing w:before="100" w:beforeAutospacing="1" w:after="100" w:afterAutospacing="1" w:line="360" w:lineRule="auto"/>
        <w:jc w:val="both"/>
        <w:rPr>
          <w:rFonts w:eastAsia="Times New Roman" w:cstheme="minorHAnsi"/>
          <w:sz w:val="24"/>
          <w:szCs w:val="24"/>
        </w:rPr>
      </w:pPr>
      <w:r w:rsidRPr="00F85DB8">
        <w:rPr>
          <w:rFonts w:eastAsia="Times New Roman" w:cstheme="minorHAnsi"/>
          <w:sz w:val="24"/>
          <w:szCs w:val="24"/>
        </w:rPr>
        <w:t xml:space="preserve">This study highlights the significant elevation of inflammatory cytokines—IL-6, TNF-α, and </w:t>
      </w:r>
      <w:proofErr w:type="spellStart"/>
      <w:r w:rsidRPr="00F85DB8">
        <w:rPr>
          <w:rFonts w:eastAsia="Times New Roman" w:cstheme="minorHAnsi"/>
          <w:sz w:val="24"/>
          <w:szCs w:val="24"/>
        </w:rPr>
        <w:t>hs</w:t>
      </w:r>
      <w:proofErr w:type="spellEnd"/>
      <w:r w:rsidRPr="00F85DB8">
        <w:rPr>
          <w:rFonts w:eastAsia="Times New Roman" w:cstheme="minorHAnsi"/>
          <w:sz w:val="24"/>
          <w:szCs w:val="24"/>
        </w:rPr>
        <w:t>-CRP—in patients with Type 2 Diabetes Mellitus (T2DM) compared to healthy controls. These markers were positively associated with fasting blood sugar levels and duration of diabetes, indicating a strong link between chronic inflammation and poor glycemic control. The findings reinforce the growing evidence that T2DM is not solely a metabolic disorder but also a chronic inflammatory condition. IL-6 and TNF-α, in particular, emerged as independent predictors of hyperglycemia, suggesting their potential role in disease pathogenesis and progression. The results underscore the value of incorporating inflammatory biomarkers into routine diabetes assessment, especially in resource-limited settings. Monitoring these markers may improve disease management, identify high-risk individuals, and guide targeted interventions. Further longitudinal studies are warranted to explore causality and evaluate the impact of anti-inflammatory therapies on glycemic outcomes and complications in diabetic populations.</w:t>
      </w:r>
    </w:p>
    <w:p w:rsidR="003E49B3" w:rsidRPr="00711D4D" w:rsidRDefault="003E49B3" w:rsidP="003E49B3">
      <w:pPr>
        <w:spacing w:line="360" w:lineRule="auto"/>
        <w:jc w:val="both"/>
        <w:rPr>
          <w:rFonts w:cstheme="minorHAnsi"/>
          <w:sz w:val="24"/>
          <w:szCs w:val="24"/>
        </w:rPr>
      </w:pPr>
    </w:p>
    <w:p w:rsidR="003E49B3" w:rsidRPr="00711D4D" w:rsidRDefault="003E49B3" w:rsidP="003E49B3">
      <w:pPr>
        <w:spacing w:line="360" w:lineRule="auto"/>
        <w:jc w:val="both"/>
        <w:rPr>
          <w:rFonts w:cstheme="minorHAnsi"/>
          <w:sz w:val="24"/>
          <w:szCs w:val="24"/>
        </w:rPr>
      </w:pPr>
    </w:p>
    <w:p w:rsidR="003E49B3" w:rsidRPr="00711D4D" w:rsidRDefault="003E49B3" w:rsidP="003E49B3">
      <w:pPr>
        <w:spacing w:line="360" w:lineRule="auto"/>
        <w:jc w:val="both"/>
        <w:rPr>
          <w:rFonts w:cstheme="minorHAnsi"/>
          <w:sz w:val="24"/>
          <w:szCs w:val="24"/>
        </w:rPr>
      </w:pPr>
    </w:p>
    <w:p w:rsidR="003E49B3" w:rsidRPr="00711D4D" w:rsidRDefault="003E49B3" w:rsidP="003E49B3">
      <w:pPr>
        <w:spacing w:line="360" w:lineRule="auto"/>
        <w:jc w:val="both"/>
        <w:rPr>
          <w:rFonts w:cstheme="minorHAnsi"/>
          <w:sz w:val="24"/>
          <w:szCs w:val="24"/>
        </w:rPr>
      </w:pPr>
    </w:p>
    <w:p w:rsidR="003E49B3" w:rsidRPr="00711D4D" w:rsidRDefault="003E49B3" w:rsidP="003E49B3">
      <w:pPr>
        <w:spacing w:line="360" w:lineRule="auto"/>
        <w:jc w:val="both"/>
        <w:rPr>
          <w:rFonts w:cstheme="minorHAnsi"/>
          <w:sz w:val="24"/>
          <w:szCs w:val="24"/>
        </w:rPr>
      </w:pPr>
    </w:p>
    <w:p w:rsidR="003E49B3" w:rsidRPr="00711D4D" w:rsidRDefault="003E49B3" w:rsidP="003E49B3">
      <w:pPr>
        <w:spacing w:line="360" w:lineRule="auto"/>
        <w:jc w:val="both"/>
        <w:rPr>
          <w:rFonts w:cstheme="minorHAnsi"/>
          <w:sz w:val="24"/>
          <w:szCs w:val="24"/>
        </w:rPr>
      </w:pPr>
    </w:p>
    <w:p w:rsidR="003E49B3" w:rsidRPr="00711D4D" w:rsidRDefault="003E49B3" w:rsidP="003E49B3">
      <w:pPr>
        <w:spacing w:line="360" w:lineRule="auto"/>
        <w:jc w:val="both"/>
        <w:rPr>
          <w:rFonts w:cstheme="minorHAnsi"/>
          <w:sz w:val="24"/>
          <w:szCs w:val="24"/>
        </w:rPr>
      </w:pPr>
    </w:p>
    <w:p w:rsidR="003E49B3" w:rsidRPr="00711D4D" w:rsidRDefault="003E49B3" w:rsidP="003E49B3">
      <w:pPr>
        <w:spacing w:line="360" w:lineRule="auto"/>
        <w:jc w:val="both"/>
        <w:rPr>
          <w:rFonts w:cstheme="minorHAnsi"/>
          <w:sz w:val="24"/>
          <w:szCs w:val="24"/>
        </w:rPr>
      </w:pPr>
    </w:p>
    <w:p w:rsidR="003E49B3" w:rsidRPr="00711D4D" w:rsidRDefault="003E49B3" w:rsidP="003E49B3">
      <w:pPr>
        <w:spacing w:line="360" w:lineRule="auto"/>
        <w:jc w:val="both"/>
        <w:rPr>
          <w:rFonts w:cstheme="minorHAnsi"/>
          <w:sz w:val="24"/>
          <w:szCs w:val="24"/>
        </w:rPr>
      </w:pPr>
    </w:p>
    <w:p w:rsidR="003E49B3" w:rsidRDefault="003E49B3" w:rsidP="003E49B3">
      <w:pPr>
        <w:spacing w:before="100" w:beforeAutospacing="1" w:after="100" w:afterAutospacing="1" w:line="360" w:lineRule="auto"/>
        <w:jc w:val="both"/>
        <w:outlineLvl w:val="2"/>
        <w:rPr>
          <w:rFonts w:cstheme="minorHAnsi"/>
          <w:sz w:val="24"/>
          <w:szCs w:val="24"/>
        </w:rPr>
      </w:pPr>
    </w:p>
    <w:p w:rsidR="003E49B3" w:rsidRPr="00F85DB8" w:rsidRDefault="003E49B3" w:rsidP="003E49B3">
      <w:pPr>
        <w:spacing w:before="100" w:beforeAutospacing="1" w:after="100" w:afterAutospacing="1" w:line="360" w:lineRule="auto"/>
        <w:jc w:val="both"/>
        <w:outlineLvl w:val="2"/>
        <w:rPr>
          <w:rFonts w:eastAsia="Times New Roman" w:cstheme="minorHAnsi"/>
          <w:b/>
          <w:bCs/>
          <w:sz w:val="24"/>
          <w:szCs w:val="24"/>
        </w:rPr>
      </w:pPr>
      <w:r w:rsidRPr="00711D4D">
        <w:rPr>
          <w:rFonts w:eastAsia="Times New Roman" w:cstheme="minorHAnsi"/>
          <w:b/>
          <w:bCs/>
          <w:sz w:val="24"/>
          <w:szCs w:val="24"/>
        </w:rPr>
        <w:t>6. Recommendation</w:t>
      </w:r>
    </w:p>
    <w:p w:rsidR="003E49B3" w:rsidRPr="00F85DB8" w:rsidRDefault="003E49B3" w:rsidP="003E49B3">
      <w:pPr>
        <w:spacing w:before="100" w:beforeAutospacing="1" w:after="100" w:afterAutospacing="1" w:line="360" w:lineRule="auto"/>
        <w:jc w:val="both"/>
        <w:rPr>
          <w:rFonts w:eastAsia="Times New Roman" w:cstheme="minorHAnsi"/>
          <w:sz w:val="24"/>
          <w:szCs w:val="24"/>
        </w:rPr>
      </w:pPr>
      <w:r w:rsidRPr="00F85DB8">
        <w:rPr>
          <w:rFonts w:eastAsia="Times New Roman" w:cstheme="minorHAnsi"/>
          <w:sz w:val="24"/>
          <w:szCs w:val="24"/>
        </w:rPr>
        <w:t xml:space="preserve">Based on the findings of this study, it is recommended that inflammatory biomarkers such as IL-6, </w:t>
      </w:r>
      <w:proofErr w:type="gramStart"/>
      <w:r w:rsidRPr="00F85DB8">
        <w:rPr>
          <w:rFonts w:eastAsia="Times New Roman" w:cstheme="minorHAnsi"/>
          <w:sz w:val="24"/>
          <w:szCs w:val="24"/>
        </w:rPr>
        <w:t>TNF-α,</w:t>
      </w:r>
      <w:proofErr w:type="gramEnd"/>
      <w:r w:rsidRPr="00F85DB8">
        <w:rPr>
          <w:rFonts w:eastAsia="Times New Roman" w:cstheme="minorHAnsi"/>
          <w:sz w:val="24"/>
          <w:szCs w:val="24"/>
        </w:rPr>
        <w:t xml:space="preserve"> and </w:t>
      </w:r>
      <w:proofErr w:type="spellStart"/>
      <w:r w:rsidRPr="00F85DB8">
        <w:rPr>
          <w:rFonts w:eastAsia="Times New Roman" w:cstheme="minorHAnsi"/>
          <w:sz w:val="24"/>
          <w:szCs w:val="24"/>
        </w:rPr>
        <w:t>hs</w:t>
      </w:r>
      <w:proofErr w:type="spellEnd"/>
      <w:r w:rsidRPr="00F85DB8">
        <w:rPr>
          <w:rFonts w:eastAsia="Times New Roman" w:cstheme="minorHAnsi"/>
          <w:sz w:val="24"/>
          <w:szCs w:val="24"/>
        </w:rPr>
        <w:t>-CRP be integrated into routine clinical evaluation of patients with Type 2 Diabetes Mellitus to enhance risk assessment and disease monitoring. Healthcare providers should consider adopting anti-inflammatory therapeutic strategies alongside glycemic control to mitigate complications. Public health policies should promote early screening and lifestyle interventions that target both metabolic and inflammatory pathways. Additionally, future research should focus on longitudinal and interventional studies to establish causal relationships and assess the effectiveness of inflammation-targeted therapies in improving diabetic outcomes.</w:t>
      </w:r>
    </w:p>
    <w:p w:rsidR="003E49B3" w:rsidRPr="00711D4D" w:rsidRDefault="003E49B3" w:rsidP="003E49B3">
      <w:pPr>
        <w:spacing w:line="360" w:lineRule="auto"/>
        <w:jc w:val="both"/>
        <w:rPr>
          <w:rFonts w:cstheme="minorHAnsi"/>
          <w:sz w:val="24"/>
          <w:szCs w:val="24"/>
        </w:rPr>
      </w:pPr>
    </w:p>
    <w:p w:rsidR="003E49B3" w:rsidRPr="00711D4D" w:rsidRDefault="003E49B3" w:rsidP="003E49B3">
      <w:pPr>
        <w:spacing w:line="360" w:lineRule="auto"/>
        <w:jc w:val="both"/>
        <w:rPr>
          <w:rFonts w:cstheme="minorHAnsi"/>
          <w:sz w:val="24"/>
          <w:szCs w:val="24"/>
        </w:rPr>
      </w:pPr>
    </w:p>
    <w:p w:rsidR="003E49B3" w:rsidRPr="00711D4D" w:rsidRDefault="003E49B3" w:rsidP="003E49B3">
      <w:pPr>
        <w:spacing w:line="360" w:lineRule="auto"/>
        <w:jc w:val="both"/>
        <w:rPr>
          <w:rFonts w:cstheme="minorHAnsi"/>
          <w:sz w:val="24"/>
          <w:szCs w:val="24"/>
        </w:rPr>
      </w:pPr>
    </w:p>
    <w:p w:rsidR="003E49B3" w:rsidRPr="00711D4D" w:rsidRDefault="003E49B3" w:rsidP="003E49B3">
      <w:pPr>
        <w:spacing w:line="360" w:lineRule="auto"/>
        <w:jc w:val="both"/>
        <w:rPr>
          <w:rFonts w:cstheme="minorHAnsi"/>
          <w:sz w:val="24"/>
          <w:szCs w:val="24"/>
        </w:rPr>
      </w:pPr>
    </w:p>
    <w:p w:rsidR="003E49B3" w:rsidRPr="00711D4D" w:rsidRDefault="003E49B3" w:rsidP="003E49B3">
      <w:pPr>
        <w:spacing w:line="360" w:lineRule="auto"/>
        <w:jc w:val="both"/>
        <w:rPr>
          <w:rFonts w:cstheme="minorHAnsi"/>
          <w:sz w:val="24"/>
          <w:szCs w:val="24"/>
        </w:rPr>
      </w:pPr>
    </w:p>
    <w:p w:rsidR="003E49B3" w:rsidRPr="00711D4D" w:rsidRDefault="003E49B3" w:rsidP="003E49B3">
      <w:pPr>
        <w:spacing w:line="360" w:lineRule="auto"/>
        <w:jc w:val="both"/>
        <w:rPr>
          <w:rFonts w:cstheme="minorHAnsi"/>
          <w:sz w:val="24"/>
          <w:szCs w:val="24"/>
        </w:rPr>
      </w:pPr>
    </w:p>
    <w:p w:rsidR="003E49B3" w:rsidRPr="00711D4D" w:rsidRDefault="003E49B3" w:rsidP="003E49B3">
      <w:pPr>
        <w:spacing w:line="360" w:lineRule="auto"/>
        <w:jc w:val="both"/>
        <w:rPr>
          <w:rFonts w:cstheme="minorHAnsi"/>
          <w:sz w:val="24"/>
          <w:szCs w:val="24"/>
        </w:rPr>
      </w:pPr>
    </w:p>
    <w:p w:rsidR="003E49B3" w:rsidRPr="00711D4D" w:rsidRDefault="003E49B3" w:rsidP="003E49B3">
      <w:pPr>
        <w:spacing w:line="360" w:lineRule="auto"/>
        <w:jc w:val="both"/>
        <w:rPr>
          <w:rFonts w:cstheme="minorHAnsi"/>
          <w:sz w:val="24"/>
          <w:szCs w:val="24"/>
        </w:rPr>
      </w:pPr>
    </w:p>
    <w:p w:rsidR="003E49B3" w:rsidRPr="00711D4D" w:rsidRDefault="003E49B3" w:rsidP="003E49B3">
      <w:pPr>
        <w:spacing w:line="360" w:lineRule="auto"/>
        <w:jc w:val="both"/>
        <w:rPr>
          <w:rFonts w:cstheme="minorHAnsi"/>
          <w:sz w:val="24"/>
          <w:szCs w:val="24"/>
        </w:rPr>
      </w:pPr>
    </w:p>
    <w:p w:rsidR="003E49B3" w:rsidRPr="00711D4D" w:rsidRDefault="003E49B3" w:rsidP="003E49B3">
      <w:pPr>
        <w:spacing w:line="360" w:lineRule="auto"/>
        <w:jc w:val="both"/>
        <w:rPr>
          <w:rFonts w:cstheme="minorHAnsi"/>
          <w:sz w:val="24"/>
          <w:szCs w:val="24"/>
        </w:rPr>
      </w:pPr>
    </w:p>
    <w:p w:rsidR="003E49B3" w:rsidRPr="00711D4D" w:rsidRDefault="003E49B3" w:rsidP="003E49B3">
      <w:pPr>
        <w:spacing w:line="360" w:lineRule="auto"/>
        <w:jc w:val="both"/>
        <w:rPr>
          <w:rFonts w:cstheme="minorHAnsi"/>
          <w:sz w:val="24"/>
          <w:szCs w:val="24"/>
        </w:rPr>
      </w:pPr>
    </w:p>
    <w:p w:rsidR="003E49B3" w:rsidRDefault="003E49B3" w:rsidP="003E49B3">
      <w:pPr>
        <w:spacing w:line="360" w:lineRule="auto"/>
        <w:jc w:val="both"/>
        <w:rPr>
          <w:rFonts w:cstheme="minorHAnsi"/>
          <w:sz w:val="24"/>
          <w:szCs w:val="24"/>
        </w:rPr>
      </w:pPr>
    </w:p>
    <w:p w:rsidR="003E49B3" w:rsidRPr="00711D4D" w:rsidRDefault="003E49B3" w:rsidP="003E49B3">
      <w:pPr>
        <w:spacing w:line="360" w:lineRule="auto"/>
        <w:jc w:val="both"/>
        <w:rPr>
          <w:rFonts w:cstheme="minorHAnsi"/>
          <w:sz w:val="24"/>
          <w:szCs w:val="24"/>
        </w:rPr>
      </w:pPr>
    </w:p>
    <w:p w:rsidR="003E49B3" w:rsidRPr="00711D4D" w:rsidRDefault="003E49B3" w:rsidP="003E49B3">
      <w:pPr>
        <w:spacing w:line="360" w:lineRule="auto"/>
        <w:jc w:val="both"/>
        <w:rPr>
          <w:rFonts w:cstheme="minorHAnsi"/>
          <w:b/>
          <w:sz w:val="24"/>
          <w:szCs w:val="24"/>
        </w:rPr>
      </w:pPr>
      <w:r w:rsidRPr="00711D4D">
        <w:rPr>
          <w:rFonts w:cstheme="minorHAnsi"/>
          <w:b/>
          <w:sz w:val="24"/>
          <w:szCs w:val="24"/>
        </w:rPr>
        <w:t>Disclaimer (Artificial intelligence)</w:t>
      </w:r>
    </w:p>
    <w:p w:rsidR="003E49B3" w:rsidRPr="00711D4D" w:rsidRDefault="003E49B3" w:rsidP="003E49B3">
      <w:pPr>
        <w:spacing w:line="360" w:lineRule="auto"/>
        <w:jc w:val="both"/>
        <w:rPr>
          <w:rFonts w:cstheme="minorHAnsi"/>
          <w:sz w:val="24"/>
          <w:szCs w:val="24"/>
        </w:rPr>
      </w:pPr>
      <w:r w:rsidRPr="00711D4D">
        <w:rPr>
          <w:rFonts w:cstheme="minorHAnsi"/>
          <w:sz w:val="24"/>
          <w:szCs w:val="24"/>
        </w:rPr>
        <w:t>Author(s) hereby declare that generative AI technologies such as Large Language Models (</w:t>
      </w:r>
      <w:proofErr w:type="spellStart"/>
      <w:r w:rsidRPr="00711D4D">
        <w:rPr>
          <w:rFonts w:cstheme="minorHAnsi"/>
          <w:sz w:val="24"/>
          <w:szCs w:val="24"/>
        </w:rPr>
        <w:t>ChatGPT</w:t>
      </w:r>
      <w:proofErr w:type="spellEnd"/>
      <w:r w:rsidRPr="00711D4D">
        <w:rPr>
          <w:rFonts w:cstheme="minorHAnsi"/>
          <w:sz w:val="24"/>
          <w:szCs w:val="24"/>
        </w:rPr>
        <w:t xml:space="preserve">, COPILOT, etc.) and text-to-image generators have been used during the writing or editing of this manuscript. </w:t>
      </w:r>
    </w:p>
    <w:p w:rsidR="003E49B3" w:rsidRPr="00711D4D" w:rsidRDefault="003E49B3" w:rsidP="003E49B3">
      <w:pPr>
        <w:spacing w:line="360" w:lineRule="auto"/>
        <w:jc w:val="both"/>
        <w:rPr>
          <w:rFonts w:cstheme="minorHAnsi"/>
          <w:sz w:val="24"/>
          <w:szCs w:val="24"/>
        </w:rPr>
      </w:pPr>
    </w:p>
    <w:p w:rsidR="003E49B3" w:rsidRPr="00711D4D" w:rsidRDefault="003E49B3" w:rsidP="003E49B3">
      <w:pPr>
        <w:spacing w:line="360" w:lineRule="auto"/>
        <w:jc w:val="both"/>
        <w:rPr>
          <w:rFonts w:cstheme="minorHAnsi"/>
          <w:sz w:val="24"/>
          <w:szCs w:val="24"/>
        </w:rPr>
      </w:pPr>
    </w:p>
    <w:p w:rsidR="003E49B3" w:rsidRPr="00711D4D" w:rsidRDefault="003E49B3" w:rsidP="003E49B3">
      <w:pPr>
        <w:spacing w:line="360" w:lineRule="auto"/>
        <w:jc w:val="both"/>
        <w:rPr>
          <w:rFonts w:cstheme="minorHAnsi"/>
          <w:sz w:val="24"/>
          <w:szCs w:val="24"/>
        </w:rPr>
      </w:pPr>
    </w:p>
    <w:p w:rsidR="003E49B3" w:rsidRPr="00711D4D" w:rsidRDefault="003E49B3" w:rsidP="003E49B3">
      <w:pPr>
        <w:spacing w:line="360" w:lineRule="auto"/>
        <w:jc w:val="both"/>
        <w:rPr>
          <w:rFonts w:cstheme="minorHAnsi"/>
          <w:sz w:val="24"/>
          <w:szCs w:val="24"/>
        </w:rPr>
      </w:pPr>
    </w:p>
    <w:p w:rsidR="003E49B3" w:rsidRPr="00231397" w:rsidRDefault="003E49B3" w:rsidP="003E49B3">
      <w:pPr>
        <w:spacing w:line="360" w:lineRule="auto"/>
        <w:jc w:val="both"/>
        <w:rPr>
          <w:rFonts w:cstheme="minorHAnsi"/>
          <w:sz w:val="24"/>
          <w:szCs w:val="24"/>
        </w:rPr>
      </w:pPr>
      <w:r w:rsidRPr="00231397">
        <w:rPr>
          <w:rFonts w:cstheme="minorHAnsi"/>
          <w:sz w:val="24"/>
          <w:szCs w:val="24"/>
        </w:rPr>
        <w:t>COMPETING INTERESTS DISCLAIMER:</w:t>
      </w:r>
    </w:p>
    <w:p w:rsidR="003E49B3" w:rsidRDefault="003E49B3" w:rsidP="003E49B3">
      <w:pPr>
        <w:spacing w:line="360" w:lineRule="auto"/>
        <w:jc w:val="both"/>
        <w:rPr>
          <w:rFonts w:cstheme="minorHAnsi"/>
          <w:sz w:val="24"/>
          <w:szCs w:val="24"/>
        </w:rPr>
      </w:pPr>
      <w:r w:rsidRPr="00231397">
        <w:rPr>
          <w:rFonts w:cstheme="minorHAnsi"/>
          <w:sz w:val="24"/>
          <w:szCs w:val="24"/>
        </w:rPr>
        <w:t>Authors have declared that they have no known competing financial interests OR non-financial interests OR personal relationships that could have appeared to influence the work reported in this paper.</w:t>
      </w:r>
    </w:p>
    <w:p w:rsidR="003E49B3" w:rsidRDefault="003E49B3" w:rsidP="003E49B3">
      <w:pPr>
        <w:spacing w:line="360" w:lineRule="auto"/>
        <w:jc w:val="both"/>
        <w:rPr>
          <w:rFonts w:cstheme="minorHAnsi"/>
          <w:sz w:val="24"/>
          <w:szCs w:val="24"/>
        </w:rPr>
      </w:pPr>
    </w:p>
    <w:p w:rsidR="003E49B3" w:rsidRDefault="003E49B3" w:rsidP="003E49B3">
      <w:pPr>
        <w:spacing w:line="360" w:lineRule="auto"/>
        <w:jc w:val="both"/>
        <w:rPr>
          <w:rFonts w:cstheme="minorHAnsi"/>
          <w:sz w:val="24"/>
          <w:szCs w:val="24"/>
        </w:rPr>
      </w:pPr>
    </w:p>
    <w:p w:rsidR="003E49B3" w:rsidRDefault="003E49B3" w:rsidP="003E49B3">
      <w:pPr>
        <w:spacing w:line="360" w:lineRule="auto"/>
        <w:jc w:val="both"/>
        <w:rPr>
          <w:rFonts w:cstheme="minorHAnsi"/>
          <w:sz w:val="24"/>
          <w:szCs w:val="24"/>
        </w:rPr>
      </w:pPr>
    </w:p>
    <w:p w:rsidR="003E49B3" w:rsidRDefault="003E49B3" w:rsidP="003E49B3">
      <w:pPr>
        <w:spacing w:line="360" w:lineRule="auto"/>
        <w:jc w:val="both"/>
        <w:rPr>
          <w:rFonts w:cstheme="minorHAnsi"/>
          <w:sz w:val="24"/>
          <w:szCs w:val="24"/>
        </w:rPr>
      </w:pPr>
    </w:p>
    <w:p w:rsidR="003E49B3" w:rsidRDefault="003E49B3" w:rsidP="003E49B3">
      <w:pPr>
        <w:spacing w:line="360" w:lineRule="auto"/>
        <w:jc w:val="both"/>
        <w:rPr>
          <w:rFonts w:cstheme="minorHAnsi"/>
          <w:sz w:val="24"/>
          <w:szCs w:val="24"/>
        </w:rPr>
      </w:pPr>
    </w:p>
    <w:p w:rsidR="003E49B3" w:rsidRDefault="003E49B3" w:rsidP="003E49B3">
      <w:pPr>
        <w:spacing w:line="360" w:lineRule="auto"/>
        <w:jc w:val="both"/>
        <w:rPr>
          <w:rFonts w:cstheme="minorHAnsi"/>
          <w:sz w:val="24"/>
          <w:szCs w:val="24"/>
        </w:rPr>
      </w:pPr>
    </w:p>
    <w:p w:rsidR="003E49B3" w:rsidRDefault="003E49B3" w:rsidP="003E49B3">
      <w:pPr>
        <w:spacing w:line="360" w:lineRule="auto"/>
        <w:jc w:val="both"/>
        <w:rPr>
          <w:rFonts w:cstheme="minorHAnsi"/>
          <w:sz w:val="24"/>
          <w:szCs w:val="24"/>
        </w:rPr>
      </w:pPr>
    </w:p>
    <w:p w:rsidR="003E49B3" w:rsidRDefault="003E49B3" w:rsidP="003E49B3">
      <w:pPr>
        <w:spacing w:line="360" w:lineRule="auto"/>
        <w:jc w:val="both"/>
        <w:rPr>
          <w:rFonts w:cstheme="minorHAnsi"/>
          <w:sz w:val="24"/>
          <w:szCs w:val="24"/>
        </w:rPr>
      </w:pPr>
    </w:p>
    <w:p w:rsidR="003E49B3" w:rsidRDefault="003E49B3" w:rsidP="003E49B3">
      <w:pPr>
        <w:spacing w:line="360" w:lineRule="auto"/>
        <w:jc w:val="both"/>
        <w:rPr>
          <w:rFonts w:cstheme="minorHAnsi"/>
          <w:sz w:val="24"/>
          <w:szCs w:val="24"/>
        </w:rPr>
      </w:pPr>
    </w:p>
    <w:p w:rsidR="003E49B3" w:rsidRPr="00711D4D" w:rsidRDefault="003E49B3" w:rsidP="003E49B3">
      <w:pPr>
        <w:spacing w:line="360" w:lineRule="auto"/>
        <w:jc w:val="both"/>
        <w:rPr>
          <w:rFonts w:cstheme="minorHAnsi"/>
          <w:sz w:val="24"/>
          <w:szCs w:val="24"/>
        </w:rPr>
      </w:pPr>
      <w:bookmarkStart w:id="0" w:name="_GoBack"/>
      <w:bookmarkEnd w:id="0"/>
    </w:p>
    <w:p w:rsidR="003E49B3" w:rsidRPr="00711D4D" w:rsidRDefault="003E49B3" w:rsidP="003E49B3">
      <w:pPr>
        <w:spacing w:line="360" w:lineRule="auto"/>
        <w:jc w:val="both"/>
        <w:rPr>
          <w:rFonts w:cstheme="minorHAnsi"/>
          <w:sz w:val="24"/>
          <w:szCs w:val="24"/>
        </w:rPr>
      </w:pPr>
    </w:p>
    <w:p w:rsidR="003E49B3" w:rsidRPr="00711D4D" w:rsidRDefault="003E49B3" w:rsidP="003E49B3">
      <w:pPr>
        <w:spacing w:line="360" w:lineRule="auto"/>
        <w:jc w:val="both"/>
        <w:rPr>
          <w:rFonts w:cstheme="minorHAnsi"/>
          <w:sz w:val="24"/>
          <w:szCs w:val="24"/>
        </w:rPr>
      </w:pPr>
    </w:p>
    <w:p w:rsidR="003E49B3" w:rsidRPr="00711D4D" w:rsidRDefault="003E49B3" w:rsidP="003E49B3">
      <w:pPr>
        <w:spacing w:line="360" w:lineRule="auto"/>
        <w:jc w:val="both"/>
        <w:rPr>
          <w:rFonts w:cstheme="minorHAnsi"/>
          <w:sz w:val="24"/>
          <w:szCs w:val="24"/>
        </w:rPr>
      </w:pPr>
    </w:p>
    <w:p w:rsidR="003E49B3" w:rsidRPr="00711D4D" w:rsidRDefault="003E49B3" w:rsidP="003E49B3">
      <w:pPr>
        <w:spacing w:line="360" w:lineRule="auto"/>
        <w:jc w:val="both"/>
        <w:rPr>
          <w:rFonts w:cstheme="minorHAnsi"/>
          <w:sz w:val="24"/>
          <w:szCs w:val="24"/>
        </w:rPr>
      </w:pPr>
    </w:p>
    <w:p w:rsidR="003E49B3" w:rsidRDefault="003E49B3" w:rsidP="003E49B3">
      <w:pPr>
        <w:spacing w:before="100" w:beforeAutospacing="1" w:after="100" w:afterAutospacing="1" w:line="360" w:lineRule="auto"/>
        <w:jc w:val="both"/>
        <w:outlineLvl w:val="2"/>
        <w:rPr>
          <w:rFonts w:cstheme="minorHAnsi"/>
          <w:sz w:val="24"/>
          <w:szCs w:val="24"/>
        </w:rPr>
      </w:pPr>
    </w:p>
    <w:p w:rsidR="003E49B3" w:rsidRPr="00F85DB8" w:rsidRDefault="003E49B3" w:rsidP="003E49B3">
      <w:pPr>
        <w:spacing w:before="100" w:beforeAutospacing="1" w:after="100" w:afterAutospacing="1" w:line="360" w:lineRule="auto"/>
        <w:jc w:val="both"/>
        <w:outlineLvl w:val="2"/>
        <w:rPr>
          <w:rFonts w:eastAsia="Times New Roman" w:cstheme="minorHAnsi"/>
          <w:b/>
          <w:bCs/>
          <w:sz w:val="24"/>
          <w:szCs w:val="24"/>
        </w:rPr>
      </w:pPr>
      <w:r w:rsidRPr="00711D4D">
        <w:rPr>
          <w:rFonts w:eastAsia="Times New Roman" w:cstheme="minorHAnsi"/>
          <w:b/>
          <w:bCs/>
          <w:sz w:val="24"/>
          <w:szCs w:val="24"/>
        </w:rPr>
        <w:t>References</w:t>
      </w:r>
    </w:p>
    <w:p w:rsidR="003E49B3" w:rsidRPr="00F85DB8" w:rsidRDefault="003E49B3" w:rsidP="003E49B3">
      <w:pPr>
        <w:numPr>
          <w:ilvl w:val="0"/>
          <w:numId w:val="6"/>
        </w:numPr>
        <w:spacing w:before="100" w:beforeAutospacing="1" w:after="100" w:afterAutospacing="1" w:line="360" w:lineRule="auto"/>
        <w:jc w:val="both"/>
        <w:rPr>
          <w:rFonts w:eastAsia="Times New Roman" w:cstheme="minorHAnsi"/>
          <w:sz w:val="24"/>
          <w:szCs w:val="24"/>
        </w:rPr>
      </w:pPr>
      <w:r w:rsidRPr="00F85DB8">
        <w:rPr>
          <w:rFonts w:eastAsia="Times New Roman" w:cstheme="minorHAnsi"/>
          <w:sz w:val="24"/>
          <w:szCs w:val="24"/>
        </w:rPr>
        <w:t>International Diabetes Federation. IDF Diabetes Atlas. 10th ed. Brussels: International Diabetes Federation; 2021.</w:t>
      </w:r>
    </w:p>
    <w:p w:rsidR="003E49B3" w:rsidRPr="00F85DB8" w:rsidRDefault="003E49B3" w:rsidP="003E49B3">
      <w:pPr>
        <w:numPr>
          <w:ilvl w:val="0"/>
          <w:numId w:val="6"/>
        </w:numPr>
        <w:spacing w:before="100" w:beforeAutospacing="1" w:after="100" w:afterAutospacing="1" w:line="360" w:lineRule="auto"/>
        <w:jc w:val="both"/>
        <w:rPr>
          <w:rFonts w:eastAsia="Times New Roman" w:cstheme="minorHAnsi"/>
          <w:sz w:val="24"/>
          <w:szCs w:val="24"/>
        </w:rPr>
      </w:pPr>
      <w:proofErr w:type="spellStart"/>
      <w:r w:rsidRPr="00F85DB8">
        <w:rPr>
          <w:rFonts w:eastAsia="Times New Roman" w:cstheme="minorHAnsi"/>
          <w:sz w:val="24"/>
          <w:szCs w:val="24"/>
        </w:rPr>
        <w:t>Uloko</w:t>
      </w:r>
      <w:proofErr w:type="spellEnd"/>
      <w:r w:rsidRPr="00F85DB8">
        <w:rPr>
          <w:rFonts w:eastAsia="Times New Roman" w:cstheme="minorHAnsi"/>
          <w:sz w:val="24"/>
          <w:szCs w:val="24"/>
        </w:rPr>
        <w:t xml:space="preserve"> AE, Musa BM, </w:t>
      </w:r>
      <w:proofErr w:type="spellStart"/>
      <w:r w:rsidRPr="00F85DB8">
        <w:rPr>
          <w:rFonts w:eastAsia="Times New Roman" w:cstheme="minorHAnsi"/>
          <w:sz w:val="24"/>
          <w:szCs w:val="24"/>
        </w:rPr>
        <w:t>Ramalan</w:t>
      </w:r>
      <w:proofErr w:type="spellEnd"/>
      <w:r w:rsidRPr="00F85DB8">
        <w:rPr>
          <w:rFonts w:eastAsia="Times New Roman" w:cstheme="minorHAnsi"/>
          <w:sz w:val="24"/>
          <w:szCs w:val="24"/>
        </w:rPr>
        <w:t xml:space="preserve"> MA, </w:t>
      </w:r>
      <w:proofErr w:type="spellStart"/>
      <w:r w:rsidRPr="00F85DB8">
        <w:rPr>
          <w:rFonts w:eastAsia="Times New Roman" w:cstheme="minorHAnsi"/>
          <w:sz w:val="24"/>
          <w:szCs w:val="24"/>
        </w:rPr>
        <w:t>Gezawa</w:t>
      </w:r>
      <w:proofErr w:type="spellEnd"/>
      <w:r w:rsidRPr="00F85DB8">
        <w:rPr>
          <w:rFonts w:eastAsia="Times New Roman" w:cstheme="minorHAnsi"/>
          <w:sz w:val="24"/>
          <w:szCs w:val="24"/>
        </w:rPr>
        <w:t xml:space="preserve"> ID, </w:t>
      </w:r>
      <w:proofErr w:type="spellStart"/>
      <w:r w:rsidRPr="00F85DB8">
        <w:rPr>
          <w:rFonts w:eastAsia="Times New Roman" w:cstheme="minorHAnsi"/>
          <w:sz w:val="24"/>
          <w:szCs w:val="24"/>
        </w:rPr>
        <w:t>Puepet</w:t>
      </w:r>
      <w:proofErr w:type="spellEnd"/>
      <w:r w:rsidRPr="00F85DB8">
        <w:rPr>
          <w:rFonts w:eastAsia="Times New Roman" w:cstheme="minorHAnsi"/>
          <w:sz w:val="24"/>
          <w:szCs w:val="24"/>
        </w:rPr>
        <w:t xml:space="preserve"> FH, </w:t>
      </w:r>
      <w:proofErr w:type="spellStart"/>
      <w:r w:rsidRPr="00F85DB8">
        <w:rPr>
          <w:rFonts w:eastAsia="Times New Roman" w:cstheme="minorHAnsi"/>
          <w:sz w:val="24"/>
          <w:szCs w:val="24"/>
        </w:rPr>
        <w:t>Uloko</w:t>
      </w:r>
      <w:proofErr w:type="spellEnd"/>
      <w:r w:rsidRPr="00F85DB8">
        <w:rPr>
          <w:rFonts w:eastAsia="Times New Roman" w:cstheme="minorHAnsi"/>
          <w:sz w:val="24"/>
          <w:szCs w:val="24"/>
        </w:rPr>
        <w:t xml:space="preserve"> AT, et al. Prevalence and risk factors for diabetes mellitus in Nigeria: a systematic review and meta-analysis. Diabetes </w:t>
      </w:r>
      <w:proofErr w:type="spellStart"/>
      <w:r w:rsidRPr="00F85DB8">
        <w:rPr>
          <w:rFonts w:eastAsia="Times New Roman" w:cstheme="minorHAnsi"/>
          <w:sz w:val="24"/>
          <w:szCs w:val="24"/>
        </w:rPr>
        <w:t>Ther</w:t>
      </w:r>
      <w:proofErr w:type="spellEnd"/>
      <w:r w:rsidRPr="00F85DB8">
        <w:rPr>
          <w:rFonts w:eastAsia="Times New Roman" w:cstheme="minorHAnsi"/>
          <w:sz w:val="24"/>
          <w:szCs w:val="24"/>
        </w:rPr>
        <w:t>. 2018</w:t>
      </w:r>
      <w:proofErr w:type="gramStart"/>
      <w:r w:rsidRPr="00F85DB8">
        <w:rPr>
          <w:rFonts w:eastAsia="Times New Roman" w:cstheme="minorHAnsi"/>
          <w:sz w:val="24"/>
          <w:szCs w:val="24"/>
        </w:rPr>
        <w:t>;9</w:t>
      </w:r>
      <w:proofErr w:type="gramEnd"/>
      <w:r w:rsidRPr="00F85DB8">
        <w:rPr>
          <w:rFonts w:eastAsia="Times New Roman" w:cstheme="minorHAnsi"/>
          <w:sz w:val="24"/>
          <w:szCs w:val="24"/>
        </w:rPr>
        <w:t>(3):1307–1316.</w:t>
      </w:r>
    </w:p>
    <w:p w:rsidR="003E49B3" w:rsidRPr="00F85DB8" w:rsidRDefault="003E49B3" w:rsidP="003E49B3">
      <w:pPr>
        <w:numPr>
          <w:ilvl w:val="0"/>
          <w:numId w:val="6"/>
        </w:numPr>
        <w:spacing w:before="100" w:beforeAutospacing="1" w:after="100" w:afterAutospacing="1" w:line="360" w:lineRule="auto"/>
        <w:jc w:val="both"/>
        <w:rPr>
          <w:rFonts w:eastAsia="Times New Roman" w:cstheme="minorHAnsi"/>
          <w:sz w:val="24"/>
          <w:szCs w:val="24"/>
        </w:rPr>
      </w:pPr>
      <w:proofErr w:type="spellStart"/>
      <w:r w:rsidRPr="00F85DB8">
        <w:rPr>
          <w:rFonts w:eastAsia="Times New Roman" w:cstheme="minorHAnsi"/>
          <w:sz w:val="24"/>
          <w:szCs w:val="24"/>
        </w:rPr>
        <w:t>Donath</w:t>
      </w:r>
      <w:proofErr w:type="spellEnd"/>
      <w:r w:rsidRPr="00F85DB8">
        <w:rPr>
          <w:rFonts w:eastAsia="Times New Roman" w:cstheme="minorHAnsi"/>
          <w:sz w:val="24"/>
          <w:szCs w:val="24"/>
        </w:rPr>
        <w:t xml:space="preserve"> MY, </w:t>
      </w:r>
      <w:proofErr w:type="spellStart"/>
      <w:r w:rsidRPr="00F85DB8">
        <w:rPr>
          <w:rFonts w:eastAsia="Times New Roman" w:cstheme="minorHAnsi"/>
          <w:sz w:val="24"/>
          <w:szCs w:val="24"/>
        </w:rPr>
        <w:t>Shoelson</w:t>
      </w:r>
      <w:proofErr w:type="spellEnd"/>
      <w:r w:rsidRPr="00F85DB8">
        <w:rPr>
          <w:rFonts w:eastAsia="Times New Roman" w:cstheme="minorHAnsi"/>
          <w:sz w:val="24"/>
          <w:szCs w:val="24"/>
        </w:rPr>
        <w:t xml:space="preserve"> SE. Type 2 diabetes as an inflammatory disease. Nat Rev </w:t>
      </w:r>
      <w:proofErr w:type="spellStart"/>
      <w:r w:rsidRPr="00F85DB8">
        <w:rPr>
          <w:rFonts w:eastAsia="Times New Roman" w:cstheme="minorHAnsi"/>
          <w:sz w:val="24"/>
          <w:szCs w:val="24"/>
        </w:rPr>
        <w:t>Immunol</w:t>
      </w:r>
      <w:proofErr w:type="spellEnd"/>
      <w:r w:rsidRPr="00F85DB8">
        <w:rPr>
          <w:rFonts w:eastAsia="Times New Roman" w:cstheme="minorHAnsi"/>
          <w:sz w:val="24"/>
          <w:szCs w:val="24"/>
        </w:rPr>
        <w:t>. 2011</w:t>
      </w:r>
      <w:proofErr w:type="gramStart"/>
      <w:r w:rsidRPr="00F85DB8">
        <w:rPr>
          <w:rFonts w:eastAsia="Times New Roman" w:cstheme="minorHAnsi"/>
          <w:sz w:val="24"/>
          <w:szCs w:val="24"/>
        </w:rPr>
        <w:t>;11</w:t>
      </w:r>
      <w:proofErr w:type="gramEnd"/>
      <w:r w:rsidRPr="00F85DB8">
        <w:rPr>
          <w:rFonts w:eastAsia="Times New Roman" w:cstheme="minorHAnsi"/>
          <w:sz w:val="24"/>
          <w:szCs w:val="24"/>
        </w:rPr>
        <w:t>(2):98–107.</w:t>
      </w:r>
    </w:p>
    <w:p w:rsidR="003E49B3" w:rsidRPr="00F85DB8" w:rsidRDefault="003E49B3" w:rsidP="003E49B3">
      <w:pPr>
        <w:numPr>
          <w:ilvl w:val="0"/>
          <w:numId w:val="6"/>
        </w:numPr>
        <w:spacing w:before="100" w:beforeAutospacing="1" w:after="100" w:afterAutospacing="1" w:line="360" w:lineRule="auto"/>
        <w:jc w:val="both"/>
        <w:rPr>
          <w:rFonts w:eastAsia="Times New Roman" w:cstheme="minorHAnsi"/>
          <w:sz w:val="24"/>
          <w:szCs w:val="24"/>
        </w:rPr>
      </w:pPr>
      <w:r w:rsidRPr="00F85DB8">
        <w:rPr>
          <w:rFonts w:eastAsia="Times New Roman" w:cstheme="minorHAnsi"/>
          <w:sz w:val="24"/>
          <w:szCs w:val="24"/>
        </w:rPr>
        <w:t>Pickup JC. Inflammation and activated innate immunity in the pathogenesis of type 2 diabetes. Diabetes Care. 2004</w:t>
      </w:r>
      <w:proofErr w:type="gramStart"/>
      <w:r w:rsidRPr="00F85DB8">
        <w:rPr>
          <w:rFonts w:eastAsia="Times New Roman" w:cstheme="minorHAnsi"/>
          <w:sz w:val="24"/>
          <w:szCs w:val="24"/>
        </w:rPr>
        <w:t>;27</w:t>
      </w:r>
      <w:proofErr w:type="gramEnd"/>
      <w:r w:rsidRPr="00F85DB8">
        <w:rPr>
          <w:rFonts w:eastAsia="Times New Roman" w:cstheme="minorHAnsi"/>
          <w:sz w:val="24"/>
          <w:szCs w:val="24"/>
        </w:rPr>
        <w:t>(3):813–823.</w:t>
      </w:r>
    </w:p>
    <w:p w:rsidR="003E49B3" w:rsidRPr="00F85DB8" w:rsidRDefault="003E49B3" w:rsidP="003E49B3">
      <w:pPr>
        <w:numPr>
          <w:ilvl w:val="0"/>
          <w:numId w:val="6"/>
        </w:numPr>
        <w:spacing w:before="100" w:beforeAutospacing="1" w:after="100" w:afterAutospacing="1" w:line="360" w:lineRule="auto"/>
        <w:jc w:val="both"/>
        <w:rPr>
          <w:rFonts w:eastAsia="Times New Roman" w:cstheme="minorHAnsi"/>
          <w:sz w:val="24"/>
          <w:szCs w:val="24"/>
        </w:rPr>
      </w:pPr>
      <w:proofErr w:type="spellStart"/>
      <w:r w:rsidRPr="00F85DB8">
        <w:rPr>
          <w:rFonts w:eastAsia="Times New Roman" w:cstheme="minorHAnsi"/>
          <w:sz w:val="24"/>
          <w:szCs w:val="24"/>
        </w:rPr>
        <w:t>Esser</w:t>
      </w:r>
      <w:proofErr w:type="spellEnd"/>
      <w:r w:rsidRPr="00F85DB8">
        <w:rPr>
          <w:rFonts w:eastAsia="Times New Roman" w:cstheme="minorHAnsi"/>
          <w:sz w:val="24"/>
          <w:szCs w:val="24"/>
        </w:rPr>
        <w:t xml:space="preserve"> N, </w:t>
      </w:r>
      <w:proofErr w:type="spellStart"/>
      <w:r w:rsidRPr="00F85DB8">
        <w:rPr>
          <w:rFonts w:eastAsia="Times New Roman" w:cstheme="minorHAnsi"/>
          <w:sz w:val="24"/>
          <w:szCs w:val="24"/>
        </w:rPr>
        <w:t>Paquot</w:t>
      </w:r>
      <w:proofErr w:type="spellEnd"/>
      <w:r w:rsidRPr="00F85DB8">
        <w:rPr>
          <w:rFonts w:eastAsia="Times New Roman" w:cstheme="minorHAnsi"/>
          <w:sz w:val="24"/>
          <w:szCs w:val="24"/>
        </w:rPr>
        <w:t xml:space="preserve"> N, </w:t>
      </w:r>
      <w:proofErr w:type="spellStart"/>
      <w:r w:rsidRPr="00F85DB8">
        <w:rPr>
          <w:rFonts w:eastAsia="Times New Roman" w:cstheme="minorHAnsi"/>
          <w:sz w:val="24"/>
          <w:szCs w:val="24"/>
        </w:rPr>
        <w:t>Scheen</w:t>
      </w:r>
      <w:proofErr w:type="spellEnd"/>
      <w:r w:rsidRPr="00F85DB8">
        <w:rPr>
          <w:rFonts w:eastAsia="Times New Roman" w:cstheme="minorHAnsi"/>
          <w:sz w:val="24"/>
          <w:szCs w:val="24"/>
        </w:rPr>
        <w:t xml:space="preserve"> AJ. Inflammatory markers and </w:t>
      </w:r>
      <w:proofErr w:type="spellStart"/>
      <w:r w:rsidRPr="00F85DB8">
        <w:rPr>
          <w:rFonts w:eastAsia="Times New Roman" w:cstheme="minorHAnsi"/>
          <w:sz w:val="24"/>
          <w:szCs w:val="24"/>
        </w:rPr>
        <w:t>cardiometabolic</w:t>
      </w:r>
      <w:proofErr w:type="spellEnd"/>
      <w:r w:rsidRPr="00F85DB8">
        <w:rPr>
          <w:rFonts w:eastAsia="Times New Roman" w:cstheme="minorHAnsi"/>
          <w:sz w:val="24"/>
          <w:szCs w:val="24"/>
        </w:rPr>
        <w:t xml:space="preserve"> diseases. </w:t>
      </w:r>
      <w:proofErr w:type="spellStart"/>
      <w:r w:rsidRPr="00F85DB8">
        <w:rPr>
          <w:rFonts w:eastAsia="Times New Roman" w:cstheme="minorHAnsi"/>
          <w:sz w:val="24"/>
          <w:szCs w:val="24"/>
        </w:rPr>
        <w:t>Acta</w:t>
      </w:r>
      <w:proofErr w:type="spellEnd"/>
      <w:r w:rsidRPr="00F85DB8">
        <w:rPr>
          <w:rFonts w:eastAsia="Times New Roman" w:cstheme="minorHAnsi"/>
          <w:sz w:val="24"/>
          <w:szCs w:val="24"/>
        </w:rPr>
        <w:t xml:space="preserve"> </w:t>
      </w:r>
      <w:proofErr w:type="spellStart"/>
      <w:r w:rsidRPr="00F85DB8">
        <w:rPr>
          <w:rFonts w:eastAsia="Times New Roman" w:cstheme="minorHAnsi"/>
          <w:sz w:val="24"/>
          <w:szCs w:val="24"/>
        </w:rPr>
        <w:t>Clin</w:t>
      </w:r>
      <w:proofErr w:type="spellEnd"/>
      <w:r w:rsidRPr="00F85DB8">
        <w:rPr>
          <w:rFonts w:eastAsia="Times New Roman" w:cstheme="minorHAnsi"/>
          <w:sz w:val="24"/>
          <w:szCs w:val="24"/>
        </w:rPr>
        <w:t xml:space="preserve"> Belg. 2015</w:t>
      </w:r>
      <w:proofErr w:type="gramStart"/>
      <w:r w:rsidRPr="00F85DB8">
        <w:rPr>
          <w:rFonts w:eastAsia="Times New Roman" w:cstheme="minorHAnsi"/>
          <w:sz w:val="24"/>
          <w:szCs w:val="24"/>
        </w:rPr>
        <w:t>;70</w:t>
      </w:r>
      <w:proofErr w:type="gramEnd"/>
      <w:r w:rsidRPr="00F85DB8">
        <w:rPr>
          <w:rFonts w:eastAsia="Times New Roman" w:cstheme="minorHAnsi"/>
          <w:sz w:val="24"/>
          <w:szCs w:val="24"/>
        </w:rPr>
        <w:t>(3):193–199.</w:t>
      </w:r>
    </w:p>
    <w:p w:rsidR="003E49B3" w:rsidRPr="00F85DB8" w:rsidRDefault="003E49B3" w:rsidP="003E49B3">
      <w:pPr>
        <w:numPr>
          <w:ilvl w:val="0"/>
          <w:numId w:val="6"/>
        </w:numPr>
        <w:spacing w:before="100" w:beforeAutospacing="1" w:after="100" w:afterAutospacing="1" w:line="360" w:lineRule="auto"/>
        <w:jc w:val="both"/>
        <w:rPr>
          <w:rFonts w:eastAsia="Times New Roman" w:cstheme="minorHAnsi"/>
          <w:sz w:val="24"/>
          <w:szCs w:val="24"/>
        </w:rPr>
      </w:pPr>
      <w:proofErr w:type="spellStart"/>
      <w:r w:rsidRPr="00F85DB8">
        <w:rPr>
          <w:rFonts w:eastAsia="Times New Roman" w:cstheme="minorHAnsi"/>
          <w:sz w:val="24"/>
          <w:szCs w:val="24"/>
        </w:rPr>
        <w:t>Hotamisligil</w:t>
      </w:r>
      <w:proofErr w:type="spellEnd"/>
      <w:r w:rsidRPr="00F85DB8">
        <w:rPr>
          <w:rFonts w:eastAsia="Times New Roman" w:cstheme="minorHAnsi"/>
          <w:sz w:val="24"/>
          <w:szCs w:val="24"/>
        </w:rPr>
        <w:t xml:space="preserve"> GS, </w:t>
      </w:r>
      <w:proofErr w:type="spellStart"/>
      <w:r w:rsidRPr="00F85DB8">
        <w:rPr>
          <w:rFonts w:eastAsia="Times New Roman" w:cstheme="minorHAnsi"/>
          <w:sz w:val="24"/>
          <w:szCs w:val="24"/>
        </w:rPr>
        <w:t>Shargill</w:t>
      </w:r>
      <w:proofErr w:type="spellEnd"/>
      <w:r w:rsidRPr="00F85DB8">
        <w:rPr>
          <w:rFonts w:eastAsia="Times New Roman" w:cstheme="minorHAnsi"/>
          <w:sz w:val="24"/>
          <w:szCs w:val="24"/>
        </w:rPr>
        <w:t xml:space="preserve"> NS, </w:t>
      </w:r>
      <w:proofErr w:type="spellStart"/>
      <w:r w:rsidRPr="00F85DB8">
        <w:rPr>
          <w:rFonts w:eastAsia="Times New Roman" w:cstheme="minorHAnsi"/>
          <w:sz w:val="24"/>
          <w:szCs w:val="24"/>
        </w:rPr>
        <w:t>Spiegelman</w:t>
      </w:r>
      <w:proofErr w:type="spellEnd"/>
      <w:r w:rsidRPr="00F85DB8">
        <w:rPr>
          <w:rFonts w:eastAsia="Times New Roman" w:cstheme="minorHAnsi"/>
          <w:sz w:val="24"/>
          <w:szCs w:val="24"/>
        </w:rPr>
        <w:t xml:space="preserve"> BM. Adipose expression of tumor necrosis factor-alpha: direct role in obesity-linked insulin resistance. Science. 1993</w:t>
      </w:r>
      <w:proofErr w:type="gramStart"/>
      <w:r w:rsidRPr="00F85DB8">
        <w:rPr>
          <w:rFonts w:eastAsia="Times New Roman" w:cstheme="minorHAnsi"/>
          <w:sz w:val="24"/>
          <w:szCs w:val="24"/>
        </w:rPr>
        <w:t>;259</w:t>
      </w:r>
      <w:proofErr w:type="gramEnd"/>
      <w:r w:rsidRPr="00F85DB8">
        <w:rPr>
          <w:rFonts w:eastAsia="Times New Roman" w:cstheme="minorHAnsi"/>
          <w:sz w:val="24"/>
          <w:szCs w:val="24"/>
        </w:rPr>
        <w:t>(5091):87–91.</w:t>
      </w:r>
    </w:p>
    <w:p w:rsidR="003E49B3" w:rsidRPr="00F85DB8" w:rsidRDefault="003E49B3" w:rsidP="003E49B3">
      <w:pPr>
        <w:numPr>
          <w:ilvl w:val="0"/>
          <w:numId w:val="6"/>
        </w:numPr>
        <w:spacing w:before="100" w:beforeAutospacing="1" w:after="100" w:afterAutospacing="1" w:line="360" w:lineRule="auto"/>
        <w:jc w:val="both"/>
        <w:rPr>
          <w:rFonts w:eastAsia="Times New Roman" w:cstheme="minorHAnsi"/>
          <w:sz w:val="24"/>
          <w:szCs w:val="24"/>
        </w:rPr>
      </w:pPr>
      <w:proofErr w:type="spellStart"/>
      <w:r w:rsidRPr="00F85DB8">
        <w:rPr>
          <w:rFonts w:eastAsia="Times New Roman" w:cstheme="minorHAnsi"/>
          <w:sz w:val="24"/>
          <w:szCs w:val="24"/>
        </w:rPr>
        <w:t>Shoelson</w:t>
      </w:r>
      <w:proofErr w:type="spellEnd"/>
      <w:r w:rsidRPr="00F85DB8">
        <w:rPr>
          <w:rFonts w:eastAsia="Times New Roman" w:cstheme="minorHAnsi"/>
          <w:sz w:val="24"/>
          <w:szCs w:val="24"/>
        </w:rPr>
        <w:t xml:space="preserve"> SE, Lee J, </w:t>
      </w:r>
      <w:proofErr w:type="spellStart"/>
      <w:r w:rsidRPr="00F85DB8">
        <w:rPr>
          <w:rFonts w:eastAsia="Times New Roman" w:cstheme="minorHAnsi"/>
          <w:sz w:val="24"/>
          <w:szCs w:val="24"/>
        </w:rPr>
        <w:t>Goldfine</w:t>
      </w:r>
      <w:proofErr w:type="spellEnd"/>
      <w:r w:rsidRPr="00F85DB8">
        <w:rPr>
          <w:rFonts w:eastAsia="Times New Roman" w:cstheme="minorHAnsi"/>
          <w:sz w:val="24"/>
          <w:szCs w:val="24"/>
        </w:rPr>
        <w:t xml:space="preserve"> AB. Inflammation and insulin resistance. J </w:t>
      </w:r>
      <w:proofErr w:type="spellStart"/>
      <w:r w:rsidRPr="00F85DB8">
        <w:rPr>
          <w:rFonts w:eastAsia="Times New Roman" w:cstheme="minorHAnsi"/>
          <w:sz w:val="24"/>
          <w:szCs w:val="24"/>
        </w:rPr>
        <w:t>Clin</w:t>
      </w:r>
      <w:proofErr w:type="spellEnd"/>
      <w:r w:rsidRPr="00F85DB8">
        <w:rPr>
          <w:rFonts w:eastAsia="Times New Roman" w:cstheme="minorHAnsi"/>
          <w:sz w:val="24"/>
          <w:szCs w:val="24"/>
        </w:rPr>
        <w:t xml:space="preserve"> Invest. 2006</w:t>
      </w:r>
      <w:proofErr w:type="gramStart"/>
      <w:r w:rsidRPr="00F85DB8">
        <w:rPr>
          <w:rFonts w:eastAsia="Times New Roman" w:cstheme="minorHAnsi"/>
          <w:sz w:val="24"/>
          <w:szCs w:val="24"/>
        </w:rPr>
        <w:t>;116</w:t>
      </w:r>
      <w:proofErr w:type="gramEnd"/>
      <w:r w:rsidRPr="00F85DB8">
        <w:rPr>
          <w:rFonts w:eastAsia="Times New Roman" w:cstheme="minorHAnsi"/>
          <w:sz w:val="24"/>
          <w:szCs w:val="24"/>
        </w:rPr>
        <w:t>(7):1793–1801.</w:t>
      </w:r>
    </w:p>
    <w:p w:rsidR="003E49B3" w:rsidRPr="00F85DB8" w:rsidRDefault="003E49B3" w:rsidP="003E49B3">
      <w:pPr>
        <w:numPr>
          <w:ilvl w:val="0"/>
          <w:numId w:val="6"/>
        </w:numPr>
        <w:spacing w:before="100" w:beforeAutospacing="1" w:after="100" w:afterAutospacing="1" w:line="360" w:lineRule="auto"/>
        <w:jc w:val="both"/>
        <w:rPr>
          <w:rFonts w:eastAsia="Times New Roman" w:cstheme="minorHAnsi"/>
          <w:sz w:val="24"/>
          <w:szCs w:val="24"/>
        </w:rPr>
      </w:pPr>
      <w:proofErr w:type="spellStart"/>
      <w:r w:rsidRPr="00F85DB8">
        <w:rPr>
          <w:rFonts w:eastAsia="Times New Roman" w:cstheme="minorHAnsi"/>
          <w:sz w:val="24"/>
          <w:szCs w:val="24"/>
        </w:rPr>
        <w:lastRenderedPageBreak/>
        <w:t>Tilg</w:t>
      </w:r>
      <w:proofErr w:type="spellEnd"/>
      <w:r w:rsidRPr="00F85DB8">
        <w:rPr>
          <w:rFonts w:eastAsia="Times New Roman" w:cstheme="minorHAnsi"/>
          <w:sz w:val="24"/>
          <w:szCs w:val="24"/>
        </w:rPr>
        <w:t xml:space="preserve"> H, </w:t>
      </w:r>
      <w:proofErr w:type="spellStart"/>
      <w:r w:rsidRPr="00F85DB8">
        <w:rPr>
          <w:rFonts w:eastAsia="Times New Roman" w:cstheme="minorHAnsi"/>
          <w:sz w:val="24"/>
          <w:szCs w:val="24"/>
        </w:rPr>
        <w:t>Moschen</w:t>
      </w:r>
      <w:proofErr w:type="spellEnd"/>
      <w:r w:rsidRPr="00F85DB8">
        <w:rPr>
          <w:rFonts w:eastAsia="Times New Roman" w:cstheme="minorHAnsi"/>
          <w:sz w:val="24"/>
          <w:szCs w:val="24"/>
        </w:rPr>
        <w:t xml:space="preserve"> AR. Inflammatory mechanisms in the regulation of insulin resistance. Mol Med. 2008</w:t>
      </w:r>
      <w:proofErr w:type="gramStart"/>
      <w:r w:rsidRPr="00F85DB8">
        <w:rPr>
          <w:rFonts w:eastAsia="Times New Roman" w:cstheme="minorHAnsi"/>
          <w:sz w:val="24"/>
          <w:szCs w:val="24"/>
        </w:rPr>
        <w:t>;14</w:t>
      </w:r>
      <w:proofErr w:type="gramEnd"/>
      <w:r w:rsidRPr="00F85DB8">
        <w:rPr>
          <w:rFonts w:eastAsia="Times New Roman" w:cstheme="minorHAnsi"/>
          <w:sz w:val="24"/>
          <w:szCs w:val="24"/>
        </w:rPr>
        <w:t>(3–4):222–231.</w:t>
      </w:r>
    </w:p>
    <w:p w:rsidR="003E49B3" w:rsidRPr="00F85DB8" w:rsidRDefault="003E49B3" w:rsidP="003E49B3">
      <w:pPr>
        <w:numPr>
          <w:ilvl w:val="0"/>
          <w:numId w:val="6"/>
        </w:numPr>
        <w:spacing w:before="100" w:beforeAutospacing="1" w:after="100" w:afterAutospacing="1" w:line="360" w:lineRule="auto"/>
        <w:jc w:val="both"/>
        <w:rPr>
          <w:rFonts w:eastAsia="Times New Roman" w:cstheme="minorHAnsi"/>
          <w:sz w:val="24"/>
          <w:szCs w:val="24"/>
        </w:rPr>
      </w:pPr>
      <w:proofErr w:type="spellStart"/>
      <w:r w:rsidRPr="00F85DB8">
        <w:rPr>
          <w:rFonts w:eastAsia="Times New Roman" w:cstheme="minorHAnsi"/>
          <w:sz w:val="24"/>
          <w:szCs w:val="24"/>
        </w:rPr>
        <w:t>Wellen</w:t>
      </w:r>
      <w:proofErr w:type="spellEnd"/>
      <w:r w:rsidRPr="00F85DB8">
        <w:rPr>
          <w:rFonts w:eastAsia="Times New Roman" w:cstheme="minorHAnsi"/>
          <w:sz w:val="24"/>
          <w:szCs w:val="24"/>
        </w:rPr>
        <w:t xml:space="preserve"> KE, </w:t>
      </w:r>
      <w:proofErr w:type="spellStart"/>
      <w:r w:rsidRPr="00F85DB8">
        <w:rPr>
          <w:rFonts w:eastAsia="Times New Roman" w:cstheme="minorHAnsi"/>
          <w:sz w:val="24"/>
          <w:szCs w:val="24"/>
        </w:rPr>
        <w:t>Hotamisligil</w:t>
      </w:r>
      <w:proofErr w:type="spellEnd"/>
      <w:r w:rsidRPr="00F85DB8">
        <w:rPr>
          <w:rFonts w:eastAsia="Times New Roman" w:cstheme="minorHAnsi"/>
          <w:sz w:val="24"/>
          <w:szCs w:val="24"/>
        </w:rPr>
        <w:t xml:space="preserve"> GS. Inflammation, stress, and diabetes. J </w:t>
      </w:r>
      <w:proofErr w:type="spellStart"/>
      <w:r w:rsidRPr="00F85DB8">
        <w:rPr>
          <w:rFonts w:eastAsia="Times New Roman" w:cstheme="minorHAnsi"/>
          <w:sz w:val="24"/>
          <w:szCs w:val="24"/>
        </w:rPr>
        <w:t>Clin</w:t>
      </w:r>
      <w:proofErr w:type="spellEnd"/>
      <w:r w:rsidRPr="00F85DB8">
        <w:rPr>
          <w:rFonts w:eastAsia="Times New Roman" w:cstheme="minorHAnsi"/>
          <w:sz w:val="24"/>
          <w:szCs w:val="24"/>
        </w:rPr>
        <w:t xml:space="preserve"> Invest. 2005</w:t>
      </w:r>
      <w:proofErr w:type="gramStart"/>
      <w:r w:rsidRPr="00F85DB8">
        <w:rPr>
          <w:rFonts w:eastAsia="Times New Roman" w:cstheme="minorHAnsi"/>
          <w:sz w:val="24"/>
          <w:szCs w:val="24"/>
        </w:rPr>
        <w:t>;115</w:t>
      </w:r>
      <w:proofErr w:type="gramEnd"/>
      <w:r w:rsidRPr="00F85DB8">
        <w:rPr>
          <w:rFonts w:eastAsia="Times New Roman" w:cstheme="minorHAnsi"/>
          <w:sz w:val="24"/>
          <w:szCs w:val="24"/>
        </w:rPr>
        <w:t>(5):1111–1119.</w:t>
      </w:r>
    </w:p>
    <w:p w:rsidR="003E49B3" w:rsidRPr="00F85DB8" w:rsidRDefault="003E49B3" w:rsidP="003E49B3">
      <w:pPr>
        <w:numPr>
          <w:ilvl w:val="0"/>
          <w:numId w:val="6"/>
        </w:numPr>
        <w:spacing w:before="100" w:beforeAutospacing="1" w:after="100" w:afterAutospacing="1" w:line="360" w:lineRule="auto"/>
        <w:jc w:val="both"/>
        <w:rPr>
          <w:rFonts w:eastAsia="Times New Roman" w:cstheme="minorHAnsi"/>
          <w:sz w:val="24"/>
          <w:szCs w:val="24"/>
        </w:rPr>
      </w:pPr>
      <w:proofErr w:type="spellStart"/>
      <w:r w:rsidRPr="00F85DB8">
        <w:rPr>
          <w:rFonts w:eastAsia="Times New Roman" w:cstheme="minorHAnsi"/>
          <w:sz w:val="24"/>
          <w:szCs w:val="24"/>
        </w:rPr>
        <w:t>Ridker</w:t>
      </w:r>
      <w:proofErr w:type="spellEnd"/>
      <w:r w:rsidRPr="00F85DB8">
        <w:rPr>
          <w:rFonts w:eastAsia="Times New Roman" w:cstheme="minorHAnsi"/>
          <w:sz w:val="24"/>
          <w:szCs w:val="24"/>
        </w:rPr>
        <w:t xml:space="preserve"> PM. Clinical application of C-reactive protein for cardiovascular disease detection and prevention. Circulation. 2003</w:t>
      </w:r>
      <w:proofErr w:type="gramStart"/>
      <w:r w:rsidRPr="00F85DB8">
        <w:rPr>
          <w:rFonts w:eastAsia="Times New Roman" w:cstheme="minorHAnsi"/>
          <w:sz w:val="24"/>
          <w:szCs w:val="24"/>
        </w:rPr>
        <w:t>;107</w:t>
      </w:r>
      <w:proofErr w:type="gramEnd"/>
      <w:r w:rsidRPr="00F85DB8">
        <w:rPr>
          <w:rFonts w:eastAsia="Times New Roman" w:cstheme="minorHAnsi"/>
          <w:sz w:val="24"/>
          <w:szCs w:val="24"/>
        </w:rPr>
        <w:t>(3):363–369.</w:t>
      </w:r>
    </w:p>
    <w:p w:rsidR="003E49B3" w:rsidRPr="00F85DB8" w:rsidRDefault="003E49B3" w:rsidP="003E49B3">
      <w:pPr>
        <w:numPr>
          <w:ilvl w:val="0"/>
          <w:numId w:val="6"/>
        </w:numPr>
        <w:spacing w:before="100" w:beforeAutospacing="1" w:after="100" w:afterAutospacing="1" w:line="360" w:lineRule="auto"/>
        <w:jc w:val="both"/>
        <w:rPr>
          <w:rFonts w:eastAsia="Times New Roman" w:cstheme="minorHAnsi"/>
          <w:sz w:val="24"/>
          <w:szCs w:val="24"/>
        </w:rPr>
      </w:pPr>
      <w:proofErr w:type="spellStart"/>
      <w:r w:rsidRPr="00F85DB8">
        <w:rPr>
          <w:rFonts w:eastAsia="Times New Roman" w:cstheme="minorHAnsi"/>
          <w:sz w:val="24"/>
          <w:szCs w:val="24"/>
        </w:rPr>
        <w:t>Spranger</w:t>
      </w:r>
      <w:proofErr w:type="spellEnd"/>
      <w:r w:rsidRPr="00F85DB8">
        <w:rPr>
          <w:rFonts w:eastAsia="Times New Roman" w:cstheme="minorHAnsi"/>
          <w:sz w:val="24"/>
          <w:szCs w:val="24"/>
        </w:rPr>
        <w:t xml:space="preserve"> J, </w:t>
      </w:r>
      <w:proofErr w:type="spellStart"/>
      <w:r w:rsidRPr="00F85DB8">
        <w:rPr>
          <w:rFonts w:eastAsia="Times New Roman" w:cstheme="minorHAnsi"/>
          <w:sz w:val="24"/>
          <w:szCs w:val="24"/>
        </w:rPr>
        <w:t>Kroke</w:t>
      </w:r>
      <w:proofErr w:type="spellEnd"/>
      <w:r w:rsidRPr="00F85DB8">
        <w:rPr>
          <w:rFonts w:eastAsia="Times New Roman" w:cstheme="minorHAnsi"/>
          <w:sz w:val="24"/>
          <w:szCs w:val="24"/>
        </w:rPr>
        <w:t xml:space="preserve"> A, </w:t>
      </w:r>
      <w:proofErr w:type="spellStart"/>
      <w:r w:rsidRPr="00F85DB8">
        <w:rPr>
          <w:rFonts w:eastAsia="Times New Roman" w:cstheme="minorHAnsi"/>
          <w:sz w:val="24"/>
          <w:szCs w:val="24"/>
        </w:rPr>
        <w:t>Möhlig</w:t>
      </w:r>
      <w:proofErr w:type="spellEnd"/>
      <w:r w:rsidRPr="00F85DB8">
        <w:rPr>
          <w:rFonts w:eastAsia="Times New Roman" w:cstheme="minorHAnsi"/>
          <w:sz w:val="24"/>
          <w:szCs w:val="24"/>
        </w:rPr>
        <w:t xml:space="preserve"> M, Hoffmann K, Bergmann MM, </w:t>
      </w:r>
      <w:proofErr w:type="spellStart"/>
      <w:r w:rsidRPr="00F85DB8">
        <w:rPr>
          <w:rFonts w:eastAsia="Times New Roman" w:cstheme="minorHAnsi"/>
          <w:sz w:val="24"/>
          <w:szCs w:val="24"/>
        </w:rPr>
        <w:t>Ristow</w:t>
      </w:r>
      <w:proofErr w:type="spellEnd"/>
      <w:r w:rsidRPr="00F85DB8">
        <w:rPr>
          <w:rFonts w:eastAsia="Times New Roman" w:cstheme="minorHAnsi"/>
          <w:sz w:val="24"/>
          <w:szCs w:val="24"/>
        </w:rPr>
        <w:t xml:space="preserve"> M, et al. Inflammatory cytokines and the risk to develop type 2 diabetes. Diabetes. 2003</w:t>
      </w:r>
      <w:proofErr w:type="gramStart"/>
      <w:r w:rsidRPr="00F85DB8">
        <w:rPr>
          <w:rFonts w:eastAsia="Times New Roman" w:cstheme="minorHAnsi"/>
          <w:sz w:val="24"/>
          <w:szCs w:val="24"/>
        </w:rPr>
        <w:t>;52</w:t>
      </w:r>
      <w:proofErr w:type="gramEnd"/>
      <w:r w:rsidRPr="00F85DB8">
        <w:rPr>
          <w:rFonts w:eastAsia="Times New Roman" w:cstheme="minorHAnsi"/>
          <w:sz w:val="24"/>
          <w:szCs w:val="24"/>
        </w:rPr>
        <w:t>(3):812–817.</w:t>
      </w:r>
    </w:p>
    <w:p w:rsidR="003E49B3" w:rsidRPr="00F85DB8" w:rsidRDefault="003E49B3" w:rsidP="003E49B3">
      <w:pPr>
        <w:numPr>
          <w:ilvl w:val="0"/>
          <w:numId w:val="6"/>
        </w:numPr>
        <w:spacing w:before="100" w:beforeAutospacing="1" w:after="100" w:afterAutospacing="1" w:line="360" w:lineRule="auto"/>
        <w:jc w:val="both"/>
        <w:rPr>
          <w:rFonts w:eastAsia="Times New Roman" w:cstheme="minorHAnsi"/>
          <w:sz w:val="24"/>
          <w:szCs w:val="24"/>
        </w:rPr>
      </w:pPr>
      <w:proofErr w:type="spellStart"/>
      <w:r w:rsidRPr="00F85DB8">
        <w:rPr>
          <w:rFonts w:eastAsia="Times New Roman" w:cstheme="minorHAnsi"/>
          <w:sz w:val="24"/>
          <w:szCs w:val="24"/>
        </w:rPr>
        <w:t>Pradhan</w:t>
      </w:r>
      <w:proofErr w:type="spellEnd"/>
      <w:r w:rsidRPr="00F85DB8">
        <w:rPr>
          <w:rFonts w:eastAsia="Times New Roman" w:cstheme="minorHAnsi"/>
          <w:sz w:val="24"/>
          <w:szCs w:val="24"/>
        </w:rPr>
        <w:t xml:space="preserve"> AD, Manson JE, </w:t>
      </w:r>
      <w:proofErr w:type="spellStart"/>
      <w:r w:rsidRPr="00F85DB8">
        <w:rPr>
          <w:rFonts w:eastAsia="Times New Roman" w:cstheme="minorHAnsi"/>
          <w:sz w:val="24"/>
          <w:szCs w:val="24"/>
        </w:rPr>
        <w:t>Rifai</w:t>
      </w:r>
      <w:proofErr w:type="spellEnd"/>
      <w:r w:rsidRPr="00F85DB8">
        <w:rPr>
          <w:rFonts w:eastAsia="Times New Roman" w:cstheme="minorHAnsi"/>
          <w:sz w:val="24"/>
          <w:szCs w:val="24"/>
        </w:rPr>
        <w:t xml:space="preserve"> N, </w:t>
      </w:r>
      <w:proofErr w:type="spellStart"/>
      <w:r w:rsidRPr="00F85DB8">
        <w:rPr>
          <w:rFonts w:eastAsia="Times New Roman" w:cstheme="minorHAnsi"/>
          <w:sz w:val="24"/>
          <w:szCs w:val="24"/>
        </w:rPr>
        <w:t>Buring</w:t>
      </w:r>
      <w:proofErr w:type="spellEnd"/>
      <w:r w:rsidRPr="00F85DB8">
        <w:rPr>
          <w:rFonts w:eastAsia="Times New Roman" w:cstheme="minorHAnsi"/>
          <w:sz w:val="24"/>
          <w:szCs w:val="24"/>
        </w:rPr>
        <w:t xml:space="preserve"> JE, </w:t>
      </w:r>
      <w:proofErr w:type="spellStart"/>
      <w:r w:rsidRPr="00F85DB8">
        <w:rPr>
          <w:rFonts w:eastAsia="Times New Roman" w:cstheme="minorHAnsi"/>
          <w:sz w:val="24"/>
          <w:szCs w:val="24"/>
        </w:rPr>
        <w:t>Ridker</w:t>
      </w:r>
      <w:proofErr w:type="spellEnd"/>
      <w:r w:rsidRPr="00F85DB8">
        <w:rPr>
          <w:rFonts w:eastAsia="Times New Roman" w:cstheme="minorHAnsi"/>
          <w:sz w:val="24"/>
          <w:szCs w:val="24"/>
        </w:rPr>
        <w:t xml:space="preserve"> PM. C-reactive protein, interleukin 6, and risk of developing type 2 diabetes mellitus. JAMA. 2001</w:t>
      </w:r>
      <w:proofErr w:type="gramStart"/>
      <w:r w:rsidRPr="00F85DB8">
        <w:rPr>
          <w:rFonts w:eastAsia="Times New Roman" w:cstheme="minorHAnsi"/>
          <w:sz w:val="24"/>
          <w:szCs w:val="24"/>
        </w:rPr>
        <w:t>;286</w:t>
      </w:r>
      <w:proofErr w:type="gramEnd"/>
      <w:r w:rsidRPr="00F85DB8">
        <w:rPr>
          <w:rFonts w:eastAsia="Times New Roman" w:cstheme="minorHAnsi"/>
          <w:sz w:val="24"/>
          <w:szCs w:val="24"/>
        </w:rPr>
        <w:t>(3):327–334.</w:t>
      </w:r>
    </w:p>
    <w:p w:rsidR="003E49B3" w:rsidRPr="00F85DB8" w:rsidRDefault="003E49B3" w:rsidP="003E49B3">
      <w:pPr>
        <w:numPr>
          <w:ilvl w:val="0"/>
          <w:numId w:val="6"/>
        </w:numPr>
        <w:spacing w:before="100" w:beforeAutospacing="1" w:after="100" w:afterAutospacing="1" w:line="360" w:lineRule="auto"/>
        <w:jc w:val="both"/>
        <w:rPr>
          <w:rFonts w:eastAsia="Times New Roman" w:cstheme="minorHAnsi"/>
          <w:sz w:val="24"/>
          <w:szCs w:val="24"/>
        </w:rPr>
      </w:pPr>
      <w:proofErr w:type="spellStart"/>
      <w:r w:rsidRPr="00F85DB8">
        <w:rPr>
          <w:rFonts w:eastAsia="Times New Roman" w:cstheme="minorHAnsi"/>
          <w:sz w:val="24"/>
          <w:szCs w:val="24"/>
        </w:rPr>
        <w:t>Festa</w:t>
      </w:r>
      <w:proofErr w:type="spellEnd"/>
      <w:r w:rsidRPr="00F85DB8">
        <w:rPr>
          <w:rFonts w:eastAsia="Times New Roman" w:cstheme="minorHAnsi"/>
          <w:sz w:val="24"/>
          <w:szCs w:val="24"/>
        </w:rPr>
        <w:t xml:space="preserve"> A, </w:t>
      </w:r>
      <w:proofErr w:type="spellStart"/>
      <w:r w:rsidRPr="00F85DB8">
        <w:rPr>
          <w:rFonts w:eastAsia="Times New Roman" w:cstheme="minorHAnsi"/>
          <w:sz w:val="24"/>
          <w:szCs w:val="24"/>
        </w:rPr>
        <w:t>D’Agostino</w:t>
      </w:r>
      <w:proofErr w:type="spellEnd"/>
      <w:r w:rsidRPr="00F85DB8">
        <w:rPr>
          <w:rFonts w:eastAsia="Times New Roman" w:cstheme="minorHAnsi"/>
          <w:sz w:val="24"/>
          <w:szCs w:val="24"/>
        </w:rPr>
        <w:t xml:space="preserve"> R </w:t>
      </w:r>
      <w:proofErr w:type="spellStart"/>
      <w:r w:rsidRPr="00F85DB8">
        <w:rPr>
          <w:rFonts w:eastAsia="Times New Roman" w:cstheme="minorHAnsi"/>
          <w:sz w:val="24"/>
          <w:szCs w:val="24"/>
        </w:rPr>
        <w:t>Jr</w:t>
      </w:r>
      <w:proofErr w:type="spellEnd"/>
      <w:r w:rsidRPr="00F85DB8">
        <w:rPr>
          <w:rFonts w:eastAsia="Times New Roman" w:cstheme="minorHAnsi"/>
          <w:sz w:val="24"/>
          <w:szCs w:val="24"/>
        </w:rPr>
        <w:t xml:space="preserve">, Howard G, </w:t>
      </w:r>
      <w:proofErr w:type="spellStart"/>
      <w:r w:rsidRPr="00F85DB8">
        <w:rPr>
          <w:rFonts w:eastAsia="Times New Roman" w:cstheme="minorHAnsi"/>
          <w:sz w:val="24"/>
          <w:szCs w:val="24"/>
        </w:rPr>
        <w:t>Mykkänen</w:t>
      </w:r>
      <w:proofErr w:type="spellEnd"/>
      <w:r w:rsidRPr="00F85DB8">
        <w:rPr>
          <w:rFonts w:eastAsia="Times New Roman" w:cstheme="minorHAnsi"/>
          <w:sz w:val="24"/>
          <w:szCs w:val="24"/>
        </w:rPr>
        <w:t xml:space="preserve"> L, Tracy RP, </w:t>
      </w:r>
      <w:proofErr w:type="spellStart"/>
      <w:r w:rsidRPr="00F85DB8">
        <w:rPr>
          <w:rFonts w:eastAsia="Times New Roman" w:cstheme="minorHAnsi"/>
          <w:sz w:val="24"/>
          <w:szCs w:val="24"/>
        </w:rPr>
        <w:t>Haffner</w:t>
      </w:r>
      <w:proofErr w:type="spellEnd"/>
      <w:r w:rsidRPr="00F85DB8">
        <w:rPr>
          <w:rFonts w:eastAsia="Times New Roman" w:cstheme="minorHAnsi"/>
          <w:sz w:val="24"/>
          <w:szCs w:val="24"/>
        </w:rPr>
        <w:t xml:space="preserve"> SM. Inflammation and insulin resistance in a multiethnic population. The Insulin Resistance Atherosclerosis Study. Circulation. 2000</w:t>
      </w:r>
      <w:proofErr w:type="gramStart"/>
      <w:r w:rsidRPr="00F85DB8">
        <w:rPr>
          <w:rFonts w:eastAsia="Times New Roman" w:cstheme="minorHAnsi"/>
          <w:sz w:val="24"/>
          <w:szCs w:val="24"/>
        </w:rPr>
        <w:t>;102</w:t>
      </w:r>
      <w:proofErr w:type="gramEnd"/>
      <w:r w:rsidRPr="00F85DB8">
        <w:rPr>
          <w:rFonts w:eastAsia="Times New Roman" w:cstheme="minorHAnsi"/>
          <w:sz w:val="24"/>
          <w:szCs w:val="24"/>
        </w:rPr>
        <w:t>(1):42–47.</w:t>
      </w:r>
    </w:p>
    <w:p w:rsidR="003E49B3" w:rsidRPr="00F85DB8" w:rsidRDefault="003E49B3" w:rsidP="003E49B3">
      <w:pPr>
        <w:numPr>
          <w:ilvl w:val="0"/>
          <w:numId w:val="6"/>
        </w:numPr>
        <w:spacing w:before="100" w:beforeAutospacing="1" w:after="100" w:afterAutospacing="1" w:line="360" w:lineRule="auto"/>
        <w:jc w:val="both"/>
        <w:rPr>
          <w:rFonts w:eastAsia="Times New Roman" w:cstheme="minorHAnsi"/>
          <w:sz w:val="24"/>
          <w:szCs w:val="24"/>
        </w:rPr>
      </w:pPr>
      <w:proofErr w:type="spellStart"/>
      <w:r w:rsidRPr="00F85DB8">
        <w:rPr>
          <w:rFonts w:eastAsia="Times New Roman" w:cstheme="minorHAnsi"/>
          <w:sz w:val="24"/>
          <w:szCs w:val="24"/>
        </w:rPr>
        <w:t>Goldfine</w:t>
      </w:r>
      <w:proofErr w:type="spellEnd"/>
      <w:r w:rsidRPr="00F85DB8">
        <w:rPr>
          <w:rFonts w:eastAsia="Times New Roman" w:cstheme="minorHAnsi"/>
          <w:sz w:val="24"/>
          <w:szCs w:val="24"/>
        </w:rPr>
        <w:t xml:space="preserve"> AB, Fonseca V, </w:t>
      </w:r>
      <w:proofErr w:type="spellStart"/>
      <w:r w:rsidRPr="00F85DB8">
        <w:rPr>
          <w:rFonts w:eastAsia="Times New Roman" w:cstheme="minorHAnsi"/>
          <w:sz w:val="24"/>
          <w:szCs w:val="24"/>
        </w:rPr>
        <w:t>Jablonski</w:t>
      </w:r>
      <w:proofErr w:type="spellEnd"/>
      <w:r w:rsidRPr="00F85DB8">
        <w:rPr>
          <w:rFonts w:eastAsia="Times New Roman" w:cstheme="minorHAnsi"/>
          <w:sz w:val="24"/>
          <w:szCs w:val="24"/>
        </w:rPr>
        <w:t xml:space="preserve"> KA, Chen YD, Tipton L, Staten MA, et al. The effects of </w:t>
      </w:r>
      <w:proofErr w:type="spellStart"/>
      <w:r w:rsidRPr="00F85DB8">
        <w:rPr>
          <w:rFonts w:eastAsia="Times New Roman" w:cstheme="minorHAnsi"/>
          <w:sz w:val="24"/>
          <w:szCs w:val="24"/>
        </w:rPr>
        <w:t>salsalate</w:t>
      </w:r>
      <w:proofErr w:type="spellEnd"/>
      <w:r w:rsidRPr="00F85DB8">
        <w:rPr>
          <w:rFonts w:eastAsia="Times New Roman" w:cstheme="minorHAnsi"/>
          <w:sz w:val="24"/>
          <w:szCs w:val="24"/>
        </w:rPr>
        <w:t xml:space="preserve"> on glycemic control in patients with type 2 diabetes: a randomized trial. Ann Intern Med. 2010</w:t>
      </w:r>
      <w:proofErr w:type="gramStart"/>
      <w:r w:rsidRPr="00F85DB8">
        <w:rPr>
          <w:rFonts w:eastAsia="Times New Roman" w:cstheme="minorHAnsi"/>
          <w:sz w:val="24"/>
          <w:szCs w:val="24"/>
        </w:rPr>
        <w:t>;152</w:t>
      </w:r>
      <w:proofErr w:type="gramEnd"/>
      <w:r w:rsidRPr="00F85DB8">
        <w:rPr>
          <w:rFonts w:eastAsia="Times New Roman" w:cstheme="minorHAnsi"/>
          <w:sz w:val="24"/>
          <w:szCs w:val="24"/>
        </w:rPr>
        <w:t>(6):346–357.</w:t>
      </w:r>
    </w:p>
    <w:p w:rsidR="003E49B3" w:rsidRPr="00F85DB8" w:rsidRDefault="003E49B3" w:rsidP="003E49B3">
      <w:pPr>
        <w:numPr>
          <w:ilvl w:val="0"/>
          <w:numId w:val="6"/>
        </w:numPr>
        <w:spacing w:before="100" w:beforeAutospacing="1" w:after="100" w:afterAutospacing="1" w:line="360" w:lineRule="auto"/>
        <w:jc w:val="both"/>
        <w:rPr>
          <w:rFonts w:eastAsia="Times New Roman" w:cstheme="minorHAnsi"/>
          <w:sz w:val="24"/>
          <w:szCs w:val="24"/>
        </w:rPr>
      </w:pPr>
      <w:proofErr w:type="spellStart"/>
      <w:r w:rsidRPr="00F85DB8">
        <w:rPr>
          <w:rFonts w:eastAsia="Times New Roman" w:cstheme="minorHAnsi"/>
          <w:sz w:val="24"/>
          <w:szCs w:val="24"/>
        </w:rPr>
        <w:t>Ridker</w:t>
      </w:r>
      <w:proofErr w:type="spellEnd"/>
      <w:r w:rsidRPr="00F85DB8">
        <w:rPr>
          <w:rFonts w:eastAsia="Times New Roman" w:cstheme="minorHAnsi"/>
          <w:sz w:val="24"/>
          <w:szCs w:val="24"/>
        </w:rPr>
        <w:t xml:space="preserve"> PM, </w:t>
      </w:r>
      <w:proofErr w:type="spellStart"/>
      <w:r w:rsidRPr="00F85DB8">
        <w:rPr>
          <w:rFonts w:eastAsia="Times New Roman" w:cstheme="minorHAnsi"/>
          <w:sz w:val="24"/>
          <w:szCs w:val="24"/>
        </w:rPr>
        <w:t>Buring</w:t>
      </w:r>
      <w:proofErr w:type="spellEnd"/>
      <w:r w:rsidRPr="00F85DB8">
        <w:rPr>
          <w:rFonts w:eastAsia="Times New Roman" w:cstheme="minorHAnsi"/>
          <w:sz w:val="24"/>
          <w:szCs w:val="24"/>
        </w:rPr>
        <w:t xml:space="preserve"> JE, Cook NR, </w:t>
      </w:r>
      <w:proofErr w:type="spellStart"/>
      <w:r w:rsidRPr="00F85DB8">
        <w:rPr>
          <w:rFonts w:eastAsia="Times New Roman" w:cstheme="minorHAnsi"/>
          <w:sz w:val="24"/>
          <w:szCs w:val="24"/>
        </w:rPr>
        <w:t>Rifai</w:t>
      </w:r>
      <w:proofErr w:type="spellEnd"/>
      <w:r w:rsidRPr="00F85DB8">
        <w:rPr>
          <w:rFonts w:eastAsia="Times New Roman" w:cstheme="minorHAnsi"/>
          <w:sz w:val="24"/>
          <w:szCs w:val="24"/>
        </w:rPr>
        <w:t xml:space="preserve"> N. C-reactive protein, the metabolic syndrome, and risk of incident cardiovascular events. Circulation. 2003</w:t>
      </w:r>
      <w:proofErr w:type="gramStart"/>
      <w:r w:rsidRPr="00F85DB8">
        <w:rPr>
          <w:rFonts w:eastAsia="Times New Roman" w:cstheme="minorHAnsi"/>
          <w:sz w:val="24"/>
          <w:szCs w:val="24"/>
        </w:rPr>
        <w:t>;107</w:t>
      </w:r>
      <w:proofErr w:type="gramEnd"/>
      <w:r w:rsidRPr="00F85DB8">
        <w:rPr>
          <w:rFonts w:eastAsia="Times New Roman" w:cstheme="minorHAnsi"/>
          <w:sz w:val="24"/>
          <w:szCs w:val="24"/>
        </w:rPr>
        <w:t>(3):391–397.</w:t>
      </w:r>
    </w:p>
    <w:p w:rsidR="003E49B3" w:rsidRPr="00F85DB8" w:rsidRDefault="003E49B3" w:rsidP="003E49B3">
      <w:pPr>
        <w:numPr>
          <w:ilvl w:val="0"/>
          <w:numId w:val="6"/>
        </w:numPr>
        <w:spacing w:before="100" w:beforeAutospacing="1" w:after="100" w:afterAutospacing="1" w:line="360" w:lineRule="auto"/>
        <w:jc w:val="both"/>
        <w:rPr>
          <w:rFonts w:eastAsia="Times New Roman" w:cstheme="minorHAnsi"/>
          <w:sz w:val="24"/>
          <w:szCs w:val="24"/>
        </w:rPr>
      </w:pPr>
      <w:r w:rsidRPr="00F85DB8">
        <w:rPr>
          <w:rFonts w:eastAsia="Times New Roman" w:cstheme="minorHAnsi"/>
          <w:sz w:val="24"/>
          <w:szCs w:val="24"/>
        </w:rPr>
        <w:t xml:space="preserve">Mohamed-Ali V, </w:t>
      </w:r>
      <w:proofErr w:type="spellStart"/>
      <w:r w:rsidRPr="00F85DB8">
        <w:rPr>
          <w:rFonts w:eastAsia="Times New Roman" w:cstheme="minorHAnsi"/>
          <w:sz w:val="24"/>
          <w:szCs w:val="24"/>
        </w:rPr>
        <w:t>Goodrick</w:t>
      </w:r>
      <w:proofErr w:type="spellEnd"/>
      <w:r w:rsidRPr="00F85DB8">
        <w:rPr>
          <w:rFonts w:eastAsia="Times New Roman" w:cstheme="minorHAnsi"/>
          <w:sz w:val="24"/>
          <w:szCs w:val="24"/>
        </w:rPr>
        <w:t xml:space="preserve"> S, </w:t>
      </w:r>
      <w:proofErr w:type="spellStart"/>
      <w:r w:rsidRPr="00F85DB8">
        <w:rPr>
          <w:rFonts w:eastAsia="Times New Roman" w:cstheme="minorHAnsi"/>
          <w:sz w:val="24"/>
          <w:szCs w:val="24"/>
        </w:rPr>
        <w:t>Rawesh</w:t>
      </w:r>
      <w:proofErr w:type="spellEnd"/>
      <w:r w:rsidRPr="00F85DB8">
        <w:rPr>
          <w:rFonts w:eastAsia="Times New Roman" w:cstheme="minorHAnsi"/>
          <w:sz w:val="24"/>
          <w:szCs w:val="24"/>
        </w:rPr>
        <w:t xml:space="preserve"> A, Katz DR, Miles JM, </w:t>
      </w:r>
      <w:proofErr w:type="spellStart"/>
      <w:r w:rsidRPr="00F85DB8">
        <w:rPr>
          <w:rFonts w:eastAsia="Times New Roman" w:cstheme="minorHAnsi"/>
          <w:sz w:val="24"/>
          <w:szCs w:val="24"/>
        </w:rPr>
        <w:t>Yudkin</w:t>
      </w:r>
      <w:proofErr w:type="spellEnd"/>
      <w:r w:rsidRPr="00F85DB8">
        <w:rPr>
          <w:rFonts w:eastAsia="Times New Roman" w:cstheme="minorHAnsi"/>
          <w:sz w:val="24"/>
          <w:szCs w:val="24"/>
        </w:rPr>
        <w:t xml:space="preserve"> JS, et al. Subcutaneous adipose tissue releases interleukin-6, but not tumor necrosis factor-alpha, in vivo. J </w:t>
      </w:r>
      <w:proofErr w:type="spellStart"/>
      <w:r w:rsidRPr="00F85DB8">
        <w:rPr>
          <w:rFonts w:eastAsia="Times New Roman" w:cstheme="minorHAnsi"/>
          <w:sz w:val="24"/>
          <w:szCs w:val="24"/>
        </w:rPr>
        <w:t>Clin</w:t>
      </w:r>
      <w:proofErr w:type="spellEnd"/>
      <w:r w:rsidRPr="00F85DB8">
        <w:rPr>
          <w:rFonts w:eastAsia="Times New Roman" w:cstheme="minorHAnsi"/>
          <w:sz w:val="24"/>
          <w:szCs w:val="24"/>
        </w:rPr>
        <w:t xml:space="preserve"> </w:t>
      </w:r>
      <w:proofErr w:type="spellStart"/>
      <w:r w:rsidRPr="00F85DB8">
        <w:rPr>
          <w:rFonts w:eastAsia="Times New Roman" w:cstheme="minorHAnsi"/>
          <w:sz w:val="24"/>
          <w:szCs w:val="24"/>
        </w:rPr>
        <w:t>Endocrinol</w:t>
      </w:r>
      <w:proofErr w:type="spellEnd"/>
      <w:r w:rsidRPr="00F85DB8">
        <w:rPr>
          <w:rFonts w:eastAsia="Times New Roman" w:cstheme="minorHAnsi"/>
          <w:sz w:val="24"/>
          <w:szCs w:val="24"/>
        </w:rPr>
        <w:t xml:space="preserve"> </w:t>
      </w:r>
      <w:proofErr w:type="spellStart"/>
      <w:r w:rsidRPr="00F85DB8">
        <w:rPr>
          <w:rFonts w:eastAsia="Times New Roman" w:cstheme="minorHAnsi"/>
          <w:sz w:val="24"/>
          <w:szCs w:val="24"/>
        </w:rPr>
        <w:t>Metab</w:t>
      </w:r>
      <w:proofErr w:type="spellEnd"/>
      <w:r w:rsidRPr="00F85DB8">
        <w:rPr>
          <w:rFonts w:eastAsia="Times New Roman" w:cstheme="minorHAnsi"/>
          <w:sz w:val="24"/>
          <w:szCs w:val="24"/>
        </w:rPr>
        <w:t>. 1997</w:t>
      </w:r>
      <w:proofErr w:type="gramStart"/>
      <w:r w:rsidRPr="00F85DB8">
        <w:rPr>
          <w:rFonts w:eastAsia="Times New Roman" w:cstheme="minorHAnsi"/>
          <w:sz w:val="24"/>
          <w:szCs w:val="24"/>
        </w:rPr>
        <w:t>;82</w:t>
      </w:r>
      <w:proofErr w:type="gramEnd"/>
      <w:r w:rsidRPr="00F85DB8">
        <w:rPr>
          <w:rFonts w:eastAsia="Times New Roman" w:cstheme="minorHAnsi"/>
          <w:sz w:val="24"/>
          <w:szCs w:val="24"/>
        </w:rPr>
        <w:t>(12):4196–4200.</w:t>
      </w:r>
    </w:p>
    <w:p w:rsidR="003E49B3" w:rsidRPr="00F85DB8" w:rsidRDefault="003E49B3" w:rsidP="003E49B3">
      <w:pPr>
        <w:numPr>
          <w:ilvl w:val="0"/>
          <w:numId w:val="6"/>
        </w:numPr>
        <w:spacing w:before="100" w:beforeAutospacing="1" w:after="100" w:afterAutospacing="1" w:line="360" w:lineRule="auto"/>
        <w:jc w:val="both"/>
        <w:rPr>
          <w:rFonts w:eastAsia="Times New Roman" w:cstheme="minorHAnsi"/>
          <w:sz w:val="24"/>
          <w:szCs w:val="24"/>
        </w:rPr>
      </w:pPr>
      <w:proofErr w:type="spellStart"/>
      <w:r w:rsidRPr="00F85DB8">
        <w:rPr>
          <w:rFonts w:eastAsia="Times New Roman" w:cstheme="minorHAnsi"/>
          <w:sz w:val="24"/>
          <w:szCs w:val="24"/>
        </w:rPr>
        <w:t>Dandona</w:t>
      </w:r>
      <w:proofErr w:type="spellEnd"/>
      <w:r w:rsidRPr="00F85DB8">
        <w:rPr>
          <w:rFonts w:eastAsia="Times New Roman" w:cstheme="minorHAnsi"/>
          <w:sz w:val="24"/>
          <w:szCs w:val="24"/>
        </w:rPr>
        <w:t xml:space="preserve"> P, </w:t>
      </w:r>
      <w:proofErr w:type="spellStart"/>
      <w:r w:rsidRPr="00F85DB8">
        <w:rPr>
          <w:rFonts w:eastAsia="Times New Roman" w:cstheme="minorHAnsi"/>
          <w:sz w:val="24"/>
          <w:szCs w:val="24"/>
        </w:rPr>
        <w:t>Aljada</w:t>
      </w:r>
      <w:proofErr w:type="spellEnd"/>
      <w:r w:rsidRPr="00F85DB8">
        <w:rPr>
          <w:rFonts w:eastAsia="Times New Roman" w:cstheme="minorHAnsi"/>
          <w:sz w:val="24"/>
          <w:szCs w:val="24"/>
        </w:rPr>
        <w:t xml:space="preserve"> A, </w:t>
      </w:r>
      <w:proofErr w:type="spellStart"/>
      <w:r w:rsidRPr="00F85DB8">
        <w:rPr>
          <w:rFonts w:eastAsia="Times New Roman" w:cstheme="minorHAnsi"/>
          <w:sz w:val="24"/>
          <w:szCs w:val="24"/>
        </w:rPr>
        <w:t>Chaudhuri</w:t>
      </w:r>
      <w:proofErr w:type="spellEnd"/>
      <w:r w:rsidRPr="00F85DB8">
        <w:rPr>
          <w:rFonts w:eastAsia="Times New Roman" w:cstheme="minorHAnsi"/>
          <w:sz w:val="24"/>
          <w:szCs w:val="24"/>
        </w:rPr>
        <w:t xml:space="preserve"> A, </w:t>
      </w:r>
      <w:proofErr w:type="spellStart"/>
      <w:r w:rsidRPr="00F85DB8">
        <w:rPr>
          <w:rFonts w:eastAsia="Times New Roman" w:cstheme="minorHAnsi"/>
          <w:sz w:val="24"/>
          <w:szCs w:val="24"/>
        </w:rPr>
        <w:t>Mohanty</w:t>
      </w:r>
      <w:proofErr w:type="spellEnd"/>
      <w:r w:rsidRPr="00F85DB8">
        <w:rPr>
          <w:rFonts w:eastAsia="Times New Roman" w:cstheme="minorHAnsi"/>
          <w:sz w:val="24"/>
          <w:szCs w:val="24"/>
        </w:rPr>
        <w:t xml:space="preserve"> P, </w:t>
      </w:r>
      <w:proofErr w:type="spellStart"/>
      <w:r w:rsidRPr="00F85DB8">
        <w:rPr>
          <w:rFonts w:eastAsia="Times New Roman" w:cstheme="minorHAnsi"/>
          <w:sz w:val="24"/>
          <w:szCs w:val="24"/>
        </w:rPr>
        <w:t>Garg</w:t>
      </w:r>
      <w:proofErr w:type="spellEnd"/>
      <w:r w:rsidRPr="00F85DB8">
        <w:rPr>
          <w:rFonts w:eastAsia="Times New Roman" w:cstheme="minorHAnsi"/>
          <w:sz w:val="24"/>
          <w:szCs w:val="24"/>
        </w:rPr>
        <w:t xml:space="preserve"> R. Metabolic syndrome: a comprehensive perspective based on interactions between obesity, diabetes, and inflammation. Circulation. 2005</w:t>
      </w:r>
      <w:proofErr w:type="gramStart"/>
      <w:r w:rsidRPr="00F85DB8">
        <w:rPr>
          <w:rFonts w:eastAsia="Times New Roman" w:cstheme="minorHAnsi"/>
          <w:sz w:val="24"/>
          <w:szCs w:val="24"/>
        </w:rPr>
        <w:t>;111</w:t>
      </w:r>
      <w:proofErr w:type="gramEnd"/>
      <w:r w:rsidRPr="00F85DB8">
        <w:rPr>
          <w:rFonts w:eastAsia="Times New Roman" w:cstheme="minorHAnsi"/>
          <w:sz w:val="24"/>
          <w:szCs w:val="24"/>
        </w:rPr>
        <w:t>(11):1448–1454.</w:t>
      </w:r>
    </w:p>
    <w:p w:rsidR="003E49B3" w:rsidRPr="00F85DB8" w:rsidRDefault="003E49B3" w:rsidP="003E49B3">
      <w:pPr>
        <w:numPr>
          <w:ilvl w:val="0"/>
          <w:numId w:val="6"/>
        </w:numPr>
        <w:spacing w:before="100" w:beforeAutospacing="1" w:after="100" w:afterAutospacing="1" w:line="360" w:lineRule="auto"/>
        <w:jc w:val="both"/>
        <w:rPr>
          <w:rFonts w:eastAsia="Times New Roman" w:cstheme="minorHAnsi"/>
          <w:sz w:val="24"/>
          <w:szCs w:val="24"/>
        </w:rPr>
      </w:pPr>
      <w:proofErr w:type="spellStart"/>
      <w:r w:rsidRPr="00F85DB8">
        <w:rPr>
          <w:rFonts w:eastAsia="Times New Roman" w:cstheme="minorHAnsi"/>
          <w:sz w:val="24"/>
          <w:szCs w:val="24"/>
        </w:rPr>
        <w:t>Akinyemi</w:t>
      </w:r>
      <w:proofErr w:type="spellEnd"/>
      <w:r w:rsidRPr="00F85DB8">
        <w:rPr>
          <w:rFonts w:eastAsia="Times New Roman" w:cstheme="minorHAnsi"/>
          <w:sz w:val="24"/>
          <w:szCs w:val="24"/>
        </w:rPr>
        <w:t xml:space="preserve"> JO, </w:t>
      </w:r>
      <w:proofErr w:type="spellStart"/>
      <w:r w:rsidRPr="00F85DB8">
        <w:rPr>
          <w:rFonts w:eastAsia="Times New Roman" w:cstheme="minorHAnsi"/>
          <w:sz w:val="24"/>
          <w:szCs w:val="24"/>
        </w:rPr>
        <w:t>Sanusi</w:t>
      </w:r>
      <w:proofErr w:type="spellEnd"/>
      <w:r w:rsidRPr="00F85DB8">
        <w:rPr>
          <w:rFonts w:eastAsia="Times New Roman" w:cstheme="minorHAnsi"/>
          <w:sz w:val="24"/>
          <w:szCs w:val="24"/>
        </w:rPr>
        <w:t xml:space="preserve"> RA, </w:t>
      </w:r>
      <w:proofErr w:type="spellStart"/>
      <w:r w:rsidRPr="00F85DB8">
        <w:rPr>
          <w:rFonts w:eastAsia="Times New Roman" w:cstheme="minorHAnsi"/>
          <w:sz w:val="24"/>
          <w:szCs w:val="24"/>
        </w:rPr>
        <w:t>Olumakaiye</w:t>
      </w:r>
      <w:proofErr w:type="spellEnd"/>
      <w:r w:rsidRPr="00F85DB8">
        <w:rPr>
          <w:rFonts w:eastAsia="Times New Roman" w:cstheme="minorHAnsi"/>
          <w:sz w:val="24"/>
          <w:szCs w:val="24"/>
        </w:rPr>
        <w:t xml:space="preserve"> MF, </w:t>
      </w:r>
      <w:proofErr w:type="spellStart"/>
      <w:r w:rsidRPr="00F85DB8">
        <w:rPr>
          <w:rFonts w:eastAsia="Times New Roman" w:cstheme="minorHAnsi"/>
          <w:sz w:val="24"/>
          <w:szCs w:val="24"/>
        </w:rPr>
        <w:t>Ajayi</w:t>
      </w:r>
      <w:proofErr w:type="spellEnd"/>
      <w:r w:rsidRPr="00F85DB8">
        <w:rPr>
          <w:rFonts w:eastAsia="Times New Roman" w:cstheme="minorHAnsi"/>
          <w:sz w:val="24"/>
          <w:szCs w:val="24"/>
        </w:rPr>
        <w:t xml:space="preserve"> IO. Environmental and dietary determinants of type 2 diabetes among adults in a semi-urban Nigerian population. J Diabetes </w:t>
      </w:r>
      <w:proofErr w:type="spellStart"/>
      <w:r w:rsidRPr="00F85DB8">
        <w:rPr>
          <w:rFonts w:eastAsia="Times New Roman" w:cstheme="minorHAnsi"/>
          <w:sz w:val="24"/>
          <w:szCs w:val="24"/>
        </w:rPr>
        <w:t>MetabDisord</w:t>
      </w:r>
      <w:proofErr w:type="spellEnd"/>
      <w:r w:rsidRPr="00F85DB8">
        <w:rPr>
          <w:rFonts w:eastAsia="Times New Roman" w:cstheme="minorHAnsi"/>
          <w:sz w:val="24"/>
          <w:szCs w:val="24"/>
        </w:rPr>
        <w:t>. 2023</w:t>
      </w:r>
      <w:proofErr w:type="gramStart"/>
      <w:r w:rsidRPr="00F85DB8">
        <w:rPr>
          <w:rFonts w:eastAsia="Times New Roman" w:cstheme="minorHAnsi"/>
          <w:sz w:val="24"/>
          <w:szCs w:val="24"/>
        </w:rPr>
        <w:t>;22</w:t>
      </w:r>
      <w:proofErr w:type="gramEnd"/>
      <w:r w:rsidRPr="00F85DB8">
        <w:rPr>
          <w:rFonts w:eastAsia="Times New Roman" w:cstheme="minorHAnsi"/>
          <w:sz w:val="24"/>
          <w:szCs w:val="24"/>
        </w:rPr>
        <w:t>(1):15–21.</w:t>
      </w:r>
    </w:p>
    <w:p w:rsidR="003E49B3" w:rsidRPr="00F85DB8" w:rsidRDefault="003E49B3" w:rsidP="003E49B3">
      <w:pPr>
        <w:numPr>
          <w:ilvl w:val="0"/>
          <w:numId w:val="6"/>
        </w:numPr>
        <w:spacing w:before="100" w:beforeAutospacing="1" w:after="100" w:afterAutospacing="1" w:line="360" w:lineRule="auto"/>
        <w:jc w:val="both"/>
        <w:rPr>
          <w:rFonts w:eastAsia="Times New Roman" w:cstheme="minorHAnsi"/>
          <w:sz w:val="24"/>
          <w:szCs w:val="24"/>
        </w:rPr>
      </w:pPr>
      <w:proofErr w:type="spellStart"/>
      <w:r w:rsidRPr="00F85DB8">
        <w:rPr>
          <w:rFonts w:eastAsia="Times New Roman" w:cstheme="minorHAnsi"/>
          <w:sz w:val="24"/>
          <w:szCs w:val="24"/>
        </w:rPr>
        <w:lastRenderedPageBreak/>
        <w:t>Afridi</w:t>
      </w:r>
      <w:proofErr w:type="spellEnd"/>
      <w:r w:rsidRPr="00F85DB8">
        <w:rPr>
          <w:rFonts w:eastAsia="Times New Roman" w:cstheme="minorHAnsi"/>
          <w:sz w:val="24"/>
          <w:szCs w:val="24"/>
        </w:rPr>
        <w:t xml:space="preserve"> HI, </w:t>
      </w:r>
      <w:proofErr w:type="spellStart"/>
      <w:r w:rsidRPr="00F85DB8">
        <w:rPr>
          <w:rFonts w:eastAsia="Times New Roman" w:cstheme="minorHAnsi"/>
          <w:sz w:val="24"/>
          <w:szCs w:val="24"/>
        </w:rPr>
        <w:t>Kazi</w:t>
      </w:r>
      <w:proofErr w:type="spellEnd"/>
      <w:r w:rsidRPr="00F85DB8">
        <w:rPr>
          <w:rFonts w:eastAsia="Times New Roman" w:cstheme="minorHAnsi"/>
          <w:sz w:val="24"/>
          <w:szCs w:val="24"/>
        </w:rPr>
        <w:t xml:space="preserve"> TG, </w:t>
      </w:r>
      <w:proofErr w:type="spellStart"/>
      <w:r w:rsidRPr="00F85DB8">
        <w:rPr>
          <w:rFonts w:eastAsia="Times New Roman" w:cstheme="minorHAnsi"/>
          <w:sz w:val="24"/>
          <w:szCs w:val="24"/>
        </w:rPr>
        <w:t>Talpur</w:t>
      </w:r>
      <w:proofErr w:type="spellEnd"/>
      <w:r w:rsidRPr="00F85DB8">
        <w:rPr>
          <w:rFonts w:eastAsia="Times New Roman" w:cstheme="minorHAnsi"/>
          <w:sz w:val="24"/>
          <w:szCs w:val="24"/>
        </w:rPr>
        <w:t xml:space="preserve"> FN, </w:t>
      </w:r>
      <w:proofErr w:type="spellStart"/>
      <w:r w:rsidRPr="00F85DB8">
        <w:rPr>
          <w:rFonts w:eastAsia="Times New Roman" w:cstheme="minorHAnsi"/>
          <w:sz w:val="24"/>
          <w:szCs w:val="24"/>
        </w:rPr>
        <w:t>Brabazon</w:t>
      </w:r>
      <w:proofErr w:type="spellEnd"/>
      <w:r w:rsidRPr="00F85DB8">
        <w:rPr>
          <w:rFonts w:eastAsia="Times New Roman" w:cstheme="minorHAnsi"/>
          <w:sz w:val="24"/>
          <w:szCs w:val="24"/>
        </w:rPr>
        <w:t xml:space="preserve"> D, </w:t>
      </w:r>
      <w:proofErr w:type="spellStart"/>
      <w:r w:rsidRPr="00F85DB8">
        <w:rPr>
          <w:rFonts w:eastAsia="Times New Roman" w:cstheme="minorHAnsi"/>
          <w:sz w:val="24"/>
          <w:szCs w:val="24"/>
        </w:rPr>
        <w:t>Naher</w:t>
      </w:r>
      <w:proofErr w:type="spellEnd"/>
      <w:r w:rsidRPr="00F85DB8">
        <w:rPr>
          <w:rFonts w:eastAsia="Times New Roman" w:cstheme="minorHAnsi"/>
          <w:sz w:val="24"/>
          <w:szCs w:val="24"/>
        </w:rPr>
        <w:t xml:space="preserve"> S, </w:t>
      </w:r>
      <w:proofErr w:type="spellStart"/>
      <w:r w:rsidRPr="00F85DB8">
        <w:rPr>
          <w:rFonts w:eastAsia="Times New Roman" w:cstheme="minorHAnsi"/>
          <w:sz w:val="24"/>
          <w:szCs w:val="24"/>
        </w:rPr>
        <w:t>Arain</w:t>
      </w:r>
      <w:proofErr w:type="spellEnd"/>
      <w:r w:rsidRPr="00F85DB8">
        <w:rPr>
          <w:rFonts w:eastAsia="Times New Roman" w:cstheme="minorHAnsi"/>
          <w:sz w:val="24"/>
          <w:szCs w:val="24"/>
        </w:rPr>
        <w:t xml:space="preserve"> SS, et al. Interaction of toxic elements and antioxidants in diabetes mellitus patients. </w:t>
      </w:r>
      <w:proofErr w:type="spellStart"/>
      <w:r w:rsidRPr="00F85DB8">
        <w:rPr>
          <w:rFonts w:eastAsia="Times New Roman" w:cstheme="minorHAnsi"/>
          <w:sz w:val="24"/>
          <w:szCs w:val="24"/>
        </w:rPr>
        <w:t>Biol</w:t>
      </w:r>
      <w:proofErr w:type="spellEnd"/>
      <w:r w:rsidRPr="00F85DB8">
        <w:rPr>
          <w:rFonts w:eastAsia="Times New Roman" w:cstheme="minorHAnsi"/>
          <w:sz w:val="24"/>
          <w:szCs w:val="24"/>
        </w:rPr>
        <w:t xml:space="preserve"> Trace Elem Res. 2019</w:t>
      </w:r>
      <w:proofErr w:type="gramStart"/>
      <w:r w:rsidRPr="00F85DB8">
        <w:rPr>
          <w:rFonts w:eastAsia="Times New Roman" w:cstheme="minorHAnsi"/>
          <w:sz w:val="24"/>
          <w:szCs w:val="24"/>
        </w:rPr>
        <w:t>;189</w:t>
      </w:r>
      <w:proofErr w:type="gramEnd"/>
      <w:r w:rsidRPr="00F85DB8">
        <w:rPr>
          <w:rFonts w:eastAsia="Times New Roman" w:cstheme="minorHAnsi"/>
          <w:sz w:val="24"/>
          <w:szCs w:val="24"/>
        </w:rPr>
        <w:t>(2):361–371.</w:t>
      </w:r>
    </w:p>
    <w:p w:rsidR="003E49B3" w:rsidRPr="00F85DB8" w:rsidRDefault="003E49B3" w:rsidP="003E49B3">
      <w:pPr>
        <w:numPr>
          <w:ilvl w:val="0"/>
          <w:numId w:val="6"/>
        </w:numPr>
        <w:spacing w:before="100" w:beforeAutospacing="1" w:after="100" w:afterAutospacing="1" w:line="360" w:lineRule="auto"/>
        <w:jc w:val="both"/>
        <w:rPr>
          <w:rFonts w:eastAsia="Times New Roman" w:cstheme="minorHAnsi"/>
          <w:sz w:val="24"/>
          <w:szCs w:val="24"/>
        </w:rPr>
      </w:pPr>
      <w:r w:rsidRPr="00F85DB8">
        <w:rPr>
          <w:rFonts w:eastAsia="Times New Roman" w:cstheme="minorHAnsi"/>
          <w:sz w:val="24"/>
          <w:szCs w:val="24"/>
        </w:rPr>
        <w:t xml:space="preserve">Weisberg SP, McCann D, Desai M, Rosenbaum M, </w:t>
      </w:r>
      <w:proofErr w:type="spellStart"/>
      <w:r w:rsidRPr="00F85DB8">
        <w:rPr>
          <w:rFonts w:eastAsia="Times New Roman" w:cstheme="minorHAnsi"/>
          <w:sz w:val="24"/>
          <w:szCs w:val="24"/>
        </w:rPr>
        <w:t>Leibel</w:t>
      </w:r>
      <w:proofErr w:type="spellEnd"/>
      <w:r w:rsidRPr="00F85DB8">
        <w:rPr>
          <w:rFonts w:eastAsia="Times New Roman" w:cstheme="minorHAnsi"/>
          <w:sz w:val="24"/>
          <w:szCs w:val="24"/>
        </w:rPr>
        <w:t xml:space="preserve"> RL, </w:t>
      </w:r>
      <w:proofErr w:type="spellStart"/>
      <w:r w:rsidRPr="00F85DB8">
        <w:rPr>
          <w:rFonts w:eastAsia="Times New Roman" w:cstheme="minorHAnsi"/>
          <w:sz w:val="24"/>
          <w:szCs w:val="24"/>
        </w:rPr>
        <w:t>Ferrante</w:t>
      </w:r>
      <w:proofErr w:type="spellEnd"/>
      <w:r w:rsidRPr="00F85DB8">
        <w:rPr>
          <w:rFonts w:eastAsia="Times New Roman" w:cstheme="minorHAnsi"/>
          <w:sz w:val="24"/>
          <w:szCs w:val="24"/>
        </w:rPr>
        <w:t xml:space="preserve"> AW Jr. Obesity is associated with macrophage accumulation in adipose tissue. J </w:t>
      </w:r>
      <w:proofErr w:type="spellStart"/>
      <w:r w:rsidRPr="00F85DB8">
        <w:rPr>
          <w:rFonts w:eastAsia="Times New Roman" w:cstheme="minorHAnsi"/>
          <w:sz w:val="24"/>
          <w:szCs w:val="24"/>
        </w:rPr>
        <w:t>Clin</w:t>
      </w:r>
      <w:proofErr w:type="spellEnd"/>
      <w:r w:rsidRPr="00F85DB8">
        <w:rPr>
          <w:rFonts w:eastAsia="Times New Roman" w:cstheme="minorHAnsi"/>
          <w:sz w:val="24"/>
          <w:szCs w:val="24"/>
        </w:rPr>
        <w:t xml:space="preserve"> Invest. 2003</w:t>
      </w:r>
      <w:proofErr w:type="gramStart"/>
      <w:r w:rsidRPr="00F85DB8">
        <w:rPr>
          <w:rFonts w:eastAsia="Times New Roman" w:cstheme="minorHAnsi"/>
          <w:sz w:val="24"/>
          <w:szCs w:val="24"/>
        </w:rPr>
        <w:t>;112</w:t>
      </w:r>
      <w:proofErr w:type="gramEnd"/>
      <w:r w:rsidRPr="00F85DB8">
        <w:rPr>
          <w:rFonts w:eastAsia="Times New Roman" w:cstheme="minorHAnsi"/>
          <w:sz w:val="24"/>
          <w:szCs w:val="24"/>
        </w:rPr>
        <w:t>(12):1796–1808.</w:t>
      </w:r>
    </w:p>
    <w:p w:rsidR="003E49B3" w:rsidRPr="00F85DB8" w:rsidRDefault="003E49B3" w:rsidP="003E49B3">
      <w:pPr>
        <w:numPr>
          <w:ilvl w:val="0"/>
          <w:numId w:val="6"/>
        </w:numPr>
        <w:spacing w:before="100" w:beforeAutospacing="1" w:after="100" w:afterAutospacing="1" w:line="360" w:lineRule="auto"/>
        <w:jc w:val="both"/>
        <w:rPr>
          <w:rFonts w:eastAsia="Times New Roman" w:cstheme="minorHAnsi"/>
          <w:sz w:val="24"/>
          <w:szCs w:val="24"/>
        </w:rPr>
      </w:pPr>
      <w:proofErr w:type="spellStart"/>
      <w:r w:rsidRPr="00F85DB8">
        <w:rPr>
          <w:rFonts w:eastAsia="Times New Roman" w:cstheme="minorHAnsi"/>
          <w:sz w:val="24"/>
          <w:szCs w:val="24"/>
        </w:rPr>
        <w:t>Xu</w:t>
      </w:r>
      <w:proofErr w:type="spellEnd"/>
      <w:r w:rsidRPr="00F85DB8">
        <w:rPr>
          <w:rFonts w:eastAsia="Times New Roman" w:cstheme="minorHAnsi"/>
          <w:sz w:val="24"/>
          <w:szCs w:val="24"/>
        </w:rPr>
        <w:t xml:space="preserve"> H, Barnes GT, Yang Q, Tan G, Yang D, Chou CJ, et al. Chronic inflammation in fat plays a crucial role in the development of obesity-related insulin resistance. J </w:t>
      </w:r>
      <w:proofErr w:type="spellStart"/>
      <w:r w:rsidRPr="00F85DB8">
        <w:rPr>
          <w:rFonts w:eastAsia="Times New Roman" w:cstheme="minorHAnsi"/>
          <w:sz w:val="24"/>
          <w:szCs w:val="24"/>
        </w:rPr>
        <w:t>Clin</w:t>
      </w:r>
      <w:proofErr w:type="spellEnd"/>
      <w:r w:rsidRPr="00F85DB8">
        <w:rPr>
          <w:rFonts w:eastAsia="Times New Roman" w:cstheme="minorHAnsi"/>
          <w:sz w:val="24"/>
          <w:szCs w:val="24"/>
        </w:rPr>
        <w:t xml:space="preserve"> Invest. 2003</w:t>
      </w:r>
      <w:proofErr w:type="gramStart"/>
      <w:r w:rsidRPr="00F85DB8">
        <w:rPr>
          <w:rFonts w:eastAsia="Times New Roman" w:cstheme="minorHAnsi"/>
          <w:sz w:val="24"/>
          <w:szCs w:val="24"/>
        </w:rPr>
        <w:t>;112</w:t>
      </w:r>
      <w:proofErr w:type="gramEnd"/>
      <w:r w:rsidRPr="00F85DB8">
        <w:rPr>
          <w:rFonts w:eastAsia="Times New Roman" w:cstheme="minorHAnsi"/>
          <w:sz w:val="24"/>
          <w:szCs w:val="24"/>
        </w:rPr>
        <w:t>(12):1821–1830.</w:t>
      </w:r>
    </w:p>
    <w:p w:rsidR="003E49B3" w:rsidRPr="00F85DB8" w:rsidRDefault="003E49B3" w:rsidP="003E49B3">
      <w:pPr>
        <w:numPr>
          <w:ilvl w:val="0"/>
          <w:numId w:val="6"/>
        </w:numPr>
        <w:spacing w:before="100" w:beforeAutospacing="1" w:after="100" w:afterAutospacing="1" w:line="360" w:lineRule="auto"/>
        <w:jc w:val="both"/>
        <w:rPr>
          <w:rFonts w:eastAsia="Times New Roman" w:cstheme="minorHAnsi"/>
          <w:sz w:val="24"/>
          <w:szCs w:val="24"/>
        </w:rPr>
      </w:pPr>
      <w:proofErr w:type="spellStart"/>
      <w:r w:rsidRPr="00F85DB8">
        <w:rPr>
          <w:rFonts w:eastAsia="Times New Roman" w:cstheme="minorHAnsi"/>
          <w:sz w:val="24"/>
          <w:szCs w:val="24"/>
        </w:rPr>
        <w:t>Shoelson</w:t>
      </w:r>
      <w:proofErr w:type="spellEnd"/>
      <w:r w:rsidRPr="00F85DB8">
        <w:rPr>
          <w:rFonts w:eastAsia="Times New Roman" w:cstheme="minorHAnsi"/>
          <w:sz w:val="24"/>
          <w:szCs w:val="24"/>
        </w:rPr>
        <w:t xml:space="preserve"> SE, </w:t>
      </w:r>
      <w:proofErr w:type="spellStart"/>
      <w:r w:rsidRPr="00F85DB8">
        <w:rPr>
          <w:rFonts w:eastAsia="Times New Roman" w:cstheme="minorHAnsi"/>
          <w:sz w:val="24"/>
          <w:szCs w:val="24"/>
        </w:rPr>
        <w:t>Herrero</w:t>
      </w:r>
      <w:proofErr w:type="spellEnd"/>
      <w:r w:rsidRPr="00F85DB8">
        <w:rPr>
          <w:rFonts w:eastAsia="Times New Roman" w:cstheme="minorHAnsi"/>
          <w:sz w:val="24"/>
          <w:szCs w:val="24"/>
        </w:rPr>
        <w:t xml:space="preserve"> L, </w:t>
      </w:r>
      <w:proofErr w:type="spellStart"/>
      <w:r w:rsidRPr="00F85DB8">
        <w:rPr>
          <w:rFonts w:eastAsia="Times New Roman" w:cstheme="minorHAnsi"/>
          <w:sz w:val="24"/>
          <w:szCs w:val="24"/>
        </w:rPr>
        <w:t>Naaz</w:t>
      </w:r>
      <w:proofErr w:type="spellEnd"/>
      <w:r w:rsidRPr="00F85DB8">
        <w:rPr>
          <w:rFonts w:eastAsia="Times New Roman" w:cstheme="minorHAnsi"/>
          <w:sz w:val="24"/>
          <w:szCs w:val="24"/>
        </w:rPr>
        <w:t xml:space="preserve"> A. Obesity, inflammation, and insulin resistance. Gastroenterology. 2007</w:t>
      </w:r>
      <w:proofErr w:type="gramStart"/>
      <w:r w:rsidRPr="00F85DB8">
        <w:rPr>
          <w:rFonts w:eastAsia="Times New Roman" w:cstheme="minorHAnsi"/>
          <w:sz w:val="24"/>
          <w:szCs w:val="24"/>
        </w:rPr>
        <w:t>;132</w:t>
      </w:r>
      <w:proofErr w:type="gramEnd"/>
      <w:r w:rsidRPr="00F85DB8">
        <w:rPr>
          <w:rFonts w:eastAsia="Times New Roman" w:cstheme="minorHAnsi"/>
          <w:sz w:val="24"/>
          <w:szCs w:val="24"/>
        </w:rPr>
        <w:t>(6):2169–2180.</w:t>
      </w:r>
    </w:p>
    <w:p w:rsidR="003E49B3" w:rsidRPr="00F85DB8" w:rsidRDefault="003E49B3" w:rsidP="003E49B3">
      <w:pPr>
        <w:numPr>
          <w:ilvl w:val="0"/>
          <w:numId w:val="6"/>
        </w:numPr>
        <w:spacing w:before="100" w:beforeAutospacing="1" w:after="100" w:afterAutospacing="1" w:line="360" w:lineRule="auto"/>
        <w:jc w:val="both"/>
        <w:rPr>
          <w:rFonts w:eastAsia="Times New Roman" w:cstheme="minorHAnsi"/>
          <w:sz w:val="24"/>
          <w:szCs w:val="24"/>
        </w:rPr>
      </w:pPr>
      <w:proofErr w:type="spellStart"/>
      <w:r w:rsidRPr="00F85DB8">
        <w:rPr>
          <w:rFonts w:eastAsia="Times New Roman" w:cstheme="minorHAnsi"/>
          <w:sz w:val="24"/>
          <w:szCs w:val="24"/>
        </w:rPr>
        <w:t>Saltiel</w:t>
      </w:r>
      <w:proofErr w:type="spellEnd"/>
      <w:r w:rsidRPr="00F85DB8">
        <w:rPr>
          <w:rFonts w:eastAsia="Times New Roman" w:cstheme="minorHAnsi"/>
          <w:sz w:val="24"/>
          <w:szCs w:val="24"/>
        </w:rPr>
        <w:t xml:space="preserve"> AR, </w:t>
      </w:r>
      <w:proofErr w:type="spellStart"/>
      <w:r w:rsidRPr="00F85DB8">
        <w:rPr>
          <w:rFonts w:eastAsia="Times New Roman" w:cstheme="minorHAnsi"/>
          <w:sz w:val="24"/>
          <w:szCs w:val="24"/>
        </w:rPr>
        <w:t>Olefsky</w:t>
      </w:r>
      <w:proofErr w:type="spellEnd"/>
      <w:r w:rsidRPr="00F85DB8">
        <w:rPr>
          <w:rFonts w:eastAsia="Times New Roman" w:cstheme="minorHAnsi"/>
          <w:sz w:val="24"/>
          <w:szCs w:val="24"/>
        </w:rPr>
        <w:t xml:space="preserve"> JM. Inflammatory mechanisms linking obesity and metabolic disease. J </w:t>
      </w:r>
      <w:proofErr w:type="spellStart"/>
      <w:r w:rsidRPr="00F85DB8">
        <w:rPr>
          <w:rFonts w:eastAsia="Times New Roman" w:cstheme="minorHAnsi"/>
          <w:sz w:val="24"/>
          <w:szCs w:val="24"/>
        </w:rPr>
        <w:t>Clin</w:t>
      </w:r>
      <w:proofErr w:type="spellEnd"/>
      <w:r w:rsidRPr="00F85DB8">
        <w:rPr>
          <w:rFonts w:eastAsia="Times New Roman" w:cstheme="minorHAnsi"/>
          <w:sz w:val="24"/>
          <w:szCs w:val="24"/>
        </w:rPr>
        <w:t xml:space="preserve"> Invest. 2017</w:t>
      </w:r>
      <w:proofErr w:type="gramStart"/>
      <w:r w:rsidRPr="00F85DB8">
        <w:rPr>
          <w:rFonts w:eastAsia="Times New Roman" w:cstheme="minorHAnsi"/>
          <w:sz w:val="24"/>
          <w:szCs w:val="24"/>
        </w:rPr>
        <w:t>;127</w:t>
      </w:r>
      <w:proofErr w:type="gramEnd"/>
      <w:r w:rsidRPr="00F85DB8">
        <w:rPr>
          <w:rFonts w:eastAsia="Times New Roman" w:cstheme="minorHAnsi"/>
          <w:sz w:val="24"/>
          <w:szCs w:val="24"/>
        </w:rPr>
        <w:t>(1):1–4.</w:t>
      </w:r>
    </w:p>
    <w:p w:rsidR="003E49B3" w:rsidRPr="00F85DB8" w:rsidRDefault="003E49B3" w:rsidP="003E49B3">
      <w:pPr>
        <w:numPr>
          <w:ilvl w:val="0"/>
          <w:numId w:val="6"/>
        </w:numPr>
        <w:spacing w:before="100" w:beforeAutospacing="1" w:after="100" w:afterAutospacing="1" w:line="360" w:lineRule="auto"/>
        <w:jc w:val="both"/>
        <w:rPr>
          <w:rFonts w:eastAsia="Times New Roman" w:cstheme="minorHAnsi"/>
          <w:sz w:val="24"/>
          <w:szCs w:val="24"/>
        </w:rPr>
      </w:pPr>
      <w:r w:rsidRPr="00F85DB8">
        <w:rPr>
          <w:rFonts w:eastAsia="Times New Roman" w:cstheme="minorHAnsi"/>
          <w:sz w:val="24"/>
          <w:szCs w:val="24"/>
        </w:rPr>
        <w:t xml:space="preserve">Larsen CM, </w:t>
      </w:r>
      <w:proofErr w:type="spellStart"/>
      <w:r w:rsidRPr="00F85DB8">
        <w:rPr>
          <w:rFonts w:eastAsia="Times New Roman" w:cstheme="minorHAnsi"/>
          <w:sz w:val="24"/>
          <w:szCs w:val="24"/>
        </w:rPr>
        <w:t>Faulenbach</w:t>
      </w:r>
      <w:proofErr w:type="spellEnd"/>
      <w:r w:rsidRPr="00F85DB8">
        <w:rPr>
          <w:rFonts w:eastAsia="Times New Roman" w:cstheme="minorHAnsi"/>
          <w:sz w:val="24"/>
          <w:szCs w:val="24"/>
        </w:rPr>
        <w:t xml:space="preserve"> M, </w:t>
      </w:r>
      <w:proofErr w:type="spellStart"/>
      <w:r w:rsidRPr="00F85DB8">
        <w:rPr>
          <w:rFonts w:eastAsia="Times New Roman" w:cstheme="minorHAnsi"/>
          <w:sz w:val="24"/>
          <w:szCs w:val="24"/>
        </w:rPr>
        <w:t>Vaag</w:t>
      </w:r>
      <w:proofErr w:type="spellEnd"/>
      <w:r w:rsidRPr="00F85DB8">
        <w:rPr>
          <w:rFonts w:eastAsia="Times New Roman" w:cstheme="minorHAnsi"/>
          <w:sz w:val="24"/>
          <w:szCs w:val="24"/>
        </w:rPr>
        <w:t xml:space="preserve"> A, </w:t>
      </w:r>
      <w:proofErr w:type="spellStart"/>
      <w:r w:rsidRPr="00F85DB8">
        <w:rPr>
          <w:rFonts w:eastAsia="Times New Roman" w:cstheme="minorHAnsi"/>
          <w:sz w:val="24"/>
          <w:szCs w:val="24"/>
        </w:rPr>
        <w:t>Vølund</w:t>
      </w:r>
      <w:proofErr w:type="spellEnd"/>
      <w:r w:rsidRPr="00F85DB8">
        <w:rPr>
          <w:rFonts w:eastAsia="Times New Roman" w:cstheme="minorHAnsi"/>
          <w:sz w:val="24"/>
          <w:szCs w:val="24"/>
        </w:rPr>
        <w:t xml:space="preserve"> A, </w:t>
      </w:r>
      <w:proofErr w:type="spellStart"/>
      <w:r w:rsidRPr="00F85DB8">
        <w:rPr>
          <w:rFonts w:eastAsia="Times New Roman" w:cstheme="minorHAnsi"/>
          <w:sz w:val="24"/>
          <w:szCs w:val="24"/>
        </w:rPr>
        <w:t>Ehses</w:t>
      </w:r>
      <w:proofErr w:type="spellEnd"/>
      <w:r w:rsidRPr="00F85DB8">
        <w:rPr>
          <w:rFonts w:eastAsia="Times New Roman" w:cstheme="minorHAnsi"/>
          <w:sz w:val="24"/>
          <w:szCs w:val="24"/>
        </w:rPr>
        <w:t xml:space="preserve"> JA, </w:t>
      </w:r>
      <w:proofErr w:type="spellStart"/>
      <w:r w:rsidRPr="00F85DB8">
        <w:rPr>
          <w:rFonts w:eastAsia="Times New Roman" w:cstheme="minorHAnsi"/>
          <w:sz w:val="24"/>
          <w:szCs w:val="24"/>
        </w:rPr>
        <w:t>Donath</w:t>
      </w:r>
      <w:proofErr w:type="spellEnd"/>
      <w:r w:rsidRPr="00F85DB8">
        <w:rPr>
          <w:rFonts w:eastAsia="Times New Roman" w:cstheme="minorHAnsi"/>
          <w:sz w:val="24"/>
          <w:szCs w:val="24"/>
        </w:rPr>
        <w:t xml:space="preserve"> MY, et al. Interleukin-1-receptor antagonist in type 2 diabetes mellitus. N </w:t>
      </w:r>
      <w:proofErr w:type="spellStart"/>
      <w:r w:rsidRPr="00F85DB8">
        <w:rPr>
          <w:rFonts w:eastAsia="Times New Roman" w:cstheme="minorHAnsi"/>
          <w:sz w:val="24"/>
          <w:szCs w:val="24"/>
        </w:rPr>
        <w:t>Engl</w:t>
      </w:r>
      <w:proofErr w:type="spellEnd"/>
      <w:r w:rsidRPr="00F85DB8">
        <w:rPr>
          <w:rFonts w:eastAsia="Times New Roman" w:cstheme="minorHAnsi"/>
          <w:sz w:val="24"/>
          <w:szCs w:val="24"/>
        </w:rPr>
        <w:t xml:space="preserve"> J Med. 2007</w:t>
      </w:r>
      <w:proofErr w:type="gramStart"/>
      <w:r w:rsidRPr="00F85DB8">
        <w:rPr>
          <w:rFonts w:eastAsia="Times New Roman" w:cstheme="minorHAnsi"/>
          <w:sz w:val="24"/>
          <w:szCs w:val="24"/>
        </w:rPr>
        <w:t>;356</w:t>
      </w:r>
      <w:proofErr w:type="gramEnd"/>
      <w:r w:rsidRPr="00F85DB8">
        <w:rPr>
          <w:rFonts w:eastAsia="Times New Roman" w:cstheme="minorHAnsi"/>
          <w:sz w:val="24"/>
          <w:szCs w:val="24"/>
        </w:rPr>
        <w:t>(15):1517–1526.</w:t>
      </w:r>
    </w:p>
    <w:p w:rsidR="003E49B3" w:rsidRPr="00F85DB8" w:rsidRDefault="003E49B3" w:rsidP="003E49B3">
      <w:pPr>
        <w:numPr>
          <w:ilvl w:val="0"/>
          <w:numId w:val="6"/>
        </w:numPr>
        <w:spacing w:before="100" w:beforeAutospacing="1" w:after="100" w:afterAutospacing="1" w:line="360" w:lineRule="auto"/>
        <w:jc w:val="both"/>
        <w:rPr>
          <w:rFonts w:eastAsia="Times New Roman" w:cstheme="minorHAnsi"/>
          <w:sz w:val="24"/>
          <w:szCs w:val="24"/>
        </w:rPr>
      </w:pPr>
      <w:proofErr w:type="spellStart"/>
      <w:r w:rsidRPr="00F85DB8">
        <w:rPr>
          <w:rFonts w:eastAsia="Times New Roman" w:cstheme="minorHAnsi"/>
          <w:sz w:val="24"/>
          <w:szCs w:val="24"/>
        </w:rPr>
        <w:t>Mandrup-Poulsen</w:t>
      </w:r>
      <w:proofErr w:type="spellEnd"/>
      <w:r w:rsidRPr="00F85DB8">
        <w:rPr>
          <w:rFonts w:eastAsia="Times New Roman" w:cstheme="minorHAnsi"/>
          <w:sz w:val="24"/>
          <w:szCs w:val="24"/>
        </w:rPr>
        <w:t xml:space="preserve"> T. Targeting IL-1 in type 2 diabetes. Diabetes. 2011</w:t>
      </w:r>
      <w:proofErr w:type="gramStart"/>
      <w:r w:rsidRPr="00F85DB8">
        <w:rPr>
          <w:rFonts w:eastAsia="Times New Roman" w:cstheme="minorHAnsi"/>
          <w:sz w:val="24"/>
          <w:szCs w:val="24"/>
        </w:rPr>
        <w:t>;60</w:t>
      </w:r>
      <w:proofErr w:type="gramEnd"/>
      <w:r w:rsidRPr="00F85DB8">
        <w:rPr>
          <w:rFonts w:eastAsia="Times New Roman" w:cstheme="minorHAnsi"/>
          <w:sz w:val="24"/>
          <w:szCs w:val="24"/>
        </w:rPr>
        <w:t>(3):708–710.</w:t>
      </w:r>
    </w:p>
    <w:p w:rsidR="003E49B3" w:rsidRPr="00711D4D" w:rsidRDefault="003E49B3" w:rsidP="003E49B3">
      <w:pPr>
        <w:spacing w:line="360" w:lineRule="auto"/>
        <w:jc w:val="both"/>
        <w:rPr>
          <w:rFonts w:cstheme="minorHAnsi"/>
          <w:sz w:val="24"/>
          <w:szCs w:val="24"/>
        </w:rPr>
      </w:pPr>
    </w:p>
    <w:p w:rsidR="00970807" w:rsidRDefault="00970807"/>
    <w:sectPr w:rsidR="00970807" w:rsidSect="00332D56">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4AF" w:rsidRDefault="009679C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4AF" w:rsidRDefault="009679C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4AF" w:rsidRDefault="009679C6">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4AF" w:rsidRDefault="009679C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0500547" o:spid="_x0000_s1026" type="#_x0000_t136" style="position:absolute;margin-left:0;margin-top:0;width:555.6pt;height:104.15pt;rotation:315;z-index:-25165824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4AF" w:rsidRDefault="009679C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0500548" o:spid="_x0000_s1027" type="#_x0000_t136" style="position:absolute;margin-left:0;margin-top:0;width:555.6pt;height:104.15pt;rotation:315;z-index:-25165414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4AF" w:rsidRDefault="009679C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0500546" o:spid="_x0000_s1025" type="#_x0000_t136" style="position:absolute;margin-left:0;margin-top:0;width:555.6pt;height:104.15pt;rotation:315;z-index:-25165619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02E18"/>
    <w:multiLevelType w:val="multilevel"/>
    <w:tmpl w:val="17AA1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1130C1"/>
    <w:multiLevelType w:val="multilevel"/>
    <w:tmpl w:val="4D924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887786E"/>
    <w:multiLevelType w:val="multilevel"/>
    <w:tmpl w:val="CB8AF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F51584"/>
    <w:multiLevelType w:val="multilevel"/>
    <w:tmpl w:val="35461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5755AF"/>
    <w:multiLevelType w:val="multilevel"/>
    <w:tmpl w:val="D4869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23E0198"/>
    <w:multiLevelType w:val="multilevel"/>
    <w:tmpl w:val="9D985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2"/>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3074"/>
    <o:shapelayout v:ext="edit">
      <o:idmap v:ext="edit" data="1"/>
    </o:shapelayout>
  </w:hdrShapeDefaults>
  <w:compat/>
  <w:rsids>
    <w:rsidRoot w:val="003E49B3"/>
    <w:rsid w:val="003E49B3"/>
    <w:rsid w:val="009679C6"/>
    <w:rsid w:val="009708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9B3"/>
  </w:style>
  <w:style w:type="paragraph" w:styleId="Heading3">
    <w:name w:val="heading 3"/>
    <w:basedOn w:val="Normal"/>
    <w:link w:val="Heading3Char"/>
    <w:uiPriority w:val="9"/>
    <w:qFormat/>
    <w:rsid w:val="003E49B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3E49B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E49B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E49B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3E49B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E49B3"/>
    <w:rPr>
      <w:rFonts w:asciiTheme="majorHAnsi" w:eastAsiaTheme="majorEastAsia" w:hAnsiTheme="majorHAnsi" w:cstheme="majorBidi"/>
      <w:color w:val="243F60" w:themeColor="accent1" w:themeShade="7F"/>
    </w:rPr>
  </w:style>
  <w:style w:type="character" w:styleId="Strong">
    <w:name w:val="Strong"/>
    <w:basedOn w:val="DefaultParagraphFont"/>
    <w:uiPriority w:val="22"/>
    <w:qFormat/>
    <w:rsid w:val="003E49B3"/>
    <w:rPr>
      <w:b/>
      <w:bCs/>
    </w:rPr>
  </w:style>
  <w:style w:type="paragraph" w:styleId="Header">
    <w:name w:val="header"/>
    <w:basedOn w:val="Normal"/>
    <w:link w:val="HeaderChar"/>
    <w:uiPriority w:val="99"/>
    <w:unhideWhenUsed/>
    <w:rsid w:val="003E49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49B3"/>
  </w:style>
  <w:style w:type="paragraph" w:styleId="Footer">
    <w:name w:val="footer"/>
    <w:basedOn w:val="Normal"/>
    <w:link w:val="FooterChar"/>
    <w:uiPriority w:val="99"/>
    <w:unhideWhenUsed/>
    <w:rsid w:val="003E49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49B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21</Pages>
  <Words>3809</Words>
  <Characters>21714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Daud Marhils</dc:creator>
  <cp:lastModifiedBy>Daud Marhils</cp:lastModifiedBy>
  <cp:revision>1</cp:revision>
  <dcterms:created xsi:type="dcterms:W3CDTF">2025-05-20T07:52:00Z</dcterms:created>
  <dcterms:modified xsi:type="dcterms:W3CDTF">2025-05-20T08:07:00Z</dcterms:modified>
</cp:coreProperties>
</file>