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3D09D" w14:textId="77777777" w:rsidR="005B568F" w:rsidRPr="005B568F" w:rsidRDefault="005B568F" w:rsidP="005B568F">
      <w:pPr>
        <w:pStyle w:val="Author"/>
        <w:rPr>
          <w:rFonts w:ascii="Arial" w:hAnsi="Arial" w:cs="Arial"/>
          <w:bCs/>
          <w:i/>
          <w:iCs/>
          <w:kern w:val="28"/>
          <w:sz w:val="18"/>
          <w:szCs w:val="18"/>
          <w:u w:val="single"/>
        </w:rPr>
      </w:pPr>
      <w:bookmarkStart w:id="0" w:name="_Hlk195375686"/>
      <w:r w:rsidRPr="005B568F">
        <w:rPr>
          <w:rFonts w:ascii="Arial" w:hAnsi="Arial" w:cs="Arial"/>
          <w:bCs/>
          <w:i/>
          <w:iCs/>
          <w:kern w:val="28"/>
          <w:sz w:val="18"/>
          <w:szCs w:val="18"/>
          <w:u w:val="single"/>
        </w:rPr>
        <w:t xml:space="preserve">Case report </w:t>
      </w:r>
    </w:p>
    <w:p w14:paraId="66B45B95" w14:textId="2AFAEFEF" w:rsidR="00163BC4" w:rsidRPr="00163BC4" w:rsidRDefault="00A7102C" w:rsidP="00441B6F">
      <w:pPr>
        <w:pStyle w:val="Author"/>
        <w:spacing w:line="240" w:lineRule="auto"/>
        <w:rPr>
          <w:rFonts w:ascii="Arial" w:hAnsi="Arial" w:cs="Arial"/>
          <w:bCs/>
          <w:iCs/>
          <w:kern w:val="28"/>
          <w:sz w:val="36"/>
        </w:rPr>
      </w:pPr>
      <w:r w:rsidRPr="00A7102C">
        <w:rPr>
          <w:rFonts w:ascii="Arial" w:hAnsi="Arial" w:cs="Arial"/>
          <w:bCs/>
          <w:iCs/>
          <w:kern w:val="28"/>
          <w:sz w:val="36"/>
        </w:rPr>
        <w:t>Idiopathic Hypereosinophilic Syndrome in a 28-Year-Old Male with Chronic Alcohol Use</w:t>
      </w:r>
      <w:r w:rsidR="003104BB">
        <w:rPr>
          <w:rFonts w:ascii="Arial" w:hAnsi="Arial" w:cs="Arial"/>
          <w:bCs/>
          <w:iCs/>
          <w:kern w:val="28"/>
          <w:sz w:val="36"/>
        </w:rPr>
        <w:t xml:space="preserve">: </w:t>
      </w:r>
      <w:r w:rsidR="00197124">
        <w:rPr>
          <w:rFonts w:ascii="Arial" w:hAnsi="Arial" w:cs="Arial"/>
          <w:bCs/>
          <w:iCs/>
          <w:kern w:val="28"/>
          <w:sz w:val="36"/>
        </w:rPr>
        <w:t xml:space="preserve">A </w:t>
      </w:r>
      <w:bookmarkStart w:id="1" w:name="_GoBack"/>
      <w:bookmarkEnd w:id="1"/>
      <w:r w:rsidR="003104BB" w:rsidRPr="00A7102C">
        <w:rPr>
          <w:rFonts w:ascii="Arial" w:hAnsi="Arial" w:cs="Arial"/>
          <w:bCs/>
          <w:iCs/>
          <w:kern w:val="28"/>
          <w:sz w:val="36"/>
        </w:rPr>
        <w:t>Case Report</w:t>
      </w:r>
    </w:p>
    <w:bookmarkEnd w:id="0"/>
    <w:p w14:paraId="31BBDEF8" w14:textId="77777777" w:rsidR="009A17EE" w:rsidRDefault="009A17EE" w:rsidP="00441B6F">
      <w:pPr>
        <w:pStyle w:val="Affiliation"/>
        <w:spacing w:after="0" w:line="240" w:lineRule="auto"/>
        <w:jc w:val="both"/>
        <w:rPr>
          <w:rFonts w:ascii="Arial" w:hAnsi="Arial" w:cs="Arial"/>
        </w:rPr>
      </w:pPr>
    </w:p>
    <w:p w14:paraId="25B09C88" w14:textId="77777777" w:rsidR="002C57D2" w:rsidRPr="00FB3A86" w:rsidRDefault="002C57D2" w:rsidP="00441B6F">
      <w:pPr>
        <w:pStyle w:val="Affiliation"/>
        <w:spacing w:after="0" w:line="240" w:lineRule="auto"/>
        <w:jc w:val="both"/>
        <w:rPr>
          <w:rFonts w:ascii="Arial" w:hAnsi="Arial" w:cs="Arial"/>
        </w:rPr>
      </w:pPr>
    </w:p>
    <w:p w14:paraId="0371CC46" w14:textId="77777777" w:rsidR="00B01FCD" w:rsidRPr="00FB3A86" w:rsidRDefault="002D2997" w:rsidP="00441B6F">
      <w:pPr>
        <w:pStyle w:val="Copyright"/>
        <w:spacing w:after="0" w:line="240" w:lineRule="auto"/>
        <w:jc w:val="both"/>
        <w:rPr>
          <w:rFonts w:ascii="Arial" w:hAnsi="Arial" w:cs="Arial"/>
        </w:rPr>
        <w:sectPr w:rsidR="00B01FCD" w:rsidRPr="00FB3A86" w:rsidSect="00DD79E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49F4E19" wp14:editId="2E83F13F">
                <wp:extent cx="5303520" cy="635"/>
                <wp:effectExtent l="0" t="0" r="11430" b="18415"/>
                <wp:docPr id="1"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8C5D6FD" id="_x0000_t32" coordsize="21600,21600" o:spt="32" o:oned="t" path="m,l21600,21600e" filled="f">
                <v:path arrowok="t" fillok="f" o:connecttype="none"/>
                <o:lock v:ext="edit" shapetype="t"/>
              </v:shapetype>
              <v:shape id="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" strokeweight="1.5pt">
                <o:lock v:ext="edit" shapetype="f"/>
                <w10:anchorlock/>
              </v:shape>
            </w:pict>
          </mc:Fallback>
        </mc:AlternateContent>
      </w:r>
      <w:r w:rsidR="00FB3A86">
        <w:rPr>
          <w:rFonts w:ascii="Arial" w:hAnsi="Arial" w:cs="Arial"/>
        </w:rPr>
        <w:t>.</w:t>
      </w:r>
    </w:p>
    <w:p w14:paraId="3FB65C1E" w14:textId="035CDF2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1F8B7B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59CAF49" w14:textId="77777777" w:rsidTr="001E44FE">
        <w:tc>
          <w:tcPr>
            <w:tcW w:w="9576" w:type="dxa"/>
            <w:shd w:val="clear" w:color="auto" w:fill="F2F2F2"/>
          </w:tcPr>
          <w:p w14:paraId="7901656B" w14:textId="61610E49" w:rsidR="00505F06" w:rsidRPr="00571C5F" w:rsidRDefault="0011180E" w:rsidP="00441B6F">
            <w:pPr>
              <w:pStyle w:val="Body"/>
              <w:spacing w:after="0"/>
              <w:rPr>
                <w:rFonts w:ascii="Arial" w:eastAsia="Calibri" w:hAnsi="Arial" w:cs="Arial"/>
                <w:bCs/>
                <w:szCs w:val="22"/>
              </w:rPr>
            </w:pPr>
            <w:r w:rsidRPr="00571C5F">
              <w:rPr>
                <w:rFonts w:ascii="Arial" w:eastAsia="Calibri" w:hAnsi="Arial" w:cs="Arial"/>
                <w:bCs/>
                <w:szCs w:val="22"/>
              </w:rPr>
              <w:t>Hypereosinophilic Syndrome (HES) is a rare and heterogeneous disorder characterized by persistent eosinophilia and organ dysfunction secondary to eosinophilic infiltration. This case study is a comprehensive overview of a patient diagnosed with HES, ranging from the clinical presentation to diagnostic evaluation and treatment options. The patient</w:t>
            </w:r>
            <w:r w:rsidR="00C343CB">
              <w:rPr>
                <w:rFonts w:ascii="Arial" w:eastAsia="Calibri" w:hAnsi="Arial" w:cs="Arial"/>
                <w:bCs/>
                <w:szCs w:val="22"/>
              </w:rPr>
              <w:t xml:space="preserve"> a </w:t>
            </w:r>
            <w:r w:rsidR="00FA40D4" w:rsidRPr="00FA40D4">
              <w:rPr>
                <w:rFonts w:ascii="Arial" w:eastAsia="Calibri" w:hAnsi="Arial" w:cs="Arial"/>
                <w:szCs w:val="22"/>
                <w:highlight w:val="yellow"/>
              </w:rPr>
              <w:t>28-year-old male, military officer</w:t>
            </w:r>
            <w:r w:rsidR="00C343CB">
              <w:rPr>
                <w:rFonts w:ascii="Arial" w:eastAsia="Calibri" w:hAnsi="Arial" w:cs="Arial"/>
                <w:szCs w:val="22"/>
              </w:rPr>
              <w:t>,</w:t>
            </w:r>
            <w:r w:rsidRPr="00571C5F">
              <w:rPr>
                <w:rFonts w:ascii="Arial" w:eastAsia="Calibri" w:hAnsi="Arial" w:cs="Arial"/>
                <w:bCs/>
                <w:szCs w:val="22"/>
              </w:rPr>
              <w:t xml:space="preserve"> </w:t>
            </w:r>
            <w:r w:rsidR="008B4F9B" w:rsidRPr="00571C5F">
              <w:rPr>
                <w:rFonts w:ascii="Arial" w:eastAsia="Calibri" w:hAnsi="Arial" w:cs="Arial"/>
                <w:bCs/>
                <w:szCs w:val="22"/>
              </w:rPr>
              <w:t>presented</w:t>
            </w:r>
            <w:r w:rsidRPr="00571C5F">
              <w:rPr>
                <w:rFonts w:ascii="Arial" w:eastAsia="Calibri" w:hAnsi="Arial" w:cs="Arial"/>
                <w:bCs/>
                <w:szCs w:val="22"/>
              </w:rPr>
              <w:t xml:space="preserve"> persistent eosinophilia with systemic features</w:t>
            </w:r>
            <w:r w:rsidR="008F7256">
              <w:rPr>
                <w:rFonts w:ascii="Arial" w:eastAsia="Calibri" w:hAnsi="Arial" w:cs="Arial"/>
                <w:bCs/>
                <w:szCs w:val="22"/>
              </w:rPr>
              <w:t>.</w:t>
            </w:r>
            <w:r w:rsidR="009942B7">
              <w:rPr>
                <w:rFonts w:ascii="Arial" w:eastAsia="Calibri" w:hAnsi="Arial" w:cs="Arial"/>
                <w:bCs/>
                <w:szCs w:val="22"/>
              </w:rPr>
              <w:t xml:space="preserve"> </w:t>
            </w:r>
            <w:r w:rsidR="00A862C8" w:rsidRPr="009942B7">
              <w:rPr>
                <w:rFonts w:ascii="Arial" w:eastAsia="Calibri" w:hAnsi="Arial" w:cs="Arial"/>
                <w:szCs w:val="22"/>
                <w:highlight w:val="yellow"/>
              </w:rPr>
              <w:t xml:space="preserve">The patient presented with </w:t>
            </w:r>
            <w:proofErr w:type="spellStart"/>
            <w:proofErr w:type="gramStart"/>
            <w:r w:rsidR="00A862C8" w:rsidRPr="009942B7">
              <w:rPr>
                <w:rFonts w:ascii="Arial" w:eastAsia="Calibri" w:hAnsi="Arial" w:cs="Arial"/>
                <w:szCs w:val="22"/>
                <w:highlight w:val="yellow"/>
              </w:rPr>
              <w:t>a</w:t>
            </w:r>
            <w:proofErr w:type="spellEnd"/>
            <w:proofErr w:type="gramEnd"/>
            <w:r w:rsidR="00A862C8" w:rsidRPr="009942B7">
              <w:rPr>
                <w:rFonts w:ascii="Arial" w:eastAsia="Calibri" w:hAnsi="Arial" w:cs="Arial"/>
                <w:szCs w:val="22"/>
                <w:highlight w:val="yellow"/>
              </w:rPr>
              <w:t xml:space="preserve"> eight-month history of easy fatiguability severe skin itching, sore throat, itchy red eyes and cough</w:t>
            </w:r>
            <w:r w:rsidR="009942B7">
              <w:rPr>
                <w:rFonts w:ascii="Arial" w:eastAsia="Calibri" w:hAnsi="Arial" w:cs="Arial"/>
                <w:szCs w:val="22"/>
              </w:rPr>
              <w:t>,</w:t>
            </w:r>
            <w:r w:rsidR="00A862C8" w:rsidRPr="007E5A69">
              <w:rPr>
                <w:rFonts w:ascii="Arial" w:eastAsia="Calibri" w:hAnsi="Arial" w:cs="Arial"/>
                <w:szCs w:val="22"/>
              </w:rPr>
              <w:t xml:space="preserve"> </w:t>
            </w:r>
            <w:r w:rsidRPr="00571C5F">
              <w:rPr>
                <w:rFonts w:ascii="Arial" w:eastAsia="Calibri" w:hAnsi="Arial" w:cs="Arial"/>
                <w:bCs/>
                <w:szCs w:val="22"/>
              </w:rPr>
              <w:t>necessitating a multidisciplinary approach to diagnosis and management. Laboratory findings, imaging studies, and histopathological findings were all critical in making the diagnosis. Therapy with corticosteroids and behavioural modification was employed to control eosinophil levels and avoid organ injury. The case serves to illustrate the importance of early diagnosis and tailored therapy in maximizing patient outcomes. Furthermore, it underscores new therapeutic strategies and ongoing investigation to further delineate diagnostic criteria and management of HES.</w:t>
            </w:r>
          </w:p>
        </w:tc>
      </w:tr>
    </w:tbl>
    <w:p w14:paraId="26FD4F46" w14:textId="77777777" w:rsidR="00636EB2" w:rsidRDefault="00636EB2" w:rsidP="00441B6F">
      <w:pPr>
        <w:pStyle w:val="Body"/>
        <w:spacing w:after="0"/>
        <w:rPr>
          <w:rFonts w:ascii="Arial" w:hAnsi="Arial" w:cs="Arial"/>
          <w:i/>
        </w:rPr>
      </w:pPr>
    </w:p>
    <w:p w14:paraId="5ED6FC68" w14:textId="09D8F672" w:rsidR="00A24E7E" w:rsidRDefault="00A24E7E" w:rsidP="00441B6F">
      <w:pPr>
        <w:pStyle w:val="Body"/>
        <w:spacing w:after="0"/>
        <w:rPr>
          <w:rFonts w:ascii="Arial" w:hAnsi="Arial" w:cs="Arial"/>
          <w:i/>
        </w:rPr>
      </w:pPr>
      <w:r>
        <w:rPr>
          <w:rFonts w:ascii="Arial" w:hAnsi="Arial" w:cs="Arial"/>
          <w:i/>
        </w:rPr>
        <w:t xml:space="preserve">Keywords: </w:t>
      </w:r>
      <w:r w:rsidR="00571C5F" w:rsidRPr="00571C5F">
        <w:rPr>
          <w:rFonts w:ascii="Arial" w:hAnsi="Arial" w:cs="Arial"/>
          <w:i/>
        </w:rPr>
        <w:t>Idiopathic Hypereosinophilic Syndrome</w:t>
      </w:r>
      <w:r w:rsidR="004750AB">
        <w:rPr>
          <w:rFonts w:ascii="Arial" w:hAnsi="Arial" w:cs="Arial"/>
          <w:i/>
        </w:rPr>
        <w:t>,</w:t>
      </w:r>
      <w:r w:rsidR="00571C5F" w:rsidRPr="00571C5F">
        <w:rPr>
          <w:rFonts w:ascii="Arial" w:hAnsi="Arial" w:cs="Arial"/>
          <w:i/>
        </w:rPr>
        <w:t xml:space="preserve"> Chronic Alcohol Use</w:t>
      </w:r>
    </w:p>
    <w:p w14:paraId="43FAC931" w14:textId="77777777" w:rsidR="0024282C" w:rsidRDefault="0024282C" w:rsidP="00441B6F">
      <w:pPr>
        <w:pStyle w:val="Body"/>
        <w:spacing w:after="0"/>
        <w:rPr>
          <w:rFonts w:ascii="Arial" w:hAnsi="Arial" w:cs="Arial"/>
          <w:i/>
          <w:sz w:val="18"/>
        </w:rPr>
      </w:pPr>
    </w:p>
    <w:p w14:paraId="070547EA" w14:textId="77777777" w:rsidR="00505F06" w:rsidRPr="00A24E7E" w:rsidRDefault="00505F06" w:rsidP="00441B6F">
      <w:pPr>
        <w:pStyle w:val="Body"/>
        <w:spacing w:after="0"/>
        <w:rPr>
          <w:rFonts w:ascii="Arial" w:hAnsi="Arial" w:cs="Arial"/>
          <w:i/>
        </w:rPr>
      </w:pPr>
    </w:p>
    <w:p w14:paraId="70A49566" w14:textId="5AC0C39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E16FAA6" w14:textId="77777777" w:rsidR="00CA4039" w:rsidRPr="00CA4039" w:rsidRDefault="00CA4039" w:rsidP="00CA4039">
      <w:pPr>
        <w:pStyle w:val="Body"/>
        <w:rPr>
          <w:rFonts w:ascii="Arial" w:hAnsi="Arial" w:cs="Arial"/>
        </w:rPr>
      </w:pPr>
      <w:r w:rsidRPr="00CA4039">
        <w:rPr>
          <w:rFonts w:ascii="Arial" w:hAnsi="Arial" w:cs="Arial"/>
        </w:rPr>
        <w:t xml:space="preserve">Hypereosinophilic syndrome (HES) is a rare disorder characterized by persistently elevated eosinophil count (&gt;1,500 eosinophils/µL for &gt;6 months) and organ damage, with potential for cutaneous, respiratory, and gastrointestinal symptoms [1]. HES are diverse disorders with a need to distinguish them from other persistently elevated eosinophilia causes, including nonparasitic causes [2]. HES can have clinical manifestations ranging from fatigue to life-threatening endomyocardial fibrosis and thromboembolic events [4]. </w:t>
      </w:r>
    </w:p>
    <w:p w14:paraId="229A69FB" w14:textId="77777777" w:rsidR="00CA4039" w:rsidRPr="00CA4039" w:rsidRDefault="00CA4039" w:rsidP="00CA4039">
      <w:pPr>
        <w:pStyle w:val="Body"/>
        <w:rPr>
          <w:rFonts w:ascii="Arial" w:hAnsi="Arial" w:cs="Arial"/>
        </w:rPr>
      </w:pPr>
      <w:r w:rsidRPr="00CA4039">
        <w:rPr>
          <w:rFonts w:ascii="Arial" w:hAnsi="Arial" w:cs="Arial"/>
        </w:rPr>
        <w:t>HES presents significant diagnostic challenges due to its heterogeneous clinical presentation, lack of specific diagnostic markers, and overlap with other conditions, necessitating improved diagnostic criteria, increased clinician awareness, and multidisciplinary management approaches [6][7][8]. A comprehensive approach to diagnosis and treatment of HES, including classification by clinical subtype, is crucial for guiding prognosis and guiding therapy [3].</w:t>
      </w:r>
    </w:p>
    <w:p w14:paraId="18E07417" w14:textId="77777777" w:rsidR="00CA4039" w:rsidRPr="00CA4039" w:rsidRDefault="00CA4039" w:rsidP="00CA4039">
      <w:pPr>
        <w:pStyle w:val="Body"/>
        <w:rPr>
          <w:rFonts w:ascii="Arial" w:hAnsi="Arial" w:cs="Arial"/>
        </w:rPr>
      </w:pPr>
      <w:r w:rsidRPr="00CA4039">
        <w:rPr>
          <w:rFonts w:ascii="Arial" w:hAnsi="Arial" w:cs="Arial"/>
        </w:rPr>
        <w:t xml:space="preserve">Eosinophil counts play a critical role in the diagnostic criteria for HES, as the condition is characterised by absolute eosinophil count (AEC) exceeding 1,500 cells/μ L [13] [14]. The diagnosis of HES is based on the presence of organ damage caused by hypereosinophilia, which can be divided into primary (clonal), reactive, and idiopathic forms [5]. HES patients often have extensive eosinophilic infiltration and severe necrosis in organs, particularly the lungs [9]. Patients may present with respiratory symptoms such as cough, wheezing, and shortness of breath, which can resemble other eosinophilic lung diseases like asthma and eosinophilic pneumonia. Diagnosing HES requires a combination of morphologic examination of the blood and bone marrow, conventional cytogenetics, fluorescent in situ hybridization, </w:t>
      </w:r>
      <w:r w:rsidRPr="00CA4039">
        <w:rPr>
          <w:rFonts w:ascii="Arial" w:hAnsi="Arial" w:cs="Arial"/>
        </w:rPr>
        <w:lastRenderedPageBreak/>
        <w:t xml:space="preserve">flow-cytometry, and T-cell clonality evaluation to identify histopathologic or clonal evidence of an underlying hematological disorder [12]. </w:t>
      </w:r>
    </w:p>
    <w:p w14:paraId="4A7D3A81" w14:textId="75D248C7" w:rsidR="00790ADA" w:rsidRDefault="00CA4039" w:rsidP="00CA4039">
      <w:pPr>
        <w:pStyle w:val="Body"/>
        <w:spacing w:after="0"/>
        <w:rPr>
          <w:rFonts w:ascii="Arial" w:hAnsi="Arial" w:cs="Arial"/>
        </w:rPr>
      </w:pPr>
      <w:r w:rsidRPr="00CA4039">
        <w:rPr>
          <w:rFonts w:ascii="Arial" w:hAnsi="Arial" w:cs="Arial"/>
        </w:rPr>
        <w:t>A study published in the Annals of Allergy, Asthma &amp; Immunology highlights that lung involvement occurs in up to 67% of HES cases, often manifesting as respiratory symptoms that may be mistaken for other conditions [10]. Another study in the Journal of Computer Assisted Tomography notes that asthma was more common in HES patients than previously reported, with various radiologic findings observed in those with pulmonary involvement [11]. These findings underscore the importance of clinicians being vigilant for respiratory symptoms in patients with eosinophilia to differentiate HES from other respiratory conditions.</w:t>
      </w:r>
    </w:p>
    <w:p w14:paraId="68EDC4FD" w14:textId="3348F825" w:rsidR="00A76C5A" w:rsidRDefault="00A76C5A" w:rsidP="00CA4039">
      <w:pPr>
        <w:pStyle w:val="Body"/>
        <w:spacing w:after="0"/>
        <w:rPr>
          <w:rFonts w:ascii="Arial" w:hAnsi="Arial" w:cs="Arial"/>
        </w:rPr>
      </w:pPr>
      <w:r w:rsidRPr="00A76C5A">
        <w:rPr>
          <w:rFonts w:ascii="Arial" w:hAnsi="Arial" w:cs="Arial"/>
        </w:rPr>
        <w:t xml:space="preserve">Excessive alcohol consumption is associated with a diverse pattern of hematological effects, including anemia, reticulocytosis, thrombocytopenia, and combined cytopenias [15]. The relationship between alcohol consumption and anemia has been explored in several studies, revealing a complex interaction influenced by various factors. </w:t>
      </w:r>
      <w:r w:rsidR="002C0270" w:rsidRPr="00A76C5A">
        <w:rPr>
          <w:rFonts w:ascii="Arial" w:hAnsi="Arial" w:cs="Arial"/>
        </w:rPr>
        <w:t>Mangla</w:t>
      </w:r>
      <w:r w:rsidR="002C0270">
        <w:rPr>
          <w:rFonts w:ascii="Arial" w:hAnsi="Arial" w:cs="Arial"/>
        </w:rPr>
        <w:t xml:space="preserve"> </w:t>
      </w:r>
      <w:r w:rsidR="002C0270" w:rsidRPr="00A76C5A">
        <w:rPr>
          <w:rFonts w:ascii="Arial" w:hAnsi="Arial" w:cs="Arial"/>
        </w:rPr>
        <w:t>et al.</w:t>
      </w:r>
      <w:r w:rsidRPr="00A76C5A">
        <w:rPr>
          <w:rFonts w:ascii="Arial" w:hAnsi="Arial" w:cs="Arial"/>
        </w:rPr>
        <w:t xml:space="preserve"> investigated hematological abnormalities in chronic alcoholics and found that anemia was present in over 95% of the subjects. The anemia was predominantly severe, with 85.3% of patients affected. Morphologically, dimorphic anemia was observed in 52% of cases, and macrocytic anemia in 32.4%. These results highlight the high prevalence and severity of anemia among chronic alcoholics [16]. This case study presents a rare case of HES in a chronic alcohol user with rapid recovery post-treatment.</w:t>
      </w:r>
    </w:p>
    <w:p w14:paraId="6853098F" w14:textId="4006F39B" w:rsidR="00FF65F3" w:rsidRPr="00FF65F3" w:rsidRDefault="00FF65F3" w:rsidP="00FF65F3">
      <w:pPr>
        <w:pStyle w:val="Body"/>
        <w:rPr>
          <w:rFonts w:ascii="Arial" w:hAnsi="Arial" w:cs="Arial"/>
        </w:rPr>
      </w:pPr>
      <w:r w:rsidRPr="00FF65F3">
        <w:rPr>
          <w:rFonts w:ascii="Arial" w:hAnsi="Arial" w:cs="Arial"/>
        </w:rPr>
        <w:t xml:space="preserve">Hypereosinophilic Syndrome (HES) is a rare disorder characterized by persistent eosinophilia and potential organ damage. However, its occurrence in </w:t>
      </w:r>
      <w:r w:rsidR="002C0270" w:rsidRPr="00FF65F3">
        <w:rPr>
          <w:rFonts w:ascii="Arial" w:hAnsi="Arial" w:cs="Arial"/>
        </w:rPr>
        <w:t>chronic</w:t>
      </w:r>
      <w:r w:rsidRPr="00FF65F3">
        <w:rPr>
          <w:rFonts w:ascii="Arial" w:hAnsi="Arial" w:cs="Arial"/>
        </w:rPr>
        <w:t xml:space="preserve"> alcohol </w:t>
      </w:r>
      <w:r w:rsidR="002C0270" w:rsidRPr="00FF65F3">
        <w:rPr>
          <w:rFonts w:ascii="Arial" w:hAnsi="Arial" w:cs="Arial"/>
        </w:rPr>
        <w:t>users</w:t>
      </w:r>
      <w:r w:rsidRPr="00FF65F3">
        <w:rPr>
          <w:rFonts w:ascii="Arial" w:hAnsi="Arial" w:cs="Arial"/>
        </w:rPr>
        <w:t xml:space="preserve"> is unusual and not well-documented in medical literature. Epidemiological studies have indicated a complex relationship between alcohol consumption and eosinophil levels, but the findings remain inconclusive. This case adds new clinical data that may help researchers explore whether alcohol plays a role in eosinophilic dysregulation. </w:t>
      </w:r>
    </w:p>
    <w:p w14:paraId="54A291CF" w14:textId="77777777" w:rsidR="00FF65F3" w:rsidRPr="00FF65F3" w:rsidRDefault="00FF65F3" w:rsidP="00FF65F3">
      <w:pPr>
        <w:pStyle w:val="Body"/>
        <w:rPr>
          <w:rFonts w:ascii="Arial" w:hAnsi="Arial" w:cs="Arial"/>
        </w:rPr>
      </w:pPr>
      <w:r w:rsidRPr="00FF65F3">
        <w:rPr>
          <w:rFonts w:ascii="Arial" w:hAnsi="Arial" w:cs="Arial"/>
        </w:rPr>
        <w:t>The patient's quick response to treatment suggests that early diagnosis and appropriate therapy can lead to favorable outcomes, reinforcing the importance of recognizing HES in patients with unexplained eosinophilia. Clinicians may not typically associate chronic alcohol use with HES. By reporting this case, healthcare providers can become more vigilant about screening for eosinophilia in chronic alcohol users presenting with unexplained symptoms.</w:t>
      </w:r>
    </w:p>
    <w:p w14:paraId="1EC6C26A" w14:textId="7BC08A63" w:rsidR="00FF65F3" w:rsidRDefault="00FF65F3" w:rsidP="00FF65F3">
      <w:pPr>
        <w:pStyle w:val="Body"/>
        <w:spacing w:after="0"/>
        <w:rPr>
          <w:rFonts w:ascii="Arial" w:hAnsi="Arial" w:cs="Arial"/>
        </w:rPr>
      </w:pPr>
      <w:r w:rsidRPr="00FF65F3">
        <w:rPr>
          <w:rFonts w:ascii="Arial" w:hAnsi="Arial" w:cs="Arial"/>
        </w:rPr>
        <w:t>Documenting rare cases like this one provides valuable data that could guide future studies investigating potential triggers, risk factors, and treatment responses in HES, particularly in the context of alcohol use. </w:t>
      </w:r>
    </w:p>
    <w:p w14:paraId="610F306F" w14:textId="77777777" w:rsidR="00A11A82" w:rsidRPr="00FB3A86" w:rsidRDefault="00A11A82" w:rsidP="00CA4039">
      <w:pPr>
        <w:pStyle w:val="Body"/>
        <w:spacing w:after="0"/>
        <w:rPr>
          <w:rFonts w:ascii="Arial" w:hAnsi="Arial" w:cs="Arial"/>
        </w:rPr>
      </w:pPr>
    </w:p>
    <w:p w14:paraId="7294ADC7" w14:textId="1B89636B" w:rsidR="00790ADA" w:rsidRPr="00FB3A86" w:rsidRDefault="00902823" w:rsidP="005C67AF">
      <w:pPr>
        <w:pStyle w:val="AbstHead"/>
        <w:jc w:val="both"/>
        <w:rPr>
          <w:rFonts w:ascii="Arial" w:hAnsi="Arial" w:cs="Arial"/>
        </w:rPr>
      </w:pPr>
      <w:r>
        <w:rPr>
          <w:rFonts w:ascii="Arial" w:hAnsi="Arial" w:cs="Arial"/>
        </w:rPr>
        <w:t xml:space="preserve">2. </w:t>
      </w:r>
      <w:r w:rsidR="0082765A" w:rsidRPr="0082765A">
        <w:rPr>
          <w:rFonts w:ascii="Arial" w:hAnsi="Arial" w:cs="Arial"/>
        </w:rPr>
        <w:t>Case Presentation</w:t>
      </w:r>
    </w:p>
    <w:p w14:paraId="4DFFC924" w14:textId="6B3AC69A" w:rsidR="007E5A69" w:rsidRPr="005C67AF" w:rsidRDefault="007E5A69" w:rsidP="005C67AF">
      <w:pPr>
        <w:pStyle w:val="Body"/>
        <w:rPr>
          <w:rFonts w:ascii="Arial" w:eastAsia="Calibri" w:hAnsi="Arial" w:cs="Arial"/>
          <w:b/>
          <w:bCs/>
          <w:sz w:val="22"/>
          <w:szCs w:val="24"/>
        </w:rPr>
      </w:pPr>
      <w:r w:rsidRPr="005C67AF">
        <w:rPr>
          <w:rFonts w:ascii="Arial" w:eastAsia="Calibri" w:hAnsi="Arial" w:cs="Arial"/>
          <w:b/>
          <w:bCs/>
          <w:sz w:val="22"/>
          <w:szCs w:val="24"/>
        </w:rPr>
        <w:t>2.1. History</w:t>
      </w:r>
    </w:p>
    <w:p w14:paraId="68D44DA8" w14:textId="566747D6" w:rsidR="007E5A69" w:rsidRPr="007E5A69" w:rsidRDefault="007E5A69" w:rsidP="007E5A69">
      <w:pPr>
        <w:pStyle w:val="Body"/>
        <w:rPr>
          <w:rFonts w:ascii="Arial" w:eastAsia="Calibri" w:hAnsi="Arial" w:cs="Arial"/>
          <w:szCs w:val="22"/>
        </w:rPr>
      </w:pPr>
      <w:r w:rsidRPr="007E5A69">
        <w:rPr>
          <w:rFonts w:ascii="Arial" w:eastAsia="Calibri" w:hAnsi="Arial" w:cs="Arial"/>
          <w:szCs w:val="22"/>
        </w:rPr>
        <w:t>•</w:t>
      </w:r>
      <w:r w:rsidR="005C67AF">
        <w:rPr>
          <w:rFonts w:ascii="Arial" w:eastAsia="Calibri" w:hAnsi="Arial" w:cs="Arial"/>
          <w:szCs w:val="22"/>
        </w:rPr>
        <w:t xml:space="preserve"> </w:t>
      </w:r>
      <w:r w:rsidRPr="007E5A69">
        <w:rPr>
          <w:rFonts w:ascii="Arial" w:eastAsia="Calibri" w:hAnsi="Arial" w:cs="Arial"/>
          <w:szCs w:val="22"/>
        </w:rPr>
        <w:t>Demographics: 28-year-old male, military officer.</w:t>
      </w:r>
    </w:p>
    <w:p w14:paraId="33B40F3B" w14:textId="3FC8F0FE" w:rsidR="007E5A69" w:rsidRPr="007E5A69" w:rsidRDefault="007E5A69" w:rsidP="007E5A69">
      <w:pPr>
        <w:pStyle w:val="Body"/>
        <w:rPr>
          <w:rFonts w:ascii="Arial" w:eastAsia="Calibri" w:hAnsi="Arial" w:cs="Arial"/>
          <w:szCs w:val="22"/>
        </w:rPr>
      </w:pPr>
      <w:r w:rsidRPr="007E5A69">
        <w:rPr>
          <w:rFonts w:ascii="Arial" w:eastAsia="Calibri" w:hAnsi="Arial" w:cs="Arial"/>
          <w:szCs w:val="22"/>
        </w:rPr>
        <w:t>•</w:t>
      </w:r>
      <w:r w:rsidR="005C67AF">
        <w:rPr>
          <w:rFonts w:ascii="Arial" w:eastAsia="Calibri" w:hAnsi="Arial" w:cs="Arial"/>
          <w:szCs w:val="22"/>
        </w:rPr>
        <w:t xml:space="preserve"> </w:t>
      </w:r>
      <w:r w:rsidRPr="007E5A69">
        <w:rPr>
          <w:rFonts w:ascii="Arial" w:eastAsia="Calibri" w:hAnsi="Arial" w:cs="Arial"/>
          <w:szCs w:val="22"/>
        </w:rPr>
        <w:t>Presenting complaints: The patient presented with a eight-month history of</w:t>
      </w:r>
      <w:r w:rsidR="005A18EE">
        <w:rPr>
          <w:rFonts w:ascii="Arial" w:eastAsia="Calibri" w:hAnsi="Arial" w:cs="Arial"/>
          <w:szCs w:val="22"/>
        </w:rPr>
        <w:t xml:space="preserve"> easy</w:t>
      </w:r>
      <w:r w:rsidRPr="007E5A69">
        <w:rPr>
          <w:rFonts w:ascii="Arial" w:eastAsia="Calibri" w:hAnsi="Arial" w:cs="Arial"/>
          <w:szCs w:val="22"/>
        </w:rPr>
        <w:t xml:space="preserve"> fatiguability severe skin itching, sore throat, itchy red eyes and cough. There was </w:t>
      </w:r>
      <w:r w:rsidR="005C67AF" w:rsidRPr="007E5A69">
        <w:rPr>
          <w:rFonts w:ascii="Arial" w:eastAsia="Calibri" w:hAnsi="Arial" w:cs="Arial"/>
          <w:szCs w:val="22"/>
        </w:rPr>
        <w:t>a history</w:t>
      </w:r>
      <w:r w:rsidRPr="007E5A69">
        <w:rPr>
          <w:rFonts w:ascii="Arial" w:eastAsia="Calibri" w:hAnsi="Arial" w:cs="Arial"/>
          <w:szCs w:val="22"/>
        </w:rPr>
        <w:t xml:space="preserve"> of fever, loss of appetite, moderate weight loss. No history of recent travel.</w:t>
      </w:r>
    </w:p>
    <w:p w14:paraId="1DB9252D" w14:textId="228F9436" w:rsidR="007E5A69" w:rsidRPr="007E5A69" w:rsidRDefault="007E5A69" w:rsidP="007E5A69">
      <w:pPr>
        <w:pStyle w:val="Body"/>
        <w:rPr>
          <w:rFonts w:ascii="Arial" w:eastAsia="Calibri" w:hAnsi="Arial" w:cs="Arial"/>
          <w:szCs w:val="22"/>
        </w:rPr>
      </w:pPr>
      <w:r w:rsidRPr="007E5A69">
        <w:rPr>
          <w:rFonts w:ascii="Arial" w:eastAsia="Calibri" w:hAnsi="Arial" w:cs="Arial"/>
          <w:szCs w:val="22"/>
        </w:rPr>
        <w:t>•</w:t>
      </w:r>
      <w:r w:rsidR="005C67AF">
        <w:rPr>
          <w:rFonts w:ascii="Arial" w:eastAsia="Calibri" w:hAnsi="Arial" w:cs="Arial"/>
          <w:szCs w:val="22"/>
        </w:rPr>
        <w:t xml:space="preserve"> </w:t>
      </w:r>
      <w:r w:rsidRPr="007E5A69">
        <w:rPr>
          <w:rFonts w:ascii="Arial" w:eastAsia="Calibri" w:hAnsi="Arial" w:cs="Arial"/>
          <w:szCs w:val="22"/>
        </w:rPr>
        <w:t>Alcohol history: The patient reported chronic heavy alcohol consumption (whisky/vodka) with an unusual claim of 'never experiencing intoxication,' suggesting a high level of tolerance.</w:t>
      </w:r>
    </w:p>
    <w:p w14:paraId="62D3E18C" w14:textId="7C73BCD1" w:rsidR="007E5A69" w:rsidRPr="005C67AF" w:rsidRDefault="007E5A69" w:rsidP="007E5A69">
      <w:pPr>
        <w:pStyle w:val="Body"/>
        <w:rPr>
          <w:rFonts w:ascii="Arial" w:eastAsia="Calibri" w:hAnsi="Arial" w:cs="Arial"/>
          <w:b/>
          <w:bCs/>
          <w:sz w:val="22"/>
          <w:szCs w:val="24"/>
        </w:rPr>
      </w:pPr>
      <w:r w:rsidRPr="005C67AF">
        <w:rPr>
          <w:rFonts w:ascii="Arial" w:eastAsia="Calibri" w:hAnsi="Arial" w:cs="Arial"/>
          <w:b/>
          <w:bCs/>
          <w:sz w:val="22"/>
          <w:szCs w:val="24"/>
        </w:rPr>
        <w:t>2.2. Physical Examination</w:t>
      </w:r>
    </w:p>
    <w:p w14:paraId="7580AC85" w14:textId="7EDA1AC3" w:rsidR="007E5A69" w:rsidRPr="007E5A69" w:rsidRDefault="007E5A69" w:rsidP="007E5A69">
      <w:pPr>
        <w:pStyle w:val="Body"/>
        <w:rPr>
          <w:rFonts w:ascii="Arial" w:eastAsia="Calibri" w:hAnsi="Arial" w:cs="Arial"/>
          <w:szCs w:val="22"/>
        </w:rPr>
      </w:pPr>
      <w:r w:rsidRPr="007E5A69">
        <w:rPr>
          <w:rFonts w:ascii="Arial" w:eastAsia="Calibri" w:hAnsi="Arial" w:cs="Arial"/>
          <w:szCs w:val="22"/>
        </w:rPr>
        <w:t>•</w:t>
      </w:r>
      <w:r w:rsidR="005C67AF">
        <w:rPr>
          <w:rFonts w:ascii="Arial" w:eastAsia="Calibri" w:hAnsi="Arial" w:cs="Arial"/>
          <w:szCs w:val="22"/>
        </w:rPr>
        <w:t xml:space="preserve"> </w:t>
      </w:r>
      <w:r w:rsidRPr="007E5A69">
        <w:rPr>
          <w:rFonts w:ascii="Arial" w:eastAsia="Calibri" w:hAnsi="Arial" w:cs="Arial"/>
          <w:szCs w:val="22"/>
        </w:rPr>
        <w:t xml:space="preserve">General: Pale, Axillary lymphadenopathy, </w:t>
      </w:r>
    </w:p>
    <w:p w14:paraId="64676366" w14:textId="5913A9D7" w:rsidR="007E5A69" w:rsidRPr="007E5A69" w:rsidRDefault="007E5A69" w:rsidP="007E5A69">
      <w:pPr>
        <w:pStyle w:val="Body"/>
        <w:rPr>
          <w:rFonts w:ascii="Arial" w:eastAsia="Calibri" w:hAnsi="Arial" w:cs="Arial"/>
          <w:szCs w:val="22"/>
        </w:rPr>
      </w:pPr>
      <w:r w:rsidRPr="007E5A69">
        <w:rPr>
          <w:rFonts w:ascii="Arial" w:eastAsia="Calibri" w:hAnsi="Arial" w:cs="Arial"/>
          <w:szCs w:val="22"/>
        </w:rPr>
        <w:lastRenderedPageBreak/>
        <w:t>•</w:t>
      </w:r>
      <w:r w:rsidR="005C67AF">
        <w:rPr>
          <w:rFonts w:ascii="Arial" w:eastAsia="Calibri" w:hAnsi="Arial" w:cs="Arial"/>
          <w:szCs w:val="22"/>
        </w:rPr>
        <w:t xml:space="preserve"> </w:t>
      </w:r>
      <w:r w:rsidRPr="007E5A69">
        <w:rPr>
          <w:rFonts w:ascii="Arial" w:eastAsia="Calibri" w:hAnsi="Arial" w:cs="Arial"/>
          <w:szCs w:val="22"/>
        </w:rPr>
        <w:t>Abdominal: Hepatosplenomegaly.</w:t>
      </w:r>
    </w:p>
    <w:p w14:paraId="6D5D2E46" w14:textId="2A796304" w:rsidR="007E5A69" w:rsidRPr="007E5A69" w:rsidRDefault="007E5A69" w:rsidP="007E5A69">
      <w:pPr>
        <w:pStyle w:val="Body"/>
        <w:rPr>
          <w:rFonts w:ascii="Arial" w:eastAsia="Calibri" w:hAnsi="Arial" w:cs="Arial"/>
          <w:szCs w:val="22"/>
        </w:rPr>
      </w:pPr>
      <w:r w:rsidRPr="007E5A69">
        <w:rPr>
          <w:rFonts w:ascii="Arial" w:eastAsia="Calibri" w:hAnsi="Arial" w:cs="Arial"/>
          <w:szCs w:val="22"/>
        </w:rPr>
        <w:t>•</w:t>
      </w:r>
      <w:r w:rsidR="005C67AF">
        <w:rPr>
          <w:rFonts w:ascii="Arial" w:eastAsia="Calibri" w:hAnsi="Arial" w:cs="Arial"/>
          <w:szCs w:val="22"/>
        </w:rPr>
        <w:t xml:space="preserve"> </w:t>
      </w:r>
      <w:r w:rsidRPr="007E5A69">
        <w:rPr>
          <w:rFonts w:ascii="Arial" w:eastAsia="Calibri" w:hAnsi="Arial" w:cs="Arial"/>
          <w:szCs w:val="22"/>
        </w:rPr>
        <w:t xml:space="preserve">Skin: Severe excoriations due to pruritus, in the last six month. There were slight petechiae hemorrhages. </w:t>
      </w:r>
    </w:p>
    <w:p w14:paraId="2AC514B0" w14:textId="04764909" w:rsidR="007E5A69" w:rsidRPr="005C67AF" w:rsidRDefault="007E5A69" w:rsidP="007E5A69">
      <w:pPr>
        <w:pStyle w:val="Body"/>
        <w:rPr>
          <w:rFonts w:ascii="Arial" w:eastAsia="Calibri" w:hAnsi="Arial" w:cs="Arial"/>
          <w:b/>
          <w:bCs/>
          <w:sz w:val="22"/>
          <w:szCs w:val="24"/>
        </w:rPr>
      </w:pPr>
      <w:r w:rsidRPr="005C67AF">
        <w:rPr>
          <w:rFonts w:ascii="Arial" w:eastAsia="Calibri" w:hAnsi="Arial" w:cs="Arial"/>
          <w:b/>
          <w:bCs/>
          <w:sz w:val="22"/>
          <w:szCs w:val="24"/>
        </w:rPr>
        <w:t>2.3.</w:t>
      </w:r>
      <w:r w:rsidR="005C67AF" w:rsidRPr="005C67AF">
        <w:rPr>
          <w:rFonts w:ascii="Arial" w:eastAsia="Calibri" w:hAnsi="Arial" w:cs="Arial"/>
          <w:b/>
          <w:bCs/>
          <w:sz w:val="22"/>
          <w:szCs w:val="24"/>
        </w:rPr>
        <w:t xml:space="preserve"> </w:t>
      </w:r>
      <w:r w:rsidRPr="005C67AF">
        <w:rPr>
          <w:rFonts w:ascii="Arial" w:eastAsia="Calibri" w:hAnsi="Arial" w:cs="Arial"/>
          <w:b/>
          <w:bCs/>
          <w:sz w:val="22"/>
          <w:szCs w:val="24"/>
        </w:rPr>
        <w:t xml:space="preserve"> Laboratory Findings</w:t>
      </w:r>
    </w:p>
    <w:p w14:paraId="65B77515" w14:textId="159BC24D" w:rsidR="007E5A69" w:rsidRPr="007E5A69" w:rsidRDefault="007E5A69" w:rsidP="007E5A69">
      <w:pPr>
        <w:pStyle w:val="Body"/>
        <w:rPr>
          <w:rFonts w:ascii="Arial" w:eastAsia="Calibri" w:hAnsi="Arial" w:cs="Arial"/>
          <w:szCs w:val="22"/>
        </w:rPr>
      </w:pPr>
      <w:r w:rsidRPr="007E5A69">
        <w:rPr>
          <w:rFonts w:ascii="Arial" w:eastAsia="Calibri" w:hAnsi="Arial" w:cs="Arial"/>
          <w:szCs w:val="22"/>
        </w:rPr>
        <w:t>•</w:t>
      </w:r>
      <w:r w:rsidR="005C67AF">
        <w:rPr>
          <w:rFonts w:ascii="Arial" w:eastAsia="Calibri" w:hAnsi="Arial" w:cs="Arial"/>
          <w:szCs w:val="22"/>
        </w:rPr>
        <w:t xml:space="preserve"> </w:t>
      </w:r>
      <w:r w:rsidRPr="007E5A69">
        <w:rPr>
          <w:rFonts w:ascii="Arial" w:eastAsia="Calibri" w:hAnsi="Arial" w:cs="Arial"/>
          <w:szCs w:val="22"/>
        </w:rPr>
        <w:t>Hemoglobin: 6.2 g/dL, PCV: 18% (severe anemia).</w:t>
      </w:r>
    </w:p>
    <w:p w14:paraId="4A139BF7" w14:textId="153A8E47" w:rsidR="007E5A69" w:rsidRPr="007E5A69" w:rsidRDefault="007E5A69" w:rsidP="007E5A69">
      <w:pPr>
        <w:pStyle w:val="Body"/>
        <w:rPr>
          <w:rFonts w:ascii="Arial" w:eastAsia="Calibri" w:hAnsi="Arial" w:cs="Arial"/>
          <w:szCs w:val="22"/>
        </w:rPr>
      </w:pPr>
      <w:r w:rsidRPr="007E5A69">
        <w:rPr>
          <w:rFonts w:ascii="Arial" w:eastAsia="Calibri" w:hAnsi="Arial" w:cs="Arial"/>
          <w:szCs w:val="22"/>
        </w:rPr>
        <w:t>•</w:t>
      </w:r>
      <w:r w:rsidR="005C67AF">
        <w:rPr>
          <w:rFonts w:ascii="Arial" w:eastAsia="Calibri" w:hAnsi="Arial" w:cs="Arial"/>
          <w:szCs w:val="22"/>
        </w:rPr>
        <w:t xml:space="preserve"> </w:t>
      </w:r>
      <w:r w:rsidRPr="007E5A69">
        <w:rPr>
          <w:rFonts w:ascii="Arial" w:eastAsia="Calibri" w:hAnsi="Arial" w:cs="Arial"/>
          <w:szCs w:val="22"/>
        </w:rPr>
        <w:t>Platelets: 54,000 cells/µL (thrombocytopenia).</w:t>
      </w:r>
    </w:p>
    <w:p w14:paraId="6D533DCD" w14:textId="42756BEE" w:rsidR="007E5A69" w:rsidRPr="007E5A69" w:rsidRDefault="007E5A69" w:rsidP="007E5A69">
      <w:pPr>
        <w:pStyle w:val="Body"/>
        <w:rPr>
          <w:rFonts w:ascii="Arial" w:eastAsia="Calibri" w:hAnsi="Arial" w:cs="Arial"/>
          <w:szCs w:val="22"/>
        </w:rPr>
      </w:pPr>
      <w:r w:rsidRPr="007E5A69">
        <w:rPr>
          <w:rFonts w:ascii="Arial" w:eastAsia="Calibri" w:hAnsi="Arial" w:cs="Arial"/>
          <w:szCs w:val="22"/>
        </w:rPr>
        <w:t>•</w:t>
      </w:r>
      <w:r w:rsidR="005C67AF">
        <w:rPr>
          <w:rFonts w:ascii="Arial" w:eastAsia="Calibri" w:hAnsi="Arial" w:cs="Arial"/>
          <w:szCs w:val="22"/>
        </w:rPr>
        <w:t xml:space="preserve"> </w:t>
      </w:r>
      <w:r w:rsidRPr="007E5A69">
        <w:rPr>
          <w:rFonts w:ascii="Arial" w:eastAsia="Calibri" w:hAnsi="Arial" w:cs="Arial"/>
          <w:szCs w:val="22"/>
        </w:rPr>
        <w:t>WBC: &gt;200,000 cells/µL (eosinophils &gt;80% on differential).</w:t>
      </w:r>
    </w:p>
    <w:p w14:paraId="2D76D0F8" w14:textId="043FBBE1" w:rsidR="007E5A69" w:rsidRPr="007E5A69" w:rsidRDefault="007E5A69" w:rsidP="007E5A69">
      <w:pPr>
        <w:pStyle w:val="Body"/>
        <w:rPr>
          <w:rFonts w:ascii="Arial" w:eastAsia="Calibri" w:hAnsi="Arial" w:cs="Arial"/>
          <w:szCs w:val="22"/>
        </w:rPr>
      </w:pPr>
      <w:r w:rsidRPr="007E5A69">
        <w:rPr>
          <w:rFonts w:ascii="Arial" w:eastAsia="Calibri" w:hAnsi="Arial" w:cs="Arial"/>
          <w:szCs w:val="22"/>
        </w:rPr>
        <w:t>•</w:t>
      </w:r>
      <w:r w:rsidR="005C67AF">
        <w:rPr>
          <w:rFonts w:ascii="Arial" w:eastAsia="Calibri" w:hAnsi="Arial" w:cs="Arial"/>
          <w:szCs w:val="22"/>
        </w:rPr>
        <w:t xml:space="preserve"> </w:t>
      </w:r>
      <w:r w:rsidRPr="007E5A69">
        <w:rPr>
          <w:rFonts w:ascii="Arial" w:eastAsia="Calibri" w:hAnsi="Arial" w:cs="Arial"/>
          <w:szCs w:val="22"/>
        </w:rPr>
        <w:t>Stool/Blood Analysis: No parasitic infection.</w:t>
      </w:r>
    </w:p>
    <w:p w14:paraId="423B785C" w14:textId="45E28339" w:rsidR="007E5A69" w:rsidRPr="007E5A69" w:rsidRDefault="007E5A69" w:rsidP="007E5A69">
      <w:pPr>
        <w:pStyle w:val="Body"/>
        <w:rPr>
          <w:rFonts w:ascii="Arial" w:eastAsia="Calibri" w:hAnsi="Arial" w:cs="Arial"/>
          <w:szCs w:val="22"/>
        </w:rPr>
      </w:pPr>
      <w:r w:rsidRPr="007E5A69">
        <w:rPr>
          <w:rFonts w:ascii="Arial" w:eastAsia="Calibri" w:hAnsi="Arial" w:cs="Arial"/>
          <w:szCs w:val="22"/>
        </w:rPr>
        <w:t>•</w:t>
      </w:r>
      <w:r w:rsidR="005C67AF">
        <w:rPr>
          <w:rFonts w:ascii="Arial" w:eastAsia="Calibri" w:hAnsi="Arial" w:cs="Arial"/>
          <w:szCs w:val="22"/>
        </w:rPr>
        <w:t xml:space="preserve"> </w:t>
      </w:r>
      <w:r w:rsidRPr="007E5A69">
        <w:rPr>
          <w:rFonts w:ascii="Arial" w:eastAsia="Calibri" w:hAnsi="Arial" w:cs="Arial"/>
          <w:szCs w:val="22"/>
        </w:rPr>
        <w:t>Bone Marrow Aspiration: Hypercellular with eosinophilic hyperplasia was the major significant finding</w:t>
      </w:r>
    </w:p>
    <w:p w14:paraId="7E853916" w14:textId="2B7AB144" w:rsidR="007E5A69" w:rsidRPr="007E5A69" w:rsidRDefault="007E5A69" w:rsidP="007E5A69">
      <w:pPr>
        <w:pStyle w:val="Body"/>
        <w:rPr>
          <w:rFonts w:ascii="Arial" w:eastAsia="Calibri" w:hAnsi="Arial" w:cs="Arial"/>
          <w:szCs w:val="22"/>
        </w:rPr>
      </w:pPr>
      <w:r w:rsidRPr="007E5A69">
        <w:rPr>
          <w:rFonts w:ascii="Arial" w:eastAsia="Calibri" w:hAnsi="Arial" w:cs="Arial"/>
          <w:szCs w:val="22"/>
        </w:rPr>
        <w:t>•</w:t>
      </w:r>
      <w:r w:rsidR="005C67AF">
        <w:rPr>
          <w:rFonts w:ascii="Arial" w:eastAsia="Calibri" w:hAnsi="Arial" w:cs="Arial"/>
          <w:szCs w:val="22"/>
        </w:rPr>
        <w:t xml:space="preserve"> </w:t>
      </w:r>
      <w:r w:rsidRPr="007E5A69">
        <w:rPr>
          <w:rFonts w:ascii="Arial" w:eastAsia="Calibri" w:hAnsi="Arial" w:cs="Arial"/>
          <w:szCs w:val="22"/>
        </w:rPr>
        <w:t xml:space="preserve">Imaging: Chest X-ray </w:t>
      </w:r>
      <w:r w:rsidR="00A87B90" w:rsidRPr="007E5A69">
        <w:rPr>
          <w:rFonts w:ascii="Arial" w:eastAsia="Calibri" w:hAnsi="Arial" w:cs="Arial"/>
          <w:szCs w:val="22"/>
        </w:rPr>
        <w:t>shows</w:t>
      </w:r>
      <w:r w:rsidRPr="007E5A69">
        <w:rPr>
          <w:rFonts w:ascii="Arial" w:eastAsia="Calibri" w:hAnsi="Arial" w:cs="Arial"/>
          <w:szCs w:val="22"/>
        </w:rPr>
        <w:t xml:space="preserve"> no abnormality.</w:t>
      </w:r>
    </w:p>
    <w:p w14:paraId="57EBEEC3" w14:textId="537F5C93" w:rsidR="007E5A69" w:rsidRPr="005C67AF" w:rsidRDefault="007E5A69" w:rsidP="007E5A69">
      <w:pPr>
        <w:pStyle w:val="Body"/>
        <w:rPr>
          <w:rFonts w:ascii="Arial" w:eastAsia="Calibri" w:hAnsi="Arial" w:cs="Arial"/>
          <w:b/>
          <w:bCs/>
          <w:sz w:val="22"/>
          <w:szCs w:val="24"/>
        </w:rPr>
      </w:pPr>
      <w:r w:rsidRPr="005C67AF">
        <w:rPr>
          <w:rFonts w:ascii="Arial" w:eastAsia="Calibri" w:hAnsi="Arial" w:cs="Arial"/>
          <w:b/>
          <w:bCs/>
          <w:sz w:val="22"/>
          <w:szCs w:val="24"/>
        </w:rPr>
        <w:t>2.4. Diagnosis</w:t>
      </w:r>
    </w:p>
    <w:p w14:paraId="11338CBA" w14:textId="77777777" w:rsidR="007E5A69" w:rsidRPr="007E5A69" w:rsidRDefault="007E5A69" w:rsidP="007E5A69">
      <w:pPr>
        <w:pStyle w:val="Body"/>
        <w:rPr>
          <w:rFonts w:ascii="Arial" w:eastAsia="Calibri" w:hAnsi="Arial" w:cs="Arial"/>
          <w:szCs w:val="22"/>
        </w:rPr>
      </w:pPr>
      <w:r w:rsidRPr="007E5A69">
        <w:rPr>
          <w:rFonts w:ascii="Arial" w:eastAsia="Calibri" w:hAnsi="Arial" w:cs="Arial"/>
          <w:szCs w:val="22"/>
        </w:rPr>
        <w:t>A diagnosis of Idiopathic Hypereosinophilic Syndrome (HES) was made after ruling out common secondary causes such as parasitic infections, allergic reactions, and hematologic malignancies.</w:t>
      </w:r>
    </w:p>
    <w:p w14:paraId="01AA85E7" w14:textId="2997D73D" w:rsidR="007E5A69" w:rsidRPr="00A87B90" w:rsidRDefault="007E5A69" w:rsidP="007E5A69">
      <w:pPr>
        <w:pStyle w:val="Body"/>
        <w:rPr>
          <w:rFonts w:ascii="Arial" w:eastAsia="Calibri" w:hAnsi="Arial" w:cs="Arial"/>
          <w:b/>
          <w:bCs/>
          <w:sz w:val="22"/>
          <w:szCs w:val="24"/>
        </w:rPr>
      </w:pPr>
      <w:r w:rsidRPr="00A87B90">
        <w:rPr>
          <w:rFonts w:ascii="Arial" w:eastAsia="Calibri" w:hAnsi="Arial" w:cs="Arial"/>
          <w:b/>
          <w:bCs/>
          <w:sz w:val="22"/>
          <w:szCs w:val="24"/>
        </w:rPr>
        <w:t>2.5. Management</w:t>
      </w:r>
    </w:p>
    <w:p w14:paraId="05DFA997" w14:textId="4ABFEF4E" w:rsidR="007E5A69" w:rsidRDefault="00E6335D" w:rsidP="007E5A69">
      <w:pPr>
        <w:pStyle w:val="Body"/>
        <w:rPr>
          <w:rFonts w:ascii="Arial" w:eastAsia="Calibri" w:hAnsi="Arial" w:cs="Arial"/>
          <w:szCs w:val="22"/>
        </w:rPr>
      </w:pPr>
      <w:r w:rsidRPr="007E5A69">
        <w:rPr>
          <w:rFonts w:ascii="Arial" w:eastAsia="Calibri" w:hAnsi="Arial" w:cs="Arial"/>
          <w:szCs w:val="22"/>
        </w:rPr>
        <w:t>•</w:t>
      </w:r>
      <w:r>
        <w:rPr>
          <w:rFonts w:ascii="Arial" w:eastAsia="Calibri" w:hAnsi="Arial" w:cs="Arial"/>
          <w:szCs w:val="22"/>
        </w:rPr>
        <w:t xml:space="preserve"> </w:t>
      </w:r>
      <w:r w:rsidR="007E5A69" w:rsidRPr="007E5A69">
        <w:rPr>
          <w:rFonts w:ascii="Arial" w:eastAsia="Calibri" w:hAnsi="Arial" w:cs="Arial"/>
          <w:szCs w:val="22"/>
        </w:rPr>
        <w:t>Fresh whole blood transfusion (unbanked) for severe anemia.</w:t>
      </w:r>
    </w:p>
    <w:p w14:paraId="7079C1F3" w14:textId="71C5B70C" w:rsidR="007E5A69" w:rsidRPr="007E5A69" w:rsidRDefault="00E6335D" w:rsidP="007E5A69">
      <w:pPr>
        <w:pStyle w:val="Body"/>
        <w:rPr>
          <w:rFonts w:ascii="Arial" w:eastAsia="Calibri" w:hAnsi="Arial" w:cs="Arial"/>
          <w:szCs w:val="22"/>
        </w:rPr>
      </w:pPr>
      <w:r w:rsidRPr="007E5A69">
        <w:rPr>
          <w:rFonts w:ascii="Arial" w:eastAsia="Calibri" w:hAnsi="Arial" w:cs="Arial"/>
          <w:szCs w:val="22"/>
        </w:rPr>
        <w:t>•</w:t>
      </w:r>
      <w:r>
        <w:rPr>
          <w:rFonts w:ascii="Arial" w:eastAsia="Calibri" w:hAnsi="Arial" w:cs="Arial"/>
          <w:szCs w:val="22"/>
        </w:rPr>
        <w:t xml:space="preserve"> </w:t>
      </w:r>
      <w:r w:rsidR="007E5A69" w:rsidRPr="007E5A69">
        <w:rPr>
          <w:rFonts w:ascii="Arial" w:eastAsia="Calibri" w:hAnsi="Arial" w:cs="Arial"/>
          <w:szCs w:val="22"/>
        </w:rPr>
        <w:t>Prednisolone (1 mg/kg/day) to suppress eosinophil proliferation.</w:t>
      </w:r>
    </w:p>
    <w:p w14:paraId="0A126BAD" w14:textId="54C5D2CD" w:rsidR="007E5A69" w:rsidRPr="007E5A69" w:rsidRDefault="00E6335D" w:rsidP="007E5A69">
      <w:pPr>
        <w:pStyle w:val="Body"/>
        <w:rPr>
          <w:rFonts w:ascii="Arial" w:eastAsia="Calibri" w:hAnsi="Arial" w:cs="Arial"/>
          <w:szCs w:val="22"/>
        </w:rPr>
      </w:pPr>
      <w:r w:rsidRPr="007E5A69">
        <w:rPr>
          <w:rFonts w:ascii="Arial" w:eastAsia="Calibri" w:hAnsi="Arial" w:cs="Arial"/>
          <w:szCs w:val="22"/>
        </w:rPr>
        <w:t>•</w:t>
      </w:r>
      <w:r>
        <w:rPr>
          <w:rFonts w:ascii="Arial" w:eastAsia="Calibri" w:hAnsi="Arial" w:cs="Arial"/>
          <w:szCs w:val="22"/>
        </w:rPr>
        <w:t xml:space="preserve"> </w:t>
      </w:r>
      <w:r w:rsidR="007E5A69" w:rsidRPr="007E5A69">
        <w:rPr>
          <w:rFonts w:ascii="Arial" w:eastAsia="Calibri" w:hAnsi="Arial" w:cs="Arial"/>
          <w:szCs w:val="22"/>
        </w:rPr>
        <w:t>The patient was counseled on immediate alcohol cessation due to potential exacerbation of hematologic abnormalities and immune dysregulation.</w:t>
      </w:r>
    </w:p>
    <w:p w14:paraId="7FB97F78" w14:textId="663310CD" w:rsidR="007E5A69" w:rsidRPr="00E6335D" w:rsidRDefault="007E5A69" w:rsidP="007E5A69">
      <w:pPr>
        <w:pStyle w:val="Body"/>
        <w:rPr>
          <w:rFonts w:ascii="Arial" w:eastAsia="Calibri" w:hAnsi="Arial" w:cs="Arial"/>
          <w:b/>
          <w:bCs/>
          <w:sz w:val="22"/>
          <w:szCs w:val="24"/>
        </w:rPr>
      </w:pPr>
      <w:r w:rsidRPr="00E6335D">
        <w:rPr>
          <w:rFonts w:ascii="Arial" w:eastAsia="Calibri" w:hAnsi="Arial" w:cs="Arial"/>
          <w:b/>
          <w:bCs/>
          <w:sz w:val="22"/>
          <w:szCs w:val="24"/>
        </w:rPr>
        <w:t>2.6. Outcome</w:t>
      </w:r>
    </w:p>
    <w:p w14:paraId="0A5C2492" w14:textId="0E62EB76" w:rsidR="007E5A69" w:rsidRPr="007E5A69" w:rsidRDefault="007E5A69" w:rsidP="007E5A69">
      <w:pPr>
        <w:pStyle w:val="Body"/>
        <w:rPr>
          <w:rFonts w:ascii="Arial" w:eastAsia="Calibri" w:hAnsi="Arial" w:cs="Arial"/>
          <w:szCs w:val="22"/>
        </w:rPr>
      </w:pPr>
      <w:r w:rsidRPr="007E5A69">
        <w:rPr>
          <w:rFonts w:ascii="Arial" w:eastAsia="Calibri" w:hAnsi="Arial" w:cs="Arial"/>
          <w:szCs w:val="22"/>
        </w:rPr>
        <w:t>•</w:t>
      </w:r>
      <w:r w:rsidR="00D27D4E">
        <w:rPr>
          <w:rFonts w:ascii="Arial" w:eastAsia="Calibri" w:hAnsi="Arial" w:cs="Arial"/>
          <w:szCs w:val="22"/>
        </w:rPr>
        <w:t xml:space="preserve"> </w:t>
      </w:r>
      <w:r w:rsidRPr="007E5A69">
        <w:rPr>
          <w:rFonts w:ascii="Arial" w:eastAsia="Calibri" w:hAnsi="Arial" w:cs="Arial"/>
          <w:szCs w:val="22"/>
        </w:rPr>
        <w:t>Symptomatic improvement within 2 weeks.</w:t>
      </w:r>
    </w:p>
    <w:p w14:paraId="0BF39FD4" w14:textId="56FCB2DD" w:rsidR="007E5A69" w:rsidRPr="007E5A69" w:rsidRDefault="007E5A69" w:rsidP="007E5A69">
      <w:pPr>
        <w:pStyle w:val="Body"/>
        <w:rPr>
          <w:rFonts w:ascii="Arial" w:eastAsia="Calibri" w:hAnsi="Arial" w:cs="Arial"/>
          <w:szCs w:val="22"/>
        </w:rPr>
      </w:pPr>
      <w:r w:rsidRPr="007E5A69">
        <w:rPr>
          <w:rFonts w:ascii="Arial" w:eastAsia="Calibri" w:hAnsi="Arial" w:cs="Arial"/>
          <w:szCs w:val="22"/>
        </w:rPr>
        <w:t>•</w:t>
      </w:r>
      <w:r w:rsidR="00D27D4E">
        <w:rPr>
          <w:rFonts w:ascii="Arial" w:eastAsia="Calibri" w:hAnsi="Arial" w:cs="Arial"/>
          <w:szCs w:val="22"/>
        </w:rPr>
        <w:t xml:space="preserve"> </w:t>
      </w:r>
      <w:r w:rsidRPr="007E5A69">
        <w:rPr>
          <w:rFonts w:ascii="Arial" w:eastAsia="Calibri" w:hAnsi="Arial" w:cs="Arial"/>
          <w:szCs w:val="22"/>
        </w:rPr>
        <w:t>Normalization of blood counts by 6 weeks.</w:t>
      </w:r>
    </w:p>
    <w:p w14:paraId="1151C696" w14:textId="6EC26A7E" w:rsidR="00790ADA" w:rsidRDefault="007E5A69" w:rsidP="007E5A69">
      <w:pPr>
        <w:pStyle w:val="Body"/>
        <w:spacing w:after="0"/>
        <w:rPr>
          <w:rFonts w:ascii="Arial" w:eastAsia="Calibri" w:hAnsi="Arial" w:cs="Arial"/>
          <w:szCs w:val="22"/>
        </w:rPr>
      </w:pPr>
      <w:r w:rsidRPr="007E5A69">
        <w:rPr>
          <w:rFonts w:ascii="Arial" w:eastAsia="Calibri" w:hAnsi="Arial" w:cs="Arial"/>
          <w:szCs w:val="22"/>
        </w:rPr>
        <w:t>•</w:t>
      </w:r>
      <w:r w:rsidR="00D27D4E">
        <w:rPr>
          <w:rFonts w:ascii="Arial" w:eastAsia="Calibri" w:hAnsi="Arial" w:cs="Arial"/>
          <w:szCs w:val="22"/>
        </w:rPr>
        <w:t xml:space="preserve"> </w:t>
      </w:r>
      <w:r w:rsidRPr="007E5A69">
        <w:rPr>
          <w:rFonts w:ascii="Arial" w:eastAsia="Calibri" w:hAnsi="Arial" w:cs="Arial"/>
          <w:szCs w:val="22"/>
        </w:rPr>
        <w:t>At three-month follow-up, the patient remained asymptomatic with no signs of relapse or hematologic abnormalities.</w:t>
      </w:r>
    </w:p>
    <w:p w14:paraId="1F3569E5" w14:textId="77777777" w:rsidR="00D27D4E" w:rsidRPr="00FB3A86" w:rsidRDefault="00D27D4E" w:rsidP="007E5A69">
      <w:pPr>
        <w:pStyle w:val="Body"/>
        <w:spacing w:after="0"/>
        <w:rPr>
          <w:rFonts w:ascii="Arial" w:hAnsi="Arial" w:cs="Arial"/>
        </w:rPr>
      </w:pPr>
    </w:p>
    <w:p w14:paraId="093C2C02" w14:textId="6A86EF9F"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14:paraId="0C6C08A7" w14:textId="77777777" w:rsidR="0081680D" w:rsidRPr="0081680D" w:rsidRDefault="0081680D" w:rsidP="0081680D">
      <w:pPr>
        <w:pStyle w:val="Body"/>
        <w:rPr>
          <w:rFonts w:ascii="Arial" w:hAnsi="Arial" w:cs="Arial"/>
        </w:rPr>
      </w:pPr>
      <w:r w:rsidRPr="0081680D">
        <w:rPr>
          <w:rFonts w:ascii="Arial" w:hAnsi="Arial" w:cs="Arial"/>
        </w:rPr>
        <w:t xml:space="preserve">Hypereosinophilic Syndrome (HES) is a rare disorder characterized by persistent eosinophilia (≥1,500 cells/µL for &gt;6 months) leading to multi-organ damage in the absence of identifiable secondary causes such as parasitic infections, allergic reactions, or malignancies. In idiopathic HES, the underlying trigger remains unknown, making diagnosis and management particularly challenging. The pathophysiology of idiopathic HES remains incompletely understood, and its association with chronic alcohol consumption is not well-documented. </w:t>
      </w:r>
    </w:p>
    <w:p w14:paraId="279498DB" w14:textId="77777777" w:rsidR="0081680D" w:rsidRPr="0081680D" w:rsidRDefault="0081680D" w:rsidP="0081680D">
      <w:pPr>
        <w:pStyle w:val="Body"/>
        <w:rPr>
          <w:rFonts w:ascii="Arial" w:hAnsi="Arial" w:cs="Arial"/>
        </w:rPr>
      </w:pPr>
      <w:r w:rsidRPr="0081680D">
        <w:rPr>
          <w:rFonts w:ascii="Arial" w:hAnsi="Arial" w:cs="Arial"/>
        </w:rPr>
        <w:lastRenderedPageBreak/>
        <w:t>This case is unique because it presents HES in a chronic alcohol user, an association that is poorly understood and not widely documented in medical literature.</w:t>
      </w:r>
    </w:p>
    <w:p w14:paraId="0AB8C727" w14:textId="20C99DB2" w:rsidR="0081680D" w:rsidRPr="0081680D" w:rsidRDefault="0081680D" w:rsidP="0002496F">
      <w:pPr>
        <w:pStyle w:val="Body"/>
        <w:spacing w:after="0"/>
        <w:rPr>
          <w:rFonts w:ascii="Arial" w:hAnsi="Arial" w:cs="Arial"/>
          <w:b/>
          <w:bCs/>
          <w:sz w:val="22"/>
          <w:szCs w:val="22"/>
        </w:rPr>
      </w:pPr>
      <w:r w:rsidRPr="0081680D">
        <w:rPr>
          <w:rFonts w:ascii="Arial" w:hAnsi="Arial" w:cs="Arial"/>
          <w:b/>
          <w:bCs/>
          <w:sz w:val="22"/>
          <w:szCs w:val="22"/>
        </w:rPr>
        <w:t>3.1. Pathophysiology of Idiopathic HES</w:t>
      </w:r>
    </w:p>
    <w:p w14:paraId="6DBCE27B" w14:textId="77777777" w:rsidR="0081680D" w:rsidRPr="0081680D" w:rsidRDefault="0081680D" w:rsidP="0002496F">
      <w:pPr>
        <w:pStyle w:val="Body"/>
        <w:spacing w:after="0"/>
        <w:rPr>
          <w:rFonts w:ascii="Arial" w:hAnsi="Arial" w:cs="Arial"/>
        </w:rPr>
      </w:pPr>
      <w:r w:rsidRPr="0081680D">
        <w:rPr>
          <w:rFonts w:ascii="Arial" w:hAnsi="Arial" w:cs="Arial"/>
        </w:rPr>
        <w:t>The exact mechanism of idiopathic HES is unclear, but several key processes contribute to disease progression:</w:t>
      </w:r>
    </w:p>
    <w:p w14:paraId="0249752F" w14:textId="6A04D918" w:rsidR="0081680D" w:rsidRPr="0081680D" w:rsidRDefault="0081680D" w:rsidP="0081680D">
      <w:pPr>
        <w:pStyle w:val="Body"/>
        <w:rPr>
          <w:rFonts w:ascii="Arial" w:hAnsi="Arial" w:cs="Arial"/>
          <w:i/>
          <w:iCs/>
        </w:rPr>
      </w:pPr>
      <w:r w:rsidRPr="0081680D">
        <w:rPr>
          <w:rFonts w:ascii="Arial" w:hAnsi="Arial" w:cs="Arial"/>
          <w:i/>
          <w:iCs/>
        </w:rPr>
        <w:t>A. Dysregulated Eosinophil Production and Activation</w:t>
      </w:r>
    </w:p>
    <w:p w14:paraId="57214026" w14:textId="77777777" w:rsidR="0081680D" w:rsidRPr="0081680D" w:rsidRDefault="0081680D" w:rsidP="0081680D">
      <w:pPr>
        <w:pStyle w:val="Body"/>
        <w:rPr>
          <w:rFonts w:ascii="Arial" w:hAnsi="Arial" w:cs="Arial"/>
        </w:rPr>
      </w:pPr>
      <w:r w:rsidRPr="0081680D">
        <w:rPr>
          <w:rFonts w:ascii="Arial" w:hAnsi="Arial" w:cs="Arial"/>
        </w:rPr>
        <w:t xml:space="preserve">In healthy individuals, eosinophils are regulated by cytokines, particularly Interleukin-5 (IL-5). In HES, excessive eosinophil production occurs in the bone marrow, leading to their accumulation in blood and tissues, where they cause inflammation and damage. </w:t>
      </w:r>
    </w:p>
    <w:p w14:paraId="31A6D4DD" w14:textId="77777777" w:rsidR="0081680D" w:rsidRPr="0081680D" w:rsidRDefault="0081680D" w:rsidP="0081680D">
      <w:pPr>
        <w:pStyle w:val="Body"/>
        <w:rPr>
          <w:rFonts w:ascii="Arial" w:hAnsi="Arial" w:cs="Arial"/>
        </w:rPr>
      </w:pPr>
      <w:r w:rsidRPr="0081680D">
        <w:rPr>
          <w:rFonts w:ascii="Arial" w:hAnsi="Arial" w:cs="Arial"/>
        </w:rPr>
        <w:t>In this case, the patient’s bone marrow aspiration revealed eosinophilic hyperplasia, confirming excessive eosinophil proliferation.</w:t>
      </w:r>
    </w:p>
    <w:p w14:paraId="6840F1B5" w14:textId="00DDA845" w:rsidR="0081680D" w:rsidRPr="0081680D" w:rsidRDefault="0081680D" w:rsidP="0081680D">
      <w:pPr>
        <w:pStyle w:val="Body"/>
        <w:rPr>
          <w:rFonts w:ascii="Arial" w:hAnsi="Arial" w:cs="Arial"/>
          <w:i/>
          <w:iCs/>
        </w:rPr>
      </w:pPr>
      <w:r w:rsidRPr="0081680D">
        <w:rPr>
          <w:rFonts w:ascii="Arial" w:hAnsi="Arial" w:cs="Arial"/>
          <w:i/>
          <w:iCs/>
        </w:rPr>
        <w:t>B. Cytokine Imbalance and Immune Dysregulation</w:t>
      </w:r>
    </w:p>
    <w:p w14:paraId="1E859B47" w14:textId="77BF8942" w:rsidR="0081680D" w:rsidRPr="0081680D" w:rsidRDefault="0081680D" w:rsidP="0081680D">
      <w:pPr>
        <w:pStyle w:val="Body"/>
        <w:rPr>
          <w:rFonts w:ascii="Arial" w:hAnsi="Arial" w:cs="Arial"/>
        </w:rPr>
      </w:pPr>
      <w:r w:rsidRPr="0081680D">
        <w:rPr>
          <w:rFonts w:ascii="Arial" w:hAnsi="Arial" w:cs="Arial"/>
        </w:rPr>
        <w:t>IL-5 overproduction is a well-known driver of eosinophil survival and expansion. However, in idiopathic HES, the exact source of IL-5 dysregulation is unknown. Some cases have also shown elevated IL-3 and GM-CSF (Granulocyte-Macrophage Colony-Stimulating Factor), further contributing to eosinophilia.</w:t>
      </w:r>
    </w:p>
    <w:p w14:paraId="06A2A333" w14:textId="77777777" w:rsidR="0081680D" w:rsidRPr="0081680D" w:rsidRDefault="0081680D" w:rsidP="0081680D">
      <w:pPr>
        <w:pStyle w:val="Body"/>
        <w:rPr>
          <w:rFonts w:ascii="Arial" w:hAnsi="Arial" w:cs="Arial"/>
        </w:rPr>
      </w:pPr>
      <w:r w:rsidRPr="0081680D">
        <w:rPr>
          <w:rFonts w:ascii="Arial" w:hAnsi="Arial" w:cs="Arial"/>
        </w:rPr>
        <w:t>In this patient, it is unclear whether chronic alcohol use influenced cytokine dysregulation, though alcohol has been reported to alter immune responses and hematopoiesis.</w:t>
      </w:r>
    </w:p>
    <w:p w14:paraId="285B9C0B" w14:textId="616ACD5A" w:rsidR="0081680D" w:rsidRPr="0081680D" w:rsidRDefault="0081680D" w:rsidP="0081680D">
      <w:pPr>
        <w:pStyle w:val="Body"/>
        <w:rPr>
          <w:rFonts w:ascii="Arial" w:hAnsi="Arial" w:cs="Arial"/>
          <w:i/>
          <w:iCs/>
        </w:rPr>
      </w:pPr>
      <w:r w:rsidRPr="0081680D">
        <w:rPr>
          <w:rFonts w:ascii="Arial" w:hAnsi="Arial" w:cs="Arial"/>
          <w:i/>
          <w:iCs/>
        </w:rPr>
        <w:t>C. Possible Link Between Alcohol and Eosinophil Dysregulation</w:t>
      </w:r>
    </w:p>
    <w:p w14:paraId="5D7E1488" w14:textId="77777777" w:rsidR="0081680D" w:rsidRPr="0081680D" w:rsidRDefault="0081680D" w:rsidP="0081680D">
      <w:pPr>
        <w:pStyle w:val="Body"/>
        <w:rPr>
          <w:rFonts w:ascii="Arial" w:hAnsi="Arial" w:cs="Arial"/>
        </w:rPr>
      </w:pPr>
      <w:r w:rsidRPr="0081680D">
        <w:rPr>
          <w:rFonts w:ascii="Arial" w:hAnsi="Arial" w:cs="Arial"/>
        </w:rPr>
        <w:t>Chronic alcohol consumption is known to suppress bone marrow function, leading to anemia and thrombocytopenia, both of which were present in this patient (Hemoglobin: 6.2 g/dL, Platelets: 54,000/µL). Some studies suggest that alcohol-induced oxidative stress and gut permeability can trigger immune activation, potentially contributing to eosinophilic dysregulation.</w:t>
      </w:r>
    </w:p>
    <w:p w14:paraId="48E68AA2" w14:textId="77777777" w:rsidR="0081680D" w:rsidRPr="0081680D" w:rsidRDefault="0081680D" w:rsidP="0081680D">
      <w:pPr>
        <w:pStyle w:val="Body"/>
        <w:rPr>
          <w:rFonts w:ascii="Arial" w:hAnsi="Arial" w:cs="Arial"/>
        </w:rPr>
      </w:pPr>
      <w:r w:rsidRPr="0081680D">
        <w:rPr>
          <w:rFonts w:ascii="Arial" w:hAnsi="Arial" w:cs="Arial"/>
        </w:rPr>
        <w:t>However, the direct role of alcohol in HES remains uncertain, and further research is needed to explore this relationship.</w:t>
      </w:r>
    </w:p>
    <w:p w14:paraId="4F6151E7" w14:textId="691E5032" w:rsidR="0081680D" w:rsidRPr="0081680D" w:rsidRDefault="0081680D" w:rsidP="0081680D">
      <w:pPr>
        <w:pStyle w:val="Body"/>
        <w:rPr>
          <w:rFonts w:ascii="Arial" w:hAnsi="Arial" w:cs="Arial"/>
          <w:i/>
          <w:iCs/>
        </w:rPr>
      </w:pPr>
      <w:r w:rsidRPr="0081680D">
        <w:rPr>
          <w:rFonts w:ascii="Arial" w:hAnsi="Arial" w:cs="Arial"/>
          <w:i/>
          <w:iCs/>
        </w:rPr>
        <w:t>D. Organ Involvement in This Case</w:t>
      </w:r>
    </w:p>
    <w:p w14:paraId="638FD7B8" w14:textId="566EA8E8" w:rsidR="0081680D" w:rsidRPr="0081680D" w:rsidRDefault="0081680D" w:rsidP="0081680D">
      <w:pPr>
        <w:pStyle w:val="Body"/>
        <w:rPr>
          <w:rFonts w:ascii="Arial" w:hAnsi="Arial" w:cs="Arial"/>
        </w:rPr>
      </w:pPr>
      <w:r w:rsidRPr="0081680D">
        <w:rPr>
          <w:rFonts w:ascii="Arial" w:hAnsi="Arial" w:cs="Arial"/>
        </w:rPr>
        <w:t>•</w:t>
      </w:r>
      <w:r>
        <w:rPr>
          <w:rFonts w:ascii="Arial" w:hAnsi="Arial" w:cs="Arial"/>
        </w:rPr>
        <w:t xml:space="preserve"> </w:t>
      </w:r>
      <w:r w:rsidRPr="0081680D">
        <w:rPr>
          <w:rFonts w:ascii="Arial" w:hAnsi="Arial" w:cs="Arial"/>
        </w:rPr>
        <w:t>Skin: The patient had severe pruritus with excoriations, consistent with eosinophilic involvement of the skin.</w:t>
      </w:r>
    </w:p>
    <w:p w14:paraId="20538EA7" w14:textId="76AF4B79" w:rsidR="0081680D" w:rsidRPr="0081680D" w:rsidRDefault="0081680D" w:rsidP="0081680D">
      <w:pPr>
        <w:pStyle w:val="Body"/>
        <w:rPr>
          <w:rFonts w:ascii="Arial" w:hAnsi="Arial" w:cs="Arial"/>
        </w:rPr>
      </w:pPr>
      <w:r w:rsidRPr="0081680D">
        <w:rPr>
          <w:rFonts w:ascii="Arial" w:hAnsi="Arial" w:cs="Arial"/>
        </w:rPr>
        <w:t>•</w:t>
      </w:r>
      <w:r>
        <w:rPr>
          <w:rFonts w:ascii="Arial" w:hAnsi="Arial" w:cs="Arial"/>
        </w:rPr>
        <w:t xml:space="preserve"> </w:t>
      </w:r>
      <w:r w:rsidRPr="0081680D">
        <w:rPr>
          <w:rFonts w:ascii="Arial" w:hAnsi="Arial" w:cs="Arial"/>
        </w:rPr>
        <w:t>Liver and Spleen: Hepatosplenomegaly was noted, suggesting eosinophilic infiltration and/or alcohol-related effects.</w:t>
      </w:r>
    </w:p>
    <w:p w14:paraId="40946A38" w14:textId="6E208BA1" w:rsidR="0081680D" w:rsidRPr="0081680D" w:rsidRDefault="0081680D" w:rsidP="0081680D">
      <w:pPr>
        <w:pStyle w:val="Body"/>
        <w:rPr>
          <w:rFonts w:ascii="Arial" w:hAnsi="Arial" w:cs="Arial"/>
        </w:rPr>
      </w:pPr>
      <w:r w:rsidRPr="0081680D">
        <w:rPr>
          <w:rFonts w:ascii="Arial" w:hAnsi="Arial" w:cs="Arial"/>
        </w:rPr>
        <w:t>•</w:t>
      </w:r>
      <w:r w:rsidR="00080739">
        <w:rPr>
          <w:rFonts w:ascii="Arial" w:hAnsi="Arial" w:cs="Arial"/>
        </w:rPr>
        <w:t xml:space="preserve"> </w:t>
      </w:r>
      <w:r w:rsidRPr="0081680D">
        <w:rPr>
          <w:rFonts w:ascii="Arial" w:hAnsi="Arial" w:cs="Arial"/>
        </w:rPr>
        <w:t>Lungs: Mild cough was present, raising concern for eosinophilic pulmonary involvement, though no infiltrates were noted.</w:t>
      </w:r>
    </w:p>
    <w:p w14:paraId="18BBC01C" w14:textId="79FB786C" w:rsidR="0081680D" w:rsidRPr="0081680D" w:rsidRDefault="0081680D" w:rsidP="0081680D">
      <w:pPr>
        <w:pStyle w:val="Body"/>
        <w:rPr>
          <w:rFonts w:ascii="Arial" w:hAnsi="Arial" w:cs="Arial"/>
        </w:rPr>
      </w:pPr>
      <w:r w:rsidRPr="0081680D">
        <w:rPr>
          <w:rFonts w:ascii="Arial" w:hAnsi="Arial" w:cs="Arial"/>
        </w:rPr>
        <w:t>•</w:t>
      </w:r>
      <w:r w:rsidR="00080739">
        <w:rPr>
          <w:rFonts w:ascii="Arial" w:hAnsi="Arial" w:cs="Arial"/>
        </w:rPr>
        <w:t xml:space="preserve"> </w:t>
      </w:r>
      <w:r w:rsidRPr="0081680D">
        <w:rPr>
          <w:rFonts w:ascii="Arial" w:hAnsi="Arial" w:cs="Arial"/>
        </w:rPr>
        <w:t>Blood and Bone Marrow: Severe eosinophilia (&gt;200,000 WBCs, &gt;80% eosinophils) with bone marrow hypercellularity, confirming hematologic involvement.</w:t>
      </w:r>
    </w:p>
    <w:p w14:paraId="75C5BCDF" w14:textId="77777777" w:rsidR="0081680D" w:rsidRPr="0081680D" w:rsidRDefault="0081680D" w:rsidP="0081680D">
      <w:pPr>
        <w:pStyle w:val="Body"/>
        <w:rPr>
          <w:rFonts w:ascii="Arial" w:hAnsi="Arial" w:cs="Arial"/>
        </w:rPr>
      </w:pPr>
      <w:r w:rsidRPr="0081680D">
        <w:rPr>
          <w:rFonts w:ascii="Arial" w:hAnsi="Arial" w:cs="Arial"/>
        </w:rPr>
        <w:t xml:space="preserve">This case highlights a rare presentation of idiopathic HES in a chronic alcohol user, raising questions about alcohol’s potential role in eosinophilic dysregulation. While the direct link between alcohol consumption and HES remains inconclusive, this report underscores the </w:t>
      </w:r>
      <w:r w:rsidRPr="0081680D">
        <w:rPr>
          <w:rFonts w:ascii="Arial" w:hAnsi="Arial" w:cs="Arial"/>
        </w:rPr>
        <w:lastRenderedPageBreak/>
        <w:t>importance of recognizing HES in patients with unexplained eosinophilia, especially when hematologic abnormalities and organ dysfunction are present.</w:t>
      </w:r>
    </w:p>
    <w:p w14:paraId="3DEBBAE3" w14:textId="463C94BC" w:rsidR="0081680D" w:rsidRPr="00080739" w:rsidRDefault="0081680D" w:rsidP="0081680D">
      <w:pPr>
        <w:pStyle w:val="Body"/>
        <w:rPr>
          <w:rFonts w:ascii="Arial" w:hAnsi="Arial" w:cs="Arial"/>
          <w:b/>
          <w:bCs/>
          <w:sz w:val="22"/>
          <w:szCs w:val="22"/>
        </w:rPr>
      </w:pPr>
      <w:r w:rsidRPr="00080739">
        <w:rPr>
          <w:rFonts w:ascii="Arial" w:hAnsi="Arial" w:cs="Arial"/>
          <w:b/>
          <w:bCs/>
          <w:sz w:val="22"/>
          <w:szCs w:val="22"/>
        </w:rPr>
        <w:t>3.2. Potential Role of Chronic Alcohol Use in HES</w:t>
      </w:r>
    </w:p>
    <w:p w14:paraId="176D6451" w14:textId="3826D7EB" w:rsidR="0081680D" w:rsidRPr="00080739" w:rsidRDefault="0081680D" w:rsidP="0081680D">
      <w:pPr>
        <w:pStyle w:val="Body"/>
        <w:rPr>
          <w:rFonts w:ascii="Arial" w:hAnsi="Arial" w:cs="Arial"/>
          <w:i/>
          <w:iCs/>
        </w:rPr>
      </w:pPr>
      <w:r w:rsidRPr="00080739">
        <w:rPr>
          <w:rFonts w:ascii="Arial" w:hAnsi="Arial" w:cs="Arial"/>
          <w:i/>
          <w:iCs/>
        </w:rPr>
        <w:t>A.</w:t>
      </w:r>
      <w:r w:rsidR="00080739" w:rsidRPr="00080739">
        <w:rPr>
          <w:rFonts w:ascii="Arial" w:hAnsi="Arial" w:cs="Arial"/>
          <w:i/>
          <w:iCs/>
        </w:rPr>
        <w:t xml:space="preserve"> </w:t>
      </w:r>
      <w:r w:rsidRPr="00080739">
        <w:rPr>
          <w:rFonts w:ascii="Arial" w:hAnsi="Arial" w:cs="Arial"/>
          <w:i/>
          <w:iCs/>
        </w:rPr>
        <w:t>Immunosuppressive Effects of Alcohol</w:t>
      </w:r>
    </w:p>
    <w:p w14:paraId="5AAE46B3" w14:textId="77777777" w:rsidR="0081680D" w:rsidRPr="0081680D" w:rsidRDefault="0081680D" w:rsidP="0081680D">
      <w:pPr>
        <w:pStyle w:val="Body"/>
        <w:rPr>
          <w:rFonts w:ascii="Arial" w:hAnsi="Arial" w:cs="Arial"/>
        </w:rPr>
      </w:pPr>
      <w:r w:rsidRPr="0081680D">
        <w:rPr>
          <w:rFonts w:ascii="Arial" w:hAnsi="Arial" w:cs="Arial"/>
        </w:rPr>
        <w:t>Chronic alcohol consumption has well-documented immunosuppressive effects, including alterations in both innate and adaptive immune responses. Alcohol can impair hematopoiesis, disrupt cytokine signaling, and suppress key immune cells such as T cells and macrophages. Studies have demonstrated that prolonged alcohol use reduces the number of circulating T cells, disrupts their balance, impairs activation, and promotes apoptosis. Additionally, chronic alcohol exposure leads to a decrease in peripheral B cells while increasing immunoglobulin production, contributing to immune dysfunction [17]. These effects may contribute to immune dysregulation, which could play a role in the pathogenesis of idiopathic Hypereosinophilic Syndrome (HES) by either promoting eosinophil expansion or impairing their regulation.</w:t>
      </w:r>
    </w:p>
    <w:p w14:paraId="6ADB219C" w14:textId="77777777" w:rsidR="0081680D" w:rsidRPr="0081680D" w:rsidRDefault="0081680D" w:rsidP="0081680D">
      <w:pPr>
        <w:pStyle w:val="Body"/>
        <w:rPr>
          <w:rFonts w:ascii="Arial" w:hAnsi="Arial" w:cs="Arial"/>
        </w:rPr>
      </w:pPr>
      <w:r w:rsidRPr="0081680D">
        <w:rPr>
          <w:rFonts w:ascii="Arial" w:hAnsi="Arial" w:cs="Arial"/>
        </w:rPr>
        <w:t>Furthermore, alcohol influences cytokine production, which is crucial for immune regulation. In chronic alcohol abusers, elevated levels of pro-inflammatory cytokines such as tumor necrosis factor-alpha (TNF-α), interleukin-1 (IL-1), and interleukin-6 (IL-6) have been observed. These increased cytokine levels may contribute to tissue damage and heightened inflammatory responses [18].</w:t>
      </w:r>
    </w:p>
    <w:p w14:paraId="73A53CAE" w14:textId="06A48682" w:rsidR="0081680D" w:rsidRPr="0054145E" w:rsidRDefault="0081680D" w:rsidP="0081680D">
      <w:pPr>
        <w:pStyle w:val="Body"/>
        <w:rPr>
          <w:rFonts w:ascii="Arial" w:hAnsi="Arial" w:cs="Arial"/>
          <w:i/>
          <w:iCs/>
        </w:rPr>
      </w:pPr>
      <w:r w:rsidRPr="0054145E">
        <w:rPr>
          <w:rFonts w:ascii="Arial" w:hAnsi="Arial" w:cs="Arial"/>
          <w:i/>
          <w:iCs/>
        </w:rPr>
        <w:t>B.</w:t>
      </w:r>
      <w:r w:rsidR="0054145E" w:rsidRPr="0054145E">
        <w:rPr>
          <w:rFonts w:ascii="Arial" w:hAnsi="Arial" w:cs="Arial"/>
          <w:i/>
          <w:iCs/>
        </w:rPr>
        <w:t xml:space="preserve"> </w:t>
      </w:r>
      <w:r w:rsidRPr="0054145E">
        <w:rPr>
          <w:rFonts w:ascii="Arial" w:hAnsi="Arial" w:cs="Arial"/>
          <w:i/>
          <w:iCs/>
        </w:rPr>
        <w:t>Possible Contribution to Eosinophil Dysregulation</w:t>
      </w:r>
    </w:p>
    <w:p w14:paraId="2515C557" w14:textId="77777777" w:rsidR="0081680D" w:rsidRPr="0081680D" w:rsidRDefault="0081680D" w:rsidP="0081680D">
      <w:pPr>
        <w:pStyle w:val="Body"/>
        <w:rPr>
          <w:rFonts w:ascii="Arial" w:hAnsi="Arial" w:cs="Arial"/>
        </w:rPr>
      </w:pPr>
      <w:r w:rsidRPr="0081680D">
        <w:rPr>
          <w:rFonts w:ascii="Arial" w:hAnsi="Arial" w:cs="Arial"/>
        </w:rPr>
        <w:t>The relationship between alcohol and eosinophilic disorders is complex and remains poorly understood. While some studies suggest that alcohol may suppress eosinophil activity in allergic conditions, others indicate that chronic alcohol consumption can enhance eosinophilic inflammation in certain contexts. Potential mechanisms include:</w:t>
      </w:r>
    </w:p>
    <w:p w14:paraId="4F406442" w14:textId="6FDA6887" w:rsidR="0081680D" w:rsidRPr="0081680D" w:rsidRDefault="0081680D" w:rsidP="0081680D">
      <w:pPr>
        <w:pStyle w:val="Body"/>
        <w:rPr>
          <w:rFonts w:ascii="Arial" w:hAnsi="Arial" w:cs="Arial"/>
        </w:rPr>
      </w:pPr>
      <w:r w:rsidRPr="0081680D">
        <w:rPr>
          <w:rFonts w:ascii="Arial" w:hAnsi="Arial" w:cs="Arial"/>
        </w:rPr>
        <w:t>•</w:t>
      </w:r>
      <w:r w:rsidR="0054145E">
        <w:rPr>
          <w:rFonts w:ascii="Arial" w:hAnsi="Arial" w:cs="Arial"/>
        </w:rPr>
        <w:t xml:space="preserve"> </w:t>
      </w:r>
      <w:r w:rsidRPr="0081680D">
        <w:rPr>
          <w:rFonts w:ascii="Arial" w:hAnsi="Arial" w:cs="Arial"/>
        </w:rPr>
        <w:t>Cytokine modulation: Alcohol alters interleukin-5 (IL-5) and other eosinophil-regulating cytokines, which could contribute to unregulated eosinophilia.</w:t>
      </w:r>
    </w:p>
    <w:p w14:paraId="74532704" w14:textId="6585735C" w:rsidR="0081680D" w:rsidRPr="0081680D" w:rsidRDefault="0081680D" w:rsidP="0081680D">
      <w:pPr>
        <w:pStyle w:val="Body"/>
        <w:rPr>
          <w:rFonts w:ascii="Arial" w:hAnsi="Arial" w:cs="Arial"/>
        </w:rPr>
      </w:pPr>
      <w:r w:rsidRPr="0081680D">
        <w:rPr>
          <w:rFonts w:ascii="Arial" w:hAnsi="Arial" w:cs="Arial"/>
        </w:rPr>
        <w:t>•</w:t>
      </w:r>
      <w:r w:rsidR="0054145E">
        <w:rPr>
          <w:rFonts w:ascii="Arial" w:hAnsi="Arial" w:cs="Arial"/>
        </w:rPr>
        <w:t xml:space="preserve"> </w:t>
      </w:r>
      <w:r w:rsidRPr="0081680D">
        <w:rPr>
          <w:rFonts w:ascii="Arial" w:hAnsi="Arial" w:cs="Arial"/>
        </w:rPr>
        <w:t>Bone marrow effects: Chronic alcohol use is known to affect hematopoietic stem cell function, potentially leading to abnormal eosinophil proliferation.</w:t>
      </w:r>
    </w:p>
    <w:p w14:paraId="350CCC00" w14:textId="284DFB4F" w:rsidR="0081680D" w:rsidRPr="0081680D" w:rsidRDefault="0081680D" w:rsidP="0081680D">
      <w:pPr>
        <w:pStyle w:val="Body"/>
        <w:rPr>
          <w:rFonts w:ascii="Arial" w:hAnsi="Arial" w:cs="Arial"/>
        </w:rPr>
      </w:pPr>
      <w:r w:rsidRPr="0081680D">
        <w:rPr>
          <w:rFonts w:ascii="Arial" w:hAnsi="Arial" w:cs="Arial"/>
        </w:rPr>
        <w:t>•</w:t>
      </w:r>
      <w:r w:rsidR="0054145E">
        <w:rPr>
          <w:rFonts w:ascii="Arial" w:hAnsi="Arial" w:cs="Arial"/>
        </w:rPr>
        <w:t xml:space="preserve"> </w:t>
      </w:r>
      <w:r w:rsidRPr="0081680D">
        <w:rPr>
          <w:rFonts w:ascii="Arial" w:hAnsi="Arial" w:cs="Arial"/>
        </w:rPr>
        <w:t>Gut microbiome influence: Emerging research suggests that alcohol-induced gut dysbiosis may impact immune function and eosinophil activation.</w:t>
      </w:r>
    </w:p>
    <w:p w14:paraId="225A65F0" w14:textId="35A4474E" w:rsidR="0081680D" w:rsidRPr="0054145E" w:rsidRDefault="0081680D" w:rsidP="0081680D">
      <w:pPr>
        <w:pStyle w:val="Body"/>
        <w:rPr>
          <w:rFonts w:ascii="Arial" w:hAnsi="Arial" w:cs="Arial"/>
          <w:i/>
          <w:iCs/>
        </w:rPr>
      </w:pPr>
      <w:r w:rsidRPr="0054145E">
        <w:rPr>
          <w:rFonts w:ascii="Arial" w:hAnsi="Arial" w:cs="Arial"/>
          <w:i/>
          <w:iCs/>
        </w:rPr>
        <w:t>C.</w:t>
      </w:r>
      <w:r w:rsidR="0054145E" w:rsidRPr="0054145E">
        <w:rPr>
          <w:rFonts w:ascii="Arial" w:hAnsi="Arial" w:cs="Arial"/>
          <w:i/>
          <w:iCs/>
        </w:rPr>
        <w:t xml:space="preserve"> </w:t>
      </w:r>
      <w:r w:rsidRPr="0054145E">
        <w:rPr>
          <w:rFonts w:ascii="Arial" w:hAnsi="Arial" w:cs="Arial"/>
          <w:i/>
          <w:iCs/>
        </w:rPr>
        <w:t>Comparison with Existing Literature</w:t>
      </w:r>
    </w:p>
    <w:p w14:paraId="010570A6" w14:textId="77777777" w:rsidR="0081680D" w:rsidRPr="0081680D" w:rsidRDefault="0081680D" w:rsidP="0081680D">
      <w:pPr>
        <w:pStyle w:val="Body"/>
        <w:rPr>
          <w:rFonts w:ascii="Arial" w:hAnsi="Arial" w:cs="Arial"/>
        </w:rPr>
      </w:pPr>
      <w:r w:rsidRPr="0081680D">
        <w:rPr>
          <w:rFonts w:ascii="Arial" w:hAnsi="Arial" w:cs="Arial"/>
        </w:rPr>
        <w:t>There is limited literature directly linking chronic alcohol consumption to HES. However, case reports and studies on eosinophilic disorders suggest that alcohol may influence eosinophil regulation in certain diseases such as eosinophilic esophagitis, eosinophilic pneumonia, and alcohol-induced hypersensitivity reactions. Further epidemiological studies are needed to establish a clearer association.</w:t>
      </w:r>
    </w:p>
    <w:p w14:paraId="48BF3638" w14:textId="612F22AA" w:rsidR="0081680D" w:rsidRPr="00D06A46" w:rsidRDefault="0081680D" w:rsidP="0081680D">
      <w:pPr>
        <w:pStyle w:val="Body"/>
        <w:rPr>
          <w:rFonts w:ascii="Arial" w:hAnsi="Arial" w:cs="Arial"/>
          <w:i/>
          <w:iCs/>
        </w:rPr>
      </w:pPr>
      <w:r w:rsidRPr="00D06A46">
        <w:rPr>
          <w:rFonts w:ascii="Arial" w:hAnsi="Arial" w:cs="Arial"/>
          <w:i/>
          <w:iCs/>
        </w:rPr>
        <w:t>D.</w:t>
      </w:r>
      <w:r w:rsidR="0054145E" w:rsidRPr="00D06A46">
        <w:rPr>
          <w:rFonts w:ascii="Arial" w:hAnsi="Arial" w:cs="Arial"/>
          <w:i/>
          <w:iCs/>
        </w:rPr>
        <w:t xml:space="preserve"> </w:t>
      </w:r>
      <w:r w:rsidRPr="00D06A46">
        <w:rPr>
          <w:rFonts w:ascii="Arial" w:hAnsi="Arial" w:cs="Arial"/>
          <w:i/>
          <w:iCs/>
        </w:rPr>
        <w:t>Gaps in Research and Need for Further Study</w:t>
      </w:r>
    </w:p>
    <w:p w14:paraId="6A8FD8BC" w14:textId="086731BA" w:rsidR="0081680D" w:rsidRPr="0081680D" w:rsidRDefault="0081680D" w:rsidP="0081680D">
      <w:pPr>
        <w:pStyle w:val="Body"/>
        <w:rPr>
          <w:rFonts w:ascii="Arial" w:hAnsi="Arial" w:cs="Arial"/>
        </w:rPr>
      </w:pPr>
      <w:r w:rsidRPr="0081680D">
        <w:rPr>
          <w:rFonts w:ascii="Arial" w:hAnsi="Arial" w:cs="Arial"/>
        </w:rPr>
        <w:t>•</w:t>
      </w:r>
      <w:r w:rsidR="00D06A46">
        <w:rPr>
          <w:rFonts w:ascii="Arial" w:hAnsi="Arial" w:cs="Arial"/>
        </w:rPr>
        <w:t xml:space="preserve"> </w:t>
      </w:r>
      <w:r w:rsidRPr="0081680D">
        <w:rPr>
          <w:rFonts w:ascii="Arial" w:hAnsi="Arial" w:cs="Arial"/>
        </w:rPr>
        <w:t>Lack of large-scale studies: Most available evidence is based on case reports or small cohort studies.</w:t>
      </w:r>
    </w:p>
    <w:p w14:paraId="2B7A9A29" w14:textId="7302AC9D" w:rsidR="0081680D" w:rsidRPr="0081680D" w:rsidRDefault="0081680D" w:rsidP="0081680D">
      <w:pPr>
        <w:pStyle w:val="Body"/>
        <w:rPr>
          <w:rFonts w:ascii="Arial" w:hAnsi="Arial" w:cs="Arial"/>
        </w:rPr>
      </w:pPr>
      <w:r w:rsidRPr="0081680D">
        <w:rPr>
          <w:rFonts w:ascii="Arial" w:hAnsi="Arial" w:cs="Arial"/>
        </w:rPr>
        <w:lastRenderedPageBreak/>
        <w:t>•</w:t>
      </w:r>
      <w:r w:rsidR="00D06A46">
        <w:rPr>
          <w:rFonts w:ascii="Arial" w:hAnsi="Arial" w:cs="Arial"/>
        </w:rPr>
        <w:t xml:space="preserve"> </w:t>
      </w:r>
      <w:r w:rsidRPr="0081680D">
        <w:rPr>
          <w:rFonts w:ascii="Arial" w:hAnsi="Arial" w:cs="Arial"/>
        </w:rPr>
        <w:t xml:space="preserve">Mechanistic understanding: The exact pathways by which alcohol influences eosinophil biology </w:t>
      </w:r>
      <w:r w:rsidR="00D06A46" w:rsidRPr="0081680D">
        <w:rPr>
          <w:rFonts w:ascii="Arial" w:hAnsi="Arial" w:cs="Arial"/>
        </w:rPr>
        <w:t>remains</w:t>
      </w:r>
      <w:r w:rsidRPr="0081680D">
        <w:rPr>
          <w:rFonts w:ascii="Arial" w:hAnsi="Arial" w:cs="Arial"/>
        </w:rPr>
        <w:t xml:space="preserve"> largely unexplored.</w:t>
      </w:r>
    </w:p>
    <w:p w14:paraId="1978E606" w14:textId="3F45A1A1" w:rsidR="0081680D" w:rsidRPr="0081680D" w:rsidRDefault="0081680D" w:rsidP="0081680D">
      <w:pPr>
        <w:pStyle w:val="Body"/>
        <w:rPr>
          <w:rFonts w:ascii="Arial" w:hAnsi="Arial" w:cs="Arial"/>
        </w:rPr>
      </w:pPr>
      <w:r w:rsidRPr="0081680D">
        <w:rPr>
          <w:rFonts w:ascii="Arial" w:hAnsi="Arial" w:cs="Arial"/>
        </w:rPr>
        <w:t>•</w:t>
      </w:r>
      <w:r w:rsidR="00D06A46">
        <w:rPr>
          <w:rFonts w:ascii="Arial" w:hAnsi="Arial" w:cs="Arial"/>
        </w:rPr>
        <w:t xml:space="preserve"> </w:t>
      </w:r>
      <w:r w:rsidRPr="0081680D">
        <w:rPr>
          <w:rFonts w:ascii="Arial" w:hAnsi="Arial" w:cs="Arial"/>
        </w:rPr>
        <w:t>Longitudinal studies: There is a need for studies examining eosinophil behavior in chronic alcohol users over time to determine any causative relationships with HES.</w:t>
      </w:r>
    </w:p>
    <w:p w14:paraId="4E1D2076" w14:textId="77777777" w:rsidR="0081680D" w:rsidRPr="0081680D" w:rsidRDefault="0081680D" w:rsidP="0081680D">
      <w:pPr>
        <w:pStyle w:val="Body"/>
        <w:rPr>
          <w:rFonts w:ascii="Arial" w:hAnsi="Arial" w:cs="Arial"/>
        </w:rPr>
      </w:pPr>
      <w:r w:rsidRPr="0081680D">
        <w:rPr>
          <w:rFonts w:ascii="Arial" w:hAnsi="Arial" w:cs="Arial"/>
        </w:rPr>
        <w:t>This case raises important questions about the potential role of chronic alcohol use in eosinophil dysregulation and highlights the need for further investigation into the immunomodulatory effects of alcohol on HES. Given the lack of extensive research in this area, future studies should explore whether alcohol consumption influences eosinophilic disorders and whether alcohol cessation plays a role in disease resolution.</w:t>
      </w:r>
    </w:p>
    <w:p w14:paraId="3BD401F4" w14:textId="77777777" w:rsidR="00E053D0" w:rsidRDefault="00E053D0" w:rsidP="00441B6F">
      <w:pPr>
        <w:pStyle w:val="Body"/>
        <w:spacing w:after="0"/>
        <w:rPr>
          <w:rFonts w:ascii="Arial" w:hAnsi="Arial" w:cs="Arial"/>
        </w:rPr>
      </w:pPr>
    </w:p>
    <w:p w14:paraId="0C294C1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2C5F5B5" w14:textId="6583487C" w:rsidR="00B01FCD" w:rsidRDefault="00C7045E" w:rsidP="00441B6F">
      <w:pPr>
        <w:pStyle w:val="Body"/>
        <w:spacing w:after="0"/>
        <w:rPr>
          <w:rFonts w:ascii="Arial" w:hAnsi="Arial" w:cs="Arial"/>
        </w:rPr>
      </w:pPr>
      <w:r w:rsidRPr="00C7045E">
        <w:rPr>
          <w:rFonts w:ascii="Arial" w:hAnsi="Arial" w:cs="Arial"/>
        </w:rPr>
        <w:t>This case underscores the importance of considering Hypereosinophilic Syndrome (HES) in patients presenting with persistent eosinophilia and multi-organ involvement, particularly when common secondary causes have been excluded. The association observed between chronic alcohol use and the onset of idiopathic HES in this patient highlights a potential area for further investigation. Clinicians should maintain a high index of suspicion for HES in similar clinical scenarios, ensuring timely diagnosis and intervention to prevent organ damage and improve patient outcomes.</w:t>
      </w:r>
    </w:p>
    <w:p w14:paraId="7F6FCEC2" w14:textId="77777777" w:rsidR="00790ADA" w:rsidRPr="00FB3A86" w:rsidRDefault="00790ADA" w:rsidP="00441B6F">
      <w:pPr>
        <w:pStyle w:val="Body"/>
        <w:spacing w:after="0"/>
        <w:rPr>
          <w:rFonts w:ascii="Arial" w:hAnsi="Arial" w:cs="Arial"/>
        </w:rPr>
      </w:pPr>
    </w:p>
    <w:p w14:paraId="2CEB78A4" w14:textId="0357F45B"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73437BC9" w14:textId="4A7CBCA8" w:rsidR="001A29D8" w:rsidRDefault="001A29D8" w:rsidP="00441B6F">
      <w:pPr>
        <w:pStyle w:val="ReferHead"/>
        <w:spacing w:after="0"/>
        <w:jc w:val="both"/>
        <w:rPr>
          <w:rFonts w:ascii="Arial" w:hAnsi="Arial" w:cs="Arial"/>
          <w:b w:val="0"/>
          <w:caps w:val="0"/>
          <w:sz w:val="20"/>
        </w:rPr>
      </w:pPr>
      <w:r w:rsidRPr="00AE3C07">
        <w:rPr>
          <w:rFonts w:ascii="Arial" w:hAnsi="Arial" w:cs="Arial"/>
          <w:b w:val="0"/>
          <w:caps w:val="0"/>
          <w:sz w:val="20"/>
        </w:rPr>
        <w:t>All authors declare that written informed consent was obtained from the patient for publication of this case report</w:t>
      </w:r>
      <w:r w:rsidR="00731639">
        <w:rPr>
          <w:rFonts w:ascii="Arial" w:hAnsi="Arial" w:cs="Arial"/>
          <w:b w:val="0"/>
          <w:caps w:val="0"/>
          <w:sz w:val="20"/>
        </w:rPr>
        <w:t>.</w:t>
      </w:r>
      <w:r w:rsidRPr="00AE3C07">
        <w:rPr>
          <w:rFonts w:ascii="Arial" w:hAnsi="Arial" w:cs="Arial"/>
          <w:b w:val="0"/>
          <w:caps w:val="0"/>
          <w:sz w:val="20"/>
        </w:rPr>
        <w:t xml:space="preserve"> </w:t>
      </w:r>
    </w:p>
    <w:p w14:paraId="2E5E4C6E" w14:textId="72A6D1CE" w:rsidR="001D28CF" w:rsidRDefault="001D28CF" w:rsidP="00441B6F">
      <w:pPr>
        <w:pStyle w:val="ReferHead"/>
        <w:spacing w:after="0"/>
        <w:jc w:val="both"/>
        <w:rPr>
          <w:rFonts w:ascii="Arial" w:hAnsi="Arial" w:cs="Arial"/>
          <w:b w:val="0"/>
          <w:caps w:val="0"/>
          <w:sz w:val="20"/>
        </w:rPr>
      </w:pPr>
    </w:p>
    <w:p w14:paraId="14ED2098" w14:textId="77777777" w:rsidR="001D28CF" w:rsidRPr="009C5487" w:rsidRDefault="001D28CF" w:rsidP="001D28CF">
      <w:pPr>
        <w:rPr>
          <w:rFonts w:ascii="Calibri" w:eastAsia="Calibri" w:hAnsi="Calibri"/>
          <w:kern w:val="2"/>
          <w:highlight w:val="yellow"/>
        </w:rPr>
      </w:pPr>
      <w:bookmarkStart w:id="2" w:name="_Hlk193540946"/>
      <w:bookmarkStart w:id="3" w:name="_Hlk180402183"/>
      <w:bookmarkStart w:id="4" w:name="_Hlk183680988"/>
      <w:bookmarkStart w:id="5" w:name="_Hlk192511329"/>
      <w:r w:rsidRPr="009C5487">
        <w:rPr>
          <w:rFonts w:ascii="Calibri" w:eastAsia="Calibri" w:hAnsi="Calibri"/>
          <w:kern w:val="2"/>
          <w:highlight w:val="yellow"/>
        </w:rPr>
        <w:t>Disclaimer (Artificial intelligence)</w:t>
      </w:r>
    </w:p>
    <w:p w14:paraId="680835E4" w14:textId="77777777" w:rsidR="001D28CF" w:rsidRPr="009C5487" w:rsidRDefault="001D28CF" w:rsidP="001D28CF">
      <w:pPr>
        <w:rPr>
          <w:rFonts w:ascii="Calibri" w:eastAsia="Calibri" w:hAnsi="Calibri"/>
          <w:kern w:val="2"/>
          <w:highlight w:val="yellow"/>
        </w:rPr>
      </w:pPr>
      <w:r w:rsidRPr="009C5487">
        <w:rPr>
          <w:rFonts w:ascii="Calibri" w:eastAsia="Calibri" w:hAnsi="Calibri"/>
          <w:kern w:val="2"/>
          <w:highlight w:val="yellow"/>
        </w:rPr>
        <w:t xml:space="preserve">Option 1: </w:t>
      </w:r>
    </w:p>
    <w:p w14:paraId="1E086165" w14:textId="77777777" w:rsidR="001D28CF" w:rsidRPr="009C5487" w:rsidRDefault="001D28CF" w:rsidP="001D28CF">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428D12F1" w14:textId="77777777" w:rsidR="001D28CF" w:rsidRPr="009C5487" w:rsidRDefault="001D28CF" w:rsidP="001D28CF">
      <w:pPr>
        <w:rPr>
          <w:rFonts w:ascii="Calibri" w:eastAsia="Calibri" w:hAnsi="Calibri"/>
          <w:kern w:val="2"/>
          <w:highlight w:val="yellow"/>
        </w:rPr>
      </w:pPr>
      <w:r w:rsidRPr="009C5487">
        <w:rPr>
          <w:rFonts w:ascii="Calibri" w:eastAsia="Calibri" w:hAnsi="Calibri"/>
          <w:kern w:val="2"/>
          <w:highlight w:val="yellow"/>
        </w:rPr>
        <w:t xml:space="preserve">Option 2: </w:t>
      </w:r>
    </w:p>
    <w:p w14:paraId="391C8AAF" w14:textId="77777777" w:rsidR="001D28CF" w:rsidRPr="009C5487" w:rsidRDefault="001D28CF" w:rsidP="001D28CF">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7011AF7" w14:textId="77777777" w:rsidR="001D28CF" w:rsidRPr="009C5487" w:rsidRDefault="001D28CF" w:rsidP="001D28CF">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207442D5" w14:textId="77777777" w:rsidR="001D28CF" w:rsidRPr="009C5487" w:rsidRDefault="001D28CF" w:rsidP="001D28CF">
      <w:pPr>
        <w:rPr>
          <w:rFonts w:ascii="Calibri" w:eastAsia="Calibri" w:hAnsi="Calibri"/>
          <w:kern w:val="2"/>
          <w:highlight w:val="yellow"/>
        </w:rPr>
      </w:pPr>
      <w:r w:rsidRPr="009C5487">
        <w:rPr>
          <w:rFonts w:ascii="Calibri" w:eastAsia="Calibri" w:hAnsi="Calibri"/>
          <w:kern w:val="2"/>
          <w:highlight w:val="yellow"/>
        </w:rPr>
        <w:t>1.</w:t>
      </w:r>
    </w:p>
    <w:p w14:paraId="2734BBB3" w14:textId="77777777" w:rsidR="001D28CF" w:rsidRPr="009C5487" w:rsidRDefault="001D28CF" w:rsidP="001D28CF">
      <w:pPr>
        <w:rPr>
          <w:rFonts w:ascii="Calibri" w:eastAsia="Calibri" w:hAnsi="Calibri"/>
          <w:kern w:val="2"/>
          <w:highlight w:val="yellow"/>
        </w:rPr>
      </w:pPr>
      <w:r w:rsidRPr="009C5487">
        <w:rPr>
          <w:rFonts w:ascii="Calibri" w:eastAsia="Calibri" w:hAnsi="Calibri"/>
          <w:kern w:val="2"/>
          <w:highlight w:val="yellow"/>
        </w:rPr>
        <w:t>2.</w:t>
      </w:r>
    </w:p>
    <w:p w14:paraId="2D117F18" w14:textId="77777777" w:rsidR="001D28CF" w:rsidRPr="009C5487" w:rsidRDefault="001D28CF" w:rsidP="001D28CF">
      <w:pPr>
        <w:rPr>
          <w:rFonts w:ascii="Calibri" w:eastAsia="Calibri" w:hAnsi="Calibri"/>
          <w:kern w:val="2"/>
        </w:rPr>
      </w:pPr>
      <w:r w:rsidRPr="009C5487">
        <w:rPr>
          <w:rFonts w:ascii="Calibri" w:eastAsia="Calibri" w:hAnsi="Calibri"/>
          <w:kern w:val="2"/>
          <w:highlight w:val="yellow"/>
        </w:rPr>
        <w:t>3.</w:t>
      </w:r>
      <w:bookmarkEnd w:id="2"/>
    </w:p>
    <w:bookmarkEnd w:id="3"/>
    <w:bookmarkEnd w:id="4"/>
    <w:p w14:paraId="134596FC" w14:textId="77777777" w:rsidR="001D28CF" w:rsidRDefault="001D28CF" w:rsidP="001D28CF">
      <w:pPr>
        <w:rPr>
          <w:rFonts w:ascii="Calibri" w:eastAsia="Calibri" w:hAnsi="Calibri"/>
          <w:kern w:val="2"/>
        </w:rPr>
      </w:pPr>
      <w:r>
        <w:rPr>
          <w:rFonts w:ascii="Calibri" w:eastAsia="Calibri" w:hAnsi="Calibri"/>
          <w:kern w:val="2"/>
        </w:rPr>
        <w:tab/>
      </w:r>
    </w:p>
    <w:bookmarkEnd w:id="5"/>
    <w:p w14:paraId="04CBAE5F" w14:textId="77777777" w:rsidR="001D28CF" w:rsidRDefault="001D28CF" w:rsidP="00441B6F">
      <w:pPr>
        <w:pStyle w:val="ReferHead"/>
        <w:spacing w:after="0"/>
        <w:jc w:val="both"/>
        <w:rPr>
          <w:rFonts w:ascii="Arial" w:hAnsi="Arial" w:cs="Arial"/>
          <w:b w:val="0"/>
          <w:caps w:val="0"/>
          <w:sz w:val="20"/>
        </w:rPr>
      </w:pPr>
    </w:p>
    <w:p w14:paraId="7EF0D3B0" w14:textId="77777777" w:rsidR="005C784C" w:rsidRDefault="005C784C" w:rsidP="00441B6F">
      <w:pPr>
        <w:pStyle w:val="ReferHead"/>
        <w:spacing w:after="0"/>
        <w:jc w:val="both"/>
        <w:rPr>
          <w:rFonts w:ascii="Arial" w:hAnsi="Arial" w:cs="Arial"/>
          <w:b w:val="0"/>
          <w:caps w:val="0"/>
          <w:sz w:val="20"/>
        </w:rPr>
      </w:pPr>
    </w:p>
    <w:p w14:paraId="56E4667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41CAF15" w14:textId="3BD8443F" w:rsidR="00C36F73" w:rsidRPr="00C36F73" w:rsidRDefault="00C36F73" w:rsidP="00927D5E">
      <w:pPr>
        <w:pStyle w:val="Body"/>
        <w:spacing w:after="0"/>
        <w:rPr>
          <w:rFonts w:ascii="Arial" w:hAnsi="Arial" w:cs="Arial"/>
        </w:rPr>
      </w:pPr>
      <w:r w:rsidRPr="00C36F73">
        <w:rPr>
          <w:rFonts w:ascii="Arial" w:hAnsi="Arial" w:cs="Arial"/>
        </w:rPr>
        <w:t>1.</w:t>
      </w:r>
      <w:r w:rsidR="00CE4DAB">
        <w:rPr>
          <w:rFonts w:ascii="Arial" w:hAnsi="Arial" w:cs="Arial"/>
        </w:rPr>
        <w:t xml:space="preserve"> </w:t>
      </w:r>
      <w:r w:rsidRPr="00C36F73">
        <w:rPr>
          <w:rFonts w:ascii="Arial" w:hAnsi="Arial" w:cs="Arial"/>
        </w:rPr>
        <w:t>Schuster, B., Zink, A., &amp; Eyerich, K. Medical algorithm: Diagnosis and treatment of hypereosinophilic syndrome. Allergy, 75.</w:t>
      </w:r>
      <w:r w:rsidR="00CC2D61">
        <w:rPr>
          <w:rFonts w:ascii="Arial" w:hAnsi="Arial" w:cs="Arial"/>
        </w:rPr>
        <w:t xml:space="preserve"> </w:t>
      </w:r>
      <w:r w:rsidR="00CC2D61" w:rsidRPr="00C36F73">
        <w:rPr>
          <w:rFonts w:ascii="Arial" w:hAnsi="Arial" w:cs="Arial"/>
        </w:rPr>
        <w:t>2020</w:t>
      </w:r>
      <w:r w:rsidR="00515EE1">
        <w:rPr>
          <w:rFonts w:ascii="Arial" w:hAnsi="Arial" w:cs="Arial"/>
        </w:rPr>
        <w:t>:</w:t>
      </w:r>
      <w:r w:rsidRPr="00C36F73">
        <w:rPr>
          <w:rFonts w:ascii="Arial" w:hAnsi="Arial" w:cs="Arial"/>
        </w:rPr>
        <w:t xml:space="preserve"> https://doi.org/10.1111/all.14368.</w:t>
      </w:r>
    </w:p>
    <w:p w14:paraId="4B758BA6" w14:textId="575FEA3F" w:rsidR="00C36F73" w:rsidRPr="00C36F73" w:rsidRDefault="00C36F73" w:rsidP="00927D5E">
      <w:pPr>
        <w:pStyle w:val="Body"/>
        <w:spacing w:after="0"/>
        <w:rPr>
          <w:rFonts w:ascii="Arial" w:hAnsi="Arial" w:cs="Arial"/>
        </w:rPr>
      </w:pPr>
      <w:r w:rsidRPr="00C36F73">
        <w:rPr>
          <w:rFonts w:ascii="Arial" w:hAnsi="Arial" w:cs="Arial"/>
        </w:rPr>
        <w:t>2.</w:t>
      </w:r>
      <w:r w:rsidR="00CE4DAB">
        <w:rPr>
          <w:rFonts w:ascii="Arial" w:hAnsi="Arial" w:cs="Arial"/>
        </w:rPr>
        <w:t xml:space="preserve"> </w:t>
      </w:r>
      <w:r w:rsidRPr="00C36F73">
        <w:rPr>
          <w:rFonts w:ascii="Arial" w:hAnsi="Arial" w:cs="Arial"/>
        </w:rPr>
        <w:t xml:space="preserve">Nutman, T. Evaluation and differential diagnosis of marked, persistent </w:t>
      </w:r>
      <w:r w:rsidR="009149C2" w:rsidRPr="00C36F73">
        <w:rPr>
          <w:rFonts w:ascii="Arial" w:hAnsi="Arial" w:cs="Arial"/>
        </w:rPr>
        <w:t>eosinophilia.</w:t>
      </w:r>
      <w:r w:rsidRPr="00C36F73">
        <w:rPr>
          <w:rFonts w:ascii="Arial" w:hAnsi="Arial" w:cs="Arial"/>
        </w:rPr>
        <w:t xml:space="preserve"> Immunology and allergy clinics of North America,</w:t>
      </w:r>
      <w:r w:rsidR="006F0CDB">
        <w:rPr>
          <w:rFonts w:ascii="Arial" w:hAnsi="Arial" w:cs="Arial"/>
        </w:rPr>
        <w:t xml:space="preserve"> </w:t>
      </w:r>
      <w:r w:rsidR="006F0CDB" w:rsidRPr="00C36F73">
        <w:rPr>
          <w:rFonts w:ascii="Arial" w:hAnsi="Arial" w:cs="Arial"/>
        </w:rPr>
        <w:t>2007</w:t>
      </w:r>
      <w:r w:rsidR="006F0CDB">
        <w:rPr>
          <w:rFonts w:ascii="Arial" w:hAnsi="Arial" w:cs="Arial"/>
        </w:rPr>
        <w:t>;</w:t>
      </w:r>
      <w:r w:rsidRPr="00C36F73">
        <w:rPr>
          <w:rFonts w:ascii="Arial" w:hAnsi="Arial" w:cs="Arial"/>
        </w:rPr>
        <w:t xml:space="preserve"> 27</w:t>
      </w:r>
      <w:r w:rsidR="00515EE1">
        <w:rPr>
          <w:rFonts w:ascii="Arial" w:hAnsi="Arial" w:cs="Arial"/>
        </w:rPr>
        <w:t>(</w:t>
      </w:r>
      <w:r w:rsidRPr="00C36F73">
        <w:rPr>
          <w:rFonts w:ascii="Arial" w:hAnsi="Arial" w:cs="Arial"/>
        </w:rPr>
        <w:t>3</w:t>
      </w:r>
      <w:r w:rsidR="00515EE1">
        <w:rPr>
          <w:rFonts w:ascii="Arial" w:hAnsi="Arial" w:cs="Arial"/>
        </w:rPr>
        <w:t xml:space="preserve">): </w:t>
      </w:r>
      <w:r w:rsidRPr="00C36F73">
        <w:rPr>
          <w:rFonts w:ascii="Arial" w:hAnsi="Arial" w:cs="Arial"/>
        </w:rPr>
        <w:t>529-</w:t>
      </w:r>
      <w:r w:rsidR="009149C2" w:rsidRPr="00C36F73">
        <w:rPr>
          <w:rFonts w:ascii="Arial" w:hAnsi="Arial" w:cs="Arial"/>
        </w:rPr>
        <w:t>49.</w:t>
      </w:r>
      <w:r w:rsidRPr="00C36F73">
        <w:rPr>
          <w:rFonts w:ascii="Arial" w:hAnsi="Arial" w:cs="Arial"/>
        </w:rPr>
        <w:t xml:space="preserve"> https://doi.org/10.1016/J.IAC.2007.07.008.</w:t>
      </w:r>
    </w:p>
    <w:p w14:paraId="777B4308" w14:textId="14E1F112" w:rsidR="00C36F73" w:rsidRPr="00C36F73" w:rsidRDefault="00C36F73" w:rsidP="00927D5E">
      <w:pPr>
        <w:pStyle w:val="Body"/>
        <w:spacing w:after="0"/>
        <w:rPr>
          <w:rFonts w:ascii="Arial" w:hAnsi="Arial" w:cs="Arial"/>
        </w:rPr>
      </w:pPr>
      <w:r w:rsidRPr="00C36F73">
        <w:rPr>
          <w:rFonts w:ascii="Arial" w:hAnsi="Arial" w:cs="Arial"/>
        </w:rPr>
        <w:t>3.</w:t>
      </w:r>
      <w:r w:rsidR="00CE4DAB">
        <w:rPr>
          <w:rFonts w:ascii="Arial" w:hAnsi="Arial" w:cs="Arial"/>
        </w:rPr>
        <w:t xml:space="preserve"> </w:t>
      </w:r>
      <w:r w:rsidRPr="00C36F73">
        <w:rPr>
          <w:rFonts w:ascii="Arial" w:hAnsi="Arial" w:cs="Arial"/>
        </w:rPr>
        <w:t>Klion, A. Approach to the patient with suspected hypereosinophilic syndrome.. Hematology. American Society of Hematology. Education Program,</w:t>
      </w:r>
      <w:r w:rsidR="006F0CDB">
        <w:rPr>
          <w:rFonts w:ascii="Arial" w:hAnsi="Arial" w:cs="Arial"/>
        </w:rPr>
        <w:t xml:space="preserve"> </w:t>
      </w:r>
      <w:r w:rsidR="006F0CDB" w:rsidRPr="00C36F73">
        <w:rPr>
          <w:rFonts w:ascii="Arial" w:hAnsi="Arial" w:cs="Arial"/>
        </w:rPr>
        <w:t>2022</w:t>
      </w:r>
      <w:r w:rsidR="006F0CDB">
        <w:rPr>
          <w:rFonts w:ascii="Arial" w:hAnsi="Arial" w:cs="Arial"/>
        </w:rPr>
        <w:t>;</w:t>
      </w:r>
      <w:r w:rsidRPr="00C36F73">
        <w:rPr>
          <w:rFonts w:ascii="Arial" w:hAnsi="Arial" w:cs="Arial"/>
        </w:rPr>
        <w:t xml:space="preserve"> 1</w:t>
      </w:r>
      <w:r w:rsidR="00C9200F">
        <w:rPr>
          <w:rFonts w:ascii="Arial" w:hAnsi="Arial" w:cs="Arial"/>
        </w:rPr>
        <w:t>:</w:t>
      </w:r>
      <w:r w:rsidRPr="00C36F73">
        <w:rPr>
          <w:rFonts w:ascii="Arial" w:hAnsi="Arial" w:cs="Arial"/>
        </w:rPr>
        <w:t xml:space="preserve"> 47-</w:t>
      </w:r>
      <w:r w:rsidR="009149C2" w:rsidRPr="00C36F73">
        <w:rPr>
          <w:rFonts w:ascii="Arial" w:hAnsi="Arial" w:cs="Arial"/>
        </w:rPr>
        <w:t>54.</w:t>
      </w:r>
      <w:r w:rsidRPr="00C36F73">
        <w:rPr>
          <w:rFonts w:ascii="Arial" w:hAnsi="Arial" w:cs="Arial"/>
        </w:rPr>
        <w:t xml:space="preserve"> https://doi.org/10.1182/hematology.2022000367.</w:t>
      </w:r>
    </w:p>
    <w:p w14:paraId="4EC7810B" w14:textId="7CEA6D09" w:rsidR="00C36F73" w:rsidRPr="00C36F73" w:rsidRDefault="00C36F73" w:rsidP="00927D5E">
      <w:pPr>
        <w:pStyle w:val="Body"/>
        <w:spacing w:after="0"/>
        <w:rPr>
          <w:rFonts w:ascii="Arial" w:hAnsi="Arial" w:cs="Arial"/>
        </w:rPr>
      </w:pPr>
      <w:r w:rsidRPr="00C36F73">
        <w:rPr>
          <w:rFonts w:ascii="Arial" w:hAnsi="Arial" w:cs="Arial"/>
        </w:rPr>
        <w:lastRenderedPageBreak/>
        <w:t>4.</w:t>
      </w:r>
      <w:r w:rsidR="00CE4DAB">
        <w:rPr>
          <w:rFonts w:ascii="Arial" w:hAnsi="Arial" w:cs="Arial"/>
        </w:rPr>
        <w:t xml:space="preserve"> </w:t>
      </w:r>
      <w:r w:rsidRPr="00C36F73">
        <w:rPr>
          <w:rFonts w:ascii="Arial" w:hAnsi="Arial" w:cs="Arial"/>
        </w:rPr>
        <w:t xml:space="preserve">Klion, A. Approach to the patient with suspected hypereosinophilic </w:t>
      </w:r>
      <w:r w:rsidR="009149C2" w:rsidRPr="00C36F73">
        <w:rPr>
          <w:rFonts w:ascii="Arial" w:hAnsi="Arial" w:cs="Arial"/>
        </w:rPr>
        <w:t>syndrome.</w:t>
      </w:r>
      <w:r w:rsidRPr="00C36F73">
        <w:rPr>
          <w:rFonts w:ascii="Arial" w:hAnsi="Arial" w:cs="Arial"/>
        </w:rPr>
        <w:t xml:space="preserve"> Hematology. American Society of Hematology. Education Program, 2022</w:t>
      </w:r>
      <w:r w:rsidR="00C9200F">
        <w:rPr>
          <w:rFonts w:ascii="Arial" w:hAnsi="Arial" w:cs="Arial"/>
        </w:rPr>
        <w:t>;</w:t>
      </w:r>
      <w:r w:rsidRPr="00C36F73">
        <w:rPr>
          <w:rFonts w:ascii="Arial" w:hAnsi="Arial" w:cs="Arial"/>
        </w:rPr>
        <w:t xml:space="preserve"> 1</w:t>
      </w:r>
      <w:r w:rsidR="00C9200F">
        <w:rPr>
          <w:rFonts w:ascii="Arial" w:hAnsi="Arial" w:cs="Arial"/>
        </w:rPr>
        <w:t>:</w:t>
      </w:r>
      <w:r w:rsidRPr="00C36F73">
        <w:rPr>
          <w:rFonts w:ascii="Arial" w:hAnsi="Arial" w:cs="Arial"/>
        </w:rPr>
        <w:t xml:space="preserve"> 47-54. https://doi.org/10.1182/hematology.2022000367.</w:t>
      </w:r>
    </w:p>
    <w:p w14:paraId="56AE55A4" w14:textId="77F89C6E" w:rsidR="00C36F73" w:rsidRPr="00C36F73" w:rsidRDefault="00C36F73" w:rsidP="00927D5E">
      <w:pPr>
        <w:pStyle w:val="Body"/>
        <w:spacing w:after="0"/>
        <w:rPr>
          <w:rFonts w:ascii="Arial" w:hAnsi="Arial" w:cs="Arial"/>
        </w:rPr>
      </w:pPr>
      <w:r w:rsidRPr="00C36F73">
        <w:rPr>
          <w:rFonts w:ascii="Arial" w:hAnsi="Arial" w:cs="Arial"/>
        </w:rPr>
        <w:t>5.</w:t>
      </w:r>
      <w:r w:rsidR="00CE4DAB">
        <w:rPr>
          <w:rFonts w:ascii="Arial" w:hAnsi="Arial" w:cs="Arial"/>
        </w:rPr>
        <w:t xml:space="preserve"> </w:t>
      </w:r>
      <w:r w:rsidRPr="00C36F73">
        <w:rPr>
          <w:rFonts w:ascii="Arial" w:hAnsi="Arial" w:cs="Arial"/>
        </w:rPr>
        <w:t xml:space="preserve">Valent, P., Klion, A., Roufosse, F., Simon, D., Metzgeroth, G., Leiferman, K., Schwaab, J., Butterfield, J., Sperr, W., Sotlar, K., Vandenberghe, P., Hoermann, G., Haferlach, T., Moriggl, R., George, T., Akin, C., Bochner, B., Gotlib, J., Reiter, A., Horny, H., Arock, M., Simon, H., &amp; Gleich, G. Proposed refined diagnostic criteria and classification of eosinophil disorders and related syndromes. Allergy, </w:t>
      </w:r>
      <w:r w:rsidR="006F0CDB" w:rsidRPr="00C36F73">
        <w:rPr>
          <w:rFonts w:ascii="Arial" w:hAnsi="Arial" w:cs="Arial"/>
        </w:rPr>
        <w:t>2022</w:t>
      </w:r>
      <w:r w:rsidR="006F0CDB">
        <w:rPr>
          <w:rFonts w:ascii="Arial" w:hAnsi="Arial" w:cs="Arial"/>
        </w:rPr>
        <w:t xml:space="preserve">; </w:t>
      </w:r>
      <w:r w:rsidRPr="00C36F73">
        <w:rPr>
          <w:rFonts w:ascii="Arial" w:hAnsi="Arial" w:cs="Arial"/>
        </w:rPr>
        <w:t>78</w:t>
      </w:r>
      <w:r w:rsidR="00C9200F">
        <w:rPr>
          <w:rFonts w:ascii="Arial" w:hAnsi="Arial" w:cs="Arial"/>
        </w:rPr>
        <w:t>:</w:t>
      </w:r>
      <w:r w:rsidRPr="00C36F73">
        <w:rPr>
          <w:rFonts w:ascii="Arial" w:hAnsi="Arial" w:cs="Arial"/>
        </w:rPr>
        <w:t xml:space="preserve"> 47-59. https://doi.org/10.1111/all.15544.</w:t>
      </w:r>
    </w:p>
    <w:p w14:paraId="79185BD3" w14:textId="5C07E48C" w:rsidR="00C36F73" w:rsidRPr="00C36F73" w:rsidRDefault="00C36F73" w:rsidP="00927D5E">
      <w:pPr>
        <w:pStyle w:val="Body"/>
        <w:spacing w:after="0"/>
        <w:rPr>
          <w:rFonts w:ascii="Arial" w:hAnsi="Arial" w:cs="Arial"/>
        </w:rPr>
      </w:pPr>
      <w:r w:rsidRPr="00C36F73">
        <w:rPr>
          <w:rFonts w:ascii="Arial" w:hAnsi="Arial" w:cs="Arial"/>
        </w:rPr>
        <w:t>6.</w:t>
      </w:r>
      <w:r w:rsidR="00CE4DAB">
        <w:rPr>
          <w:rFonts w:ascii="Arial" w:hAnsi="Arial" w:cs="Arial"/>
        </w:rPr>
        <w:t xml:space="preserve"> </w:t>
      </w:r>
      <w:r w:rsidRPr="00C36F73">
        <w:rPr>
          <w:rFonts w:ascii="Arial" w:hAnsi="Arial" w:cs="Arial"/>
        </w:rPr>
        <w:t>Chan, N., Litwok, Y., Boutis, L., &amp; Makaryus, J. SPECT myocardial perfusion imaging findings in a patient with hypereosinophilic myocarditis. Journal of Nuclear Cardiology,</w:t>
      </w:r>
      <w:r w:rsidR="006F0CDB">
        <w:rPr>
          <w:rFonts w:ascii="Arial" w:hAnsi="Arial" w:cs="Arial"/>
        </w:rPr>
        <w:t xml:space="preserve"> </w:t>
      </w:r>
      <w:r w:rsidR="006F0CDB" w:rsidRPr="00C36F73">
        <w:rPr>
          <w:rFonts w:ascii="Arial" w:hAnsi="Arial" w:cs="Arial"/>
        </w:rPr>
        <w:t>2019</w:t>
      </w:r>
      <w:r w:rsidR="006F0CDB">
        <w:rPr>
          <w:rFonts w:ascii="Arial" w:hAnsi="Arial" w:cs="Arial"/>
        </w:rPr>
        <w:t>;</w:t>
      </w:r>
      <w:r w:rsidRPr="00C36F73">
        <w:rPr>
          <w:rFonts w:ascii="Arial" w:hAnsi="Arial" w:cs="Arial"/>
        </w:rPr>
        <w:t xml:space="preserve"> 27</w:t>
      </w:r>
      <w:r w:rsidR="00C9200F">
        <w:rPr>
          <w:rFonts w:ascii="Arial" w:hAnsi="Arial" w:cs="Arial"/>
        </w:rPr>
        <w:t>:</w:t>
      </w:r>
      <w:r w:rsidRPr="00C36F73">
        <w:rPr>
          <w:rFonts w:ascii="Arial" w:hAnsi="Arial" w:cs="Arial"/>
        </w:rPr>
        <w:t xml:space="preserve"> 686-7. https://doi.org/10.1007/s12350-019-01612-3.</w:t>
      </w:r>
    </w:p>
    <w:p w14:paraId="3687B965" w14:textId="6813581C" w:rsidR="00C36F73" w:rsidRPr="00C36F73" w:rsidRDefault="00C36F73" w:rsidP="00927D5E">
      <w:pPr>
        <w:pStyle w:val="Body"/>
        <w:spacing w:after="0"/>
        <w:rPr>
          <w:rFonts w:ascii="Arial" w:hAnsi="Arial" w:cs="Arial"/>
        </w:rPr>
      </w:pPr>
      <w:r w:rsidRPr="00C36F73">
        <w:rPr>
          <w:rFonts w:ascii="Arial" w:hAnsi="Arial" w:cs="Arial"/>
        </w:rPr>
        <w:t>7.</w:t>
      </w:r>
      <w:r w:rsidR="00CE4DAB">
        <w:rPr>
          <w:rFonts w:ascii="Arial" w:hAnsi="Arial" w:cs="Arial"/>
        </w:rPr>
        <w:t xml:space="preserve"> </w:t>
      </w:r>
      <w:r w:rsidRPr="00C36F73">
        <w:rPr>
          <w:rFonts w:ascii="Arial" w:hAnsi="Arial" w:cs="Arial"/>
        </w:rPr>
        <w:t>Wang, S. The Diagnostic Work-Up of Hypereosinophilia. Pathobiology,</w:t>
      </w:r>
      <w:r w:rsidR="006F0CDB">
        <w:rPr>
          <w:rFonts w:ascii="Arial" w:hAnsi="Arial" w:cs="Arial"/>
        </w:rPr>
        <w:t xml:space="preserve"> </w:t>
      </w:r>
      <w:r w:rsidR="006F0CDB" w:rsidRPr="00C36F73">
        <w:rPr>
          <w:rFonts w:ascii="Arial" w:hAnsi="Arial" w:cs="Arial"/>
        </w:rPr>
        <w:t>2018</w:t>
      </w:r>
      <w:r w:rsidR="006F0CDB">
        <w:rPr>
          <w:rFonts w:ascii="Arial" w:hAnsi="Arial" w:cs="Arial"/>
        </w:rPr>
        <w:t>;</w:t>
      </w:r>
      <w:r w:rsidRPr="00C36F73">
        <w:rPr>
          <w:rFonts w:ascii="Arial" w:hAnsi="Arial" w:cs="Arial"/>
        </w:rPr>
        <w:t xml:space="preserve"> 86</w:t>
      </w:r>
      <w:r w:rsidR="00C9200F">
        <w:rPr>
          <w:rFonts w:ascii="Arial" w:hAnsi="Arial" w:cs="Arial"/>
        </w:rPr>
        <w:t>:</w:t>
      </w:r>
      <w:r w:rsidRPr="00C36F73">
        <w:rPr>
          <w:rFonts w:ascii="Arial" w:hAnsi="Arial" w:cs="Arial"/>
        </w:rPr>
        <w:t xml:space="preserve"> 39-52. https://doi.org/10.1159/000489341.</w:t>
      </w:r>
    </w:p>
    <w:p w14:paraId="0FE02864" w14:textId="75FBA55E" w:rsidR="00C36F73" w:rsidRPr="00C36F73" w:rsidRDefault="00C36F73" w:rsidP="00927D5E">
      <w:pPr>
        <w:pStyle w:val="Body"/>
        <w:spacing w:after="0"/>
        <w:rPr>
          <w:rFonts w:ascii="Arial" w:hAnsi="Arial" w:cs="Arial"/>
        </w:rPr>
      </w:pPr>
      <w:r w:rsidRPr="00C36F73">
        <w:rPr>
          <w:rFonts w:ascii="Arial" w:hAnsi="Arial" w:cs="Arial"/>
        </w:rPr>
        <w:t>8.</w:t>
      </w:r>
      <w:r w:rsidR="00CE4DAB">
        <w:rPr>
          <w:rFonts w:ascii="Arial" w:hAnsi="Arial" w:cs="Arial"/>
        </w:rPr>
        <w:t xml:space="preserve"> </w:t>
      </w:r>
      <w:r w:rsidRPr="00C36F73">
        <w:rPr>
          <w:rFonts w:ascii="Arial" w:hAnsi="Arial" w:cs="Arial"/>
        </w:rPr>
        <w:t xml:space="preserve">Klion, A. Approach to the therapy of hypereosinophilic </w:t>
      </w:r>
      <w:r w:rsidR="009149C2" w:rsidRPr="00C36F73">
        <w:rPr>
          <w:rFonts w:ascii="Arial" w:hAnsi="Arial" w:cs="Arial"/>
        </w:rPr>
        <w:t>syndromes.</w:t>
      </w:r>
      <w:r w:rsidRPr="00C36F73">
        <w:rPr>
          <w:rFonts w:ascii="Arial" w:hAnsi="Arial" w:cs="Arial"/>
        </w:rPr>
        <w:t xml:space="preserve"> Immunology and allergy clinics of North America,</w:t>
      </w:r>
      <w:r w:rsidR="006F0CDB">
        <w:rPr>
          <w:rFonts w:ascii="Arial" w:hAnsi="Arial" w:cs="Arial"/>
        </w:rPr>
        <w:t xml:space="preserve"> </w:t>
      </w:r>
      <w:r w:rsidR="006F0CDB" w:rsidRPr="00C36F73">
        <w:rPr>
          <w:rFonts w:ascii="Arial" w:hAnsi="Arial" w:cs="Arial"/>
        </w:rPr>
        <w:t>2007</w:t>
      </w:r>
      <w:r w:rsidR="006F0CDB">
        <w:rPr>
          <w:rFonts w:ascii="Arial" w:hAnsi="Arial" w:cs="Arial"/>
        </w:rPr>
        <w:t xml:space="preserve">; </w:t>
      </w:r>
      <w:r w:rsidRPr="00C36F73">
        <w:rPr>
          <w:rFonts w:ascii="Arial" w:hAnsi="Arial" w:cs="Arial"/>
        </w:rPr>
        <w:t xml:space="preserve">27 </w:t>
      </w:r>
      <w:r w:rsidR="00C9200F">
        <w:rPr>
          <w:rFonts w:ascii="Arial" w:hAnsi="Arial" w:cs="Arial"/>
        </w:rPr>
        <w:t>(</w:t>
      </w:r>
      <w:r w:rsidRPr="00C36F73">
        <w:rPr>
          <w:rFonts w:ascii="Arial" w:hAnsi="Arial" w:cs="Arial"/>
        </w:rPr>
        <w:t>3</w:t>
      </w:r>
      <w:r w:rsidR="00C9200F">
        <w:rPr>
          <w:rFonts w:ascii="Arial" w:hAnsi="Arial" w:cs="Arial"/>
        </w:rPr>
        <w:t>9):</w:t>
      </w:r>
      <w:r w:rsidRPr="00C36F73">
        <w:rPr>
          <w:rFonts w:ascii="Arial" w:hAnsi="Arial" w:cs="Arial"/>
        </w:rPr>
        <w:t xml:space="preserve"> 551-60. https://doi.org/10.1016/J.IAC.2007.07.006.</w:t>
      </w:r>
    </w:p>
    <w:p w14:paraId="257A4FDC" w14:textId="4AE8026E" w:rsidR="00C36F73" w:rsidRPr="00C36F73" w:rsidRDefault="00C36F73" w:rsidP="00927D5E">
      <w:pPr>
        <w:pStyle w:val="Body"/>
        <w:spacing w:after="0"/>
        <w:rPr>
          <w:rFonts w:ascii="Arial" w:hAnsi="Arial" w:cs="Arial"/>
        </w:rPr>
      </w:pPr>
      <w:r w:rsidRPr="00C36F73">
        <w:rPr>
          <w:rFonts w:ascii="Arial" w:hAnsi="Arial" w:cs="Arial"/>
        </w:rPr>
        <w:t>9.</w:t>
      </w:r>
      <w:r w:rsidR="00CE4DAB">
        <w:rPr>
          <w:rFonts w:ascii="Arial" w:hAnsi="Arial" w:cs="Arial"/>
        </w:rPr>
        <w:t xml:space="preserve"> </w:t>
      </w:r>
      <w:r w:rsidRPr="00C36F73">
        <w:rPr>
          <w:rFonts w:ascii="Arial" w:hAnsi="Arial" w:cs="Arial"/>
        </w:rPr>
        <w:t>Li, L., Xue, C., &amp; Luo, W. [Clinical analysis of 90 cases of eosinophilia and pulmonary infiltrates with peripheral eosinophilia</w:t>
      </w:r>
      <w:r w:rsidR="009149C2" w:rsidRPr="00C36F73">
        <w:rPr>
          <w:rFonts w:ascii="Arial" w:hAnsi="Arial" w:cs="Arial"/>
        </w:rPr>
        <w:t>].</w:t>
      </w:r>
      <w:r w:rsidRPr="00C36F73">
        <w:rPr>
          <w:rFonts w:ascii="Arial" w:hAnsi="Arial" w:cs="Arial"/>
        </w:rPr>
        <w:t xml:space="preserve"> Zhonghua nei ke za zhi,</w:t>
      </w:r>
      <w:r w:rsidR="00F22F66">
        <w:rPr>
          <w:rFonts w:ascii="Arial" w:hAnsi="Arial" w:cs="Arial"/>
        </w:rPr>
        <w:t xml:space="preserve"> </w:t>
      </w:r>
      <w:r w:rsidR="00F22F66" w:rsidRPr="00C36F73">
        <w:rPr>
          <w:rFonts w:ascii="Arial" w:hAnsi="Arial" w:cs="Arial"/>
        </w:rPr>
        <w:t>1990</w:t>
      </w:r>
      <w:r w:rsidR="00F22F66">
        <w:rPr>
          <w:rFonts w:ascii="Arial" w:hAnsi="Arial" w:cs="Arial"/>
        </w:rPr>
        <w:t>;</w:t>
      </w:r>
      <w:r w:rsidRPr="00C36F73">
        <w:rPr>
          <w:rFonts w:ascii="Arial" w:hAnsi="Arial" w:cs="Arial"/>
        </w:rPr>
        <w:t xml:space="preserve"> 29 </w:t>
      </w:r>
      <w:r w:rsidR="007F2102">
        <w:rPr>
          <w:rFonts w:ascii="Arial" w:hAnsi="Arial" w:cs="Arial"/>
        </w:rPr>
        <w:t>(</w:t>
      </w:r>
      <w:r w:rsidRPr="00C36F73">
        <w:rPr>
          <w:rFonts w:ascii="Arial" w:hAnsi="Arial" w:cs="Arial"/>
        </w:rPr>
        <w:t>11</w:t>
      </w:r>
      <w:r w:rsidR="007F2102">
        <w:rPr>
          <w:rFonts w:ascii="Arial" w:hAnsi="Arial" w:cs="Arial"/>
        </w:rPr>
        <w:t>):</w:t>
      </w:r>
      <w:r w:rsidRPr="00C36F73">
        <w:rPr>
          <w:rFonts w:ascii="Arial" w:hAnsi="Arial" w:cs="Arial"/>
        </w:rPr>
        <w:t xml:space="preserve"> 659-62.</w:t>
      </w:r>
    </w:p>
    <w:p w14:paraId="605661FE" w14:textId="1CC9DF37" w:rsidR="00C36F73" w:rsidRPr="00C36F73" w:rsidRDefault="00C36F73" w:rsidP="00927D5E">
      <w:pPr>
        <w:pStyle w:val="Body"/>
        <w:spacing w:after="0"/>
        <w:rPr>
          <w:rFonts w:ascii="Arial" w:hAnsi="Arial" w:cs="Arial"/>
        </w:rPr>
      </w:pPr>
      <w:r w:rsidRPr="00C36F73">
        <w:rPr>
          <w:rFonts w:ascii="Arial" w:hAnsi="Arial" w:cs="Arial"/>
        </w:rPr>
        <w:t>10.</w:t>
      </w:r>
      <w:r w:rsidR="00CE4DAB">
        <w:rPr>
          <w:rFonts w:ascii="Arial" w:hAnsi="Arial" w:cs="Arial"/>
        </w:rPr>
        <w:t xml:space="preserve"> </w:t>
      </w:r>
      <w:r w:rsidRPr="00C36F73">
        <w:rPr>
          <w:rFonts w:ascii="Arial" w:hAnsi="Arial" w:cs="Arial"/>
        </w:rPr>
        <w:t>Zimmermann, N., &amp; Wikenheiser-Brokamp, K. A. Hypereosinophilic syndrome in the differential diagnosis of pulmonary infiltrates with eosinophilia. Annals of allergy, asthma &amp; immunology: official publication of the American College of Allergy, Asthma, &amp; Immunology,</w:t>
      </w:r>
      <w:r w:rsidR="007F2102">
        <w:rPr>
          <w:rFonts w:ascii="Arial" w:hAnsi="Arial" w:cs="Arial"/>
        </w:rPr>
        <w:t xml:space="preserve"> </w:t>
      </w:r>
      <w:r w:rsidR="007F2102" w:rsidRPr="00C36F73">
        <w:rPr>
          <w:rFonts w:ascii="Arial" w:hAnsi="Arial" w:cs="Arial"/>
        </w:rPr>
        <w:t>2018</w:t>
      </w:r>
      <w:r w:rsidR="007F2102">
        <w:rPr>
          <w:rFonts w:ascii="Arial" w:hAnsi="Arial" w:cs="Arial"/>
        </w:rPr>
        <w:t>;</w:t>
      </w:r>
      <w:r w:rsidRPr="00C36F73">
        <w:rPr>
          <w:rFonts w:ascii="Arial" w:hAnsi="Arial" w:cs="Arial"/>
        </w:rPr>
        <w:t xml:space="preserve"> 121(2)</w:t>
      </w:r>
      <w:r w:rsidR="007F2102">
        <w:rPr>
          <w:rFonts w:ascii="Arial" w:hAnsi="Arial" w:cs="Arial"/>
        </w:rPr>
        <w:t>:</w:t>
      </w:r>
      <w:r w:rsidRPr="00C36F73">
        <w:rPr>
          <w:rFonts w:ascii="Arial" w:hAnsi="Arial" w:cs="Arial"/>
        </w:rPr>
        <w:t xml:space="preserve"> 179–85. https://doi.org/10.1016/j.anai.2018.05.014</w:t>
      </w:r>
    </w:p>
    <w:p w14:paraId="6CFA3A84" w14:textId="75C40F58" w:rsidR="00C36F73" w:rsidRPr="00C36F73" w:rsidRDefault="00C36F73" w:rsidP="00927D5E">
      <w:pPr>
        <w:pStyle w:val="Body"/>
        <w:spacing w:after="0"/>
        <w:rPr>
          <w:rFonts w:ascii="Arial" w:hAnsi="Arial" w:cs="Arial"/>
        </w:rPr>
      </w:pPr>
      <w:r w:rsidRPr="00C36F73">
        <w:rPr>
          <w:rFonts w:ascii="Arial" w:hAnsi="Arial" w:cs="Arial"/>
        </w:rPr>
        <w:t>11.</w:t>
      </w:r>
      <w:r w:rsidR="00CE4DAB">
        <w:rPr>
          <w:rFonts w:ascii="Arial" w:hAnsi="Arial" w:cs="Arial"/>
        </w:rPr>
        <w:t xml:space="preserve"> </w:t>
      </w:r>
      <w:r w:rsidRPr="00C36F73">
        <w:rPr>
          <w:rFonts w:ascii="Arial" w:hAnsi="Arial" w:cs="Arial"/>
        </w:rPr>
        <w:t>Dulohery, M. M., Patel, R. R., Schneider, F., &amp; Ryu, J. H. Lung involvement in hypereosinophilic syndromes. Respiratory medicine,</w:t>
      </w:r>
      <w:r w:rsidR="00F22F66">
        <w:rPr>
          <w:rFonts w:ascii="Arial" w:hAnsi="Arial" w:cs="Arial"/>
        </w:rPr>
        <w:t xml:space="preserve"> </w:t>
      </w:r>
      <w:r w:rsidR="00F22F66" w:rsidRPr="00C36F73">
        <w:rPr>
          <w:rFonts w:ascii="Arial" w:hAnsi="Arial" w:cs="Arial"/>
        </w:rPr>
        <w:t>2011</w:t>
      </w:r>
      <w:r w:rsidR="00F22F66">
        <w:rPr>
          <w:rFonts w:ascii="Arial" w:hAnsi="Arial" w:cs="Arial"/>
        </w:rPr>
        <w:t>;</w:t>
      </w:r>
      <w:r w:rsidRPr="00C36F73">
        <w:rPr>
          <w:rFonts w:ascii="Arial" w:hAnsi="Arial" w:cs="Arial"/>
        </w:rPr>
        <w:t xml:space="preserve"> 105(1)</w:t>
      </w:r>
      <w:r w:rsidR="008641FA">
        <w:rPr>
          <w:rFonts w:ascii="Arial" w:hAnsi="Arial" w:cs="Arial"/>
        </w:rPr>
        <w:t>:</w:t>
      </w:r>
      <w:r w:rsidRPr="00C36F73">
        <w:rPr>
          <w:rFonts w:ascii="Arial" w:hAnsi="Arial" w:cs="Arial"/>
        </w:rPr>
        <w:t xml:space="preserve"> 114–21. https://doi.org/10.1016/j.rmed.2010.09.011</w:t>
      </w:r>
    </w:p>
    <w:p w14:paraId="56A3D3B6" w14:textId="37C951FD" w:rsidR="00C36F73" w:rsidRPr="00C36F73" w:rsidRDefault="00C36F73" w:rsidP="00927D5E">
      <w:pPr>
        <w:pStyle w:val="Body"/>
        <w:spacing w:after="0"/>
        <w:rPr>
          <w:rFonts w:ascii="Arial" w:hAnsi="Arial" w:cs="Arial"/>
        </w:rPr>
      </w:pPr>
      <w:r w:rsidRPr="00C36F73">
        <w:rPr>
          <w:rFonts w:ascii="Arial" w:hAnsi="Arial" w:cs="Arial"/>
        </w:rPr>
        <w:t>12.</w:t>
      </w:r>
      <w:r w:rsidR="00CE4DAB">
        <w:rPr>
          <w:rFonts w:ascii="Arial" w:hAnsi="Arial" w:cs="Arial"/>
        </w:rPr>
        <w:t xml:space="preserve"> </w:t>
      </w:r>
      <w:r w:rsidRPr="00C36F73">
        <w:rPr>
          <w:rFonts w:ascii="Arial" w:hAnsi="Arial" w:cs="Arial"/>
        </w:rPr>
        <w:t>Sundaresan, D., &amp; Sreedharanunni, S. Laboratory Workup of Hypereosinophilia. Indian Journal of Medical and Paediatric Oncology,</w:t>
      </w:r>
      <w:r w:rsidR="00F22F66">
        <w:rPr>
          <w:rFonts w:ascii="Arial" w:hAnsi="Arial" w:cs="Arial"/>
        </w:rPr>
        <w:t xml:space="preserve"> </w:t>
      </w:r>
      <w:r w:rsidR="00F22F66" w:rsidRPr="00C36F73">
        <w:rPr>
          <w:rFonts w:ascii="Arial" w:hAnsi="Arial" w:cs="Arial"/>
        </w:rPr>
        <w:t>2023</w:t>
      </w:r>
      <w:r w:rsidR="00F22F66">
        <w:rPr>
          <w:rFonts w:ascii="Arial" w:hAnsi="Arial" w:cs="Arial"/>
        </w:rPr>
        <w:t>;</w:t>
      </w:r>
      <w:r w:rsidRPr="00C36F73">
        <w:rPr>
          <w:rFonts w:ascii="Arial" w:hAnsi="Arial" w:cs="Arial"/>
        </w:rPr>
        <w:t xml:space="preserve"> 44</w:t>
      </w:r>
      <w:r w:rsidR="008641FA">
        <w:rPr>
          <w:rFonts w:ascii="Arial" w:hAnsi="Arial" w:cs="Arial"/>
        </w:rPr>
        <w:t>:</w:t>
      </w:r>
      <w:r w:rsidRPr="00C36F73">
        <w:rPr>
          <w:rFonts w:ascii="Arial" w:hAnsi="Arial" w:cs="Arial"/>
        </w:rPr>
        <w:t xml:space="preserve"> 602-10. https://doi.org/10.1055/s-0043-1761261.</w:t>
      </w:r>
    </w:p>
    <w:p w14:paraId="65FDCD66" w14:textId="45506D97" w:rsidR="00C36F73" w:rsidRPr="00C36F73" w:rsidRDefault="00C36F73" w:rsidP="00927D5E">
      <w:pPr>
        <w:pStyle w:val="Body"/>
        <w:spacing w:after="0"/>
        <w:rPr>
          <w:rFonts w:ascii="Arial" w:hAnsi="Arial" w:cs="Arial"/>
        </w:rPr>
      </w:pPr>
      <w:r w:rsidRPr="00C36F73">
        <w:rPr>
          <w:rFonts w:ascii="Arial" w:hAnsi="Arial" w:cs="Arial"/>
        </w:rPr>
        <w:t>13.</w:t>
      </w:r>
      <w:r w:rsidR="00CE4DAB">
        <w:rPr>
          <w:rFonts w:ascii="Arial" w:hAnsi="Arial" w:cs="Arial"/>
        </w:rPr>
        <w:t xml:space="preserve"> </w:t>
      </w:r>
      <w:r w:rsidRPr="00C36F73">
        <w:rPr>
          <w:rFonts w:ascii="Arial" w:hAnsi="Arial" w:cs="Arial"/>
        </w:rPr>
        <w:t>Valent, P., Degenfeld-Schonburg, L., Sadovnik, I., Horny, H., Arock, M., Simon, H., Reiter, A., &amp; Bochner, B. Eosinophils and eosinophil-associated disorders: immunological, clinical, and molecular complexity. Seminars in Immunopathology,</w:t>
      </w:r>
      <w:r w:rsidR="00F22F66">
        <w:rPr>
          <w:rFonts w:ascii="Arial" w:hAnsi="Arial" w:cs="Arial"/>
        </w:rPr>
        <w:t xml:space="preserve"> </w:t>
      </w:r>
      <w:r w:rsidR="00F22F66" w:rsidRPr="00C36F73">
        <w:rPr>
          <w:rFonts w:ascii="Arial" w:hAnsi="Arial" w:cs="Arial"/>
        </w:rPr>
        <w:t>2021</w:t>
      </w:r>
      <w:r w:rsidR="00F22F66">
        <w:rPr>
          <w:rFonts w:ascii="Arial" w:hAnsi="Arial" w:cs="Arial"/>
        </w:rPr>
        <w:t>;</w:t>
      </w:r>
      <w:r w:rsidRPr="00C36F73">
        <w:rPr>
          <w:rFonts w:ascii="Arial" w:hAnsi="Arial" w:cs="Arial"/>
        </w:rPr>
        <w:t xml:space="preserve"> 43</w:t>
      </w:r>
      <w:r w:rsidR="008641FA">
        <w:rPr>
          <w:rFonts w:ascii="Arial" w:hAnsi="Arial" w:cs="Arial"/>
        </w:rPr>
        <w:t>:</w:t>
      </w:r>
      <w:r w:rsidRPr="00C36F73">
        <w:rPr>
          <w:rFonts w:ascii="Arial" w:hAnsi="Arial" w:cs="Arial"/>
        </w:rPr>
        <w:t xml:space="preserve"> 423-38. https://doi.org/10.1007/s00281-021-00863-y.</w:t>
      </w:r>
    </w:p>
    <w:p w14:paraId="54BDAB8E" w14:textId="170AA724" w:rsidR="00C36F73" w:rsidRPr="00C36F73" w:rsidRDefault="00C36F73" w:rsidP="00927D5E">
      <w:pPr>
        <w:pStyle w:val="Body"/>
        <w:spacing w:after="0"/>
        <w:rPr>
          <w:rFonts w:ascii="Arial" w:hAnsi="Arial" w:cs="Arial"/>
        </w:rPr>
      </w:pPr>
      <w:r w:rsidRPr="00C36F73">
        <w:rPr>
          <w:rFonts w:ascii="Arial" w:hAnsi="Arial" w:cs="Arial"/>
        </w:rPr>
        <w:t>14.</w:t>
      </w:r>
      <w:r w:rsidR="00CE4DAB">
        <w:rPr>
          <w:rFonts w:ascii="Arial" w:hAnsi="Arial" w:cs="Arial"/>
        </w:rPr>
        <w:t xml:space="preserve"> </w:t>
      </w:r>
      <w:r w:rsidRPr="00C36F73">
        <w:rPr>
          <w:rFonts w:ascii="Arial" w:hAnsi="Arial" w:cs="Arial"/>
        </w:rPr>
        <w:t xml:space="preserve">Guo, C., &amp; Bochner, B. Workup for </w:t>
      </w:r>
      <w:r w:rsidR="009149C2" w:rsidRPr="00C36F73">
        <w:rPr>
          <w:rFonts w:ascii="Arial" w:hAnsi="Arial" w:cs="Arial"/>
        </w:rPr>
        <w:t>eosinophilia.</w:t>
      </w:r>
      <w:r w:rsidRPr="00C36F73">
        <w:rPr>
          <w:rFonts w:ascii="Arial" w:hAnsi="Arial" w:cs="Arial"/>
        </w:rPr>
        <w:t xml:space="preserve"> Allergy and asthma proceedings,</w:t>
      </w:r>
      <w:r w:rsidR="00F22F66">
        <w:rPr>
          <w:rFonts w:ascii="Arial" w:hAnsi="Arial" w:cs="Arial"/>
        </w:rPr>
        <w:t xml:space="preserve"> </w:t>
      </w:r>
      <w:r w:rsidR="00F22F66" w:rsidRPr="00C36F73">
        <w:rPr>
          <w:rFonts w:ascii="Arial" w:hAnsi="Arial" w:cs="Arial"/>
        </w:rPr>
        <w:t>2019</w:t>
      </w:r>
      <w:r w:rsidR="00F22F66">
        <w:rPr>
          <w:rFonts w:ascii="Arial" w:hAnsi="Arial" w:cs="Arial"/>
        </w:rPr>
        <w:t>;</w:t>
      </w:r>
      <w:r w:rsidRPr="00C36F73">
        <w:rPr>
          <w:rFonts w:ascii="Arial" w:hAnsi="Arial" w:cs="Arial"/>
        </w:rPr>
        <w:t xml:space="preserve"> 40 </w:t>
      </w:r>
      <w:r w:rsidR="008641FA">
        <w:rPr>
          <w:rFonts w:ascii="Arial" w:hAnsi="Arial" w:cs="Arial"/>
        </w:rPr>
        <w:t>(</w:t>
      </w:r>
      <w:r w:rsidRPr="00C36F73">
        <w:rPr>
          <w:rFonts w:ascii="Arial" w:hAnsi="Arial" w:cs="Arial"/>
        </w:rPr>
        <w:t>6</w:t>
      </w:r>
      <w:r w:rsidR="008641FA">
        <w:rPr>
          <w:rFonts w:ascii="Arial" w:hAnsi="Arial" w:cs="Arial"/>
        </w:rPr>
        <w:t>):</w:t>
      </w:r>
      <w:r w:rsidRPr="00C36F73">
        <w:rPr>
          <w:rFonts w:ascii="Arial" w:hAnsi="Arial" w:cs="Arial"/>
        </w:rPr>
        <w:t xml:space="preserve"> 429-32 . https://doi.org/10.2500/aap.2019.40.4264.\</w:t>
      </w:r>
    </w:p>
    <w:p w14:paraId="0B6B36D6" w14:textId="250E724B" w:rsidR="00C36F73" w:rsidRPr="00C36F73" w:rsidRDefault="00C36F73" w:rsidP="00927D5E">
      <w:pPr>
        <w:pStyle w:val="Body"/>
        <w:spacing w:after="0"/>
        <w:rPr>
          <w:rFonts w:ascii="Arial" w:hAnsi="Arial" w:cs="Arial"/>
        </w:rPr>
      </w:pPr>
      <w:r w:rsidRPr="00C36F73">
        <w:rPr>
          <w:rFonts w:ascii="Arial" w:hAnsi="Arial" w:cs="Arial"/>
        </w:rPr>
        <w:t>15.</w:t>
      </w:r>
      <w:r w:rsidR="00CE4DAB">
        <w:rPr>
          <w:rFonts w:ascii="Arial" w:hAnsi="Arial" w:cs="Arial"/>
        </w:rPr>
        <w:t xml:space="preserve"> </w:t>
      </w:r>
      <w:r w:rsidRPr="00C36F73">
        <w:rPr>
          <w:rFonts w:ascii="Arial" w:hAnsi="Arial" w:cs="Arial"/>
        </w:rPr>
        <w:t>Latvala, J., Parkkila, S., &amp; Niemelä, O. Excess alcohol consumption is common in patients with cytopenia: studies in blood and bone marrow cells.. Alcoholism, clinical and experimental research,</w:t>
      </w:r>
      <w:r w:rsidR="00F22F66">
        <w:rPr>
          <w:rFonts w:ascii="Arial" w:hAnsi="Arial" w:cs="Arial"/>
        </w:rPr>
        <w:t xml:space="preserve"> </w:t>
      </w:r>
      <w:r w:rsidR="00F22F66" w:rsidRPr="00C36F73">
        <w:rPr>
          <w:rFonts w:ascii="Arial" w:hAnsi="Arial" w:cs="Arial"/>
        </w:rPr>
        <w:t>2004</w:t>
      </w:r>
      <w:r w:rsidR="00F22F66">
        <w:rPr>
          <w:rFonts w:ascii="Arial" w:hAnsi="Arial" w:cs="Arial"/>
        </w:rPr>
        <w:t xml:space="preserve">; </w:t>
      </w:r>
      <w:r w:rsidRPr="00C36F73">
        <w:rPr>
          <w:rFonts w:ascii="Arial" w:hAnsi="Arial" w:cs="Arial"/>
        </w:rPr>
        <w:t xml:space="preserve">28 </w:t>
      </w:r>
      <w:r w:rsidR="00A91D8F">
        <w:rPr>
          <w:rFonts w:ascii="Arial" w:hAnsi="Arial" w:cs="Arial"/>
        </w:rPr>
        <w:t>(</w:t>
      </w:r>
      <w:r w:rsidRPr="00C36F73">
        <w:rPr>
          <w:rFonts w:ascii="Arial" w:hAnsi="Arial" w:cs="Arial"/>
        </w:rPr>
        <w:t>4</w:t>
      </w:r>
      <w:r w:rsidR="00A91D8F">
        <w:rPr>
          <w:rFonts w:ascii="Arial" w:hAnsi="Arial" w:cs="Arial"/>
        </w:rPr>
        <w:t>):</w:t>
      </w:r>
      <w:r w:rsidRPr="00C36F73">
        <w:rPr>
          <w:rFonts w:ascii="Arial" w:hAnsi="Arial" w:cs="Arial"/>
        </w:rPr>
        <w:t xml:space="preserve"> 619-24 . https://doi.org/10.1097/01.ALC.0000122766.54544.3B.</w:t>
      </w:r>
    </w:p>
    <w:p w14:paraId="2B2377D3" w14:textId="75F01D64" w:rsidR="00C36F73" w:rsidRPr="00C36F73" w:rsidRDefault="00C36F73" w:rsidP="00927D5E">
      <w:pPr>
        <w:pStyle w:val="Body"/>
        <w:spacing w:after="0"/>
        <w:rPr>
          <w:rFonts w:ascii="Arial" w:hAnsi="Arial" w:cs="Arial"/>
        </w:rPr>
      </w:pPr>
      <w:r w:rsidRPr="00C36F73">
        <w:rPr>
          <w:rFonts w:ascii="Arial" w:hAnsi="Arial" w:cs="Arial"/>
        </w:rPr>
        <w:t>16.</w:t>
      </w:r>
      <w:r w:rsidR="00CE4DAB">
        <w:rPr>
          <w:rFonts w:ascii="Arial" w:hAnsi="Arial" w:cs="Arial"/>
        </w:rPr>
        <w:t xml:space="preserve"> </w:t>
      </w:r>
      <w:r w:rsidRPr="00C36F73">
        <w:rPr>
          <w:rFonts w:ascii="Arial" w:hAnsi="Arial" w:cs="Arial"/>
        </w:rPr>
        <w:t>Mangla, G., Garg, N., Bansal, D., Kotru, M., &amp; Sikka, M. Peripheral Blood and Bone Marrow Findings in Chronic Alcoholics with Special Reference to Acquired Sideroblastic Anemia. Indian journal of hematology &amp; blood transfusion: an official journal of Indian Society of Hematology and Blood Transfusion,</w:t>
      </w:r>
      <w:r w:rsidR="00F22F66">
        <w:rPr>
          <w:rFonts w:ascii="Arial" w:hAnsi="Arial" w:cs="Arial"/>
        </w:rPr>
        <w:t xml:space="preserve"> </w:t>
      </w:r>
      <w:r w:rsidR="00F22F66" w:rsidRPr="00C36F73">
        <w:rPr>
          <w:rFonts w:ascii="Arial" w:hAnsi="Arial" w:cs="Arial"/>
        </w:rPr>
        <w:t>2020</w:t>
      </w:r>
      <w:r w:rsidR="00F22F66">
        <w:rPr>
          <w:rFonts w:ascii="Arial" w:hAnsi="Arial" w:cs="Arial"/>
        </w:rPr>
        <w:t>;</w:t>
      </w:r>
      <w:r w:rsidRPr="00C36F73">
        <w:rPr>
          <w:rFonts w:ascii="Arial" w:hAnsi="Arial" w:cs="Arial"/>
        </w:rPr>
        <w:t xml:space="preserve"> 36(3)</w:t>
      </w:r>
      <w:r w:rsidR="00A91D8F">
        <w:rPr>
          <w:rFonts w:ascii="Arial" w:hAnsi="Arial" w:cs="Arial"/>
        </w:rPr>
        <w:t>:</w:t>
      </w:r>
      <w:r w:rsidRPr="00C36F73">
        <w:rPr>
          <w:rFonts w:ascii="Arial" w:hAnsi="Arial" w:cs="Arial"/>
        </w:rPr>
        <w:t xml:space="preserve"> 559–64. https://doi.org/10.1007/s12288-019-01188-5</w:t>
      </w:r>
    </w:p>
    <w:p w14:paraId="0AB8A974" w14:textId="0404AD1E" w:rsidR="00C36F73" w:rsidRPr="00C36F73" w:rsidRDefault="00C36F73" w:rsidP="00927D5E">
      <w:pPr>
        <w:pStyle w:val="Body"/>
        <w:spacing w:after="0"/>
        <w:rPr>
          <w:rFonts w:ascii="Arial" w:hAnsi="Arial" w:cs="Arial"/>
        </w:rPr>
      </w:pPr>
      <w:r w:rsidRPr="00C36F73">
        <w:rPr>
          <w:rFonts w:ascii="Arial" w:hAnsi="Arial" w:cs="Arial"/>
        </w:rPr>
        <w:t>17.</w:t>
      </w:r>
      <w:r w:rsidR="00CE4DAB">
        <w:rPr>
          <w:rFonts w:ascii="Arial" w:hAnsi="Arial" w:cs="Arial"/>
        </w:rPr>
        <w:t xml:space="preserve"> </w:t>
      </w:r>
      <w:r w:rsidRPr="00C36F73">
        <w:rPr>
          <w:rFonts w:ascii="Arial" w:hAnsi="Arial" w:cs="Arial"/>
        </w:rPr>
        <w:t>Pasala, S., Barr, T., &amp; Messaoudi, I. Impact of Alcohol Abuse on the Adaptive Immune System. Alcohol research: current reviews,</w:t>
      </w:r>
      <w:r w:rsidR="00F22F66">
        <w:rPr>
          <w:rFonts w:ascii="Arial" w:hAnsi="Arial" w:cs="Arial"/>
        </w:rPr>
        <w:t xml:space="preserve"> </w:t>
      </w:r>
      <w:r w:rsidR="00F22F66" w:rsidRPr="00C36F73">
        <w:rPr>
          <w:rFonts w:ascii="Arial" w:hAnsi="Arial" w:cs="Arial"/>
        </w:rPr>
        <w:t>2015</w:t>
      </w:r>
      <w:r w:rsidR="00F22F66">
        <w:rPr>
          <w:rFonts w:ascii="Arial" w:hAnsi="Arial" w:cs="Arial"/>
        </w:rPr>
        <w:t>;</w:t>
      </w:r>
      <w:r w:rsidRPr="00C36F73">
        <w:rPr>
          <w:rFonts w:ascii="Arial" w:hAnsi="Arial" w:cs="Arial"/>
        </w:rPr>
        <w:t xml:space="preserve"> 37(2)</w:t>
      </w:r>
      <w:r w:rsidR="00A91D8F">
        <w:rPr>
          <w:rFonts w:ascii="Arial" w:hAnsi="Arial" w:cs="Arial"/>
        </w:rPr>
        <w:t>:</w:t>
      </w:r>
      <w:r w:rsidRPr="00C36F73">
        <w:rPr>
          <w:rFonts w:ascii="Arial" w:hAnsi="Arial" w:cs="Arial"/>
        </w:rPr>
        <w:t xml:space="preserve"> 185–97.</w:t>
      </w:r>
    </w:p>
    <w:p w14:paraId="58772D60" w14:textId="7BDCD2B3" w:rsidR="00790ADA" w:rsidRPr="00FB3A86" w:rsidRDefault="00C36F73" w:rsidP="00441B6F">
      <w:pPr>
        <w:pStyle w:val="Body"/>
        <w:spacing w:after="0"/>
        <w:rPr>
          <w:rFonts w:ascii="Arial" w:hAnsi="Arial" w:cs="Arial"/>
        </w:rPr>
      </w:pPr>
      <w:r w:rsidRPr="00C36F73">
        <w:rPr>
          <w:rFonts w:ascii="Arial" w:hAnsi="Arial" w:cs="Arial"/>
        </w:rPr>
        <w:t>18.</w:t>
      </w:r>
      <w:r w:rsidR="00A3078C">
        <w:rPr>
          <w:rFonts w:ascii="Arial" w:hAnsi="Arial" w:cs="Arial"/>
        </w:rPr>
        <w:t xml:space="preserve"> </w:t>
      </w:r>
      <w:r w:rsidRPr="00C36F73">
        <w:rPr>
          <w:rFonts w:ascii="Arial" w:hAnsi="Arial" w:cs="Arial"/>
        </w:rPr>
        <w:t>Szabo G. Alcohol's contribution to compromised immunity. Alcohol health and research world,</w:t>
      </w:r>
      <w:r w:rsidR="00F22F66">
        <w:rPr>
          <w:rFonts w:ascii="Arial" w:hAnsi="Arial" w:cs="Arial"/>
        </w:rPr>
        <w:t xml:space="preserve"> </w:t>
      </w:r>
      <w:r w:rsidR="00F22F66" w:rsidRPr="00C36F73">
        <w:rPr>
          <w:rFonts w:ascii="Arial" w:hAnsi="Arial" w:cs="Arial"/>
        </w:rPr>
        <w:t>1997</w:t>
      </w:r>
      <w:r w:rsidR="00F22F66">
        <w:rPr>
          <w:rFonts w:ascii="Arial" w:hAnsi="Arial" w:cs="Arial"/>
        </w:rPr>
        <w:t>;</w:t>
      </w:r>
      <w:r w:rsidRPr="00C36F73">
        <w:rPr>
          <w:rFonts w:ascii="Arial" w:hAnsi="Arial" w:cs="Arial"/>
        </w:rPr>
        <w:t xml:space="preserve"> 21(1)</w:t>
      </w:r>
      <w:r w:rsidR="00F22F66">
        <w:rPr>
          <w:rFonts w:ascii="Arial" w:hAnsi="Arial" w:cs="Arial"/>
        </w:rPr>
        <w:t>:</w:t>
      </w:r>
      <w:r w:rsidRPr="00C36F73">
        <w:rPr>
          <w:rFonts w:ascii="Arial" w:hAnsi="Arial" w:cs="Arial"/>
        </w:rPr>
        <w:t xml:space="preserve"> 30–41.</w:t>
      </w:r>
    </w:p>
    <w:p w14:paraId="6F14A7D8" w14:textId="2F77EA19" w:rsidR="004D4277" w:rsidRPr="00FB3A86" w:rsidRDefault="004D4277" w:rsidP="00441B6F">
      <w:pPr>
        <w:pStyle w:val="Appendix"/>
        <w:spacing w:after="0"/>
        <w:jc w:val="both"/>
        <w:rPr>
          <w:rFonts w:ascii="Arial" w:hAnsi="Arial" w:cs="Arial"/>
          <w:b w:val="0"/>
        </w:rPr>
        <w:sectPr w:rsidR="004D4277" w:rsidRPr="00FB3A86" w:rsidSect="00DD79E4">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0677FFDC" w14:textId="77777777" w:rsidR="00B01FCD" w:rsidRPr="00FB3A86" w:rsidRDefault="00B01FCD" w:rsidP="00441B6F">
      <w:pPr>
        <w:pStyle w:val="Appendix"/>
        <w:spacing w:after="0"/>
        <w:jc w:val="both"/>
        <w:rPr>
          <w:rFonts w:ascii="Arial" w:hAnsi="Arial" w:cs="Arial"/>
          <w:b w:val="0"/>
        </w:rPr>
      </w:pPr>
    </w:p>
    <w:sectPr w:rsidR="00B01FCD" w:rsidRPr="00FB3A86" w:rsidSect="00DD79E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7E402" w14:textId="77777777" w:rsidR="00365A85" w:rsidRDefault="00365A85" w:rsidP="00C37E61">
      <w:r>
        <w:separator/>
      </w:r>
    </w:p>
  </w:endnote>
  <w:endnote w:type="continuationSeparator" w:id="0">
    <w:p w14:paraId="6EC5CE24" w14:textId="77777777" w:rsidR="00365A85" w:rsidRDefault="00365A8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AC5ED" w14:textId="77777777" w:rsidR="00DD79E4" w:rsidRDefault="00DD79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CA23D" w14:textId="77777777" w:rsidR="00DD79E4" w:rsidRDefault="00DD79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849F6" w14:textId="42E7C9AA" w:rsidR="00754C9A" w:rsidRPr="00DD79E4" w:rsidRDefault="00754C9A" w:rsidP="00DD79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A805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FC69D" w14:textId="77777777" w:rsidR="00365A85" w:rsidRDefault="00365A85" w:rsidP="00C37E61">
      <w:r>
        <w:separator/>
      </w:r>
    </w:p>
  </w:footnote>
  <w:footnote w:type="continuationSeparator" w:id="0">
    <w:p w14:paraId="56023BB0" w14:textId="77777777" w:rsidR="00365A85" w:rsidRDefault="00365A8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9FED2" w14:textId="5D36C845" w:rsidR="00DD79E4" w:rsidRDefault="00365A85">
    <w:pPr>
      <w:pStyle w:val="Header"/>
    </w:pPr>
    <w:r>
      <w:rPr>
        <w:noProof/>
      </w:rPr>
      <w:pict w14:anchorId="474FD8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18857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6B41B" w14:textId="112D255D" w:rsidR="00DD79E4" w:rsidRDefault="00365A85">
    <w:pPr>
      <w:pStyle w:val="Header"/>
    </w:pPr>
    <w:r>
      <w:rPr>
        <w:noProof/>
      </w:rPr>
      <w:pict w14:anchorId="39EB41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18858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E5E9C" w14:textId="4CBB0AE9" w:rsidR="00296529" w:rsidRPr="00296529" w:rsidRDefault="00365A85" w:rsidP="00296529">
    <w:pPr>
      <w:ind w:left="2160"/>
      <w:jc w:val="center"/>
      <w:rPr>
        <w:rFonts w:ascii="Times New Roman" w:eastAsia="Calibri" w:hAnsi="Times New Roman"/>
        <w:i/>
        <w:sz w:val="18"/>
        <w:szCs w:val="22"/>
      </w:rPr>
    </w:pPr>
    <w:r>
      <w:rPr>
        <w:noProof/>
      </w:rPr>
      <w:pict w14:anchorId="6DBB7D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18857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E903FC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EEB2BC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EFB488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9198D8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4582A6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55F4C2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D9CE3" w14:textId="41F9410A" w:rsidR="00DD79E4" w:rsidRDefault="00365A85">
    <w:pPr>
      <w:pStyle w:val="Header"/>
    </w:pPr>
    <w:r>
      <w:rPr>
        <w:noProof/>
      </w:rPr>
      <w:pict w14:anchorId="17F235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18858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7146A" w14:textId="520DF027" w:rsidR="00DD79E4" w:rsidRDefault="00365A85">
    <w:pPr>
      <w:pStyle w:val="Header"/>
    </w:pPr>
    <w:r>
      <w:rPr>
        <w:noProof/>
      </w:rPr>
      <w:pict w14:anchorId="6AD395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18858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DB555" w14:textId="39CA6DA5" w:rsidR="00DD79E4" w:rsidRDefault="00365A85">
    <w:pPr>
      <w:pStyle w:val="Header"/>
    </w:pPr>
    <w:r>
      <w:rPr>
        <w:noProof/>
      </w:rPr>
      <w:pict w14:anchorId="45E694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18858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1004A"/>
    <w:rsid w:val="00011AA6"/>
    <w:rsid w:val="0002496F"/>
    <w:rsid w:val="00030174"/>
    <w:rsid w:val="0004579C"/>
    <w:rsid w:val="00080739"/>
    <w:rsid w:val="000A47FA"/>
    <w:rsid w:val="000A65D3"/>
    <w:rsid w:val="000B1E33"/>
    <w:rsid w:val="000C6525"/>
    <w:rsid w:val="000D689F"/>
    <w:rsid w:val="000E7B7B"/>
    <w:rsid w:val="000E7D62"/>
    <w:rsid w:val="00103357"/>
    <w:rsid w:val="0011180E"/>
    <w:rsid w:val="00123C9F"/>
    <w:rsid w:val="00126190"/>
    <w:rsid w:val="00130F17"/>
    <w:rsid w:val="001320BF"/>
    <w:rsid w:val="001465F6"/>
    <w:rsid w:val="00163BC4"/>
    <w:rsid w:val="00191062"/>
    <w:rsid w:val="00192B72"/>
    <w:rsid w:val="00197124"/>
    <w:rsid w:val="001A29D8"/>
    <w:rsid w:val="001A5CAA"/>
    <w:rsid w:val="001B0427"/>
    <w:rsid w:val="001D28CF"/>
    <w:rsid w:val="001D3A51"/>
    <w:rsid w:val="001D7C54"/>
    <w:rsid w:val="001E10D2"/>
    <w:rsid w:val="001E25B4"/>
    <w:rsid w:val="001E44FE"/>
    <w:rsid w:val="00200595"/>
    <w:rsid w:val="00204835"/>
    <w:rsid w:val="00231920"/>
    <w:rsid w:val="0023195C"/>
    <w:rsid w:val="0024282C"/>
    <w:rsid w:val="002460DC"/>
    <w:rsid w:val="00250985"/>
    <w:rsid w:val="002556F6"/>
    <w:rsid w:val="00261D9B"/>
    <w:rsid w:val="00283105"/>
    <w:rsid w:val="00284C4C"/>
    <w:rsid w:val="00296529"/>
    <w:rsid w:val="002B27FB"/>
    <w:rsid w:val="002B685A"/>
    <w:rsid w:val="002C0270"/>
    <w:rsid w:val="002C57D2"/>
    <w:rsid w:val="002D2997"/>
    <w:rsid w:val="002E0D56"/>
    <w:rsid w:val="002E3B19"/>
    <w:rsid w:val="003104BB"/>
    <w:rsid w:val="00315186"/>
    <w:rsid w:val="00321273"/>
    <w:rsid w:val="0033343E"/>
    <w:rsid w:val="003512C2"/>
    <w:rsid w:val="00365A85"/>
    <w:rsid w:val="00371FB6"/>
    <w:rsid w:val="003763C1"/>
    <w:rsid w:val="00376BBE"/>
    <w:rsid w:val="0039224F"/>
    <w:rsid w:val="003A43A4"/>
    <w:rsid w:val="003A7E18"/>
    <w:rsid w:val="003B0FDE"/>
    <w:rsid w:val="003C4C86"/>
    <w:rsid w:val="003C6258"/>
    <w:rsid w:val="003E2904"/>
    <w:rsid w:val="00401927"/>
    <w:rsid w:val="0041027F"/>
    <w:rsid w:val="00412475"/>
    <w:rsid w:val="00423789"/>
    <w:rsid w:val="00440F43"/>
    <w:rsid w:val="00441B6F"/>
    <w:rsid w:val="00446221"/>
    <w:rsid w:val="00450E62"/>
    <w:rsid w:val="004539DB"/>
    <w:rsid w:val="00471A80"/>
    <w:rsid w:val="004750AB"/>
    <w:rsid w:val="004973C1"/>
    <w:rsid w:val="004D305E"/>
    <w:rsid w:val="004D4277"/>
    <w:rsid w:val="00502516"/>
    <w:rsid w:val="00505F06"/>
    <w:rsid w:val="00506828"/>
    <w:rsid w:val="00515EE1"/>
    <w:rsid w:val="0053056E"/>
    <w:rsid w:val="0054145E"/>
    <w:rsid w:val="00554FDA"/>
    <w:rsid w:val="00571C5F"/>
    <w:rsid w:val="00597704"/>
    <w:rsid w:val="005A18EE"/>
    <w:rsid w:val="005B568F"/>
    <w:rsid w:val="005C67AF"/>
    <w:rsid w:val="005C784C"/>
    <w:rsid w:val="005D17F6"/>
    <w:rsid w:val="005E5539"/>
    <w:rsid w:val="00602BF5"/>
    <w:rsid w:val="00617FDD"/>
    <w:rsid w:val="00633614"/>
    <w:rsid w:val="00633F68"/>
    <w:rsid w:val="00636EB2"/>
    <w:rsid w:val="006375B8"/>
    <w:rsid w:val="00647F8E"/>
    <w:rsid w:val="006560F7"/>
    <w:rsid w:val="0066510A"/>
    <w:rsid w:val="00665E13"/>
    <w:rsid w:val="00673F9F"/>
    <w:rsid w:val="00686953"/>
    <w:rsid w:val="00687DEA"/>
    <w:rsid w:val="00687E67"/>
    <w:rsid w:val="006967F7"/>
    <w:rsid w:val="006A250C"/>
    <w:rsid w:val="006B21D3"/>
    <w:rsid w:val="006B57D0"/>
    <w:rsid w:val="006D30FF"/>
    <w:rsid w:val="006D6940"/>
    <w:rsid w:val="006E7A56"/>
    <w:rsid w:val="006F0CDB"/>
    <w:rsid w:val="006F11EC"/>
    <w:rsid w:val="0070082C"/>
    <w:rsid w:val="007303B5"/>
    <w:rsid w:val="00731639"/>
    <w:rsid w:val="007369E6"/>
    <w:rsid w:val="00746E59"/>
    <w:rsid w:val="00754C9A"/>
    <w:rsid w:val="0075599A"/>
    <w:rsid w:val="00761D52"/>
    <w:rsid w:val="0077749E"/>
    <w:rsid w:val="0078281E"/>
    <w:rsid w:val="007871B2"/>
    <w:rsid w:val="00790ADA"/>
    <w:rsid w:val="007D2288"/>
    <w:rsid w:val="007E088F"/>
    <w:rsid w:val="007E5A69"/>
    <w:rsid w:val="007F2102"/>
    <w:rsid w:val="007F7B32"/>
    <w:rsid w:val="00804BC2"/>
    <w:rsid w:val="0081431A"/>
    <w:rsid w:val="0081680D"/>
    <w:rsid w:val="0082765A"/>
    <w:rsid w:val="0083216F"/>
    <w:rsid w:val="00860000"/>
    <w:rsid w:val="008633B2"/>
    <w:rsid w:val="00863BD3"/>
    <w:rsid w:val="008641FA"/>
    <w:rsid w:val="00866D66"/>
    <w:rsid w:val="008671C6"/>
    <w:rsid w:val="00875803"/>
    <w:rsid w:val="008B459E"/>
    <w:rsid w:val="008B4F9B"/>
    <w:rsid w:val="008D1E92"/>
    <w:rsid w:val="008E13AE"/>
    <w:rsid w:val="008E1506"/>
    <w:rsid w:val="008E710C"/>
    <w:rsid w:val="008F69D6"/>
    <w:rsid w:val="008F7256"/>
    <w:rsid w:val="00902823"/>
    <w:rsid w:val="009149C2"/>
    <w:rsid w:val="00915CA6"/>
    <w:rsid w:val="00927834"/>
    <w:rsid w:val="00927D5E"/>
    <w:rsid w:val="009500A6"/>
    <w:rsid w:val="00952477"/>
    <w:rsid w:val="00957C18"/>
    <w:rsid w:val="009659BA"/>
    <w:rsid w:val="00983040"/>
    <w:rsid w:val="009942B7"/>
    <w:rsid w:val="009A17EE"/>
    <w:rsid w:val="009A6E27"/>
    <w:rsid w:val="009B3FB9"/>
    <w:rsid w:val="009B4F3D"/>
    <w:rsid w:val="009C2465"/>
    <w:rsid w:val="009C4A79"/>
    <w:rsid w:val="009D35A0"/>
    <w:rsid w:val="009D7EB7"/>
    <w:rsid w:val="009E048A"/>
    <w:rsid w:val="009E08E9"/>
    <w:rsid w:val="009E3DB9"/>
    <w:rsid w:val="009E6E35"/>
    <w:rsid w:val="009F0EDA"/>
    <w:rsid w:val="00A016B1"/>
    <w:rsid w:val="00A03B96"/>
    <w:rsid w:val="00A05B19"/>
    <w:rsid w:val="00A1134E"/>
    <w:rsid w:val="00A11A82"/>
    <w:rsid w:val="00A24E7E"/>
    <w:rsid w:val="00A258C3"/>
    <w:rsid w:val="00A3078C"/>
    <w:rsid w:val="00A33796"/>
    <w:rsid w:val="00A347C0"/>
    <w:rsid w:val="00A35FC7"/>
    <w:rsid w:val="00A51431"/>
    <w:rsid w:val="00A539AD"/>
    <w:rsid w:val="00A7102C"/>
    <w:rsid w:val="00A76C5A"/>
    <w:rsid w:val="00A862C8"/>
    <w:rsid w:val="00A87B90"/>
    <w:rsid w:val="00A91D8F"/>
    <w:rsid w:val="00A94063"/>
    <w:rsid w:val="00AA6219"/>
    <w:rsid w:val="00AA74E0"/>
    <w:rsid w:val="00AB04FD"/>
    <w:rsid w:val="00AB703F"/>
    <w:rsid w:val="00AC6BB8"/>
    <w:rsid w:val="00AE008F"/>
    <w:rsid w:val="00AE357C"/>
    <w:rsid w:val="00AE3C07"/>
    <w:rsid w:val="00B01FCD"/>
    <w:rsid w:val="00B100E5"/>
    <w:rsid w:val="00B1776C"/>
    <w:rsid w:val="00B52896"/>
    <w:rsid w:val="00B83FF5"/>
    <w:rsid w:val="00B95236"/>
    <w:rsid w:val="00B96BD9"/>
    <w:rsid w:val="00BA1B01"/>
    <w:rsid w:val="00BA2641"/>
    <w:rsid w:val="00BB37AA"/>
    <w:rsid w:val="00BC53A0"/>
    <w:rsid w:val="00BE62AD"/>
    <w:rsid w:val="00BF121F"/>
    <w:rsid w:val="00BF1F80"/>
    <w:rsid w:val="00BF6098"/>
    <w:rsid w:val="00C166EF"/>
    <w:rsid w:val="00C17EB0"/>
    <w:rsid w:val="00C27F5F"/>
    <w:rsid w:val="00C30A0F"/>
    <w:rsid w:val="00C343CB"/>
    <w:rsid w:val="00C36F73"/>
    <w:rsid w:val="00C37E61"/>
    <w:rsid w:val="00C504BF"/>
    <w:rsid w:val="00C63EE8"/>
    <w:rsid w:val="00C7045E"/>
    <w:rsid w:val="00C70F1B"/>
    <w:rsid w:val="00C71A47"/>
    <w:rsid w:val="00C7464C"/>
    <w:rsid w:val="00C85588"/>
    <w:rsid w:val="00C9200F"/>
    <w:rsid w:val="00CA4039"/>
    <w:rsid w:val="00CC2D61"/>
    <w:rsid w:val="00CD5324"/>
    <w:rsid w:val="00CD6755"/>
    <w:rsid w:val="00CD6856"/>
    <w:rsid w:val="00CE0089"/>
    <w:rsid w:val="00CE4DAB"/>
    <w:rsid w:val="00CE793C"/>
    <w:rsid w:val="00D06A46"/>
    <w:rsid w:val="00D173F1"/>
    <w:rsid w:val="00D27D4E"/>
    <w:rsid w:val="00D803F7"/>
    <w:rsid w:val="00D8295D"/>
    <w:rsid w:val="00DC2A65"/>
    <w:rsid w:val="00DC4044"/>
    <w:rsid w:val="00DC4172"/>
    <w:rsid w:val="00DD79E4"/>
    <w:rsid w:val="00DE15F0"/>
    <w:rsid w:val="00DE5663"/>
    <w:rsid w:val="00DE78AA"/>
    <w:rsid w:val="00E053D0"/>
    <w:rsid w:val="00E15994"/>
    <w:rsid w:val="00E3114E"/>
    <w:rsid w:val="00E31A70"/>
    <w:rsid w:val="00E35B02"/>
    <w:rsid w:val="00E37202"/>
    <w:rsid w:val="00E571AB"/>
    <w:rsid w:val="00E57947"/>
    <w:rsid w:val="00E6335D"/>
    <w:rsid w:val="00E66496"/>
    <w:rsid w:val="00E66B35"/>
    <w:rsid w:val="00E66E10"/>
    <w:rsid w:val="00E769F6"/>
    <w:rsid w:val="00E8407C"/>
    <w:rsid w:val="00E84F3C"/>
    <w:rsid w:val="00EA012C"/>
    <w:rsid w:val="00ED0288"/>
    <w:rsid w:val="00EE52CB"/>
    <w:rsid w:val="00EF581D"/>
    <w:rsid w:val="00EF7FD8"/>
    <w:rsid w:val="00F06F59"/>
    <w:rsid w:val="00F17988"/>
    <w:rsid w:val="00F22F66"/>
    <w:rsid w:val="00F41AE2"/>
    <w:rsid w:val="00F469F0"/>
    <w:rsid w:val="00F53273"/>
    <w:rsid w:val="00F67A7E"/>
    <w:rsid w:val="00F755E4"/>
    <w:rsid w:val="00F77D02"/>
    <w:rsid w:val="00FA3C4C"/>
    <w:rsid w:val="00FA40D4"/>
    <w:rsid w:val="00FB284B"/>
    <w:rsid w:val="00FB3A86"/>
    <w:rsid w:val="00FD2684"/>
    <w:rsid w:val="00FD36C8"/>
    <w:rsid w:val="00FE2F31"/>
    <w:rsid w:val="00FF6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5FBC43E"/>
  <w15:docId w15:val="{F71FF34A-2883-C544-A802-F6109A71F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9A17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9A17EE"/>
    <w:rPr>
      <w:color w:val="605E5C"/>
      <w:shd w:val="clear" w:color="auto" w:fill="E1DFDD"/>
    </w:rPr>
  </w:style>
  <w:style w:type="character" w:customStyle="1" w:styleId="Heading3Char">
    <w:name w:val="Heading 3 Char"/>
    <w:basedOn w:val="DefaultParagraphFont"/>
    <w:link w:val="Heading3"/>
    <w:semiHidden/>
    <w:rsid w:val="009A17E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3523842">
      <w:bodyDiv w:val="1"/>
      <w:marLeft w:val="0"/>
      <w:marRight w:val="0"/>
      <w:marTop w:val="0"/>
      <w:marBottom w:val="0"/>
      <w:divBdr>
        <w:top w:val="none" w:sz="0" w:space="0" w:color="auto"/>
        <w:left w:val="none" w:sz="0" w:space="0" w:color="auto"/>
        <w:bottom w:val="none" w:sz="0" w:space="0" w:color="auto"/>
        <w:right w:val="none" w:sz="0" w:space="0" w:color="auto"/>
      </w:divBdr>
    </w:div>
    <w:div w:id="134474415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3CF29-9D41-448C-B69E-FF49FD822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TotalTime>
  <Pages>7</Pages>
  <Words>2987</Words>
  <Characters>17030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19978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1127</cp:lastModifiedBy>
  <cp:revision>8</cp:revision>
  <cp:lastPrinted>1999-07-06T11:00:00Z</cp:lastPrinted>
  <dcterms:created xsi:type="dcterms:W3CDTF">2025-05-05T05:30:00Z</dcterms:created>
  <dcterms:modified xsi:type="dcterms:W3CDTF">2025-05-07T08:06:00Z</dcterms:modified>
</cp:coreProperties>
</file>