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9111F" w14:textId="263A13F4" w:rsidR="004918DE" w:rsidRPr="004918DE" w:rsidRDefault="004918DE" w:rsidP="004918DE">
      <w:pPr>
        <w:spacing w:line="360" w:lineRule="auto"/>
        <w:rPr>
          <w:rFonts w:ascii="Times New Roman" w:hAnsi="Times New Roman" w:cs="Times New Roman"/>
          <w:b/>
          <w:bCs/>
          <w:i/>
          <w:iCs/>
          <w:color w:val="000000" w:themeColor="text1"/>
          <w:sz w:val="32"/>
          <w:szCs w:val="32"/>
          <w:u w:val="single"/>
        </w:rPr>
      </w:pPr>
      <w:r w:rsidRPr="004918DE">
        <w:rPr>
          <w:rFonts w:ascii="Times New Roman" w:hAnsi="Times New Roman" w:cs="Times New Roman"/>
          <w:b/>
          <w:bCs/>
          <w:i/>
          <w:iCs/>
          <w:color w:val="000000" w:themeColor="text1"/>
          <w:sz w:val="32"/>
          <w:szCs w:val="32"/>
          <w:u w:val="single"/>
        </w:rPr>
        <w:t>Original Research Article</w:t>
      </w:r>
    </w:p>
    <w:p w14:paraId="472F4EF4" w14:textId="1DA2C5C0" w:rsidR="0099057B" w:rsidRPr="0099057B" w:rsidRDefault="0099057B" w:rsidP="00B81AA7">
      <w:pPr>
        <w:spacing w:line="360" w:lineRule="auto"/>
        <w:jc w:val="center"/>
        <w:rPr>
          <w:rFonts w:ascii="Times New Roman" w:hAnsi="Times New Roman" w:cs="Times New Roman"/>
          <w:b/>
          <w:bCs/>
          <w:color w:val="000000" w:themeColor="text1"/>
          <w:sz w:val="32"/>
          <w:szCs w:val="32"/>
        </w:rPr>
      </w:pPr>
      <w:r w:rsidRPr="0099057B">
        <w:rPr>
          <w:rFonts w:ascii="Times New Roman" w:hAnsi="Times New Roman" w:cs="Times New Roman"/>
          <w:b/>
          <w:bCs/>
          <w:color w:val="000000" w:themeColor="text1"/>
          <w:sz w:val="32"/>
          <w:szCs w:val="32"/>
        </w:rPr>
        <w:t>Ex</w:t>
      </w:r>
      <w:r>
        <w:rPr>
          <w:rFonts w:ascii="Times New Roman" w:hAnsi="Times New Roman" w:cs="Times New Roman"/>
          <w:b/>
          <w:bCs/>
          <w:color w:val="000000" w:themeColor="text1"/>
          <w:sz w:val="32"/>
          <w:szCs w:val="32"/>
        </w:rPr>
        <w:t xml:space="preserve">ogenous </w:t>
      </w:r>
      <w:r w:rsidR="00B81AA7">
        <w:rPr>
          <w:rFonts w:ascii="Times New Roman" w:hAnsi="Times New Roman" w:cs="Times New Roman"/>
          <w:b/>
          <w:bCs/>
          <w:color w:val="000000" w:themeColor="text1"/>
          <w:sz w:val="32"/>
          <w:szCs w:val="32"/>
        </w:rPr>
        <w:t>s</w:t>
      </w:r>
      <w:r w:rsidRPr="0099057B">
        <w:rPr>
          <w:rFonts w:ascii="Times New Roman" w:hAnsi="Times New Roman" w:cs="Times New Roman"/>
          <w:b/>
          <w:bCs/>
          <w:color w:val="000000" w:themeColor="text1"/>
          <w:sz w:val="32"/>
          <w:szCs w:val="32"/>
        </w:rPr>
        <w:t xml:space="preserve">alicylic </w:t>
      </w:r>
      <w:r w:rsidR="00B81AA7">
        <w:rPr>
          <w:rFonts w:ascii="Times New Roman" w:hAnsi="Times New Roman" w:cs="Times New Roman"/>
          <w:b/>
          <w:bCs/>
          <w:color w:val="000000" w:themeColor="text1"/>
          <w:sz w:val="32"/>
          <w:szCs w:val="32"/>
        </w:rPr>
        <w:t>a</w:t>
      </w:r>
      <w:r w:rsidRPr="0099057B">
        <w:rPr>
          <w:rFonts w:ascii="Times New Roman" w:hAnsi="Times New Roman" w:cs="Times New Roman"/>
          <w:b/>
          <w:bCs/>
          <w:color w:val="000000" w:themeColor="text1"/>
          <w:sz w:val="32"/>
          <w:szCs w:val="32"/>
        </w:rPr>
        <w:t xml:space="preserve">cid </w:t>
      </w:r>
      <w:r w:rsidR="00B81AA7">
        <w:rPr>
          <w:rFonts w:ascii="Times New Roman" w:hAnsi="Times New Roman" w:cs="Times New Roman"/>
          <w:b/>
          <w:bCs/>
          <w:color w:val="000000" w:themeColor="text1"/>
          <w:sz w:val="32"/>
          <w:szCs w:val="32"/>
        </w:rPr>
        <w:t>i</w:t>
      </w:r>
      <w:r w:rsidR="00F45D4F">
        <w:rPr>
          <w:rFonts w:ascii="Times New Roman" w:hAnsi="Times New Roman" w:cs="Times New Roman"/>
          <w:b/>
          <w:bCs/>
          <w:color w:val="000000" w:themeColor="text1"/>
          <w:sz w:val="32"/>
          <w:szCs w:val="32"/>
        </w:rPr>
        <w:t>nduces</w:t>
      </w:r>
      <w:r w:rsidRPr="0099057B">
        <w:rPr>
          <w:rFonts w:ascii="Times New Roman" w:hAnsi="Times New Roman" w:cs="Times New Roman"/>
          <w:b/>
          <w:bCs/>
          <w:color w:val="000000" w:themeColor="text1"/>
          <w:sz w:val="32"/>
          <w:szCs w:val="32"/>
        </w:rPr>
        <w:t xml:space="preserve"> </w:t>
      </w:r>
      <w:r w:rsidR="00B81AA7">
        <w:rPr>
          <w:rFonts w:ascii="Times New Roman" w:hAnsi="Times New Roman" w:cs="Times New Roman"/>
          <w:b/>
          <w:bCs/>
          <w:color w:val="000000" w:themeColor="text1"/>
          <w:sz w:val="32"/>
          <w:szCs w:val="32"/>
        </w:rPr>
        <w:t>m</w:t>
      </w:r>
      <w:r w:rsidRPr="0099057B">
        <w:rPr>
          <w:rFonts w:ascii="Times New Roman" w:hAnsi="Times New Roman" w:cs="Times New Roman"/>
          <w:b/>
          <w:bCs/>
          <w:color w:val="000000" w:themeColor="text1"/>
          <w:sz w:val="32"/>
          <w:szCs w:val="32"/>
        </w:rPr>
        <w:t xml:space="preserve">etabolite </w:t>
      </w:r>
      <w:r w:rsidR="00B81AA7">
        <w:rPr>
          <w:rFonts w:ascii="Times New Roman" w:hAnsi="Times New Roman" w:cs="Times New Roman"/>
          <w:b/>
          <w:bCs/>
          <w:color w:val="000000" w:themeColor="text1"/>
          <w:sz w:val="32"/>
          <w:szCs w:val="32"/>
        </w:rPr>
        <w:t>p</w:t>
      </w:r>
      <w:r w:rsidRPr="0099057B">
        <w:rPr>
          <w:rFonts w:ascii="Times New Roman" w:hAnsi="Times New Roman" w:cs="Times New Roman"/>
          <w:b/>
          <w:bCs/>
          <w:color w:val="000000" w:themeColor="text1"/>
          <w:sz w:val="32"/>
          <w:szCs w:val="32"/>
        </w:rPr>
        <w:t>roduction</w:t>
      </w:r>
      <w:r w:rsidR="00B81AA7">
        <w:rPr>
          <w:rFonts w:ascii="Times New Roman" w:hAnsi="Times New Roman" w:cs="Times New Roman"/>
          <w:b/>
          <w:bCs/>
          <w:color w:val="000000" w:themeColor="text1"/>
          <w:sz w:val="32"/>
          <w:szCs w:val="32"/>
        </w:rPr>
        <w:t xml:space="preserve"> conferring foot rot resistance in black pepper</w:t>
      </w:r>
    </w:p>
    <w:p w14:paraId="18469261" w14:textId="77777777" w:rsidR="005B5FA9" w:rsidRDefault="005B5FA9" w:rsidP="00025FE1">
      <w:pPr>
        <w:spacing w:line="360" w:lineRule="auto"/>
        <w:jc w:val="center"/>
        <w:rPr>
          <w:rFonts w:ascii="Times New Roman" w:hAnsi="Times New Roman" w:cs="Times New Roman"/>
          <w:color w:val="000000" w:themeColor="text1"/>
          <w:sz w:val="24"/>
          <w:szCs w:val="24"/>
        </w:rPr>
      </w:pPr>
    </w:p>
    <w:p w14:paraId="1D1948BD" w14:textId="77777777" w:rsidR="00FF19A3" w:rsidRDefault="00FF19A3" w:rsidP="00025FE1">
      <w:pPr>
        <w:spacing w:line="360" w:lineRule="auto"/>
        <w:jc w:val="center"/>
        <w:rPr>
          <w:rFonts w:ascii="Times New Roman" w:hAnsi="Times New Roman" w:cs="Times New Roman"/>
          <w:color w:val="000000" w:themeColor="text1"/>
          <w:sz w:val="24"/>
          <w:szCs w:val="24"/>
        </w:rPr>
      </w:pPr>
    </w:p>
    <w:p w14:paraId="4C15386B" w14:textId="77777777" w:rsidR="00FF19A3" w:rsidRDefault="00FF19A3" w:rsidP="00025FE1">
      <w:pPr>
        <w:spacing w:line="360" w:lineRule="auto"/>
        <w:jc w:val="center"/>
        <w:rPr>
          <w:rFonts w:ascii="Times New Roman" w:hAnsi="Times New Roman" w:cs="Times New Roman"/>
          <w:color w:val="000000" w:themeColor="text1"/>
          <w:sz w:val="24"/>
          <w:szCs w:val="24"/>
        </w:rPr>
      </w:pPr>
    </w:p>
    <w:p w14:paraId="6F720FEC" w14:textId="77777777" w:rsidR="00FF19A3" w:rsidRDefault="00FF19A3" w:rsidP="00025FE1">
      <w:pPr>
        <w:spacing w:line="360" w:lineRule="auto"/>
        <w:jc w:val="center"/>
        <w:rPr>
          <w:rFonts w:ascii="Times New Roman" w:hAnsi="Times New Roman" w:cs="Times New Roman"/>
          <w:color w:val="000000" w:themeColor="text1"/>
          <w:sz w:val="24"/>
          <w:szCs w:val="24"/>
        </w:rPr>
      </w:pPr>
    </w:p>
    <w:p w14:paraId="2C58F908" w14:textId="12133E53" w:rsidR="00263EFF" w:rsidRPr="009A60A2" w:rsidRDefault="00263EFF" w:rsidP="009A60A2">
      <w:pPr>
        <w:spacing w:line="360" w:lineRule="auto"/>
        <w:jc w:val="both"/>
        <w:rPr>
          <w:rFonts w:ascii="Times New Roman" w:hAnsi="Times New Roman" w:cs="Times New Roman"/>
          <w:b/>
          <w:bCs/>
          <w:color w:val="000000" w:themeColor="text1"/>
          <w:sz w:val="24"/>
          <w:szCs w:val="24"/>
        </w:rPr>
      </w:pPr>
      <w:r w:rsidRPr="009A60A2">
        <w:rPr>
          <w:rFonts w:ascii="Times New Roman" w:hAnsi="Times New Roman" w:cs="Times New Roman"/>
          <w:b/>
          <w:bCs/>
          <w:color w:val="000000" w:themeColor="text1"/>
          <w:sz w:val="24"/>
          <w:szCs w:val="24"/>
        </w:rPr>
        <w:t>Abstract</w:t>
      </w:r>
    </w:p>
    <w:p w14:paraId="5F086BBD" w14:textId="4BDA7F2F" w:rsidR="004645EB" w:rsidRDefault="00B906E0" w:rsidP="009A60A2">
      <w:pPr>
        <w:spacing w:line="360" w:lineRule="auto"/>
        <w:jc w:val="both"/>
        <w:rPr>
          <w:rFonts w:ascii="Times New Roman" w:hAnsi="Times New Roman" w:cs="Times New Roman"/>
          <w:color w:val="000000" w:themeColor="text1"/>
          <w:sz w:val="24"/>
          <w:szCs w:val="24"/>
        </w:rPr>
      </w:pPr>
      <w:r w:rsidRPr="009A60A2">
        <w:rPr>
          <w:rFonts w:ascii="Times New Roman" w:hAnsi="Times New Roman" w:cs="Times New Roman"/>
          <w:b/>
          <w:bCs/>
          <w:color w:val="000000" w:themeColor="text1"/>
          <w:sz w:val="24"/>
          <w:szCs w:val="24"/>
        </w:rPr>
        <w:tab/>
      </w:r>
      <w:bookmarkStart w:id="0" w:name="_Hlk196791333"/>
      <w:r w:rsidR="00A353EF" w:rsidRPr="00A353EF">
        <w:rPr>
          <w:rFonts w:ascii="Times New Roman" w:hAnsi="Times New Roman" w:cs="Times New Roman"/>
          <w:color w:val="000000" w:themeColor="text1"/>
          <w:sz w:val="24"/>
          <w:szCs w:val="24"/>
        </w:rPr>
        <w:t>A</w:t>
      </w:r>
      <w:r w:rsidR="00A353EF">
        <w:rPr>
          <w:rFonts w:ascii="Times New Roman" w:hAnsi="Times New Roman" w:cs="Times New Roman"/>
          <w:b/>
          <w:bCs/>
          <w:color w:val="000000" w:themeColor="text1"/>
          <w:sz w:val="24"/>
          <w:szCs w:val="24"/>
        </w:rPr>
        <w:t xml:space="preserve"> </w:t>
      </w:r>
      <w:r w:rsidR="00A353EF" w:rsidRPr="00A353EF">
        <w:rPr>
          <w:rFonts w:ascii="Times New Roman" w:hAnsi="Times New Roman" w:cs="Times New Roman"/>
          <w:color w:val="000000" w:themeColor="text1"/>
          <w:sz w:val="24"/>
          <w:szCs w:val="24"/>
        </w:rPr>
        <w:t>study on biochemical factors</w:t>
      </w:r>
      <w:r w:rsidR="00A353EF">
        <w:rPr>
          <w:rFonts w:ascii="Times New Roman" w:hAnsi="Times New Roman" w:cs="Times New Roman"/>
          <w:color w:val="000000" w:themeColor="text1"/>
          <w:sz w:val="24"/>
          <w:szCs w:val="24"/>
        </w:rPr>
        <w:t xml:space="preserve"> involved in black pepper </w:t>
      </w:r>
      <w:proofErr w:type="spellStart"/>
      <w:r w:rsidR="00A353EF">
        <w:rPr>
          <w:rFonts w:ascii="Times New Roman" w:hAnsi="Times New Roman" w:cs="Times New Roman"/>
          <w:color w:val="000000" w:themeColor="text1"/>
          <w:sz w:val="24"/>
          <w:szCs w:val="24"/>
        </w:rPr>
        <w:t>defense</w:t>
      </w:r>
      <w:proofErr w:type="spellEnd"/>
      <w:r w:rsidR="00A353EF">
        <w:rPr>
          <w:rFonts w:ascii="Times New Roman" w:hAnsi="Times New Roman" w:cs="Times New Roman"/>
          <w:color w:val="000000" w:themeColor="text1"/>
          <w:sz w:val="24"/>
          <w:szCs w:val="24"/>
        </w:rPr>
        <w:t xml:space="preserve"> response against </w:t>
      </w:r>
      <w:r w:rsidR="00A353EF" w:rsidRPr="00A353EF">
        <w:rPr>
          <w:rFonts w:ascii="Times New Roman" w:hAnsi="Times New Roman" w:cs="Times New Roman"/>
          <w:i/>
          <w:iCs/>
          <w:color w:val="000000" w:themeColor="text1"/>
          <w:sz w:val="24"/>
          <w:szCs w:val="24"/>
        </w:rPr>
        <w:t>Phytophthora</w:t>
      </w:r>
      <w:r w:rsidR="00A353EF">
        <w:rPr>
          <w:rFonts w:ascii="Times New Roman" w:hAnsi="Times New Roman" w:cs="Times New Roman"/>
          <w:color w:val="000000" w:themeColor="text1"/>
          <w:sz w:val="24"/>
          <w:szCs w:val="24"/>
        </w:rPr>
        <w:t xml:space="preserve"> sp. on exogenous application of salicylic acid was carried out in </w:t>
      </w:r>
      <w:r w:rsidR="00A353EF" w:rsidRPr="00A353EF">
        <w:rPr>
          <w:rFonts w:ascii="Times New Roman" w:hAnsi="Times New Roman" w:cs="Times New Roman"/>
          <w:i/>
          <w:iCs/>
          <w:color w:val="000000" w:themeColor="text1"/>
          <w:sz w:val="24"/>
          <w:szCs w:val="24"/>
        </w:rPr>
        <w:t>Phytophthora</w:t>
      </w:r>
      <w:r w:rsidR="00A353EF">
        <w:rPr>
          <w:rFonts w:ascii="Times New Roman" w:hAnsi="Times New Roman" w:cs="Times New Roman"/>
          <w:color w:val="000000" w:themeColor="text1"/>
          <w:sz w:val="24"/>
          <w:szCs w:val="24"/>
        </w:rPr>
        <w:t xml:space="preserve"> sp. susceptible variety </w:t>
      </w:r>
      <w:proofErr w:type="spellStart"/>
      <w:r w:rsidR="00A353EF">
        <w:rPr>
          <w:rFonts w:ascii="Times New Roman" w:hAnsi="Times New Roman" w:cs="Times New Roman"/>
          <w:color w:val="000000" w:themeColor="text1"/>
          <w:sz w:val="24"/>
          <w:szCs w:val="24"/>
        </w:rPr>
        <w:t>Panniyur</w:t>
      </w:r>
      <w:proofErr w:type="spellEnd"/>
      <w:r w:rsidR="00A353EF">
        <w:rPr>
          <w:rFonts w:ascii="Times New Roman" w:hAnsi="Times New Roman" w:cs="Times New Roman"/>
          <w:color w:val="000000" w:themeColor="text1"/>
          <w:sz w:val="24"/>
          <w:szCs w:val="24"/>
        </w:rPr>
        <w:t xml:space="preserve"> 1. Total phenol content and total flavonoid content were studied under different concentration of salicylic acid to know the performed and induced responses. The pathogen was inoculated (soil inoculation)</w:t>
      </w:r>
      <w:r w:rsidR="00A67654">
        <w:rPr>
          <w:rFonts w:ascii="Times New Roman" w:hAnsi="Times New Roman" w:cs="Times New Roman"/>
          <w:color w:val="000000" w:themeColor="text1"/>
          <w:sz w:val="24"/>
          <w:szCs w:val="24"/>
        </w:rPr>
        <w:t xml:space="preserve"> seven days after treatment application and plants were observed for changes at 24, 48 and 72 HAI. Leaves samples were subjected for biochemical analysis. </w:t>
      </w:r>
      <w:r w:rsidR="004645EB" w:rsidRPr="004645EB">
        <w:rPr>
          <w:rFonts w:ascii="Times New Roman" w:hAnsi="Times New Roman" w:cs="Times New Roman"/>
          <w:color w:val="000000" w:themeColor="text1"/>
          <w:sz w:val="24"/>
          <w:szCs w:val="24"/>
        </w:rPr>
        <w:t xml:space="preserve">Although total phenolic content remained relatively stable across treatments, the highest levels were observed in plants treated with 1500 ppm SA, while healthy controls exhibited the lowest. A general decline in phenolic content at 48 HAI followed by an increase at 72 HAI was noted. Similarly, flavonoid content showed a decrease at 48 HAI, with a subsequent rise at 72 HAI, with maximum accumulation recorded in plants treated with 1500 ppm SA. Overall, the results suggest that exogenous application of SA enhances phenolic and flavonoid production, thereby strengthening the </w:t>
      </w:r>
      <w:proofErr w:type="spellStart"/>
      <w:r w:rsidR="004645EB" w:rsidRPr="004645EB">
        <w:rPr>
          <w:rFonts w:ascii="Times New Roman" w:hAnsi="Times New Roman" w:cs="Times New Roman"/>
          <w:color w:val="000000" w:themeColor="text1"/>
          <w:sz w:val="24"/>
          <w:szCs w:val="24"/>
        </w:rPr>
        <w:t>defense</w:t>
      </w:r>
      <w:proofErr w:type="spellEnd"/>
      <w:r w:rsidR="004645EB" w:rsidRPr="004645EB">
        <w:rPr>
          <w:rFonts w:ascii="Times New Roman" w:hAnsi="Times New Roman" w:cs="Times New Roman"/>
          <w:color w:val="000000" w:themeColor="text1"/>
          <w:sz w:val="24"/>
          <w:szCs w:val="24"/>
        </w:rPr>
        <w:t xml:space="preserve"> response in black pepper against </w:t>
      </w:r>
      <w:r w:rsidR="004645EB" w:rsidRPr="004645EB">
        <w:rPr>
          <w:rFonts w:ascii="Times New Roman" w:hAnsi="Times New Roman" w:cs="Times New Roman"/>
          <w:i/>
          <w:iCs/>
          <w:color w:val="000000" w:themeColor="text1"/>
          <w:sz w:val="24"/>
          <w:szCs w:val="24"/>
        </w:rPr>
        <w:t>Phytophthora</w:t>
      </w:r>
      <w:r w:rsidR="004645EB" w:rsidRPr="004645EB">
        <w:rPr>
          <w:rFonts w:ascii="Times New Roman" w:hAnsi="Times New Roman" w:cs="Times New Roman"/>
          <w:color w:val="000000" w:themeColor="text1"/>
          <w:sz w:val="24"/>
          <w:szCs w:val="24"/>
        </w:rPr>
        <w:t xml:space="preserve"> infection.</w:t>
      </w:r>
    </w:p>
    <w:bookmarkEnd w:id="0"/>
    <w:p w14:paraId="53F6DCCE" w14:textId="70754C99" w:rsidR="005C2EFB" w:rsidRDefault="005C2EFB" w:rsidP="009A60A2">
      <w:pPr>
        <w:spacing w:line="360" w:lineRule="auto"/>
        <w:jc w:val="both"/>
        <w:rPr>
          <w:rFonts w:ascii="Times New Roman" w:hAnsi="Times New Roman" w:cs="Times New Roman"/>
          <w:color w:val="000000" w:themeColor="text1"/>
          <w:sz w:val="24"/>
          <w:szCs w:val="24"/>
        </w:rPr>
      </w:pPr>
      <w:r w:rsidRPr="009A60A2">
        <w:rPr>
          <w:rFonts w:ascii="Times New Roman" w:hAnsi="Times New Roman" w:cs="Times New Roman"/>
          <w:color w:val="000000" w:themeColor="text1"/>
          <w:sz w:val="24"/>
          <w:szCs w:val="24"/>
        </w:rPr>
        <w:t>Keywords:</w:t>
      </w:r>
      <w:r w:rsidR="001576B5" w:rsidRPr="009A60A2">
        <w:rPr>
          <w:rFonts w:ascii="Times New Roman" w:hAnsi="Times New Roman" w:cs="Times New Roman"/>
          <w:color w:val="000000" w:themeColor="text1"/>
          <w:sz w:val="24"/>
          <w:szCs w:val="24"/>
        </w:rPr>
        <w:t xml:space="preserve"> </w:t>
      </w:r>
      <w:r w:rsidR="00E95076" w:rsidRPr="009A60A2">
        <w:rPr>
          <w:rFonts w:ascii="Times New Roman" w:hAnsi="Times New Roman" w:cs="Times New Roman"/>
          <w:color w:val="000000" w:themeColor="text1"/>
          <w:sz w:val="24"/>
          <w:szCs w:val="24"/>
        </w:rPr>
        <w:t xml:space="preserve">Phenol, Flavonoid, Black pepper, </w:t>
      </w:r>
      <w:r w:rsidR="00E95076" w:rsidRPr="009A60A2">
        <w:rPr>
          <w:rFonts w:ascii="Times New Roman" w:hAnsi="Times New Roman" w:cs="Times New Roman"/>
          <w:i/>
          <w:iCs/>
          <w:color w:val="000000" w:themeColor="text1"/>
          <w:sz w:val="24"/>
          <w:szCs w:val="24"/>
        </w:rPr>
        <w:t>Phytophthora</w:t>
      </w:r>
      <w:r w:rsidR="00E95076" w:rsidRPr="009A60A2">
        <w:rPr>
          <w:rFonts w:ascii="Times New Roman" w:hAnsi="Times New Roman" w:cs="Times New Roman"/>
          <w:color w:val="000000" w:themeColor="text1"/>
          <w:sz w:val="24"/>
          <w:szCs w:val="24"/>
        </w:rPr>
        <w:t xml:space="preserve"> sp.</w:t>
      </w:r>
    </w:p>
    <w:p w14:paraId="4C5A5188" w14:textId="5C7195D2" w:rsidR="00263EFF" w:rsidRPr="005C2EFB" w:rsidRDefault="00263EFF" w:rsidP="009A60A2">
      <w:pPr>
        <w:spacing w:line="360" w:lineRule="auto"/>
        <w:jc w:val="both"/>
        <w:rPr>
          <w:rFonts w:ascii="Times New Roman" w:hAnsi="Times New Roman" w:cs="Times New Roman"/>
          <w:color w:val="000000" w:themeColor="text1"/>
          <w:sz w:val="24"/>
          <w:szCs w:val="24"/>
        </w:rPr>
      </w:pPr>
      <w:r w:rsidRPr="009A60A2">
        <w:rPr>
          <w:rFonts w:ascii="Times New Roman" w:hAnsi="Times New Roman" w:cs="Times New Roman"/>
          <w:b/>
          <w:bCs/>
          <w:color w:val="000000" w:themeColor="text1"/>
          <w:sz w:val="24"/>
          <w:szCs w:val="24"/>
        </w:rPr>
        <w:t>Introduction</w:t>
      </w:r>
    </w:p>
    <w:p w14:paraId="6937A71C" w14:textId="3D73DF20" w:rsidR="00FD5EB5" w:rsidRPr="009A60A2" w:rsidRDefault="00FD5EB5" w:rsidP="009A60A2">
      <w:pPr>
        <w:spacing w:line="360" w:lineRule="auto"/>
        <w:ind w:firstLine="720"/>
        <w:jc w:val="both"/>
        <w:rPr>
          <w:rFonts w:ascii="Times New Roman" w:hAnsi="Times New Roman" w:cs="Times New Roman"/>
          <w:color w:val="000000" w:themeColor="text1"/>
          <w:sz w:val="24"/>
          <w:szCs w:val="24"/>
        </w:rPr>
      </w:pPr>
      <w:r w:rsidRPr="009A60A2">
        <w:rPr>
          <w:rFonts w:ascii="Times New Roman" w:hAnsi="Times New Roman" w:cs="Times New Roman"/>
          <w:color w:val="000000" w:themeColor="text1"/>
          <w:sz w:val="24"/>
          <w:szCs w:val="24"/>
        </w:rPr>
        <w:t>Black pepper (</w:t>
      </w:r>
      <w:r w:rsidRPr="009A60A2">
        <w:rPr>
          <w:rFonts w:ascii="Times New Roman" w:hAnsi="Times New Roman" w:cs="Times New Roman"/>
          <w:i/>
          <w:iCs/>
          <w:color w:val="000000" w:themeColor="text1"/>
          <w:sz w:val="24"/>
          <w:szCs w:val="24"/>
        </w:rPr>
        <w:t>Piper nigrum</w:t>
      </w:r>
      <w:r w:rsidRPr="009A60A2">
        <w:rPr>
          <w:rFonts w:ascii="Times New Roman" w:hAnsi="Times New Roman" w:cs="Times New Roman"/>
          <w:color w:val="000000" w:themeColor="text1"/>
          <w:sz w:val="24"/>
          <w:szCs w:val="24"/>
        </w:rPr>
        <w:t xml:space="preserve"> L.), </w:t>
      </w:r>
      <w:r w:rsidR="00BB7C06" w:rsidRPr="009A60A2">
        <w:rPr>
          <w:rFonts w:ascii="Times New Roman" w:hAnsi="Times New Roman" w:cs="Times New Roman"/>
          <w:color w:val="000000" w:themeColor="text1"/>
          <w:sz w:val="24"/>
          <w:szCs w:val="24"/>
        </w:rPr>
        <w:t xml:space="preserve">known as </w:t>
      </w:r>
      <w:r w:rsidRPr="009A60A2">
        <w:rPr>
          <w:rFonts w:ascii="Times New Roman" w:hAnsi="Times New Roman" w:cs="Times New Roman"/>
          <w:color w:val="000000" w:themeColor="text1"/>
          <w:sz w:val="24"/>
          <w:szCs w:val="24"/>
        </w:rPr>
        <w:t xml:space="preserve">"King of spices" </w:t>
      </w:r>
      <w:r w:rsidR="00D664FB" w:rsidRPr="009A60A2">
        <w:rPr>
          <w:rFonts w:ascii="Times New Roman" w:hAnsi="Times New Roman" w:cs="Times New Roman"/>
          <w:color w:val="000000" w:themeColor="text1"/>
          <w:sz w:val="24"/>
          <w:szCs w:val="24"/>
        </w:rPr>
        <w:t xml:space="preserve">is one of the most historically significant and widely used spice crops. </w:t>
      </w:r>
      <w:r w:rsidR="0008027A" w:rsidRPr="009A60A2">
        <w:rPr>
          <w:rFonts w:ascii="Times New Roman" w:hAnsi="Times New Roman" w:cs="Times New Roman"/>
          <w:color w:val="000000" w:themeColor="text1"/>
          <w:sz w:val="24"/>
          <w:szCs w:val="24"/>
          <w:shd w:val="clear" w:color="auto" w:fill="FFFFFF"/>
        </w:rPr>
        <w:t xml:space="preserve">Globally, India being the fifth-largest producer of black pepper, </w:t>
      </w:r>
      <w:r w:rsidR="00D664FB" w:rsidRPr="009A60A2">
        <w:rPr>
          <w:rFonts w:ascii="Times New Roman" w:hAnsi="Times New Roman" w:cs="Times New Roman"/>
          <w:color w:val="000000" w:themeColor="text1"/>
          <w:sz w:val="24"/>
          <w:szCs w:val="24"/>
          <w:shd w:val="clear" w:color="auto" w:fill="FFFFFF"/>
        </w:rPr>
        <w:t>contributes around 66,000 metric tonnes to the world market (FAO, 2023)</w:t>
      </w:r>
      <w:r w:rsidR="0008027A" w:rsidRPr="009A60A2">
        <w:rPr>
          <w:rFonts w:ascii="Times New Roman" w:hAnsi="Times New Roman" w:cs="Times New Roman"/>
          <w:color w:val="000000" w:themeColor="text1"/>
          <w:sz w:val="24"/>
          <w:szCs w:val="24"/>
          <w:shd w:val="clear" w:color="auto" w:fill="FFFFFF"/>
        </w:rPr>
        <w:t>.</w:t>
      </w:r>
      <w:r w:rsidR="00D664FB" w:rsidRPr="009A60A2">
        <w:rPr>
          <w:rFonts w:ascii="Times New Roman" w:hAnsi="Times New Roman" w:cs="Times New Roman"/>
          <w:color w:val="000000" w:themeColor="text1"/>
          <w:sz w:val="24"/>
          <w:szCs w:val="24"/>
          <w:shd w:val="clear" w:color="auto" w:fill="FFFFFF"/>
        </w:rPr>
        <w:t xml:space="preserve"> </w:t>
      </w:r>
      <w:r w:rsidR="0008027A" w:rsidRPr="009A60A2">
        <w:rPr>
          <w:rFonts w:ascii="Times New Roman" w:hAnsi="Times New Roman" w:cs="Times New Roman"/>
          <w:color w:val="000000" w:themeColor="text1"/>
          <w:sz w:val="24"/>
          <w:szCs w:val="24"/>
          <w:shd w:val="clear" w:color="auto" w:fill="FFFFFF"/>
        </w:rPr>
        <w:t>It is referred to as 'black gold' (Nair, 2004)</w:t>
      </w:r>
      <w:r w:rsidR="00D664FB" w:rsidRPr="009A60A2">
        <w:rPr>
          <w:rFonts w:ascii="Times New Roman" w:hAnsi="Times New Roman" w:cs="Times New Roman"/>
          <w:color w:val="000000" w:themeColor="text1"/>
          <w:sz w:val="24"/>
          <w:szCs w:val="24"/>
          <w:shd w:val="clear" w:color="auto" w:fill="FFFFFF"/>
        </w:rPr>
        <w:t xml:space="preserve">, </w:t>
      </w:r>
      <w:r w:rsidR="00B81AA7">
        <w:rPr>
          <w:rFonts w:ascii="Times New Roman" w:hAnsi="Times New Roman" w:cs="Times New Roman"/>
          <w:color w:val="000000" w:themeColor="text1"/>
          <w:sz w:val="24"/>
          <w:szCs w:val="24"/>
          <w:shd w:val="clear" w:color="auto" w:fill="FFFFFF"/>
        </w:rPr>
        <w:t>being</w:t>
      </w:r>
      <w:r w:rsidR="00D664FB" w:rsidRPr="009A60A2">
        <w:rPr>
          <w:rFonts w:ascii="Times New Roman" w:hAnsi="Times New Roman" w:cs="Times New Roman"/>
          <w:color w:val="000000" w:themeColor="text1"/>
          <w:sz w:val="24"/>
          <w:szCs w:val="24"/>
          <w:shd w:val="clear" w:color="auto" w:fill="FFFFFF"/>
        </w:rPr>
        <w:t xml:space="preserve"> a valuable export commodity for several spice-producing countries </w:t>
      </w:r>
      <w:r w:rsidR="00BB7C06" w:rsidRPr="009A60A2">
        <w:rPr>
          <w:rFonts w:ascii="Times New Roman" w:hAnsi="Times New Roman" w:cs="Times New Roman"/>
          <w:color w:val="000000" w:themeColor="text1"/>
          <w:sz w:val="24"/>
          <w:szCs w:val="24"/>
          <w:shd w:val="clear" w:color="auto" w:fill="FFFFFF"/>
        </w:rPr>
        <w:t>(</w:t>
      </w:r>
      <w:r w:rsidR="00D664FB" w:rsidRPr="009A60A2">
        <w:rPr>
          <w:rFonts w:ascii="Times New Roman" w:hAnsi="Times New Roman" w:cs="Times New Roman"/>
          <w:color w:val="000000" w:themeColor="text1"/>
          <w:sz w:val="24"/>
          <w:szCs w:val="24"/>
          <w:shd w:val="clear" w:color="auto" w:fill="FFFFFF"/>
        </w:rPr>
        <w:t xml:space="preserve">Ton </w:t>
      </w:r>
      <w:r w:rsidR="00D664FB" w:rsidRPr="009A60A2">
        <w:rPr>
          <w:rFonts w:ascii="Times New Roman" w:hAnsi="Times New Roman" w:cs="Times New Roman"/>
          <w:i/>
          <w:iCs/>
          <w:color w:val="000000" w:themeColor="text1"/>
          <w:sz w:val="24"/>
          <w:szCs w:val="24"/>
          <w:shd w:val="clear" w:color="auto" w:fill="FFFFFF"/>
        </w:rPr>
        <w:t>et al</w:t>
      </w:r>
      <w:r w:rsidR="00D664FB" w:rsidRPr="009A60A2">
        <w:rPr>
          <w:rFonts w:ascii="Times New Roman" w:hAnsi="Times New Roman" w:cs="Times New Roman"/>
          <w:color w:val="000000" w:themeColor="text1"/>
          <w:sz w:val="24"/>
          <w:szCs w:val="24"/>
          <w:shd w:val="clear" w:color="auto" w:fill="FFFFFF"/>
        </w:rPr>
        <w:t xml:space="preserve">., 2005). </w:t>
      </w:r>
      <w:r w:rsidRPr="009A60A2">
        <w:rPr>
          <w:rFonts w:ascii="Times New Roman" w:hAnsi="Times New Roman" w:cs="Times New Roman"/>
          <w:color w:val="000000" w:themeColor="text1"/>
          <w:sz w:val="24"/>
          <w:szCs w:val="24"/>
        </w:rPr>
        <w:t xml:space="preserve">Disease and pest incidences are the major </w:t>
      </w:r>
      <w:r w:rsidRPr="009A60A2">
        <w:rPr>
          <w:rFonts w:ascii="Times New Roman" w:hAnsi="Times New Roman" w:cs="Times New Roman"/>
          <w:color w:val="000000" w:themeColor="text1"/>
          <w:sz w:val="24"/>
          <w:szCs w:val="24"/>
        </w:rPr>
        <w:lastRenderedPageBreak/>
        <w:t xml:space="preserve">constraints in black pepper production globally. </w:t>
      </w:r>
      <w:r w:rsidR="0008027A" w:rsidRPr="009A60A2">
        <w:rPr>
          <w:rFonts w:ascii="Times New Roman" w:hAnsi="Times New Roman" w:cs="Times New Roman"/>
          <w:color w:val="000000" w:themeColor="text1"/>
          <w:sz w:val="24"/>
          <w:szCs w:val="24"/>
        </w:rPr>
        <w:t xml:space="preserve">Plant pathogens </w:t>
      </w:r>
      <w:r w:rsidR="005C2EFB" w:rsidRPr="009A60A2">
        <w:rPr>
          <w:rFonts w:ascii="Times New Roman" w:hAnsi="Times New Roman" w:cs="Times New Roman"/>
          <w:color w:val="000000" w:themeColor="text1"/>
          <w:sz w:val="24"/>
          <w:szCs w:val="24"/>
        </w:rPr>
        <w:t>play</w:t>
      </w:r>
      <w:r w:rsidR="0008027A" w:rsidRPr="009A60A2">
        <w:rPr>
          <w:rFonts w:ascii="Times New Roman" w:hAnsi="Times New Roman" w:cs="Times New Roman"/>
          <w:color w:val="000000" w:themeColor="text1"/>
          <w:sz w:val="24"/>
          <w:szCs w:val="24"/>
        </w:rPr>
        <w:t xml:space="preserve"> a significant threat to cultivation of black pepper and is one of the most important factor</w:t>
      </w:r>
      <w:r w:rsidR="00AA0A83">
        <w:rPr>
          <w:rFonts w:ascii="Times New Roman" w:hAnsi="Times New Roman" w:cs="Times New Roman"/>
          <w:color w:val="000000" w:themeColor="text1"/>
          <w:sz w:val="24"/>
          <w:szCs w:val="24"/>
        </w:rPr>
        <w:t>s</w:t>
      </w:r>
      <w:r w:rsidR="0008027A" w:rsidRPr="009A60A2">
        <w:rPr>
          <w:rFonts w:ascii="Times New Roman" w:hAnsi="Times New Roman" w:cs="Times New Roman"/>
          <w:color w:val="000000" w:themeColor="text1"/>
          <w:sz w:val="24"/>
          <w:szCs w:val="24"/>
        </w:rPr>
        <w:t xml:space="preserve"> in agricultural yield losses</w:t>
      </w:r>
      <w:r w:rsidR="0008027A" w:rsidRPr="009A60A2">
        <w:rPr>
          <w:rFonts w:ascii="Times New Roman" w:hAnsi="Times New Roman" w:cs="Times New Roman"/>
          <w:color w:val="000000" w:themeColor="text1"/>
          <w:sz w:val="24"/>
          <w:szCs w:val="24"/>
          <w:shd w:val="clear" w:color="auto" w:fill="FFFFFF"/>
        </w:rPr>
        <w:t xml:space="preserve">. The cultivation of black pepper has decreased to one-third due to the destructive disease, like foot rot which remains a major challenge in black pepper production (Hema </w:t>
      </w:r>
      <w:r w:rsidR="0008027A" w:rsidRPr="009A60A2">
        <w:rPr>
          <w:rFonts w:ascii="Times New Roman" w:hAnsi="Times New Roman" w:cs="Times New Roman"/>
          <w:i/>
          <w:iCs/>
          <w:color w:val="000000" w:themeColor="text1"/>
          <w:sz w:val="24"/>
          <w:szCs w:val="24"/>
          <w:shd w:val="clear" w:color="auto" w:fill="FFFFFF"/>
        </w:rPr>
        <w:t>et al</w:t>
      </w:r>
      <w:r w:rsidR="0008027A" w:rsidRPr="009A60A2">
        <w:rPr>
          <w:rFonts w:ascii="Times New Roman" w:hAnsi="Times New Roman" w:cs="Times New Roman"/>
          <w:color w:val="000000" w:themeColor="text1"/>
          <w:sz w:val="24"/>
          <w:szCs w:val="24"/>
          <w:shd w:val="clear" w:color="auto" w:fill="FFFFFF"/>
        </w:rPr>
        <w:t>., 2007).</w:t>
      </w:r>
    </w:p>
    <w:p w14:paraId="5B311D20" w14:textId="36B6BC94" w:rsidR="003D26BD" w:rsidRPr="009A60A2" w:rsidRDefault="00D664FB" w:rsidP="009A60A2">
      <w:pPr>
        <w:spacing w:line="360" w:lineRule="auto"/>
        <w:ind w:firstLine="720"/>
        <w:jc w:val="both"/>
        <w:rPr>
          <w:rFonts w:ascii="Times New Roman" w:hAnsi="Times New Roman" w:cs="Times New Roman"/>
          <w:color w:val="000000" w:themeColor="text1"/>
          <w:sz w:val="24"/>
          <w:szCs w:val="24"/>
        </w:rPr>
      </w:pPr>
      <w:r w:rsidRPr="009A60A2">
        <w:rPr>
          <w:rFonts w:ascii="Times New Roman" w:hAnsi="Times New Roman" w:cs="Times New Roman"/>
          <w:color w:val="000000" w:themeColor="text1"/>
          <w:sz w:val="24"/>
          <w:szCs w:val="24"/>
        </w:rPr>
        <w:t xml:space="preserve">Foot rot, caused by </w:t>
      </w:r>
      <w:r w:rsidRPr="009A60A2">
        <w:rPr>
          <w:rFonts w:ascii="Times New Roman" w:hAnsi="Times New Roman" w:cs="Times New Roman"/>
          <w:i/>
          <w:iCs/>
          <w:color w:val="000000" w:themeColor="text1"/>
          <w:sz w:val="24"/>
          <w:szCs w:val="24"/>
        </w:rPr>
        <w:t>Phytophthora capsici</w:t>
      </w:r>
      <w:r w:rsidRPr="009A60A2">
        <w:rPr>
          <w:rFonts w:ascii="Times New Roman" w:hAnsi="Times New Roman" w:cs="Times New Roman"/>
          <w:color w:val="000000" w:themeColor="text1"/>
          <w:sz w:val="24"/>
          <w:szCs w:val="24"/>
        </w:rPr>
        <w:t>, is regarded as one of the most destructive diseases affecting black pepper cultivation in India.</w:t>
      </w:r>
      <w:r w:rsidR="00DD17BB">
        <w:rPr>
          <w:rFonts w:ascii="Times New Roman" w:hAnsi="Times New Roman" w:cs="Times New Roman"/>
          <w:color w:val="000000" w:themeColor="text1"/>
          <w:sz w:val="24"/>
          <w:szCs w:val="24"/>
        </w:rPr>
        <w:t xml:space="preserve"> </w:t>
      </w:r>
      <w:bookmarkStart w:id="1" w:name="_Hlk196983742"/>
      <w:r w:rsidR="009D3E49" w:rsidRPr="00801E11">
        <w:rPr>
          <w:rFonts w:ascii="Times New Roman" w:hAnsi="Times New Roman" w:cs="Times New Roman"/>
          <w:sz w:val="24"/>
          <w:szCs w:val="24"/>
        </w:rPr>
        <w:t>About</w:t>
      </w:r>
      <w:r w:rsidR="009D3E49" w:rsidRPr="00801E11">
        <w:rPr>
          <w:rFonts w:ascii="Times New Roman" w:hAnsi="Times New Roman" w:cs="Times New Roman"/>
          <w:spacing w:val="-1"/>
          <w:sz w:val="24"/>
          <w:szCs w:val="24"/>
        </w:rPr>
        <w:t xml:space="preserve"> </w:t>
      </w:r>
      <w:r w:rsidR="009D3E49" w:rsidRPr="00801E11">
        <w:rPr>
          <w:rFonts w:ascii="Times New Roman" w:hAnsi="Times New Roman" w:cs="Times New Roman"/>
          <w:sz w:val="24"/>
          <w:szCs w:val="24"/>
        </w:rPr>
        <w:t>25-30 per cent</w:t>
      </w:r>
      <w:r w:rsidR="009D3E49" w:rsidRPr="00801E11">
        <w:rPr>
          <w:rFonts w:ascii="Times New Roman" w:hAnsi="Times New Roman" w:cs="Times New Roman"/>
          <w:spacing w:val="-1"/>
          <w:sz w:val="24"/>
          <w:szCs w:val="24"/>
        </w:rPr>
        <w:t xml:space="preserve"> </w:t>
      </w:r>
      <w:r w:rsidR="009D3E49" w:rsidRPr="00801E11">
        <w:rPr>
          <w:rFonts w:ascii="Times New Roman" w:hAnsi="Times New Roman" w:cs="Times New Roman"/>
          <w:sz w:val="24"/>
          <w:szCs w:val="24"/>
        </w:rPr>
        <w:t>vine</w:t>
      </w:r>
      <w:r w:rsidR="009D3E49" w:rsidRPr="00801E11">
        <w:rPr>
          <w:rFonts w:ascii="Times New Roman" w:hAnsi="Times New Roman" w:cs="Times New Roman"/>
          <w:spacing w:val="-7"/>
          <w:sz w:val="24"/>
          <w:szCs w:val="24"/>
        </w:rPr>
        <w:t xml:space="preserve"> </w:t>
      </w:r>
      <w:r w:rsidR="009D3E49" w:rsidRPr="00801E11">
        <w:rPr>
          <w:rFonts w:ascii="Times New Roman" w:hAnsi="Times New Roman" w:cs="Times New Roman"/>
          <w:sz w:val="24"/>
          <w:szCs w:val="24"/>
        </w:rPr>
        <w:t>death</w:t>
      </w:r>
      <w:r w:rsidR="009D3E49" w:rsidRPr="00801E11">
        <w:rPr>
          <w:rFonts w:ascii="Times New Roman" w:hAnsi="Times New Roman" w:cs="Times New Roman"/>
          <w:spacing w:val="-2"/>
          <w:sz w:val="24"/>
          <w:szCs w:val="24"/>
        </w:rPr>
        <w:t xml:space="preserve"> </w:t>
      </w:r>
      <w:r w:rsidR="009D3E49" w:rsidRPr="00801E11">
        <w:rPr>
          <w:rFonts w:ascii="Times New Roman" w:hAnsi="Times New Roman" w:cs="Times New Roman"/>
          <w:sz w:val="24"/>
          <w:szCs w:val="24"/>
        </w:rPr>
        <w:t>has</w:t>
      </w:r>
      <w:r w:rsidR="009D3E49" w:rsidRPr="00801E11">
        <w:rPr>
          <w:rFonts w:ascii="Times New Roman" w:hAnsi="Times New Roman" w:cs="Times New Roman"/>
          <w:spacing w:val="-3"/>
          <w:sz w:val="24"/>
          <w:szCs w:val="24"/>
        </w:rPr>
        <w:t xml:space="preserve"> </w:t>
      </w:r>
      <w:r w:rsidR="009D3E49" w:rsidRPr="00801E11">
        <w:rPr>
          <w:rFonts w:ascii="Times New Roman" w:hAnsi="Times New Roman" w:cs="Times New Roman"/>
          <w:sz w:val="24"/>
          <w:szCs w:val="24"/>
        </w:rPr>
        <w:t xml:space="preserve">been </w:t>
      </w:r>
      <w:r w:rsidR="009D3E49" w:rsidRPr="00801E11">
        <w:rPr>
          <w:rFonts w:ascii="Times New Roman" w:hAnsi="Times New Roman" w:cs="Times New Roman"/>
          <w:spacing w:val="-6"/>
          <w:sz w:val="24"/>
          <w:szCs w:val="24"/>
        </w:rPr>
        <w:t>reported in</w:t>
      </w:r>
      <w:r w:rsidR="009D3E49" w:rsidRPr="00801E11">
        <w:rPr>
          <w:rFonts w:ascii="Times New Roman" w:hAnsi="Times New Roman" w:cs="Times New Roman"/>
          <w:spacing w:val="-5"/>
          <w:sz w:val="24"/>
          <w:szCs w:val="24"/>
        </w:rPr>
        <w:t xml:space="preserve"> </w:t>
      </w:r>
      <w:r w:rsidR="009D3E49" w:rsidRPr="00801E11">
        <w:rPr>
          <w:rFonts w:ascii="Times New Roman" w:hAnsi="Times New Roman" w:cs="Times New Roman"/>
          <w:spacing w:val="-6"/>
          <w:sz w:val="24"/>
          <w:szCs w:val="24"/>
        </w:rPr>
        <w:t>Kerala</w:t>
      </w:r>
      <w:r w:rsidR="009D3E49" w:rsidRPr="00801E11">
        <w:rPr>
          <w:rFonts w:ascii="Times New Roman" w:hAnsi="Times New Roman" w:cs="Times New Roman"/>
          <w:spacing w:val="-5"/>
          <w:sz w:val="24"/>
          <w:szCs w:val="24"/>
        </w:rPr>
        <w:t xml:space="preserve"> </w:t>
      </w:r>
      <w:r w:rsidR="009D3E49" w:rsidRPr="00801E11">
        <w:rPr>
          <w:rFonts w:ascii="Times New Roman" w:hAnsi="Times New Roman" w:cs="Times New Roman"/>
          <w:spacing w:val="-6"/>
          <w:sz w:val="24"/>
          <w:szCs w:val="24"/>
        </w:rPr>
        <w:t>(</w:t>
      </w:r>
      <w:r w:rsidR="009D3E49" w:rsidRPr="00D259A0">
        <w:rPr>
          <w:rFonts w:ascii="Times New Roman" w:hAnsi="Times New Roman" w:cs="Times New Roman"/>
          <w:spacing w:val="-6"/>
          <w:sz w:val="24"/>
          <w:szCs w:val="24"/>
        </w:rPr>
        <w:t xml:space="preserve">Mammootty </w:t>
      </w:r>
      <w:r w:rsidR="009D3E49" w:rsidRPr="00D259A0">
        <w:rPr>
          <w:rFonts w:ascii="Times New Roman" w:hAnsi="Times New Roman" w:cs="Times New Roman"/>
          <w:i/>
          <w:iCs/>
          <w:spacing w:val="-6"/>
          <w:sz w:val="24"/>
          <w:szCs w:val="24"/>
        </w:rPr>
        <w:t>et al</w:t>
      </w:r>
      <w:r w:rsidR="009D3E49" w:rsidRPr="00D259A0">
        <w:rPr>
          <w:rFonts w:ascii="Times New Roman" w:hAnsi="Times New Roman" w:cs="Times New Roman"/>
          <w:spacing w:val="-6"/>
          <w:sz w:val="24"/>
          <w:szCs w:val="24"/>
        </w:rPr>
        <w:t>.</w:t>
      </w:r>
      <w:r w:rsidR="009D3E49">
        <w:rPr>
          <w:rFonts w:ascii="Times New Roman" w:hAnsi="Times New Roman" w:cs="Times New Roman"/>
          <w:spacing w:val="-6"/>
          <w:sz w:val="24"/>
          <w:szCs w:val="24"/>
        </w:rPr>
        <w:t>,</w:t>
      </w:r>
      <w:r w:rsidR="009D3E49" w:rsidRPr="00D259A0">
        <w:rPr>
          <w:rFonts w:ascii="Times New Roman" w:hAnsi="Times New Roman" w:cs="Times New Roman"/>
          <w:spacing w:val="-6"/>
          <w:sz w:val="24"/>
          <w:szCs w:val="24"/>
        </w:rPr>
        <w:t xml:space="preserve"> 2008</w:t>
      </w:r>
      <w:r w:rsidR="009D3E49" w:rsidRPr="00801E11">
        <w:rPr>
          <w:rFonts w:ascii="Times New Roman" w:hAnsi="Times New Roman" w:cs="Times New Roman"/>
          <w:spacing w:val="-6"/>
          <w:sz w:val="24"/>
          <w:szCs w:val="24"/>
        </w:rPr>
        <w:t>).</w:t>
      </w:r>
      <w:bookmarkEnd w:id="1"/>
      <w:r w:rsidR="009D3E49">
        <w:rPr>
          <w:rFonts w:ascii="Times New Roman" w:hAnsi="Times New Roman" w:cs="Times New Roman"/>
          <w:spacing w:val="-6"/>
          <w:sz w:val="24"/>
          <w:szCs w:val="24"/>
        </w:rPr>
        <w:t xml:space="preserve"> </w:t>
      </w:r>
      <w:proofErr w:type="gramStart"/>
      <w:r w:rsidR="005C2EFB">
        <w:rPr>
          <w:rFonts w:ascii="Times New Roman" w:hAnsi="Times New Roman" w:cs="Times New Roman"/>
          <w:color w:val="000000" w:themeColor="text1"/>
          <w:sz w:val="24"/>
          <w:szCs w:val="24"/>
        </w:rPr>
        <w:t>Application</w:t>
      </w:r>
      <w:proofErr w:type="gramEnd"/>
      <w:r w:rsidR="005C2EFB">
        <w:rPr>
          <w:rFonts w:ascii="Times New Roman" w:hAnsi="Times New Roman" w:cs="Times New Roman"/>
          <w:color w:val="000000" w:themeColor="text1"/>
          <w:sz w:val="24"/>
          <w:szCs w:val="24"/>
        </w:rPr>
        <w:t xml:space="preserve"> of </w:t>
      </w:r>
      <w:r w:rsidR="00DD17BB">
        <w:rPr>
          <w:rFonts w:ascii="Times New Roman" w:hAnsi="Times New Roman" w:cs="Times New Roman"/>
          <w:color w:val="000000" w:themeColor="text1"/>
          <w:sz w:val="24"/>
          <w:szCs w:val="24"/>
        </w:rPr>
        <w:t xml:space="preserve">chemical </w:t>
      </w:r>
      <w:r w:rsidR="005C2EFB">
        <w:rPr>
          <w:rFonts w:ascii="Times New Roman" w:hAnsi="Times New Roman" w:cs="Times New Roman"/>
          <w:color w:val="000000" w:themeColor="text1"/>
          <w:sz w:val="24"/>
          <w:szCs w:val="24"/>
        </w:rPr>
        <w:t xml:space="preserve">fungicides, against pathogen can generate residual effect, resistance issues and resurgence in future. </w:t>
      </w:r>
      <w:r w:rsidR="0008027A" w:rsidRPr="009A60A2">
        <w:rPr>
          <w:rFonts w:ascii="Times New Roman" w:hAnsi="Times New Roman" w:cs="Times New Roman"/>
          <w:color w:val="000000" w:themeColor="text1"/>
          <w:sz w:val="24"/>
          <w:szCs w:val="24"/>
        </w:rPr>
        <w:t xml:space="preserve">Salicylic acid (SA) is a key plant hormone involved in activating </w:t>
      </w:r>
      <w:proofErr w:type="spellStart"/>
      <w:r w:rsidR="0008027A" w:rsidRPr="009A60A2">
        <w:rPr>
          <w:rFonts w:ascii="Times New Roman" w:hAnsi="Times New Roman" w:cs="Times New Roman"/>
          <w:color w:val="000000" w:themeColor="text1"/>
          <w:sz w:val="24"/>
          <w:szCs w:val="24"/>
        </w:rPr>
        <w:t>defense</w:t>
      </w:r>
      <w:proofErr w:type="spellEnd"/>
      <w:r w:rsidR="0008027A" w:rsidRPr="009A60A2">
        <w:rPr>
          <w:rFonts w:ascii="Times New Roman" w:hAnsi="Times New Roman" w:cs="Times New Roman"/>
          <w:color w:val="000000" w:themeColor="text1"/>
          <w:sz w:val="24"/>
          <w:szCs w:val="24"/>
        </w:rPr>
        <w:t xml:space="preserve"> mechanisms against various biotic and abiotic stresses</w:t>
      </w:r>
      <w:r w:rsidR="004D110F">
        <w:rPr>
          <w:rFonts w:ascii="Times New Roman" w:hAnsi="Times New Roman" w:cs="Times New Roman"/>
          <w:color w:val="000000" w:themeColor="text1"/>
          <w:sz w:val="24"/>
          <w:szCs w:val="24"/>
        </w:rPr>
        <w:t xml:space="preserve">. </w:t>
      </w:r>
      <w:r w:rsidR="00FD5EB5" w:rsidRPr="009A60A2">
        <w:rPr>
          <w:rFonts w:ascii="Times New Roman" w:hAnsi="Times New Roman" w:cs="Times New Roman"/>
          <w:color w:val="000000" w:themeColor="text1"/>
          <w:sz w:val="24"/>
          <w:szCs w:val="24"/>
        </w:rPr>
        <w:t>The SA plays a key role in resistance against microbial pathogens, establishment of local and systemic acquired resistances (LAR and SAR), and the accumulation of pathogenesis-related (PR) proteins for controlling plant pathogens</w:t>
      </w:r>
      <w:r w:rsidR="00C819F2">
        <w:rPr>
          <w:rFonts w:ascii="Times New Roman" w:hAnsi="Times New Roman" w:cs="Times New Roman"/>
          <w:color w:val="000000" w:themeColor="text1"/>
          <w:sz w:val="24"/>
          <w:szCs w:val="24"/>
        </w:rPr>
        <w:t xml:space="preserve"> </w:t>
      </w:r>
      <w:r w:rsidR="004D110F">
        <w:rPr>
          <w:rFonts w:ascii="Times New Roman" w:hAnsi="Times New Roman" w:cs="Times New Roman"/>
          <w:color w:val="000000" w:themeColor="text1"/>
          <w:sz w:val="24"/>
          <w:szCs w:val="24"/>
        </w:rPr>
        <w:t xml:space="preserve">(Ding and Ding, 2020). </w:t>
      </w:r>
    </w:p>
    <w:p w14:paraId="7000C170" w14:textId="56E84994" w:rsidR="004D110F" w:rsidRDefault="00A339F1" w:rsidP="009A60A2">
      <w:pPr>
        <w:spacing w:line="360" w:lineRule="auto"/>
        <w:ind w:firstLine="720"/>
        <w:jc w:val="both"/>
        <w:rPr>
          <w:rFonts w:ascii="Times New Roman" w:hAnsi="Times New Roman" w:cs="Times New Roman"/>
          <w:color w:val="000000" w:themeColor="text1"/>
          <w:sz w:val="24"/>
          <w:szCs w:val="24"/>
        </w:rPr>
      </w:pPr>
      <w:r w:rsidRPr="009A60A2">
        <w:rPr>
          <w:rFonts w:ascii="Times New Roman" w:hAnsi="Times New Roman" w:cs="Times New Roman"/>
          <w:color w:val="000000" w:themeColor="text1"/>
          <w:sz w:val="24"/>
          <w:szCs w:val="24"/>
        </w:rPr>
        <w:t xml:space="preserve">Exogenous application of salicylic acid (SA) at low concentrations can trigger </w:t>
      </w:r>
      <w:proofErr w:type="spellStart"/>
      <w:r w:rsidR="004D110F">
        <w:rPr>
          <w:rFonts w:ascii="Times New Roman" w:hAnsi="Times New Roman" w:cs="Times New Roman"/>
          <w:color w:val="000000" w:themeColor="text1"/>
          <w:sz w:val="24"/>
          <w:szCs w:val="24"/>
        </w:rPr>
        <w:t>defense</w:t>
      </w:r>
      <w:proofErr w:type="spellEnd"/>
      <w:r w:rsidRPr="009A60A2">
        <w:rPr>
          <w:rFonts w:ascii="Times New Roman" w:hAnsi="Times New Roman" w:cs="Times New Roman"/>
          <w:color w:val="000000" w:themeColor="text1"/>
          <w:sz w:val="24"/>
          <w:szCs w:val="24"/>
        </w:rPr>
        <w:t xml:space="preserve"> responses in susceptible host plants. </w:t>
      </w:r>
      <w:r w:rsidR="00495505" w:rsidRPr="009A60A2">
        <w:rPr>
          <w:rFonts w:ascii="Times New Roman" w:hAnsi="Times New Roman" w:cs="Times New Roman"/>
          <w:color w:val="000000" w:themeColor="text1"/>
          <w:sz w:val="24"/>
          <w:szCs w:val="24"/>
        </w:rPr>
        <w:t>SA</w:t>
      </w:r>
      <w:r w:rsidR="00BF78E5" w:rsidRPr="009A60A2">
        <w:rPr>
          <w:rFonts w:ascii="Times New Roman" w:hAnsi="Times New Roman" w:cs="Times New Roman"/>
          <w:color w:val="000000" w:themeColor="text1"/>
          <w:sz w:val="24"/>
          <w:szCs w:val="24"/>
        </w:rPr>
        <w:t xml:space="preserve"> initiate signal transduction pathways that lead to transcription of various genes thereby triggering the accumulation of </w:t>
      </w:r>
      <w:proofErr w:type="spellStart"/>
      <w:r w:rsidR="00DD17BB">
        <w:rPr>
          <w:rFonts w:ascii="Times New Roman" w:hAnsi="Times New Roman" w:cs="Times New Roman"/>
          <w:color w:val="000000" w:themeColor="text1"/>
          <w:sz w:val="24"/>
          <w:szCs w:val="24"/>
        </w:rPr>
        <w:t>defense</w:t>
      </w:r>
      <w:proofErr w:type="spellEnd"/>
      <w:r w:rsidR="00DD17BB">
        <w:rPr>
          <w:rFonts w:ascii="Times New Roman" w:hAnsi="Times New Roman" w:cs="Times New Roman"/>
          <w:color w:val="000000" w:themeColor="text1"/>
          <w:sz w:val="24"/>
          <w:szCs w:val="24"/>
        </w:rPr>
        <w:t xml:space="preserve"> </w:t>
      </w:r>
      <w:r w:rsidR="00BF78E5" w:rsidRPr="009A60A2">
        <w:rPr>
          <w:rFonts w:ascii="Times New Roman" w:hAnsi="Times New Roman" w:cs="Times New Roman"/>
          <w:color w:val="000000" w:themeColor="text1"/>
          <w:sz w:val="24"/>
          <w:szCs w:val="24"/>
        </w:rPr>
        <w:t xml:space="preserve">molecules such as polyphenols, alkaloids, terpenoids, and steroids involved in </w:t>
      </w:r>
      <w:proofErr w:type="spellStart"/>
      <w:r w:rsidR="00BF78E5" w:rsidRPr="009A60A2">
        <w:rPr>
          <w:rFonts w:ascii="Times New Roman" w:hAnsi="Times New Roman" w:cs="Times New Roman"/>
          <w:color w:val="000000" w:themeColor="text1"/>
          <w:sz w:val="24"/>
          <w:szCs w:val="24"/>
        </w:rPr>
        <w:t>defense</w:t>
      </w:r>
      <w:proofErr w:type="spellEnd"/>
      <w:r w:rsidR="00BF78E5" w:rsidRPr="009A60A2">
        <w:rPr>
          <w:rFonts w:ascii="Times New Roman" w:hAnsi="Times New Roman" w:cs="Times New Roman"/>
          <w:color w:val="000000" w:themeColor="text1"/>
          <w:sz w:val="24"/>
          <w:szCs w:val="24"/>
        </w:rPr>
        <w:t xml:space="preserve"> and resistance of plants (Pieterse and Van Loon 1999; Hayat </w:t>
      </w:r>
      <w:r w:rsidR="00BF78E5" w:rsidRPr="009A60A2">
        <w:rPr>
          <w:rFonts w:ascii="Times New Roman" w:hAnsi="Times New Roman" w:cs="Times New Roman"/>
          <w:i/>
          <w:iCs/>
          <w:color w:val="000000" w:themeColor="text1"/>
          <w:sz w:val="24"/>
          <w:szCs w:val="24"/>
        </w:rPr>
        <w:t>et al</w:t>
      </w:r>
      <w:r w:rsidR="00BF78E5" w:rsidRPr="009A60A2">
        <w:rPr>
          <w:rFonts w:ascii="Times New Roman" w:hAnsi="Times New Roman" w:cs="Times New Roman"/>
          <w:color w:val="000000" w:themeColor="text1"/>
          <w:sz w:val="24"/>
          <w:szCs w:val="24"/>
        </w:rPr>
        <w:t>.</w:t>
      </w:r>
      <w:r w:rsidR="008E451B">
        <w:rPr>
          <w:rFonts w:ascii="Times New Roman" w:hAnsi="Times New Roman" w:cs="Times New Roman"/>
          <w:color w:val="000000" w:themeColor="text1"/>
          <w:sz w:val="24"/>
          <w:szCs w:val="24"/>
        </w:rPr>
        <w:t>,</w:t>
      </w:r>
      <w:r w:rsidR="00BF78E5" w:rsidRPr="009A60A2">
        <w:rPr>
          <w:rFonts w:ascii="Times New Roman" w:hAnsi="Times New Roman" w:cs="Times New Roman"/>
          <w:color w:val="000000" w:themeColor="text1"/>
          <w:sz w:val="24"/>
          <w:szCs w:val="24"/>
        </w:rPr>
        <w:t xml:space="preserve"> 2010; Giri and Zaheer 2016)</w:t>
      </w:r>
      <w:r w:rsidR="007D12E2" w:rsidRPr="009A60A2">
        <w:rPr>
          <w:rFonts w:ascii="Times New Roman" w:hAnsi="Times New Roman" w:cs="Times New Roman"/>
          <w:color w:val="000000" w:themeColor="text1"/>
          <w:sz w:val="24"/>
          <w:szCs w:val="24"/>
        </w:rPr>
        <w:t xml:space="preserve">. </w:t>
      </w:r>
      <w:r w:rsidR="00495505" w:rsidRPr="009A60A2">
        <w:rPr>
          <w:rFonts w:ascii="Times New Roman" w:hAnsi="Times New Roman" w:cs="Times New Roman"/>
          <w:color w:val="000000" w:themeColor="text1"/>
          <w:sz w:val="24"/>
          <w:szCs w:val="24"/>
        </w:rPr>
        <w:t>In addition</w:t>
      </w:r>
      <w:r w:rsidR="00DD17BB">
        <w:rPr>
          <w:rFonts w:ascii="Times New Roman" w:hAnsi="Times New Roman" w:cs="Times New Roman"/>
          <w:color w:val="000000" w:themeColor="text1"/>
          <w:sz w:val="24"/>
          <w:szCs w:val="24"/>
        </w:rPr>
        <w:t>,</w:t>
      </w:r>
      <w:r w:rsidR="00495505" w:rsidRPr="009A60A2">
        <w:rPr>
          <w:rFonts w:ascii="Times New Roman" w:hAnsi="Times New Roman" w:cs="Times New Roman"/>
          <w:color w:val="000000" w:themeColor="text1"/>
          <w:sz w:val="24"/>
          <w:szCs w:val="24"/>
        </w:rPr>
        <w:t xml:space="preserve"> elicitors like JA and SA induce the formation of reactive oxygen species (ROS)</w:t>
      </w:r>
      <w:r w:rsidR="00DD17BB">
        <w:rPr>
          <w:rFonts w:ascii="Times New Roman" w:hAnsi="Times New Roman" w:cs="Times New Roman"/>
          <w:color w:val="000000" w:themeColor="text1"/>
          <w:sz w:val="24"/>
          <w:szCs w:val="24"/>
        </w:rPr>
        <w:t xml:space="preserve"> </w:t>
      </w:r>
      <w:r w:rsidR="00495505" w:rsidRPr="009A60A2">
        <w:rPr>
          <w:rFonts w:ascii="Times New Roman" w:hAnsi="Times New Roman" w:cs="Times New Roman"/>
          <w:color w:val="000000" w:themeColor="text1"/>
          <w:sz w:val="24"/>
          <w:szCs w:val="24"/>
        </w:rPr>
        <w:t>and hydroxyl radicals (∙OH), which can cause oxidative damage and cell death</w:t>
      </w:r>
      <w:r w:rsidR="00023E6E">
        <w:rPr>
          <w:rFonts w:ascii="Times New Roman" w:hAnsi="Times New Roman" w:cs="Times New Roman"/>
          <w:color w:val="000000" w:themeColor="text1"/>
          <w:sz w:val="24"/>
          <w:szCs w:val="24"/>
        </w:rPr>
        <w:t xml:space="preserve"> by</w:t>
      </w:r>
      <w:r w:rsidR="00DD17BB">
        <w:rPr>
          <w:rFonts w:ascii="Times New Roman" w:hAnsi="Times New Roman" w:cs="Times New Roman"/>
          <w:color w:val="000000" w:themeColor="text1"/>
          <w:sz w:val="24"/>
          <w:szCs w:val="24"/>
        </w:rPr>
        <w:t xml:space="preserve"> inducing HR reaction</w:t>
      </w:r>
      <w:r w:rsidR="00495505" w:rsidRPr="009A60A2">
        <w:rPr>
          <w:rFonts w:ascii="Times New Roman" w:hAnsi="Times New Roman" w:cs="Times New Roman"/>
          <w:color w:val="000000" w:themeColor="text1"/>
          <w:sz w:val="24"/>
          <w:szCs w:val="24"/>
        </w:rPr>
        <w:t xml:space="preserve">. </w:t>
      </w:r>
      <w:r w:rsidR="00CF0976" w:rsidRPr="00CF0976">
        <w:rPr>
          <w:rFonts w:ascii="Times New Roman" w:hAnsi="Times New Roman" w:cs="Times New Roman"/>
          <w:color w:val="000000" w:themeColor="text1"/>
          <w:sz w:val="24"/>
          <w:szCs w:val="24"/>
        </w:rPr>
        <w:t xml:space="preserve">Besides, plants often respond to pathogens by producing specific phenolic substances, which play a crucial role in pre-invasive structural </w:t>
      </w:r>
      <w:proofErr w:type="spellStart"/>
      <w:r w:rsidR="00CF0976" w:rsidRPr="00CF0976">
        <w:rPr>
          <w:rFonts w:ascii="Times New Roman" w:hAnsi="Times New Roman" w:cs="Times New Roman"/>
          <w:color w:val="000000" w:themeColor="text1"/>
          <w:sz w:val="24"/>
          <w:szCs w:val="24"/>
        </w:rPr>
        <w:t>defenses</w:t>
      </w:r>
      <w:proofErr w:type="spellEnd"/>
      <w:r w:rsidR="00CF0976" w:rsidRPr="00CF0976">
        <w:rPr>
          <w:rFonts w:ascii="Times New Roman" w:hAnsi="Times New Roman" w:cs="Times New Roman"/>
          <w:color w:val="000000" w:themeColor="text1"/>
          <w:sz w:val="24"/>
          <w:szCs w:val="24"/>
        </w:rPr>
        <w:t xml:space="preserve"> including the reinforcement of cell walls (e.g., lignin and callose depositions), and productions of toxic compounds (e.g., phytoalexins) at attempted penetration sites</w:t>
      </w:r>
      <w:r w:rsidR="00EE60D0">
        <w:rPr>
          <w:rFonts w:ascii="Times New Roman" w:hAnsi="Times New Roman" w:cs="Times New Roman"/>
          <w:color w:val="000000" w:themeColor="text1"/>
          <w:sz w:val="24"/>
          <w:szCs w:val="24"/>
        </w:rPr>
        <w:t xml:space="preserve"> (Kumar </w:t>
      </w:r>
      <w:r w:rsidR="00EE60D0" w:rsidRPr="00EE60D0">
        <w:rPr>
          <w:rFonts w:ascii="Times New Roman" w:hAnsi="Times New Roman" w:cs="Times New Roman"/>
          <w:i/>
          <w:iCs/>
          <w:color w:val="000000" w:themeColor="text1"/>
          <w:sz w:val="24"/>
          <w:szCs w:val="24"/>
        </w:rPr>
        <w:t>et al</w:t>
      </w:r>
      <w:r w:rsidR="00EE60D0">
        <w:rPr>
          <w:rFonts w:ascii="Times New Roman" w:hAnsi="Times New Roman" w:cs="Times New Roman"/>
          <w:color w:val="000000" w:themeColor="text1"/>
          <w:sz w:val="24"/>
          <w:szCs w:val="24"/>
        </w:rPr>
        <w:t>., 2014)</w:t>
      </w:r>
      <w:r w:rsidR="004627D3">
        <w:rPr>
          <w:rFonts w:ascii="Times New Roman" w:hAnsi="Times New Roman" w:cs="Times New Roman"/>
          <w:color w:val="000000" w:themeColor="text1"/>
          <w:sz w:val="24"/>
          <w:szCs w:val="24"/>
        </w:rPr>
        <w:t xml:space="preserve">. </w:t>
      </w:r>
      <w:r w:rsidR="004627D3" w:rsidRPr="004627D3">
        <w:rPr>
          <w:rFonts w:ascii="Times New Roman" w:hAnsi="Times New Roman" w:cs="Times New Roman"/>
          <w:color w:val="000000" w:themeColor="text1"/>
          <w:sz w:val="24"/>
          <w:szCs w:val="24"/>
        </w:rPr>
        <w:t xml:space="preserve">A significant increase in the synthesis of flavonoids in response to application of SA was observed in various medicinal plant species like </w:t>
      </w:r>
      <w:proofErr w:type="spellStart"/>
      <w:r w:rsidR="004627D3" w:rsidRPr="004627D3">
        <w:rPr>
          <w:rFonts w:ascii="Times New Roman" w:hAnsi="Times New Roman" w:cs="Times New Roman"/>
          <w:i/>
          <w:iCs/>
          <w:color w:val="000000" w:themeColor="text1"/>
          <w:sz w:val="24"/>
          <w:szCs w:val="24"/>
        </w:rPr>
        <w:t>Matricaria</w:t>
      </w:r>
      <w:proofErr w:type="spellEnd"/>
      <w:r w:rsidR="004627D3" w:rsidRPr="004627D3">
        <w:rPr>
          <w:rFonts w:ascii="Times New Roman" w:hAnsi="Times New Roman" w:cs="Times New Roman"/>
          <w:i/>
          <w:iCs/>
          <w:color w:val="000000" w:themeColor="text1"/>
          <w:sz w:val="24"/>
          <w:szCs w:val="24"/>
        </w:rPr>
        <w:t xml:space="preserve"> chamomilla</w:t>
      </w:r>
      <w:r w:rsidR="004627D3">
        <w:rPr>
          <w:rFonts w:ascii="Times New Roman" w:hAnsi="Times New Roman" w:cs="Times New Roman"/>
          <w:color w:val="000000" w:themeColor="text1"/>
          <w:sz w:val="24"/>
          <w:szCs w:val="24"/>
        </w:rPr>
        <w:t xml:space="preserve">, </w:t>
      </w:r>
      <w:r w:rsidR="004627D3" w:rsidRPr="004627D3">
        <w:rPr>
          <w:rFonts w:ascii="Times New Roman" w:hAnsi="Times New Roman" w:cs="Times New Roman"/>
          <w:i/>
          <w:iCs/>
          <w:color w:val="000000" w:themeColor="text1"/>
          <w:sz w:val="24"/>
          <w:szCs w:val="24"/>
        </w:rPr>
        <w:t>Taraxacum officinale</w:t>
      </w:r>
      <w:r w:rsidR="004627D3">
        <w:rPr>
          <w:rFonts w:ascii="Times New Roman" w:hAnsi="Times New Roman" w:cs="Times New Roman"/>
          <w:color w:val="000000" w:themeColor="text1"/>
          <w:sz w:val="24"/>
          <w:szCs w:val="24"/>
        </w:rPr>
        <w:t xml:space="preserve"> and </w:t>
      </w:r>
      <w:r w:rsidR="004627D3" w:rsidRPr="004627D3">
        <w:rPr>
          <w:rFonts w:ascii="Times New Roman" w:hAnsi="Times New Roman" w:cs="Times New Roman"/>
          <w:i/>
          <w:iCs/>
          <w:color w:val="000000" w:themeColor="text1"/>
          <w:sz w:val="24"/>
          <w:szCs w:val="24"/>
        </w:rPr>
        <w:t>Zingiber officinale</w:t>
      </w:r>
      <w:r w:rsidR="004627D3">
        <w:rPr>
          <w:rFonts w:ascii="Times New Roman" w:hAnsi="Times New Roman" w:cs="Times New Roman"/>
          <w:color w:val="000000" w:themeColor="text1"/>
          <w:sz w:val="24"/>
          <w:szCs w:val="24"/>
        </w:rPr>
        <w:t xml:space="preserve">. </w:t>
      </w:r>
      <w:r w:rsidR="00495505" w:rsidRPr="009A60A2">
        <w:rPr>
          <w:rFonts w:ascii="Times New Roman" w:hAnsi="Times New Roman" w:cs="Times New Roman"/>
          <w:color w:val="000000" w:themeColor="text1"/>
          <w:sz w:val="24"/>
          <w:szCs w:val="24"/>
        </w:rPr>
        <w:t xml:space="preserve">The beneficial roles of phenolics and flavonoids are largely attributed to their antioxidant properties (Ghasemzadeh </w:t>
      </w:r>
      <w:r w:rsidR="00495505" w:rsidRPr="009A60A2">
        <w:rPr>
          <w:rFonts w:ascii="Times New Roman" w:hAnsi="Times New Roman" w:cs="Times New Roman"/>
          <w:i/>
          <w:iCs/>
          <w:color w:val="000000" w:themeColor="text1"/>
          <w:sz w:val="24"/>
          <w:szCs w:val="24"/>
        </w:rPr>
        <w:t>et al</w:t>
      </w:r>
      <w:r w:rsidR="00495505" w:rsidRPr="009A60A2">
        <w:rPr>
          <w:rFonts w:ascii="Times New Roman" w:hAnsi="Times New Roman" w:cs="Times New Roman"/>
          <w:color w:val="000000" w:themeColor="text1"/>
          <w:sz w:val="24"/>
          <w:szCs w:val="24"/>
        </w:rPr>
        <w:t>., 2010)</w:t>
      </w:r>
      <w:r w:rsidR="00E13221" w:rsidRPr="009A60A2">
        <w:rPr>
          <w:rFonts w:ascii="Times New Roman" w:hAnsi="Times New Roman" w:cs="Times New Roman"/>
          <w:color w:val="000000" w:themeColor="text1"/>
          <w:sz w:val="24"/>
          <w:szCs w:val="24"/>
        </w:rPr>
        <w:t xml:space="preserve">. </w:t>
      </w:r>
    </w:p>
    <w:p w14:paraId="52C53362" w14:textId="08F842D0" w:rsidR="00495505" w:rsidRDefault="00495505" w:rsidP="009A60A2">
      <w:pPr>
        <w:spacing w:line="360" w:lineRule="auto"/>
        <w:ind w:firstLine="720"/>
        <w:jc w:val="both"/>
        <w:rPr>
          <w:rFonts w:ascii="Times New Roman" w:hAnsi="Times New Roman" w:cs="Times New Roman"/>
          <w:color w:val="000000" w:themeColor="text1"/>
          <w:sz w:val="24"/>
          <w:szCs w:val="24"/>
        </w:rPr>
      </w:pPr>
      <w:r w:rsidRPr="009A60A2">
        <w:rPr>
          <w:rFonts w:ascii="Times New Roman" w:hAnsi="Times New Roman" w:cs="Times New Roman"/>
          <w:color w:val="000000" w:themeColor="text1"/>
          <w:sz w:val="24"/>
          <w:szCs w:val="24"/>
        </w:rPr>
        <w:t xml:space="preserve">The present investigation was conducted to </w:t>
      </w:r>
      <w:r w:rsidR="00DD17BB">
        <w:rPr>
          <w:rFonts w:ascii="Times New Roman" w:hAnsi="Times New Roman" w:cs="Times New Roman"/>
          <w:color w:val="000000" w:themeColor="text1"/>
          <w:sz w:val="24"/>
          <w:szCs w:val="24"/>
        </w:rPr>
        <w:t xml:space="preserve">elucidate </w:t>
      </w:r>
      <w:r w:rsidRPr="009A60A2">
        <w:rPr>
          <w:rFonts w:ascii="Times New Roman" w:hAnsi="Times New Roman" w:cs="Times New Roman"/>
          <w:color w:val="000000" w:themeColor="text1"/>
          <w:sz w:val="24"/>
          <w:szCs w:val="24"/>
        </w:rPr>
        <w:t xml:space="preserve">the </w:t>
      </w:r>
      <w:r w:rsidR="00DD17BB">
        <w:rPr>
          <w:rFonts w:ascii="Times New Roman" w:hAnsi="Times New Roman" w:cs="Times New Roman"/>
          <w:color w:val="000000" w:themeColor="text1"/>
          <w:sz w:val="24"/>
          <w:szCs w:val="24"/>
        </w:rPr>
        <w:t>role</w:t>
      </w:r>
      <w:r w:rsidRPr="009A60A2">
        <w:rPr>
          <w:rFonts w:ascii="Times New Roman" w:hAnsi="Times New Roman" w:cs="Times New Roman"/>
          <w:color w:val="000000" w:themeColor="text1"/>
          <w:sz w:val="24"/>
          <w:szCs w:val="24"/>
        </w:rPr>
        <w:t xml:space="preserve"> of exogenous application of salicylic acid in triggering total phenol and flavonoid content in black pepper against </w:t>
      </w:r>
      <w:r w:rsidRPr="009A60A2">
        <w:rPr>
          <w:rFonts w:ascii="Times New Roman" w:hAnsi="Times New Roman" w:cs="Times New Roman"/>
          <w:i/>
          <w:iCs/>
          <w:color w:val="000000" w:themeColor="text1"/>
          <w:sz w:val="24"/>
          <w:szCs w:val="24"/>
        </w:rPr>
        <w:t>Phytophthora</w:t>
      </w:r>
      <w:r w:rsidRPr="009A60A2">
        <w:rPr>
          <w:rFonts w:ascii="Times New Roman" w:hAnsi="Times New Roman" w:cs="Times New Roman"/>
          <w:color w:val="000000" w:themeColor="text1"/>
          <w:sz w:val="24"/>
          <w:szCs w:val="24"/>
        </w:rPr>
        <w:t xml:space="preserve"> sp.</w:t>
      </w:r>
    </w:p>
    <w:p w14:paraId="5AA83E08" w14:textId="77777777" w:rsidR="00023E6E" w:rsidRDefault="00023E6E" w:rsidP="00C819F2">
      <w:pPr>
        <w:spacing w:line="360" w:lineRule="auto"/>
        <w:jc w:val="both"/>
        <w:rPr>
          <w:rFonts w:ascii="Times New Roman" w:hAnsi="Times New Roman" w:cs="Times New Roman"/>
          <w:b/>
          <w:bCs/>
          <w:color w:val="000000" w:themeColor="text1"/>
          <w:sz w:val="24"/>
          <w:szCs w:val="24"/>
        </w:rPr>
      </w:pPr>
    </w:p>
    <w:p w14:paraId="2B57B625" w14:textId="77777777" w:rsidR="00023E6E" w:rsidRDefault="00023E6E" w:rsidP="00C819F2">
      <w:pPr>
        <w:spacing w:line="360" w:lineRule="auto"/>
        <w:jc w:val="both"/>
        <w:rPr>
          <w:rFonts w:ascii="Times New Roman" w:hAnsi="Times New Roman" w:cs="Times New Roman"/>
          <w:b/>
          <w:bCs/>
          <w:color w:val="000000" w:themeColor="text1"/>
          <w:sz w:val="24"/>
          <w:szCs w:val="24"/>
        </w:rPr>
      </w:pPr>
    </w:p>
    <w:p w14:paraId="2756BEE5" w14:textId="03609599" w:rsidR="00C819F2" w:rsidRPr="00C819F2" w:rsidRDefault="00C819F2" w:rsidP="00C819F2">
      <w:pPr>
        <w:spacing w:line="360" w:lineRule="auto"/>
        <w:jc w:val="both"/>
        <w:rPr>
          <w:rFonts w:ascii="Times New Roman" w:hAnsi="Times New Roman" w:cs="Times New Roman"/>
          <w:b/>
          <w:bCs/>
          <w:color w:val="000000" w:themeColor="text1"/>
          <w:sz w:val="24"/>
          <w:szCs w:val="24"/>
        </w:rPr>
      </w:pPr>
      <w:r w:rsidRPr="00C819F2">
        <w:rPr>
          <w:rFonts w:ascii="Times New Roman" w:hAnsi="Times New Roman" w:cs="Times New Roman"/>
          <w:b/>
          <w:bCs/>
          <w:color w:val="000000" w:themeColor="text1"/>
          <w:sz w:val="24"/>
          <w:szCs w:val="24"/>
        </w:rPr>
        <w:lastRenderedPageBreak/>
        <w:t>Materials and Methods</w:t>
      </w:r>
    </w:p>
    <w:tbl>
      <w:tblPr>
        <w:tblStyle w:val="TableGrid"/>
        <w:tblpPr w:leftFromText="180" w:rightFromText="180" w:vertAnchor="text" w:horzAnchor="margin" w:tblpY="5756"/>
        <w:tblW w:w="9103" w:type="dxa"/>
        <w:tblLook w:val="04A0" w:firstRow="1" w:lastRow="0" w:firstColumn="1" w:lastColumn="0" w:noHBand="0" w:noVBand="1"/>
      </w:tblPr>
      <w:tblGrid>
        <w:gridCol w:w="1851"/>
        <w:gridCol w:w="7252"/>
      </w:tblGrid>
      <w:tr w:rsidR="009576CF" w:rsidRPr="009A60A2" w14:paraId="4F5E3263" w14:textId="77777777" w:rsidTr="009576CF">
        <w:trPr>
          <w:trHeight w:val="423"/>
        </w:trPr>
        <w:tc>
          <w:tcPr>
            <w:tcW w:w="1851" w:type="dxa"/>
          </w:tcPr>
          <w:p w14:paraId="07391300" w14:textId="77777777" w:rsidR="009576CF" w:rsidRPr="009A60A2" w:rsidRDefault="009576CF" w:rsidP="009576CF">
            <w:pPr>
              <w:spacing w:line="360" w:lineRule="auto"/>
              <w:jc w:val="both"/>
              <w:rPr>
                <w:rFonts w:ascii="Times New Roman" w:hAnsi="Times New Roman" w:cs="Times New Roman"/>
                <w:b/>
                <w:bCs/>
                <w:sz w:val="24"/>
                <w:szCs w:val="24"/>
              </w:rPr>
            </w:pPr>
            <w:bookmarkStart w:id="2" w:name="_Hlk193700515"/>
            <w:bookmarkStart w:id="3" w:name="_Hlk189733506"/>
            <w:r w:rsidRPr="009A60A2">
              <w:rPr>
                <w:rFonts w:ascii="Times New Roman" w:hAnsi="Times New Roman" w:cs="Times New Roman"/>
                <w:b/>
                <w:bCs/>
                <w:sz w:val="24"/>
                <w:szCs w:val="24"/>
              </w:rPr>
              <w:t>Treatments</w:t>
            </w:r>
          </w:p>
        </w:tc>
        <w:tc>
          <w:tcPr>
            <w:tcW w:w="7252" w:type="dxa"/>
          </w:tcPr>
          <w:p w14:paraId="339AA950" w14:textId="77777777" w:rsidR="009576CF" w:rsidRPr="009A60A2" w:rsidRDefault="009576CF" w:rsidP="009576CF">
            <w:pPr>
              <w:spacing w:line="360" w:lineRule="auto"/>
              <w:jc w:val="both"/>
              <w:rPr>
                <w:rFonts w:ascii="Times New Roman" w:hAnsi="Times New Roman" w:cs="Times New Roman"/>
                <w:b/>
                <w:bCs/>
                <w:sz w:val="24"/>
                <w:szCs w:val="24"/>
              </w:rPr>
            </w:pPr>
            <w:r w:rsidRPr="009A60A2">
              <w:rPr>
                <w:rFonts w:ascii="Times New Roman" w:hAnsi="Times New Roman" w:cs="Times New Roman"/>
                <w:b/>
                <w:bCs/>
                <w:sz w:val="24"/>
                <w:szCs w:val="24"/>
              </w:rPr>
              <w:t>Concentration</w:t>
            </w:r>
          </w:p>
        </w:tc>
      </w:tr>
      <w:tr w:rsidR="009576CF" w:rsidRPr="009A60A2" w14:paraId="125A1583" w14:textId="77777777" w:rsidTr="009576CF">
        <w:trPr>
          <w:trHeight w:val="436"/>
        </w:trPr>
        <w:tc>
          <w:tcPr>
            <w:tcW w:w="1851" w:type="dxa"/>
          </w:tcPr>
          <w:p w14:paraId="6BBFCF03" w14:textId="77777777" w:rsidR="009576CF" w:rsidRPr="009A60A2" w:rsidRDefault="009576CF" w:rsidP="009576CF">
            <w:pPr>
              <w:spacing w:line="360" w:lineRule="auto"/>
              <w:jc w:val="center"/>
              <w:rPr>
                <w:rFonts w:ascii="Times New Roman" w:hAnsi="Times New Roman" w:cs="Times New Roman"/>
                <w:sz w:val="24"/>
                <w:szCs w:val="24"/>
              </w:rPr>
            </w:pPr>
            <w:r w:rsidRPr="009A60A2">
              <w:rPr>
                <w:rFonts w:ascii="Times New Roman" w:hAnsi="Times New Roman" w:cs="Times New Roman"/>
                <w:sz w:val="24"/>
                <w:szCs w:val="24"/>
              </w:rPr>
              <w:t>T</w:t>
            </w:r>
            <w:r w:rsidRPr="008E451B">
              <w:rPr>
                <w:rFonts w:ascii="Times New Roman" w:hAnsi="Times New Roman" w:cs="Times New Roman"/>
                <w:sz w:val="24"/>
                <w:szCs w:val="24"/>
                <w:vertAlign w:val="subscript"/>
              </w:rPr>
              <w:t>1</w:t>
            </w:r>
          </w:p>
        </w:tc>
        <w:tc>
          <w:tcPr>
            <w:tcW w:w="7252" w:type="dxa"/>
          </w:tcPr>
          <w:p w14:paraId="38759822" w14:textId="77777777" w:rsidR="009576CF" w:rsidRPr="009A60A2" w:rsidRDefault="009576CF" w:rsidP="009576CF">
            <w:pPr>
              <w:spacing w:line="360" w:lineRule="auto"/>
              <w:jc w:val="both"/>
              <w:rPr>
                <w:rFonts w:ascii="Times New Roman" w:hAnsi="Times New Roman" w:cs="Times New Roman"/>
                <w:sz w:val="24"/>
                <w:szCs w:val="24"/>
              </w:rPr>
            </w:pPr>
            <w:r w:rsidRPr="009A60A2">
              <w:rPr>
                <w:rFonts w:ascii="Times New Roman" w:hAnsi="Times New Roman" w:cs="Times New Roman"/>
                <w:sz w:val="24"/>
                <w:szCs w:val="24"/>
              </w:rPr>
              <w:t>Salicylic acid 700 ppm</w:t>
            </w:r>
          </w:p>
        </w:tc>
      </w:tr>
      <w:tr w:rsidR="009576CF" w:rsidRPr="009A60A2" w14:paraId="2702DE98" w14:textId="77777777" w:rsidTr="009576CF">
        <w:trPr>
          <w:trHeight w:val="423"/>
        </w:trPr>
        <w:tc>
          <w:tcPr>
            <w:tcW w:w="1851" w:type="dxa"/>
          </w:tcPr>
          <w:p w14:paraId="24F80F2B" w14:textId="77777777" w:rsidR="009576CF" w:rsidRPr="009A60A2" w:rsidRDefault="009576CF" w:rsidP="009576CF">
            <w:pPr>
              <w:spacing w:line="360" w:lineRule="auto"/>
              <w:jc w:val="center"/>
              <w:rPr>
                <w:rFonts w:ascii="Times New Roman" w:hAnsi="Times New Roman" w:cs="Times New Roman"/>
                <w:sz w:val="24"/>
                <w:szCs w:val="24"/>
              </w:rPr>
            </w:pPr>
            <w:r w:rsidRPr="009A60A2">
              <w:rPr>
                <w:rFonts w:ascii="Times New Roman" w:hAnsi="Times New Roman" w:cs="Times New Roman"/>
                <w:sz w:val="24"/>
                <w:szCs w:val="24"/>
              </w:rPr>
              <w:t>T</w:t>
            </w:r>
            <w:r w:rsidRPr="008E451B">
              <w:rPr>
                <w:rFonts w:ascii="Times New Roman" w:hAnsi="Times New Roman" w:cs="Times New Roman"/>
                <w:sz w:val="24"/>
                <w:szCs w:val="24"/>
                <w:vertAlign w:val="subscript"/>
              </w:rPr>
              <w:t>2</w:t>
            </w:r>
          </w:p>
        </w:tc>
        <w:tc>
          <w:tcPr>
            <w:tcW w:w="7252" w:type="dxa"/>
          </w:tcPr>
          <w:p w14:paraId="5B6AB086" w14:textId="77777777" w:rsidR="009576CF" w:rsidRPr="009A60A2" w:rsidRDefault="009576CF" w:rsidP="009576CF">
            <w:pPr>
              <w:spacing w:line="360" w:lineRule="auto"/>
              <w:jc w:val="both"/>
              <w:rPr>
                <w:rFonts w:ascii="Times New Roman" w:hAnsi="Times New Roman" w:cs="Times New Roman"/>
                <w:sz w:val="24"/>
                <w:szCs w:val="24"/>
              </w:rPr>
            </w:pPr>
            <w:r w:rsidRPr="009A60A2">
              <w:rPr>
                <w:rFonts w:ascii="Times New Roman" w:hAnsi="Times New Roman" w:cs="Times New Roman"/>
                <w:sz w:val="24"/>
                <w:szCs w:val="24"/>
              </w:rPr>
              <w:t>Salicylic acid 1000 ppm</w:t>
            </w:r>
          </w:p>
        </w:tc>
      </w:tr>
      <w:tr w:rsidR="009576CF" w:rsidRPr="009A60A2" w14:paraId="7DFECC66" w14:textId="77777777" w:rsidTr="009576CF">
        <w:trPr>
          <w:trHeight w:val="423"/>
        </w:trPr>
        <w:tc>
          <w:tcPr>
            <w:tcW w:w="1851" w:type="dxa"/>
          </w:tcPr>
          <w:p w14:paraId="342245DC" w14:textId="77777777" w:rsidR="009576CF" w:rsidRPr="009A60A2" w:rsidRDefault="009576CF" w:rsidP="009576CF">
            <w:pPr>
              <w:spacing w:line="360" w:lineRule="auto"/>
              <w:jc w:val="center"/>
              <w:rPr>
                <w:rFonts w:ascii="Times New Roman" w:hAnsi="Times New Roman" w:cs="Times New Roman"/>
                <w:sz w:val="24"/>
                <w:szCs w:val="24"/>
              </w:rPr>
            </w:pPr>
            <w:r w:rsidRPr="009A60A2">
              <w:rPr>
                <w:rFonts w:ascii="Times New Roman" w:hAnsi="Times New Roman" w:cs="Times New Roman"/>
                <w:sz w:val="24"/>
                <w:szCs w:val="24"/>
              </w:rPr>
              <w:t>T</w:t>
            </w:r>
            <w:r w:rsidRPr="008E451B">
              <w:rPr>
                <w:rFonts w:ascii="Times New Roman" w:hAnsi="Times New Roman" w:cs="Times New Roman"/>
                <w:sz w:val="24"/>
                <w:szCs w:val="24"/>
                <w:vertAlign w:val="subscript"/>
              </w:rPr>
              <w:t>3</w:t>
            </w:r>
          </w:p>
        </w:tc>
        <w:tc>
          <w:tcPr>
            <w:tcW w:w="7252" w:type="dxa"/>
          </w:tcPr>
          <w:p w14:paraId="21DEDE31" w14:textId="77777777" w:rsidR="009576CF" w:rsidRPr="009A60A2" w:rsidRDefault="009576CF" w:rsidP="009576CF">
            <w:pPr>
              <w:spacing w:line="360" w:lineRule="auto"/>
              <w:jc w:val="both"/>
              <w:rPr>
                <w:rFonts w:ascii="Times New Roman" w:hAnsi="Times New Roman" w:cs="Times New Roman"/>
                <w:sz w:val="24"/>
                <w:szCs w:val="24"/>
              </w:rPr>
            </w:pPr>
            <w:r w:rsidRPr="009A60A2">
              <w:rPr>
                <w:rFonts w:ascii="Times New Roman" w:hAnsi="Times New Roman" w:cs="Times New Roman"/>
                <w:sz w:val="24"/>
                <w:szCs w:val="24"/>
              </w:rPr>
              <w:t>Salicylic acid 1500 ppm</w:t>
            </w:r>
          </w:p>
        </w:tc>
      </w:tr>
      <w:tr w:rsidR="009576CF" w:rsidRPr="009A60A2" w14:paraId="62149363" w14:textId="77777777" w:rsidTr="009576CF">
        <w:trPr>
          <w:trHeight w:val="436"/>
        </w:trPr>
        <w:tc>
          <w:tcPr>
            <w:tcW w:w="1851" w:type="dxa"/>
          </w:tcPr>
          <w:p w14:paraId="32F453A6" w14:textId="77777777" w:rsidR="009576CF" w:rsidRPr="009A60A2" w:rsidRDefault="009576CF" w:rsidP="009576CF">
            <w:pPr>
              <w:spacing w:line="360" w:lineRule="auto"/>
              <w:jc w:val="center"/>
              <w:rPr>
                <w:rFonts w:ascii="Times New Roman" w:hAnsi="Times New Roman" w:cs="Times New Roman"/>
                <w:sz w:val="24"/>
                <w:szCs w:val="24"/>
              </w:rPr>
            </w:pPr>
            <w:r w:rsidRPr="009A60A2">
              <w:rPr>
                <w:rFonts w:ascii="Times New Roman" w:hAnsi="Times New Roman" w:cs="Times New Roman"/>
                <w:sz w:val="24"/>
                <w:szCs w:val="24"/>
              </w:rPr>
              <w:t>T</w:t>
            </w:r>
            <w:r w:rsidRPr="008E451B">
              <w:rPr>
                <w:rFonts w:ascii="Times New Roman" w:hAnsi="Times New Roman" w:cs="Times New Roman"/>
                <w:sz w:val="24"/>
                <w:szCs w:val="24"/>
                <w:vertAlign w:val="subscript"/>
              </w:rPr>
              <w:t>4</w:t>
            </w:r>
          </w:p>
        </w:tc>
        <w:tc>
          <w:tcPr>
            <w:tcW w:w="7252" w:type="dxa"/>
          </w:tcPr>
          <w:p w14:paraId="6239E50A" w14:textId="77777777" w:rsidR="009576CF" w:rsidRPr="009A60A2" w:rsidRDefault="009576CF" w:rsidP="009576CF">
            <w:pPr>
              <w:spacing w:line="360" w:lineRule="auto"/>
              <w:jc w:val="both"/>
              <w:rPr>
                <w:rFonts w:ascii="Times New Roman" w:hAnsi="Times New Roman" w:cs="Times New Roman"/>
                <w:sz w:val="24"/>
                <w:szCs w:val="24"/>
              </w:rPr>
            </w:pPr>
            <w:r w:rsidRPr="009A60A2">
              <w:rPr>
                <w:rFonts w:ascii="Times New Roman" w:hAnsi="Times New Roman" w:cs="Times New Roman"/>
                <w:sz w:val="24"/>
                <w:szCs w:val="24"/>
              </w:rPr>
              <w:t>1000 ppm salicylic acid + copper hydroxide (0.2 %)</w:t>
            </w:r>
          </w:p>
        </w:tc>
      </w:tr>
      <w:tr w:rsidR="009576CF" w:rsidRPr="009A60A2" w14:paraId="22F6C018" w14:textId="77777777" w:rsidTr="009576CF">
        <w:trPr>
          <w:trHeight w:val="423"/>
        </w:trPr>
        <w:tc>
          <w:tcPr>
            <w:tcW w:w="1851" w:type="dxa"/>
          </w:tcPr>
          <w:p w14:paraId="4A67263D" w14:textId="77777777" w:rsidR="009576CF" w:rsidRPr="009A60A2" w:rsidRDefault="009576CF" w:rsidP="009576CF">
            <w:pPr>
              <w:spacing w:line="360" w:lineRule="auto"/>
              <w:jc w:val="center"/>
              <w:rPr>
                <w:rFonts w:ascii="Times New Roman" w:hAnsi="Times New Roman" w:cs="Times New Roman"/>
                <w:sz w:val="24"/>
                <w:szCs w:val="24"/>
              </w:rPr>
            </w:pPr>
            <w:r w:rsidRPr="009A60A2">
              <w:rPr>
                <w:rFonts w:ascii="Times New Roman" w:hAnsi="Times New Roman" w:cs="Times New Roman"/>
                <w:sz w:val="24"/>
                <w:szCs w:val="24"/>
              </w:rPr>
              <w:t>T</w:t>
            </w:r>
            <w:r w:rsidRPr="008E451B">
              <w:rPr>
                <w:rFonts w:ascii="Times New Roman" w:hAnsi="Times New Roman" w:cs="Times New Roman"/>
                <w:sz w:val="24"/>
                <w:szCs w:val="24"/>
                <w:vertAlign w:val="subscript"/>
              </w:rPr>
              <w:t>5</w:t>
            </w:r>
          </w:p>
        </w:tc>
        <w:tc>
          <w:tcPr>
            <w:tcW w:w="7252" w:type="dxa"/>
          </w:tcPr>
          <w:p w14:paraId="7232D3DD" w14:textId="77777777" w:rsidR="009576CF" w:rsidRPr="009A60A2" w:rsidRDefault="009576CF" w:rsidP="009576CF">
            <w:pPr>
              <w:spacing w:line="360" w:lineRule="auto"/>
              <w:jc w:val="both"/>
              <w:rPr>
                <w:rFonts w:ascii="Times New Roman" w:hAnsi="Times New Roman" w:cs="Times New Roman"/>
                <w:sz w:val="24"/>
                <w:szCs w:val="24"/>
              </w:rPr>
            </w:pPr>
            <w:r w:rsidRPr="009A60A2">
              <w:rPr>
                <w:rFonts w:ascii="Times New Roman" w:hAnsi="Times New Roman" w:cs="Times New Roman"/>
                <w:sz w:val="24"/>
                <w:szCs w:val="24"/>
              </w:rPr>
              <w:t>Copper hydroxide (0.2 %)</w:t>
            </w:r>
          </w:p>
        </w:tc>
      </w:tr>
      <w:tr w:rsidR="009576CF" w:rsidRPr="009A60A2" w14:paraId="721F9A7B" w14:textId="77777777" w:rsidTr="009576CF">
        <w:trPr>
          <w:trHeight w:val="423"/>
        </w:trPr>
        <w:tc>
          <w:tcPr>
            <w:tcW w:w="1851" w:type="dxa"/>
          </w:tcPr>
          <w:p w14:paraId="6F342777" w14:textId="77777777" w:rsidR="009576CF" w:rsidRPr="009A60A2" w:rsidRDefault="009576CF" w:rsidP="009576CF">
            <w:pPr>
              <w:spacing w:line="360" w:lineRule="auto"/>
              <w:jc w:val="center"/>
              <w:rPr>
                <w:rFonts w:ascii="Times New Roman" w:hAnsi="Times New Roman" w:cs="Times New Roman"/>
                <w:sz w:val="24"/>
                <w:szCs w:val="24"/>
              </w:rPr>
            </w:pPr>
            <w:r w:rsidRPr="009A60A2">
              <w:rPr>
                <w:rFonts w:ascii="Times New Roman" w:hAnsi="Times New Roman" w:cs="Times New Roman"/>
                <w:sz w:val="24"/>
                <w:szCs w:val="24"/>
              </w:rPr>
              <w:t>T</w:t>
            </w:r>
            <w:r w:rsidRPr="008E451B">
              <w:rPr>
                <w:rFonts w:ascii="Times New Roman" w:hAnsi="Times New Roman" w:cs="Times New Roman"/>
                <w:sz w:val="24"/>
                <w:szCs w:val="24"/>
                <w:vertAlign w:val="subscript"/>
              </w:rPr>
              <w:t>6</w:t>
            </w:r>
          </w:p>
        </w:tc>
        <w:tc>
          <w:tcPr>
            <w:tcW w:w="7252" w:type="dxa"/>
          </w:tcPr>
          <w:p w14:paraId="3EDAFCC3" w14:textId="77777777" w:rsidR="009576CF" w:rsidRPr="009A60A2" w:rsidRDefault="009576CF" w:rsidP="009576CF">
            <w:pPr>
              <w:spacing w:line="360" w:lineRule="auto"/>
              <w:jc w:val="both"/>
              <w:rPr>
                <w:rFonts w:ascii="Times New Roman" w:hAnsi="Times New Roman" w:cs="Times New Roman"/>
                <w:sz w:val="24"/>
                <w:szCs w:val="24"/>
              </w:rPr>
            </w:pPr>
            <w:r w:rsidRPr="009A60A2">
              <w:rPr>
                <w:rFonts w:ascii="Times New Roman" w:hAnsi="Times New Roman" w:cs="Times New Roman"/>
                <w:sz w:val="24"/>
                <w:szCs w:val="24"/>
              </w:rPr>
              <w:t>Control</w:t>
            </w:r>
          </w:p>
        </w:tc>
      </w:tr>
      <w:tr w:rsidR="009576CF" w:rsidRPr="009A60A2" w14:paraId="7D817962" w14:textId="77777777" w:rsidTr="009576CF">
        <w:trPr>
          <w:trHeight w:val="423"/>
        </w:trPr>
        <w:tc>
          <w:tcPr>
            <w:tcW w:w="1851" w:type="dxa"/>
          </w:tcPr>
          <w:p w14:paraId="41765220" w14:textId="77777777" w:rsidR="009576CF" w:rsidRPr="009A60A2" w:rsidRDefault="009576CF" w:rsidP="009576CF">
            <w:pPr>
              <w:spacing w:line="360" w:lineRule="auto"/>
              <w:jc w:val="center"/>
              <w:rPr>
                <w:rFonts w:ascii="Times New Roman" w:hAnsi="Times New Roman" w:cs="Times New Roman"/>
                <w:sz w:val="24"/>
                <w:szCs w:val="24"/>
              </w:rPr>
            </w:pPr>
            <w:r w:rsidRPr="009A60A2">
              <w:rPr>
                <w:rFonts w:ascii="Times New Roman" w:hAnsi="Times New Roman" w:cs="Times New Roman"/>
                <w:sz w:val="24"/>
                <w:szCs w:val="24"/>
              </w:rPr>
              <w:t>T</w:t>
            </w:r>
            <w:r w:rsidRPr="008E451B">
              <w:rPr>
                <w:rFonts w:ascii="Times New Roman" w:hAnsi="Times New Roman" w:cs="Times New Roman"/>
                <w:sz w:val="24"/>
                <w:szCs w:val="24"/>
                <w:vertAlign w:val="subscript"/>
              </w:rPr>
              <w:t>7</w:t>
            </w:r>
          </w:p>
        </w:tc>
        <w:tc>
          <w:tcPr>
            <w:tcW w:w="7252" w:type="dxa"/>
          </w:tcPr>
          <w:p w14:paraId="73396FC3" w14:textId="77777777" w:rsidR="009576CF" w:rsidRPr="009A60A2" w:rsidRDefault="009576CF" w:rsidP="009576CF">
            <w:pPr>
              <w:spacing w:line="360" w:lineRule="auto"/>
              <w:jc w:val="both"/>
              <w:rPr>
                <w:rFonts w:ascii="Times New Roman" w:hAnsi="Times New Roman" w:cs="Times New Roman"/>
                <w:sz w:val="24"/>
                <w:szCs w:val="24"/>
              </w:rPr>
            </w:pPr>
            <w:r w:rsidRPr="009A60A2">
              <w:rPr>
                <w:rFonts w:ascii="Times New Roman" w:hAnsi="Times New Roman" w:cs="Times New Roman"/>
                <w:sz w:val="24"/>
                <w:szCs w:val="24"/>
              </w:rPr>
              <w:t>Absolute control</w:t>
            </w:r>
          </w:p>
        </w:tc>
      </w:tr>
    </w:tbl>
    <w:p w14:paraId="73D10279" w14:textId="2F8992C8" w:rsidR="00E13221" w:rsidRPr="009A60A2" w:rsidRDefault="009576CF" w:rsidP="008E45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FF6930">
        <w:rPr>
          <w:rFonts w:ascii="Times New Roman" w:hAnsi="Times New Roman" w:cs="Times New Roman"/>
          <w:sz w:val="24"/>
          <w:szCs w:val="24"/>
        </w:rPr>
        <w:t>Three</w:t>
      </w:r>
      <w:r w:rsidR="00AA0A83">
        <w:rPr>
          <w:rFonts w:ascii="Times New Roman" w:hAnsi="Times New Roman" w:cs="Times New Roman"/>
          <w:sz w:val="24"/>
          <w:szCs w:val="24"/>
        </w:rPr>
        <w:t>-</w:t>
      </w:r>
      <w:r w:rsidR="00FF6930">
        <w:rPr>
          <w:rFonts w:ascii="Times New Roman" w:hAnsi="Times New Roman" w:cs="Times New Roman"/>
          <w:sz w:val="24"/>
          <w:szCs w:val="24"/>
        </w:rPr>
        <w:t>month</w:t>
      </w:r>
      <w:r w:rsidR="00AA0A83">
        <w:rPr>
          <w:rFonts w:ascii="Times New Roman" w:hAnsi="Times New Roman" w:cs="Times New Roman"/>
          <w:sz w:val="24"/>
          <w:szCs w:val="24"/>
        </w:rPr>
        <w:t>-</w:t>
      </w:r>
      <w:r w:rsidR="00FF6930">
        <w:rPr>
          <w:rFonts w:ascii="Times New Roman" w:hAnsi="Times New Roman" w:cs="Times New Roman"/>
          <w:sz w:val="24"/>
          <w:szCs w:val="24"/>
        </w:rPr>
        <w:t>old b</w:t>
      </w:r>
      <w:r w:rsidR="00E13221" w:rsidRPr="009A60A2">
        <w:rPr>
          <w:rFonts w:ascii="Times New Roman" w:hAnsi="Times New Roman" w:cs="Times New Roman"/>
          <w:sz w:val="24"/>
          <w:szCs w:val="24"/>
        </w:rPr>
        <w:t>lack pepper</w:t>
      </w:r>
      <w:r w:rsidR="00FF6930">
        <w:rPr>
          <w:rFonts w:ascii="Times New Roman" w:hAnsi="Times New Roman" w:cs="Times New Roman"/>
          <w:sz w:val="24"/>
          <w:szCs w:val="24"/>
        </w:rPr>
        <w:t xml:space="preserve"> rooted cuttings at three cuttings per bag was used for the experiment. The pathogen was isolated from diseased sample collected from </w:t>
      </w:r>
      <w:proofErr w:type="spellStart"/>
      <w:r w:rsidR="00FF6930">
        <w:rPr>
          <w:rFonts w:ascii="Times New Roman" w:hAnsi="Times New Roman" w:cs="Times New Roman"/>
          <w:sz w:val="24"/>
          <w:szCs w:val="24"/>
        </w:rPr>
        <w:t>Kottappady</w:t>
      </w:r>
      <w:proofErr w:type="spellEnd"/>
      <w:r w:rsidR="00FF6930">
        <w:rPr>
          <w:rFonts w:ascii="Times New Roman" w:hAnsi="Times New Roman" w:cs="Times New Roman"/>
          <w:sz w:val="24"/>
          <w:szCs w:val="24"/>
        </w:rPr>
        <w:t>, Ernakulam district on potato dextrose agar (PDA) medium and maintained at 25±</w:t>
      </w:r>
      <w:r w:rsidR="00D138E2">
        <w:rPr>
          <w:rFonts w:ascii="Times New Roman" w:hAnsi="Times New Roman" w:cs="Times New Roman"/>
          <w:sz w:val="24"/>
          <w:szCs w:val="24"/>
        </w:rPr>
        <w:t>2℃ on carrot agar was used for</w:t>
      </w:r>
      <w:r w:rsidR="007D6E64">
        <w:rPr>
          <w:rFonts w:ascii="Times New Roman" w:hAnsi="Times New Roman" w:cs="Times New Roman"/>
          <w:sz w:val="24"/>
          <w:szCs w:val="24"/>
        </w:rPr>
        <w:t xml:space="preserve"> pot culture studies. Pathogen was mass multiplied on sterile soil with black pepper leaves. The pathogen was challenge inoculated seven days after treatment application. The SA at different concentration 700, 1000, 1500, 1000+ copper hydroxide and copper hydroxide @ 0.2 per cent was applied on the plant as foliar spray at </w:t>
      </w:r>
      <w:r w:rsidR="00AD69E0">
        <w:rPr>
          <w:rFonts w:ascii="Times New Roman" w:hAnsi="Times New Roman" w:cs="Times New Roman"/>
          <w:sz w:val="24"/>
          <w:szCs w:val="24"/>
        </w:rPr>
        <w:t>four</w:t>
      </w:r>
      <w:r w:rsidR="007D6E64">
        <w:rPr>
          <w:rFonts w:ascii="Times New Roman" w:hAnsi="Times New Roman" w:cs="Times New Roman"/>
          <w:sz w:val="24"/>
          <w:szCs w:val="24"/>
        </w:rPr>
        <w:t xml:space="preserve"> </w:t>
      </w:r>
      <w:r w:rsidR="00AD69E0">
        <w:rPr>
          <w:rFonts w:ascii="Times New Roman" w:hAnsi="Times New Roman" w:cs="Times New Roman"/>
          <w:sz w:val="24"/>
          <w:szCs w:val="24"/>
        </w:rPr>
        <w:t>month</w:t>
      </w:r>
      <w:r w:rsidR="00AA0A83">
        <w:rPr>
          <w:rFonts w:ascii="Times New Roman" w:hAnsi="Times New Roman" w:cs="Times New Roman"/>
          <w:sz w:val="24"/>
          <w:szCs w:val="24"/>
        </w:rPr>
        <w:t>s</w:t>
      </w:r>
      <w:r w:rsidR="00AD69E0">
        <w:rPr>
          <w:rFonts w:ascii="Times New Roman" w:hAnsi="Times New Roman" w:cs="Times New Roman"/>
          <w:sz w:val="24"/>
          <w:szCs w:val="24"/>
        </w:rPr>
        <w:t xml:space="preserve"> after planting (</w:t>
      </w:r>
      <w:r w:rsidR="007D6E64">
        <w:rPr>
          <w:rFonts w:ascii="Times New Roman" w:hAnsi="Times New Roman" w:cs="Times New Roman"/>
          <w:sz w:val="24"/>
          <w:szCs w:val="24"/>
        </w:rPr>
        <w:t>MAP</w:t>
      </w:r>
      <w:r w:rsidR="00AD69E0">
        <w:rPr>
          <w:rFonts w:ascii="Times New Roman" w:hAnsi="Times New Roman" w:cs="Times New Roman"/>
          <w:sz w:val="24"/>
          <w:szCs w:val="24"/>
        </w:rPr>
        <w:t>)</w:t>
      </w:r>
      <w:r w:rsidR="00F45D4F">
        <w:rPr>
          <w:rFonts w:ascii="Times New Roman" w:hAnsi="Times New Roman" w:cs="Times New Roman"/>
          <w:sz w:val="24"/>
          <w:szCs w:val="24"/>
        </w:rPr>
        <w:t xml:space="preserve"> (Table 1). The soil with pathogen of seven DAI at 10 g/ polybag was used for challenge inoculation.</w:t>
      </w:r>
      <w:r w:rsidR="007D6E64">
        <w:rPr>
          <w:rFonts w:ascii="Times New Roman" w:hAnsi="Times New Roman" w:cs="Times New Roman"/>
          <w:sz w:val="24"/>
          <w:szCs w:val="24"/>
        </w:rPr>
        <w:t xml:space="preserve"> The experiment was laid out in complete</w:t>
      </w:r>
      <w:r w:rsidR="00907A44">
        <w:rPr>
          <w:rFonts w:ascii="Times New Roman" w:hAnsi="Times New Roman" w:cs="Times New Roman"/>
          <w:sz w:val="24"/>
          <w:szCs w:val="24"/>
        </w:rPr>
        <w:t>ly</w:t>
      </w:r>
      <w:r w:rsidR="007D6E64">
        <w:rPr>
          <w:rFonts w:ascii="Times New Roman" w:hAnsi="Times New Roman" w:cs="Times New Roman"/>
          <w:sz w:val="24"/>
          <w:szCs w:val="24"/>
        </w:rPr>
        <w:t xml:space="preserve"> </w:t>
      </w:r>
      <w:r w:rsidR="00907A44">
        <w:rPr>
          <w:rFonts w:ascii="Times New Roman" w:hAnsi="Times New Roman" w:cs="Times New Roman"/>
          <w:sz w:val="24"/>
          <w:szCs w:val="24"/>
        </w:rPr>
        <w:t xml:space="preserve">randomized design with four replication and 18 plants per replication. The variety used was </w:t>
      </w:r>
      <w:proofErr w:type="spellStart"/>
      <w:r w:rsidR="00907A44">
        <w:rPr>
          <w:rFonts w:ascii="Times New Roman" w:hAnsi="Times New Roman" w:cs="Times New Roman"/>
          <w:sz w:val="24"/>
          <w:szCs w:val="24"/>
        </w:rPr>
        <w:t>Panniyur</w:t>
      </w:r>
      <w:proofErr w:type="spellEnd"/>
      <w:r w:rsidR="00907A44">
        <w:rPr>
          <w:rFonts w:ascii="Times New Roman" w:hAnsi="Times New Roman" w:cs="Times New Roman"/>
          <w:sz w:val="24"/>
          <w:szCs w:val="24"/>
        </w:rPr>
        <w:t xml:space="preserve"> 1 susceptible to foot rot. In combined application of salicylic acid and copper hydroxide, salicylic acid was applied one month after planting and copper hydroxide (0.2 %) was applied after symptom appearance. Changes in the plant metabolites were analysed at 24, 48 and 72 hour</w:t>
      </w:r>
      <w:r w:rsidR="00665F8A">
        <w:rPr>
          <w:rFonts w:ascii="Times New Roman" w:hAnsi="Times New Roman" w:cs="Times New Roman"/>
          <w:sz w:val="24"/>
          <w:szCs w:val="24"/>
        </w:rPr>
        <w:t>s</w:t>
      </w:r>
      <w:r w:rsidR="00907A44">
        <w:rPr>
          <w:rFonts w:ascii="Times New Roman" w:hAnsi="Times New Roman" w:cs="Times New Roman"/>
          <w:sz w:val="24"/>
          <w:szCs w:val="24"/>
        </w:rPr>
        <w:t xml:space="preserve"> after pathogen inoculation (HAI).</w:t>
      </w:r>
      <w:r w:rsidR="00E13221" w:rsidRPr="009A60A2">
        <w:rPr>
          <w:rFonts w:ascii="Times New Roman" w:hAnsi="Times New Roman" w:cs="Times New Roman"/>
          <w:sz w:val="24"/>
          <w:szCs w:val="24"/>
        </w:rPr>
        <w:t xml:space="preserve"> </w:t>
      </w:r>
    </w:p>
    <w:p w14:paraId="4EE77065" w14:textId="6CC4650F" w:rsidR="00E13221" w:rsidRPr="009A60A2" w:rsidRDefault="000C1A4B" w:rsidP="000C1A4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w:t>
      </w:r>
      <w:r w:rsidRPr="009A60A2">
        <w:rPr>
          <w:rFonts w:ascii="Times New Roman" w:hAnsi="Times New Roman" w:cs="Times New Roman"/>
          <w:b/>
          <w:bCs/>
          <w:sz w:val="24"/>
          <w:szCs w:val="24"/>
        </w:rPr>
        <w:t>able 1</w:t>
      </w:r>
      <w:r>
        <w:rPr>
          <w:rFonts w:ascii="Times New Roman" w:hAnsi="Times New Roman" w:cs="Times New Roman"/>
          <w:b/>
          <w:bCs/>
          <w:sz w:val="24"/>
          <w:szCs w:val="24"/>
        </w:rPr>
        <w:t>:</w:t>
      </w:r>
      <w:r w:rsidRPr="009A60A2">
        <w:rPr>
          <w:rFonts w:ascii="Times New Roman" w:hAnsi="Times New Roman" w:cs="Times New Roman"/>
          <w:b/>
          <w:bCs/>
          <w:sz w:val="24"/>
          <w:szCs w:val="24"/>
        </w:rPr>
        <w:t xml:space="preserve"> Details of treatments</w:t>
      </w:r>
      <w:r w:rsidR="00E13221" w:rsidRPr="009A60A2">
        <w:rPr>
          <w:rFonts w:ascii="Times New Roman" w:hAnsi="Times New Roman" w:cs="Times New Roman"/>
          <w:sz w:val="24"/>
          <w:szCs w:val="24"/>
        </w:rPr>
        <w:t xml:space="preserve">                      </w:t>
      </w:r>
    </w:p>
    <w:p w14:paraId="3307BA69" w14:textId="66E38D85" w:rsidR="00E13221" w:rsidRPr="009A60A2" w:rsidRDefault="000C1A4B" w:rsidP="009A60A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E</w:t>
      </w:r>
      <w:r w:rsidR="00E13221" w:rsidRPr="009A60A2">
        <w:rPr>
          <w:rFonts w:ascii="Times New Roman" w:hAnsi="Times New Roman" w:cs="Times New Roman"/>
          <w:b/>
          <w:bCs/>
          <w:sz w:val="24"/>
          <w:szCs w:val="24"/>
        </w:rPr>
        <w:t>ffect of different treatments on total phenol content in black pepper</w:t>
      </w:r>
      <w:r w:rsidR="00E13221" w:rsidRPr="009A60A2">
        <w:rPr>
          <w:rFonts w:ascii="Times New Roman" w:hAnsi="Times New Roman" w:cs="Times New Roman"/>
          <w:sz w:val="24"/>
          <w:szCs w:val="24"/>
        </w:rPr>
        <w:t xml:space="preserve">           </w:t>
      </w:r>
    </w:p>
    <w:p w14:paraId="4A871B18" w14:textId="77777777" w:rsidR="00E13221" w:rsidRPr="009A60A2" w:rsidRDefault="00E13221" w:rsidP="009A60A2">
      <w:pPr>
        <w:spacing w:line="360" w:lineRule="auto"/>
        <w:ind w:firstLine="720"/>
        <w:jc w:val="both"/>
        <w:rPr>
          <w:rFonts w:ascii="Times New Roman" w:hAnsi="Times New Roman" w:cs="Times New Roman"/>
          <w:sz w:val="24"/>
          <w:szCs w:val="24"/>
        </w:rPr>
      </w:pPr>
      <w:r w:rsidRPr="009A60A2">
        <w:rPr>
          <w:rFonts w:ascii="Times New Roman" w:hAnsi="Times New Roman" w:cs="Times New Roman"/>
          <w:sz w:val="24"/>
          <w:szCs w:val="24"/>
        </w:rPr>
        <w:t xml:space="preserve">Phenols were extracted and analysed as described by Bray and Thorpe (1954). One gram of leaf tissue was homogenized in 10 ml of 80 per cent methanol and centrifuged at 10,000 rpm for 20 min to collect the supernatant. To the remaining pellet, an additional 5 ml methanol was added and centrifuged again, and the supernatants were collected and evaporated to dryness in a water bath. The dried residue was re-dissolved in 5 ml methanol. </w:t>
      </w:r>
    </w:p>
    <w:p w14:paraId="3C275677" w14:textId="1B940CAC" w:rsidR="00E13221" w:rsidRPr="009A60A2" w:rsidRDefault="00E13221" w:rsidP="009A60A2">
      <w:pPr>
        <w:spacing w:line="360" w:lineRule="auto"/>
        <w:ind w:firstLine="720"/>
        <w:jc w:val="both"/>
        <w:rPr>
          <w:rFonts w:ascii="Times New Roman" w:hAnsi="Times New Roman" w:cs="Times New Roman"/>
          <w:sz w:val="24"/>
          <w:szCs w:val="24"/>
        </w:rPr>
      </w:pPr>
      <w:r w:rsidRPr="009A60A2">
        <w:rPr>
          <w:rFonts w:ascii="Times New Roman" w:hAnsi="Times New Roman" w:cs="Times New Roman"/>
          <w:sz w:val="24"/>
          <w:szCs w:val="24"/>
        </w:rPr>
        <w:t>Total phenolic content was then estimated using the Folin-</w:t>
      </w:r>
      <w:proofErr w:type="spellStart"/>
      <w:r w:rsidRPr="009A60A2">
        <w:rPr>
          <w:rFonts w:ascii="Times New Roman" w:hAnsi="Times New Roman" w:cs="Times New Roman"/>
          <w:sz w:val="24"/>
          <w:szCs w:val="24"/>
        </w:rPr>
        <w:t>Ciocalteu</w:t>
      </w:r>
      <w:proofErr w:type="spellEnd"/>
      <w:r w:rsidRPr="009A60A2">
        <w:rPr>
          <w:rFonts w:ascii="Times New Roman" w:hAnsi="Times New Roman" w:cs="Times New Roman"/>
          <w:sz w:val="24"/>
          <w:szCs w:val="24"/>
        </w:rPr>
        <w:t xml:space="preserve"> method (M</w:t>
      </w:r>
      <w:r w:rsidR="00401AC2">
        <w:rPr>
          <w:rFonts w:ascii="Times New Roman" w:hAnsi="Times New Roman" w:cs="Times New Roman"/>
          <w:sz w:val="24"/>
          <w:szCs w:val="24"/>
        </w:rPr>
        <w:t xml:space="preserve">ajeed </w:t>
      </w:r>
      <w:r w:rsidR="00401AC2" w:rsidRPr="00401AC2">
        <w:rPr>
          <w:rFonts w:ascii="Times New Roman" w:hAnsi="Times New Roman" w:cs="Times New Roman"/>
          <w:i/>
          <w:iCs/>
          <w:sz w:val="24"/>
          <w:szCs w:val="24"/>
        </w:rPr>
        <w:t>et al</w:t>
      </w:r>
      <w:r w:rsidR="00401AC2">
        <w:rPr>
          <w:rFonts w:ascii="Times New Roman" w:hAnsi="Times New Roman" w:cs="Times New Roman"/>
          <w:sz w:val="24"/>
          <w:szCs w:val="24"/>
        </w:rPr>
        <w:t>., 2024</w:t>
      </w:r>
      <w:r w:rsidRPr="009A60A2">
        <w:rPr>
          <w:rFonts w:ascii="Times New Roman" w:hAnsi="Times New Roman" w:cs="Times New Roman"/>
          <w:sz w:val="24"/>
          <w:szCs w:val="24"/>
        </w:rPr>
        <w:t xml:space="preserve">). Various extract aliquots, each 0.2 ml, were transferred to test tubes, and the </w:t>
      </w:r>
      <w:r w:rsidRPr="009A60A2">
        <w:rPr>
          <w:rFonts w:ascii="Times New Roman" w:hAnsi="Times New Roman" w:cs="Times New Roman"/>
          <w:sz w:val="24"/>
          <w:szCs w:val="24"/>
        </w:rPr>
        <w:lastRenderedPageBreak/>
        <w:t>volume was adjusted to 3 ml with distilled water. Folin-</w:t>
      </w:r>
      <w:proofErr w:type="spellStart"/>
      <w:r w:rsidRPr="009A60A2">
        <w:rPr>
          <w:rFonts w:ascii="Times New Roman" w:hAnsi="Times New Roman" w:cs="Times New Roman"/>
          <w:sz w:val="24"/>
          <w:szCs w:val="24"/>
        </w:rPr>
        <w:t>Ciocalteu</w:t>
      </w:r>
      <w:proofErr w:type="spellEnd"/>
      <w:r w:rsidRPr="009A60A2">
        <w:rPr>
          <w:rFonts w:ascii="Times New Roman" w:hAnsi="Times New Roman" w:cs="Times New Roman"/>
          <w:sz w:val="24"/>
          <w:szCs w:val="24"/>
        </w:rPr>
        <w:t xml:space="preserve"> reagent (0.5 ml) was added, and the mixture was incubated for 3 min. Subsequently, 2 ml of 20 per cent sodium carbonate solution was added, followed by </w:t>
      </w:r>
      <w:proofErr w:type="spellStart"/>
      <w:r w:rsidRPr="009A60A2">
        <w:rPr>
          <w:rFonts w:ascii="Times New Roman" w:hAnsi="Times New Roman" w:cs="Times New Roman"/>
          <w:sz w:val="24"/>
          <w:szCs w:val="24"/>
        </w:rPr>
        <w:t>vortexing</w:t>
      </w:r>
      <w:proofErr w:type="spellEnd"/>
      <w:r w:rsidRPr="009A60A2">
        <w:rPr>
          <w:rFonts w:ascii="Times New Roman" w:hAnsi="Times New Roman" w:cs="Times New Roman"/>
          <w:sz w:val="24"/>
          <w:szCs w:val="24"/>
        </w:rPr>
        <w:t>. The test tubes were then placed in a water bath for 1 min and kept in the dark for 1 h. Absorbance was measured at 650 nm against a reagent blank. Gallic acid was used as a standard and results were expressed as mg gallic acid equivalent per gram of fresh weight.</w:t>
      </w:r>
    </w:p>
    <w:p w14:paraId="4C2CD88A" w14:textId="7FB506D2" w:rsidR="00E13221" w:rsidRPr="009A60A2" w:rsidRDefault="00E13221" w:rsidP="009A60A2">
      <w:pPr>
        <w:spacing w:line="360" w:lineRule="auto"/>
        <w:jc w:val="both"/>
        <w:rPr>
          <w:rFonts w:ascii="Times New Roman" w:hAnsi="Times New Roman" w:cs="Times New Roman"/>
          <w:sz w:val="24"/>
          <w:szCs w:val="24"/>
        </w:rPr>
      </w:pPr>
      <w:r w:rsidRPr="009A60A2">
        <w:rPr>
          <w:rFonts w:ascii="Times New Roman" w:hAnsi="Times New Roman" w:cs="Times New Roman"/>
          <w:b/>
          <w:bCs/>
          <w:sz w:val="24"/>
          <w:szCs w:val="24"/>
        </w:rPr>
        <w:t>Effect of different treatments on flavonoid content in black pepper</w:t>
      </w:r>
      <w:r w:rsidRPr="009A60A2">
        <w:rPr>
          <w:rFonts w:ascii="Times New Roman" w:hAnsi="Times New Roman" w:cs="Times New Roman"/>
          <w:sz w:val="24"/>
          <w:szCs w:val="24"/>
        </w:rPr>
        <w:t xml:space="preserve">            </w:t>
      </w:r>
    </w:p>
    <w:p w14:paraId="6F7C00A5" w14:textId="77777777" w:rsidR="00E13221" w:rsidRPr="009A60A2" w:rsidRDefault="00E13221" w:rsidP="009A60A2">
      <w:pPr>
        <w:spacing w:line="360" w:lineRule="auto"/>
        <w:ind w:firstLine="720"/>
        <w:jc w:val="both"/>
        <w:rPr>
          <w:rFonts w:ascii="Times New Roman" w:hAnsi="Times New Roman" w:cs="Times New Roman"/>
          <w:sz w:val="24"/>
          <w:szCs w:val="24"/>
        </w:rPr>
      </w:pPr>
      <w:r w:rsidRPr="009A60A2">
        <w:rPr>
          <w:rFonts w:ascii="Times New Roman" w:hAnsi="Times New Roman" w:cs="Times New Roman"/>
          <w:sz w:val="24"/>
          <w:szCs w:val="24"/>
        </w:rPr>
        <w:t>The flavonoid content of the plant extract was measured using a colorimetric method described by Gupta (2013), with slight modifications. The extraction procedure was same as above.</w:t>
      </w:r>
    </w:p>
    <w:p w14:paraId="0331A3F8" w14:textId="77777777" w:rsidR="00E13221" w:rsidRPr="009A60A2" w:rsidRDefault="00E13221" w:rsidP="009A60A2">
      <w:pPr>
        <w:spacing w:line="360" w:lineRule="auto"/>
        <w:ind w:firstLine="720"/>
        <w:jc w:val="both"/>
        <w:rPr>
          <w:rFonts w:ascii="Times New Roman" w:hAnsi="Times New Roman" w:cs="Times New Roman"/>
          <w:sz w:val="24"/>
          <w:szCs w:val="24"/>
        </w:rPr>
      </w:pPr>
      <w:r w:rsidRPr="009A60A2">
        <w:rPr>
          <w:rFonts w:ascii="Times New Roman" w:hAnsi="Times New Roman" w:cs="Times New Roman"/>
          <w:sz w:val="24"/>
          <w:szCs w:val="24"/>
        </w:rPr>
        <w:t>To estimate flavonoid content, 0.5 ml aliquots of the extract were transferred into separate test tubes. Each tube received 3 ml of five per cent sodium nitrate and 2.5 ml of distilled water, followed by a three min incubation at room temperature. Then, 0.3 ml of 10 per cent aluminium chloride was added and incubated for another 6 min. After that, 2 ml of 1M sodium hydroxide was added, and the volume was adjusted to 10 ml with distilled water. The mixture was kept in the dark for 1 h, and absorbance was recorded at 415 nm. Flavonoid content was quantified using quercetin as a standard and expressed as mg quercetin equivalents per gram of sample.</w:t>
      </w:r>
    </w:p>
    <w:p w14:paraId="0D614C7B" w14:textId="77777777" w:rsidR="00274CF6" w:rsidRPr="009A60A2" w:rsidRDefault="00EB022B" w:rsidP="009A60A2">
      <w:pPr>
        <w:spacing w:line="360" w:lineRule="auto"/>
        <w:jc w:val="both"/>
        <w:rPr>
          <w:rFonts w:ascii="Times New Roman" w:hAnsi="Times New Roman" w:cs="Times New Roman"/>
          <w:b/>
          <w:bCs/>
          <w:color w:val="000000" w:themeColor="text1"/>
          <w:sz w:val="24"/>
          <w:szCs w:val="24"/>
        </w:rPr>
      </w:pPr>
      <w:r w:rsidRPr="009A60A2">
        <w:rPr>
          <w:rFonts w:ascii="Times New Roman" w:hAnsi="Times New Roman" w:cs="Times New Roman"/>
          <w:b/>
          <w:bCs/>
          <w:color w:val="000000" w:themeColor="text1"/>
          <w:sz w:val="24"/>
          <w:szCs w:val="24"/>
        </w:rPr>
        <w:t>Result and Discussion</w:t>
      </w:r>
    </w:p>
    <w:p w14:paraId="3A198093" w14:textId="3FB10A1B" w:rsidR="00C609A9" w:rsidRDefault="00C609A9" w:rsidP="009A60A2">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total phenol content in various treatments varied at different time intervals</w:t>
      </w:r>
      <w:r w:rsidR="00927F3D">
        <w:rPr>
          <w:rFonts w:ascii="Times New Roman" w:hAnsi="Times New Roman" w:cs="Times New Roman"/>
          <w:color w:val="000000" w:themeColor="text1"/>
          <w:sz w:val="24"/>
          <w:szCs w:val="24"/>
        </w:rPr>
        <w:t xml:space="preserve"> shown in Fig 1 and Table 1.</w:t>
      </w:r>
      <w:r>
        <w:rPr>
          <w:rFonts w:ascii="Times New Roman" w:hAnsi="Times New Roman" w:cs="Times New Roman"/>
          <w:color w:val="000000" w:themeColor="text1"/>
          <w:sz w:val="24"/>
          <w:szCs w:val="24"/>
        </w:rPr>
        <w:t xml:space="preserve"> At the initial hours of treatment application maximum increase in total phenols was recorded in SA treatment at 1500 ppm</w:t>
      </w:r>
      <w:r w:rsidR="00666536">
        <w:rPr>
          <w:rFonts w:ascii="Times New Roman" w:hAnsi="Times New Roman" w:cs="Times New Roman"/>
          <w:color w:val="000000" w:themeColor="text1"/>
          <w:sz w:val="24"/>
          <w:szCs w:val="24"/>
        </w:rPr>
        <w:t xml:space="preserve"> (2.79 </w:t>
      </w:r>
      <w:r w:rsidR="00666536" w:rsidRPr="009A60A2">
        <w:rPr>
          <w:rFonts w:ascii="Times New Roman" w:hAnsi="Times New Roman" w:cs="Times New Roman"/>
          <w:color w:val="000000" w:themeColor="text1"/>
          <w:sz w:val="24"/>
          <w:szCs w:val="24"/>
        </w:rPr>
        <w:t>min</w:t>
      </w:r>
      <w:r w:rsidR="00666536" w:rsidRPr="009A60A2">
        <w:rPr>
          <w:rFonts w:ascii="Times New Roman" w:hAnsi="Times New Roman" w:cs="Times New Roman"/>
          <w:color w:val="000000" w:themeColor="text1"/>
          <w:sz w:val="24"/>
          <w:szCs w:val="24"/>
          <w:vertAlign w:val="superscript"/>
        </w:rPr>
        <w:t>-</w:t>
      </w:r>
      <w:r w:rsidR="00666536" w:rsidRPr="009A60A2">
        <w:rPr>
          <w:rFonts w:ascii="Times New Roman" w:hAnsi="Times New Roman" w:cs="Times New Roman"/>
          <w:color w:val="000000" w:themeColor="text1"/>
          <w:sz w:val="24"/>
          <w:szCs w:val="24"/>
        </w:rPr>
        <w:t>¹ g</w:t>
      </w:r>
      <w:r w:rsidR="00666536" w:rsidRPr="009A60A2">
        <w:rPr>
          <w:rFonts w:ascii="Times New Roman" w:hAnsi="Times New Roman" w:cs="Times New Roman"/>
          <w:color w:val="000000" w:themeColor="text1"/>
          <w:sz w:val="24"/>
          <w:szCs w:val="24"/>
          <w:vertAlign w:val="superscript"/>
        </w:rPr>
        <w:t>-</w:t>
      </w:r>
      <w:r w:rsidR="00666536" w:rsidRPr="009A60A2">
        <w:rPr>
          <w:rFonts w:ascii="Times New Roman" w:hAnsi="Times New Roman" w:cs="Times New Roman"/>
          <w:color w:val="000000" w:themeColor="text1"/>
          <w:sz w:val="24"/>
          <w:szCs w:val="24"/>
        </w:rPr>
        <w:t>¹</w:t>
      </w:r>
      <w:r w:rsidR="006665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followed by 1000 ppm</w:t>
      </w:r>
      <w:r w:rsidR="00666536">
        <w:rPr>
          <w:rFonts w:ascii="Times New Roman" w:hAnsi="Times New Roman" w:cs="Times New Roman"/>
          <w:color w:val="000000" w:themeColor="text1"/>
          <w:sz w:val="24"/>
          <w:szCs w:val="24"/>
        </w:rPr>
        <w:t xml:space="preserve"> (2.74 </w:t>
      </w:r>
      <w:r w:rsidR="00666536" w:rsidRPr="009A60A2">
        <w:rPr>
          <w:rFonts w:ascii="Times New Roman" w:hAnsi="Times New Roman" w:cs="Times New Roman"/>
          <w:color w:val="000000" w:themeColor="text1"/>
          <w:sz w:val="24"/>
          <w:szCs w:val="24"/>
        </w:rPr>
        <w:t>min</w:t>
      </w:r>
      <w:r w:rsidR="00666536" w:rsidRPr="009A60A2">
        <w:rPr>
          <w:rFonts w:ascii="Times New Roman" w:hAnsi="Times New Roman" w:cs="Times New Roman"/>
          <w:color w:val="000000" w:themeColor="text1"/>
          <w:sz w:val="24"/>
          <w:szCs w:val="24"/>
          <w:vertAlign w:val="superscript"/>
        </w:rPr>
        <w:t>-</w:t>
      </w:r>
      <w:r w:rsidR="00666536" w:rsidRPr="009A60A2">
        <w:rPr>
          <w:rFonts w:ascii="Times New Roman" w:hAnsi="Times New Roman" w:cs="Times New Roman"/>
          <w:color w:val="000000" w:themeColor="text1"/>
          <w:sz w:val="24"/>
          <w:szCs w:val="24"/>
        </w:rPr>
        <w:t>¹ g</w:t>
      </w:r>
      <w:r w:rsidR="00666536" w:rsidRPr="009A60A2">
        <w:rPr>
          <w:rFonts w:ascii="Times New Roman" w:hAnsi="Times New Roman" w:cs="Times New Roman"/>
          <w:color w:val="000000" w:themeColor="text1"/>
          <w:sz w:val="24"/>
          <w:szCs w:val="24"/>
          <w:vertAlign w:val="superscript"/>
        </w:rPr>
        <w:t>-</w:t>
      </w:r>
      <w:r w:rsidR="00666536" w:rsidRPr="009A60A2">
        <w:rPr>
          <w:rFonts w:ascii="Times New Roman" w:hAnsi="Times New Roman" w:cs="Times New Roman"/>
          <w:color w:val="000000" w:themeColor="text1"/>
          <w:sz w:val="24"/>
          <w:szCs w:val="24"/>
        </w:rPr>
        <w:t>¹</w:t>
      </w:r>
      <w:r w:rsidR="006665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compared to other treatments. A declining trend was recorded in most of SA concentrations up to 48 hours after inoculation which further showed a</w:t>
      </w:r>
      <w:r w:rsidR="008E2102">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00023E6E">
        <w:rPr>
          <w:rFonts w:ascii="Times New Roman" w:hAnsi="Times New Roman" w:cs="Times New Roman"/>
          <w:color w:val="000000" w:themeColor="text1"/>
          <w:sz w:val="24"/>
          <w:szCs w:val="24"/>
        </w:rPr>
        <w:t>increasing</w:t>
      </w:r>
      <w:r>
        <w:rPr>
          <w:rFonts w:ascii="Times New Roman" w:hAnsi="Times New Roman" w:cs="Times New Roman"/>
          <w:color w:val="000000" w:themeColor="text1"/>
          <w:sz w:val="24"/>
          <w:szCs w:val="24"/>
        </w:rPr>
        <w:t xml:space="preserve"> trend at 72 HAI and </w:t>
      </w:r>
      <w:r w:rsidR="008E2102">
        <w:rPr>
          <w:rFonts w:ascii="Times New Roman" w:hAnsi="Times New Roman" w:cs="Times New Roman"/>
          <w:color w:val="000000" w:themeColor="text1"/>
          <w:sz w:val="24"/>
          <w:szCs w:val="24"/>
        </w:rPr>
        <w:t>1500 ppm SA</w:t>
      </w:r>
      <w:r w:rsidR="00023E6E">
        <w:rPr>
          <w:rFonts w:ascii="Times New Roman" w:hAnsi="Times New Roman" w:cs="Times New Roman"/>
          <w:color w:val="000000" w:themeColor="text1"/>
          <w:sz w:val="24"/>
          <w:szCs w:val="24"/>
        </w:rPr>
        <w:t xml:space="preserve"> (2.</w:t>
      </w:r>
      <w:r w:rsidR="008E2102">
        <w:rPr>
          <w:rFonts w:ascii="Times New Roman" w:hAnsi="Times New Roman" w:cs="Times New Roman"/>
          <w:color w:val="000000" w:themeColor="text1"/>
          <w:sz w:val="24"/>
          <w:szCs w:val="24"/>
        </w:rPr>
        <w:t>79</w:t>
      </w:r>
      <w:r w:rsidR="00023E6E">
        <w:rPr>
          <w:rFonts w:ascii="Times New Roman" w:hAnsi="Times New Roman" w:cs="Times New Roman"/>
          <w:color w:val="000000" w:themeColor="text1"/>
          <w:sz w:val="24"/>
          <w:szCs w:val="24"/>
        </w:rPr>
        <w:t xml:space="preserve"> </w:t>
      </w:r>
      <w:r w:rsidR="00023E6E" w:rsidRPr="009A60A2">
        <w:rPr>
          <w:rFonts w:ascii="Times New Roman" w:hAnsi="Times New Roman" w:cs="Times New Roman"/>
          <w:color w:val="000000" w:themeColor="text1"/>
          <w:sz w:val="24"/>
          <w:szCs w:val="24"/>
        </w:rPr>
        <w:t>min</w:t>
      </w:r>
      <w:r w:rsidR="00023E6E" w:rsidRPr="009A60A2">
        <w:rPr>
          <w:rFonts w:ascii="Times New Roman" w:hAnsi="Times New Roman" w:cs="Times New Roman"/>
          <w:color w:val="000000" w:themeColor="text1"/>
          <w:sz w:val="24"/>
          <w:szCs w:val="24"/>
          <w:vertAlign w:val="superscript"/>
        </w:rPr>
        <w:t>-</w:t>
      </w:r>
      <w:r w:rsidR="00023E6E" w:rsidRPr="009A60A2">
        <w:rPr>
          <w:rFonts w:ascii="Times New Roman" w:hAnsi="Times New Roman" w:cs="Times New Roman"/>
          <w:color w:val="000000" w:themeColor="text1"/>
          <w:sz w:val="24"/>
          <w:szCs w:val="24"/>
        </w:rPr>
        <w:t>¹ g</w:t>
      </w:r>
      <w:r w:rsidR="00023E6E" w:rsidRPr="009A60A2">
        <w:rPr>
          <w:rFonts w:ascii="Times New Roman" w:hAnsi="Times New Roman" w:cs="Times New Roman"/>
          <w:color w:val="000000" w:themeColor="text1"/>
          <w:sz w:val="24"/>
          <w:szCs w:val="24"/>
          <w:vertAlign w:val="superscript"/>
        </w:rPr>
        <w:t>-</w:t>
      </w:r>
      <w:r w:rsidR="00023E6E" w:rsidRPr="009A60A2">
        <w:rPr>
          <w:rFonts w:ascii="Times New Roman" w:hAnsi="Times New Roman" w:cs="Times New Roman"/>
          <w:color w:val="000000" w:themeColor="text1"/>
          <w:sz w:val="24"/>
          <w:szCs w:val="24"/>
        </w:rPr>
        <w:t>¹</w:t>
      </w:r>
      <w:r w:rsidR="00023E6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maintaining the maximum levels at 72 HAI. Salicylic acid is key signalling molecule in the phenyl </w:t>
      </w:r>
      <w:proofErr w:type="spellStart"/>
      <w:r>
        <w:rPr>
          <w:rFonts w:ascii="Times New Roman" w:hAnsi="Times New Roman" w:cs="Times New Roman"/>
          <w:color w:val="000000" w:themeColor="text1"/>
          <w:sz w:val="24"/>
          <w:szCs w:val="24"/>
        </w:rPr>
        <w:t>propanoid</w:t>
      </w:r>
      <w:proofErr w:type="spellEnd"/>
      <w:r>
        <w:rPr>
          <w:rFonts w:ascii="Times New Roman" w:hAnsi="Times New Roman" w:cs="Times New Roman"/>
          <w:color w:val="000000" w:themeColor="text1"/>
          <w:sz w:val="24"/>
          <w:szCs w:val="24"/>
        </w:rPr>
        <w:t xml:space="preserve"> pathway which contributes to the synthesis of phenols and flavonoids. The</w:t>
      </w:r>
      <w:r w:rsidR="0066653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exogenous application of SA migh</w:t>
      </w:r>
      <w:r w:rsidR="00666536">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 xml:space="preserve"> have contributed to the</w:t>
      </w:r>
      <w:r w:rsidR="00666536">
        <w:rPr>
          <w:rFonts w:ascii="Times New Roman" w:hAnsi="Times New Roman" w:cs="Times New Roman"/>
          <w:color w:val="000000" w:themeColor="text1"/>
          <w:sz w:val="24"/>
          <w:szCs w:val="24"/>
        </w:rPr>
        <w:t xml:space="preserve"> high levels of SA at the time of pathogen infection which accelerated the production of phenols in the initial hours of infection. </w:t>
      </w:r>
      <w:r>
        <w:rPr>
          <w:rFonts w:ascii="Times New Roman" w:hAnsi="Times New Roman" w:cs="Times New Roman"/>
          <w:color w:val="000000" w:themeColor="text1"/>
          <w:sz w:val="24"/>
          <w:szCs w:val="24"/>
        </w:rPr>
        <w:t xml:space="preserve"> </w:t>
      </w:r>
    </w:p>
    <w:bookmarkEnd w:id="2"/>
    <w:bookmarkEnd w:id="3"/>
    <w:p w14:paraId="4172CFEE" w14:textId="4BD0C33E" w:rsidR="00C13085" w:rsidRPr="009A60A2" w:rsidRDefault="005B4CE6" w:rsidP="009A60A2">
      <w:pPr>
        <w:spacing w:line="360" w:lineRule="auto"/>
        <w:ind w:firstLine="720"/>
        <w:jc w:val="both"/>
        <w:rPr>
          <w:rFonts w:ascii="Times New Roman" w:hAnsi="Times New Roman" w:cs="Times New Roman"/>
          <w:color w:val="000000" w:themeColor="text1"/>
          <w:sz w:val="24"/>
          <w:szCs w:val="24"/>
        </w:rPr>
      </w:pPr>
      <w:proofErr w:type="spellStart"/>
      <w:r w:rsidRPr="009A60A2">
        <w:rPr>
          <w:rFonts w:ascii="Times New Roman" w:hAnsi="Times New Roman" w:cs="Times New Roman"/>
          <w:color w:val="000000" w:themeColor="text1"/>
          <w:sz w:val="24"/>
          <w:szCs w:val="24"/>
        </w:rPr>
        <w:t>Deenamo</w:t>
      </w:r>
      <w:proofErr w:type="spellEnd"/>
      <w:r w:rsidRPr="009A60A2">
        <w:rPr>
          <w:rFonts w:ascii="Times New Roman" w:hAnsi="Times New Roman" w:cs="Times New Roman"/>
          <w:color w:val="000000" w:themeColor="text1"/>
          <w:sz w:val="24"/>
          <w:szCs w:val="24"/>
        </w:rPr>
        <w:t xml:space="preserve"> </w:t>
      </w:r>
      <w:r w:rsidRPr="00CF0976">
        <w:rPr>
          <w:rFonts w:ascii="Times New Roman" w:hAnsi="Times New Roman" w:cs="Times New Roman"/>
          <w:i/>
          <w:iCs/>
          <w:color w:val="000000" w:themeColor="text1"/>
          <w:sz w:val="24"/>
          <w:szCs w:val="24"/>
        </w:rPr>
        <w:t>et al</w:t>
      </w:r>
      <w:r w:rsidR="00CF0976">
        <w:rPr>
          <w:rFonts w:ascii="Times New Roman" w:hAnsi="Times New Roman" w:cs="Times New Roman"/>
          <w:color w:val="000000" w:themeColor="text1"/>
          <w:sz w:val="24"/>
          <w:szCs w:val="24"/>
        </w:rPr>
        <w:t>.</w:t>
      </w:r>
      <w:r w:rsidR="00453EEB">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 xml:space="preserve"> (2018) studied the effect of salicylic acid (SA) on induced resistance in rubber tree against </w:t>
      </w:r>
      <w:r w:rsidRPr="009A60A2">
        <w:rPr>
          <w:rFonts w:ascii="Times New Roman" w:hAnsi="Times New Roman" w:cs="Times New Roman"/>
          <w:i/>
          <w:iCs/>
          <w:color w:val="000000" w:themeColor="text1"/>
          <w:sz w:val="24"/>
          <w:szCs w:val="24"/>
        </w:rPr>
        <w:t xml:space="preserve">Phytophthora </w:t>
      </w:r>
      <w:proofErr w:type="spellStart"/>
      <w:r w:rsidRPr="009A60A2">
        <w:rPr>
          <w:rFonts w:ascii="Times New Roman" w:hAnsi="Times New Roman" w:cs="Times New Roman"/>
          <w:i/>
          <w:iCs/>
          <w:color w:val="000000" w:themeColor="text1"/>
          <w:sz w:val="24"/>
          <w:szCs w:val="24"/>
        </w:rPr>
        <w:t>palmivora</w:t>
      </w:r>
      <w:proofErr w:type="spellEnd"/>
      <w:r w:rsidRPr="009A60A2">
        <w:rPr>
          <w:rFonts w:ascii="Times New Roman" w:hAnsi="Times New Roman" w:cs="Times New Roman"/>
          <w:i/>
          <w:iCs/>
          <w:color w:val="000000" w:themeColor="text1"/>
          <w:sz w:val="24"/>
          <w:szCs w:val="24"/>
        </w:rPr>
        <w:t xml:space="preserve"> </w:t>
      </w:r>
      <w:r w:rsidRPr="009A60A2">
        <w:rPr>
          <w:rFonts w:ascii="Times New Roman" w:hAnsi="Times New Roman" w:cs="Times New Roman"/>
          <w:color w:val="000000" w:themeColor="text1"/>
          <w:sz w:val="24"/>
          <w:szCs w:val="24"/>
        </w:rPr>
        <w:t xml:space="preserve">and reported a similar finding that total phenolic </w:t>
      </w:r>
      <w:r w:rsidRPr="009A60A2">
        <w:rPr>
          <w:rFonts w:ascii="Times New Roman" w:hAnsi="Times New Roman" w:cs="Times New Roman"/>
          <w:color w:val="000000" w:themeColor="text1"/>
          <w:sz w:val="24"/>
          <w:szCs w:val="24"/>
        </w:rPr>
        <w:lastRenderedPageBreak/>
        <w:t>content was higher in SA treated plants than that of the inoculation with </w:t>
      </w:r>
      <w:r w:rsidRPr="009A60A2">
        <w:rPr>
          <w:rFonts w:ascii="Times New Roman" w:hAnsi="Times New Roman" w:cs="Times New Roman"/>
          <w:i/>
          <w:iCs/>
          <w:color w:val="000000" w:themeColor="text1"/>
          <w:sz w:val="24"/>
          <w:szCs w:val="24"/>
        </w:rPr>
        <w:t xml:space="preserve">P. </w:t>
      </w:r>
      <w:proofErr w:type="spellStart"/>
      <w:r w:rsidRPr="009A60A2">
        <w:rPr>
          <w:rFonts w:ascii="Times New Roman" w:hAnsi="Times New Roman" w:cs="Times New Roman"/>
          <w:i/>
          <w:iCs/>
          <w:color w:val="000000" w:themeColor="text1"/>
          <w:sz w:val="24"/>
          <w:szCs w:val="24"/>
        </w:rPr>
        <w:t>palmivora</w:t>
      </w:r>
      <w:proofErr w:type="spellEnd"/>
      <w:r w:rsidRPr="009A60A2">
        <w:rPr>
          <w:rFonts w:ascii="Times New Roman" w:hAnsi="Times New Roman" w:cs="Times New Roman"/>
          <w:color w:val="000000" w:themeColor="text1"/>
          <w:sz w:val="24"/>
          <w:szCs w:val="24"/>
        </w:rPr>
        <w:t> (DW + </w:t>
      </w:r>
      <w:r w:rsidRPr="009A60A2">
        <w:rPr>
          <w:rFonts w:ascii="Times New Roman" w:hAnsi="Times New Roman" w:cs="Times New Roman"/>
          <w:i/>
          <w:iCs/>
          <w:color w:val="000000" w:themeColor="text1"/>
          <w:sz w:val="24"/>
          <w:szCs w:val="24"/>
        </w:rPr>
        <w:t>P. pal</w:t>
      </w:r>
      <w:r w:rsidRPr="009A60A2">
        <w:rPr>
          <w:rFonts w:ascii="Times New Roman" w:hAnsi="Times New Roman" w:cs="Times New Roman"/>
          <w:color w:val="000000" w:themeColor="text1"/>
          <w:sz w:val="24"/>
          <w:szCs w:val="24"/>
        </w:rPr>
        <w:t xml:space="preserve">). </w:t>
      </w:r>
      <w:r w:rsidR="00FC3E20" w:rsidRPr="009A60A2">
        <w:rPr>
          <w:rFonts w:ascii="Times New Roman" w:hAnsi="Times New Roman" w:cs="Times New Roman"/>
          <w:color w:val="000000" w:themeColor="text1"/>
          <w:sz w:val="24"/>
          <w:szCs w:val="24"/>
        </w:rPr>
        <w:t xml:space="preserve">Dong </w:t>
      </w:r>
      <w:r w:rsidR="00FC3E20" w:rsidRPr="008E451B">
        <w:rPr>
          <w:rFonts w:ascii="Times New Roman" w:hAnsi="Times New Roman" w:cs="Times New Roman"/>
          <w:i/>
          <w:iCs/>
          <w:color w:val="000000" w:themeColor="text1"/>
          <w:sz w:val="24"/>
          <w:szCs w:val="24"/>
        </w:rPr>
        <w:t>et al</w:t>
      </w:r>
      <w:r w:rsidR="00453EEB">
        <w:rPr>
          <w:rFonts w:ascii="Times New Roman" w:hAnsi="Times New Roman" w:cs="Times New Roman"/>
          <w:color w:val="000000" w:themeColor="text1"/>
          <w:sz w:val="24"/>
          <w:szCs w:val="24"/>
        </w:rPr>
        <w:t>.,</w:t>
      </w:r>
      <w:r w:rsidR="00FC3E20" w:rsidRPr="009A60A2">
        <w:rPr>
          <w:rFonts w:ascii="Times New Roman" w:hAnsi="Times New Roman" w:cs="Times New Roman"/>
          <w:color w:val="000000" w:themeColor="text1"/>
          <w:sz w:val="24"/>
          <w:szCs w:val="24"/>
        </w:rPr>
        <w:t xml:space="preserve"> (2010) </w:t>
      </w:r>
      <w:r w:rsidR="00EF64D2">
        <w:rPr>
          <w:rFonts w:ascii="Times New Roman" w:hAnsi="Times New Roman" w:cs="Times New Roman"/>
          <w:color w:val="000000" w:themeColor="text1"/>
          <w:sz w:val="24"/>
          <w:szCs w:val="24"/>
        </w:rPr>
        <w:t>also observed</w:t>
      </w:r>
      <w:r w:rsidR="00FC3E20" w:rsidRPr="009A60A2">
        <w:rPr>
          <w:rFonts w:ascii="Times New Roman" w:hAnsi="Times New Roman" w:cs="Times New Roman"/>
          <w:color w:val="000000" w:themeColor="text1"/>
          <w:sz w:val="24"/>
          <w:szCs w:val="24"/>
        </w:rPr>
        <w:t xml:space="preserve"> the effects of salicylic acid (SA) on the accumulation of phenolic compounds in </w:t>
      </w:r>
      <w:r w:rsidR="00FC3E20" w:rsidRPr="009A60A2">
        <w:rPr>
          <w:rFonts w:ascii="Times New Roman" w:hAnsi="Times New Roman" w:cs="Times New Roman"/>
          <w:i/>
          <w:iCs/>
          <w:color w:val="000000" w:themeColor="text1"/>
          <w:sz w:val="24"/>
          <w:szCs w:val="24"/>
        </w:rPr>
        <w:t xml:space="preserve">Salvia </w:t>
      </w:r>
      <w:proofErr w:type="spellStart"/>
      <w:r w:rsidR="00FC3E20" w:rsidRPr="009A60A2">
        <w:rPr>
          <w:rFonts w:ascii="Times New Roman" w:hAnsi="Times New Roman" w:cs="Times New Roman"/>
          <w:i/>
          <w:iCs/>
          <w:color w:val="000000" w:themeColor="text1"/>
          <w:sz w:val="24"/>
          <w:szCs w:val="24"/>
        </w:rPr>
        <w:t>miltiorrhiza</w:t>
      </w:r>
      <w:proofErr w:type="spellEnd"/>
      <w:r w:rsidR="00FC3E20" w:rsidRPr="009A60A2">
        <w:rPr>
          <w:rFonts w:ascii="Times New Roman" w:hAnsi="Times New Roman" w:cs="Times New Roman"/>
          <w:color w:val="000000" w:themeColor="text1"/>
          <w:sz w:val="24"/>
          <w:szCs w:val="24"/>
        </w:rPr>
        <w:t> cell culture. They reported an increase in phenolic compounds (salvianolic acid and caffeic acid) after 24 hours of application. After 24 h, there is gradual reduction in peak area up</w:t>
      </w:r>
      <w:r w:rsidR="00AA0A83">
        <w:rPr>
          <w:rFonts w:ascii="Times New Roman" w:hAnsi="Times New Roman" w:cs="Times New Roman"/>
          <w:color w:val="000000" w:themeColor="text1"/>
          <w:sz w:val="24"/>
          <w:szCs w:val="24"/>
        </w:rPr>
        <w:t xml:space="preserve"> </w:t>
      </w:r>
      <w:r w:rsidR="00FC3E20" w:rsidRPr="009A60A2">
        <w:rPr>
          <w:rFonts w:ascii="Times New Roman" w:hAnsi="Times New Roman" w:cs="Times New Roman"/>
          <w:color w:val="000000" w:themeColor="text1"/>
          <w:sz w:val="24"/>
          <w:szCs w:val="24"/>
        </w:rPr>
        <w:t xml:space="preserve">to 64 h. </w:t>
      </w:r>
      <w:bookmarkStart w:id="4" w:name="_Hlk196213729"/>
      <w:bookmarkStart w:id="5" w:name="_Hlk194409595"/>
      <w:r w:rsidR="00927F3D" w:rsidRPr="009A60A2">
        <w:rPr>
          <w:rFonts w:ascii="Times New Roman" w:hAnsi="Times New Roman" w:cs="Times New Roman"/>
          <w:color w:val="000000" w:themeColor="text1"/>
          <w:sz w:val="24"/>
          <w:szCs w:val="24"/>
        </w:rPr>
        <w:t>Similar elevation of total phenol content</w:t>
      </w:r>
      <w:r w:rsidR="00927F3D">
        <w:rPr>
          <w:rFonts w:ascii="Times New Roman" w:hAnsi="Times New Roman" w:cs="Times New Roman"/>
          <w:color w:val="000000" w:themeColor="text1"/>
          <w:sz w:val="24"/>
          <w:szCs w:val="24"/>
        </w:rPr>
        <w:t xml:space="preserve"> by</w:t>
      </w:r>
      <w:r w:rsidR="00927F3D" w:rsidRPr="009A60A2">
        <w:rPr>
          <w:rFonts w:ascii="Times New Roman" w:hAnsi="Times New Roman" w:cs="Times New Roman"/>
          <w:color w:val="000000" w:themeColor="text1"/>
          <w:sz w:val="24"/>
          <w:szCs w:val="24"/>
        </w:rPr>
        <w:t xml:space="preserve"> exogenous application of </w:t>
      </w:r>
      <w:r w:rsidR="00927F3D">
        <w:rPr>
          <w:rFonts w:ascii="Times New Roman" w:hAnsi="Times New Roman" w:cs="Times New Roman"/>
          <w:color w:val="000000" w:themeColor="text1"/>
          <w:sz w:val="24"/>
          <w:szCs w:val="24"/>
        </w:rPr>
        <w:t>s</w:t>
      </w:r>
      <w:r w:rsidR="00927F3D" w:rsidRPr="009A60A2">
        <w:rPr>
          <w:rFonts w:ascii="Times New Roman" w:hAnsi="Times New Roman" w:cs="Times New Roman"/>
          <w:color w:val="000000" w:themeColor="text1"/>
          <w:sz w:val="24"/>
          <w:szCs w:val="24"/>
        </w:rPr>
        <w:t xml:space="preserve">alicylic acid was </w:t>
      </w:r>
      <w:r w:rsidR="00927F3D">
        <w:rPr>
          <w:rFonts w:ascii="Times New Roman" w:hAnsi="Times New Roman" w:cs="Times New Roman"/>
          <w:color w:val="000000" w:themeColor="text1"/>
          <w:sz w:val="24"/>
          <w:szCs w:val="24"/>
        </w:rPr>
        <w:t>noticed</w:t>
      </w:r>
      <w:r w:rsidR="00927F3D" w:rsidRPr="009A60A2">
        <w:rPr>
          <w:rFonts w:ascii="Times New Roman" w:hAnsi="Times New Roman" w:cs="Times New Roman"/>
          <w:color w:val="000000" w:themeColor="text1"/>
          <w:sz w:val="24"/>
          <w:szCs w:val="24"/>
        </w:rPr>
        <w:t xml:space="preserve"> </w:t>
      </w:r>
      <w:r w:rsidR="00927F3D">
        <w:rPr>
          <w:rFonts w:ascii="Times New Roman" w:hAnsi="Times New Roman" w:cs="Times New Roman"/>
          <w:color w:val="000000" w:themeColor="text1"/>
          <w:sz w:val="24"/>
          <w:szCs w:val="24"/>
        </w:rPr>
        <w:t>B</w:t>
      </w:r>
      <w:r w:rsidR="00927F3D" w:rsidRPr="009A60A2">
        <w:rPr>
          <w:rFonts w:ascii="Times New Roman" w:hAnsi="Times New Roman" w:cs="Times New Roman"/>
          <w:color w:val="000000" w:themeColor="text1"/>
          <w:sz w:val="24"/>
          <w:szCs w:val="24"/>
        </w:rPr>
        <w:t xml:space="preserve">lanch </w:t>
      </w:r>
      <w:r w:rsidR="00927F3D" w:rsidRPr="00453EEB">
        <w:rPr>
          <w:rFonts w:ascii="Times New Roman" w:hAnsi="Times New Roman" w:cs="Times New Roman"/>
          <w:i/>
          <w:iCs/>
          <w:color w:val="000000" w:themeColor="text1"/>
          <w:sz w:val="24"/>
          <w:szCs w:val="24"/>
        </w:rPr>
        <w:t>et al</w:t>
      </w:r>
      <w:r w:rsidR="00927F3D">
        <w:rPr>
          <w:rFonts w:ascii="Times New Roman" w:hAnsi="Times New Roman" w:cs="Times New Roman"/>
          <w:color w:val="000000" w:themeColor="text1"/>
          <w:sz w:val="24"/>
          <w:szCs w:val="24"/>
        </w:rPr>
        <w:t>.,</w:t>
      </w:r>
      <w:r w:rsidR="00927F3D" w:rsidRPr="009A60A2">
        <w:rPr>
          <w:rFonts w:ascii="Times New Roman" w:hAnsi="Times New Roman" w:cs="Times New Roman"/>
          <w:color w:val="000000" w:themeColor="text1"/>
          <w:sz w:val="24"/>
          <w:szCs w:val="24"/>
        </w:rPr>
        <w:t xml:space="preserve"> (2020) in table grapes, Y</w:t>
      </w:r>
      <w:r w:rsidR="00927F3D">
        <w:rPr>
          <w:rFonts w:ascii="Times New Roman" w:hAnsi="Times New Roman" w:cs="Times New Roman"/>
          <w:color w:val="000000" w:themeColor="text1"/>
          <w:sz w:val="24"/>
          <w:szCs w:val="24"/>
        </w:rPr>
        <w:t>i</w:t>
      </w:r>
      <w:r w:rsidR="00927F3D" w:rsidRPr="009A60A2">
        <w:rPr>
          <w:rFonts w:ascii="Times New Roman" w:hAnsi="Times New Roman" w:cs="Times New Roman"/>
          <w:color w:val="000000" w:themeColor="text1"/>
          <w:sz w:val="24"/>
          <w:szCs w:val="24"/>
        </w:rPr>
        <w:t xml:space="preserve">n </w:t>
      </w:r>
      <w:r w:rsidR="00927F3D" w:rsidRPr="00453EEB">
        <w:rPr>
          <w:rFonts w:ascii="Times New Roman" w:hAnsi="Times New Roman" w:cs="Times New Roman"/>
          <w:i/>
          <w:iCs/>
          <w:color w:val="000000" w:themeColor="text1"/>
          <w:sz w:val="24"/>
          <w:szCs w:val="24"/>
        </w:rPr>
        <w:t>et al</w:t>
      </w:r>
      <w:r w:rsidR="00927F3D">
        <w:rPr>
          <w:rFonts w:ascii="Times New Roman" w:hAnsi="Times New Roman" w:cs="Times New Roman"/>
          <w:color w:val="000000" w:themeColor="text1"/>
          <w:sz w:val="24"/>
          <w:szCs w:val="24"/>
        </w:rPr>
        <w:t>.,</w:t>
      </w:r>
      <w:r w:rsidR="00927F3D" w:rsidRPr="009A60A2">
        <w:rPr>
          <w:rFonts w:ascii="Times New Roman" w:hAnsi="Times New Roman" w:cs="Times New Roman"/>
          <w:color w:val="000000" w:themeColor="text1"/>
          <w:sz w:val="24"/>
          <w:szCs w:val="24"/>
        </w:rPr>
        <w:t xml:space="preserve"> (2024) in barley sprouts. </w:t>
      </w:r>
      <w:r w:rsidR="00EF64D2">
        <w:rPr>
          <w:rFonts w:ascii="Times New Roman" w:hAnsi="Times New Roman" w:cs="Times New Roman"/>
          <w:color w:val="000000" w:themeColor="text1"/>
          <w:sz w:val="24"/>
          <w:szCs w:val="24"/>
        </w:rPr>
        <w:t>A similar trend of gradual reduction in the ph</w:t>
      </w:r>
      <w:r w:rsidR="00783896">
        <w:rPr>
          <w:rFonts w:ascii="Times New Roman" w:hAnsi="Times New Roman" w:cs="Times New Roman"/>
          <w:color w:val="000000" w:themeColor="text1"/>
          <w:sz w:val="24"/>
          <w:szCs w:val="24"/>
        </w:rPr>
        <w:t>e</w:t>
      </w:r>
      <w:r w:rsidR="00EF64D2">
        <w:rPr>
          <w:rFonts w:ascii="Times New Roman" w:hAnsi="Times New Roman" w:cs="Times New Roman"/>
          <w:color w:val="000000" w:themeColor="text1"/>
          <w:sz w:val="24"/>
          <w:szCs w:val="24"/>
        </w:rPr>
        <w:t>nol content was observed in our study which are in consistent with their observations.</w:t>
      </w:r>
      <w:r w:rsidR="00927F3D">
        <w:rPr>
          <w:rFonts w:ascii="Times New Roman" w:hAnsi="Times New Roman" w:cs="Times New Roman"/>
          <w:color w:val="000000" w:themeColor="text1"/>
          <w:sz w:val="24"/>
          <w:szCs w:val="24"/>
        </w:rPr>
        <w:t xml:space="preserve"> </w:t>
      </w:r>
      <w:bookmarkEnd w:id="4"/>
    </w:p>
    <w:bookmarkEnd w:id="5"/>
    <w:p w14:paraId="54105BBC" w14:textId="76B84274" w:rsidR="00E03BCA" w:rsidRPr="009A60A2" w:rsidRDefault="00274CF6" w:rsidP="009A60A2">
      <w:pPr>
        <w:spacing w:line="360" w:lineRule="auto"/>
        <w:ind w:firstLine="720"/>
        <w:jc w:val="both"/>
        <w:rPr>
          <w:rFonts w:ascii="Times New Roman" w:hAnsi="Times New Roman" w:cs="Times New Roman"/>
          <w:color w:val="000000" w:themeColor="text1"/>
          <w:sz w:val="24"/>
          <w:szCs w:val="24"/>
        </w:rPr>
      </w:pPr>
      <w:r w:rsidRPr="009A60A2">
        <w:rPr>
          <w:rFonts w:ascii="Times New Roman" w:hAnsi="Times New Roman" w:cs="Times New Roman"/>
          <w:color w:val="000000" w:themeColor="text1"/>
          <w:sz w:val="24"/>
          <w:szCs w:val="24"/>
        </w:rPr>
        <w:t xml:space="preserve">Flavonoid levels in pepper plants </w:t>
      </w:r>
      <w:r w:rsidR="00C35631" w:rsidRPr="009A60A2">
        <w:rPr>
          <w:rFonts w:ascii="Times New Roman" w:hAnsi="Times New Roman" w:cs="Times New Roman"/>
          <w:color w:val="000000" w:themeColor="text1"/>
          <w:sz w:val="24"/>
          <w:szCs w:val="24"/>
        </w:rPr>
        <w:t>subjected</w:t>
      </w:r>
      <w:r w:rsidRPr="009A60A2">
        <w:rPr>
          <w:rFonts w:ascii="Times New Roman" w:hAnsi="Times New Roman" w:cs="Times New Roman"/>
          <w:color w:val="000000" w:themeColor="text1"/>
          <w:sz w:val="24"/>
          <w:szCs w:val="24"/>
        </w:rPr>
        <w:t xml:space="preserve"> to various treatments </w:t>
      </w:r>
      <w:r w:rsidR="00C35631" w:rsidRPr="009A60A2">
        <w:rPr>
          <w:rFonts w:ascii="Times New Roman" w:hAnsi="Times New Roman" w:cs="Times New Roman"/>
          <w:color w:val="000000" w:themeColor="text1"/>
          <w:sz w:val="24"/>
          <w:szCs w:val="24"/>
        </w:rPr>
        <w:t>followed by</w:t>
      </w:r>
      <w:r w:rsidRPr="009A60A2">
        <w:rPr>
          <w:rFonts w:ascii="Times New Roman" w:hAnsi="Times New Roman" w:cs="Times New Roman"/>
          <w:color w:val="000000" w:themeColor="text1"/>
          <w:sz w:val="24"/>
          <w:szCs w:val="24"/>
        </w:rPr>
        <w:t xml:space="preserve"> pathogen inoculation showed notable fluctuations across different time intervals</w:t>
      </w:r>
      <w:r w:rsidR="000B6A8D">
        <w:rPr>
          <w:rFonts w:ascii="Times New Roman" w:hAnsi="Times New Roman" w:cs="Times New Roman"/>
          <w:color w:val="000000" w:themeColor="text1"/>
          <w:sz w:val="24"/>
          <w:szCs w:val="24"/>
        </w:rPr>
        <w:t xml:space="preserve"> (</w:t>
      </w:r>
      <w:r w:rsidR="00453EEB">
        <w:rPr>
          <w:rFonts w:ascii="Times New Roman" w:hAnsi="Times New Roman" w:cs="Times New Roman"/>
          <w:color w:val="000000" w:themeColor="text1"/>
          <w:sz w:val="24"/>
          <w:szCs w:val="24"/>
        </w:rPr>
        <w:t>F</w:t>
      </w:r>
      <w:r w:rsidR="000B6A8D">
        <w:rPr>
          <w:rFonts w:ascii="Times New Roman" w:hAnsi="Times New Roman" w:cs="Times New Roman"/>
          <w:color w:val="000000" w:themeColor="text1"/>
          <w:sz w:val="24"/>
          <w:szCs w:val="24"/>
        </w:rPr>
        <w:t>ig 2</w:t>
      </w:r>
      <w:r w:rsidR="00927F3D">
        <w:rPr>
          <w:rFonts w:ascii="Times New Roman" w:hAnsi="Times New Roman" w:cs="Times New Roman"/>
          <w:color w:val="000000" w:themeColor="text1"/>
          <w:sz w:val="24"/>
          <w:szCs w:val="24"/>
        </w:rPr>
        <w:t xml:space="preserve"> and Table 2</w:t>
      </w:r>
      <w:r w:rsidR="000B6A8D">
        <w:rPr>
          <w:rFonts w:ascii="Times New Roman" w:hAnsi="Times New Roman" w:cs="Times New Roman"/>
          <w:color w:val="000000" w:themeColor="text1"/>
          <w:sz w:val="24"/>
          <w:szCs w:val="24"/>
        </w:rPr>
        <w:t>)</w:t>
      </w:r>
      <w:r w:rsidR="00C35631" w:rsidRPr="009A60A2">
        <w:rPr>
          <w:rFonts w:ascii="Times New Roman" w:hAnsi="Times New Roman" w:cs="Times New Roman"/>
          <w:color w:val="000000" w:themeColor="text1"/>
          <w:sz w:val="24"/>
          <w:szCs w:val="24"/>
        </w:rPr>
        <w:t xml:space="preserve">. </w:t>
      </w:r>
      <w:r w:rsidR="00E964E7" w:rsidRPr="009A60A2">
        <w:rPr>
          <w:rFonts w:ascii="Times New Roman" w:hAnsi="Times New Roman" w:cs="Times New Roman"/>
          <w:color w:val="000000" w:themeColor="text1"/>
          <w:sz w:val="24"/>
          <w:szCs w:val="24"/>
        </w:rPr>
        <w:t>At 24 HAI, flavonoid content</w:t>
      </w:r>
      <w:r w:rsidR="00927F3D">
        <w:rPr>
          <w:rFonts w:ascii="Times New Roman" w:hAnsi="Times New Roman" w:cs="Times New Roman"/>
          <w:color w:val="000000" w:themeColor="text1"/>
          <w:sz w:val="24"/>
          <w:szCs w:val="24"/>
        </w:rPr>
        <w:t xml:space="preserve"> in various treatments</w:t>
      </w:r>
      <w:r w:rsidR="00E964E7" w:rsidRPr="009A60A2">
        <w:rPr>
          <w:rFonts w:ascii="Times New Roman" w:hAnsi="Times New Roman" w:cs="Times New Roman"/>
          <w:color w:val="000000" w:themeColor="text1"/>
          <w:sz w:val="24"/>
          <w:szCs w:val="24"/>
        </w:rPr>
        <w:t xml:space="preserve"> ranged from </w:t>
      </w:r>
      <w:r w:rsidR="0043104B" w:rsidRPr="009A60A2">
        <w:rPr>
          <w:rFonts w:ascii="Times New Roman" w:hAnsi="Times New Roman" w:cs="Times New Roman"/>
          <w:color w:val="000000" w:themeColor="text1"/>
          <w:sz w:val="24"/>
          <w:szCs w:val="24"/>
        </w:rPr>
        <w:t>4.34</w:t>
      </w:r>
      <w:r w:rsidR="00E964E7" w:rsidRPr="009A60A2">
        <w:rPr>
          <w:rFonts w:ascii="Times New Roman" w:hAnsi="Times New Roman" w:cs="Times New Roman"/>
          <w:color w:val="000000" w:themeColor="text1"/>
          <w:sz w:val="24"/>
          <w:szCs w:val="24"/>
        </w:rPr>
        <w:t xml:space="preserve"> to </w:t>
      </w:r>
      <w:r w:rsidR="0043104B" w:rsidRPr="009A60A2">
        <w:rPr>
          <w:rFonts w:ascii="Times New Roman" w:hAnsi="Times New Roman" w:cs="Times New Roman"/>
          <w:color w:val="000000" w:themeColor="text1"/>
          <w:sz w:val="24"/>
          <w:szCs w:val="24"/>
        </w:rPr>
        <w:t>6.25</w:t>
      </w:r>
      <w:r w:rsidR="00E964E7" w:rsidRPr="009A60A2">
        <w:rPr>
          <w:rFonts w:ascii="Times New Roman" w:hAnsi="Times New Roman" w:cs="Times New Roman"/>
          <w:color w:val="000000" w:themeColor="text1"/>
          <w:sz w:val="24"/>
          <w:szCs w:val="24"/>
        </w:rPr>
        <w:t xml:space="preserve"> min</w:t>
      </w:r>
      <w:r w:rsidR="00CA4E56" w:rsidRPr="009A60A2">
        <w:rPr>
          <w:rFonts w:ascii="Times New Roman" w:hAnsi="Times New Roman" w:cs="Times New Roman"/>
          <w:color w:val="000000" w:themeColor="text1"/>
          <w:sz w:val="24"/>
          <w:szCs w:val="24"/>
          <w:vertAlign w:val="superscript"/>
        </w:rPr>
        <w:t>-</w:t>
      </w:r>
      <w:r w:rsidR="00CA4E56" w:rsidRPr="009A60A2">
        <w:rPr>
          <w:rFonts w:ascii="Times New Roman" w:hAnsi="Times New Roman" w:cs="Times New Roman"/>
          <w:color w:val="000000" w:themeColor="text1"/>
          <w:sz w:val="24"/>
          <w:szCs w:val="24"/>
        </w:rPr>
        <w:t>¹</w:t>
      </w:r>
      <w:r w:rsidR="00E964E7" w:rsidRPr="009A60A2">
        <w:rPr>
          <w:rFonts w:ascii="Times New Roman" w:hAnsi="Times New Roman" w:cs="Times New Roman"/>
          <w:color w:val="000000" w:themeColor="text1"/>
          <w:sz w:val="24"/>
          <w:szCs w:val="24"/>
        </w:rPr>
        <w:t xml:space="preserve"> g</w:t>
      </w:r>
      <w:r w:rsidR="00CA4E56" w:rsidRPr="009A60A2">
        <w:rPr>
          <w:rFonts w:ascii="Times New Roman" w:hAnsi="Times New Roman" w:cs="Times New Roman"/>
          <w:color w:val="000000" w:themeColor="text1"/>
          <w:sz w:val="24"/>
          <w:szCs w:val="24"/>
          <w:vertAlign w:val="superscript"/>
        </w:rPr>
        <w:t>-</w:t>
      </w:r>
      <w:r w:rsidR="00CA4E56" w:rsidRPr="009A60A2">
        <w:rPr>
          <w:rFonts w:ascii="Times New Roman" w:hAnsi="Times New Roman" w:cs="Times New Roman"/>
          <w:color w:val="000000" w:themeColor="text1"/>
          <w:sz w:val="24"/>
          <w:szCs w:val="24"/>
        </w:rPr>
        <w:t>¹</w:t>
      </w:r>
      <w:r w:rsidR="00E964E7" w:rsidRPr="009A60A2">
        <w:rPr>
          <w:rFonts w:ascii="Times New Roman" w:hAnsi="Times New Roman" w:cs="Times New Roman"/>
          <w:color w:val="000000" w:themeColor="text1"/>
          <w:sz w:val="24"/>
          <w:szCs w:val="24"/>
        </w:rPr>
        <w:t xml:space="preserve">, with the highest in </w:t>
      </w:r>
      <w:r w:rsidR="00107BA5">
        <w:rPr>
          <w:rFonts w:ascii="Times New Roman" w:hAnsi="Times New Roman" w:cs="Times New Roman"/>
          <w:color w:val="000000" w:themeColor="text1"/>
          <w:sz w:val="24"/>
          <w:szCs w:val="24"/>
        </w:rPr>
        <w:t xml:space="preserve">1500 ppm SA </w:t>
      </w:r>
      <w:r w:rsidR="00E964E7" w:rsidRPr="009A60A2">
        <w:rPr>
          <w:rFonts w:ascii="Times New Roman" w:hAnsi="Times New Roman" w:cs="Times New Roman"/>
          <w:color w:val="000000" w:themeColor="text1"/>
          <w:sz w:val="24"/>
          <w:szCs w:val="24"/>
        </w:rPr>
        <w:t>treatment</w:t>
      </w:r>
      <w:r w:rsidR="00107BA5">
        <w:rPr>
          <w:rFonts w:ascii="Times New Roman" w:hAnsi="Times New Roman" w:cs="Times New Roman"/>
          <w:color w:val="000000" w:themeColor="text1"/>
          <w:sz w:val="24"/>
          <w:szCs w:val="24"/>
        </w:rPr>
        <w:t xml:space="preserve"> </w:t>
      </w:r>
      <w:r w:rsidR="00E964E7" w:rsidRPr="009A60A2">
        <w:rPr>
          <w:rFonts w:ascii="Times New Roman" w:hAnsi="Times New Roman" w:cs="Times New Roman"/>
          <w:color w:val="000000" w:themeColor="text1"/>
          <w:sz w:val="24"/>
          <w:szCs w:val="24"/>
        </w:rPr>
        <w:t>(6.25 min</w:t>
      </w:r>
      <w:r w:rsidR="00CA4E56" w:rsidRPr="009A60A2">
        <w:rPr>
          <w:rFonts w:ascii="Times New Roman" w:hAnsi="Times New Roman" w:cs="Times New Roman"/>
          <w:color w:val="000000" w:themeColor="text1"/>
          <w:sz w:val="24"/>
          <w:szCs w:val="24"/>
          <w:vertAlign w:val="superscript"/>
        </w:rPr>
        <w:t>-</w:t>
      </w:r>
      <w:r w:rsidR="00CA4E56" w:rsidRPr="009A60A2">
        <w:rPr>
          <w:rFonts w:ascii="Times New Roman" w:hAnsi="Times New Roman" w:cs="Times New Roman"/>
          <w:color w:val="000000" w:themeColor="text1"/>
          <w:sz w:val="24"/>
          <w:szCs w:val="24"/>
        </w:rPr>
        <w:t>¹</w:t>
      </w:r>
      <w:r w:rsidR="00E964E7" w:rsidRPr="009A60A2">
        <w:rPr>
          <w:rFonts w:ascii="Times New Roman" w:hAnsi="Times New Roman" w:cs="Times New Roman"/>
          <w:color w:val="000000" w:themeColor="text1"/>
          <w:sz w:val="24"/>
          <w:szCs w:val="24"/>
        </w:rPr>
        <w:t xml:space="preserve"> g</w:t>
      </w:r>
      <w:r w:rsidR="00CA4E56" w:rsidRPr="009A60A2">
        <w:rPr>
          <w:rFonts w:ascii="Times New Roman" w:hAnsi="Times New Roman" w:cs="Times New Roman"/>
          <w:color w:val="000000" w:themeColor="text1"/>
          <w:sz w:val="24"/>
          <w:szCs w:val="24"/>
          <w:vertAlign w:val="superscript"/>
        </w:rPr>
        <w:t>-</w:t>
      </w:r>
      <w:r w:rsidR="00CA4E56" w:rsidRPr="009A60A2">
        <w:rPr>
          <w:rFonts w:ascii="Times New Roman" w:hAnsi="Times New Roman" w:cs="Times New Roman"/>
          <w:color w:val="000000" w:themeColor="text1"/>
          <w:sz w:val="24"/>
          <w:szCs w:val="24"/>
        </w:rPr>
        <w:t>¹</w:t>
      </w:r>
      <w:r w:rsidR="00E964E7" w:rsidRPr="009A60A2">
        <w:rPr>
          <w:rFonts w:ascii="Times New Roman" w:hAnsi="Times New Roman" w:cs="Times New Roman"/>
          <w:color w:val="000000" w:themeColor="text1"/>
          <w:sz w:val="24"/>
          <w:szCs w:val="24"/>
        </w:rPr>
        <w:t xml:space="preserve">) </w:t>
      </w:r>
      <w:r w:rsidR="0043104B" w:rsidRPr="009A60A2">
        <w:rPr>
          <w:rFonts w:ascii="Times New Roman" w:hAnsi="Times New Roman" w:cs="Times New Roman"/>
          <w:color w:val="000000" w:themeColor="text1"/>
          <w:sz w:val="24"/>
          <w:szCs w:val="24"/>
        </w:rPr>
        <w:t xml:space="preserve">followed by </w:t>
      </w:r>
      <w:r w:rsidR="00107BA5">
        <w:rPr>
          <w:rFonts w:ascii="Times New Roman" w:hAnsi="Times New Roman" w:cs="Times New Roman"/>
          <w:color w:val="000000" w:themeColor="text1"/>
          <w:sz w:val="24"/>
          <w:szCs w:val="24"/>
        </w:rPr>
        <w:t>1000 ppm SA</w:t>
      </w:r>
      <w:r w:rsidR="0043104B" w:rsidRPr="009A60A2">
        <w:rPr>
          <w:rFonts w:ascii="Times New Roman" w:hAnsi="Times New Roman" w:cs="Times New Roman"/>
          <w:color w:val="000000" w:themeColor="text1"/>
          <w:sz w:val="24"/>
          <w:szCs w:val="24"/>
        </w:rPr>
        <w:t xml:space="preserve"> (5.58 min</w:t>
      </w:r>
      <w:r w:rsidR="0043104B" w:rsidRPr="009A60A2">
        <w:rPr>
          <w:rFonts w:ascii="Times New Roman" w:hAnsi="Times New Roman" w:cs="Times New Roman"/>
          <w:color w:val="000000" w:themeColor="text1"/>
          <w:sz w:val="24"/>
          <w:szCs w:val="24"/>
          <w:vertAlign w:val="superscript"/>
        </w:rPr>
        <w:t>-</w:t>
      </w:r>
      <w:r w:rsidR="0043104B" w:rsidRPr="009A60A2">
        <w:rPr>
          <w:rFonts w:ascii="Times New Roman" w:hAnsi="Times New Roman" w:cs="Times New Roman"/>
          <w:color w:val="000000" w:themeColor="text1"/>
          <w:sz w:val="24"/>
          <w:szCs w:val="24"/>
        </w:rPr>
        <w:t>¹ g</w:t>
      </w:r>
      <w:r w:rsidR="0043104B" w:rsidRPr="009A60A2">
        <w:rPr>
          <w:rFonts w:ascii="Times New Roman" w:hAnsi="Times New Roman" w:cs="Times New Roman"/>
          <w:color w:val="000000" w:themeColor="text1"/>
          <w:sz w:val="24"/>
          <w:szCs w:val="24"/>
          <w:vertAlign w:val="superscript"/>
        </w:rPr>
        <w:t>-</w:t>
      </w:r>
      <w:r w:rsidR="0043104B" w:rsidRPr="009A60A2">
        <w:rPr>
          <w:rFonts w:ascii="Times New Roman" w:hAnsi="Times New Roman" w:cs="Times New Roman"/>
          <w:color w:val="000000" w:themeColor="text1"/>
          <w:sz w:val="24"/>
          <w:szCs w:val="24"/>
        </w:rPr>
        <w:t xml:space="preserve">¹) </w:t>
      </w:r>
      <w:r w:rsidR="00E964E7" w:rsidRPr="009A60A2">
        <w:rPr>
          <w:rFonts w:ascii="Times New Roman" w:hAnsi="Times New Roman" w:cs="Times New Roman"/>
          <w:color w:val="000000" w:themeColor="text1"/>
          <w:sz w:val="24"/>
          <w:szCs w:val="24"/>
        </w:rPr>
        <w:t xml:space="preserve">and the lowest in </w:t>
      </w:r>
      <w:r w:rsidR="00107BA5">
        <w:rPr>
          <w:rFonts w:ascii="Times New Roman" w:hAnsi="Times New Roman" w:cs="Times New Roman"/>
          <w:color w:val="000000" w:themeColor="text1"/>
          <w:sz w:val="24"/>
          <w:szCs w:val="24"/>
        </w:rPr>
        <w:t>untreated control</w:t>
      </w:r>
      <w:r w:rsidR="00E964E7" w:rsidRPr="009A60A2">
        <w:rPr>
          <w:rFonts w:ascii="Times New Roman" w:hAnsi="Times New Roman" w:cs="Times New Roman"/>
          <w:color w:val="000000" w:themeColor="text1"/>
          <w:sz w:val="24"/>
          <w:szCs w:val="24"/>
        </w:rPr>
        <w:t xml:space="preserve"> (</w:t>
      </w:r>
      <w:r w:rsidR="0043104B" w:rsidRPr="009A60A2">
        <w:rPr>
          <w:rFonts w:ascii="Times New Roman" w:hAnsi="Times New Roman" w:cs="Times New Roman"/>
          <w:color w:val="000000" w:themeColor="text1"/>
          <w:sz w:val="24"/>
          <w:szCs w:val="24"/>
        </w:rPr>
        <w:t xml:space="preserve">1.90 </w:t>
      </w:r>
      <w:r w:rsidR="00E964E7" w:rsidRPr="009A60A2">
        <w:rPr>
          <w:rFonts w:ascii="Times New Roman" w:hAnsi="Times New Roman" w:cs="Times New Roman"/>
          <w:color w:val="000000" w:themeColor="text1"/>
          <w:sz w:val="24"/>
          <w:szCs w:val="24"/>
        </w:rPr>
        <w:t>min</w:t>
      </w:r>
      <w:r w:rsidR="00CA4E56" w:rsidRPr="009A60A2">
        <w:rPr>
          <w:rFonts w:ascii="Times New Roman" w:hAnsi="Times New Roman" w:cs="Times New Roman"/>
          <w:color w:val="000000" w:themeColor="text1"/>
          <w:sz w:val="24"/>
          <w:szCs w:val="24"/>
          <w:vertAlign w:val="superscript"/>
        </w:rPr>
        <w:t>-</w:t>
      </w:r>
      <w:r w:rsidR="00CA4E56" w:rsidRPr="009A60A2">
        <w:rPr>
          <w:rFonts w:ascii="Times New Roman" w:hAnsi="Times New Roman" w:cs="Times New Roman"/>
          <w:color w:val="000000" w:themeColor="text1"/>
          <w:sz w:val="24"/>
          <w:szCs w:val="24"/>
        </w:rPr>
        <w:t>¹</w:t>
      </w:r>
      <w:r w:rsidR="00E964E7" w:rsidRPr="009A60A2">
        <w:rPr>
          <w:rFonts w:ascii="Times New Roman" w:hAnsi="Times New Roman" w:cs="Times New Roman"/>
          <w:color w:val="000000" w:themeColor="text1"/>
          <w:sz w:val="24"/>
          <w:szCs w:val="24"/>
        </w:rPr>
        <w:t xml:space="preserve"> g</w:t>
      </w:r>
      <w:r w:rsidR="00CA4E56" w:rsidRPr="009A60A2">
        <w:rPr>
          <w:rFonts w:ascii="Times New Roman" w:hAnsi="Times New Roman" w:cs="Times New Roman"/>
          <w:color w:val="000000" w:themeColor="text1"/>
          <w:sz w:val="24"/>
          <w:szCs w:val="24"/>
          <w:vertAlign w:val="superscript"/>
        </w:rPr>
        <w:t>-</w:t>
      </w:r>
      <w:r w:rsidR="00CA4E56" w:rsidRPr="009A60A2">
        <w:rPr>
          <w:rFonts w:ascii="Times New Roman" w:hAnsi="Times New Roman" w:cs="Times New Roman"/>
          <w:color w:val="000000" w:themeColor="text1"/>
          <w:sz w:val="24"/>
          <w:szCs w:val="24"/>
        </w:rPr>
        <w:t>¹</w:t>
      </w:r>
      <w:r w:rsidR="00E964E7" w:rsidRPr="009A60A2">
        <w:rPr>
          <w:rFonts w:ascii="Times New Roman" w:hAnsi="Times New Roman" w:cs="Times New Roman"/>
          <w:color w:val="000000" w:themeColor="text1"/>
          <w:sz w:val="24"/>
          <w:szCs w:val="24"/>
        </w:rPr>
        <w:t>)</w:t>
      </w:r>
      <w:r w:rsidR="000B6A8D">
        <w:rPr>
          <w:rFonts w:ascii="Times New Roman" w:hAnsi="Times New Roman" w:cs="Times New Roman"/>
          <w:color w:val="000000" w:themeColor="text1"/>
          <w:sz w:val="24"/>
          <w:szCs w:val="24"/>
        </w:rPr>
        <w:t xml:space="preserve"> (</w:t>
      </w:r>
      <w:r w:rsidR="00453EEB">
        <w:rPr>
          <w:rFonts w:ascii="Times New Roman" w:hAnsi="Times New Roman" w:cs="Times New Roman"/>
          <w:color w:val="000000" w:themeColor="text1"/>
          <w:sz w:val="24"/>
          <w:szCs w:val="24"/>
        </w:rPr>
        <w:t>T</w:t>
      </w:r>
      <w:r w:rsidR="000B6A8D">
        <w:rPr>
          <w:rFonts w:ascii="Times New Roman" w:hAnsi="Times New Roman" w:cs="Times New Roman"/>
          <w:color w:val="000000" w:themeColor="text1"/>
          <w:sz w:val="24"/>
          <w:szCs w:val="24"/>
        </w:rPr>
        <w:t>able 2)</w:t>
      </w:r>
      <w:r w:rsidR="00E964E7" w:rsidRPr="009A60A2">
        <w:rPr>
          <w:rFonts w:ascii="Times New Roman" w:hAnsi="Times New Roman" w:cs="Times New Roman"/>
          <w:color w:val="000000" w:themeColor="text1"/>
          <w:sz w:val="24"/>
          <w:szCs w:val="24"/>
        </w:rPr>
        <w:t>.</w:t>
      </w:r>
      <w:r w:rsidR="00D2692F" w:rsidRPr="009A60A2">
        <w:rPr>
          <w:rFonts w:ascii="Times New Roman" w:hAnsi="Times New Roman" w:cs="Times New Roman"/>
          <w:color w:val="000000" w:themeColor="text1"/>
          <w:sz w:val="24"/>
          <w:szCs w:val="24"/>
        </w:rPr>
        <w:t xml:space="preserve"> </w:t>
      </w:r>
      <w:r w:rsidR="00E964E7" w:rsidRPr="009A60A2">
        <w:rPr>
          <w:rFonts w:ascii="Times New Roman" w:hAnsi="Times New Roman" w:cs="Times New Roman"/>
          <w:color w:val="000000" w:themeColor="text1"/>
          <w:sz w:val="24"/>
          <w:szCs w:val="24"/>
        </w:rPr>
        <w:t>A reduction in flavonoid content was noted at 48 HAI in all</w:t>
      </w:r>
      <w:r w:rsidR="00453EEB">
        <w:rPr>
          <w:rFonts w:ascii="Times New Roman" w:hAnsi="Times New Roman" w:cs="Times New Roman"/>
          <w:color w:val="000000" w:themeColor="text1"/>
          <w:sz w:val="24"/>
          <w:szCs w:val="24"/>
        </w:rPr>
        <w:t xml:space="preserve"> treatments</w:t>
      </w:r>
      <w:r w:rsidR="00107BA5">
        <w:rPr>
          <w:rFonts w:ascii="Times New Roman" w:hAnsi="Times New Roman" w:cs="Times New Roman"/>
          <w:color w:val="000000" w:themeColor="text1"/>
          <w:sz w:val="24"/>
          <w:szCs w:val="24"/>
        </w:rPr>
        <w:t xml:space="preserve"> </w:t>
      </w:r>
      <w:r w:rsidR="00E964E7" w:rsidRPr="009A60A2">
        <w:rPr>
          <w:rFonts w:ascii="Times New Roman" w:hAnsi="Times New Roman" w:cs="Times New Roman"/>
          <w:color w:val="000000" w:themeColor="text1"/>
          <w:sz w:val="24"/>
          <w:szCs w:val="24"/>
        </w:rPr>
        <w:t>with T</w:t>
      </w:r>
      <w:r w:rsidR="00E964E7" w:rsidRPr="009A60A2">
        <w:rPr>
          <w:rFonts w:ascii="Times New Roman" w:hAnsi="Times New Roman" w:cs="Times New Roman"/>
          <w:color w:val="000000" w:themeColor="text1"/>
          <w:sz w:val="24"/>
          <w:szCs w:val="24"/>
          <w:vertAlign w:val="subscript"/>
        </w:rPr>
        <w:t>3</w:t>
      </w:r>
      <w:r w:rsidR="00E964E7" w:rsidRPr="009A60A2">
        <w:rPr>
          <w:rFonts w:ascii="Times New Roman" w:hAnsi="Times New Roman" w:cs="Times New Roman"/>
          <w:color w:val="000000" w:themeColor="text1"/>
          <w:sz w:val="24"/>
          <w:szCs w:val="24"/>
        </w:rPr>
        <w:t xml:space="preserve"> </w:t>
      </w:r>
      <w:r w:rsidR="00107BA5">
        <w:rPr>
          <w:rFonts w:ascii="Times New Roman" w:hAnsi="Times New Roman" w:cs="Times New Roman"/>
          <w:color w:val="000000" w:themeColor="text1"/>
          <w:sz w:val="24"/>
          <w:szCs w:val="24"/>
        </w:rPr>
        <w:t>maintaining</w:t>
      </w:r>
      <w:r w:rsidR="00E964E7" w:rsidRPr="009A60A2">
        <w:rPr>
          <w:rFonts w:ascii="Times New Roman" w:hAnsi="Times New Roman" w:cs="Times New Roman"/>
          <w:color w:val="000000" w:themeColor="text1"/>
          <w:sz w:val="24"/>
          <w:szCs w:val="24"/>
        </w:rPr>
        <w:t xml:space="preserve"> the highest content (6.1</w:t>
      </w:r>
      <w:r w:rsidR="005C0E3C" w:rsidRPr="009A60A2">
        <w:rPr>
          <w:rFonts w:ascii="Times New Roman" w:hAnsi="Times New Roman" w:cs="Times New Roman"/>
          <w:color w:val="000000" w:themeColor="text1"/>
          <w:sz w:val="24"/>
          <w:szCs w:val="24"/>
        </w:rPr>
        <w:t>1</w:t>
      </w:r>
      <w:r w:rsidR="00E964E7" w:rsidRPr="009A60A2">
        <w:rPr>
          <w:rFonts w:ascii="Times New Roman" w:hAnsi="Times New Roman" w:cs="Times New Roman"/>
          <w:color w:val="000000" w:themeColor="text1"/>
          <w:sz w:val="24"/>
          <w:szCs w:val="24"/>
        </w:rPr>
        <w:t xml:space="preserve"> min</w:t>
      </w:r>
      <w:r w:rsidR="00CA4E56" w:rsidRPr="009A60A2">
        <w:rPr>
          <w:rFonts w:ascii="Times New Roman" w:hAnsi="Times New Roman" w:cs="Times New Roman"/>
          <w:color w:val="000000" w:themeColor="text1"/>
          <w:sz w:val="24"/>
          <w:szCs w:val="24"/>
          <w:vertAlign w:val="superscript"/>
        </w:rPr>
        <w:t>-</w:t>
      </w:r>
      <w:r w:rsidR="00CA4E56" w:rsidRPr="009A60A2">
        <w:rPr>
          <w:rFonts w:ascii="Times New Roman" w:hAnsi="Times New Roman" w:cs="Times New Roman"/>
          <w:color w:val="000000" w:themeColor="text1"/>
          <w:sz w:val="24"/>
          <w:szCs w:val="24"/>
        </w:rPr>
        <w:t>¹</w:t>
      </w:r>
      <w:r w:rsidR="00E964E7" w:rsidRPr="009A60A2">
        <w:rPr>
          <w:rFonts w:ascii="Times New Roman" w:hAnsi="Times New Roman" w:cs="Times New Roman"/>
          <w:color w:val="000000" w:themeColor="text1"/>
          <w:sz w:val="24"/>
          <w:szCs w:val="24"/>
        </w:rPr>
        <w:t xml:space="preserve"> g</w:t>
      </w:r>
      <w:r w:rsidR="00CA4E56" w:rsidRPr="009A60A2">
        <w:rPr>
          <w:rFonts w:ascii="Times New Roman" w:hAnsi="Times New Roman" w:cs="Times New Roman"/>
          <w:color w:val="000000" w:themeColor="text1"/>
          <w:sz w:val="24"/>
          <w:szCs w:val="24"/>
          <w:vertAlign w:val="superscript"/>
        </w:rPr>
        <w:t>-</w:t>
      </w:r>
      <w:r w:rsidR="00CA4E56" w:rsidRPr="009A60A2">
        <w:rPr>
          <w:rFonts w:ascii="Times New Roman" w:hAnsi="Times New Roman" w:cs="Times New Roman"/>
          <w:color w:val="000000" w:themeColor="text1"/>
          <w:sz w:val="24"/>
          <w:szCs w:val="24"/>
        </w:rPr>
        <w:t>¹</w:t>
      </w:r>
      <w:r w:rsidR="00E964E7" w:rsidRPr="009A60A2">
        <w:rPr>
          <w:rFonts w:ascii="Times New Roman" w:hAnsi="Times New Roman" w:cs="Times New Roman"/>
          <w:color w:val="000000" w:themeColor="text1"/>
          <w:sz w:val="24"/>
          <w:szCs w:val="24"/>
        </w:rPr>
        <w:t xml:space="preserve">) and </w:t>
      </w:r>
      <w:r w:rsidR="005073A8">
        <w:rPr>
          <w:rFonts w:ascii="Times New Roman" w:hAnsi="Times New Roman" w:cs="Times New Roman"/>
          <w:color w:val="000000" w:themeColor="text1"/>
          <w:sz w:val="24"/>
          <w:szCs w:val="24"/>
        </w:rPr>
        <w:t>inoculated control recording</w:t>
      </w:r>
      <w:r w:rsidR="00E964E7" w:rsidRPr="009A60A2">
        <w:rPr>
          <w:rFonts w:ascii="Times New Roman" w:hAnsi="Times New Roman" w:cs="Times New Roman"/>
          <w:color w:val="000000" w:themeColor="text1"/>
          <w:sz w:val="24"/>
          <w:szCs w:val="24"/>
        </w:rPr>
        <w:t xml:space="preserve"> the lowest (4.</w:t>
      </w:r>
      <w:r w:rsidR="005C0E3C" w:rsidRPr="009A60A2">
        <w:rPr>
          <w:rFonts w:ascii="Times New Roman" w:hAnsi="Times New Roman" w:cs="Times New Roman"/>
          <w:color w:val="000000" w:themeColor="text1"/>
          <w:sz w:val="24"/>
          <w:szCs w:val="24"/>
        </w:rPr>
        <w:t>14</w:t>
      </w:r>
      <w:r w:rsidR="00E964E7" w:rsidRPr="009A60A2">
        <w:rPr>
          <w:rFonts w:ascii="Times New Roman" w:hAnsi="Times New Roman" w:cs="Times New Roman"/>
          <w:color w:val="000000" w:themeColor="text1"/>
          <w:sz w:val="24"/>
          <w:szCs w:val="24"/>
        </w:rPr>
        <w:t xml:space="preserve"> min</w:t>
      </w:r>
      <w:r w:rsidR="00CA4E56" w:rsidRPr="009A60A2">
        <w:rPr>
          <w:rFonts w:ascii="Times New Roman" w:hAnsi="Times New Roman" w:cs="Times New Roman"/>
          <w:color w:val="000000" w:themeColor="text1"/>
          <w:sz w:val="24"/>
          <w:szCs w:val="24"/>
          <w:vertAlign w:val="superscript"/>
        </w:rPr>
        <w:t>-</w:t>
      </w:r>
      <w:r w:rsidR="00CA4E56" w:rsidRPr="009A60A2">
        <w:rPr>
          <w:rFonts w:ascii="Times New Roman" w:hAnsi="Times New Roman" w:cs="Times New Roman"/>
          <w:color w:val="000000" w:themeColor="text1"/>
          <w:sz w:val="24"/>
          <w:szCs w:val="24"/>
        </w:rPr>
        <w:t>¹</w:t>
      </w:r>
      <w:r w:rsidR="00E964E7" w:rsidRPr="009A60A2">
        <w:rPr>
          <w:rFonts w:ascii="Times New Roman" w:hAnsi="Times New Roman" w:cs="Times New Roman"/>
          <w:color w:val="000000" w:themeColor="text1"/>
          <w:sz w:val="24"/>
          <w:szCs w:val="24"/>
        </w:rPr>
        <w:t xml:space="preserve"> g</w:t>
      </w:r>
      <w:r w:rsidR="00CA4E56" w:rsidRPr="009A60A2">
        <w:rPr>
          <w:rFonts w:ascii="Times New Roman" w:hAnsi="Times New Roman" w:cs="Times New Roman"/>
          <w:color w:val="000000" w:themeColor="text1"/>
          <w:sz w:val="24"/>
          <w:szCs w:val="24"/>
          <w:vertAlign w:val="superscript"/>
        </w:rPr>
        <w:t>-</w:t>
      </w:r>
      <w:r w:rsidR="001D5483" w:rsidRPr="009A60A2">
        <w:rPr>
          <w:rFonts w:ascii="Times New Roman" w:hAnsi="Times New Roman" w:cs="Times New Roman"/>
          <w:color w:val="000000" w:themeColor="text1"/>
          <w:sz w:val="24"/>
          <w:szCs w:val="24"/>
        </w:rPr>
        <w:t>¹)</w:t>
      </w:r>
      <w:r w:rsidR="005073A8">
        <w:rPr>
          <w:rFonts w:ascii="Times New Roman" w:hAnsi="Times New Roman" w:cs="Times New Roman"/>
          <w:color w:val="000000" w:themeColor="text1"/>
          <w:sz w:val="24"/>
          <w:szCs w:val="24"/>
        </w:rPr>
        <w:t xml:space="preserve">. Further reduction of </w:t>
      </w:r>
      <w:r w:rsidR="00E964E7" w:rsidRPr="009A60A2">
        <w:rPr>
          <w:rFonts w:ascii="Times New Roman" w:hAnsi="Times New Roman" w:cs="Times New Roman"/>
          <w:color w:val="000000" w:themeColor="text1"/>
          <w:sz w:val="24"/>
          <w:szCs w:val="24"/>
        </w:rPr>
        <w:t>flavonoid levels was observed</w:t>
      </w:r>
      <w:r w:rsidR="005073A8">
        <w:rPr>
          <w:rFonts w:ascii="Times New Roman" w:hAnsi="Times New Roman" w:cs="Times New Roman"/>
          <w:color w:val="000000" w:themeColor="text1"/>
          <w:sz w:val="24"/>
          <w:szCs w:val="24"/>
        </w:rPr>
        <w:t xml:space="preserve"> during 72 HAI and </w:t>
      </w:r>
      <w:r w:rsidR="009B78F7">
        <w:rPr>
          <w:rFonts w:ascii="Times New Roman" w:hAnsi="Times New Roman" w:cs="Times New Roman"/>
          <w:color w:val="000000" w:themeColor="text1"/>
          <w:sz w:val="24"/>
          <w:szCs w:val="24"/>
        </w:rPr>
        <w:t>1500 ppm SA</w:t>
      </w:r>
      <w:r w:rsidR="00E964E7" w:rsidRPr="009A60A2">
        <w:rPr>
          <w:rFonts w:ascii="Times New Roman" w:hAnsi="Times New Roman" w:cs="Times New Roman"/>
          <w:color w:val="000000" w:themeColor="text1"/>
          <w:sz w:val="24"/>
          <w:szCs w:val="24"/>
        </w:rPr>
        <w:t xml:space="preserve"> </w:t>
      </w:r>
      <w:r w:rsidR="00651452" w:rsidRPr="009A60A2">
        <w:rPr>
          <w:rFonts w:ascii="Times New Roman" w:hAnsi="Times New Roman" w:cs="Times New Roman"/>
          <w:color w:val="000000" w:themeColor="text1"/>
          <w:sz w:val="24"/>
          <w:szCs w:val="24"/>
        </w:rPr>
        <w:t>showed</w:t>
      </w:r>
      <w:r w:rsidR="00E964E7" w:rsidRPr="009A60A2">
        <w:rPr>
          <w:rFonts w:ascii="Times New Roman" w:hAnsi="Times New Roman" w:cs="Times New Roman"/>
          <w:color w:val="000000" w:themeColor="text1"/>
          <w:sz w:val="24"/>
          <w:szCs w:val="24"/>
        </w:rPr>
        <w:t xml:space="preserve"> the highest flavonoid content (5.8</w:t>
      </w:r>
      <w:r w:rsidR="001D5483" w:rsidRPr="009A60A2">
        <w:rPr>
          <w:rFonts w:ascii="Times New Roman" w:hAnsi="Times New Roman" w:cs="Times New Roman"/>
          <w:color w:val="000000" w:themeColor="text1"/>
          <w:sz w:val="24"/>
          <w:szCs w:val="24"/>
        </w:rPr>
        <w:t>2</w:t>
      </w:r>
      <w:r w:rsidR="00E964E7" w:rsidRPr="009A60A2">
        <w:rPr>
          <w:rFonts w:ascii="Times New Roman" w:hAnsi="Times New Roman" w:cs="Times New Roman"/>
          <w:color w:val="000000" w:themeColor="text1"/>
          <w:sz w:val="24"/>
          <w:szCs w:val="24"/>
        </w:rPr>
        <w:t xml:space="preserve"> min</w:t>
      </w:r>
      <w:r w:rsidR="00CA4E56" w:rsidRPr="009A60A2">
        <w:rPr>
          <w:rFonts w:ascii="Times New Roman" w:hAnsi="Times New Roman" w:cs="Times New Roman"/>
          <w:color w:val="000000" w:themeColor="text1"/>
          <w:sz w:val="24"/>
          <w:szCs w:val="24"/>
          <w:vertAlign w:val="superscript"/>
        </w:rPr>
        <w:t>-</w:t>
      </w:r>
      <w:r w:rsidR="00CA4E56" w:rsidRPr="009A60A2">
        <w:rPr>
          <w:rFonts w:ascii="Times New Roman" w:hAnsi="Times New Roman" w:cs="Times New Roman"/>
          <w:color w:val="000000" w:themeColor="text1"/>
          <w:sz w:val="24"/>
          <w:szCs w:val="24"/>
        </w:rPr>
        <w:t>¹</w:t>
      </w:r>
      <w:r w:rsidR="00E964E7" w:rsidRPr="009A60A2">
        <w:rPr>
          <w:rFonts w:ascii="Times New Roman" w:hAnsi="Times New Roman" w:cs="Times New Roman"/>
          <w:color w:val="000000" w:themeColor="text1"/>
          <w:sz w:val="24"/>
          <w:szCs w:val="24"/>
        </w:rPr>
        <w:t xml:space="preserve"> g</w:t>
      </w:r>
      <w:r w:rsidR="00CA4E56" w:rsidRPr="009A60A2">
        <w:rPr>
          <w:rFonts w:ascii="Times New Roman" w:hAnsi="Times New Roman" w:cs="Times New Roman"/>
          <w:color w:val="000000" w:themeColor="text1"/>
          <w:sz w:val="24"/>
          <w:szCs w:val="24"/>
          <w:vertAlign w:val="superscript"/>
        </w:rPr>
        <w:t>-</w:t>
      </w:r>
      <w:r w:rsidR="00CA4E56" w:rsidRPr="009A60A2">
        <w:rPr>
          <w:rFonts w:ascii="Times New Roman" w:hAnsi="Times New Roman" w:cs="Times New Roman"/>
          <w:color w:val="000000" w:themeColor="text1"/>
          <w:sz w:val="24"/>
          <w:szCs w:val="24"/>
        </w:rPr>
        <w:t>¹</w:t>
      </w:r>
      <w:r w:rsidR="00E964E7" w:rsidRPr="009A60A2">
        <w:rPr>
          <w:rFonts w:ascii="Times New Roman" w:hAnsi="Times New Roman" w:cs="Times New Roman"/>
          <w:color w:val="000000" w:themeColor="text1"/>
          <w:sz w:val="24"/>
          <w:szCs w:val="24"/>
        </w:rPr>
        <w:t>)</w:t>
      </w:r>
      <w:r w:rsidR="005073A8">
        <w:rPr>
          <w:rFonts w:ascii="Times New Roman" w:hAnsi="Times New Roman" w:cs="Times New Roman"/>
          <w:color w:val="000000" w:themeColor="text1"/>
          <w:sz w:val="24"/>
          <w:szCs w:val="24"/>
        </w:rPr>
        <w:t>.</w:t>
      </w:r>
      <w:r w:rsidR="00651452" w:rsidRPr="009A60A2">
        <w:rPr>
          <w:rFonts w:ascii="Times New Roman" w:hAnsi="Times New Roman" w:cs="Times New Roman"/>
          <w:color w:val="000000" w:themeColor="text1"/>
          <w:sz w:val="24"/>
          <w:szCs w:val="24"/>
        </w:rPr>
        <w:t xml:space="preserve"> </w:t>
      </w:r>
      <w:r w:rsidR="005073A8">
        <w:rPr>
          <w:rFonts w:ascii="Times New Roman" w:hAnsi="Times New Roman" w:cs="Times New Roman"/>
          <w:color w:val="000000" w:themeColor="text1"/>
          <w:sz w:val="24"/>
          <w:szCs w:val="24"/>
        </w:rPr>
        <w:t>The</w:t>
      </w:r>
      <w:r w:rsidR="001D5483" w:rsidRPr="009A60A2">
        <w:rPr>
          <w:rFonts w:ascii="Times New Roman" w:hAnsi="Times New Roman" w:cs="Times New Roman"/>
          <w:color w:val="000000" w:themeColor="text1"/>
          <w:sz w:val="24"/>
          <w:szCs w:val="24"/>
        </w:rPr>
        <w:t xml:space="preserve"> flavonoid content of </w:t>
      </w:r>
      <w:r w:rsidR="005073A8">
        <w:rPr>
          <w:rFonts w:ascii="Times New Roman" w:hAnsi="Times New Roman" w:cs="Times New Roman"/>
          <w:color w:val="000000" w:themeColor="text1"/>
          <w:sz w:val="24"/>
          <w:szCs w:val="24"/>
        </w:rPr>
        <w:t xml:space="preserve">SA 1500 ppm and 1000 ppm was high </w:t>
      </w:r>
      <w:r w:rsidR="001D5483" w:rsidRPr="009A60A2">
        <w:rPr>
          <w:rFonts w:ascii="Times New Roman" w:hAnsi="Times New Roman" w:cs="Times New Roman"/>
          <w:color w:val="000000" w:themeColor="text1"/>
          <w:sz w:val="24"/>
          <w:szCs w:val="24"/>
        </w:rPr>
        <w:t>compared to inoculated control and healthy control</w:t>
      </w:r>
      <w:r w:rsidR="005073A8">
        <w:rPr>
          <w:rFonts w:ascii="Times New Roman" w:hAnsi="Times New Roman" w:cs="Times New Roman"/>
          <w:color w:val="000000" w:themeColor="text1"/>
          <w:sz w:val="24"/>
          <w:szCs w:val="24"/>
        </w:rPr>
        <w:t xml:space="preserve"> </w:t>
      </w:r>
      <w:r w:rsidR="00783896">
        <w:rPr>
          <w:rFonts w:ascii="Times New Roman" w:hAnsi="Times New Roman" w:cs="Times New Roman"/>
          <w:color w:val="000000" w:themeColor="text1"/>
          <w:sz w:val="24"/>
          <w:szCs w:val="24"/>
        </w:rPr>
        <w:t>throughout</w:t>
      </w:r>
      <w:r w:rsidR="005073A8">
        <w:rPr>
          <w:rFonts w:ascii="Times New Roman" w:hAnsi="Times New Roman" w:cs="Times New Roman"/>
          <w:color w:val="000000" w:themeColor="text1"/>
          <w:sz w:val="24"/>
          <w:szCs w:val="24"/>
        </w:rPr>
        <w:t xml:space="preserve"> the observation intervals.</w:t>
      </w:r>
    </w:p>
    <w:p w14:paraId="129F9AA1" w14:textId="72F9E6FD" w:rsidR="004C5D98" w:rsidRPr="009A60A2" w:rsidRDefault="00220C40" w:rsidP="004D110F">
      <w:pPr>
        <w:spacing w:line="360" w:lineRule="auto"/>
        <w:ind w:firstLine="720"/>
        <w:jc w:val="both"/>
        <w:rPr>
          <w:rFonts w:ascii="Times New Roman" w:hAnsi="Times New Roman" w:cs="Times New Roman"/>
          <w:color w:val="000000" w:themeColor="text1"/>
          <w:sz w:val="24"/>
          <w:szCs w:val="24"/>
        </w:rPr>
      </w:pPr>
      <w:r w:rsidRPr="009A60A2">
        <w:rPr>
          <w:rFonts w:ascii="Times New Roman" w:hAnsi="Times New Roman" w:cs="Times New Roman"/>
          <w:color w:val="000000" w:themeColor="text1"/>
          <w:sz w:val="24"/>
          <w:szCs w:val="24"/>
        </w:rPr>
        <w:t xml:space="preserve">Exogenous application of salicylic acid has increased the total flavonoid content in </w:t>
      </w:r>
      <w:r w:rsidRPr="009A60A2">
        <w:rPr>
          <w:rFonts w:ascii="Times New Roman" w:hAnsi="Times New Roman" w:cs="Times New Roman"/>
          <w:i/>
          <w:iCs/>
          <w:color w:val="000000" w:themeColor="text1"/>
          <w:sz w:val="24"/>
          <w:szCs w:val="24"/>
        </w:rPr>
        <w:t xml:space="preserve">Taraxacum officinale </w:t>
      </w:r>
      <w:r w:rsidRPr="00575779">
        <w:rPr>
          <w:rFonts w:ascii="Times New Roman" w:hAnsi="Times New Roman" w:cs="Times New Roman"/>
          <w:color w:val="000000" w:themeColor="text1"/>
          <w:sz w:val="24"/>
          <w:szCs w:val="24"/>
        </w:rPr>
        <w:t>Wigg</w:t>
      </w:r>
      <w:r w:rsidRPr="009A60A2">
        <w:rPr>
          <w:rFonts w:ascii="Times New Roman" w:hAnsi="Times New Roman" w:cs="Times New Roman"/>
          <w:i/>
          <w:iCs/>
          <w:color w:val="000000" w:themeColor="text1"/>
          <w:sz w:val="24"/>
          <w:szCs w:val="24"/>
        </w:rPr>
        <w:t xml:space="preserve"> </w:t>
      </w:r>
      <w:r w:rsidRPr="009A60A2">
        <w:rPr>
          <w:rFonts w:ascii="Times New Roman" w:hAnsi="Times New Roman" w:cs="Times New Roman"/>
          <w:color w:val="000000" w:themeColor="text1"/>
          <w:sz w:val="24"/>
          <w:szCs w:val="24"/>
        </w:rPr>
        <w:t xml:space="preserve">(Kim </w:t>
      </w:r>
      <w:r w:rsidRPr="00453EEB">
        <w:rPr>
          <w:rFonts w:ascii="Times New Roman" w:hAnsi="Times New Roman" w:cs="Times New Roman"/>
          <w:i/>
          <w:iCs/>
          <w:color w:val="000000" w:themeColor="text1"/>
          <w:sz w:val="24"/>
          <w:szCs w:val="24"/>
        </w:rPr>
        <w:t>et al</w:t>
      </w:r>
      <w:r w:rsidRPr="009A60A2">
        <w:rPr>
          <w:rFonts w:ascii="Times New Roman" w:hAnsi="Times New Roman" w:cs="Times New Roman"/>
          <w:color w:val="000000" w:themeColor="text1"/>
          <w:sz w:val="24"/>
          <w:szCs w:val="24"/>
        </w:rPr>
        <w:t>., 2009)</w:t>
      </w:r>
      <w:r w:rsidR="001D5483" w:rsidRPr="009A60A2">
        <w:rPr>
          <w:rFonts w:ascii="Times New Roman" w:hAnsi="Times New Roman" w:cs="Times New Roman"/>
          <w:color w:val="000000" w:themeColor="text1"/>
          <w:sz w:val="24"/>
          <w:szCs w:val="24"/>
        </w:rPr>
        <w:t>.</w:t>
      </w:r>
      <w:r w:rsidR="00453EEB">
        <w:rPr>
          <w:rFonts w:ascii="Times New Roman" w:hAnsi="Times New Roman" w:cs="Times New Roman"/>
          <w:color w:val="000000" w:themeColor="text1"/>
          <w:sz w:val="24"/>
          <w:szCs w:val="24"/>
        </w:rPr>
        <w:t xml:space="preserve"> </w:t>
      </w:r>
      <w:r w:rsidR="00041BC4" w:rsidRPr="009A60A2">
        <w:rPr>
          <w:rFonts w:ascii="Times New Roman" w:hAnsi="Times New Roman" w:cs="Times New Roman"/>
          <w:color w:val="000000" w:themeColor="text1"/>
          <w:sz w:val="24"/>
          <w:szCs w:val="24"/>
        </w:rPr>
        <w:t xml:space="preserve">Tajik </w:t>
      </w:r>
      <w:r w:rsidR="00041BC4" w:rsidRPr="00453EEB">
        <w:rPr>
          <w:rFonts w:ascii="Times New Roman" w:hAnsi="Times New Roman" w:cs="Times New Roman"/>
          <w:i/>
          <w:iCs/>
          <w:color w:val="000000" w:themeColor="text1"/>
          <w:sz w:val="24"/>
          <w:szCs w:val="24"/>
        </w:rPr>
        <w:t>et al</w:t>
      </w:r>
      <w:r w:rsidR="00041BC4" w:rsidRPr="009A60A2">
        <w:rPr>
          <w:rFonts w:ascii="Times New Roman" w:hAnsi="Times New Roman" w:cs="Times New Roman"/>
          <w:color w:val="000000" w:themeColor="text1"/>
          <w:sz w:val="24"/>
          <w:szCs w:val="24"/>
        </w:rPr>
        <w:t>., (2019)</w:t>
      </w:r>
      <w:r w:rsidR="00453EEB">
        <w:rPr>
          <w:rFonts w:ascii="Times New Roman" w:hAnsi="Times New Roman" w:cs="Times New Roman"/>
          <w:color w:val="000000" w:themeColor="text1"/>
          <w:sz w:val="24"/>
          <w:szCs w:val="24"/>
        </w:rPr>
        <w:t xml:space="preserve"> </w:t>
      </w:r>
      <w:r w:rsidR="00041BC4" w:rsidRPr="009A60A2">
        <w:rPr>
          <w:rFonts w:ascii="Times New Roman" w:hAnsi="Times New Roman" w:cs="Times New Roman"/>
          <w:color w:val="000000" w:themeColor="text1"/>
          <w:sz w:val="24"/>
          <w:szCs w:val="24"/>
        </w:rPr>
        <w:t>reported that there is induction of phenolic and flavonoid compounds in leaves of saffron (</w:t>
      </w:r>
      <w:r w:rsidR="00041BC4" w:rsidRPr="009A60A2">
        <w:rPr>
          <w:rFonts w:ascii="Times New Roman" w:hAnsi="Times New Roman" w:cs="Times New Roman"/>
          <w:i/>
          <w:iCs/>
          <w:color w:val="000000" w:themeColor="text1"/>
          <w:sz w:val="24"/>
          <w:szCs w:val="24"/>
        </w:rPr>
        <w:t>Crocus sativus</w:t>
      </w:r>
      <w:r w:rsidR="00041BC4" w:rsidRPr="009A60A2">
        <w:rPr>
          <w:rFonts w:ascii="Times New Roman" w:hAnsi="Times New Roman" w:cs="Times New Roman"/>
          <w:color w:val="000000" w:themeColor="text1"/>
          <w:sz w:val="24"/>
          <w:szCs w:val="24"/>
        </w:rPr>
        <w:t xml:space="preserve"> L.) upon salicylic acid application. Shi </w:t>
      </w:r>
      <w:r w:rsidR="00041BC4" w:rsidRPr="00453EEB">
        <w:rPr>
          <w:rFonts w:ascii="Times New Roman" w:hAnsi="Times New Roman" w:cs="Times New Roman"/>
          <w:i/>
          <w:iCs/>
          <w:color w:val="000000" w:themeColor="text1"/>
          <w:sz w:val="24"/>
          <w:szCs w:val="24"/>
        </w:rPr>
        <w:t>et al</w:t>
      </w:r>
      <w:r w:rsidR="00453EEB">
        <w:rPr>
          <w:rFonts w:ascii="Times New Roman" w:hAnsi="Times New Roman" w:cs="Times New Roman"/>
          <w:color w:val="000000" w:themeColor="text1"/>
          <w:sz w:val="24"/>
          <w:szCs w:val="24"/>
        </w:rPr>
        <w:t>.,</w:t>
      </w:r>
      <w:r w:rsidR="00041BC4" w:rsidRPr="009A60A2">
        <w:rPr>
          <w:rFonts w:ascii="Times New Roman" w:hAnsi="Times New Roman" w:cs="Times New Roman"/>
          <w:color w:val="000000" w:themeColor="text1"/>
          <w:sz w:val="24"/>
          <w:szCs w:val="24"/>
        </w:rPr>
        <w:t xml:space="preserve"> (2019)</w:t>
      </w:r>
      <w:r w:rsidR="00453EEB">
        <w:rPr>
          <w:rFonts w:ascii="Times New Roman" w:hAnsi="Times New Roman" w:cs="Times New Roman"/>
          <w:color w:val="000000" w:themeColor="text1"/>
          <w:sz w:val="24"/>
          <w:szCs w:val="24"/>
        </w:rPr>
        <w:t xml:space="preserve"> </w:t>
      </w:r>
      <w:r w:rsidR="00041BC4" w:rsidRPr="009A60A2">
        <w:rPr>
          <w:rFonts w:ascii="Times New Roman" w:hAnsi="Times New Roman" w:cs="Times New Roman"/>
          <w:color w:val="000000" w:themeColor="text1"/>
          <w:sz w:val="24"/>
          <w:szCs w:val="24"/>
        </w:rPr>
        <w:t xml:space="preserve">reported that </w:t>
      </w:r>
      <w:r w:rsidR="004C5D98" w:rsidRPr="009A60A2">
        <w:rPr>
          <w:rFonts w:ascii="Times New Roman" w:hAnsi="Times New Roman" w:cs="Times New Roman"/>
          <w:color w:val="000000" w:themeColor="text1"/>
          <w:sz w:val="24"/>
          <w:szCs w:val="24"/>
        </w:rPr>
        <w:t xml:space="preserve">exogenous salicylic acid (SA) promotes the accumulation of biomass and flavonoid content in </w:t>
      </w:r>
      <w:r w:rsidR="00453EEB" w:rsidRPr="00453EEB">
        <w:rPr>
          <w:rFonts w:ascii="Times New Roman" w:hAnsi="Times New Roman" w:cs="Times New Roman"/>
          <w:i/>
          <w:iCs/>
          <w:color w:val="000000" w:themeColor="text1"/>
          <w:sz w:val="24"/>
          <w:szCs w:val="24"/>
        </w:rPr>
        <w:t>P</w:t>
      </w:r>
      <w:r w:rsidR="004C5D98" w:rsidRPr="00453EEB">
        <w:rPr>
          <w:rFonts w:ascii="Times New Roman" w:hAnsi="Times New Roman" w:cs="Times New Roman"/>
          <w:i/>
          <w:iCs/>
          <w:color w:val="000000" w:themeColor="text1"/>
          <w:sz w:val="24"/>
          <w:szCs w:val="24"/>
        </w:rPr>
        <w:t>hellinus</w:t>
      </w:r>
      <w:r w:rsidR="00453EEB">
        <w:rPr>
          <w:rFonts w:ascii="Times New Roman" w:hAnsi="Times New Roman" w:cs="Times New Roman"/>
          <w:i/>
          <w:iCs/>
          <w:color w:val="000000" w:themeColor="text1"/>
          <w:sz w:val="24"/>
          <w:szCs w:val="24"/>
        </w:rPr>
        <w:t xml:space="preserve"> </w:t>
      </w:r>
      <w:r w:rsidR="004C5D98" w:rsidRPr="00453EEB">
        <w:rPr>
          <w:rFonts w:ascii="Times New Roman" w:hAnsi="Times New Roman" w:cs="Times New Roman"/>
          <w:i/>
          <w:iCs/>
          <w:color w:val="000000" w:themeColor="text1"/>
          <w:sz w:val="24"/>
          <w:szCs w:val="24"/>
        </w:rPr>
        <w:t>igniarius</w:t>
      </w:r>
      <w:r w:rsidR="004C5D98" w:rsidRPr="009A60A2">
        <w:rPr>
          <w:rFonts w:ascii="Times New Roman" w:hAnsi="Times New Roman" w:cs="Times New Roman"/>
          <w:color w:val="000000" w:themeColor="text1"/>
          <w:sz w:val="24"/>
          <w:szCs w:val="24"/>
        </w:rPr>
        <w:t xml:space="preserve"> (</w:t>
      </w:r>
      <w:r w:rsidR="00453EEB">
        <w:rPr>
          <w:rFonts w:ascii="Times New Roman" w:hAnsi="Times New Roman" w:cs="Times New Roman"/>
          <w:color w:val="000000" w:themeColor="text1"/>
          <w:sz w:val="24"/>
          <w:szCs w:val="24"/>
        </w:rPr>
        <w:t>A</w:t>
      </w:r>
      <w:r w:rsidR="004C5D98" w:rsidRPr="009A60A2">
        <w:rPr>
          <w:rFonts w:ascii="Times New Roman" w:hAnsi="Times New Roman" w:cs="Times New Roman"/>
          <w:color w:val="000000" w:themeColor="text1"/>
          <w:sz w:val="24"/>
          <w:szCs w:val="24"/>
        </w:rPr>
        <w:t xml:space="preserve">garicomycetes). They found that SA induced the biosynthesis of flavonoids not only in a concentration-dependent manner but also in a time-dependent manner. </w:t>
      </w:r>
      <w:r w:rsidR="004D110F">
        <w:rPr>
          <w:rFonts w:ascii="Times New Roman" w:hAnsi="Times New Roman" w:cs="Times New Roman"/>
          <w:color w:val="000000" w:themeColor="text1"/>
          <w:sz w:val="24"/>
          <w:szCs w:val="24"/>
        </w:rPr>
        <w:t>A m</w:t>
      </w:r>
      <w:r w:rsidR="004C5D98" w:rsidRPr="009A60A2">
        <w:rPr>
          <w:rFonts w:ascii="Times New Roman" w:hAnsi="Times New Roman" w:cs="Times New Roman"/>
          <w:color w:val="000000" w:themeColor="text1"/>
          <w:sz w:val="24"/>
          <w:szCs w:val="24"/>
        </w:rPr>
        <w:t>aximum accumulation was reported in 24 h</w:t>
      </w:r>
      <w:r w:rsidR="004D110F">
        <w:rPr>
          <w:rFonts w:ascii="Times New Roman" w:hAnsi="Times New Roman" w:cs="Times New Roman"/>
          <w:color w:val="000000" w:themeColor="text1"/>
          <w:sz w:val="24"/>
          <w:szCs w:val="24"/>
        </w:rPr>
        <w:t>ours in th</w:t>
      </w:r>
      <w:r w:rsidR="005073A8">
        <w:rPr>
          <w:rFonts w:ascii="Times New Roman" w:hAnsi="Times New Roman" w:cs="Times New Roman"/>
          <w:color w:val="000000" w:themeColor="text1"/>
          <w:sz w:val="24"/>
          <w:szCs w:val="24"/>
        </w:rPr>
        <w:t>eir</w:t>
      </w:r>
      <w:r w:rsidR="004D110F">
        <w:rPr>
          <w:rFonts w:ascii="Times New Roman" w:hAnsi="Times New Roman" w:cs="Times New Roman"/>
          <w:color w:val="000000" w:themeColor="text1"/>
          <w:sz w:val="24"/>
          <w:szCs w:val="24"/>
        </w:rPr>
        <w:t xml:space="preserve"> study </w:t>
      </w:r>
      <w:r w:rsidR="004D110F" w:rsidRPr="009A60A2">
        <w:rPr>
          <w:rFonts w:ascii="Times New Roman" w:hAnsi="Times New Roman" w:cs="Times New Roman"/>
          <w:color w:val="000000" w:themeColor="text1"/>
          <w:sz w:val="24"/>
          <w:szCs w:val="24"/>
        </w:rPr>
        <w:t>which</w:t>
      </w:r>
      <w:r w:rsidR="004C5D98" w:rsidRPr="009A60A2">
        <w:rPr>
          <w:rFonts w:ascii="Times New Roman" w:hAnsi="Times New Roman" w:cs="Times New Roman"/>
          <w:color w:val="000000" w:themeColor="text1"/>
          <w:sz w:val="24"/>
          <w:szCs w:val="24"/>
        </w:rPr>
        <w:t xml:space="preserve"> is </w:t>
      </w:r>
      <w:r w:rsidR="004D110F">
        <w:rPr>
          <w:rFonts w:ascii="Times New Roman" w:hAnsi="Times New Roman" w:cs="Times New Roman"/>
          <w:color w:val="000000" w:themeColor="text1"/>
          <w:sz w:val="24"/>
          <w:szCs w:val="24"/>
        </w:rPr>
        <w:t>similar to our</w:t>
      </w:r>
      <w:r w:rsidR="004C5D98" w:rsidRPr="009A60A2">
        <w:rPr>
          <w:rFonts w:ascii="Times New Roman" w:hAnsi="Times New Roman" w:cs="Times New Roman"/>
          <w:color w:val="000000" w:themeColor="text1"/>
          <w:sz w:val="24"/>
          <w:szCs w:val="24"/>
        </w:rPr>
        <w:t xml:space="preserve"> findings. </w:t>
      </w:r>
      <w:r w:rsidR="009A60A2" w:rsidRPr="009A60A2">
        <w:rPr>
          <w:rFonts w:ascii="Times New Roman" w:hAnsi="Times New Roman" w:cs="Times New Roman"/>
          <w:color w:val="000000" w:themeColor="text1"/>
          <w:sz w:val="24"/>
          <w:szCs w:val="24"/>
        </w:rPr>
        <w:t>Pacheco (2013) studied the induction of growth</w:t>
      </w:r>
      <w:r w:rsidR="005073A8">
        <w:rPr>
          <w:rFonts w:ascii="Times New Roman" w:hAnsi="Times New Roman" w:cs="Times New Roman"/>
          <w:color w:val="000000" w:themeColor="text1"/>
          <w:sz w:val="24"/>
          <w:szCs w:val="24"/>
        </w:rPr>
        <w:t>,</w:t>
      </w:r>
      <w:r w:rsidR="009A60A2" w:rsidRPr="009A60A2">
        <w:rPr>
          <w:rFonts w:ascii="Times New Roman" w:hAnsi="Times New Roman" w:cs="Times New Roman"/>
          <w:color w:val="000000" w:themeColor="text1"/>
          <w:sz w:val="24"/>
          <w:szCs w:val="24"/>
        </w:rPr>
        <w:t xml:space="preserve"> flowering and flavonoids production in marigold plants upon salicylic acid spray. </w:t>
      </w:r>
      <w:r w:rsidR="004D110F">
        <w:rPr>
          <w:rFonts w:ascii="Times New Roman" w:hAnsi="Times New Roman" w:cs="Times New Roman"/>
          <w:color w:val="000000" w:themeColor="text1"/>
          <w:sz w:val="24"/>
          <w:szCs w:val="24"/>
        </w:rPr>
        <w:t xml:space="preserve">They </w:t>
      </w:r>
      <w:r w:rsidR="009A60A2" w:rsidRPr="009A60A2">
        <w:rPr>
          <w:rFonts w:ascii="Times New Roman" w:hAnsi="Times New Roman" w:cs="Times New Roman"/>
          <w:color w:val="000000" w:themeColor="text1"/>
          <w:sz w:val="24"/>
          <w:szCs w:val="24"/>
        </w:rPr>
        <w:t xml:space="preserve">have observed a significant higher total flavonoid content in the marigold inflorescences at 1 mM SA. These results </w:t>
      </w:r>
      <w:r w:rsidR="005073A8">
        <w:rPr>
          <w:rFonts w:ascii="Times New Roman" w:hAnsi="Times New Roman" w:cs="Times New Roman"/>
          <w:color w:val="000000" w:themeColor="text1"/>
          <w:sz w:val="24"/>
          <w:szCs w:val="24"/>
        </w:rPr>
        <w:t>are also in accordance with</w:t>
      </w:r>
      <w:r w:rsidR="009A60A2" w:rsidRPr="009A60A2">
        <w:rPr>
          <w:rFonts w:ascii="Times New Roman" w:hAnsi="Times New Roman" w:cs="Times New Roman"/>
          <w:color w:val="000000" w:themeColor="text1"/>
          <w:sz w:val="24"/>
          <w:szCs w:val="24"/>
        </w:rPr>
        <w:t xml:space="preserve"> the findings obtain</w:t>
      </w:r>
      <w:r w:rsidR="00FF6930">
        <w:rPr>
          <w:rFonts w:ascii="Times New Roman" w:hAnsi="Times New Roman" w:cs="Times New Roman"/>
          <w:color w:val="000000" w:themeColor="text1"/>
          <w:sz w:val="24"/>
          <w:szCs w:val="24"/>
        </w:rPr>
        <w:t>ed</w:t>
      </w:r>
      <w:r w:rsidR="009A60A2" w:rsidRPr="009A60A2">
        <w:rPr>
          <w:rFonts w:ascii="Times New Roman" w:hAnsi="Times New Roman" w:cs="Times New Roman"/>
          <w:color w:val="000000" w:themeColor="text1"/>
          <w:sz w:val="24"/>
          <w:szCs w:val="24"/>
        </w:rPr>
        <w:t xml:space="preserve"> in our experiments. </w:t>
      </w:r>
    </w:p>
    <w:p w14:paraId="3ABB4BD8" w14:textId="1C4891A5" w:rsidR="004C5D98" w:rsidRDefault="009576CF" w:rsidP="00AD2818">
      <w:pPr>
        <w:spacing w:line="360" w:lineRule="auto"/>
        <w:ind w:firstLine="720"/>
        <w:jc w:val="both"/>
        <w:rPr>
          <w:rFonts w:ascii="Times New Roman" w:hAnsi="Times New Roman" w:cs="Times New Roman"/>
          <w:color w:val="000000" w:themeColor="text1"/>
          <w:sz w:val="24"/>
          <w:szCs w:val="24"/>
        </w:rPr>
      </w:pPr>
      <w:r>
        <w:rPr>
          <w:noProof/>
          <w:lang w:val="en-US"/>
        </w:rPr>
        <w:lastRenderedPageBreak/>
        <w:drawing>
          <wp:anchor distT="0" distB="0" distL="114300" distR="114300" simplePos="0" relativeHeight="251661312" behindDoc="0" locked="0" layoutInCell="1" allowOverlap="1" wp14:anchorId="519E50CE" wp14:editId="39E233D2">
            <wp:simplePos x="0" y="0"/>
            <wp:positionH relativeFrom="column">
              <wp:posOffset>53340</wp:posOffset>
            </wp:positionH>
            <wp:positionV relativeFrom="paragraph">
              <wp:posOffset>1628140</wp:posOffset>
            </wp:positionV>
            <wp:extent cx="5661660" cy="2804160"/>
            <wp:effectExtent l="0" t="0" r="15240" b="15240"/>
            <wp:wrapSquare wrapText="bothSides"/>
            <wp:docPr id="501285918" name="Chart 1">
              <a:extLst xmlns:a="http://schemas.openxmlformats.org/drawingml/2006/main">
                <a:ext uri="{FF2B5EF4-FFF2-40B4-BE49-F238E27FC236}">
                  <a16:creationId xmlns:a16="http://schemas.microsoft.com/office/drawing/2014/main" id="{482B54F8-2CB9-1DAC-9095-9D0E5C74CD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4D110F">
        <w:rPr>
          <w:rFonts w:ascii="Times New Roman" w:hAnsi="Times New Roman" w:cs="Times New Roman"/>
          <w:color w:val="000000" w:themeColor="text1"/>
          <w:sz w:val="24"/>
          <w:szCs w:val="24"/>
        </w:rPr>
        <w:t xml:space="preserve">In our study there is an increase in total phenol content (TPC) and flavonoid </w:t>
      </w:r>
      <w:r w:rsidR="00AD2818">
        <w:rPr>
          <w:rFonts w:ascii="Times New Roman" w:hAnsi="Times New Roman" w:cs="Times New Roman"/>
          <w:color w:val="000000" w:themeColor="text1"/>
          <w:sz w:val="24"/>
          <w:szCs w:val="24"/>
        </w:rPr>
        <w:t xml:space="preserve">upon spray application of </w:t>
      </w:r>
      <w:r w:rsidR="00A0176E">
        <w:rPr>
          <w:rFonts w:ascii="Times New Roman" w:hAnsi="Times New Roman" w:cs="Times New Roman"/>
          <w:color w:val="000000" w:themeColor="text1"/>
          <w:sz w:val="24"/>
          <w:szCs w:val="24"/>
        </w:rPr>
        <w:t>s</w:t>
      </w:r>
      <w:r w:rsidR="00AD2818">
        <w:rPr>
          <w:rFonts w:ascii="Times New Roman" w:hAnsi="Times New Roman" w:cs="Times New Roman"/>
          <w:color w:val="000000" w:themeColor="text1"/>
          <w:sz w:val="24"/>
          <w:szCs w:val="24"/>
        </w:rPr>
        <w:t>alicylic ac</w:t>
      </w:r>
      <w:r w:rsidR="0099057B">
        <w:rPr>
          <w:rFonts w:ascii="Times New Roman" w:hAnsi="Times New Roman" w:cs="Times New Roman"/>
          <w:color w:val="000000" w:themeColor="text1"/>
          <w:sz w:val="24"/>
          <w:szCs w:val="24"/>
        </w:rPr>
        <w:t>id over the control plant</w:t>
      </w:r>
      <w:r w:rsidR="00AD2818">
        <w:rPr>
          <w:rFonts w:ascii="Times New Roman" w:hAnsi="Times New Roman" w:cs="Times New Roman"/>
          <w:color w:val="000000" w:themeColor="text1"/>
          <w:sz w:val="24"/>
          <w:szCs w:val="24"/>
        </w:rPr>
        <w:t xml:space="preserve">. Similar findings has been reported by </w:t>
      </w:r>
      <w:r w:rsidR="00AD2818" w:rsidRPr="00AD2818">
        <w:rPr>
          <w:rFonts w:ascii="Times New Roman" w:hAnsi="Times New Roman" w:cs="Times New Roman"/>
          <w:color w:val="000000" w:themeColor="text1"/>
          <w:sz w:val="24"/>
          <w:szCs w:val="24"/>
        </w:rPr>
        <w:t>P</w:t>
      </w:r>
      <w:r w:rsidR="00FF6930">
        <w:rPr>
          <w:rFonts w:ascii="Times New Roman" w:hAnsi="Times New Roman" w:cs="Times New Roman"/>
          <w:color w:val="000000" w:themeColor="text1"/>
          <w:sz w:val="24"/>
          <w:szCs w:val="24"/>
        </w:rPr>
        <w:t>e</w:t>
      </w:r>
      <w:r w:rsidR="00AD2818" w:rsidRPr="00AD2818">
        <w:rPr>
          <w:rFonts w:ascii="Times New Roman" w:hAnsi="Times New Roman" w:cs="Times New Roman"/>
          <w:color w:val="000000" w:themeColor="text1"/>
          <w:sz w:val="24"/>
          <w:szCs w:val="24"/>
        </w:rPr>
        <w:t xml:space="preserve">rez </w:t>
      </w:r>
      <w:r w:rsidR="00AD2818" w:rsidRPr="00C61FD8">
        <w:rPr>
          <w:rFonts w:ascii="Times New Roman" w:hAnsi="Times New Roman" w:cs="Times New Roman"/>
          <w:i/>
          <w:iCs/>
          <w:color w:val="000000" w:themeColor="text1"/>
          <w:sz w:val="24"/>
          <w:szCs w:val="24"/>
        </w:rPr>
        <w:t>et al</w:t>
      </w:r>
      <w:r w:rsidR="00AD2818">
        <w:rPr>
          <w:rFonts w:ascii="Times New Roman" w:hAnsi="Times New Roman" w:cs="Times New Roman"/>
          <w:color w:val="000000" w:themeColor="text1"/>
          <w:sz w:val="24"/>
          <w:szCs w:val="24"/>
        </w:rPr>
        <w:t>. (</w:t>
      </w:r>
      <w:hyperlink r:id="rId9" w:anchor="ref-CR25" w:tooltip="Figueroa Pérez MG, Rocha-Guzmán NE, Mercado-Silva E et al (2014) Effect of chemical elicitors on peppermint (Mentha piperita) plants and their impact on the metabolite profile and antioxidant capacity of resulting infusions. Food Chem 156:273–278. &#10;           " w:history="1">
        <w:r w:rsidR="00AD2818" w:rsidRPr="00AD2818">
          <w:rPr>
            <w:rStyle w:val="Hyperlink"/>
            <w:rFonts w:ascii="Times New Roman" w:hAnsi="Times New Roman" w:cs="Times New Roman"/>
            <w:color w:val="000000" w:themeColor="text1"/>
            <w:sz w:val="24"/>
            <w:szCs w:val="24"/>
            <w:u w:val="none"/>
          </w:rPr>
          <w:t>2014</w:t>
        </w:r>
      </w:hyperlink>
      <w:r w:rsidR="00AD2818">
        <w:rPr>
          <w:rFonts w:ascii="Times New Roman" w:hAnsi="Times New Roman" w:cs="Times New Roman"/>
          <w:color w:val="000000" w:themeColor="text1"/>
          <w:sz w:val="24"/>
          <w:szCs w:val="24"/>
        </w:rPr>
        <w:t xml:space="preserve">) who studied effect </w:t>
      </w:r>
      <w:r w:rsidR="00AD2818" w:rsidRPr="00AD2818">
        <w:rPr>
          <w:rFonts w:ascii="Times New Roman" w:hAnsi="Times New Roman" w:cs="Times New Roman"/>
          <w:color w:val="000000" w:themeColor="text1"/>
          <w:sz w:val="24"/>
          <w:szCs w:val="24"/>
        </w:rPr>
        <w:t>SA treatment of peppermint</w:t>
      </w:r>
      <w:r w:rsidR="00AD2818">
        <w:rPr>
          <w:rFonts w:ascii="Times New Roman" w:hAnsi="Times New Roman" w:cs="Times New Roman"/>
          <w:color w:val="000000" w:themeColor="text1"/>
          <w:sz w:val="24"/>
          <w:szCs w:val="24"/>
        </w:rPr>
        <w:t>. They s</w:t>
      </w:r>
      <w:r w:rsidR="00AD2818" w:rsidRPr="00AD2818">
        <w:rPr>
          <w:rFonts w:ascii="Times New Roman" w:hAnsi="Times New Roman" w:cs="Times New Roman"/>
          <w:color w:val="000000" w:themeColor="text1"/>
          <w:sz w:val="24"/>
          <w:szCs w:val="24"/>
        </w:rPr>
        <w:t xml:space="preserve">howed an increase in </w:t>
      </w:r>
      <w:r w:rsidR="00AD2818">
        <w:rPr>
          <w:rFonts w:ascii="Times New Roman" w:hAnsi="Times New Roman" w:cs="Times New Roman"/>
          <w:color w:val="000000" w:themeColor="text1"/>
          <w:sz w:val="24"/>
          <w:szCs w:val="24"/>
        </w:rPr>
        <w:t xml:space="preserve">phenol </w:t>
      </w:r>
      <w:r w:rsidR="00AD2818" w:rsidRPr="00AD2818">
        <w:rPr>
          <w:rFonts w:ascii="Times New Roman" w:hAnsi="Times New Roman" w:cs="Times New Roman"/>
          <w:color w:val="000000" w:themeColor="text1"/>
          <w:sz w:val="24"/>
          <w:szCs w:val="24"/>
        </w:rPr>
        <w:t xml:space="preserve">and flavonoids </w:t>
      </w:r>
      <w:r w:rsidR="00AD2818">
        <w:rPr>
          <w:rFonts w:ascii="Times New Roman" w:hAnsi="Times New Roman" w:cs="Times New Roman"/>
          <w:color w:val="000000" w:themeColor="text1"/>
          <w:sz w:val="24"/>
          <w:szCs w:val="24"/>
        </w:rPr>
        <w:t xml:space="preserve">content </w:t>
      </w:r>
      <w:r w:rsidR="00AD2818" w:rsidRPr="00AD2818">
        <w:rPr>
          <w:rFonts w:ascii="Times New Roman" w:hAnsi="Times New Roman" w:cs="Times New Roman"/>
          <w:color w:val="000000" w:themeColor="text1"/>
          <w:sz w:val="24"/>
          <w:szCs w:val="24"/>
        </w:rPr>
        <w:t>of 0.5, 1</w:t>
      </w:r>
      <w:r w:rsidR="00C819F2">
        <w:rPr>
          <w:rFonts w:ascii="Times New Roman" w:hAnsi="Times New Roman" w:cs="Times New Roman"/>
          <w:color w:val="000000" w:themeColor="text1"/>
          <w:sz w:val="24"/>
          <w:szCs w:val="24"/>
        </w:rPr>
        <w:t xml:space="preserve"> </w:t>
      </w:r>
      <w:r w:rsidR="00AD2818" w:rsidRPr="00AD2818">
        <w:rPr>
          <w:rFonts w:ascii="Times New Roman" w:hAnsi="Times New Roman" w:cs="Times New Roman"/>
          <w:color w:val="000000" w:themeColor="text1"/>
          <w:sz w:val="24"/>
          <w:szCs w:val="24"/>
        </w:rPr>
        <w:t>and 2 m</w:t>
      </w:r>
      <w:r w:rsidR="00C819F2">
        <w:rPr>
          <w:rFonts w:ascii="Times New Roman" w:hAnsi="Times New Roman" w:cs="Times New Roman"/>
          <w:color w:val="000000" w:themeColor="text1"/>
          <w:sz w:val="24"/>
          <w:szCs w:val="24"/>
        </w:rPr>
        <w:t xml:space="preserve"> </w:t>
      </w:r>
      <w:proofErr w:type="spellStart"/>
      <w:r w:rsidR="00AD2818" w:rsidRPr="00AD2818">
        <w:rPr>
          <w:rFonts w:ascii="Times New Roman" w:hAnsi="Times New Roman" w:cs="Times New Roman"/>
          <w:color w:val="000000" w:themeColor="text1"/>
          <w:sz w:val="24"/>
          <w:szCs w:val="24"/>
        </w:rPr>
        <w:t>M</w:t>
      </w:r>
      <w:proofErr w:type="spellEnd"/>
      <w:r w:rsidR="00AD2818" w:rsidRPr="00AD2818">
        <w:rPr>
          <w:rFonts w:ascii="Times New Roman" w:hAnsi="Times New Roman" w:cs="Times New Roman"/>
          <w:color w:val="000000" w:themeColor="text1"/>
          <w:sz w:val="24"/>
          <w:szCs w:val="24"/>
        </w:rPr>
        <w:t xml:space="preserve"> </w:t>
      </w:r>
      <w:r w:rsidR="00AD2818">
        <w:rPr>
          <w:rFonts w:ascii="Times New Roman" w:hAnsi="Times New Roman" w:cs="Times New Roman"/>
          <w:color w:val="000000" w:themeColor="text1"/>
          <w:sz w:val="24"/>
          <w:szCs w:val="24"/>
        </w:rPr>
        <w:t xml:space="preserve">concentration of SA </w:t>
      </w:r>
      <w:r w:rsidR="00AD2818" w:rsidRPr="00AD2818">
        <w:rPr>
          <w:rFonts w:ascii="Times New Roman" w:hAnsi="Times New Roman" w:cs="Times New Roman"/>
          <w:color w:val="000000" w:themeColor="text1"/>
          <w:sz w:val="24"/>
          <w:szCs w:val="24"/>
        </w:rPr>
        <w:t>compared with the control.</w:t>
      </w:r>
      <w:r w:rsidR="00AD2818">
        <w:rPr>
          <w:rFonts w:ascii="Times New Roman" w:hAnsi="Times New Roman" w:cs="Times New Roman"/>
          <w:color w:val="000000" w:themeColor="text1"/>
          <w:sz w:val="24"/>
          <w:szCs w:val="24"/>
        </w:rPr>
        <w:t xml:space="preserve"> </w:t>
      </w:r>
      <w:r w:rsidR="00AD2818" w:rsidRPr="00AD2818">
        <w:rPr>
          <w:rFonts w:ascii="Times New Roman" w:hAnsi="Times New Roman" w:cs="Times New Roman"/>
          <w:color w:val="000000" w:themeColor="text1"/>
          <w:sz w:val="24"/>
          <w:szCs w:val="24"/>
        </w:rPr>
        <w:t xml:space="preserve">Regarding the phenolic composition, the </w:t>
      </w:r>
      <w:r w:rsidR="00AD2818">
        <w:rPr>
          <w:rFonts w:ascii="Times New Roman" w:hAnsi="Times New Roman" w:cs="Times New Roman"/>
          <w:color w:val="000000" w:themeColor="text1"/>
          <w:sz w:val="24"/>
          <w:szCs w:val="24"/>
        </w:rPr>
        <w:t>main</w:t>
      </w:r>
      <w:r w:rsidR="00AD2818" w:rsidRPr="00AD2818">
        <w:rPr>
          <w:rFonts w:ascii="Times New Roman" w:hAnsi="Times New Roman" w:cs="Times New Roman"/>
          <w:color w:val="000000" w:themeColor="text1"/>
          <w:sz w:val="24"/>
          <w:szCs w:val="24"/>
        </w:rPr>
        <w:t xml:space="preserve"> compounds remained unchanged, although their concentrations increased significantly.</w:t>
      </w:r>
      <w:r w:rsidR="00AD2818">
        <w:rPr>
          <w:rFonts w:ascii="Times New Roman" w:hAnsi="Times New Roman" w:cs="Times New Roman"/>
          <w:color w:val="000000" w:themeColor="text1"/>
          <w:sz w:val="24"/>
          <w:szCs w:val="24"/>
        </w:rPr>
        <w:t xml:space="preserve"> </w:t>
      </w:r>
    </w:p>
    <w:p w14:paraId="1CE46ADE" w14:textId="04E4CF4D" w:rsidR="008E2102" w:rsidRPr="000C1A4B" w:rsidRDefault="000C1A4B" w:rsidP="009A60A2">
      <w:pPr>
        <w:spacing w:line="360" w:lineRule="auto"/>
        <w:jc w:val="both"/>
        <w:rPr>
          <w:rFonts w:ascii="Times New Roman" w:hAnsi="Times New Roman" w:cs="Times New Roman"/>
          <w:b/>
          <w:bCs/>
          <w:color w:val="000000" w:themeColor="text1"/>
          <w:sz w:val="24"/>
          <w:szCs w:val="24"/>
        </w:rPr>
      </w:pPr>
      <w:r>
        <w:rPr>
          <w:noProof/>
          <w:lang w:val="en-US"/>
        </w:rPr>
        <w:drawing>
          <wp:anchor distT="0" distB="0" distL="114300" distR="114300" simplePos="0" relativeHeight="251660288" behindDoc="0" locked="0" layoutInCell="1" allowOverlap="1" wp14:anchorId="168EB96E" wp14:editId="7A661EA5">
            <wp:simplePos x="0" y="0"/>
            <wp:positionH relativeFrom="column">
              <wp:posOffset>53340</wp:posOffset>
            </wp:positionH>
            <wp:positionV relativeFrom="paragraph">
              <wp:posOffset>3111500</wp:posOffset>
            </wp:positionV>
            <wp:extent cx="5661660" cy="2644140"/>
            <wp:effectExtent l="0" t="0" r="15240" b="3810"/>
            <wp:wrapSquare wrapText="bothSides"/>
            <wp:docPr id="775219810" name="Chart 1">
              <a:extLst xmlns:a="http://schemas.openxmlformats.org/drawingml/2006/main">
                <a:ext uri="{FF2B5EF4-FFF2-40B4-BE49-F238E27FC236}">
                  <a16:creationId xmlns:a16="http://schemas.microsoft.com/office/drawing/2014/main" id="{A6E5CFBA-F570-2EB6-27F3-E0EBBEB71D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367D9A">
        <w:rPr>
          <w:rFonts w:ascii="Times New Roman" w:hAnsi="Times New Roman" w:cs="Times New Roman"/>
          <w:color w:val="000000" w:themeColor="text1"/>
          <w:sz w:val="24"/>
          <w:szCs w:val="24"/>
        </w:rPr>
        <w:t xml:space="preserve"> </w:t>
      </w:r>
      <w:r w:rsidR="009576CF">
        <w:rPr>
          <w:rFonts w:ascii="Times New Roman" w:hAnsi="Times New Roman" w:cs="Times New Roman"/>
          <w:color w:val="000000" w:themeColor="text1"/>
          <w:sz w:val="24"/>
          <w:szCs w:val="24"/>
        </w:rPr>
        <w:t xml:space="preserve"> </w:t>
      </w:r>
      <w:r w:rsidR="009576CF" w:rsidRPr="009576CF">
        <w:rPr>
          <w:rFonts w:ascii="Times New Roman" w:hAnsi="Times New Roman" w:cs="Times New Roman"/>
          <w:b/>
          <w:bCs/>
          <w:color w:val="000000" w:themeColor="text1"/>
          <w:sz w:val="24"/>
          <w:szCs w:val="24"/>
        </w:rPr>
        <w:t>Fig 1. Total phenol content of different treatments over different time interval</w:t>
      </w:r>
      <w:r w:rsidR="00B830F0">
        <w:rPr>
          <w:rFonts w:ascii="Times New Roman" w:hAnsi="Times New Roman" w:cs="Times New Roman"/>
          <w:color w:val="000000" w:themeColor="text1"/>
          <w:sz w:val="24"/>
          <w:szCs w:val="24"/>
        </w:rPr>
        <w:t xml:space="preserve"> </w:t>
      </w:r>
    </w:p>
    <w:p w14:paraId="6429020C" w14:textId="53C5DD7E" w:rsidR="000B6A8D" w:rsidRPr="000C1A4B" w:rsidRDefault="000C1A4B" w:rsidP="009A60A2">
      <w:pPr>
        <w:spacing w:line="360" w:lineRule="auto"/>
        <w:jc w:val="both"/>
        <w:rPr>
          <w:rFonts w:ascii="Times New Roman" w:hAnsi="Times New Roman" w:cs="Times New Roman"/>
          <w:b/>
          <w:bCs/>
          <w:color w:val="000000" w:themeColor="text1"/>
          <w:sz w:val="24"/>
          <w:szCs w:val="24"/>
        </w:rPr>
        <w:sectPr w:rsidR="000B6A8D" w:rsidRPr="000C1A4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r>
        <w:rPr>
          <w:rFonts w:ascii="Times New Roman" w:hAnsi="Times New Roman" w:cs="Times New Roman"/>
          <w:color w:val="000000" w:themeColor="text1"/>
          <w:sz w:val="24"/>
          <w:szCs w:val="24"/>
        </w:rPr>
        <w:t xml:space="preserve"> </w:t>
      </w:r>
      <w:r w:rsidRPr="000C1A4B">
        <w:rPr>
          <w:rFonts w:ascii="Times New Roman" w:hAnsi="Times New Roman" w:cs="Times New Roman"/>
          <w:b/>
          <w:bCs/>
          <w:color w:val="000000" w:themeColor="text1"/>
          <w:sz w:val="24"/>
          <w:szCs w:val="24"/>
        </w:rPr>
        <w:t>Fig 2.  Total flavonoid content of different treatments over different time interval</w:t>
      </w:r>
    </w:p>
    <w:tbl>
      <w:tblPr>
        <w:tblStyle w:val="TableGrid"/>
        <w:tblpPr w:leftFromText="180" w:rightFromText="180" w:vertAnchor="page" w:horzAnchor="margin" w:tblpXSpec="center" w:tblpY="1213"/>
        <w:tblW w:w="14884" w:type="dxa"/>
        <w:tblLayout w:type="fixed"/>
        <w:tblLook w:val="04A0" w:firstRow="1" w:lastRow="0" w:firstColumn="1" w:lastColumn="0" w:noHBand="0" w:noVBand="1"/>
      </w:tblPr>
      <w:tblGrid>
        <w:gridCol w:w="3544"/>
        <w:gridCol w:w="1564"/>
        <w:gridCol w:w="1271"/>
        <w:gridCol w:w="1701"/>
        <w:gridCol w:w="1276"/>
        <w:gridCol w:w="1559"/>
        <w:gridCol w:w="1418"/>
        <w:gridCol w:w="2551"/>
      </w:tblGrid>
      <w:tr w:rsidR="000C1A4B" w:rsidRPr="002A3BC7" w14:paraId="79C01B78" w14:textId="77777777" w:rsidTr="000C1A4B">
        <w:tc>
          <w:tcPr>
            <w:tcW w:w="3544" w:type="dxa"/>
            <w:vMerge w:val="restart"/>
          </w:tcPr>
          <w:p w14:paraId="4FBFBD5B" w14:textId="77777777" w:rsidR="000C1A4B" w:rsidRDefault="000C1A4B" w:rsidP="000C1A4B">
            <w:pPr>
              <w:pStyle w:val="BodyText"/>
              <w:spacing w:line="360" w:lineRule="auto"/>
              <w:ind w:right="95"/>
              <w:jc w:val="center"/>
              <w:rPr>
                <w:b/>
                <w:bCs/>
                <w:lang w:val="en-IN"/>
              </w:rPr>
            </w:pPr>
            <w:bookmarkStart w:id="6" w:name="_Hlk193388589"/>
          </w:p>
          <w:p w14:paraId="09D033EA" w14:textId="77777777" w:rsidR="000C1A4B" w:rsidRPr="00522A97" w:rsidRDefault="000C1A4B" w:rsidP="000C1A4B">
            <w:pPr>
              <w:pStyle w:val="BodyText"/>
              <w:spacing w:line="360" w:lineRule="auto"/>
              <w:ind w:right="95"/>
              <w:jc w:val="center"/>
              <w:rPr>
                <w:b/>
                <w:bCs/>
                <w:lang w:val="en-IN"/>
              </w:rPr>
            </w:pPr>
            <w:r w:rsidRPr="00522A97">
              <w:rPr>
                <w:b/>
                <w:bCs/>
                <w:lang w:val="en-IN"/>
              </w:rPr>
              <w:t>Treatments</w:t>
            </w:r>
          </w:p>
        </w:tc>
        <w:tc>
          <w:tcPr>
            <w:tcW w:w="8789" w:type="dxa"/>
            <w:gridSpan w:val="6"/>
          </w:tcPr>
          <w:p w14:paraId="1364420C" w14:textId="77777777" w:rsidR="000C1A4B" w:rsidRPr="00522A97" w:rsidRDefault="000C1A4B" w:rsidP="000C1A4B">
            <w:pPr>
              <w:pStyle w:val="BodyText"/>
              <w:spacing w:line="360" w:lineRule="auto"/>
              <w:ind w:right="95"/>
              <w:jc w:val="center"/>
              <w:rPr>
                <w:b/>
                <w:bCs/>
              </w:rPr>
            </w:pPr>
            <w:r w:rsidRPr="00522A97">
              <w:rPr>
                <w:b/>
                <w:bCs/>
              </w:rPr>
              <w:t xml:space="preserve">Phenol </w:t>
            </w:r>
            <w:r>
              <w:rPr>
                <w:b/>
                <w:bCs/>
              </w:rPr>
              <w:t>content</w:t>
            </w:r>
            <w:r w:rsidRPr="00522A97">
              <w:rPr>
                <w:b/>
                <w:bCs/>
              </w:rPr>
              <w:t xml:space="preserve"> at different intervals</w:t>
            </w:r>
            <w:r>
              <w:rPr>
                <w:b/>
                <w:bCs/>
              </w:rPr>
              <w:t xml:space="preserve"> (</w:t>
            </w:r>
            <w:r w:rsidRPr="00DC0719">
              <w:rPr>
                <w:b/>
                <w:bCs/>
              </w:rPr>
              <w:t>mg g</w:t>
            </w:r>
            <w:r w:rsidRPr="00DC0719">
              <w:rPr>
                <w:b/>
                <w:bCs/>
                <w:vertAlign w:val="superscript"/>
              </w:rPr>
              <w:t>-1</w:t>
            </w:r>
            <w:r w:rsidRPr="00DC0719">
              <w:rPr>
                <w:b/>
                <w:bCs/>
              </w:rPr>
              <w:t>)</w:t>
            </w:r>
          </w:p>
        </w:tc>
        <w:tc>
          <w:tcPr>
            <w:tcW w:w="2551" w:type="dxa"/>
            <w:vMerge w:val="restart"/>
          </w:tcPr>
          <w:p w14:paraId="08467604" w14:textId="77777777" w:rsidR="000C1A4B" w:rsidRDefault="000C1A4B" w:rsidP="000C1A4B">
            <w:pPr>
              <w:pStyle w:val="BodyText"/>
              <w:ind w:right="95"/>
              <w:jc w:val="center"/>
              <w:rPr>
                <w:b/>
                <w:bCs/>
              </w:rPr>
            </w:pPr>
          </w:p>
          <w:p w14:paraId="122A3F03" w14:textId="77777777" w:rsidR="000C1A4B" w:rsidRPr="00FD7ACC" w:rsidRDefault="000C1A4B" w:rsidP="000C1A4B">
            <w:pPr>
              <w:pStyle w:val="BodyText"/>
              <w:ind w:right="95"/>
              <w:jc w:val="center"/>
              <w:rPr>
                <w:b/>
                <w:bCs/>
              </w:rPr>
            </w:pPr>
            <w:r w:rsidRPr="00522A97">
              <w:rPr>
                <w:b/>
                <w:bCs/>
              </w:rPr>
              <w:t>Treatment mean value</w:t>
            </w:r>
          </w:p>
        </w:tc>
      </w:tr>
      <w:tr w:rsidR="000C1A4B" w:rsidRPr="002A3BC7" w14:paraId="46B7EA53" w14:textId="77777777" w:rsidTr="000C1A4B">
        <w:tc>
          <w:tcPr>
            <w:tcW w:w="3544" w:type="dxa"/>
            <w:vMerge/>
          </w:tcPr>
          <w:p w14:paraId="59EAD270" w14:textId="77777777" w:rsidR="000C1A4B" w:rsidRPr="00522A97" w:rsidRDefault="000C1A4B" w:rsidP="000C1A4B">
            <w:pPr>
              <w:pStyle w:val="BodyText"/>
              <w:spacing w:line="360" w:lineRule="auto"/>
              <w:ind w:right="95"/>
              <w:jc w:val="center"/>
              <w:rPr>
                <w:b/>
                <w:bCs/>
                <w:lang w:val="en-IN"/>
              </w:rPr>
            </w:pPr>
          </w:p>
        </w:tc>
        <w:tc>
          <w:tcPr>
            <w:tcW w:w="1564" w:type="dxa"/>
          </w:tcPr>
          <w:p w14:paraId="2097F8AB" w14:textId="77777777" w:rsidR="000C1A4B" w:rsidRPr="00522A97" w:rsidRDefault="000C1A4B" w:rsidP="000C1A4B">
            <w:pPr>
              <w:pStyle w:val="BodyText"/>
              <w:spacing w:line="360" w:lineRule="auto"/>
              <w:ind w:right="95"/>
              <w:jc w:val="center"/>
              <w:rPr>
                <w:b/>
                <w:bCs/>
                <w:color w:val="000000" w:themeColor="text1"/>
                <w:lang w:val="en-IN"/>
              </w:rPr>
            </w:pPr>
            <w:r w:rsidRPr="00522A97">
              <w:rPr>
                <w:b/>
                <w:bCs/>
                <w:color w:val="000000" w:themeColor="text1"/>
                <w:kern w:val="24"/>
              </w:rPr>
              <w:t>24</w:t>
            </w:r>
            <w:r>
              <w:rPr>
                <w:b/>
                <w:bCs/>
                <w:color w:val="000000" w:themeColor="text1"/>
                <w:kern w:val="24"/>
              </w:rPr>
              <w:t xml:space="preserve"> h</w:t>
            </w:r>
          </w:p>
        </w:tc>
        <w:tc>
          <w:tcPr>
            <w:tcW w:w="1271" w:type="dxa"/>
          </w:tcPr>
          <w:p w14:paraId="012B73C5" w14:textId="77777777" w:rsidR="000C1A4B" w:rsidRPr="00522A97" w:rsidRDefault="000C1A4B" w:rsidP="000C1A4B">
            <w:pPr>
              <w:pStyle w:val="BodyText"/>
              <w:ind w:right="95"/>
              <w:jc w:val="center"/>
              <w:rPr>
                <w:b/>
                <w:bCs/>
                <w:color w:val="000000" w:themeColor="text1"/>
                <w:kern w:val="24"/>
              </w:rPr>
            </w:pPr>
            <w:r>
              <w:rPr>
                <w:b/>
                <w:bCs/>
                <w:color w:val="000000" w:themeColor="text1"/>
                <w:kern w:val="24"/>
              </w:rPr>
              <w:t>Per cent +/- over control</w:t>
            </w:r>
          </w:p>
        </w:tc>
        <w:tc>
          <w:tcPr>
            <w:tcW w:w="1701" w:type="dxa"/>
          </w:tcPr>
          <w:p w14:paraId="7B04F027" w14:textId="77777777" w:rsidR="000C1A4B" w:rsidRPr="00522A97" w:rsidRDefault="000C1A4B" w:rsidP="000C1A4B">
            <w:pPr>
              <w:pStyle w:val="BodyText"/>
              <w:spacing w:line="360" w:lineRule="auto"/>
              <w:ind w:right="95"/>
              <w:jc w:val="center"/>
              <w:rPr>
                <w:b/>
                <w:bCs/>
                <w:color w:val="000000" w:themeColor="text1"/>
                <w:lang w:val="en-IN"/>
              </w:rPr>
            </w:pPr>
            <w:r w:rsidRPr="00522A97">
              <w:rPr>
                <w:b/>
                <w:bCs/>
                <w:color w:val="000000" w:themeColor="text1"/>
                <w:kern w:val="24"/>
              </w:rPr>
              <w:t>48</w:t>
            </w:r>
            <w:r>
              <w:rPr>
                <w:b/>
                <w:bCs/>
                <w:color w:val="000000" w:themeColor="text1"/>
                <w:kern w:val="24"/>
              </w:rPr>
              <w:t xml:space="preserve"> h</w:t>
            </w:r>
          </w:p>
        </w:tc>
        <w:tc>
          <w:tcPr>
            <w:tcW w:w="1276" w:type="dxa"/>
          </w:tcPr>
          <w:p w14:paraId="077E1317" w14:textId="77777777" w:rsidR="000C1A4B" w:rsidRPr="00522A97" w:rsidRDefault="000C1A4B" w:rsidP="000C1A4B">
            <w:pPr>
              <w:pStyle w:val="BodyText"/>
              <w:ind w:right="95"/>
              <w:jc w:val="center"/>
              <w:rPr>
                <w:b/>
                <w:bCs/>
                <w:color w:val="000000" w:themeColor="text1"/>
                <w:kern w:val="24"/>
              </w:rPr>
            </w:pPr>
            <w:r>
              <w:rPr>
                <w:b/>
                <w:bCs/>
                <w:color w:val="000000" w:themeColor="text1"/>
                <w:kern w:val="24"/>
              </w:rPr>
              <w:t>Per cent +/- over control</w:t>
            </w:r>
          </w:p>
        </w:tc>
        <w:tc>
          <w:tcPr>
            <w:tcW w:w="1559" w:type="dxa"/>
          </w:tcPr>
          <w:p w14:paraId="0AAF0F3C" w14:textId="77777777" w:rsidR="000C1A4B" w:rsidRPr="00522A97" w:rsidRDefault="000C1A4B" w:rsidP="000C1A4B">
            <w:pPr>
              <w:pStyle w:val="BodyText"/>
              <w:spacing w:line="360" w:lineRule="auto"/>
              <w:ind w:right="95"/>
              <w:jc w:val="center"/>
              <w:rPr>
                <w:b/>
                <w:bCs/>
                <w:color w:val="000000" w:themeColor="text1"/>
                <w:lang w:val="en-IN"/>
              </w:rPr>
            </w:pPr>
            <w:r w:rsidRPr="00522A97">
              <w:rPr>
                <w:b/>
                <w:bCs/>
                <w:color w:val="000000" w:themeColor="text1"/>
                <w:kern w:val="24"/>
              </w:rPr>
              <w:t>72</w:t>
            </w:r>
            <w:r>
              <w:rPr>
                <w:b/>
                <w:bCs/>
                <w:color w:val="000000" w:themeColor="text1"/>
                <w:kern w:val="24"/>
              </w:rPr>
              <w:t xml:space="preserve"> h</w:t>
            </w:r>
          </w:p>
        </w:tc>
        <w:tc>
          <w:tcPr>
            <w:tcW w:w="1418" w:type="dxa"/>
          </w:tcPr>
          <w:p w14:paraId="78E814E9" w14:textId="77777777" w:rsidR="000C1A4B" w:rsidRPr="002A3BC7" w:rsidRDefault="000C1A4B" w:rsidP="000C1A4B">
            <w:pPr>
              <w:pStyle w:val="BodyText"/>
              <w:ind w:right="95"/>
              <w:jc w:val="center"/>
              <w:rPr>
                <w:lang w:val="en-IN"/>
              </w:rPr>
            </w:pPr>
            <w:r>
              <w:rPr>
                <w:b/>
                <w:bCs/>
                <w:color w:val="000000" w:themeColor="text1"/>
                <w:kern w:val="24"/>
              </w:rPr>
              <w:t>Per cent +/- over control</w:t>
            </w:r>
          </w:p>
        </w:tc>
        <w:tc>
          <w:tcPr>
            <w:tcW w:w="2551" w:type="dxa"/>
            <w:vMerge/>
          </w:tcPr>
          <w:p w14:paraId="7A771D9C" w14:textId="77777777" w:rsidR="000C1A4B" w:rsidRPr="002A3BC7" w:rsidRDefault="000C1A4B" w:rsidP="000C1A4B">
            <w:pPr>
              <w:pStyle w:val="BodyText"/>
              <w:spacing w:line="360" w:lineRule="auto"/>
              <w:ind w:right="95"/>
              <w:jc w:val="both"/>
              <w:rPr>
                <w:lang w:val="en-IN"/>
              </w:rPr>
            </w:pPr>
          </w:p>
        </w:tc>
      </w:tr>
      <w:tr w:rsidR="000C1A4B" w:rsidRPr="002A3BC7" w14:paraId="2CEC37DA" w14:textId="77777777" w:rsidTr="000C1A4B">
        <w:tc>
          <w:tcPr>
            <w:tcW w:w="3544" w:type="dxa"/>
          </w:tcPr>
          <w:p w14:paraId="18A54759" w14:textId="77777777" w:rsidR="000C1A4B" w:rsidRPr="007621D4" w:rsidRDefault="000C1A4B" w:rsidP="000C1A4B">
            <w:pPr>
              <w:pStyle w:val="BodyText"/>
              <w:spacing w:line="360" w:lineRule="auto"/>
              <w:ind w:right="95"/>
              <w:jc w:val="center"/>
              <w:rPr>
                <w:lang w:val="en-IN"/>
              </w:rPr>
            </w:pPr>
            <w:r w:rsidRPr="007621D4">
              <w:rPr>
                <w:color w:val="000000" w:themeColor="text1"/>
                <w:kern w:val="24"/>
                <w:lang w:val="en-IN"/>
              </w:rPr>
              <w:t>T1 (700ppm)</w:t>
            </w:r>
          </w:p>
        </w:tc>
        <w:tc>
          <w:tcPr>
            <w:tcW w:w="1564" w:type="dxa"/>
          </w:tcPr>
          <w:p w14:paraId="17AEE8F7"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2.44 ± 0.26</w:t>
            </w:r>
          </w:p>
        </w:tc>
        <w:tc>
          <w:tcPr>
            <w:tcW w:w="1271" w:type="dxa"/>
          </w:tcPr>
          <w:p w14:paraId="2C2C1815"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-19.60</w:t>
            </w:r>
          </w:p>
        </w:tc>
        <w:tc>
          <w:tcPr>
            <w:tcW w:w="1701" w:type="dxa"/>
          </w:tcPr>
          <w:p w14:paraId="32A4BAFE"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2.15 ± 0.11</w:t>
            </w:r>
          </w:p>
        </w:tc>
        <w:tc>
          <w:tcPr>
            <w:tcW w:w="1276" w:type="dxa"/>
          </w:tcPr>
          <w:p w14:paraId="74A6622F"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3.58</w:t>
            </w:r>
          </w:p>
        </w:tc>
        <w:tc>
          <w:tcPr>
            <w:tcW w:w="1559" w:type="dxa"/>
          </w:tcPr>
          <w:p w14:paraId="2E11A2F5"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2.54 ± 0.22</w:t>
            </w:r>
          </w:p>
        </w:tc>
        <w:tc>
          <w:tcPr>
            <w:tcW w:w="1418" w:type="dxa"/>
          </w:tcPr>
          <w:p w14:paraId="75A54A79" w14:textId="77777777" w:rsidR="000C1A4B" w:rsidRPr="007621D4" w:rsidRDefault="000C1A4B" w:rsidP="000C1A4B">
            <w:pPr>
              <w:pStyle w:val="BodyText"/>
              <w:spacing w:line="360" w:lineRule="auto"/>
              <w:ind w:right="95"/>
              <w:jc w:val="center"/>
              <w:rPr>
                <w:color w:val="000000" w:themeColor="text1"/>
                <w:kern w:val="24"/>
                <w:lang w:val="en-IN"/>
              </w:rPr>
            </w:pPr>
            <w:r w:rsidRPr="007621D4">
              <w:rPr>
                <w:color w:val="000000" w:themeColor="text1"/>
                <w:kern w:val="2"/>
              </w:rPr>
              <w:t>-10.91</w:t>
            </w:r>
          </w:p>
        </w:tc>
        <w:tc>
          <w:tcPr>
            <w:tcW w:w="2551" w:type="dxa"/>
          </w:tcPr>
          <w:p w14:paraId="6126EA02" w14:textId="77777777" w:rsidR="000C1A4B" w:rsidRPr="007621D4" w:rsidRDefault="000C1A4B" w:rsidP="000C1A4B">
            <w:pPr>
              <w:pStyle w:val="BodyText"/>
              <w:spacing w:line="360" w:lineRule="auto"/>
              <w:ind w:right="95"/>
              <w:jc w:val="center"/>
              <w:rPr>
                <w:color w:val="000000" w:themeColor="text1"/>
                <w:kern w:val="24"/>
                <w:lang w:val="en-IN"/>
              </w:rPr>
            </w:pPr>
            <w:r w:rsidRPr="007621D4">
              <w:rPr>
                <w:rFonts w:eastAsiaTheme="minorEastAsia"/>
                <w:color w:val="000000" w:themeColor="text1"/>
                <w:kern w:val="24"/>
              </w:rPr>
              <w:t>2.38 ± 0.25</w:t>
            </w:r>
            <w:proofErr w:type="spellStart"/>
            <w:r w:rsidRPr="007621D4">
              <w:rPr>
                <w:rFonts w:eastAsiaTheme="minorEastAsia"/>
                <w:color w:val="000000" w:themeColor="text1"/>
                <w:kern w:val="24"/>
                <w:position w:val="11"/>
                <w:vertAlign w:val="superscript"/>
              </w:rPr>
              <w:t>bc</w:t>
            </w:r>
            <w:proofErr w:type="spellEnd"/>
          </w:p>
        </w:tc>
      </w:tr>
      <w:tr w:rsidR="000C1A4B" w:rsidRPr="002A3BC7" w14:paraId="20212F86" w14:textId="77777777" w:rsidTr="000C1A4B">
        <w:tc>
          <w:tcPr>
            <w:tcW w:w="3544" w:type="dxa"/>
          </w:tcPr>
          <w:p w14:paraId="7D2779F6" w14:textId="77777777" w:rsidR="000C1A4B" w:rsidRPr="007621D4" w:rsidRDefault="000C1A4B" w:rsidP="000C1A4B">
            <w:pPr>
              <w:pStyle w:val="BodyText"/>
              <w:spacing w:line="360" w:lineRule="auto"/>
              <w:ind w:right="95"/>
              <w:jc w:val="center"/>
              <w:rPr>
                <w:lang w:val="en-IN"/>
              </w:rPr>
            </w:pPr>
            <w:r w:rsidRPr="007621D4">
              <w:rPr>
                <w:color w:val="000000" w:themeColor="dark1"/>
                <w:kern w:val="24"/>
              </w:rPr>
              <w:t>T2 (1000ppm)</w:t>
            </w:r>
          </w:p>
        </w:tc>
        <w:tc>
          <w:tcPr>
            <w:tcW w:w="1564" w:type="dxa"/>
          </w:tcPr>
          <w:p w14:paraId="6E7ED56A"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2.74 ± 0.40</w:t>
            </w:r>
          </w:p>
        </w:tc>
        <w:tc>
          <w:tcPr>
            <w:tcW w:w="1271" w:type="dxa"/>
          </w:tcPr>
          <w:p w14:paraId="12CE37E0"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-34.31</w:t>
            </w:r>
          </w:p>
        </w:tc>
        <w:tc>
          <w:tcPr>
            <w:tcW w:w="1701" w:type="dxa"/>
          </w:tcPr>
          <w:p w14:paraId="0C42434D"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2.66 ± 0.10</w:t>
            </w:r>
          </w:p>
        </w:tc>
        <w:tc>
          <w:tcPr>
            <w:tcW w:w="1276" w:type="dxa"/>
          </w:tcPr>
          <w:p w14:paraId="651C99EB"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-19.28</w:t>
            </w:r>
          </w:p>
        </w:tc>
        <w:tc>
          <w:tcPr>
            <w:tcW w:w="1559" w:type="dxa"/>
          </w:tcPr>
          <w:p w14:paraId="1549A803"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2.54 ± 0.13</w:t>
            </w:r>
          </w:p>
        </w:tc>
        <w:tc>
          <w:tcPr>
            <w:tcW w:w="1418" w:type="dxa"/>
          </w:tcPr>
          <w:p w14:paraId="45BF342F"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-10.91</w:t>
            </w:r>
          </w:p>
        </w:tc>
        <w:tc>
          <w:tcPr>
            <w:tcW w:w="2551" w:type="dxa"/>
          </w:tcPr>
          <w:p w14:paraId="5341D8A6"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2.65 ± 0.24</w:t>
            </w:r>
            <w:r w:rsidRPr="007621D4">
              <w:rPr>
                <w:rFonts w:eastAsiaTheme="minorEastAsia"/>
                <w:color w:val="000000" w:themeColor="text1"/>
                <w:kern w:val="24"/>
                <w:position w:val="11"/>
                <w:vertAlign w:val="superscript"/>
              </w:rPr>
              <w:t>a</w:t>
            </w:r>
          </w:p>
        </w:tc>
      </w:tr>
      <w:tr w:rsidR="000C1A4B" w:rsidRPr="002A3BC7" w14:paraId="21E8026E" w14:textId="77777777" w:rsidTr="000C1A4B">
        <w:trPr>
          <w:trHeight w:val="354"/>
        </w:trPr>
        <w:tc>
          <w:tcPr>
            <w:tcW w:w="3544" w:type="dxa"/>
          </w:tcPr>
          <w:p w14:paraId="3428EBA4" w14:textId="77777777" w:rsidR="000C1A4B" w:rsidRPr="007621D4" w:rsidRDefault="000C1A4B" w:rsidP="000C1A4B">
            <w:pPr>
              <w:pStyle w:val="BodyText"/>
              <w:spacing w:line="360" w:lineRule="auto"/>
              <w:ind w:right="95"/>
              <w:jc w:val="center"/>
              <w:rPr>
                <w:lang w:val="en-IN"/>
              </w:rPr>
            </w:pPr>
            <w:r w:rsidRPr="007621D4">
              <w:rPr>
                <w:color w:val="000000" w:themeColor="dark1"/>
                <w:kern w:val="24"/>
              </w:rPr>
              <w:t>T3 (1500ppm)</w:t>
            </w:r>
          </w:p>
        </w:tc>
        <w:tc>
          <w:tcPr>
            <w:tcW w:w="1564" w:type="dxa"/>
          </w:tcPr>
          <w:p w14:paraId="20E4C2C1"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2.79 ± 0.27</w:t>
            </w:r>
          </w:p>
        </w:tc>
        <w:tc>
          <w:tcPr>
            <w:tcW w:w="1271" w:type="dxa"/>
          </w:tcPr>
          <w:p w14:paraId="0310273B"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-36.76</w:t>
            </w:r>
          </w:p>
        </w:tc>
        <w:tc>
          <w:tcPr>
            <w:tcW w:w="1701" w:type="dxa"/>
          </w:tcPr>
          <w:p w14:paraId="1DBDAFFE"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2.79 ± 0.78</w:t>
            </w:r>
            <w:r>
              <w:rPr>
                <w:rFonts w:eastAsiaTheme="minorEastAsia"/>
                <w:color w:val="000000" w:themeColor="text1"/>
                <w:kern w:val="24"/>
              </w:rPr>
              <w:t xml:space="preserve"> </w:t>
            </w:r>
          </w:p>
        </w:tc>
        <w:tc>
          <w:tcPr>
            <w:tcW w:w="1276" w:type="dxa"/>
          </w:tcPr>
          <w:p w14:paraId="1115678A"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-19.28</w:t>
            </w:r>
          </w:p>
        </w:tc>
        <w:tc>
          <w:tcPr>
            <w:tcW w:w="1559" w:type="dxa"/>
          </w:tcPr>
          <w:p w14:paraId="7D31CF74"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2.79 ± 0.78</w:t>
            </w:r>
          </w:p>
        </w:tc>
        <w:tc>
          <w:tcPr>
            <w:tcW w:w="1418" w:type="dxa"/>
          </w:tcPr>
          <w:p w14:paraId="7AF0896D"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-21.83</w:t>
            </w:r>
          </w:p>
        </w:tc>
        <w:tc>
          <w:tcPr>
            <w:tcW w:w="2551" w:type="dxa"/>
          </w:tcPr>
          <w:p w14:paraId="78D51733"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2.75 ± 0.44</w:t>
            </w:r>
            <w:r w:rsidRPr="007621D4">
              <w:rPr>
                <w:rFonts w:eastAsiaTheme="minorEastAsia"/>
                <w:color w:val="000000" w:themeColor="text1"/>
                <w:kern w:val="24"/>
                <w:position w:val="11"/>
                <w:vertAlign w:val="superscript"/>
              </w:rPr>
              <w:t>a</w:t>
            </w:r>
          </w:p>
        </w:tc>
      </w:tr>
      <w:tr w:rsidR="000C1A4B" w:rsidRPr="002A3BC7" w14:paraId="0F1DF1D8" w14:textId="77777777" w:rsidTr="000C1A4B">
        <w:tc>
          <w:tcPr>
            <w:tcW w:w="3544" w:type="dxa"/>
          </w:tcPr>
          <w:p w14:paraId="5CB1F606" w14:textId="77777777" w:rsidR="000C1A4B" w:rsidRPr="007621D4" w:rsidRDefault="000C1A4B" w:rsidP="000C1A4B">
            <w:pPr>
              <w:pStyle w:val="BodyText"/>
              <w:ind w:right="95"/>
              <w:jc w:val="center"/>
              <w:rPr>
                <w:lang w:val="en-IN"/>
              </w:rPr>
            </w:pPr>
            <w:r w:rsidRPr="007621D4">
              <w:rPr>
                <w:color w:val="000000" w:themeColor="dark1"/>
                <w:kern w:val="24"/>
              </w:rPr>
              <w:t>T4 (1000 ppm SA) +copper hydroxide)</w:t>
            </w:r>
          </w:p>
        </w:tc>
        <w:tc>
          <w:tcPr>
            <w:tcW w:w="1564" w:type="dxa"/>
          </w:tcPr>
          <w:p w14:paraId="323829A2"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2.54 ± 0.13</w:t>
            </w:r>
          </w:p>
        </w:tc>
        <w:tc>
          <w:tcPr>
            <w:tcW w:w="1271" w:type="dxa"/>
          </w:tcPr>
          <w:p w14:paraId="2FA20372"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-24.50</w:t>
            </w:r>
          </w:p>
        </w:tc>
        <w:tc>
          <w:tcPr>
            <w:tcW w:w="1701" w:type="dxa"/>
          </w:tcPr>
          <w:p w14:paraId="756AECD9"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2.61 ± 0.34</w:t>
            </w:r>
          </w:p>
        </w:tc>
        <w:tc>
          <w:tcPr>
            <w:tcW w:w="1276" w:type="dxa"/>
          </w:tcPr>
          <w:p w14:paraId="220D4921"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-17.04</w:t>
            </w:r>
          </w:p>
        </w:tc>
        <w:tc>
          <w:tcPr>
            <w:tcW w:w="1559" w:type="dxa"/>
          </w:tcPr>
          <w:p w14:paraId="72BB3A0C"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2.78 ± 0.60</w:t>
            </w:r>
          </w:p>
        </w:tc>
        <w:tc>
          <w:tcPr>
            <w:tcW w:w="1418" w:type="dxa"/>
          </w:tcPr>
          <w:p w14:paraId="13AECE01"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-21.39</w:t>
            </w:r>
          </w:p>
        </w:tc>
        <w:tc>
          <w:tcPr>
            <w:tcW w:w="2551" w:type="dxa"/>
          </w:tcPr>
          <w:p w14:paraId="3421C8B7"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2.64 ± 0.38</w:t>
            </w:r>
            <w:r w:rsidRPr="007621D4">
              <w:rPr>
                <w:rFonts w:eastAsiaTheme="minorEastAsia"/>
                <w:color w:val="000000" w:themeColor="text1"/>
                <w:kern w:val="24"/>
                <w:position w:val="11"/>
                <w:vertAlign w:val="superscript"/>
              </w:rPr>
              <w:t>a</w:t>
            </w:r>
          </w:p>
        </w:tc>
      </w:tr>
      <w:tr w:rsidR="000C1A4B" w:rsidRPr="002A3BC7" w14:paraId="5E4999DB" w14:textId="77777777" w:rsidTr="000C1A4B">
        <w:tc>
          <w:tcPr>
            <w:tcW w:w="3544" w:type="dxa"/>
          </w:tcPr>
          <w:p w14:paraId="0AD3AB63" w14:textId="77777777" w:rsidR="000C1A4B" w:rsidRPr="007621D4" w:rsidRDefault="000C1A4B" w:rsidP="000C1A4B">
            <w:pPr>
              <w:pStyle w:val="BodyText"/>
              <w:spacing w:line="360" w:lineRule="auto"/>
              <w:ind w:right="95"/>
              <w:jc w:val="center"/>
              <w:rPr>
                <w:lang w:val="en-IN"/>
              </w:rPr>
            </w:pPr>
            <w:r w:rsidRPr="007621D4">
              <w:rPr>
                <w:color w:val="000000" w:themeColor="dark1"/>
                <w:kern w:val="24"/>
              </w:rPr>
              <w:t>T5 (Copper hydroxide)</w:t>
            </w:r>
          </w:p>
        </w:tc>
        <w:tc>
          <w:tcPr>
            <w:tcW w:w="1564" w:type="dxa"/>
          </w:tcPr>
          <w:p w14:paraId="7562A61D"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2.58 ± 0.13</w:t>
            </w:r>
          </w:p>
        </w:tc>
        <w:tc>
          <w:tcPr>
            <w:tcW w:w="1271" w:type="dxa"/>
          </w:tcPr>
          <w:p w14:paraId="648BACBB"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-26.47</w:t>
            </w:r>
          </w:p>
        </w:tc>
        <w:tc>
          <w:tcPr>
            <w:tcW w:w="1701" w:type="dxa"/>
          </w:tcPr>
          <w:p w14:paraId="5D6E680F"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2.39 ± 0.39</w:t>
            </w:r>
          </w:p>
        </w:tc>
        <w:tc>
          <w:tcPr>
            <w:tcW w:w="1276" w:type="dxa"/>
          </w:tcPr>
          <w:p w14:paraId="6F9AF764"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-7.17</w:t>
            </w:r>
          </w:p>
        </w:tc>
        <w:tc>
          <w:tcPr>
            <w:tcW w:w="1559" w:type="dxa"/>
          </w:tcPr>
          <w:p w14:paraId="27119F68"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2.76 ± 0.27</w:t>
            </w:r>
          </w:p>
        </w:tc>
        <w:tc>
          <w:tcPr>
            <w:tcW w:w="1418" w:type="dxa"/>
          </w:tcPr>
          <w:p w14:paraId="6A1D17CB"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-20.52</w:t>
            </w:r>
          </w:p>
        </w:tc>
        <w:tc>
          <w:tcPr>
            <w:tcW w:w="2551" w:type="dxa"/>
          </w:tcPr>
          <w:p w14:paraId="7926BDBB"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2.57 ± 0.30</w:t>
            </w:r>
            <w:r w:rsidRPr="007621D4">
              <w:rPr>
                <w:rFonts w:eastAsiaTheme="minorEastAsia"/>
                <w:color w:val="000000" w:themeColor="text1"/>
                <w:kern w:val="24"/>
                <w:position w:val="11"/>
                <w:vertAlign w:val="superscript"/>
              </w:rPr>
              <w:t>ab</w:t>
            </w:r>
          </w:p>
        </w:tc>
      </w:tr>
      <w:tr w:rsidR="000C1A4B" w:rsidRPr="002A3BC7" w14:paraId="68E0DDCB" w14:textId="77777777" w:rsidTr="000C1A4B">
        <w:tc>
          <w:tcPr>
            <w:tcW w:w="3544" w:type="dxa"/>
          </w:tcPr>
          <w:p w14:paraId="48A04831" w14:textId="77777777" w:rsidR="000C1A4B" w:rsidRPr="007621D4" w:rsidRDefault="000C1A4B" w:rsidP="000C1A4B">
            <w:pPr>
              <w:pStyle w:val="BodyText"/>
              <w:spacing w:line="360" w:lineRule="auto"/>
              <w:ind w:right="95"/>
              <w:jc w:val="center"/>
              <w:rPr>
                <w:lang w:val="en-IN"/>
              </w:rPr>
            </w:pPr>
            <w:r w:rsidRPr="007621D4">
              <w:rPr>
                <w:color w:val="000000" w:themeColor="dark1"/>
                <w:kern w:val="24"/>
              </w:rPr>
              <w:t>T6 (Control)</w:t>
            </w:r>
          </w:p>
        </w:tc>
        <w:tc>
          <w:tcPr>
            <w:tcW w:w="1564" w:type="dxa"/>
          </w:tcPr>
          <w:p w14:paraId="47FE4D47"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2.04 ± 0.09</w:t>
            </w:r>
          </w:p>
        </w:tc>
        <w:tc>
          <w:tcPr>
            <w:tcW w:w="1271" w:type="dxa"/>
          </w:tcPr>
          <w:p w14:paraId="01E76F98" w14:textId="77777777" w:rsidR="000C1A4B" w:rsidRPr="007621D4" w:rsidRDefault="000C1A4B" w:rsidP="000C1A4B">
            <w:pPr>
              <w:pStyle w:val="BodyText"/>
              <w:spacing w:line="360" w:lineRule="auto"/>
              <w:ind w:right="95"/>
              <w:jc w:val="center"/>
              <w:rPr>
                <w:color w:val="000000" w:themeColor="text1"/>
                <w:kern w:val="24"/>
              </w:rPr>
            </w:pPr>
          </w:p>
        </w:tc>
        <w:tc>
          <w:tcPr>
            <w:tcW w:w="1701" w:type="dxa"/>
          </w:tcPr>
          <w:p w14:paraId="26B0C2AF"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2.23 ± 0.10</w:t>
            </w:r>
          </w:p>
        </w:tc>
        <w:tc>
          <w:tcPr>
            <w:tcW w:w="1276" w:type="dxa"/>
          </w:tcPr>
          <w:p w14:paraId="66296A59" w14:textId="77777777" w:rsidR="000C1A4B" w:rsidRPr="007621D4" w:rsidRDefault="000C1A4B" w:rsidP="000C1A4B">
            <w:pPr>
              <w:pStyle w:val="BodyText"/>
              <w:spacing w:line="360" w:lineRule="auto"/>
              <w:ind w:right="95"/>
              <w:jc w:val="center"/>
              <w:rPr>
                <w:color w:val="000000" w:themeColor="text1"/>
                <w:kern w:val="24"/>
              </w:rPr>
            </w:pPr>
          </w:p>
        </w:tc>
        <w:tc>
          <w:tcPr>
            <w:tcW w:w="1559" w:type="dxa"/>
          </w:tcPr>
          <w:p w14:paraId="5DE1C0B5"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2.29 ± 0.19</w:t>
            </w:r>
          </w:p>
        </w:tc>
        <w:tc>
          <w:tcPr>
            <w:tcW w:w="1418" w:type="dxa"/>
          </w:tcPr>
          <w:p w14:paraId="38AABA91" w14:textId="77777777" w:rsidR="000C1A4B" w:rsidRPr="007621D4" w:rsidRDefault="000C1A4B" w:rsidP="000C1A4B">
            <w:pPr>
              <w:pStyle w:val="BodyText"/>
              <w:spacing w:line="360" w:lineRule="auto"/>
              <w:ind w:right="95"/>
              <w:jc w:val="center"/>
              <w:rPr>
                <w:color w:val="000000" w:themeColor="text1"/>
                <w:kern w:val="24"/>
              </w:rPr>
            </w:pPr>
          </w:p>
        </w:tc>
        <w:tc>
          <w:tcPr>
            <w:tcW w:w="2551" w:type="dxa"/>
          </w:tcPr>
          <w:p w14:paraId="08C42C37"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2.18 ± 0.16</w:t>
            </w:r>
            <w:r w:rsidRPr="007621D4">
              <w:rPr>
                <w:rFonts w:eastAsiaTheme="minorEastAsia"/>
                <w:color w:val="000000" w:themeColor="text1"/>
                <w:kern w:val="24"/>
                <w:position w:val="11"/>
                <w:vertAlign w:val="superscript"/>
              </w:rPr>
              <w:t>cd</w:t>
            </w:r>
          </w:p>
        </w:tc>
      </w:tr>
      <w:tr w:rsidR="000C1A4B" w:rsidRPr="002A3BC7" w14:paraId="0344CF73" w14:textId="77777777" w:rsidTr="000C1A4B">
        <w:tc>
          <w:tcPr>
            <w:tcW w:w="3544" w:type="dxa"/>
          </w:tcPr>
          <w:p w14:paraId="15A9AE35" w14:textId="77777777" w:rsidR="000C1A4B" w:rsidRPr="007621D4" w:rsidRDefault="000C1A4B" w:rsidP="000C1A4B">
            <w:pPr>
              <w:pStyle w:val="BodyText"/>
              <w:spacing w:line="360" w:lineRule="auto"/>
              <w:ind w:right="95"/>
              <w:jc w:val="center"/>
              <w:rPr>
                <w:lang w:val="en-IN"/>
              </w:rPr>
            </w:pPr>
            <w:r w:rsidRPr="007621D4">
              <w:rPr>
                <w:color w:val="000000" w:themeColor="dark1"/>
                <w:kern w:val="24"/>
              </w:rPr>
              <w:t>T7 (Absolute control)</w:t>
            </w:r>
          </w:p>
        </w:tc>
        <w:tc>
          <w:tcPr>
            <w:tcW w:w="1564" w:type="dxa"/>
          </w:tcPr>
          <w:p w14:paraId="298CEB97"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1.90 ± 0.41</w:t>
            </w:r>
          </w:p>
        </w:tc>
        <w:tc>
          <w:tcPr>
            <w:tcW w:w="1271" w:type="dxa"/>
          </w:tcPr>
          <w:p w14:paraId="1E36CC82"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6.86</w:t>
            </w:r>
          </w:p>
        </w:tc>
        <w:tc>
          <w:tcPr>
            <w:tcW w:w="1701" w:type="dxa"/>
          </w:tcPr>
          <w:p w14:paraId="37506A19"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2.12 ± 0.06</w:t>
            </w:r>
          </w:p>
        </w:tc>
        <w:tc>
          <w:tcPr>
            <w:tcW w:w="1276" w:type="dxa"/>
          </w:tcPr>
          <w:p w14:paraId="230316E1"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4.93</w:t>
            </w:r>
          </w:p>
        </w:tc>
        <w:tc>
          <w:tcPr>
            <w:tcW w:w="1559" w:type="dxa"/>
          </w:tcPr>
          <w:p w14:paraId="48916864"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1.81 ± 0.11</w:t>
            </w:r>
          </w:p>
        </w:tc>
        <w:tc>
          <w:tcPr>
            <w:tcW w:w="1418" w:type="dxa"/>
          </w:tcPr>
          <w:p w14:paraId="0D5E9614"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20.96</w:t>
            </w:r>
          </w:p>
        </w:tc>
        <w:tc>
          <w:tcPr>
            <w:tcW w:w="2551" w:type="dxa"/>
          </w:tcPr>
          <w:p w14:paraId="00B03744"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1.95 ± 0.26</w:t>
            </w:r>
            <w:r w:rsidRPr="007621D4">
              <w:rPr>
                <w:rFonts w:eastAsiaTheme="minorEastAsia"/>
                <w:color w:val="000000" w:themeColor="text1"/>
                <w:kern w:val="24"/>
                <w:position w:val="11"/>
                <w:vertAlign w:val="superscript"/>
              </w:rPr>
              <w:t>d</w:t>
            </w:r>
          </w:p>
        </w:tc>
      </w:tr>
      <w:tr w:rsidR="000C1A4B" w:rsidRPr="002A3BC7" w14:paraId="3BA77C88" w14:textId="77777777" w:rsidTr="000C1A4B">
        <w:tc>
          <w:tcPr>
            <w:tcW w:w="3544" w:type="dxa"/>
          </w:tcPr>
          <w:p w14:paraId="01D7148C" w14:textId="77777777" w:rsidR="000C1A4B" w:rsidRPr="007621D4" w:rsidRDefault="000C1A4B" w:rsidP="000C1A4B">
            <w:pPr>
              <w:pStyle w:val="BodyText"/>
              <w:ind w:right="95"/>
              <w:jc w:val="center"/>
              <w:rPr>
                <w:lang w:val="en-IN"/>
              </w:rPr>
            </w:pPr>
            <w:r w:rsidRPr="007621D4">
              <w:rPr>
                <w:color w:val="000000" w:themeColor="dark1"/>
                <w:kern w:val="24"/>
              </w:rPr>
              <w:t>Treatment mean at different intervals</w:t>
            </w:r>
          </w:p>
        </w:tc>
        <w:tc>
          <w:tcPr>
            <w:tcW w:w="1564" w:type="dxa"/>
          </w:tcPr>
          <w:p w14:paraId="333BEC74"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2.43 ± 0.40</w:t>
            </w:r>
          </w:p>
        </w:tc>
        <w:tc>
          <w:tcPr>
            <w:tcW w:w="1271" w:type="dxa"/>
          </w:tcPr>
          <w:p w14:paraId="1CEAE213" w14:textId="77777777" w:rsidR="000C1A4B" w:rsidRPr="007621D4" w:rsidRDefault="000C1A4B" w:rsidP="000C1A4B">
            <w:pPr>
              <w:pStyle w:val="BodyText"/>
              <w:spacing w:line="360" w:lineRule="auto"/>
              <w:ind w:right="95"/>
              <w:jc w:val="center"/>
              <w:rPr>
                <w:rFonts w:eastAsia="Calibri"/>
                <w:color w:val="000000" w:themeColor="text1"/>
                <w:kern w:val="2"/>
              </w:rPr>
            </w:pPr>
          </w:p>
        </w:tc>
        <w:tc>
          <w:tcPr>
            <w:tcW w:w="1701" w:type="dxa"/>
          </w:tcPr>
          <w:p w14:paraId="79EFBBA8"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2.40 ± 0.29</w:t>
            </w:r>
          </w:p>
        </w:tc>
        <w:tc>
          <w:tcPr>
            <w:tcW w:w="1276" w:type="dxa"/>
          </w:tcPr>
          <w:p w14:paraId="7CFF042E" w14:textId="77777777" w:rsidR="000C1A4B" w:rsidRPr="007621D4" w:rsidRDefault="000C1A4B" w:rsidP="000C1A4B">
            <w:pPr>
              <w:pStyle w:val="BodyText"/>
              <w:spacing w:line="360" w:lineRule="auto"/>
              <w:ind w:right="95"/>
              <w:jc w:val="center"/>
              <w:rPr>
                <w:color w:val="000000" w:themeColor="text1"/>
                <w:kern w:val="24"/>
              </w:rPr>
            </w:pPr>
          </w:p>
        </w:tc>
        <w:tc>
          <w:tcPr>
            <w:tcW w:w="1559" w:type="dxa"/>
          </w:tcPr>
          <w:p w14:paraId="5E504521"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2.50 ± 0.49</w:t>
            </w:r>
          </w:p>
        </w:tc>
        <w:tc>
          <w:tcPr>
            <w:tcW w:w="1418" w:type="dxa"/>
          </w:tcPr>
          <w:p w14:paraId="4878FCE5" w14:textId="77777777" w:rsidR="000C1A4B" w:rsidRPr="007621D4" w:rsidRDefault="000C1A4B" w:rsidP="000C1A4B">
            <w:pPr>
              <w:pStyle w:val="BodyText"/>
              <w:spacing w:line="360" w:lineRule="auto"/>
              <w:ind w:right="95"/>
              <w:jc w:val="center"/>
              <w:rPr>
                <w:color w:val="000000" w:themeColor="text1"/>
                <w:lang w:val="en-IN"/>
              </w:rPr>
            </w:pPr>
          </w:p>
        </w:tc>
        <w:tc>
          <w:tcPr>
            <w:tcW w:w="2551" w:type="dxa"/>
          </w:tcPr>
          <w:p w14:paraId="648ACB56" w14:textId="77777777" w:rsidR="000C1A4B" w:rsidRPr="007621D4" w:rsidRDefault="000C1A4B" w:rsidP="000C1A4B">
            <w:pPr>
              <w:pStyle w:val="BodyText"/>
              <w:spacing w:line="360" w:lineRule="auto"/>
              <w:ind w:right="95"/>
              <w:jc w:val="center"/>
              <w:rPr>
                <w:color w:val="000000" w:themeColor="text1"/>
                <w:lang w:val="en-IN"/>
              </w:rPr>
            </w:pPr>
          </w:p>
        </w:tc>
      </w:tr>
    </w:tbl>
    <w:bookmarkEnd w:id="6"/>
    <w:p w14:paraId="1E603DC4" w14:textId="77777777" w:rsidR="00B50DA1" w:rsidRDefault="00B50DA1" w:rsidP="00B50DA1">
      <w:pPr>
        <w:tabs>
          <w:tab w:val="left" w:pos="2575"/>
        </w:tabs>
        <w:rPr>
          <w:rFonts w:ascii="Times New Roman" w:hAnsi="Times New Roman" w:cs="Times New Roman"/>
          <w:sz w:val="24"/>
          <w:szCs w:val="24"/>
        </w:rPr>
      </w:pPr>
      <w:r>
        <w:rPr>
          <w:rFonts w:ascii="Times New Roman" w:hAnsi="Times New Roman" w:cs="Times New Roman"/>
          <w:sz w:val="24"/>
          <w:szCs w:val="24"/>
        </w:rPr>
        <w:t xml:space="preserve">In each column figures followed by same letter </w:t>
      </w:r>
      <w:proofErr w:type="spellStart"/>
      <w:r>
        <w:rPr>
          <w:rFonts w:ascii="Times New Roman" w:hAnsi="Times New Roman" w:cs="Times New Roman"/>
          <w:sz w:val="24"/>
          <w:szCs w:val="24"/>
        </w:rPr>
        <w:t>donot</w:t>
      </w:r>
      <w:proofErr w:type="spellEnd"/>
      <w:r>
        <w:rPr>
          <w:rFonts w:ascii="Times New Roman" w:hAnsi="Times New Roman" w:cs="Times New Roman"/>
          <w:sz w:val="24"/>
          <w:szCs w:val="24"/>
        </w:rPr>
        <w:t xml:space="preserve"> differ significantly according to DMRT</w:t>
      </w:r>
    </w:p>
    <w:p w14:paraId="7434D1E2" w14:textId="77777777" w:rsidR="000C1A4B" w:rsidRDefault="00B50DA1" w:rsidP="000C1A4B">
      <w:pPr>
        <w:tabs>
          <w:tab w:val="left" w:pos="2575"/>
        </w:tabs>
        <w:spacing w:line="360" w:lineRule="auto"/>
        <w:jc w:val="both"/>
        <w:rPr>
          <w:rFonts w:ascii="Times New Roman" w:hAnsi="Times New Roman" w:cs="Times New Roman"/>
          <w:b/>
          <w:bCs/>
          <w:color w:val="000000" w:themeColor="text1"/>
          <w:sz w:val="24"/>
          <w:szCs w:val="24"/>
        </w:rPr>
      </w:pPr>
      <w:r w:rsidRPr="007621D4">
        <w:rPr>
          <w:rFonts w:ascii="Times New Roman" w:hAnsi="Times New Roman" w:cs="Times New Roman"/>
          <w:sz w:val="24"/>
          <w:szCs w:val="24"/>
        </w:rPr>
        <w:t>+ - Increase, - - Decrease</w:t>
      </w:r>
    </w:p>
    <w:p w14:paraId="6541F5B4" w14:textId="780D36BD" w:rsidR="000C1A4B" w:rsidRPr="000C1A4B" w:rsidRDefault="000C1A4B" w:rsidP="000C1A4B">
      <w:pPr>
        <w:tabs>
          <w:tab w:val="left" w:pos="2575"/>
        </w:tabs>
        <w:spacing w:line="360" w:lineRule="auto"/>
        <w:jc w:val="both"/>
        <w:rPr>
          <w:rFonts w:ascii="Times New Roman" w:hAnsi="Times New Roman" w:cs="Times New Roman"/>
          <w:b/>
          <w:bCs/>
          <w:color w:val="000000" w:themeColor="text1"/>
          <w:sz w:val="24"/>
          <w:szCs w:val="24"/>
        </w:rPr>
      </w:pPr>
      <w:r w:rsidRPr="00522A97">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522A97">
        <w:rPr>
          <w:rFonts w:ascii="Times New Roman" w:hAnsi="Times New Roman" w:cs="Times New Roman"/>
          <w:b/>
          <w:bCs/>
          <w:sz w:val="24"/>
          <w:szCs w:val="24"/>
        </w:rPr>
        <w:t xml:space="preserve"> E</w:t>
      </w:r>
      <w:r>
        <w:rPr>
          <w:rFonts w:ascii="Times New Roman" w:hAnsi="Times New Roman" w:cs="Times New Roman"/>
          <w:b/>
          <w:bCs/>
          <w:sz w:val="24"/>
          <w:szCs w:val="24"/>
        </w:rPr>
        <w:t>ffect</w:t>
      </w:r>
      <w:r w:rsidRPr="00522A97">
        <w:rPr>
          <w:rFonts w:ascii="Times New Roman" w:hAnsi="Times New Roman" w:cs="Times New Roman"/>
          <w:b/>
          <w:bCs/>
          <w:sz w:val="24"/>
          <w:szCs w:val="24"/>
        </w:rPr>
        <w:t xml:space="preserve"> of</w:t>
      </w:r>
      <w:r>
        <w:rPr>
          <w:rFonts w:ascii="Times New Roman" w:hAnsi="Times New Roman" w:cs="Times New Roman"/>
          <w:b/>
          <w:bCs/>
          <w:sz w:val="24"/>
          <w:szCs w:val="24"/>
        </w:rPr>
        <w:t xml:space="preserve"> different treatments on total</w:t>
      </w:r>
      <w:r w:rsidRPr="00522A97">
        <w:rPr>
          <w:rFonts w:ascii="Times New Roman" w:hAnsi="Times New Roman" w:cs="Times New Roman"/>
          <w:b/>
          <w:bCs/>
          <w:sz w:val="24"/>
          <w:szCs w:val="24"/>
        </w:rPr>
        <w:t xml:space="preserve"> phenol</w:t>
      </w:r>
      <w:r>
        <w:rPr>
          <w:rFonts w:ascii="Times New Roman" w:hAnsi="Times New Roman" w:cs="Times New Roman"/>
          <w:b/>
          <w:bCs/>
          <w:sz w:val="24"/>
          <w:szCs w:val="24"/>
        </w:rPr>
        <w:t xml:space="preserve"> content in black pepper</w:t>
      </w:r>
    </w:p>
    <w:p w14:paraId="59E94F81" w14:textId="77777777" w:rsidR="000B6A8D" w:rsidRDefault="000B6A8D" w:rsidP="000B6A8D">
      <w:pPr>
        <w:tabs>
          <w:tab w:val="left" w:pos="2575"/>
        </w:tabs>
        <w:spacing w:line="360" w:lineRule="auto"/>
        <w:jc w:val="center"/>
        <w:rPr>
          <w:rFonts w:ascii="Times New Roman" w:hAnsi="Times New Roman" w:cs="Times New Roman"/>
          <w:b/>
          <w:bCs/>
          <w:color w:val="000000" w:themeColor="text1"/>
          <w:sz w:val="24"/>
          <w:szCs w:val="24"/>
        </w:rPr>
      </w:pPr>
    </w:p>
    <w:p w14:paraId="084224A2" w14:textId="77777777" w:rsidR="000B6A8D" w:rsidRDefault="000B6A8D" w:rsidP="000B6A8D">
      <w:pPr>
        <w:tabs>
          <w:tab w:val="left" w:pos="2575"/>
        </w:tabs>
        <w:spacing w:line="360" w:lineRule="auto"/>
        <w:jc w:val="center"/>
        <w:rPr>
          <w:rFonts w:ascii="Times New Roman" w:hAnsi="Times New Roman" w:cs="Times New Roman"/>
          <w:b/>
          <w:bCs/>
          <w:color w:val="000000" w:themeColor="text1"/>
          <w:sz w:val="24"/>
          <w:szCs w:val="24"/>
        </w:rPr>
      </w:pPr>
    </w:p>
    <w:p w14:paraId="1E971BAD" w14:textId="77777777" w:rsidR="000B6A8D" w:rsidRDefault="000B6A8D" w:rsidP="000B6A8D">
      <w:pPr>
        <w:tabs>
          <w:tab w:val="left" w:pos="2575"/>
        </w:tabs>
        <w:spacing w:line="360" w:lineRule="auto"/>
        <w:jc w:val="center"/>
        <w:rPr>
          <w:rFonts w:ascii="Times New Roman" w:hAnsi="Times New Roman" w:cs="Times New Roman"/>
          <w:b/>
          <w:bCs/>
          <w:color w:val="000000" w:themeColor="text1"/>
          <w:sz w:val="24"/>
          <w:szCs w:val="24"/>
        </w:rPr>
      </w:pPr>
    </w:p>
    <w:p w14:paraId="26A2C89F" w14:textId="66F5ED10" w:rsidR="00B50DA1" w:rsidRDefault="00B50DA1" w:rsidP="00B50DA1">
      <w:pPr>
        <w:tabs>
          <w:tab w:val="left" w:pos="2531"/>
        </w:tabs>
        <w:spacing w:line="360" w:lineRule="auto"/>
        <w:jc w:val="center"/>
        <w:rPr>
          <w:rFonts w:ascii="Times New Roman" w:hAnsi="Times New Roman" w:cs="Times New Roman"/>
          <w:b/>
          <w:bCs/>
          <w:sz w:val="24"/>
          <w:szCs w:val="24"/>
        </w:rPr>
      </w:pPr>
    </w:p>
    <w:tbl>
      <w:tblPr>
        <w:tblStyle w:val="TableGrid"/>
        <w:tblpPr w:leftFromText="180" w:rightFromText="180" w:vertAnchor="page" w:horzAnchor="margin" w:tblpXSpec="center" w:tblpY="1093"/>
        <w:tblW w:w="14742" w:type="dxa"/>
        <w:tblLayout w:type="fixed"/>
        <w:tblLook w:val="04A0" w:firstRow="1" w:lastRow="0" w:firstColumn="1" w:lastColumn="0" w:noHBand="0" w:noVBand="1"/>
      </w:tblPr>
      <w:tblGrid>
        <w:gridCol w:w="3406"/>
        <w:gridCol w:w="1843"/>
        <w:gridCol w:w="1271"/>
        <w:gridCol w:w="1701"/>
        <w:gridCol w:w="1418"/>
        <w:gridCol w:w="1701"/>
        <w:gridCol w:w="1275"/>
        <w:gridCol w:w="2127"/>
      </w:tblGrid>
      <w:tr w:rsidR="000C1A4B" w:rsidRPr="002A3BC7" w14:paraId="21FA20FA" w14:textId="77777777" w:rsidTr="000C1A4B">
        <w:tc>
          <w:tcPr>
            <w:tcW w:w="3406" w:type="dxa"/>
            <w:vMerge w:val="restart"/>
          </w:tcPr>
          <w:p w14:paraId="3D903A45" w14:textId="77777777" w:rsidR="000C1A4B" w:rsidRDefault="000C1A4B" w:rsidP="000C1A4B">
            <w:pPr>
              <w:pStyle w:val="BodyText"/>
              <w:spacing w:line="360" w:lineRule="auto"/>
              <w:ind w:right="95"/>
              <w:jc w:val="center"/>
              <w:rPr>
                <w:b/>
                <w:bCs/>
                <w:lang w:val="en-IN"/>
              </w:rPr>
            </w:pPr>
            <w:bookmarkStart w:id="7" w:name="_Hlk193388618"/>
          </w:p>
          <w:p w14:paraId="61184560" w14:textId="77777777" w:rsidR="000C1A4B" w:rsidRPr="005960BC" w:rsidRDefault="000C1A4B" w:rsidP="000C1A4B">
            <w:pPr>
              <w:pStyle w:val="BodyText"/>
              <w:spacing w:line="360" w:lineRule="auto"/>
              <w:ind w:right="95"/>
              <w:jc w:val="center"/>
              <w:rPr>
                <w:b/>
                <w:bCs/>
                <w:lang w:val="en-IN"/>
              </w:rPr>
            </w:pPr>
            <w:r w:rsidRPr="005960BC">
              <w:rPr>
                <w:b/>
                <w:bCs/>
                <w:lang w:val="en-IN"/>
              </w:rPr>
              <w:t>Treatments</w:t>
            </w:r>
          </w:p>
        </w:tc>
        <w:tc>
          <w:tcPr>
            <w:tcW w:w="9209" w:type="dxa"/>
            <w:gridSpan w:val="6"/>
          </w:tcPr>
          <w:p w14:paraId="7B2A6BAF" w14:textId="77777777" w:rsidR="000C1A4B" w:rsidRPr="005960BC" w:rsidRDefault="000C1A4B" w:rsidP="000C1A4B">
            <w:pPr>
              <w:pStyle w:val="BodyText"/>
              <w:spacing w:line="360" w:lineRule="auto"/>
              <w:ind w:right="95"/>
              <w:jc w:val="center"/>
              <w:rPr>
                <w:b/>
                <w:bCs/>
              </w:rPr>
            </w:pPr>
            <w:r w:rsidRPr="005960BC">
              <w:rPr>
                <w:b/>
                <w:bCs/>
              </w:rPr>
              <w:t xml:space="preserve">Flavonoid </w:t>
            </w:r>
            <w:r>
              <w:rPr>
                <w:b/>
                <w:bCs/>
              </w:rPr>
              <w:t>content</w:t>
            </w:r>
            <w:r w:rsidRPr="005960BC">
              <w:rPr>
                <w:b/>
                <w:bCs/>
              </w:rPr>
              <w:t xml:space="preserve"> at different intervals</w:t>
            </w:r>
            <w:r>
              <w:rPr>
                <w:b/>
                <w:bCs/>
              </w:rPr>
              <w:t xml:space="preserve"> </w:t>
            </w:r>
            <w:r w:rsidRPr="00DC0719">
              <w:rPr>
                <w:b/>
                <w:bCs/>
              </w:rPr>
              <w:t>(mg g</w:t>
            </w:r>
            <w:r w:rsidRPr="00DC0719">
              <w:rPr>
                <w:b/>
                <w:bCs/>
                <w:vertAlign w:val="superscript"/>
              </w:rPr>
              <w:t>-1</w:t>
            </w:r>
            <w:r w:rsidRPr="00DC0719">
              <w:rPr>
                <w:b/>
                <w:bCs/>
              </w:rPr>
              <w:t>)</w:t>
            </w:r>
          </w:p>
        </w:tc>
        <w:tc>
          <w:tcPr>
            <w:tcW w:w="2127" w:type="dxa"/>
            <w:vMerge w:val="restart"/>
          </w:tcPr>
          <w:p w14:paraId="2572036D" w14:textId="77777777" w:rsidR="000C1A4B" w:rsidRPr="00FD7ACC" w:rsidRDefault="000C1A4B" w:rsidP="000C1A4B">
            <w:pPr>
              <w:pStyle w:val="BodyText"/>
              <w:ind w:right="95"/>
              <w:jc w:val="center"/>
              <w:rPr>
                <w:b/>
                <w:bCs/>
              </w:rPr>
            </w:pPr>
            <w:r w:rsidRPr="005960BC">
              <w:rPr>
                <w:b/>
                <w:bCs/>
              </w:rPr>
              <w:t>Treatment mean value</w:t>
            </w:r>
          </w:p>
        </w:tc>
      </w:tr>
      <w:tr w:rsidR="000C1A4B" w:rsidRPr="002A3BC7" w14:paraId="20A9DBBC" w14:textId="77777777" w:rsidTr="000C1A4B">
        <w:tc>
          <w:tcPr>
            <w:tcW w:w="3406" w:type="dxa"/>
            <w:vMerge/>
          </w:tcPr>
          <w:p w14:paraId="13CFC906" w14:textId="77777777" w:rsidR="000C1A4B" w:rsidRPr="005960BC" w:rsidRDefault="000C1A4B" w:rsidP="000C1A4B">
            <w:pPr>
              <w:pStyle w:val="BodyText"/>
              <w:spacing w:line="360" w:lineRule="auto"/>
              <w:ind w:right="95"/>
              <w:jc w:val="center"/>
              <w:rPr>
                <w:b/>
                <w:bCs/>
                <w:lang w:val="en-IN"/>
              </w:rPr>
            </w:pPr>
          </w:p>
        </w:tc>
        <w:tc>
          <w:tcPr>
            <w:tcW w:w="1843" w:type="dxa"/>
          </w:tcPr>
          <w:p w14:paraId="255FB97B" w14:textId="77777777" w:rsidR="000C1A4B" w:rsidRPr="005960BC" w:rsidRDefault="000C1A4B" w:rsidP="000C1A4B">
            <w:pPr>
              <w:pStyle w:val="BodyText"/>
              <w:spacing w:line="360" w:lineRule="auto"/>
              <w:ind w:right="95"/>
              <w:jc w:val="center"/>
              <w:rPr>
                <w:b/>
                <w:bCs/>
                <w:color w:val="000000" w:themeColor="text1"/>
                <w:lang w:val="en-IN"/>
              </w:rPr>
            </w:pPr>
            <w:r w:rsidRPr="005960BC">
              <w:rPr>
                <w:b/>
                <w:bCs/>
                <w:color w:val="000000" w:themeColor="text1"/>
                <w:kern w:val="24"/>
              </w:rPr>
              <w:t>24</w:t>
            </w:r>
            <w:r>
              <w:rPr>
                <w:b/>
                <w:bCs/>
                <w:color w:val="000000" w:themeColor="text1"/>
                <w:kern w:val="24"/>
              </w:rPr>
              <w:t xml:space="preserve"> h</w:t>
            </w:r>
          </w:p>
        </w:tc>
        <w:tc>
          <w:tcPr>
            <w:tcW w:w="1271" w:type="dxa"/>
          </w:tcPr>
          <w:p w14:paraId="645B7667" w14:textId="77777777" w:rsidR="000C1A4B" w:rsidRPr="005960BC" w:rsidRDefault="000C1A4B" w:rsidP="000C1A4B">
            <w:pPr>
              <w:pStyle w:val="BodyText"/>
              <w:ind w:right="95"/>
              <w:jc w:val="center"/>
              <w:rPr>
                <w:b/>
                <w:bCs/>
                <w:color w:val="000000" w:themeColor="text1"/>
                <w:kern w:val="24"/>
              </w:rPr>
            </w:pPr>
            <w:r>
              <w:rPr>
                <w:b/>
                <w:bCs/>
                <w:color w:val="000000" w:themeColor="text1"/>
                <w:kern w:val="24"/>
              </w:rPr>
              <w:t>Per cent +/- over control</w:t>
            </w:r>
          </w:p>
        </w:tc>
        <w:tc>
          <w:tcPr>
            <w:tcW w:w="1701" w:type="dxa"/>
          </w:tcPr>
          <w:p w14:paraId="23DA3BA4" w14:textId="77777777" w:rsidR="000C1A4B" w:rsidRPr="005960BC" w:rsidRDefault="000C1A4B" w:rsidP="000C1A4B">
            <w:pPr>
              <w:pStyle w:val="BodyText"/>
              <w:spacing w:line="360" w:lineRule="auto"/>
              <w:ind w:right="95"/>
              <w:jc w:val="center"/>
              <w:rPr>
                <w:b/>
                <w:bCs/>
                <w:color w:val="000000" w:themeColor="text1"/>
                <w:lang w:val="en-IN"/>
              </w:rPr>
            </w:pPr>
            <w:r w:rsidRPr="005960BC">
              <w:rPr>
                <w:b/>
                <w:bCs/>
                <w:color w:val="000000" w:themeColor="text1"/>
                <w:kern w:val="24"/>
              </w:rPr>
              <w:t>48</w:t>
            </w:r>
            <w:r>
              <w:rPr>
                <w:b/>
                <w:bCs/>
                <w:color w:val="000000" w:themeColor="text1"/>
                <w:kern w:val="24"/>
              </w:rPr>
              <w:t xml:space="preserve"> h</w:t>
            </w:r>
          </w:p>
        </w:tc>
        <w:tc>
          <w:tcPr>
            <w:tcW w:w="1418" w:type="dxa"/>
          </w:tcPr>
          <w:p w14:paraId="062EBD7A" w14:textId="77777777" w:rsidR="000C1A4B" w:rsidRPr="005960BC" w:rsidRDefault="000C1A4B" w:rsidP="000C1A4B">
            <w:pPr>
              <w:pStyle w:val="BodyText"/>
              <w:ind w:right="95"/>
              <w:jc w:val="center"/>
              <w:rPr>
                <w:b/>
                <w:bCs/>
                <w:color w:val="000000" w:themeColor="text1"/>
                <w:kern w:val="24"/>
              </w:rPr>
            </w:pPr>
            <w:r>
              <w:rPr>
                <w:b/>
                <w:bCs/>
                <w:color w:val="000000" w:themeColor="text1"/>
                <w:kern w:val="24"/>
              </w:rPr>
              <w:t>Per cent +/- over control</w:t>
            </w:r>
          </w:p>
        </w:tc>
        <w:tc>
          <w:tcPr>
            <w:tcW w:w="1701" w:type="dxa"/>
          </w:tcPr>
          <w:p w14:paraId="4A279BF4" w14:textId="77777777" w:rsidR="000C1A4B" w:rsidRPr="005960BC" w:rsidRDefault="000C1A4B" w:rsidP="000C1A4B">
            <w:pPr>
              <w:pStyle w:val="BodyText"/>
              <w:spacing w:line="360" w:lineRule="auto"/>
              <w:ind w:right="95"/>
              <w:jc w:val="center"/>
              <w:rPr>
                <w:b/>
                <w:bCs/>
                <w:color w:val="000000" w:themeColor="text1"/>
                <w:lang w:val="en-IN"/>
              </w:rPr>
            </w:pPr>
            <w:r w:rsidRPr="005960BC">
              <w:rPr>
                <w:b/>
                <w:bCs/>
                <w:color w:val="000000" w:themeColor="text1"/>
                <w:kern w:val="24"/>
              </w:rPr>
              <w:t>72</w:t>
            </w:r>
            <w:r>
              <w:rPr>
                <w:b/>
                <w:bCs/>
                <w:color w:val="000000" w:themeColor="text1"/>
                <w:kern w:val="24"/>
              </w:rPr>
              <w:t xml:space="preserve"> h</w:t>
            </w:r>
          </w:p>
        </w:tc>
        <w:tc>
          <w:tcPr>
            <w:tcW w:w="1275" w:type="dxa"/>
          </w:tcPr>
          <w:p w14:paraId="6C96C70A" w14:textId="77777777" w:rsidR="000C1A4B" w:rsidRPr="002A3BC7" w:rsidRDefault="000C1A4B" w:rsidP="000C1A4B">
            <w:pPr>
              <w:pStyle w:val="BodyText"/>
              <w:ind w:right="95"/>
              <w:jc w:val="center"/>
              <w:rPr>
                <w:lang w:val="en-IN"/>
              </w:rPr>
            </w:pPr>
            <w:r>
              <w:rPr>
                <w:b/>
                <w:bCs/>
                <w:color w:val="000000" w:themeColor="text1"/>
                <w:kern w:val="24"/>
              </w:rPr>
              <w:t>Per cent +/- over control</w:t>
            </w:r>
          </w:p>
        </w:tc>
        <w:tc>
          <w:tcPr>
            <w:tcW w:w="2127" w:type="dxa"/>
            <w:vMerge/>
          </w:tcPr>
          <w:p w14:paraId="6F5EBDF2" w14:textId="77777777" w:rsidR="000C1A4B" w:rsidRPr="002A3BC7" w:rsidRDefault="000C1A4B" w:rsidP="000C1A4B">
            <w:pPr>
              <w:pStyle w:val="BodyText"/>
              <w:spacing w:line="360" w:lineRule="auto"/>
              <w:ind w:right="95"/>
              <w:jc w:val="both"/>
              <w:rPr>
                <w:lang w:val="en-IN"/>
              </w:rPr>
            </w:pPr>
          </w:p>
        </w:tc>
      </w:tr>
      <w:tr w:rsidR="000C1A4B" w:rsidRPr="002A3BC7" w14:paraId="1C3CC6BC" w14:textId="77777777" w:rsidTr="000C1A4B">
        <w:trPr>
          <w:trHeight w:val="438"/>
        </w:trPr>
        <w:tc>
          <w:tcPr>
            <w:tcW w:w="3406" w:type="dxa"/>
          </w:tcPr>
          <w:p w14:paraId="2F5F87A6" w14:textId="77777777" w:rsidR="000C1A4B" w:rsidRPr="007621D4" w:rsidRDefault="000C1A4B" w:rsidP="000C1A4B">
            <w:pPr>
              <w:pStyle w:val="BodyText"/>
              <w:spacing w:line="360" w:lineRule="auto"/>
              <w:ind w:right="95"/>
              <w:jc w:val="center"/>
              <w:rPr>
                <w:lang w:val="en-IN"/>
              </w:rPr>
            </w:pPr>
            <w:r w:rsidRPr="007621D4">
              <w:rPr>
                <w:color w:val="000000" w:themeColor="text1"/>
                <w:kern w:val="24"/>
                <w:lang w:val="en-IN"/>
              </w:rPr>
              <w:t>T1 (700ppm)</w:t>
            </w:r>
          </w:p>
        </w:tc>
        <w:tc>
          <w:tcPr>
            <w:tcW w:w="1843" w:type="dxa"/>
          </w:tcPr>
          <w:p w14:paraId="7EE3C8A9"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4.80 ± 0.51</w:t>
            </w:r>
            <w:proofErr w:type="spellStart"/>
            <w:r w:rsidRPr="007621D4">
              <w:rPr>
                <w:rFonts w:eastAsiaTheme="minorEastAsia"/>
                <w:color w:val="000000" w:themeColor="text1"/>
                <w:kern w:val="24"/>
                <w:position w:val="11"/>
                <w:vertAlign w:val="superscript"/>
              </w:rPr>
              <w:t>ef</w:t>
            </w:r>
            <w:proofErr w:type="spellEnd"/>
          </w:p>
        </w:tc>
        <w:tc>
          <w:tcPr>
            <w:tcW w:w="1271" w:type="dxa"/>
          </w:tcPr>
          <w:p w14:paraId="0396080A" w14:textId="77777777" w:rsidR="000C1A4B" w:rsidRPr="003E39AF" w:rsidRDefault="000C1A4B" w:rsidP="000C1A4B">
            <w:pPr>
              <w:pStyle w:val="BodyText"/>
              <w:ind w:right="95"/>
              <w:jc w:val="center"/>
              <w:rPr>
                <w:color w:val="000000" w:themeColor="text1"/>
                <w:kern w:val="2"/>
                <w:lang w:val="en-IN"/>
              </w:rPr>
            </w:pPr>
            <w:r w:rsidRPr="007621D4">
              <w:rPr>
                <w:color w:val="000000" w:themeColor="text1"/>
                <w:kern w:val="2"/>
                <w:lang w:val="en-IN"/>
              </w:rPr>
              <w:t>6.25</w:t>
            </w:r>
          </w:p>
        </w:tc>
        <w:tc>
          <w:tcPr>
            <w:tcW w:w="1701" w:type="dxa"/>
          </w:tcPr>
          <w:p w14:paraId="2DBF18DD"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4.68 ± 0.42</w:t>
            </w:r>
            <w:proofErr w:type="spellStart"/>
            <w:r w:rsidRPr="007621D4">
              <w:rPr>
                <w:rFonts w:eastAsiaTheme="minorEastAsia"/>
                <w:color w:val="000000" w:themeColor="text1"/>
                <w:kern w:val="24"/>
                <w:position w:val="11"/>
                <w:vertAlign w:val="superscript"/>
              </w:rPr>
              <w:t>efg</w:t>
            </w:r>
            <w:proofErr w:type="spellEnd"/>
          </w:p>
        </w:tc>
        <w:tc>
          <w:tcPr>
            <w:tcW w:w="1418" w:type="dxa"/>
          </w:tcPr>
          <w:p w14:paraId="172996BA"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10</w:t>
            </w:r>
          </w:p>
        </w:tc>
        <w:tc>
          <w:tcPr>
            <w:tcW w:w="1701" w:type="dxa"/>
          </w:tcPr>
          <w:p w14:paraId="31881924"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4.79 ± 0.22</w:t>
            </w:r>
            <w:proofErr w:type="spellStart"/>
            <w:r w:rsidRPr="007621D4">
              <w:rPr>
                <w:rFonts w:eastAsiaTheme="minorEastAsia"/>
                <w:color w:val="000000" w:themeColor="text1"/>
                <w:kern w:val="24"/>
                <w:position w:val="11"/>
                <w:vertAlign w:val="superscript"/>
              </w:rPr>
              <w:t>ef</w:t>
            </w:r>
            <w:proofErr w:type="spellEnd"/>
          </w:p>
        </w:tc>
        <w:tc>
          <w:tcPr>
            <w:tcW w:w="1275" w:type="dxa"/>
          </w:tcPr>
          <w:p w14:paraId="4D393D10" w14:textId="77777777" w:rsidR="000C1A4B" w:rsidRPr="007621D4" w:rsidRDefault="000C1A4B" w:rsidP="000C1A4B">
            <w:pPr>
              <w:pStyle w:val="BodyText"/>
              <w:spacing w:line="360" w:lineRule="auto"/>
              <w:ind w:right="95"/>
              <w:jc w:val="center"/>
              <w:rPr>
                <w:color w:val="000000" w:themeColor="text1"/>
                <w:kern w:val="24"/>
                <w:lang w:val="en-IN"/>
              </w:rPr>
            </w:pPr>
            <w:r w:rsidRPr="007621D4">
              <w:rPr>
                <w:color w:val="000000" w:themeColor="text1"/>
                <w:kern w:val="2"/>
              </w:rPr>
              <w:t>-9.86</w:t>
            </w:r>
          </w:p>
        </w:tc>
        <w:tc>
          <w:tcPr>
            <w:tcW w:w="2127" w:type="dxa"/>
          </w:tcPr>
          <w:p w14:paraId="27E8777D" w14:textId="77777777" w:rsidR="000C1A4B" w:rsidRPr="007621D4" w:rsidRDefault="000C1A4B" w:rsidP="000C1A4B">
            <w:pPr>
              <w:pStyle w:val="BodyText"/>
              <w:spacing w:line="360" w:lineRule="auto"/>
              <w:ind w:right="95"/>
              <w:jc w:val="center"/>
              <w:rPr>
                <w:color w:val="000000" w:themeColor="text1"/>
                <w:kern w:val="24"/>
                <w:lang w:val="en-IN"/>
              </w:rPr>
            </w:pPr>
            <w:r w:rsidRPr="007621D4">
              <w:rPr>
                <w:rFonts w:eastAsiaTheme="minorEastAsia"/>
                <w:color w:val="000000" w:themeColor="text1"/>
                <w:kern w:val="24"/>
              </w:rPr>
              <w:t>4.76 ± 0.37</w:t>
            </w:r>
            <w:r w:rsidRPr="007621D4">
              <w:rPr>
                <w:rFonts w:eastAsiaTheme="minorEastAsia"/>
                <w:color w:val="000000" w:themeColor="text1"/>
                <w:kern w:val="24"/>
                <w:position w:val="11"/>
                <w:vertAlign w:val="superscript"/>
              </w:rPr>
              <w:t>c</w:t>
            </w:r>
          </w:p>
        </w:tc>
      </w:tr>
      <w:tr w:rsidR="000C1A4B" w:rsidRPr="002A3BC7" w14:paraId="2C2E736C" w14:textId="77777777" w:rsidTr="000C1A4B">
        <w:tc>
          <w:tcPr>
            <w:tcW w:w="3406" w:type="dxa"/>
          </w:tcPr>
          <w:p w14:paraId="62A0E958" w14:textId="77777777" w:rsidR="000C1A4B" w:rsidRPr="007621D4" w:rsidRDefault="000C1A4B" w:rsidP="000C1A4B">
            <w:pPr>
              <w:pStyle w:val="BodyText"/>
              <w:spacing w:line="360" w:lineRule="auto"/>
              <w:ind w:right="95"/>
              <w:jc w:val="center"/>
              <w:rPr>
                <w:lang w:val="en-IN"/>
              </w:rPr>
            </w:pPr>
            <w:r w:rsidRPr="007621D4">
              <w:rPr>
                <w:color w:val="000000" w:themeColor="dark1"/>
                <w:kern w:val="24"/>
              </w:rPr>
              <w:t>T2 (1000ppm)</w:t>
            </w:r>
          </w:p>
        </w:tc>
        <w:tc>
          <w:tcPr>
            <w:tcW w:w="1843" w:type="dxa"/>
          </w:tcPr>
          <w:p w14:paraId="5224C702"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5.58 ± 0.31</w:t>
            </w:r>
            <w:proofErr w:type="spellStart"/>
            <w:r w:rsidRPr="007621D4">
              <w:rPr>
                <w:rFonts w:eastAsiaTheme="minorEastAsia"/>
                <w:color w:val="000000" w:themeColor="text1"/>
                <w:kern w:val="24"/>
                <w:position w:val="11"/>
                <w:vertAlign w:val="superscript"/>
              </w:rPr>
              <w:t>bc</w:t>
            </w:r>
            <w:proofErr w:type="spellEnd"/>
          </w:p>
        </w:tc>
        <w:tc>
          <w:tcPr>
            <w:tcW w:w="1271" w:type="dxa"/>
          </w:tcPr>
          <w:p w14:paraId="67F38319"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-8.98</w:t>
            </w:r>
          </w:p>
        </w:tc>
        <w:tc>
          <w:tcPr>
            <w:tcW w:w="1701" w:type="dxa"/>
          </w:tcPr>
          <w:p w14:paraId="03F93B17"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5.46 ± 0.10</w:t>
            </w:r>
            <w:proofErr w:type="spellStart"/>
            <w:r w:rsidRPr="007621D4">
              <w:rPr>
                <w:rFonts w:eastAsiaTheme="minorEastAsia"/>
                <w:color w:val="000000" w:themeColor="text1"/>
                <w:kern w:val="24"/>
                <w:position w:val="11"/>
                <w:vertAlign w:val="superscript"/>
              </w:rPr>
              <w:t>bc</w:t>
            </w:r>
            <w:proofErr w:type="spellEnd"/>
          </w:p>
        </w:tc>
        <w:tc>
          <w:tcPr>
            <w:tcW w:w="1418" w:type="dxa"/>
          </w:tcPr>
          <w:p w14:paraId="0B5C8F24"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-5</w:t>
            </w:r>
          </w:p>
        </w:tc>
        <w:tc>
          <w:tcPr>
            <w:tcW w:w="1701" w:type="dxa"/>
          </w:tcPr>
          <w:p w14:paraId="78EC0AE0"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5.38 ± 0.46</w:t>
            </w:r>
            <w:proofErr w:type="spellStart"/>
            <w:r w:rsidRPr="007621D4">
              <w:rPr>
                <w:rFonts w:eastAsiaTheme="minorEastAsia"/>
                <w:color w:val="000000" w:themeColor="text1"/>
                <w:kern w:val="24"/>
                <w:position w:val="11"/>
                <w:vertAlign w:val="superscript"/>
              </w:rPr>
              <w:t>bcd</w:t>
            </w:r>
            <w:proofErr w:type="spellEnd"/>
          </w:p>
        </w:tc>
        <w:tc>
          <w:tcPr>
            <w:tcW w:w="1275" w:type="dxa"/>
          </w:tcPr>
          <w:p w14:paraId="126A396D"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-23.39</w:t>
            </w:r>
          </w:p>
        </w:tc>
        <w:tc>
          <w:tcPr>
            <w:tcW w:w="2127" w:type="dxa"/>
          </w:tcPr>
          <w:p w14:paraId="1029BC6E"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5.47 ± 0.31</w:t>
            </w:r>
            <w:r w:rsidRPr="007621D4">
              <w:rPr>
                <w:rFonts w:eastAsiaTheme="minorEastAsia"/>
                <w:color w:val="000000" w:themeColor="text1"/>
                <w:kern w:val="24"/>
                <w:position w:val="11"/>
                <w:vertAlign w:val="superscript"/>
              </w:rPr>
              <w:t>b</w:t>
            </w:r>
          </w:p>
        </w:tc>
      </w:tr>
      <w:tr w:rsidR="000C1A4B" w:rsidRPr="002A3BC7" w14:paraId="0B997747" w14:textId="77777777" w:rsidTr="000C1A4B">
        <w:tc>
          <w:tcPr>
            <w:tcW w:w="3406" w:type="dxa"/>
          </w:tcPr>
          <w:p w14:paraId="0D0EB733" w14:textId="77777777" w:rsidR="000C1A4B" w:rsidRPr="007621D4" w:rsidRDefault="000C1A4B" w:rsidP="000C1A4B">
            <w:pPr>
              <w:pStyle w:val="BodyText"/>
              <w:spacing w:line="360" w:lineRule="auto"/>
              <w:ind w:right="95"/>
              <w:jc w:val="center"/>
              <w:rPr>
                <w:lang w:val="en-IN"/>
              </w:rPr>
            </w:pPr>
            <w:r w:rsidRPr="007621D4">
              <w:rPr>
                <w:color w:val="000000" w:themeColor="dark1"/>
                <w:kern w:val="24"/>
              </w:rPr>
              <w:t>T3 (1500ppm)</w:t>
            </w:r>
          </w:p>
        </w:tc>
        <w:tc>
          <w:tcPr>
            <w:tcW w:w="1843" w:type="dxa"/>
          </w:tcPr>
          <w:p w14:paraId="0896E584"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6.25 ± 0.56</w:t>
            </w:r>
            <w:r w:rsidRPr="007621D4">
              <w:rPr>
                <w:rFonts w:eastAsiaTheme="minorEastAsia"/>
                <w:color w:val="000000" w:themeColor="text1"/>
                <w:kern w:val="24"/>
                <w:position w:val="11"/>
                <w:vertAlign w:val="superscript"/>
              </w:rPr>
              <w:t>a</w:t>
            </w:r>
          </w:p>
        </w:tc>
        <w:tc>
          <w:tcPr>
            <w:tcW w:w="1271" w:type="dxa"/>
          </w:tcPr>
          <w:p w14:paraId="1FEF9F18"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-22.07</w:t>
            </w:r>
          </w:p>
        </w:tc>
        <w:tc>
          <w:tcPr>
            <w:tcW w:w="1701" w:type="dxa"/>
          </w:tcPr>
          <w:p w14:paraId="46B720A7"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6.11 ± 0.04</w:t>
            </w:r>
            <w:r w:rsidRPr="007621D4">
              <w:rPr>
                <w:rFonts w:eastAsiaTheme="minorEastAsia"/>
                <w:color w:val="000000" w:themeColor="text1"/>
                <w:kern w:val="24"/>
                <w:position w:val="11"/>
                <w:vertAlign w:val="superscript"/>
              </w:rPr>
              <w:t>a</w:t>
            </w:r>
          </w:p>
        </w:tc>
        <w:tc>
          <w:tcPr>
            <w:tcW w:w="1418" w:type="dxa"/>
          </w:tcPr>
          <w:p w14:paraId="7A6C84B3"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-17.5</w:t>
            </w:r>
          </w:p>
        </w:tc>
        <w:tc>
          <w:tcPr>
            <w:tcW w:w="1701" w:type="dxa"/>
          </w:tcPr>
          <w:p w14:paraId="302BC5A8"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5.82 ± 0.20</w:t>
            </w:r>
            <w:r w:rsidRPr="007621D4">
              <w:rPr>
                <w:rFonts w:eastAsiaTheme="minorEastAsia"/>
                <w:color w:val="000000" w:themeColor="text1"/>
                <w:kern w:val="24"/>
                <w:position w:val="11"/>
                <w:vertAlign w:val="superscript"/>
              </w:rPr>
              <w:t>ab</w:t>
            </w:r>
          </w:p>
        </w:tc>
        <w:tc>
          <w:tcPr>
            <w:tcW w:w="1275" w:type="dxa"/>
          </w:tcPr>
          <w:p w14:paraId="1A4A96F9"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-33.48</w:t>
            </w:r>
          </w:p>
        </w:tc>
        <w:tc>
          <w:tcPr>
            <w:tcW w:w="2127" w:type="dxa"/>
          </w:tcPr>
          <w:p w14:paraId="3A8E993C"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6.06 ± 0.36</w:t>
            </w:r>
            <w:r w:rsidRPr="007621D4">
              <w:rPr>
                <w:rFonts w:eastAsiaTheme="minorEastAsia"/>
                <w:color w:val="000000" w:themeColor="text1"/>
                <w:kern w:val="24"/>
                <w:position w:val="11"/>
                <w:vertAlign w:val="superscript"/>
              </w:rPr>
              <w:t>a</w:t>
            </w:r>
          </w:p>
        </w:tc>
      </w:tr>
      <w:tr w:rsidR="000C1A4B" w:rsidRPr="002A3BC7" w14:paraId="4B566B24" w14:textId="77777777" w:rsidTr="000C1A4B">
        <w:tc>
          <w:tcPr>
            <w:tcW w:w="3406" w:type="dxa"/>
          </w:tcPr>
          <w:p w14:paraId="1981A886" w14:textId="77777777" w:rsidR="000C1A4B" w:rsidRPr="007621D4" w:rsidRDefault="000C1A4B" w:rsidP="000C1A4B">
            <w:pPr>
              <w:pStyle w:val="BodyText"/>
              <w:ind w:right="95"/>
              <w:jc w:val="center"/>
              <w:rPr>
                <w:lang w:val="en-IN"/>
              </w:rPr>
            </w:pPr>
            <w:r w:rsidRPr="007621D4">
              <w:rPr>
                <w:color w:val="000000" w:themeColor="dark1"/>
                <w:kern w:val="24"/>
              </w:rPr>
              <w:t>T4 (1000 ppm SA)+copper hydroxide)</w:t>
            </w:r>
          </w:p>
        </w:tc>
        <w:tc>
          <w:tcPr>
            <w:tcW w:w="1843" w:type="dxa"/>
          </w:tcPr>
          <w:p w14:paraId="1E2AEC55"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5.56 ± 0.36</w:t>
            </w:r>
            <w:proofErr w:type="spellStart"/>
            <w:r w:rsidRPr="007621D4">
              <w:rPr>
                <w:rFonts w:eastAsiaTheme="minorEastAsia"/>
                <w:color w:val="000000" w:themeColor="text1"/>
                <w:kern w:val="24"/>
                <w:position w:val="11"/>
                <w:vertAlign w:val="superscript"/>
              </w:rPr>
              <w:t>bc</w:t>
            </w:r>
            <w:proofErr w:type="spellEnd"/>
          </w:p>
        </w:tc>
        <w:tc>
          <w:tcPr>
            <w:tcW w:w="1271" w:type="dxa"/>
          </w:tcPr>
          <w:p w14:paraId="6FB92F93"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-8.59</w:t>
            </w:r>
          </w:p>
        </w:tc>
        <w:tc>
          <w:tcPr>
            <w:tcW w:w="1701" w:type="dxa"/>
          </w:tcPr>
          <w:p w14:paraId="2E630B2C"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5.35 ± 0.08</w:t>
            </w:r>
            <w:proofErr w:type="spellStart"/>
            <w:r w:rsidRPr="007621D4">
              <w:rPr>
                <w:rFonts w:eastAsiaTheme="minorEastAsia"/>
                <w:color w:val="000000" w:themeColor="text1"/>
                <w:kern w:val="24"/>
                <w:position w:val="11"/>
                <w:vertAlign w:val="superscript"/>
              </w:rPr>
              <w:t>bcd</w:t>
            </w:r>
            <w:proofErr w:type="spellEnd"/>
          </w:p>
        </w:tc>
        <w:tc>
          <w:tcPr>
            <w:tcW w:w="1418" w:type="dxa"/>
          </w:tcPr>
          <w:p w14:paraId="28B058B3"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-2.88</w:t>
            </w:r>
          </w:p>
        </w:tc>
        <w:tc>
          <w:tcPr>
            <w:tcW w:w="1701" w:type="dxa"/>
          </w:tcPr>
          <w:p w14:paraId="104789F8"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5.54 ± 0.42</w:t>
            </w:r>
            <w:proofErr w:type="spellStart"/>
            <w:r w:rsidRPr="007621D4">
              <w:rPr>
                <w:rFonts w:eastAsiaTheme="minorEastAsia"/>
                <w:color w:val="000000" w:themeColor="text1"/>
                <w:kern w:val="24"/>
                <w:position w:val="11"/>
                <w:vertAlign w:val="superscript"/>
              </w:rPr>
              <w:t>bc</w:t>
            </w:r>
            <w:proofErr w:type="spellEnd"/>
          </w:p>
        </w:tc>
        <w:tc>
          <w:tcPr>
            <w:tcW w:w="1275" w:type="dxa"/>
          </w:tcPr>
          <w:p w14:paraId="2384B8C0"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-27.06</w:t>
            </w:r>
          </w:p>
        </w:tc>
        <w:tc>
          <w:tcPr>
            <w:tcW w:w="2127" w:type="dxa"/>
          </w:tcPr>
          <w:p w14:paraId="35B0666E"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5.48 ± 0.31</w:t>
            </w:r>
            <w:r w:rsidRPr="007621D4">
              <w:rPr>
                <w:rFonts w:eastAsiaTheme="minorEastAsia"/>
                <w:color w:val="000000" w:themeColor="text1"/>
                <w:kern w:val="24"/>
                <w:position w:val="11"/>
                <w:vertAlign w:val="superscript"/>
              </w:rPr>
              <w:t>b</w:t>
            </w:r>
          </w:p>
        </w:tc>
      </w:tr>
      <w:tr w:rsidR="000C1A4B" w:rsidRPr="002A3BC7" w14:paraId="5CAF6B8B" w14:textId="77777777" w:rsidTr="000C1A4B">
        <w:tc>
          <w:tcPr>
            <w:tcW w:w="3406" w:type="dxa"/>
          </w:tcPr>
          <w:p w14:paraId="4D593478" w14:textId="77777777" w:rsidR="000C1A4B" w:rsidRPr="007621D4" w:rsidRDefault="000C1A4B" w:rsidP="000C1A4B">
            <w:pPr>
              <w:pStyle w:val="BodyText"/>
              <w:spacing w:line="360" w:lineRule="auto"/>
              <w:ind w:right="95"/>
              <w:jc w:val="center"/>
              <w:rPr>
                <w:lang w:val="en-IN"/>
              </w:rPr>
            </w:pPr>
            <w:r w:rsidRPr="007621D4">
              <w:rPr>
                <w:color w:val="000000" w:themeColor="dark1"/>
                <w:kern w:val="24"/>
              </w:rPr>
              <w:t>T5 (Copper hydroxide)</w:t>
            </w:r>
          </w:p>
        </w:tc>
        <w:tc>
          <w:tcPr>
            <w:tcW w:w="1843" w:type="dxa"/>
          </w:tcPr>
          <w:p w14:paraId="723ECB1D"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5.54 ± 0.14</w:t>
            </w:r>
            <w:proofErr w:type="spellStart"/>
            <w:r w:rsidRPr="007621D4">
              <w:rPr>
                <w:rFonts w:eastAsiaTheme="minorEastAsia"/>
                <w:color w:val="000000" w:themeColor="text1"/>
                <w:kern w:val="24"/>
                <w:position w:val="11"/>
                <w:vertAlign w:val="superscript"/>
              </w:rPr>
              <w:t>bc</w:t>
            </w:r>
            <w:proofErr w:type="spellEnd"/>
          </w:p>
        </w:tc>
        <w:tc>
          <w:tcPr>
            <w:tcW w:w="1271" w:type="dxa"/>
          </w:tcPr>
          <w:p w14:paraId="6E030A79"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-8.20</w:t>
            </w:r>
          </w:p>
        </w:tc>
        <w:tc>
          <w:tcPr>
            <w:tcW w:w="1701" w:type="dxa"/>
          </w:tcPr>
          <w:p w14:paraId="05B5B660"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4.88 ± 0.28</w:t>
            </w:r>
            <w:r w:rsidRPr="007621D4">
              <w:rPr>
                <w:rFonts w:eastAsiaTheme="minorEastAsia"/>
                <w:color w:val="000000" w:themeColor="text1"/>
                <w:kern w:val="24"/>
                <w:position w:val="11"/>
                <w:vertAlign w:val="superscript"/>
              </w:rPr>
              <w:t>def</w:t>
            </w:r>
          </w:p>
        </w:tc>
        <w:tc>
          <w:tcPr>
            <w:tcW w:w="1418" w:type="dxa"/>
          </w:tcPr>
          <w:p w14:paraId="27224270"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6.15</w:t>
            </w:r>
          </w:p>
        </w:tc>
        <w:tc>
          <w:tcPr>
            <w:tcW w:w="1701" w:type="dxa"/>
          </w:tcPr>
          <w:p w14:paraId="685B9A0D"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5.56 ± 0.06</w:t>
            </w:r>
            <w:proofErr w:type="spellStart"/>
            <w:r w:rsidRPr="007621D4">
              <w:rPr>
                <w:rFonts w:eastAsiaTheme="minorEastAsia"/>
                <w:color w:val="000000" w:themeColor="text1"/>
                <w:kern w:val="24"/>
                <w:position w:val="11"/>
                <w:vertAlign w:val="superscript"/>
              </w:rPr>
              <w:t>bc</w:t>
            </w:r>
            <w:proofErr w:type="spellEnd"/>
          </w:p>
        </w:tc>
        <w:tc>
          <w:tcPr>
            <w:tcW w:w="1275" w:type="dxa"/>
          </w:tcPr>
          <w:p w14:paraId="1D31DCFC"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-27.52</w:t>
            </w:r>
          </w:p>
        </w:tc>
        <w:tc>
          <w:tcPr>
            <w:tcW w:w="2127" w:type="dxa"/>
          </w:tcPr>
          <w:p w14:paraId="1CF7777B"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5.32 ± 0.37</w:t>
            </w:r>
            <w:r w:rsidRPr="007621D4">
              <w:rPr>
                <w:rFonts w:eastAsiaTheme="minorEastAsia"/>
                <w:color w:val="000000" w:themeColor="text1"/>
                <w:kern w:val="24"/>
                <w:position w:val="11"/>
                <w:vertAlign w:val="superscript"/>
              </w:rPr>
              <w:t>b</w:t>
            </w:r>
          </w:p>
        </w:tc>
      </w:tr>
      <w:tr w:rsidR="000C1A4B" w:rsidRPr="002A3BC7" w14:paraId="62B1EEDE" w14:textId="77777777" w:rsidTr="000C1A4B">
        <w:tc>
          <w:tcPr>
            <w:tcW w:w="3406" w:type="dxa"/>
          </w:tcPr>
          <w:p w14:paraId="50BDA6BC" w14:textId="77777777" w:rsidR="000C1A4B" w:rsidRPr="007621D4" w:rsidRDefault="000C1A4B" w:rsidP="000C1A4B">
            <w:pPr>
              <w:pStyle w:val="BodyText"/>
              <w:spacing w:line="360" w:lineRule="auto"/>
              <w:ind w:right="95"/>
              <w:jc w:val="center"/>
              <w:rPr>
                <w:lang w:val="en-IN"/>
              </w:rPr>
            </w:pPr>
            <w:r w:rsidRPr="007621D4">
              <w:rPr>
                <w:color w:val="000000" w:themeColor="dark1"/>
                <w:kern w:val="24"/>
              </w:rPr>
              <w:t>T6 (Control)</w:t>
            </w:r>
          </w:p>
        </w:tc>
        <w:tc>
          <w:tcPr>
            <w:tcW w:w="1843" w:type="dxa"/>
          </w:tcPr>
          <w:p w14:paraId="16B26213"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5.12 ± 0.15</w:t>
            </w:r>
            <w:proofErr w:type="spellStart"/>
            <w:r w:rsidRPr="007621D4">
              <w:rPr>
                <w:rFonts w:eastAsiaTheme="minorEastAsia"/>
                <w:color w:val="000000" w:themeColor="text1"/>
                <w:kern w:val="24"/>
                <w:position w:val="11"/>
                <w:vertAlign w:val="superscript"/>
              </w:rPr>
              <w:t>cde</w:t>
            </w:r>
            <w:proofErr w:type="spellEnd"/>
          </w:p>
        </w:tc>
        <w:tc>
          <w:tcPr>
            <w:tcW w:w="1271" w:type="dxa"/>
          </w:tcPr>
          <w:p w14:paraId="54693C55" w14:textId="77777777" w:rsidR="000C1A4B" w:rsidRPr="007621D4" w:rsidRDefault="000C1A4B" w:rsidP="000C1A4B">
            <w:pPr>
              <w:pStyle w:val="BodyText"/>
              <w:spacing w:line="360" w:lineRule="auto"/>
              <w:ind w:right="95"/>
              <w:jc w:val="center"/>
              <w:rPr>
                <w:color w:val="000000" w:themeColor="text1"/>
                <w:kern w:val="24"/>
              </w:rPr>
            </w:pPr>
          </w:p>
        </w:tc>
        <w:tc>
          <w:tcPr>
            <w:tcW w:w="1701" w:type="dxa"/>
          </w:tcPr>
          <w:p w14:paraId="643C6304"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5.20 ± 0.15</w:t>
            </w:r>
            <w:proofErr w:type="spellStart"/>
            <w:r w:rsidRPr="007621D4">
              <w:rPr>
                <w:rFonts w:eastAsiaTheme="minorEastAsia"/>
                <w:color w:val="000000" w:themeColor="text1"/>
                <w:kern w:val="24"/>
                <w:position w:val="11"/>
                <w:vertAlign w:val="superscript"/>
              </w:rPr>
              <w:t>cde</w:t>
            </w:r>
            <w:proofErr w:type="spellEnd"/>
          </w:p>
        </w:tc>
        <w:tc>
          <w:tcPr>
            <w:tcW w:w="1418" w:type="dxa"/>
          </w:tcPr>
          <w:p w14:paraId="7BAF7DFF" w14:textId="77777777" w:rsidR="000C1A4B" w:rsidRPr="007621D4" w:rsidRDefault="000C1A4B" w:rsidP="000C1A4B">
            <w:pPr>
              <w:pStyle w:val="BodyText"/>
              <w:spacing w:line="360" w:lineRule="auto"/>
              <w:ind w:right="95"/>
              <w:jc w:val="center"/>
              <w:rPr>
                <w:color w:val="000000" w:themeColor="text1"/>
                <w:kern w:val="24"/>
              </w:rPr>
            </w:pPr>
          </w:p>
        </w:tc>
        <w:tc>
          <w:tcPr>
            <w:tcW w:w="1701" w:type="dxa"/>
          </w:tcPr>
          <w:p w14:paraId="16818EE8"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4.36 ± 0.29</w:t>
            </w:r>
            <w:proofErr w:type="spellStart"/>
            <w:r w:rsidRPr="007621D4">
              <w:rPr>
                <w:rFonts w:eastAsiaTheme="minorEastAsia"/>
                <w:color w:val="000000" w:themeColor="text1"/>
                <w:kern w:val="24"/>
                <w:position w:val="11"/>
                <w:vertAlign w:val="superscript"/>
              </w:rPr>
              <w:t>fg</w:t>
            </w:r>
            <w:proofErr w:type="spellEnd"/>
          </w:p>
        </w:tc>
        <w:tc>
          <w:tcPr>
            <w:tcW w:w="1275" w:type="dxa"/>
          </w:tcPr>
          <w:p w14:paraId="03542A15" w14:textId="77777777" w:rsidR="000C1A4B" w:rsidRPr="007621D4" w:rsidRDefault="000C1A4B" w:rsidP="000C1A4B">
            <w:pPr>
              <w:pStyle w:val="BodyText"/>
              <w:spacing w:line="360" w:lineRule="auto"/>
              <w:ind w:right="95"/>
              <w:jc w:val="center"/>
              <w:rPr>
                <w:color w:val="000000" w:themeColor="text1"/>
                <w:kern w:val="24"/>
              </w:rPr>
            </w:pPr>
          </w:p>
        </w:tc>
        <w:tc>
          <w:tcPr>
            <w:tcW w:w="2127" w:type="dxa"/>
          </w:tcPr>
          <w:p w14:paraId="4EDF2C43"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4.89 ± 0.44</w:t>
            </w:r>
            <w:r w:rsidRPr="007621D4">
              <w:rPr>
                <w:rFonts w:eastAsiaTheme="minorEastAsia"/>
                <w:color w:val="000000" w:themeColor="text1"/>
                <w:kern w:val="24"/>
                <w:position w:val="11"/>
                <w:vertAlign w:val="superscript"/>
              </w:rPr>
              <w:t>c</w:t>
            </w:r>
          </w:p>
        </w:tc>
      </w:tr>
      <w:tr w:rsidR="000C1A4B" w:rsidRPr="002A3BC7" w14:paraId="377FEAFD" w14:textId="77777777" w:rsidTr="000C1A4B">
        <w:tc>
          <w:tcPr>
            <w:tcW w:w="3406" w:type="dxa"/>
          </w:tcPr>
          <w:p w14:paraId="5F259409" w14:textId="77777777" w:rsidR="000C1A4B" w:rsidRPr="007621D4" w:rsidRDefault="000C1A4B" w:rsidP="000C1A4B">
            <w:pPr>
              <w:pStyle w:val="BodyText"/>
              <w:spacing w:line="360" w:lineRule="auto"/>
              <w:ind w:right="95"/>
              <w:jc w:val="center"/>
              <w:rPr>
                <w:lang w:val="en-IN"/>
              </w:rPr>
            </w:pPr>
            <w:r w:rsidRPr="007621D4">
              <w:rPr>
                <w:color w:val="000000" w:themeColor="dark1"/>
                <w:kern w:val="24"/>
              </w:rPr>
              <w:t>T7 (Absolute control)</w:t>
            </w:r>
          </w:p>
        </w:tc>
        <w:tc>
          <w:tcPr>
            <w:tcW w:w="1843" w:type="dxa"/>
          </w:tcPr>
          <w:p w14:paraId="3FAD11DC"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4.34 ± 0.61</w:t>
            </w:r>
            <w:proofErr w:type="spellStart"/>
            <w:r w:rsidRPr="007621D4">
              <w:rPr>
                <w:rFonts w:eastAsiaTheme="minorEastAsia"/>
                <w:color w:val="000000" w:themeColor="text1"/>
                <w:kern w:val="24"/>
                <w:position w:val="11"/>
                <w:vertAlign w:val="superscript"/>
              </w:rPr>
              <w:t>fg</w:t>
            </w:r>
            <w:proofErr w:type="spellEnd"/>
          </w:p>
        </w:tc>
        <w:tc>
          <w:tcPr>
            <w:tcW w:w="1271" w:type="dxa"/>
          </w:tcPr>
          <w:p w14:paraId="6D92F0AC"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15.23</w:t>
            </w:r>
          </w:p>
        </w:tc>
        <w:tc>
          <w:tcPr>
            <w:tcW w:w="1701" w:type="dxa"/>
          </w:tcPr>
          <w:p w14:paraId="3927E8D3"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4.14 ± 0.56</w:t>
            </w:r>
            <w:r w:rsidRPr="007621D4">
              <w:rPr>
                <w:rFonts w:eastAsiaTheme="minorEastAsia"/>
                <w:color w:val="000000" w:themeColor="text1"/>
                <w:kern w:val="24"/>
                <w:position w:val="11"/>
                <w:vertAlign w:val="superscript"/>
              </w:rPr>
              <w:t>g</w:t>
            </w:r>
          </w:p>
        </w:tc>
        <w:tc>
          <w:tcPr>
            <w:tcW w:w="1418" w:type="dxa"/>
          </w:tcPr>
          <w:p w14:paraId="4B1BC7AF"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20.38</w:t>
            </w:r>
          </w:p>
        </w:tc>
        <w:tc>
          <w:tcPr>
            <w:tcW w:w="1701" w:type="dxa"/>
          </w:tcPr>
          <w:p w14:paraId="03C86709"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4.16 ± 0.32</w:t>
            </w:r>
            <w:r w:rsidRPr="007621D4">
              <w:rPr>
                <w:rFonts w:eastAsiaTheme="minorEastAsia"/>
                <w:color w:val="000000" w:themeColor="text1"/>
                <w:kern w:val="24"/>
                <w:position w:val="11"/>
                <w:vertAlign w:val="superscript"/>
              </w:rPr>
              <w:t>g</w:t>
            </w:r>
          </w:p>
        </w:tc>
        <w:tc>
          <w:tcPr>
            <w:tcW w:w="1275" w:type="dxa"/>
          </w:tcPr>
          <w:p w14:paraId="3A256B4F" w14:textId="77777777" w:rsidR="000C1A4B" w:rsidRPr="007621D4" w:rsidRDefault="000C1A4B" w:rsidP="000C1A4B">
            <w:pPr>
              <w:pStyle w:val="BodyText"/>
              <w:spacing w:line="360" w:lineRule="auto"/>
              <w:ind w:right="95"/>
              <w:jc w:val="center"/>
              <w:rPr>
                <w:color w:val="000000" w:themeColor="text1"/>
                <w:kern w:val="24"/>
              </w:rPr>
            </w:pPr>
            <w:r w:rsidRPr="007621D4">
              <w:rPr>
                <w:color w:val="000000" w:themeColor="text1"/>
                <w:kern w:val="2"/>
              </w:rPr>
              <w:t>4.58</w:t>
            </w:r>
          </w:p>
        </w:tc>
        <w:tc>
          <w:tcPr>
            <w:tcW w:w="2127" w:type="dxa"/>
          </w:tcPr>
          <w:p w14:paraId="48928187"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4.22 ± 0.47</w:t>
            </w:r>
            <w:r w:rsidRPr="007621D4">
              <w:rPr>
                <w:rFonts w:eastAsiaTheme="minorEastAsia"/>
                <w:color w:val="000000" w:themeColor="text1"/>
                <w:kern w:val="24"/>
                <w:position w:val="11"/>
                <w:vertAlign w:val="superscript"/>
              </w:rPr>
              <w:t>d</w:t>
            </w:r>
          </w:p>
        </w:tc>
      </w:tr>
      <w:tr w:rsidR="000C1A4B" w:rsidRPr="002A3BC7" w14:paraId="6AB48E2E" w14:textId="77777777" w:rsidTr="000C1A4B">
        <w:tc>
          <w:tcPr>
            <w:tcW w:w="3406" w:type="dxa"/>
          </w:tcPr>
          <w:p w14:paraId="4166C8AC" w14:textId="77777777" w:rsidR="000C1A4B" w:rsidRPr="007621D4" w:rsidRDefault="000C1A4B" w:rsidP="000C1A4B">
            <w:pPr>
              <w:pStyle w:val="BodyText"/>
              <w:ind w:right="95"/>
              <w:jc w:val="center"/>
              <w:rPr>
                <w:lang w:val="en-IN"/>
              </w:rPr>
            </w:pPr>
            <w:r w:rsidRPr="007621D4">
              <w:rPr>
                <w:color w:val="000000" w:themeColor="dark1"/>
                <w:kern w:val="24"/>
              </w:rPr>
              <w:t>Treatment mean at different intervals</w:t>
            </w:r>
          </w:p>
        </w:tc>
        <w:tc>
          <w:tcPr>
            <w:tcW w:w="1843" w:type="dxa"/>
          </w:tcPr>
          <w:p w14:paraId="1F2D4361"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5.31 ± 0.69</w:t>
            </w:r>
            <w:r w:rsidRPr="007621D4">
              <w:rPr>
                <w:rFonts w:eastAsiaTheme="minorEastAsia"/>
                <w:color w:val="000000" w:themeColor="text1"/>
                <w:kern w:val="24"/>
                <w:position w:val="11"/>
                <w:vertAlign w:val="superscript"/>
              </w:rPr>
              <w:t>a</w:t>
            </w:r>
          </w:p>
        </w:tc>
        <w:tc>
          <w:tcPr>
            <w:tcW w:w="1271" w:type="dxa"/>
          </w:tcPr>
          <w:p w14:paraId="267EB25D" w14:textId="77777777" w:rsidR="000C1A4B" w:rsidRPr="007621D4" w:rsidRDefault="000C1A4B" w:rsidP="000C1A4B">
            <w:pPr>
              <w:pStyle w:val="BodyText"/>
              <w:spacing w:line="360" w:lineRule="auto"/>
              <w:ind w:right="95"/>
              <w:jc w:val="center"/>
              <w:rPr>
                <w:rFonts w:eastAsia="Calibri"/>
                <w:color w:val="000000" w:themeColor="text1"/>
                <w:kern w:val="2"/>
              </w:rPr>
            </w:pPr>
          </w:p>
        </w:tc>
        <w:tc>
          <w:tcPr>
            <w:tcW w:w="1701" w:type="dxa"/>
          </w:tcPr>
          <w:p w14:paraId="658D5042"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5.12 ± 0.64</w:t>
            </w:r>
            <w:r w:rsidRPr="007621D4">
              <w:rPr>
                <w:rFonts w:eastAsiaTheme="minorEastAsia"/>
                <w:color w:val="000000" w:themeColor="text1"/>
                <w:kern w:val="24"/>
                <w:position w:val="11"/>
                <w:vertAlign w:val="superscript"/>
              </w:rPr>
              <w:t>b</w:t>
            </w:r>
          </w:p>
        </w:tc>
        <w:tc>
          <w:tcPr>
            <w:tcW w:w="1418" w:type="dxa"/>
          </w:tcPr>
          <w:p w14:paraId="794CCFD6" w14:textId="77777777" w:rsidR="000C1A4B" w:rsidRPr="007621D4" w:rsidRDefault="000C1A4B" w:rsidP="000C1A4B">
            <w:pPr>
              <w:pStyle w:val="BodyText"/>
              <w:spacing w:line="360" w:lineRule="auto"/>
              <w:ind w:right="95"/>
              <w:jc w:val="center"/>
              <w:rPr>
                <w:color w:val="000000" w:themeColor="text1"/>
                <w:kern w:val="24"/>
              </w:rPr>
            </w:pPr>
          </w:p>
        </w:tc>
        <w:tc>
          <w:tcPr>
            <w:tcW w:w="1701" w:type="dxa"/>
          </w:tcPr>
          <w:p w14:paraId="12CE391C" w14:textId="77777777" w:rsidR="000C1A4B" w:rsidRPr="007621D4" w:rsidRDefault="000C1A4B" w:rsidP="000C1A4B">
            <w:pPr>
              <w:pStyle w:val="BodyText"/>
              <w:spacing w:line="360" w:lineRule="auto"/>
              <w:ind w:right="95"/>
              <w:jc w:val="center"/>
              <w:rPr>
                <w:color w:val="000000" w:themeColor="text1"/>
                <w:lang w:val="en-IN"/>
              </w:rPr>
            </w:pPr>
            <w:r w:rsidRPr="007621D4">
              <w:rPr>
                <w:rFonts w:eastAsiaTheme="minorEastAsia"/>
                <w:color w:val="000000" w:themeColor="text1"/>
                <w:kern w:val="24"/>
              </w:rPr>
              <w:t>5.09 ± 0.67</w:t>
            </w:r>
            <w:r w:rsidRPr="007621D4">
              <w:rPr>
                <w:rFonts w:eastAsiaTheme="minorEastAsia"/>
                <w:color w:val="000000" w:themeColor="text1"/>
                <w:kern w:val="24"/>
                <w:position w:val="11"/>
                <w:vertAlign w:val="superscript"/>
              </w:rPr>
              <w:t>b</w:t>
            </w:r>
          </w:p>
        </w:tc>
        <w:tc>
          <w:tcPr>
            <w:tcW w:w="1275" w:type="dxa"/>
          </w:tcPr>
          <w:p w14:paraId="0C719E19" w14:textId="77777777" w:rsidR="000C1A4B" w:rsidRPr="007621D4" w:rsidRDefault="000C1A4B" w:rsidP="000C1A4B">
            <w:pPr>
              <w:pStyle w:val="BodyText"/>
              <w:spacing w:line="360" w:lineRule="auto"/>
              <w:ind w:right="95"/>
              <w:jc w:val="center"/>
              <w:rPr>
                <w:color w:val="000000" w:themeColor="text1"/>
                <w:lang w:val="en-IN"/>
              </w:rPr>
            </w:pPr>
          </w:p>
        </w:tc>
        <w:tc>
          <w:tcPr>
            <w:tcW w:w="2127" w:type="dxa"/>
          </w:tcPr>
          <w:p w14:paraId="7DCADE06" w14:textId="77777777" w:rsidR="000C1A4B" w:rsidRPr="007621D4" w:rsidRDefault="000C1A4B" w:rsidP="000C1A4B">
            <w:pPr>
              <w:pStyle w:val="BodyText"/>
              <w:spacing w:line="360" w:lineRule="auto"/>
              <w:ind w:right="95"/>
              <w:jc w:val="center"/>
              <w:rPr>
                <w:color w:val="000000" w:themeColor="text1"/>
                <w:lang w:val="en-IN"/>
              </w:rPr>
            </w:pPr>
          </w:p>
        </w:tc>
      </w:tr>
    </w:tbl>
    <w:bookmarkEnd w:id="7"/>
    <w:p w14:paraId="15E88884" w14:textId="77777777" w:rsidR="00B50DA1" w:rsidRDefault="00B50DA1" w:rsidP="00B50DA1">
      <w:pPr>
        <w:tabs>
          <w:tab w:val="left" w:pos="2575"/>
        </w:tabs>
        <w:rPr>
          <w:rFonts w:ascii="Times New Roman" w:hAnsi="Times New Roman" w:cs="Times New Roman"/>
          <w:sz w:val="24"/>
          <w:szCs w:val="24"/>
        </w:rPr>
      </w:pPr>
      <w:r>
        <w:rPr>
          <w:rFonts w:ascii="Times New Roman" w:hAnsi="Times New Roman" w:cs="Times New Roman"/>
          <w:sz w:val="24"/>
          <w:szCs w:val="24"/>
        </w:rPr>
        <w:t xml:space="preserve">In each column figures followed by same letter </w:t>
      </w:r>
      <w:proofErr w:type="spellStart"/>
      <w:r>
        <w:rPr>
          <w:rFonts w:ascii="Times New Roman" w:hAnsi="Times New Roman" w:cs="Times New Roman"/>
          <w:sz w:val="24"/>
          <w:szCs w:val="24"/>
        </w:rPr>
        <w:t>donot</w:t>
      </w:r>
      <w:proofErr w:type="spellEnd"/>
      <w:r>
        <w:rPr>
          <w:rFonts w:ascii="Times New Roman" w:hAnsi="Times New Roman" w:cs="Times New Roman"/>
          <w:sz w:val="24"/>
          <w:szCs w:val="24"/>
        </w:rPr>
        <w:t xml:space="preserve"> differ significantly according to DMRT</w:t>
      </w:r>
    </w:p>
    <w:p w14:paraId="4A91DEEF" w14:textId="3F0DA0C5" w:rsidR="00B50DA1" w:rsidRPr="003E39AF" w:rsidRDefault="003E39AF" w:rsidP="00B50DA1">
      <w:pPr>
        <w:tabs>
          <w:tab w:val="left" w:pos="2575"/>
        </w:tabs>
        <w:spacing w:line="360" w:lineRule="auto"/>
        <w:rPr>
          <w:rFonts w:ascii="Times New Roman" w:hAnsi="Times New Roman" w:cs="Times New Roman"/>
          <w:color w:val="000000" w:themeColor="text1"/>
          <w:sz w:val="24"/>
          <w:szCs w:val="24"/>
        </w:rPr>
      </w:pPr>
      <w:r w:rsidRPr="003E39AF">
        <w:rPr>
          <w:rFonts w:ascii="Times New Roman" w:hAnsi="Times New Roman" w:cs="Times New Roman"/>
          <w:color w:val="000000" w:themeColor="text1"/>
          <w:sz w:val="24"/>
          <w:szCs w:val="24"/>
        </w:rPr>
        <w:t>+ - Increase, - - Decrease</w:t>
      </w:r>
    </w:p>
    <w:p w14:paraId="23857BB1" w14:textId="03947846" w:rsidR="00B50DA1" w:rsidRDefault="000C1A4B" w:rsidP="000C1A4B">
      <w:pPr>
        <w:tabs>
          <w:tab w:val="left" w:pos="2575"/>
        </w:tabs>
        <w:spacing w:line="360" w:lineRule="auto"/>
        <w:rPr>
          <w:rFonts w:ascii="Times New Roman" w:hAnsi="Times New Roman" w:cs="Times New Roman"/>
          <w:b/>
          <w:bCs/>
          <w:color w:val="000000" w:themeColor="text1"/>
          <w:sz w:val="24"/>
          <w:szCs w:val="24"/>
        </w:rPr>
      </w:pPr>
      <w:r w:rsidRPr="005960BC">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5960BC">
        <w:rPr>
          <w:rFonts w:ascii="Times New Roman" w:hAnsi="Times New Roman" w:cs="Times New Roman"/>
          <w:b/>
          <w:bCs/>
          <w:sz w:val="24"/>
          <w:szCs w:val="24"/>
        </w:rPr>
        <w:t xml:space="preserve"> E</w:t>
      </w:r>
      <w:r>
        <w:rPr>
          <w:rFonts w:ascii="Times New Roman" w:hAnsi="Times New Roman" w:cs="Times New Roman"/>
          <w:b/>
          <w:bCs/>
          <w:sz w:val="24"/>
          <w:szCs w:val="24"/>
        </w:rPr>
        <w:t>ffect</w:t>
      </w:r>
      <w:r w:rsidRPr="005960BC">
        <w:rPr>
          <w:rFonts w:ascii="Times New Roman" w:hAnsi="Times New Roman" w:cs="Times New Roman"/>
          <w:b/>
          <w:bCs/>
          <w:sz w:val="24"/>
          <w:szCs w:val="24"/>
        </w:rPr>
        <w:t xml:space="preserve"> of </w:t>
      </w:r>
      <w:r>
        <w:rPr>
          <w:rFonts w:ascii="Times New Roman" w:hAnsi="Times New Roman" w:cs="Times New Roman"/>
          <w:b/>
          <w:bCs/>
          <w:sz w:val="24"/>
          <w:szCs w:val="24"/>
        </w:rPr>
        <w:t xml:space="preserve">different treatments on </w:t>
      </w:r>
      <w:r w:rsidRPr="005960BC">
        <w:rPr>
          <w:rFonts w:ascii="Times New Roman" w:hAnsi="Times New Roman" w:cs="Times New Roman"/>
          <w:b/>
          <w:bCs/>
          <w:sz w:val="24"/>
          <w:szCs w:val="24"/>
        </w:rPr>
        <w:t>flavon</w:t>
      </w:r>
      <w:r>
        <w:rPr>
          <w:rFonts w:ascii="Times New Roman" w:hAnsi="Times New Roman" w:cs="Times New Roman"/>
          <w:b/>
          <w:bCs/>
          <w:sz w:val="24"/>
          <w:szCs w:val="24"/>
        </w:rPr>
        <w:t>oid content in black pepper</w:t>
      </w:r>
    </w:p>
    <w:p w14:paraId="26130D73" w14:textId="77777777" w:rsidR="003E39AF" w:rsidRDefault="003E39AF" w:rsidP="003E39AF">
      <w:pPr>
        <w:tabs>
          <w:tab w:val="left" w:pos="2575"/>
        </w:tabs>
        <w:spacing w:line="360" w:lineRule="auto"/>
        <w:rPr>
          <w:rFonts w:ascii="Times New Roman" w:hAnsi="Times New Roman" w:cs="Times New Roman"/>
          <w:b/>
          <w:bCs/>
          <w:color w:val="000000" w:themeColor="text1"/>
          <w:sz w:val="24"/>
          <w:szCs w:val="24"/>
        </w:rPr>
      </w:pPr>
    </w:p>
    <w:p w14:paraId="5C568B63" w14:textId="77777777" w:rsidR="00E03BCA" w:rsidRPr="009A60A2" w:rsidRDefault="00E03BCA" w:rsidP="009A60A2">
      <w:pPr>
        <w:spacing w:line="360" w:lineRule="auto"/>
        <w:jc w:val="both"/>
        <w:rPr>
          <w:rFonts w:ascii="Times New Roman" w:hAnsi="Times New Roman" w:cs="Times New Roman"/>
          <w:b/>
          <w:bCs/>
          <w:color w:val="000000" w:themeColor="text1"/>
          <w:sz w:val="24"/>
          <w:szCs w:val="24"/>
        </w:rPr>
        <w:sectPr w:rsidR="00E03BCA" w:rsidRPr="009A60A2" w:rsidSect="00E03BCA">
          <w:pgSz w:w="16838" w:h="11906" w:orient="landscape"/>
          <w:pgMar w:top="1440" w:right="1440" w:bottom="1440" w:left="1440" w:header="709" w:footer="709" w:gutter="0"/>
          <w:cols w:space="708"/>
          <w:docGrid w:linePitch="360"/>
        </w:sectPr>
      </w:pPr>
    </w:p>
    <w:p w14:paraId="3748898D" w14:textId="2FCB2E51" w:rsidR="00E03BCA" w:rsidRPr="009A60A2" w:rsidRDefault="00B906E0" w:rsidP="009A60A2">
      <w:pPr>
        <w:spacing w:line="360" w:lineRule="auto"/>
        <w:jc w:val="both"/>
        <w:rPr>
          <w:rFonts w:ascii="Times New Roman" w:hAnsi="Times New Roman" w:cs="Times New Roman"/>
          <w:b/>
          <w:bCs/>
          <w:color w:val="000000" w:themeColor="text1"/>
          <w:sz w:val="24"/>
          <w:szCs w:val="24"/>
        </w:rPr>
      </w:pPr>
      <w:r w:rsidRPr="009A60A2">
        <w:rPr>
          <w:rFonts w:ascii="Times New Roman" w:hAnsi="Times New Roman" w:cs="Times New Roman"/>
          <w:b/>
          <w:bCs/>
          <w:color w:val="000000" w:themeColor="text1"/>
          <w:sz w:val="24"/>
          <w:szCs w:val="24"/>
        </w:rPr>
        <w:lastRenderedPageBreak/>
        <w:t>Conclusion</w:t>
      </w:r>
    </w:p>
    <w:p w14:paraId="025EA82B" w14:textId="0CAA8455" w:rsidR="006C1312" w:rsidRDefault="009D12F1" w:rsidP="006C1312">
      <w:pPr>
        <w:spacing w:line="360" w:lineRule="auto"/>
        <w:ind w:firstLine="720"/>
        <w:jc w:val="both"/>
        <w:rPr>
          <w:rFonts w:ascii="Times New Roman" w:hAnsi="Times New Roman" w:cs="Times New Roman"/>
          <w:color w:val="000000" w:themeColor="text1"/>
          <w:sz w:val="24"/>
          <w:szCs w:val="24"/>
        </w:rPr>
      </w:pPr>
      <w:r w:rsidRPr="009A60A2">
        <w:rPr>
          <w:rFonts w:ascii="Times New Roman" w:hAnsi="Times New Roman" w:cs="Times New Roman"/>
          <w:color w:val="000000" w:themeColor="text1"/>
          <w:sz w:val="24"/>
          <w:szCs w:val="24"/>
        </w:rPr>
        <w:t xml:space="preserve">The study demonstrated that salicylic acid treatments significantly influenced the </w:t>
      </w:r>
      <w:r w:rsidR="00AD2818">
        <w:rPr>
          <w:rFonts w:ascii="Times New Roman" w:hAnsi="Times New Roman" w:cs="Times New Roman"/>
          <w:color w:val="000000" w:themeColor="text1"/>
          <w:sz w:val="24"/>
          <w:szCs w:val="24"/>
        </w:rPr>
        <w:t>secondary metabolite production</w:t>
      </w:r>
      <w:r w:rsidRPr="009A60A2">
        <w:rPr>
          <w:rFonts w:ascii="Times New Roman" w:hAnsi="Times New Roman" w:cs="Times New Roman"/>
          <w:color w:val="000000" w:themeColor="text1"/>
          <w:sz w:val="24"/>
          <w:szCs w:val="24"/>
        </w:rPr>
        <w:t xml:space="preserve"> in black pepper plants challenged with </w:t>
      </w:r>
      <w:r w:rsidRPr="009A60A2">
        <w:rPr>
          <w:rFonts w:ascii="Times New Roman" w:hAnsi="Times New Roman" w:cs="Times New Roman"/>
          <w:i/>
          <w:iCs/>
          <w:color w:val="000000" w:themeColor="text1"/>
          <w:sz w:val="24"/>
          <w:szCs w:val="24"/>
        </w:rPr>
        <w:t>Phytophthora</w:t>
      </w:r>
      <w:r w:rsidRPr="009A60A2">
        <w:rPr>
          <w:rFonts w:ascii="Times New Roman" w:hAnsi="Times New Roman" w:cs="Times New Roman"/>
          <w:color w:val="000000" w:themeColor="text1"/>
          <w:sz w:val="24"/>
          <w:szCs w:val="24"/>
        </w:rPr>
        <w:t xml:space="preserve"> sp., indicating </w:t>
      </w:r>
      <w:r w:rsidR="00AD2818">
        <w:rPr>
          <w:rFonts w:ascii="Times New Roman" w:hAnsi="Times New Roman" w:cs="Times New Roman"/>
          <w:color w:val="000000" w:themeColor="text1"/>
          <w:sz w:val="24"/>
          <w:szCs w:val="24"/>
        </w:rPr>
        <w:t>their</w:t>
      </w:r>
      <w:r w:rsidRPr="009A60A2">
        <w:rPr>
          <w:rFonts w:ascii="Times New Roman" w:hAnsi="Times New Roman" w:cs="Times New Roman"/>
          <w:color w:val="000000" w:themeColor="text1"/>
          <w:sz w:val="24"/>
          <w:szCs w:val="24"/>
        </w:rPr>
        <w:t xml:space="preserve"> role in enhancing host </w:t>
      </w:r>
      <w:proofErr w:type="spellStart"/>
      <w:r w:rsidRPr="009A60A2">
        <w:rPr>
          <w:rFonts w:ascii="Times New Roman" w:hAnsi="Times New Roman" w:cs="Times New Roman"/>
          <w:color w:val="000000" w:themeColor="text1"/>
          <w:sz w:val="24"/>
          <w:szCs w:val="24"/>
        </w:rPr>
        <w:t>defense</w:t>
      </w:r>
      <w:proofErr w:type="spellEnd"/>
      <w:r w:rsidRPr="009A60A2">
        <w:rPr>
          <w:rFonts w:ascii="Times New Roman" w:hAnsi="Times New Roman" w:cs="Times New Roman"/>
          <w:color w:val="000000" w:themeColor="text1"/>
          <w:sz w:val="24"/>
          <w:szCs w:val="24"/>
        </w:rPr>
        <w:t xml:space="preserve"> responses. </w:t>
      </w:r>
      <w:r w:rsidR="006C1312" w:rsidRPr="006C1312">
        <w:rPr>
          <w:rFonts w:ascii="Times New Roman" w:hAnsi="Times New Roman" w:cs="Times New Roman"/>
          <w:color w:val="000000" w:themeColor="text1"/>
          <w:sz w:val="24"/>
          <w:szCs w:val="24"/>
        </w:rPr>
        <w:t xml:space="preserve">The study </w:t>
      </w:r>
      <w:r w:rsidR="00C61FD8">
        <w:rPr>
          <w:rFonts w:ascii="Times New Roman" w:hAnsi="Times New Roman" w:cs="Times New Roman"/>
          <w:color w:val="000000" w:themeColor="text1"/>
          <w:sz w:val="24"/>
          <w:szCs w:val="24"/>
        </w:rPr>
        <w:t xml:space="preserve">also </w:t>
      </w:r>
      <w:r w:rsidR="006C1312" w:rsidRPr="006C1312">
        <w:rPr>
          <w:rFonts w:ascii="Times New Roman" w:hAnsi="Times New Roman" w:cs="Times New Roman"/>
          <w:color w:val="000000" w:themeColor="text1"/>
          <w:sz w:val="24"/>
          <w:szCs w:val="24"/>
        </w:rPr>
        <w:t xml:space="preserve">revealed that total phenol and flavonoid contents exhibited varying trends among treatments following pathogen inoculation. </w:t>
      </w:r>
      <w:r w:rsidR="00AD2818">
        <w:rPr>
          <w:rFonts w:ascii="Times New Roman" w:hAnsi="Times New Roman" w:cs="Times New Roman"/>
          <w:color w:val="000000" w:themeColor="text1"/>
          <w:sz w:val="24"/>
          <w:szCs w:val="24"/>
        </w:rPr>
        <w:t xml:space="preserve">Spray application of SA at 1500 ppm invariably </w:t>
      </w:r>
      <w:r w:rsidR="006C1312" w:rsidRPr="006C1312">
        <w:rPr>
          <w:rFonts w:ascii="Times New Roman" w:hAnsi="Times New Roman" w:cs="Times New Roman"/>
          <w:color w:val="000000" w:themeColor="text1"/>
          <w:sz w:val="24"/>
          <w:szCs w:val="24"/>
        </w:rPr>
        <w:t>recorded higher levels of phenols and flavonoids across time intervals, indicating a stronger biochemical response</w:t>
      </w:r>
      <w:r w:rsidR="00AD2818">
        <w:rPr>
          <w:rFonts w:ascii="Times New Roman" w:hAnsi="Times New Roman" w:cs="Times New Roman"/>
          <w:color w:val="000000" w:themeColor="text1"/>
          <w:sz w:val="24"/>
          <w:szCs w:val="24"/>
        </w:rPr>
        <w:t xml:space="preserve"> over </w:t>
      </w:r>
      <w:r w:rsidR="00F638A9">
        <w:rPr>
          <w:rFonts w:ascii="Times New Roman" w:hAnsi="Times New Roman" w:cs="Times New Roman"/>
          <w:color w:val="000000" w:themeColor="text1"/>
          <w:sz w:val="24"/>
          <w:szCs w:val="24"/>
        </w:rPr>
        <w:t>the spray</w:t>
      </w:r>
      <w:r w:rsidR="006C1312" w:rsidRPr="006C1312">
        <w:rPr>
          <w:rFonts w:ascii="Times New Roman" w:hAnsi="Times New Roman" w:cs="Times New Roman"/>
          <w:color w:val="000000" w:themeColor="text1"/>
          <w:sz w:val="24"/>
          <w:szCs w:val="24"/>
        </w:rPr>
        <w:t xml:space="preserve">. </w:t>
      </w:r>
      <w:r w:rsidR="00AD2818">
        <w:rPr>
          <w:rFonts w:ascii="Times New Roman" w:hAnsi="Times New Roman" w:cs="Times New Roman"/>
          <w:color w:val="000000" w:themeColor="text1"/>
          <w:sz w:val="24"/>
          <w:szCs w:val="24"/>
        </w:rPr>
        <w:t xml:space="preserve">Least enhancement was noted </w:t>
      </w:r>
      <w:r w:rsidR="00F638A9">
        <w:rPr>
          <w:rFonts w:ascii="Times New Roman" w:hAnsi="Times New Roman" w:cs="Times New Roman"/>
          <w:color w:val="000000" w:themeColor="text1"/>
          <w:sz w:val="24"/>
          <w:szCs w:val="24"/>
        </w:rPr>
        <w:t>for healthy</w:t>
      </w:r>
      <w:r w:rsidR="00AD2818">
        <w:rPr>
          <w:rFonts w:ascii="Times New Roman" w:hAnsi="Times New Roman" w:cs="Times New Roman"/>
          <w:color w:val="000000" w:themeColor="text1"/>
          <w:sz w:val="24"/>
          <w:szCs w:val="24"/>
        </w:rPr>
        <w:t xml:space="preserve"> control followed by inoculated control. This rev</w:t>
      </w:r>
      <w:r w:rsidR="00F638A9">
        <w:rPr>
          <w:rFonts w:ascii="Times New Roman" w:hAnsi="Times New Roman" w:cs="Times New Roman"/>
          <w:color w:val="000000" w:themeColor="text1"/>
          <w:sz w:val="24"/>
          <w:szCs w:val="24"/>
        </w:rPr>
        <w:t>eals</w:t>
      </w:r>
      <w:r w:rsidR="00AD2818">
        <w:rPr>
          <w:rFonts w:ascii="Times New Roman" w:hAnsi="Times New Roman" w:cs="Times New Roman"/>
          <w:color w:val="000000" w:themeColor="text1"/>
          <w:sz w:val="24"/>
          <w:szCs w:val="24"/>
        </w:rPr>
        <w:t xml:space="preserve"> the potential of </w:t>
      </w:r>
      <w:r w:rsidR="00C61FD8">
        <w:rPr>
          <w:rFonts w:ascii="Times New Roman" w:hAnsi="Times New Roman" w:cs="Times New Roman"/>
          <w:color w:val="000000" w:themeColor="text1"/>
          <w:sz w:val="24"/>
          <w:szCs w:val="24"/>
        </w:rPr>
        <w:t xml:space="preserve">exogenous </w:t>
      </w:r>
      <w:r w:rsidR="00F638A9">
        <w:rPr>
          <w:rFonts w:ascii="Times New Roman" w:hAnsi="Times New Roman" w:cs="Times New Roman"/>
          <w:color w:val="000000" w:themeColor="text1"/>
          <w:sz w:val="24"/>
          <w:szCs w:val="24"/>
        </w:rPr>
        <w:t>s</w:t>
      </w:r>
      <w:r w:rsidR="00AD2818">
        <w:rPr>
          <w:rFonts w:ascii="Times New Roman" w:hAnsi="Times New Roman" w:cs="Times New Roman"/>
          <w:color w:val="000000" w:themeColor="text1"/>
          <w:sz w:val="24"/>
          <w:szCs w:val="24"/>
        </w:rPr>
        <w:t xml:space="preserve">alicylic </w:t>
      </w:r>
      <w:r w:rsidR="00F638A9">
        <w:rPr>
          <w:rFonts w:ascii="Times New Roman" w:hAnsi="Times New Roman" w:cs="Times New Roman"/>
          <w:color w:val="000000" w:themeColor="text1"/>
          <w:sz w:val="24"/>
          <w:szCs w:val="24"/>
        </w:rPr>
        <w:t>acid</w:t>
      </w:r>
      <w:r w:rsidR="00C61FD8">
        <w:rPr>
          <w:rFonts w:ascii="Times New Roman" w:hAnsi="Times New Roman" w:cs="Times New Roman"/>
          <w:color w:val="000000" w:themeColor="text1"/>
          <w:sz w:val="24"/>
          <w:szCs w:val="24"/>
        </w:rPr>
        <w:t xml:space="preserve"> application in</w:t>
      </w:r>
      <w:r w:rsidR="00F638A9">
        <w:rPr>
          <w:rFonts w:ascii="Times New Roman" w:hAnsi="Times New Roman" w:cs="Times New Roman"/>
          <w:color w:val="000000" w:themeColor="text1"/>
          <w:sz w:val="24"/>
          <w:szCs w:val="24"/>
        </w:rPr>
        <w:t xml:space="preserve"> enhancing the </w:t>
      </w:r>
      <w:proofErr w:type="spellStart"/>
      <w:r w:rsidR="00F638A9">
        <w:rPr>
          <w:rFonts w:ascii="Times New Roman" w:hAnsi="Times New Roman" w:cs="Times New Roman"/>
          <w:color w:val="000000" w:themeColor="text1"/>
          <w:sz w:val="24"/>
          <w:szCs w:val="24"/>
        </w:rPr>
        <w:t>defense</w:t>
      </w:r>
      <w:proofErr w:type="spellEnd"/>
      <w:r w:rsidR="00F638A9">
        <w:rPr>
          <w:rFonts w:ascii="Times New Roman" w:hAnsi="Times New Roman" w:cs="Times New Roman"/>
          <w:color w:val="000000" w:themeColor="text1"/>
          <w:sz w:val="24"/>
          <w:szCs w:val="24"/>
        </w:rPr>
        <w:t xml:space="preserve"> response over pathogen infection.</w:t>
      </w:r>
      <w:r w:rsidR="00AD2818">
        <w:rPr>
          <w:rFonts w:ascii="Times New Roman" w:hAnsi="Times New Roman" w:cs="Times New Roman"/>
          <w:color w:val="000000" w:themeColor="text1"/>
          <w:sz w:val="24"/>
          <w:szCs w:val="24"/>
        </w:rPr>
        <w:t xml:space="preserve"> </w:t>
      </w:r>
      <w:r w:rsidR="006C1312" w:rsidRPr="006C1312">
        <w:rPr>
          <w:rFonts w:ascii="Times New Roman" w:hAnsi="Times New Roman" w:cs="Times New Roman"/>
          <w:color w:val="000000" w:themeColor="text1"/>
          <w:sz w:val="24"/>
          <w:szCs w:val="24"/>
        </w:rPr>
        <w:t xml:space="preserve">These findings suggest that </w:t>
      </w:r>
      <w:r w:rsidR="00C61FD8">
        <w:rPr>
          <w:rFonts w:ascii="Times New Roman" w:hAnsi="Times New Roman" w:cs="Times New Roman"/>
          <w:color w:val="000000" w:themeColor="text1"/>
          <w:sz w:val="24"/>
          <w:szCs w:val="24"/>
        </w:rPr>
        <w:t xml:space="preserve">SA can be effectively used as an alternative for chemical fungicides which </w:t>
      </w:r>
      <w:r w:rsidR="006C1312" w:rsidRPr="006C1312">
        <w:rPr>
          <w:rFonts w:ascii="Times New Roman" w:hAnsi="Times New Roman" w:cs="Times New Roman"/>
          <w:color w:val="000000" w:themeColor="text1"/>
          <w:sz w:val="24"/>
          <w:szCs w:val="24"/>
        </w:rPr>
        <w:t>enhance host resistance by</w:t>
      </w:r>
      <w:r w:rsidR="006C1312">
        <w:rPr>
          <w:rFonts w:ascii="Times New Roman" w:hAnsi="Times New Roman" w:cs="Times New Roman"/>
          <w:color w:val="000000" w:themeColor="text1"/>
          <w:sz w:val="24"/>
          <w:szCs w:val="24"/>
        </w:rPr>
        <w:t xml:space="preserve"> triggering</w:t>
      </w:r>
      <w:r w:rsidR="006C1312" w:rsidRPr="006C1312">
        <w:rPr>
          <w:rFonts w:ascii="Times New Roman" w:hAnsi="Times New Roman" w:cs="Times New Roman"/>
          <w:color w:val="000000" w:themeColor="text1"/>
          <w:sz w:val="24"/>
          <w:szCs w:val="24"/>
        </w:rPr>
        <w:t xml:space="preserve"> phenolic and flavonoid content during pathogen infection.</w:t>
      </w:r>
    </w:p>
    <w:p w14:paraId="04A35D51" w14:textId="0A3F94E4" w:rsidR="00D42D5C" w:rsidRDefault="00D42D5C" w:rsidP="006C1312">
      <w:pPr>
        <w:spacing w:line="360" w:lineRule="auto"/>
        <w:ind w:firstLine="720"/>
        <w:jc w:val="both"/>
        <w:rPr>
          <w:rFonts w:ascii="Times New Roman" w:hAnsi="Times New Roman" w:cs="Times New Roman"/>
          <w:color w:val="000000" w:themeColor="text1"/>
          <w:sz w:val="24"/>
          <w:szCs w:val="24"/>
        </w:rPr>
      </w:pPr>
    </w:p>
    <w:p w14:paraId="58C0D651" w14:textId="77777777" w:rsidR="00D42D5C" w:rsidRPr="00394842" w:rsidRDefault="00D42D5C" w:rsidP="00D42D5C">
      <w:pPr>
        <w:rPr>
          <w:highlight w:val="yellow"/>
        </w:rPr>
      </w:pPr>
      <w:r w:rsidRPr="00394842">
        <w:rPr>
          <w:highlight w:val="yellow"/>
        </w:rPr>
        <w:t>Disclaimer (Artificial intelligence)</w:t>
      </w:r>
    </w:p>
    <w:p w14:paraId="78EAC54D" w14:textId="77777777" w:rsidR="00D42D5C" w:rsidRPr="00394842" w:rsidRDefault="00D42D5C" w:rsidP="00D42D5C">
      <w:pPr>
        <w:rPr>
          <w:highlight w:val="yellow"/>
        </w:rPr>
      </w:pPr>
    </w:p>
    <w:p w14:paraId="61A0200B" w14:textId="77777777" w:rsidR="00D42D5C" w:rsidRPr="00394842" w:rsidRDefault="00D42D5C" w:rsidP="00D42D5C">
      <w:pPr>
        <w:rPr>
          <w:highlight w:val="yellow"/>
        </w:rPr>
      </w:pPr>
      <w:r w:rsidRPr="00394842">
        <w:rPr>
          <w:highlight w:val="yellow"/>
        </w:rPr>
        <w:t xml:space="preserve">Option 1: </w:t>
      </w:r>
    </w:p>
    <w:p w14:paraId="56FA369D" w14:textId="77777777" w:rsidR="00D42D5C" w:rsidRPr="00394842" w:rsidRDefault="00D42D5C" w:rsidP="00D42D5C">
      <w:pPr>
        <w:rPr>
          <w:highlight w:val="yellow"/>
        </w:rPr>
      </w:pPr>
    </w:p>
    <w:p w14:paraId="580DFF19" w14:textId="77777777" w:rsidR="00D42D5C" w:rsidRPr="00394842" w:rsidRDefault="00D42D5C" w:rsidP="00D42D5C">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2C0048A9" w14:textId="77777777" w:rsidR="00D42D5C" w:rsidRPr="00394842" w:rsidRDefault="00D42D5C" w:rsidP="00D42D5C">
      <w:pPr>
        <w:rPr>
          <w:highlight w:val="yellow"/>
        </w:rPr>
      </w:pPr>
    </w:p>
    <w:p w14:paraId="21F0486C" w14:textId="77777777" w:rsidR="00D42D5C" w:rsidRPr="00394842" w:rsidRDefault="00D42D5C" w:rsidP="00D42D5C">
      <w:pPr>
        <w:rPr>
          <w:highlight w:val="yellow"/>
        </w:rPr>
      </w:pPr>
      <w:r w:rsidRPr="00394842">
        <w:rPr>
          <w:highlight w:val="yellow"/>
        </w:rPr>
        <w:t xml:space="preserve">Option 2: </w:t>
      </w:r>
    </w:p>
    <w:p w14:paraId="1A172696" w14:textId="77777777" w:rsidR="00D42D5C" w:rsidRPr="00394842" w:rsidRDefault="00D42D5C" w:rsidP="00D42D5C">
      <w:pPr>
        <w:rPr>
          <w:highlight w:val="yellow"/>
        </w:rPr>
      </w:pPr>
    </w:p>
    <w:p w14:paraId="053009AF" w14:textId="77777777" w:rsidR="00D42D5C" w:rsidRPr="00394842" w:rsidRDefault="00D42D5C" w:rsidP="00D42D5C">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EF0331A" w14:textId="77777777" w:rsidR="00D42D5C" w:rsidRPr="00394842" w:rsidRDefault="00D42D5C" w:rsidP="00D42D5C">
      <w:pPr>
        <w:rPr>
          <w:highlight w:val="yellow"/>
        </w:rPr>
      </w:pPr>
    </w:p>
    <w:p w14:paraId="7FE52C95" w14:textId="77777777" w:rsidR="00D42D5C" w:rsidRPr="00394842" w:rsidRDefault="00D42D5C" w:rsidP="00D42D5C">
      <w:pPr>
        <w:rPr>
          <w:highlight w:val="yellow"/>
        </w:rPr>
      </w:pPr>
      <w:r w:rsidRPr="00394842">
        <w:rPr>
          <w:highlight w:val="yellow"/>
        </w:rPr>
        <w:t>Details of the AI usage are given below:</w:t>
      </w:r>
    </w:p>
    <w:p w14:paraId="15EC3C8E" w14:textId="77777777" w:rsidR="00D42D5C" w:rsidRPr="00394842" w:rsidRDefault="00D42D5C" w:rsidP="00D42D5C">
      <w:pPr>
        <w:rPr>
          <w:highlight w:val="yellow"/>
        </w:rPr>
      </w:pPr>
      <w:r w:rsidRPr="00394842">
        <w:rPr>
          <w:highlight w:val="yellow"/>
        </w:rPr>
        <w:t>1.</w:t>
      </w:r>
    </w:p>
    <w:p w14:paraId="22DBC0C5" w14:textId="77777777" w:rsidR="00D42D5C" w:rsidRPr="00394842" w:rsidRDefault="00D42D5C" w:rsidP="00D42D5C">
      <w:pPr>
        <w:rPr>
          <w:highlight w:val="yellow"/>
        </w:rPr>
      </w:pPr>
      <w:r w:rsidRPr="00394842">
        <w:rPr>
          <w:highlight w:val="yellow"/>
        </w:rPr>
        <w:t>2.</w:t>
      </w:r>
    </w:p>
    <w:p w14:paraId="637F0D59" w14:textId="77777777" w:rsidR="00D42D5C" w:rsidRPr="00D047BB" w:rsidRDefault="00D42D5C" w:rsidP="00D42D5C">
      <w:r w:rsidRPr="00394842">
        <w:rPr>
          <w:highlight w:val="yellow"/>
        </w:rPr>
        <w:t>3.</w:t>
      </w:r>
    </w:p>
    <w:p w14:paraId="443FA59A" w14:textId="77777777" w:rsidR="00D42D5C" w:rsidRDefault="00D42D5C" w:rsidP="006C1312">
      <w:pPr>
        <w:spacing w:line="360" w:lineRule="auto"/>
        <w:ind w:firstLine="720"/>
        <w:jc w:val="both"/>
        <w:rPr>
          <w:rFonts w:ascii="Times New Roman" w:hAnsi="Times New Roman" w:cs="Times New Roman"/>
          <w:color w:val="000000" w:themeColor="text1"/>
          <w:sz w:val="24"/>
          <w:szCs w:val="24"/>
        </w:rPr>
      </w:pPr>
    </w:p>
    <w:p w14:paraId="0D5739C9" w14:textId="77777777" w:rsidR="00FF19A3" w:rsidRDefault="00FF19A3" w:rsidP="006C1312">
      <w:pPr>
        <w:spacing w:line="360" w:lineRule="auto"/>
        <w:jc w:val="both"/>
        <w:rPr>
          <w:rFonts w:ascii="Times New Roman" w:hAnsi="Times New Roman" w:cs="Times New Roman"/>
          <w:b/>
          <w:bCs/>
          <w:color w:val="000000" w:themeColor="text1"/>
          <w:sz w:val="24"/>
          <w:szCs w:val="24"/>
        </w:rPr>
      </w:pPr>
    </w:p>
    <w:p w14:paraId="3D08A6AD" w14:textId="77777777" w:rsidR="00FF19A3" w:rsidRDefault="00FF19A3" w:rsidP="006C1312">
      <w:pPr>
        <w:spacing w:line="360" w:lineRule="auto"/>
        <w:jc w:val="both"/>
        <w:rPr>
          <w:rFonts w:ascii="Times New Roman" w:hAnsi="Times New Roman" w:cs="Times New Roman"/>
          <w:b/>
          <w:bCs/>
          <w:color w:val="000000" w:themeColor="text1"/>
          <w:sz w:val="24"/>
          <w:szCs w:val="24"/>
        </w:rPr>
      </w:pPr>
    </w:p>
    <w:p w14:paraId="34D1E56A" w14:textId="665098F4" w:rsidR="00E03BCA" w:rsidRDefault="00B906E0" w:rsidP="006C1312">
      <w:pPr>
        <w:spacing w:line="360" w:lineRule="auto"/>
        <w:jc w:val="both"/>
        <w:rPr>
          <w:rFonts w:ascii="Times New Roman" w:hAnsi="Times New Roman" w:cs="Times New Roman"/>
          <w:b/>
          <w:bCs/>
          <w:color w:val="000000" w:themeColor="text1"/>
          <w:sz w:val="24"/>
          <w:szCs w:val="24"/>
        </w:rPr>
      </w:pPr>
      <w:r w:rsidRPr="009A60A2">
        <w:rPr>
          <w:rFonts w:ascii="Times New Roman" w:hAnsi="Times New Roman" w:cs="Times New Roman"/>
          <w:b/>
          <w:bCs/>
          <w:color w:val="000000" w:themeColor="text1"/>
          <w:sz w:val="24"/>
          <w:szCs w:val="24"/>
        </w:rPr>
        <w:t>Reference</w:t>
      </w:r>
    </w:p>
    <w:p w14:paraId="5C2E68E2" w14:textId="68385E8C" w:rsidR="008B1CE4" w:rsidRPr="009A60A2" w:rsidRDefault="008B1CE4" w:rsidP="009A60A2">
      <w:pPr>
        <w:spacing w:line="360" w:lineRule="auto"/>
        <w:ind w:left="720" w:hanging="720"/>
        <w:jc w:val="both"/>
        <w:rPr>
          <w:rFonts w:ascii="Times New Roman" w:hAnsi="Times New Roman" w:cs="Times New Roman"/>
          <w:color w:val="000000" w:themeColor="text1"/>
          <w:sz w:val="24"/>
          <w:szCs w:val="24"/>
        </w:rPr>
      </w:pPr>
      <w:r w:rsidRPr="00C82207">
        <w:rPr>
          <w:rFonts w:ascii="Times New Roman" w:hAnsi="Times New Roman" w:cs="Times New Roman"/>
          <w:color w:val="000000" w:themeColor="text1"/>
          <w:sz w:val="24"/>
          <w:szCs w:val="24"/>
        </w:rPr>
        <w:t>B</w:t>
      </w:r>
      <w:r w:rsidRPr="008B1CE4">
        <w:rPr>
          <w:rFonts w:ascii="Times New Roman" w:hAnsi="Times New Roman" w:cs="Times New Roman"/>
          <w:color w:val="000000" w:themeColor="text1"/>
          <w:sz w:val="24"/>
          <w:szCs w:val="24"/>
        </w:rPr>
        <w:t>lanch, G.</w:t>
      </w:r>
      <w:r>
        <w:rPr>
          <w:rFonts w:ascii="Times New Roman" w:hAnsi="Times New Roman" w:cs="Times New Roman"/>
          <w:color w:val="000000" w:themeColor="text1"/>
          <w:sz w:val="24"/>
          <w:szCs w:val="24"/>
        </w:rPr>
        <w:t xml:space="preserve"> </w:t>
      </w:r>
      <w:r w:rsidRPr="008B1CE4">
        <w:rPr>
          <w:rFonts w:ascii="Times New Roman" w:hAnsi="Times New Roman" w:cs="Times New Roman"/>
          <w:color w:val="000000" w:themeColor="text1"/>
          <w:sz w:val="24"/>
          <w:szCs w:val="24"/>
        </w:rPr>
        <w:t>P., G</w:t>
      </w:r>
      <w:r>
        <w:rPr>
          <w:rFonts w:ascii="Times New Roman" w:hAnsi="Times New Roman" w:cs="Times New Roman"/>
          <w:color w:val="000000" w:themeColor="text1"/>
          <w:sz w:val="24"/>
          <w:szCs w:val="24"/>
        </w:rPr>
        <w:t>o</w:t>
      </w:r>
      <w:r w:rsidRPr="008B1CE4">
        <w:rPr>
          <w:rFonts w:ascii="Times New Roman" w:hAnsi="Times New Roman" w:cs="Times New Roman"/>
          <w:color w:val="000000" w:themeColor="text1"/>
          <w:sz w:val="24"/>
          <w:szCs w:val="24"/>
        </w:rPr>
        <w:t>mez-Jim</w:t>
      </w:r>
      <w:r>
        <w:rPr>
          <w:rFonts w:ascii="Times New Roman" w:hAnsi="Times New Roman" w:cs="Times New Roman"/>
          <w:color w:val="000000" w:themeColor="text1"/>
          <w:sz w:val="24"/>
          <w:szCs w:val="24"/>
        </w:rPr>
        <w:t>e</w:t>
      </w:r>
      <w:r w:rsidRPr="008B1CE4">
        <w:rPr>
          <w:rFonts w:ascii="Times New Roman" w:hAnsi="Times New Roman" w:cs="Times New Roman"/>
          <w:color w:val="000000" w:themeColor="text1"/>
          <w:sz w:val="24"/>
          <w:szCs w:val="24"/>
        </w:rPr>
        <w:t>nez, M.</w:t>
      </w:r>
      <w:r>
        <w:rPr>
          <w:rFonts w:ascii="Times New Roman" w:hAnsi="Times New Roman" w:cs="Times New Roman"/>
          <w:color w:val="000000" w:themeColor="text1"/>
          <w:sz w:val="24"/>
          <w:szCs w:val="24"/>
        </w:rPr>
        <w:t xml:space="preserve"> </w:t>
      </w:r>
      <w:r w:rsidRPr="008B1CE4">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w:t>
      </w:r>
      <w:r w:rsidRPr="008B1CE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&amp;</w:t>
      </w:r>
      <w:r w:rsidRPr="008B1CE4">
        <w:rPr>
          <w:rFonts w:ascii="Times New Roman" w:hAnsi="Times New Roman" w:cs="Times New Roman"/>
          <w:color w:val="000000" w:themeColor="text1"/>
          <w:sz w:val="24"/>
          <w:szCs w:val="24"/>
        </w:rPr>
        <w:t xml:space="preserve"> Del Castillo, M.</w:t>
      </w:r>
      <w:r>
        <w:rPr>
          <w:rFonts w:ascii="Times New Roman" w:hAnsi="Times New Roman" w:cs="Times New Roman"/>
          <w:color w:val="000000" w:themeColor="text1"/>
          <w:sz w:val="24"/>
          <w:szCs w:val="24"/>
        </w:rPr>
        <w:t xml:space="preserve"> </w:t>
      </w:r>
      <w:r w:rsidRPr="008B1CE4">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 xml:space="preserve"> </w:t>
      </w:r>
      <w:r w:rsidRPr="008B1CE4">
        <w:rPr>
          <w:rFonts w:ascii="Times New Roman" w:hAnsi="Times New Roman" w:cs="Times New Roman"/>
          <w:color w:val="000000" w:themeColor="text1"/>
          <w:sz w:val="24"/>
          <w:szCs w:val="24"/>
        </w:rPr>
        <w:t xml:space="preserve">R. </w:t>
      </w:r>
      <w:r>
        <w:rPr>
          <w:rFonts w:ascii="Times New Roman" w:hAnsi="Times New Roman" w:cs="Times New Roman"/>
          <w:color w:val="000000" w:themeColor="text1"/>
          <w:sz w:val="24"/>
          <w:szCs w:val="24"/>
        </w:rPr>
        <w:t>(</w:t>
      </w:r>
      <w:r w:rsidRPr="008B1CE4">
        <w:rPr>
          <w:rFonts w:ascii="Times New Roman" w:hAnsi="Times New Roman" w:cs="Times New Roman"/>
          <w:color w:val="000000" w:themeColor="text1"/>
          <w:sz w:val="24"/>
          <w:szCs w:val="24"/>
        </w:rPr>
        <w:t>2020</w:t>
      </w:r>
      <w:r>
        <w:rPr>
          <w:rFonts w:ascii="Times New Roman" w:hAnsi="Times New Roman" w:cs="Times New Roman"/>
          <w:color w:val="000000" w:themeColor="text1"/>
          <w:sz w:val="24"/>
          <w:szCs w:val="24"/>
        </w:rPr>
        <w:t>)</w:t>
      </w:r>
      <w:r w:rsidRPr="008B1CE4">
        <w:rPr>
          <w:rFonts w:ascii="Times New Roman" w:hAnsi="Times New Roman" w:cs="Times New Roman"/>
          <w:color w:val="000000" w:themeColor="text1"/>
          <w:sz w:val="24"/>
          <w:szCs w:val="24"/>
        </w:rPr>
        <w:t>. Exogenous salicylic acid improves phenolic content and antioxidant activity in table grapes. </w:t>
      </w:r>
      <w:r w:rsidRPr="008B1CE4">
        <w:rPr>
          <w:rFonts w:ascii="Times New Roman" w:hAnsi="Times New Roman" w:cs="Times New Roman"/>
          <w:i/>
          <w:iCs/>
          <w:color w:val="000000" w:themeColor="text1"/>
          <w:sz w:val="24"/>
          <w:szCs w:val="24"/>
        </w:rPr>
        <w:t>Plant Foods for Human Nutrition</w:t>
      </w:r>
      <w:r w:rsidRPr="008B1CE4">
        <w:rPr>
          <w:rFonts w:ascii="Times New Roman" w:hAnsi="Times New Roman" w:cs="Times New Roman"/>
          <w:color w:val="000000" w:themeColor="text1"/>
          <w:sz w:val="24"/>
          <w:szCs w:val="24"/>
        </w:rPr>
        <w:t>, </w:t>
      </w:r>
      <w:r w:rsidRPr="001F1E3F">
        <w:rPr>
          <w:rFonts w:ascii="Times New Roman" w:hAnsi="Times New Roman" w:cs="Times New Roman"/>
          <w:color w:val="000000" w:themeColor="text1"/>
          <w:sz w:val="24"/>
          <w:szCs w:val="24"/>
        </w:rPr>
        <w:t>75</w:t>
      </w:r>
      <w:r w:rsidRPr="008B1CE4">
        <w:rPr>
          <w:rFonts w:ascii="Times New Roman" w:hAnsi="Times New Roman" w:cs="Times New Roman"/>
          <w:color w:val="000000" w:themeColor="text1"/>
          <w:sz w:val="24"/>
          <w:szCs w:val="24"/>
        </w:rPr>
        <w:t>, 177-183.</w:t>
      </w:r>
    </w:p>
    <w:p w14:paraId="5D39CC16" w14:textId="27B48E87" w:rsidR="001E2E02" w:rsidRDefault="001E2E02" w:rsidP="009A60A2">
      <w:pPr>
        <w:spacing w:line="360" w:lineRule="auto"/>
        <w:ind w:left="720" w:hanging="720"/>
        <w:jc w:val="both"/>
        <w:rPr>
          <w:rFonts w:ascii="Times New Roman" w:hAnsi="Times New Roman" w:cs="Times New Roman"/>
          <w:color w:val="000000" w:themeColor="text1"/>
          <w:sz w:val="24"/>
          <w:szCs w:val="24"/>
        </w:rPr>
      </w:pPr>
      <w:r w:rsidRPr="00C82207">
        <w:rPr>
          <w:rFonts w:ascii="Times New Roman" w:hAnsi="Times New Roman" w:cs="Times New Roman"/>
          <w:color w:val="000000" w:themeColor="text1"/>
          <w:sz w:val="24"/>
          <w:szCs w:val="24"/>
        </w:rPr>
        <w:t>B</w:t>
      </w:r>
      <w:r w:rsidRPr="009A60A2">
        <w:rPr>
          <w:rFonts w:ascii="Times New Roman" w:hAnsi="Times New Roman" w:cs="Times New Roman"/>
          <w:color w:val="000000" w:themeColor="text1"/>
          <w:sz w:val="24"/>
          <w:szCs w:val="24"/>
        </w:rPr>
        <w:t>ray, H.G., &amp; Thorpe, W. (1954). Analysis of phenolic compounds of interest in metabolism. </w:t>
      </w:r>
      <w:r w:rsidRPr="009A60A2">
        <w:rPr>
          <w:rFonts w:ascii="Times New Roman" w:hAnsi="Times New Roman" w:cs="Times New Roman"/>
          <w:i/>
          <w:iCs/>
          <w:color w:val="000000" w:themeColor="text1"/>
          <w:sz w:val="24"/>
          <w:szCs w:val="24"/>
        </w:rPr>
        <w:t>Methods of biochemical analysis</w:t>
      </w:r>
      <w:r w:rsidRPr="009A60A2">
        <w:rPr>
          <w:rFonts w:ascii="Times New Roman" w:hAnsi="Times New Roman" w:cs="Times New Roman"/>
          <w:color w:val="000000" w:themeColor="text1"/>
          <w:sz w:val="24"/>
          <w:szCs w:val="24"/>
        </w:rPr>
        <w:t>, 27-52.</w:t>
      </w:r>
    </w:p>
    <w:p w14:paraId="48D590EB" w14:textId="429B966A" w:rsidR="006C1312" w:rsidRDefault="006C1312" w:rsidP="009A60A2">
      <w:pPr>
        <w:spacing w:line="360" w:lineRule="auto"/>
        <w:ind w:left="720" w:hanging="720"/>
        <w:jc w:val="both"/>
        <w:rPr>
          <w:rFonts w:ascii="Times New Roman" w:hAnsi="Times New Roman" w:cs="Times New Roman"/>
          <w:color w:val="000000" w:themeColor="text1"/>
          <w:sz w:val="24"/>
          <w:szCs w:val="24"/>
        </w:rPr>
      </w:pPr>
      <w:proofErr w:type="spellStart"/>
      <w:r w:rsidRPr="00C82207">
        <w:rPr>
          <w:rFonts w:ascii="Times New Roman" w:hAnsi="Times New Roman" w:cs="Times New Roman"/>
          <w:color w:val="000000" w:themeColor="text1"/>
          <w:sz w:val="24"/>
          <w:szCs w:val="24"/>
        </w:rPr>
        <w:t>D</w:t>
      </w:r>
      <w:r w:rsidRPr="006C1312">
        <w:rPr>
          <w:rFonts w:ascii="Times New Roman" w:hAnsi="Times New Roman" w:cs="Times New Roman"/>
          <w:color w:val="000000" w:themeColor="text1"/>
          <w:sz w:val="24"/>
          <w:szCs w:val="24"/>
        </w:rPr>
        <w:t>eenamo</w:t>
      </w:r>
      <w:proofErr w:type="spellEnd"/>
      <w:r w:rsidRPr="006C1312">
        <w:rPr>
          <w:rFonts w:ascii="Times New Roman" w:hAnsi="Times New Roman" w:cs="Times New Roman"/>
          <w:color w:val="000000" w:themeColor="text1"/>
          <w:sz w:val="24"/>
          <w:szCs w:val="24"/>
        </w:rPr>
        <w:t xml:space="preserve">, N., </w:t>
      </w:r>
      <w:proofErr w:type="spellStart"/>
      <w:r w:rsidRPr="006C1312">
        <w:rPr>
          <w:rFonts w:ascii="Times New Roman" w:hAnsi="Times New Roman" w:cs="Times New Roman"/>
          <w:color w:val="000000" w:themeColor="text1"/>
          <w:sz w:val="24"/>
          <w:szCs w:val="24"/>
        </w:rPr>
        <w:t>Kuyyogsuy</w:t>
      </w:r>
      <w:proofErr w:type="spellEnd"/>
      <w:r w:rsidRPr="006C1312">
        <w:rPr>
          <w:rFonts w:ascii="Times New Roman" w:hAnsi="Times New Roman" w:cs="Times New Roman"/>
          <w:color w:val="000000" w:themeColor="text1"/>
          <w:sz w:val="24"/>
          <w:szCs w:val="24"/>
        </w:rPr>
        <w:t xml:space="preserve">, A., </w:t>
      </w:r>
      <w:proofErr w:type="spellStart"/>
      <w:r w:rsidRPr="006C1312">
        <w:rPr>
          <w:rFonts w:ascii="Times New Roman" w:hAnsi="Times New Roman" w:cs="Times New Roman"/>
          <w:color w:val="000000" w:themeColor="text1"/>
          <w:sz w:val="24"/>
          <w:szCs w:val="24"/>
        </w:rPr>
        <w:t>Khompatara</w:t>
      </w:r>
      <w:proofErr w:type="spellEnd"/>
      <w:r w:rsidRPr="006C1312">
        <w:rPr>
          <w:rFonts w:ascii="Times New Roman" w:hAnsi="Times New Roman" w:cs="Times New Roman"/>
          <w:color w:val="000000" w:themeColor="text1"/>
          <w:sz w:val="24"/>
          <w:szCs w:val="24"/>
        </w:rPr>
        <w:t xml:space="preserve">, K., </w:t>
      </w:r>
      <w:proofErr w:type="spellStart"/>
      <w:r w:rsidRPr="006C1312">
        <w:rPr>
          <w:rFonts w:ascii="Times New Roman" w:hAnsi="Times New Roman" w:cs="Times New Roman"/>
          <w:color w:val="000000" w:themeColor="text1"/>
          <w:sz w:val="24"/>
          <w:szCs w:val="24"/>
        </w:rPr>
        <w:t>Chanwun</w:t>
      </w:r>
      <w:proofErr w:type="spellEnd"/>
      <w:r w:rsidRPr="006C1312">
        <w:rPr>
          <w:rFonts w:ascii="Times New Roman" w:hAnsi="Times New Roman" w:cs="Times New Roman"/>
          <w:color w:val="000000" w:themeColor="text1"/>
          <w:sz w:val="24"/>
          <w:szCs w:val="24"/>
        </w:rPr>
        <w:t xml:space="preserve">, T., </w:t>
      </w:r>
      <w:proofErr w:type="spellStart"/>
      <w:r w:rsidRPr="006C1312">
        <w:rPr>
          <w:rFonts w:ascii="Times New Roman" w:hAnsi="Times New Roman" w:cs="Times New Roman"/>
          <w:color w:val="000000" w:themeColor="text1"/>
          <w:sz w:val="24"/>
          <w:szCs w:val="24"/>
        </w:rPr>
        <w:t>Ekchaweng</w:t>
      </w:r>
      <w:proofErr w:type="spellEnd"/>
      <w:r w:rsidRPr="006C1312">
        <w:rPr>
          <w:rFonts w:ascii="Times New Roman" w:hAnsi="Times New Roman" w:cs="Times New Roman"/>
          <w:color w:val="000000" w:themeColor="text1"/>
          <w:sz w:val="24"/>
          <w:szCs w:val="24"/>
        </w:rPr>
        <w:t>, K.</w:t>
      </w:r>
      <w:r>
        <w:rPr>
          <w:rFonts w:ascii="Times New Roman" w:hAnsi="Times New Roman" w:cs="Times New Roman"/>
          <w:color w:val="000000" w:themeColor="text1"/>
          <w:sz w:val="24"/>
          <w:szCs w:val="24"/>
        </w:rPr>
        <w:t>,</w:t>
      </w:r>
      <w:r w:rsidRPr="006C131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&amp; </w:t>
      </w:r>
      <w:proofErr w:type="spellStart"/>
      <w:r w:rsidRPr="006C1312">
        <w:rPr>
          <w:rFonts w:ascii="Times New Roman" w:hAnsi="Times New Roman" w:cs="Times New Roman"/>
          <w:color w:val="000000" w:themeColor="text1"/>
          <w:sz w:val="24"/>
          <w:szCs w:val="24"/>
        </w:rPr>
        <w:t>Churngchow</w:t>
      </w:r>
      <w:proofErr w:type="spellEnd"/>
      <w:r w:rsidRPr="006C1312">
        <w:rPr>
          <w:rFonts w:ascii="Times New Roman" w:hAnsi="Times New Roman" w:cs="Times New Roman"/>
          <w:color w:val="000000" w:themeColor="text1"/>
          <w:sz w:val="24"/>
          <w:szCs w:val="24"/>
        </w:rPr>
        <w:t xml:space="preserve">, N. </w:t>
      </w:r>
      <w:r>
        <w:rPr>
          <w:rFonts w:ascii="Times New Roman" w:hAnsi="Times New Roman" w:cs="Times New Roman"/>
          <w:color w:val="000000" w:themeColor="text1"/>
          <w:sz w:val="24"/>
          <w:szCs w:val="24"/>
        </w:rPr>
        <w:t>(</w:t>
      </w:r>
      <w:r w:rsidRPr="006C1312">
        <w:rPr>
          <w:rFonts w:ascii="Times New Roman" w:hAnsi="Times New Roman" w:cs="Times New Roman"/>
          <w:color w:val="000000" w:themeColor="text1"/>
          <w:sz w:val="24"/>
          <w:szCs w:val="24"/>
        </w:rPr>
        <w:t>2018</w:t>
      </w:r>
      <w:r>
        <w:rPr>
          <w:rFonts w:ascii="Times New Roman" w:hAnsi="Times New Roman" w:cs="Times New Roman"/>
          <w:color w:val="000000" w:themeColor="text1"/>
          <w:sz w:val="24"/>
          <w:szCs w:val="24"/>
        </w:rPr>
        <w:t>)</w:t>
      </w:r>
      <w:r w:rsidRPr="006C1312">
        <w:rPr>
          <w:rFonts w:ascii="Times New Roman" w:hAnsi="Times New Roman" w:cs="Times New Roman"/>
          <w:color w:val="000000" w:themeColor="text1"/>
          <w:sz w:val="24"/>
          <w:szCs w:val="24"/>
        </w:rPr>
        <w:t xml:space="preserve">. Salicylic acid induces resistance in rubber tree against </w:t>
      </w:r>
      <w:r w:rsidRPr="006C1312">
        <w:rPr>
          <w:rFonts w:ascii="Times New Roman" w:hAnsi="Times New Roman" w:cs="Times New Roman"/>
          <w:i/>
          <w:iCs/>
          <w:color w:val="000000" w:themeColor="text1"/>
          <w:sz w:val="24"/>
          <w:szCs w:val="24"/>
        </w:rPr>
        <w:t xml:space="preserve">Phytophthora </w:t>
      </w:r>
      <w:proofErr w:type="spellStart"/>
      <w:r w:rsidRPr="006C1312">
        <w:rPr>
          <w:rFonts w:ascii="Times New Roman" w:hAnsi="Times New Roman" w:cs="Times New Roman"/>
          <w:i/>
          <w:iCs/>
          <w:color w:val="000000" w:themeColor="text1"/>
          <w:sz w:val="24"/>
          <w:szCs w:val="24"/>
        </w:rPr>
        <w:t>palmivora</w:t>
      </w:r>
      <w:proofErr w:type="spellEnd"/>
      <w:r w:rsidRPr="006C1312">
        <w:rPr>
          <w:rFonts w:ascii="Times New Roman" w:hAnsi="Times New Roman" w:cs="Times New Roman"/>
          <w:color w:val="000000" w:themeColor="text1"/>
          <w:sz w:val="24"/>
          <w:szCs w:val="24"/>
        </w:rPr>
        <w:t>. </w:t>
      </w:r>
      <w:r w:rsidRPr="006C1312">
        <w:rPr>
          <w:rFonts w:ascii="Times New Roman" w:hAnsi="Times New Roman" w:cs="Times New Roman"/>
          <w:i/>
          <w:iCs/>
          <w:color w:val="000000" w:themeColor="text1"/>
          <w:sz w:val="24"/>
          <w:szCs w:val="24"/>
        </w:rPr>
        <w:t>International Journal of Molecular Sciences</w:t>
      </w:r>
      <w:r w:rsidRPr="006C1312">
        <w:rPr>
          <w:rFonts w:ascii="Times New Roman" w:hAnsi="Times New Roman" w:cs="Times New Roman"/>
          <w:color w:val="000000" w:themeColor="text1"/>
          <w:sz w:val="24"/>
          <w:szCs w:val="24"/>
        </w:rPr>
        <w:t>, </w:t>
      </w:r>
      <w:r w:rsidRPr="001F1E3F">
        <w:rPr>
          <w:rFonts w:ascii="Times New Roman" w:hAnsi="Times New Roman" w:cs="Times New Roman"/>
          <w:color w:val="000000" w:themeColor="text1"/>
          <w:sz w:val="24"/>
          <w:szCs w:val="24"/>
        </w:rPr>
        <w:t>19</w:t>
      </w:r>
      <w:r w:rsidRPr="006C1312">
        <w:rPr>
          <w:rFonts w:ascii="Times New Roman" w:hAnsi="Times New Roman" w:cs="Times New Roman"/>
          <w:color w:val="000000" w:themeColor="text1"/>
          <w:sz w:val="24"/>
          <w:szCs w:val="24"/>
        </w:rPr>
        <w:t>(7), 1883.</w:t>
      </w:r>
    </w:p>
    <w:p w14:paraId="4D2BA145" w14:textId="1858B2B3" w:rsidR="004D110F" w:rsidRDefault="004D110F" w:rsidP="009A60A2">
      <w:pPr>
        <w:spacing w:line="360" w:lineRule="auto"/>
        <w:ind w:left="720" w:hanging="720"/>
        <w:jc w:val="both"/>
        <w:rPr>
          <w:rFonts w:ascii="Times New Roman" w:hAnsi="Times New Roman" w:cs="Times New Roman"/>
          <w:color w:val="000000" w:themeColor="text1"/>
          <w:sz w:val="24"/>
          <w:szCs w:val="24"/>
        </w:rPr>
      </w:pPr>
      <w:r w:rsidRPr="00C82207">
        <w:rPr>
          <w:rFonts w:ascii="Times New Roman" w:hAnsi="Times New Roman" w:cs="Times New Roman"/>
          <w:color w:val="000000" w:themeColor="text1"/>
          <w:sz w:val="24"/>
          <w:szCs w:val="24"/>
        </w:rPr>
        <w:t>D</w:t>
      </w:r>
      <w:r w:rsidRPr="004D110F">
        <w:rPr>
          <w:rFonts w:ascii="Times New Roman" w:hAnsi="Times New Roman" w:cs="Times New Roman"/>
          <w:color w:val="000000" w:themeColor="text1"/>
          <w:sz w:val="24"/>
          <w:szCs w:val="24"/>
        </w:rPr>
        <w:t>ing, P.</w:t>
      </w:r>
      <w:r>
        <w:rPr>
          <w:rFonts w:ascii="Times New Roman" w:hAnsi="Times New Roman" w:cs="Times New Roman"/>
          <w:color w:val="000000" w:themeColor="text1"/>
          <w:sz w:val="24"/>
          <w:szCs w:val="24"/>
        </w:rPr>
        <w:t>,</w:t>
      </w:r>
      <w:r w:rsidRPr="004D110F">
        <w:rPr>
          <w:rFonts w:ascii="Times New Roman" w:hAnsi="Times New Roman" w:cs="Times New Roman"/>
          <w:color w:val="000000" w:themeColor="text1"/>
          <w:sz w:val="24"/>
          <w:szCs w:val="24"/>
        </w:rPr>
        <w:t xml:space="preserve"> </w:t>
      </w:r>
      <w:r w:rsidR="00C819F2">
        <w:rPr>
          <w:rFonts w:ascii="Times New Roman" w:hAnsi="Times New Roman" w:cs="Times New Roman"/>
          <w:color w:val="000000" w:themeColor="text1"/>
          <w:sz w:val="24"/>
          <w:szCs w:val="24"/>
        </w:rPr>
        <w:t>&amp;</w:t>
      </w:r>
      <w:r w:rsidRPr="004D110F">
        <w:rPr>
          <w:rFonts w:ascii="Times New Roman" w:hAnsi="Times New Roman" w:cs="Times New Roman"/>
          <w:color w:val="000000" w:themeColor="text1"/>
          <w:sz w:val="24"/>
          <w:szCs w:val="24"/>
        </w:rPr>
        <w:t xml:space="preserve"> Ding, Y. </w:t>
      </w:r>
      <w:r w:rsidR="00C819F2">
        <w:rPr>
          <w:rFonts w:ascii="Times New Roman" w:hAnsi="Times New Roman" w:cs="Times New Roman"/>
          <w:color w:val="000000" w:themeColor="text1"/>
          <w:sz w:val="24"/>
          <w:szCs w:val="24"/>
        </w:rPr>
        <w:t>(</w:t>
      </w:r>
      <w:r w:rsidRPr="004D110F">
        <w:rPr>
          <w:rFonts w:ascii="Times New Roman" w:hAnsi="Times New Roman" w:cs="Times New Roman"/>
          <w:color w:val="000000" w:themeColor="text1"/>
          <w:sz w:val="24"/>
          <w:szCs w:val="24"/>
        </w:rPr>
        <w:t>2020</w:t>
      </w:r>
      <w:r w:rsidR="00C819F2">
        <w:rPr>
          <w:rFonts w:ascii="Times New Roman" w:hAnsi="Times New Roman" w:cs="Times New Roman"/>
          <w:color w:val="000000" w:themeColor="text1"/>
          <w:sz w:val="24"/>
          <w:szCs w:val="24"/>
        </w:rPr>
        <w:t>)</w:t>
      </w:r>
      <w:r w:rsidRPr="004D110F">
        <w:rPr>
          <w:rFonts w:ascii="Times New Roman" w:hAnsi="Times New Roman" w:cs="Times New Roman"/>
          <w:color w:val="000000" w:themeColor="text1"/>
          <w:sz w:val="24"/>
          <w:szCs w:val="24"/>
        </w:rPr>
        <w:t xml:space="preserve">. Stories of salicylic acid: a plant </w:t>
      </w:r>
      <w:proofErr w:type="spellStart"/>
      <w:r w:rsidRPr="004D110F">
        <w:rPr>
          <w:rFonts w:ascii="Times New Roman" w:hAnsi="Times New Roman" w:cs="Times New Roman"/>
          <w:color w:val="000000" w:themeColor="text1"/>
          <w:sz w:val="24"/>
          <w:szCs w:val="24"/>
        </w:rPr>
        <w:t>defense</w:t>
      </w:r>
      <w:proofErr w:type="spellEnd"/>
      <w:r w:rsidRPr="004D110F">
        <w:rPr>
          <w:rFonts w:ascii="Times New Roman" w:hAnsi="Times New Roman" w:cs="Times New Roman"/>
          <w:color w:val="000000" w:themeColor="text1"/>
          <w:sz w:val="24"/>
          <w:szCs w:val="24"/>
        </w:rPr>
        <w:t xml:space="preserve"> hormone. </w:t>
      </w:r>
      <w:r w:rsidRPr="004D110F">
        <w:rPr>
          <w:rFonts w:ascii="Times New Roman" w:hAnsi="Times New Roman" w:cs="Times New Roman"/>
          <w:i/>
          <w:iCs/>
          <w:color w:val="000000" w:themeColor="text1"/>
          <w:sz w:val="24"/>
          <w:szCs w:val="24"/>
        </w:rPr>
        <w:t>Trends in plant science</w:t>
      </w:r>
      <w:r w:rsidRPr="004D110F">
        <w:rPr>
          <w:rFonts w:ascii="Times New Roman" w:hAnsi="Times New Roman" w:cs="Times New Roman"/>
          <w:color w:val="000000" w:themeColor="text1"/>
          <w:sz w:val="24"/>
          <w:szCs w:val="24"/>
        </w:rPr>
        <w:t>, </w:t>
      </w:r>
      <w:r w:rsidRPr="001F1E3F">
        <w:rPr>
          <w:rFonts w:ascii="Times New Roman" w:hAnsi="Times New Roman" w:cs="Times New Roman"/>
          <w:color w:val="000000" w:themeColor="text1"/>
          <w:sz w:val="24"/>
          <w:szCs w:val="24"/>
        </w:rPr>
        <w:t>25</w:t>
      </w:r>
      <w:r w:rsidRPr="004D110F">
        <w:rPr>
          <w:rFonts w:ascii="Times New Roman" w:hAnsi="Times New Roman" w:cs="Times New Roman"/>
          <w:color w:val="000000" w:themeColor="text1"/>
          <w:sz w:val="24"/>
          <w:szCs w:val="24"/>
        </w:rPr>
        <w:t>(6), 549-565.</w:t>
      </w:r>
    </w:p>
    <w:p w14:paraId="14289A2F" w14:textId="7ADB8F74" w:rsidR="008B1CE4" w:rsidRPr="009A60A2" w:rsidRDefault="008B1CE4" w:rsidP="009A60A2">
      <w:pPr>
        <w:spacing w:line="360" w:lineRule="auto"/>
        <w:ind w:left="720" w:hanging="720"/>
        <w:jc w:val="both"/>
        <w:rPr>
          <w:rFonts w:ascii="Times New Roman" w:hAnsi="Times New Roman" w:cs="Times New Roman"/>
          <w:color w:val="000000" w:themeColor="text1"/>
          <w:sz w:val="24"/>
          <w:szCs w:val="24"/>
        </w:rPr>
      </w:pPr>
      <w:r w:rsidRPr="00783896">
        <w:rPr>
          <w:rFonts w:ascii="Times New Roman" w:hAnsi="Times New Roman" w:cs="Times New Roman"/>
          <w:color w:val="000000" w:themeColor="text1"/>
          <w:sz w:val="24"/>
          <w:szCs w:val="24"/>
        </w:rPr>
        <w:t>D</w:t>
      </w:r>
      <w:r w:rsidRPr="008B1CE4">
        <w:rPr>
          <w:rFonts w:ascii="Times New Roman" w:hAnsi="Times New Roman" w:cs="Times New Roman"/>
          <w:color w:val="000000" w:themeColor="text1"/>
          <w:sz w:val="24"/>
          <w:szCs w:val="24"/>
        </w:rPr>
        <w:t>ong, J., Wan, G.</w:t>
      </w:r>
      <w:r>
        <w:rPr>
          <w:rFonts w:ascii="Times New Roman" w:hAnsi="Times New Roman" w:cs="Times New Roman"/>
          <w:color w:val="000000" w:themeColor="text1"/>
          <w:sz w:val="24"/>
          <w:szCs w:val="24"/>
        </w:rPr>
        <w:t>,</w:t>
      </w:r>
      <w:r w:rsidRPr="008B1CE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&amp;</w:t>
      </w:r>
      <w:r w:rsidRPr="008B1CE4">
        <w:rPr>
          <w:rFonts w:ascii="Times New Roman" w:hAnsi="Times New Roman" w:cs="Times New Roman"/>
          <w:color w:val="000000" w:themeColor="text1"/>
          <w:sz w:val="24"/>
          <w:szCs w:val="24"/>
        </w:rPr>
        <w:t xml:space="preserve"> Liang, Z. </w:t>
      </w:r>
      <w:r>
        <w:rPr>
          <w:rFonts w:ascii="Times New Roman" w:hAnsi="Times New Roman" w:cs="Times New Roman"/>
          <w:color w:val="000000" w:themeColor="text1"/>
          <w:sz w:val="24"/>
          <w:szCs w:val="24"/>
        </w:rPr>
        <w:t>(</w:t>
      </w:r>
      <w:r w:rsidRPr="008B1CE4">
        <w:rPr>
          <w:rFonts w:ascii="Times New Roman" w:hAnsi="Times New Roman" w:cs="Times New Roman"/>
          <w:color w:val="000000" w:themeColor="text1"/>
          <w:sz w:val="24"/>
          <w:szCs w:val="24"/>
        </w:rPr>
        <w:t>2010</w:t>
      </w:r>
      <w:r>
        <w:rPr>
          <w:rFonts w:ascii="Times New Roman" w:hAnsi="Times New Roman" w:cs="Times New Roman"/>
          <w:color w:val="000000" w:themeColor="text1"/>
          <w:sz w:val="24"/>
          <w:szCs w:val="24"/>
        </w:rPr>
        <w:t>)</w:t>
      </w:r>
      <w:r w:rsidRPr="008B1CE4">
        <w:rPr>
          <w:rFonts w:ascii="Times New Roman" w:hAnsi="Times New Roman" w:cs="Times New Roman"/>
          <w:color w:val="000000" w:themeColor="text1"/>
          <w:sz w:val="24"/>
          <w:szCs w:val="24"/>
        </w:rPr>
        <w:t xml:space="preserve">. Accumulation of salicylic acid-induced phenolic compounds and raised activities of secondary metabolic and antioxidative enzymes in </w:t>
      </w:r>
      <w:r w:rsidRPr="008B1CE4">
        <w:rPr>
          <w:rFonts w:ascii="Times New Roman" w:hAnsi="Times New Roman" w:cs="Times New Roman"/>
          <w:i/>
          <w:iCs/>
          <w:color w:val="000000" w:themeColor="text1"/>
          <w:sz w:val="24"/>
          <w:szCs w:val="24"/>
        </w:rPr>
        <w:t xml:space="preserve">Salvia </w:t>
      </w:r>
      <w:proofErr w:type="spellStart"/>
      <w:r w:rsidRPr="008B1CE4">
        <w:rPr>
          <w:rFonts w:ascii="Times New Roman" w:hAnsi="Times New Roman" w:cs="Times New Roman"/>
          <w:i/>
          <w:iCs/>
          <w:color w:val="000000" w:themeColor="text1"/>
          <w:sz w:val="24"/>
          <w:szCs w:val="24"/>
        </w:rPr>
        <w:t>miltiorrhiza</w:t>
      </w:r>
      <w:proofErr w:type="spellEnd"/>
      <w:r w:rsidRPr="008B1CE4">
        <w:rPr>
          <w:rFonts w:ascii="Times New Roman" w:hAnsi="Times New Roman" w:cs="Times New Roman"/>
          <w:color w:val="000000" w:themeColor="text1"/>
          <w:sz w:val="24"/>
          <w:szCs w:val="24"/>
        </w:rPr>
        <w:t xml:space="preserve"> cell culture. </w:t>
      </w:r>
      <w:r w:rsidRPr="008B1CE4">
        <w:rPr>
          <w:rFonts w:ascii="Times New Roman" w:hAnsi="Times New Roman" w:cs="Times New Roman"/>
          <w:i/>
          <w:iCs/>
          <w:color w:val="000000" w:themeColor="text1"/>
          <w:sz w:val="24"/>
          <w:szCs w:val="24"/>
        </w:rPr>
        <w:t>Journal of biotechnology</w:t>
      </w:r>
      <w:r w:rsidRPr="008B1CE4">
        <w:rPr>
          <w:rFonts w:ascii="Times New Roman" w:hAnsi="Times New Roman" w:cs="Times New Roman"/>
          <w:color w:val="000000" w:themeColor="text1"/>
          <w:sz w:val="24"/>
          <w:szCs w:val="24"/>
        </w:rPr>
        <w:t>, </w:t>
      </w:r>
      <w:r w:rsidRPr="001F1E3F">
        <w:rPr>
          <w:rFonts w:ascii="Times New Roman" w:hAnsi="Times New Roman" w:cs="Times New Roman"/>
          <w:color w:val="000000" w:themeColor="text1"/>
          <w:sz w:val="24"/>
          <w:szCs w:val="24"/>
        </w:rPr>
        <w:t>148</w:t>
      </w:r>
      <w:r w:rsidRPr="008B1CE4">
        <w:rPr>
          <w:rFonts w:ascii="Times New Roman" w:hAnsi="Times New Roman" w:cs="Times New Roman"/>
          <w:color w:val="000000" w:themeColor="text1"/>
          <w:sz w:val="24"/>
          <w:szCs w:val="24"/>
        </w:rPr>
        <w:t>(2-3), 99-104.</w:t>
      </w:r>
    </w:p>
    <w:p w14:paraId="7E1758E0" w14:textId="61E9B10B" w:rsidR="003E58F8" w:rsidRPr="009A60A2" w:rsidRDefault="003E58F8" w:rsidP="009A60A2">
      <w:pPr>
        <w:spacing w:line="360" w:lineRule="auto"/>
        <w:ind w:left="720" w:hanging="720"/>
        <w:jc w:val="both"/>
        <w:rPr>
          <w:rFonts w:ascii="Times New Roman" w:hAnsi="Times New Roman" w:cs="Times New Roman"/>
          <w:color w:val="000000" w:themeColor="text1"/>
          <w:sz w:val="24"/>
          <w:szCs w:val="24"/>
        </w:rPr>
      </w:pPr>
      <w:r w:rsidRPr="00783896">
        <w:rPr>
          <w:rFonts w:ascii="Times New Roman" w:hAnsi="Times New Roman" w:cs="Times New Roman"/>
          <w:color w:val="000000" w:themeColor="text1"/>
          <w:sz w:val="24"/>
          <w:szCs w:val="24"/>
        </w:rPr>
        <w:t>F</w:t>
      </w:r>
      <w:r w:rsidRPr="009A60A2">
        <w:rPr>
          <w:rFonts w:ascii="Times New Roman" w:hAnsi="Times New Roman" w:cs="Times New Roman"/>
          <w:color w:val="000000" w:themeColor="text1"/>
          <w:sz w:val="24"/>
          <w:szCs w:val="24"/>
        </w:rPr>
        <w:t xml:space="preserve">ood and Agriculture Organization of the United Nations (2023) </w:t>
      </w:r>
      <w:hyperlink r:id="rId17" w:history="1">
        <w:r w:rsidRPr="009A60A2">
          <w:rPr>
            <w:rStyle w:val="Hyperlink"/>
            <w:rFonts w:ascii="Times New Roman" w:hAnsi="Times New Roman" w:cs="Times New Roman"/>
            <w:sz w:val="24"/>
            <w:szCs w:val="24"/>
          </w:rPr>
          <w:t>https://www.fao.org/home/en. Accessed 19 April 2023</w:t>
        </w:r>
      </w:hyperlink>
    </w:p>
    <w:p w14:paraId="4440E4E2" w14:textId="47FBB751" w:rsidR="001E2E02" w:rsidRPr="009A60A2" w:rsidRDefault="001E2E02" w:rsidP="009A60A2">
      <w:pPr>
        <w:spacing w:line="360" w:lineRule="auto"/>
        <w:ind w:left="720" w:hanging="720"/>
        <w:jc w:val="both"/>
        <w:rPr>
          <w:rFonts w:ascii="Times New Roman" w:hAnsi="Times New Roman" w:cs="Times New Roman"/>
          <w:color w:val="000000" w:themeColor="text1"/>
          <w:sz w:val="24"/>
          <w:szCs w:val="24"/>
        </w:rPr>
      </w:pPr>
      <w:r w:rsidRPr="00783896">
        <w:rPr>
          <w:rFonts w:ascii="Times New Roman" w:hAnsi="Times New Roman" w:cs="Times New Roman"/>
          <w:color w:val="000000" w:themeColor="text1"/>
          <w:sz w:val="24"/>
          <w:szCs w:val="24"/>
        </w:rPr>
        <w:t>G</w:t>
      </w:r>
      <w:r w:rsidRPr="009A60A2">
        <w:rPr>
          <w:rFonts w:ascii="Times New Roman" w:hAnsi="Times New Roman" w:cs="Times New Roman"/>
          <w:color w:val="000000" w:themeColor="text1"/>
          <w:sz w:val="24"/>
          <w:szCs w:val="24"/>
        </w:rPr>
        <w:t>hasemzadeh, A., Jaafar, H.</w:t>
      </w:r>
      <w:r w:rsidR="0091093A" w:rsidRPr="009A60A2">
        <w:rPr>
          <w:rFonts w:ascii="Times New Roman" w:hAnsi="Times New Roman" w:cs="Times New Roman"/>
          <w:color w:val="000000" w:themeColor="text1"/>
          <w:sz w:val="24"/>
          <w:szCs w:val="24"/>
        </w:rPr>
        <w:t xml:space="preserve"> </w:t>
      </w:r>
      <w:r w:rsidRPr="009A60A2">
        <w:rPr>
          <w:rFonts w:ascii="Times New Roman" w:hAnsi="Times New Roman" w:cs="Times New Roman"/>
          <w:color w:val="000000" w:themeColor="text1"/>
          <w:sz w:val="24"/>
          <w:szCs w:val="24"/>
        </w:rPr>
        <w:t>Z.</w:t>
      </w:r>
      <w:r w:rsidR="0091093A"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 xml:space="preserve"> </w:t>
      </w:r>
      <w:r w:rsidR="0091093A" w:rsidRPr="009A60A2">
        <w:rPr>
          <w:rFonts w:ascii="Times New Roman" w:hAnsi="Times New Roman" w:cs="Times New Roman"/>
          <w:color w:val="000000" w:themeColor="text1"/>
          <w:sz w:val="24"/>
          <w:szCs w:val="24"/>
        </w:rPr>
        <w:t>&amp;</w:t>
      </w:r>
      <w:r w:rsidRPr="009A60A2">
        <w:rPr>
          <w:rFonts w:ascii="Times New Roman" w:hAnsi="Times New Roman" w:cs="Times New Roman"/>
          <w:color w:val="000000" w:themeColor="text1"/>
          <w:sz w:val="24"/>
          <w:szCs w:val="24"/>
        </w:rPr>
        <w:t xml:space="preserve"> Rahmat, A. </w:t>
      </w:r>
      <w:r w:rsidR="0091093A"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2010</w:t>
      </w:r>
      <w:r w:rsidR="0091093A"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 Antioxidant activities, total phenolics and flavonoids content in two varieties of Malaysia young ginger (</w:t>
      </w:r>
      <w:r w:rsidRPr="009A60A2">
        <w:rPr>
          <w:rFonts w:ascii="Times New Roman" w:hAnsi="Times New Roman" w:cs="Times New Roman"/>
          <w:i/>
          <w:iCs/>
          <w:color w:val="000000" w:themeColor="text1"/>
          <w:sz w:val="24"/>
          <w:szCs w:val="24"/>
        </w:rPr>
        <w:t>Zingiber officinale</w:t>
      </w:r>
      <w:r w:rsidRPr="009A60A2">
        <w:rPr>
          <w:rFonts w:ascii="Times New Roman" w:hAnsi="Times New Roman" w:cs="Times New Roman"/>
          <w:color w:val="000000" w:themeColor="text1"/>
          <w:sz w:val="24"/>
          <w:szCs w:val="24"/>
        </w:rPr>
        <w:t xml:space="preserve"> Roscoe). </w:t>
      </w:r>
      <w:r w:rsidRPr="009A60A2">
        <w:rPr>
          <w:rFonts w:ascii="Times New Roman" w:hAnsi="Times New Roman" w:cs="Times New Roman"/>
          <w:i/>
          <w:iCs/>
          <w:color w:val="000000" w:themeColor="text1"/>
          <w:sz w:val="24"/>
          <w:szCs w:val="24"/>
        </w:rPr>
        <w:t>Molecules</w:t>
      </w:r>
      <w:r w:rsidRPr="009A60A2">
        <w:rPr>
          <w:rFonts w:ascii="Times New Roman" w:hAnsi="Times New Roman" w:cs="Times New Roman"/>
          <w:color w:val="000000" w:themeColor="text1"/>
          <w:sz w:val="24"/>
          <w:szCs w:val="24"/>
        </w:rPr>
        <w:t>, </w:t>
      </w:r>
      <w:r w:rsidRPr="001F1E3F">
        <w:rPr>
          <w:rFonts w:ascii="Times New Roman" w:hAnsi="Times New Roman" w:cs="Times New Roman"/>
          <w:color w:val="000000" w:themeColor="text1"/>
          <w:sz w:val="24"/>
          <w:szCs w:val="24"/>
        </w:rPr>
        <w:t>15</w:t>
      </w:r>
      <w:r w:rsidRPr="009A60A2">
        <w:rPr>
          <w:rFonts w:ascii="Times New Roman" w:hAnsi="Times New Roman" w:cs="Times New Roman"/>
          <w:color w:val="000000" w:themeColor="text1"/>
          <w:sz w:val="24"/>
          <w:szCs w:val="24"/>
        </w:rPr>
        <w:t>(6), 4324-4333.</w:t>
      </w:r>
    </w:p>
    <w:p w14:paraId="319C806D" w14:textId="5E074FE4" w:rsidR="001E2E02" w:rsidRDefault="001E2E02" w:rsidP="009A60A2">
      <w:pPr>
        <w:spacing w:line="360" w:lineRule="auto"/>
        <w:ind w:left="720" w:hanging="720"/>
        <w:jc w:val="both"/>
        <w:rPr>
          <w:rFonts w:ascii="Times New Roman" w:hAnsi="Times New Roman" w:cs="Times New Roman"/>
          <w:color w:val="000000" w:themeColor="text1"/>
          <w:sz w:val="24"/>
          <w:szCs w:val="24"/>
        </w:rPr>
      </w:pPr>
      <w:r w:rsidRPr="00783896">
        <w:rPr>
          <w:rFonts w:ascii="Times New Roman" w:hAnsi="Times New Roman" w:cs="Times New Roman"/>
          <w:color w:val="000000" w:themeColor="text1"/>
          <w:sz w:val="24"/>
          <w:szCs w:val="24"/>
        </w:rPr>
        <w:t>G</w:t>
      </w:r>
      <w:r w:rsidRPr="009A60A2">
        <w:rPr>
          <w:rFonts w:ascii="Times New Roman" w:hAnsi="Times New Roman" w:cs="Times New Roman"/>
          <w:color w:val="000000" w:themeColor="text1"/>
          <w:sz w:val="24"/>
          <w:szCs w:val="24"/>
        </w:rPr>
        <w:t>iri, C.</w:t>
      </w:r>
      <w:r w:rsidR="004C6B48" w:rsidRPr="009A60A2">
        <w:rPr>
          <w:rFonts w:ascii="Times New Roman" w:hAnsi="Times New Roman" w:cs="Times New Roman"/>
          <w:color w:val="000000" w:themeColor="text1"/>
          <w:sz w:val="24"/>
          <w:szCs w:val="24"/>
        </w:rPr>
        <w:t xml:space="preserve"> </w:t>
      </w:r>
      <w:r w:rsidRPr="009A60A2">
        <w:rPr>
          <w:rFonts w:ascii="Times New Roman" w:hAnsi="Times New Roman" w:cs="Times New Roman"/>
          <w:color w:val="000000" w:themeColor="text1"/>
          <w:sz w:val="24"/>
          <w:szCs w:val="24"/>
        </w:rPr>
        <w:t>C.</w:t>
      </w:r>
      <w:r w:rsidR="004C6B48"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 xml:space="preserve"> </w:t>
      </w:r>
      <w:r w:rsidR="004C6B48" w:rsidRPr="009A60A2">
        <w:rPr>
          <w:rFonts w:ascii="Times New Roman" w:hAnsi="Times New Roman" w:cs="Times New Roman"/>
          <w:color w:val="000000" w:themeColor="text1"/>
          <w:sz w:val="24"/>
          <w:szCs w:val="24"/>
        </w:rPr>
        <w:t>&amp;</w:t>
      </w:r>
      <w:r w:rsidRPr="009A60A2">
        <w:rPr>
          <w:rFonts w:ascii="Times New Roman" w:hAnsi="Times New Roman" w:cs="Times New Roman"/>
          <w:color w:val="000000" w:themeColor="text1"/>
          <w:sz w:val="24"/>
          <w:szCs w:val="24"/>
        </w:rPr>
        <w:t xml:space="preserve"> Zaheer, M. </w:t>
      </w:r>
      <w:r w:rsidR="004C6B48"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2016</w:t>
      </w:r>
      <w:r w:rsidR="004C6B48"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 xml:space="preserve">. Chemical elicitors versus secondary metabolite production </w:t>
      </w:r>
      <w:r w:rsidRPr="009A60A2">
        <w:rPr>
          <w:rFonts w:ascii="Times New Roman" w:hAnsi="Times New Roman" w:cs="Times New Roman"/>
          <w:i/>
          <w:iCs/>
          <w:color w:val="000000" w:themeColor="text1"/>
          <w:sz w:val="24"/>
          <w:szCs w:val="24"/>
        </w:rPr>
        <w:t>in vitro</w:t>
      </w:r>
      <w:r w:rsidRPr="009A60A2">
        <w:rPr>
          <w:rFonts w:ascii="Times New Roman" w:hAnsi="Times New Roman" w:cs="Times New Roman"/>
          <w:color w:val="000000" w:themeColor="text1"/>
          <w:sz w:val="24"/>
          <w:szCs w:val="24"/>
        </w:rPr>
        <w:t xml:space="preserve"> using plant cell, tissue and organ cultures: recent trends and a sky eye view appraisal. </w:t>
      </w:r>
      <w:r w:rsidRPr="009A60A2">
        <w:rPr>
          <w:rFonts w:ascii="Times New Roman" w:hAnsi="Times New Roman" w:cs="Times New Roman"/>
          <w:i/>
          <w:iCs/>
          <w:color w:val="000000" w:themeColor="text1"/>
          <w:sz w:val="24"/>
          <w:szCs w:val="24"/>
        </w:rPr>
        <w:t>Plant Cell, Tissue and Organ Culture (PCTOC)</w:t>
      </w:r>
      <w:r w:rsidRPr="009A60A2">
        <w:rPr>
          <w:rFonts w:ascii="Times New Roman" w:hAnsi="Times New Roman" w:cs="Times New Roman"/>
          <w:color w:val="000000" w:themeColor="text1"/>
          <w:sz w:val="24"/>
          <w:szCs w:val="24"/>
        </w:rPr>
        <w:t>, </w:t>
      </w:r>
      <w:r w:rsidRPr="001F1E3F">
        <w:rPr>
          <w:rFonts w:ascii="Times New Roman" w:hAnsi="Times New Roman" w:cs="Times New Roman"/>
          <w:color w:val="000000" w:themeColor="text1"/>
          <w:sz w:val="24"/>
          <w:szCs w:val="24"/>
        </w:rPr>
        <w:t>126</w:t>
      </w:r>
      <w:r w:rsidRPr="009A60A2">
        <w:rPr>
          <w:rFonts w:ascii="Times New Roman" w:hAnsi="Times New Roman" w:cs="Times New Roman"/>
          <w:color w:val="000000" w:themeColor="text1"/>
          <w:sz w:val="24"/>
          <w:szCs w:val="24"/>
        </w:rPr>
        <w:t>, 1-18.</w:t>
      </w:r>
    </w:p>
    <w:p w14:paraId="4838846C" w14:textId="4B5FAAA2" w:rsidR="00A353EF" w:rsidRPr="009A60A2" w:rsidRDefault="00A353EF" w:rsidP="009A60A2">
      <w:pPr>
        <w:spacing w:line="360" w:lineRule="auto"/>
        <w:ind w:left="720" w:hanging="720"/>
        <w:jc w:val="both"/>
        <w:rPr>
          <w:rFonts w:ascii="Times New Roman" w:hAnsi="Times New Roman" w:cs="Times New Roman"/>
          <w:color w:val="000000" w:themeColor="text1"/>
          <w:sz w:val="24"/>
          <w:szCs w:val="24"/>
        </w:rPr>
      </w:pPr>
      <w:r w:rsidRPr="00A353EF">
        <w:rPr>
          <w:rFonts w:ascii="Times New Roman" w:hAnsi="Times New Roman" w:cs="Times New Roman"/>
          <w:color w:val="000000" w:themeColor="text1"/>
          <w:sz w:val="24"/>
          <w:szCs w:val="24"/>
        </w:rPr>
        <w:t xml:space="preserve">Gupta, D. </w:t>
      </w:r>
      <w:r>
        <w:rPr>
          <w:rFonts w:ascii="Times New Roman" w:hAnsi="Times New Roman" w:cs="Times New Roman"/>
          <w:color w:val="000000" w:themeColor="text1"/>
          <w:sz w:val="24"/>
          <w:szCs w:val="24"/>
        </w:rPr>
        <w:t>(</w:t>
      </w:r>
      <w:r w:rsidRPr="00A353EF">
        <w:rPr>
          <w:rFonts w:ascii="Times New Roman" w:hAnsi="Times New Roman" w:cs="Times New Roman"/>
          <w:color w:val="000000" w:themeColor="text1"/>
          <w:sz w:val="24"/>
          <w:szCs w:val="24"/>
        </w:rPr>
        <w:t>2013</w:t>
      </w:r>
      <w:r>
        <w:rPr>
          <w:rFonts w:ascii="Times New Roman" w:hAnsi="Times New Roman" w:cs="Times New Roman"/>
          <w:color w:val="000000" w:themeColor="text1"/>
          <w:sz w:val="24"/>
          <w:szCs w:val="24"/>
        </w:rPr>
        <w:t>)</w:t>
      </w:r>
      <w:r w:rsidRPr="00A353EF">
        <w:rPr>
          <w:rFonts w:ascii="Times New Roman" w:hAnsi="Times New Roman" w:cs="Times New Roman"/>
          <w:color w:val="000000" w:themeColor="text1"/>
          <w:sz w:val="24"/>
          <w:szCs w:val="24"/>
        </w:rPr>
        <w:t>. Comparative analysis of spices for their phenolic content, flavonoid content and antioxidant capacity. </w:t>
      </w:r>
      <w:r w:rsidRPr="00A353EF">
        <w:rPr>
          <w:rFonts w:ascii="Times New Roman" w:hAnsi="Times New Roman" w:cs="Times New Roman"/>
          <w:i/>
          <w:iCs/>
          <w:color w:val="000000" w:themeColor="text1"/>
          <w:sz w:val="24"/>
          <w:szCs w:val="24"/>
        </w:rPr>
        <w:t>American International Journal of Research in Formal, Applied &amp; Natural Sciences</w:t>
      </w:r>
      <w:r w:rsidRPr="00A353EF">
        <w:rPr>
          <w:rFonts w:ascii="Times New Roman" w:hAnsi="Times New Roman" w:cs="Times New Roman"/>
          <w:color w:val="000000" w:themeColor="text1"/>
          <w:sz w:val="24"/>
          <w:szCs w:val="24"/>
        </w:rPr>
        <w:t>, </w:t>
      </w:r>
      <w:r w:rsidRPr="001F1E3F">
        <w:rPr>
          <w:rFonts w:ascii="Times New Roman" w:hAnsi="Times New Roman" w:cs="Times New Roman"/>
          <w:color w:val="000000" w:themeColor="text1"/>
          <w:sz w:val="24"/>
          <w:szCs w:val="24"/>
        </w:rPr>
        <w:t>4</w:t>
      </w:r>
      <w:r w:rsidRPr="00A353EF">
        <w:rPr>
          <w:rFonts w:ascii="Times New Roman" w:hAnsi="Times New Roman" w:cs="Times New Roman"/>
          <w:color w:val="000000" w:themeColor="text1"/>
          <w:sz w:val="24"/>
          <w:szCs w:val="24"/>
        </w:rPr>
        <w:t>(1), 38-42.</w:t>
      </w:r>
    </w:p>
    <w:p w14:paraId="44DBE7D2" w14:textId="79B1B2BF" w:rsidR="001E2E02" w:rsidRPr="009A60A2" w:rsidRDefault="001E2E02" w:rsidP="009A60A2">
      <w:pPr>
        <w:spacing w:line="360" w:lineRule="auto"/>
        <w:ind w:left="720" w:hanging="720"/>
        <w:jc w:val="both"/>
        <w:rPr>
          <w:rFonts w:ascii="Times New Roman" w:hAnsi="Times New Roman" w:cs="Times New Roman"/>
          <w:color w:val="000000" w:themeColor="text1"/>
          <w:sz w:val="24"/>
          <w:szCs w:val="24"/>
        </w:rPr>
      </w:pPr>
      <w:r w:rsidRPr="00783896">
        <w:rPr>
          <w:rFonts w:ascii="Times New Roman" w:hAnsi="Times New Roman" w:cs="Times New Roman"/>
          <w:color w:val="000000" w:themeColor="text1"/>
          <w:sz w:val="24"/>
          <w:szCs w:val="24"/>
        </w:rPr>
        <w:lastRenderedPageBreak/>
        <w:t>H</w:t>
      </w:r>
      <w:r w:rsidRPr="009A60A2">
        <w:rPr>
          <w:rFonts w:ascii="Times New Roman" w:hAnsi="Times New Roman" w:cs="Times New Roman"/>
          <w:color w:val="000000" w:themeColor="text1"/>
          <w:sz w:val="24"/>
          <w:szCs w:val="24"/>
        </w:rPr>
        <w:t>ayat, Q., Hayat, S., Irfan, M.</w:t>
      </w:r>
      <w:r w:rsidR="004C6B48"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 xml:space="preserve"> </w:t>
      </w:r>
      <w:r w:rsidR="004C6B48" w:rsidRPr="009A60A2">
        <w:rPr>
          <w:rFonts w:ascii="Times New Roman" w:hAnsi="Times New Roman" w:cs="Times New Roman"/>
          <w:color w:val="000000" w:themeColor="text1"/>
          <w:sz w:val="24"/>
          <w:szCs w:val="24"/>
        </w:rPr>
        <w:t>&amp;</w:t>
      </w:r>
      <w:r w:rsidRPr="009A60A2">
        <w:rPr>
          <w:rFonts w:ascii="Times New Roman" w:hAnsi="Times New Roman" w:cs="Times New Roman"/>
          <w:color w:val="000000" w:themeColor="text1"/>
          <w:sz w:val="24"/>
          <w:szCs w:val="24"/>
        </w:rPr>
        <w:t xml:space="preserve"> Ahmad, A. </w:t>
      </w:r>
      <w:r w:rsidR="004C6B48"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2010</w:t>
      </w:r>
      <w:r w:rsidR="004C6B48"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 Effect of exogenous salicylic acid under changing environment: a review. </w:t>
      </w:r>
      <w:r w:rsidRPr="009A60A2">
        <w:rPr>
          <w:rFonts w:ascii="Times New Roman" w:hAnsi="Times New Roman" w:cs="Times New Roman"/>
          <w:i/>
          <w:iCs/>
          <w:color w:val="000000" w:themeColor="text1"/>
          <w:sz w:val="24"/>
          <w:szCs w:val="24"/>
        </w:rPr>
        <w:t>Environmental and experimental botany</w:t>
      </w:r>
      <w:r w:rsidRPr="009A60A2">
        <w:rPr>
          <w:rFonts w:ascii="Times New Roman" w:hAnsi="Times New Roman" w:cs="Times New Roman"/>
          <w:color w:val="000000" w:themeColor="text1"/>
          <w:sz w:val="24"/>
          <w:szCs w:val="24"/>
        </w:rPr>
        <w:t>, </w:t>
      </w:r>
      <w:r w:rsidRPr="001F1E3F">
        <w:rPr>
          <w:rFonts w:ascii="Times New Roman" w:hAnsi="Times New Roman" w:cs="Times New Roman"/>
          <w:color w:val="000000" w:themeColor="text1"/>
          <w:sz w:val="24"/>
          <w:szCs w:val="24"/>
        </w:rPr>
        <w:t>68</w:t>
      </w:r>
      <w:r w:rsidRPr="009A60A2">
        <w:rPr>
          <w:rFonts w:ascii="Times New Roman" w:hAnsi="Times New Roman" w:cs="Times New Roman"/>
          <w:color w:val="000000" w:themeColor="text1"/>
          <w:sz w:val="24"/>
          <w:szCs w:val="24"/>
        </w:rPr>
        <w:t>(1), 14-25.</w:t>
      </w:r>
    </w:p>
    <w:p w14:paraId="702830D9" w14:textId="3E299C26" w:rsidR="001E2E02" w:rsidRPr="009A60A2" w:rsidRDefault="001E2E02" w:rsidP="009A60A2">
      <w:pPr>
        <w:spacing w:line="360" w:lineRule="auto"/>
        <w:ind w:left="720" w:hanging="720"/>
        <w:jc w:val="both"/>
        <w:rPr>
          <w:rFonts w:ascii="Times New Roman" w:hAnsi="Times New Roman" w:cs="Times New Roman"/>
          <w:color w:val="000000" w:themeColor="text1"/>
          <w:sz w:val="24"/>
          <w:szCs w:val="24"/>
        </w:rPr>
      </w:pPr>
      <w:r w:rsidRPr="00783896">
        <w:rPr>
          <w:rFonts w:ascii="Times New Roman" w:hAnsi="Times New Roman" w:cs="Times New Roman"/>
          <w:color w:val="000000" w:themeColor="text1"/>
          <w:sz w:val="24"/>
          <w:szCs w:val="24"/>
        </w:rPr>
        <w:t>H</w:t>
      </w:r>
      <w:r w:rsidRPr="009A60A2">
        <w:rPr>
          <w:rFonts w:ascii="Times New Roman" w:hAnsi="Times New Roman" w:cs="Times New Roman"/>
          <w:color w:val="000000" w:themeColor="text1"/>
          <w:sz w:val="24"/>
          <w:szCs w:val="24"/>
        </w:rPr>
        <w:t>ema, M., Kumar, R.</w:t>
      </w:r>
      <w:r w:rsidR="004C6B48"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 xml:space="preserve"> </w:t>
      </w:r>
      <w:r w:rsidR="004C6B48" w:rsidRPr="009A60A2">
        <w:rPr>
          <w:rFonts w:ascii="Times New Roman" w:hAnsi="Times New Roman" w:cs="Times New Roman"/>
          <w:color w:val="000000" w:themeColor="text1"/>
          <w:sz w:val="24"/>
          <w:szCs w:val="24"/>
        </w:rPr>
        <w:t>&amp;</w:t>
      </w:r>
      <w:r w:rsidRPr="009A60A2">
        <w:rPr>
          <w:rFonts w:ascii="Times New Roman" w:hAnsi="Times New Roman" w:cs="Times New Roman"/>
          <w:color w:val="000000" w:themeColor="text1"/>
          <w:sz w:val="24"/>
          <w:szCs w:val="24"/>
        </w:rPr>
        <w:t xml:space="preserve"> Singh, N.</w:t>
      </w:r>
      <w:r w:rsidR="004C6B48" w:rsidRPr="009A60A2">
        <w:rPr>
          <w:rFonts w:ascii="Times New Roman" w:hAnsi="Times New Roman" w:cs="Times New Roman"/>
          <w:color w:val="000000" w:themeColor="text1"/>
          <w:sz w:val="24"/>
          <w:szCs w:val="24"/>
        </w:rPr>
        <w:t xml:space="preserve"> </w:t>
      </w:r>
      <w:r w:rsidRPr="009A60A2">
        <w:rPr>
          <w:rFonts w:ascii="Times New Roman" w:hAnsi="Times New Roman" w:cs="Times New Roman"/>
          <w:color w:val="000000" w:themeColor="text1"/>
          <w:sz w:val="24"/>
          <w:szCs w:val="24"/>
        </w:rPr>
        <w:t xml:space="preserve">P. </w:t>
      </w:r>
      <w:r w:rsidR="004C6B48"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2007</w:t>
      </w:r>
      <w:r w:rsidR="004C6B48"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 Volatile price and declining profitability of black pepper in India: Disquieting future. </w:t>
      </w:r>
      <w:r w:rsidRPr="009A60A2">
        <w:rPr>
          <w:rFonts w:ascii="Times New Roman" w:hAnsi="Times New Roman" w:cs="Times New Roman"/>
          <w:i/>
          <w:iCs/>
          <w:color w:val="000000" w:themeColor="text1"/>
          <w:sz w:val="24"/>
          <w:szCs w:val="24"/>
        </w:rPr>
        <w:t>Agricultural Economics Research Review</w:t>
      </w:r>
      <w:r w:rsidRPr="009A60A2">
        <w:rPr>
          <w:rFonts w:ascii="Times New Roman" w:hAnsi="Times New Roman" w:cs="Times New Roman"/>
          <w:color w:val="000000" w:themeColor="text1"/>
          <w:sz w:val="24"/>
          <w:szCs w:val="24"/>
        </w:rPr>
        <w:t>, </w:t>
      </w:r>
      <w:r w:rsidRPr="001F1E3F">
        <w:rPr>
          <w:rFonts w:ascii="Times New Roman" w:hAnsi="Times New Roman" w:cs="Times New Roman"/>
          <w:color w:val="000000" w:themeColor="text1"/>
          <w:sz w:val="24"/>
          <w:szCs w:val="24"/>
        </w:rPr>
        <w:t>20</w:t>
      </w:r>
      <w:r w:rsidRPr="009A60A2">
        <w:rPr>
          <w:rFonts w:ascii="Times New Roman" w:hAnsi="Times New Roman" w:cs="Times New Roman"/>
          <w:color w:val="000000" w:themeColor="text1"/>
          <w:sz w:val="24"/>
          <w:szCs w:val="24"/>
        </w:rPr>
        <w:t>(1)</w:t>
      </w:r>
      <w:r w:rsidR="004C6B48" w:rsidRPr="009A60A2">
        <w:rPr>
          <w:rFonts w:ascii="Times New Roman" w:hAnsi="Times New Roman" w:cs="Times New Roman"/>
          <w:color w:val="000000" w:themeColor="text1"/>
          <w:sz w:val="24"/>
          <w:szCs w:val="24"/>
        </w:rPr>
        <w:t xml:space="preserve">, </w:t>
      </w:r>
      <w:r w:rsidRPr="009A60A2">
        <w:rPr>
          <w:rFonts w:ascii="Times New Roman" w:hAnsi="Times New Roman" w:cs="Times New Roman"/>
          <w:color w:val="000000" w:themeColor="text1"/>
          <w:sz w:val="24"/>
          <w:szCs w:val="24"/>
        </w:rPr>
        <w:t>61-76.</w:t>
      </w:r>
    </w:p>
    <w:p w14:paraId="01B34882" w14:textId="13A334E8" w:rsidR="00235E9A" w:rsidRPr="009A60A2" w:rsidRDefault="00235E9A" w:rsidP="009A60A2">
      <w:pPr>
        <w:spacing w:line="360" w:lineRule="auto"/>
        <w:ind w:left="720" w:hanging="720"/>
        <w:jc w:val="both"/>
        <w:rPr>
          <w:rFonts w:ascii="Times New Roman" w:hAnsi="Times New Roman" w:cs="Times New Roman"/>
          <w:color w:val="000000" w:themeColor="text1"/>
          <w:sz w:val="24"/>
          <w:szCs w:val="24"/>
        </w:rPr>
      </w:pPr>
      <w:r w:rsidRPr="00783896">
        <w:rPr>
          <w:rFonts w:ascii="Times New Roman" w:hAnsi="Times New Roman" w:cs="Times New Roman"/>
          <w:color w:val="000000" w:themeColor="text1"/>
          <w:sz w:val="24"/>
          <w:szCs w:val="24"/>
        </w:rPr>
        <w:t>K</w:t>
      </w:r>
      <w:r w:rsidRPr="00235E9A">
        <w:rPr>
          <w:rFonts w:ascii="Times New Roman" w:hAnsi="Times New Roman" w:cs="Times New Roman"/>
          <w:color w:val="000000" w:themeColor="text1"/>
          <w:sz w:val="24"/>
          <w:szCs w:val="24"/>
        </w:rPr>
        <w:t>im, Y.</w:t>
      </w:r>
      <w:r>
        <w:rPr>
          <w:rFonts w:ascii="Times New Roman" w:hAnsi="Times New Roman" w:cs="Times New Roman"/>
          <w:color w:val="000000" w:themeColor="text1"/>
          <w:sz w:val="24"/>
          <w:szCs w:val="24"/>
        </w:rPr>
        <w:t xml:space="preserve"> </w:t>
      </w:r>
      <w:r w:rsidRPr="00235E9A">
        <w:rPr>
          <w:rFonts w:ascii="Times New Roman" w:hAnsi="Times New Roman" w:cs="Times New Roman"/>
          <w:color w:val="000000" w:themeColor="text1"/>
          <w:sz w:val="24"/>
          <w:szCs w:val="24"/>
        </w:rPr>
        <w:t>H., Hamayun, M., Khan, A.</w:t>
      </w:r>
      <w:r>
        <w:rPr>
          <w:rFonts w:ascii="Times New Roman" w:hAnsi="Times New Roman" w:cs="Times New Roman"/>
          <w:color w:val="000000" w:themeColor="text1"/>
          <w:sz w:val="24"/>
          <w:szCs w:val="24"/>
        </w:rPr>
        <w:t xml:space="preserve"> </w:t>
      </w:r>
      <w:r w:rsidRPr="00235E9A">
        <w:rPr>
          <w:rFonts w:ascii="Times New Roman" w:hAnsi="Times New Roman" w:cs="Times New Roman"/>
          <w:color w:val="000000" w:themeColor="text1"/>
          <w:sz w:val="24"/>
          <w:szCs w:val="24"/>
        </w:rPr>
        <w:t>L., Na, C.</w:t>
      </w:r>
      <w:r>
        <w:rPr>
          <w:rFonts w:ascii="Times New Roman" w:hAnsi="Times New Roman" w:cs="Times New Roman"/>
          <w:color w:val="000000" w:themeColor="text1"/>
          <w:sz w:val="24"/>
          <w:szCs w:val="24"/>
        </w:rPr>
        <w:t xml:space="preserve"> </w:t>
      </w:r>
      <w:r w:rsidRPr="00235E9A">
        <w:rPr>
          <w:rFonts w:ascii="Times New Roman" w:hAnsi="Times New Roman" w:cs="Times New Roman"/>
          <w:color w:val="000000" w:themeColor="text1"/>
          <w:sz w:val="24"/>
          <w:szCs w:val="24"/>
        </w:rPr>
        <w:t>I., Kang, S.</w:t>
      </w:r>
      <w:r>
        <w:rPr>
          <w:rFonts w:ascii="Times New Roman" w:hAnsi="Times New Roman" w:cs="Times New Roman"/>
          <w:color w:val="000000" w:themeColor="text1"/>
          <w:sz w:val="24"/>
          <w:szCs w:val="24"/>
        </w:rPr>
        <w:t xml:space="preserve"> </w:t>
      </w:r>
      <w:r w:rsidRPr="00235E9A">
        <w:rPr>
          <w:rFonts w:ascii="Times New Roman" w:hAnsi="Times New Roman" w:cs="Times New Roman"/>
          <w:color w:val="000000" w:themeColor="text1"/>
          <w:sz w:val="24"/>
          <w:szCs w:val="24"/>
        </w:rPr>
        <w:t>M., Han, H.</w:t>
      </w:r>
      <w:r>
        <w:rPr>
          <w:rFonts w:ascii="Times New Roman" w:hAnsi="Times New Roman" w:cs="Times New Roman"/>
          <w:color w:val="000000" w:themeColor="text1"/>
          <w:sz w:val="24"/>
          <w:szCs w:val="24"/>
        </w:rPr>
        <w:t xml:space="preserve"> </w:t>
      </w:r>
      <w:r w:rsidRPr="00235E9A">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rPr>
        <w:t>,</w:t>
      </w:r>
      <w:r w:rsidRPr="00235E9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&amp;</w:t>
      </w:r>
      <w:r w:rsidRPr="00235E9A">
        <w:rPr>
          <w:rFonts w:ascii="Times New Roman" w:hAnsi="Times New Roman" w:cs="Times New Roman"/>
          <w:color w:val="000000" w:themeColor="text1"/>
          <w:sz w:val="24"/>
          <w:szCs w:val="24"/>
        </w:rPr>
        <w:t xml:space="preserve"> Lee, I. </w:t>
      </w:r>
      <w:r>
        <w:rPr>
          <w:rFonts w:ascii="Times New Roman" w:hAnsi="Times New Roman" w:cs="Times New Roman"/>
          <w:color w:val="000000" w:themeColor="text1"/>
          <w:sz w:val="24"/>
          <w:szCs w:val="24"/>
        </w:rPr>
        <w:t>(</w:t>
      </w:r>
      <w:r w:rsidRPr="00235E9A">
        <w:rPr>
          <w:rFonts w:ascii="Times New Roman" w:hAnsi="Times New Roman" w:cs="Times New Roman"/>
          <w:color w:val="000000" w:themeColor="text1"/>
          <w:sz w:val="24"/>
          <w:szCs w:val="24"/>
        </w:rPr>
        <w:t>2009</w:t>
      </w:r>
      <w:r>
        <w:rPr>
          <w:rFonts w:ascii="Times New Roman" w:hAnsi="Times New Roman" w:cs="Times New Roman"/>
          <w:color w:val="000000" w:themeColor="text1"/>
          <w:sz w:val="24"/>
          <w:szCs w:val="24"/>
        </w:rPr>
        <w:t>)</w:t>
      </w:r>
      <w:r w:rsidRPr="00235E9A">
        <w:rPr>
          <w:rFonts w:ascii="Times New Roman" w:hAnsi="Times New Roman" w:cs="Times New Roman"/>
          <w:color w:val="000000" w:themeColor="text1"/>
          <w:sz w:val="24"/>
          <w:szCs w:val="24"/>
        </w:rPr>
        <w:t xml:space="preserve">. Exogenous application of plant growth regulators increased the total flavonoid content in </w:t>
      </w:r>
      <w:r w:rsidRPr="00235E9A">
        <w:rPr>
          <w:rFonts w:ascii="Times New Roman" w:hAnsi="Times New Roman" w:cs="Times New Roman"/>
          <w:i/>
          <w:iCs/>
          <w:color w:val="000000" w:themeColor="text1"/>
          <w:sz w:val="24"/>
          <w:szCs w:val="24"/>
        </w:rPr>
        <w:t xml:space="preserve">Taraxacum officinale </w:t>
      </w:r>
      <w:r w:rsidRPr="00575779">
        <w:rPr>
          <w:rFonts w:ascii="Times New Roman" w:hAnsi="Times New Roman" w:cs="Times New Roman"/>
          <w:color w:val="000000" w:themeColor="text1"/>
          <w:sz w:val="24"/>
          <w:szCs w:val="24"/>
        </w:rPr>
        <w:t>Wigg</w:t>
      </w:r>
      <w:r w:rsidRPr="00235E9A">
        <w:rPr>
          <w:rFonts w:ascii="Times New Roman" w:hAnsi="Times New Roman" w:cs="Times New Roman"/>
          <w:color w:val="000000" w:themeColor="text1"/>
          <w:sz w:val="24"/>
          <w:szCs w:val="24"/>
        </w:rPr>
        <w:t>. </w:t>
      </w:r>
      <w:r w:rsidRPr="00235E9A">
        <w:rPr>
          <w:rFonts w:ascii="Times New Roman" w:hAnsi="Times New Roman" w:cs="Times New Roman"/>
          <w:i/>
          <w:iCs/>
          <w:color w:val="000000" w:themeColor="text1"/>
          <w:sz w:val="24"/>
          <w:szCs w:val="24"/>
        </w:rPr>
        <w:t>African Journal of Biotechnology</w:t>
      </w:r>
      <w:r w:rsidRPr="00235E9A">
        <w:rPr>
          <w:rFonts w:ascii="Times New Roman" w:hAnsi="Times New Roman" w:cs="Times New Roman"/>
          <w:color w:val="000000" w:themeColor="text1"/>
          <w:sz w:val="24"/>
          <w:szCs w:val="24"/>
        </w:rPr>
        <w:t>, </w:t>
      </w:r>
      <w:r w:rsidRPr="001F1E3F">
        <w:rPr>
          <w:rFonts w:ascii="Times New Roman" w:hAnsi="Times New Roman" w:cs="Times New Roman"/>
          <w:color w:val="000000" w:themeColor="text1"/>
          <w:sz w:val="24"/>
          <w:szCs w:val="24"/>
        </w:rPr>
        <w:t>8</w:t>
      </w:r>
      <w:r w:rsidRPr="00235E9A">
        <w:rPr>
          <w:rFonts w:ascii="Times New Roman" w:hAnsi="Times New Roman" w:cs="Times New Roman"/>
          <w:color w:val="000000" w:themeColor="text1"/>
          <w:sz w:val="24"/>
          <w:szCs w:val="24"/>
        </w:rPr>
        <w:t>(21).</w:t>
      </w:r>
    </w:p>
    <w:p w14:paraId="58880040" w14:textId="52B28054" w:rsidR="00EE60D0" w:rsidRDefault="00EE60D0" w:rsidP="009A60A2">
      <w:pPr>
        <w:spacing w:line="360" w:lineRule="auto"/>
        <w:ind w:left="720" w:hanging="720"/>
        <w:jc w:val="both"/>
        <w:rPr>
          <w:rFonts w:ascii="Times New Roman" w:hAnsi="Times New Roman" w:cs="Times New Roman"/>
          <w:color w:val="000000" w:themeColor="text1"/>
          <w:sz w:val="24"/>
          <w:szCs w:val="24"/>
        </w:rPr>
      </w:pPr>
      <w:r w:rsidRPr="00783896">
        <w:rPr>
          <w:rFonts w:ascii="Times New Roman" w:hAnsi="Times New Roman" w:cs="Times New Roman"/>
          <w:color w:val="000000" w:themeColor="text1"/>
          <w:sz w:val="24"/>
          <w:szCs w:val="24"/>
        </w:rPr>
        <w:t>K</w:t>
      </w:r>
      <w:r w:rsidRPr="00EE60D0">
        <w:rPr>
          <w:rFonts w:ascii="Times New Roman" w:hAnsi="Times New Roman" w:cs="Times New Roman"/>
          <w:color w:val="000000" w:themeColor="text1"/>
          <w:sz w:val="24"/>
          <w:szCs w:val="24"/>
        </w:rPr>
        <w:t>umar, L.</w:t>
      </w:r>
      <w:r>
        <w:rPr>
          <w:rFonts w:ascii="Times New Roman" w:hAnsi="Times New Roman" w:cs="Times New Roman"/>
          <w:color w:val="000000" w:themeColor="text1"/>
          <w:sz w:val="24"/>
          <w:szCs w:val="24"/>
        </w:rPr>
        <w:t xml:space="preserve"> </w:t>
      </w:r>
      <w:r w:rsidRPr="00EE60D0">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 xml:space="preserve"> </w:t>
      </w:r>
      <w:r w:rsidRPr="00EE60D0">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rPr>
        <w:t xml:space="preserve"> </w:t>
      </w:r>
      <w:r w:rsidRPr="00EE60D0">
        <w:rPr>
          <w:rFonts w:ascii="Times New Roman" w:hAnsi="Times New Roman" w:cs="Times New Roman"/>
          <w:color w:val="000000" w:themeColor="text1"/>
          <w:sz w:val="24"/>
          <w:szCs w:val="24"/>
        </w:rPr>
        <w:t>M., Mahatma, M.</w:t>
      </w:r>
      <w:r>
        <w:rPr>
          <w:rFonts w:ascii="Times New Roman" w:hAnsi="Times New Roman" w:cs="Times New Roman"/>
          <w:color w:val="000000" w:themeColor="text1"/>
          <w:sz w:val="24"/>
          <w:szCs w:val="24"/>
        </w:rPr>
        <w:t xml:space="preserve"> </w:t>
      </w:r>
      <w:r w:rsidRPr="00EE60D0">
        <w:rPr>
          <w:rFonts w:ascii="Times New Roman" w:hAnsi="Times New Roman" w:cs="Times New Roman"/>
          <w:color w:val="000000" w:themeColor="text1"/>
          <w:sz w:val="24"/>
          <w:szCs w:val="24"/>
        </w:rPr>
        <w:t xml:space="preserve">K., </w:t>
      </w:r>
      <w:proofErr w:type="spellStart"/>
      <w:r w:rsidRPr="00EE60D0">
        <w:rPr>
          <w:rFonts w:ascii="Times New Roman" w:hAnsi="Times New Roman" w:cs="Times New Roman"/>
          <w:color w:val="000000" w:themeColor="text1"/>
          <w:sz w:val="24"/>
          <w:szCs w:val="24"/>
        </w:rPr>
        <w:t>Kalariya</w:t>
      </w:r>
      <w:proofErr w:type="spellEnd"/>
      <w:r w:rsidRPr="00EE60D0">
        <w:rPr>
          <w:rFonts w:ascii="Times New Roman" w:hAnsi="Times New Roman" w:cs="Times New Roman"/>
          <w:color w:val="000000" w:themeColor="text1"/>
          <w:sz w:val="24"/>
          <w:szCs w:val="24"/>
        </w:rPr>
        <w:t>, K.</w:t>
      </w:r>
      <w:r>
        <w:rPr>
          <w:rFonts w:ascii="Times New Roman" w:hAnsi="Times New Roman" w:cs="Times New Roman"/>
          <w:color w:val="000000" w:themeColor="text1"/>
          <w:sz w:val="24"/>
          <w:szCs w:val="24"/>
        </w:rPr>
        <w:t xml:space="preserve"> </w:t>
      </w:r>
      <w:r w:rsidRPr="00EE60D0">
        <w:rPr>
          <w:rFonts w:ascii="Times New Roman" w:hAnsi="Times New Roman" w:cs="Times New Roman"/>
          <w:color w:val="000000" w:themeColor="text1"/>
          <w:sz w:val="24"/>
          <w:szCs w:val="24"/>
        </w:rPr>
        <w:t xml:space="preserve">A., </w:t>
      </w:r>
      <w:proofErr w:type="spellStart"/>
      <w:r w:rsidRPr="00EE60D0">
        <w:rPr>
          <w:rFonts w:ascii="Times New Roman" w:hAnsi="Times New Roman" w:cs="Times New Roman"/>
          <w:color w:val="000000" w:themeColor="text1"/>
          <w:sz w:val="24"/>
          <w:szCs w:val="24"/>
        </w:rPr>
        <w:t>Bishi</w:t>
      </w:r>
      <w:proofErr w:type="spellEnd"/>
      <w:r w:rsidRPr="00EE60D0">
        <w:rPr>
          <w:rFonts w:ascii="Times New Roman" w:hAnsi="Times New Roman" w:cs="Times New Roman"/>
          <w:color w:val="000000" w:themeColor="text1"/>
          <w:sz w:val="24"/>
          <w:szCs w:val="24"/>
        </w:rPr>
        <w:t>, S.</w:t>
      </w:r>
      <w:r>
        <w:rPr>
          <w:rFonts w:ascii="Times New Roman" w:hAnsi="Times New Roman" w:cs="Times New Roman"/>
          <w:color w:val="000000" w:themeColor="text1"/>
          <w:sz w:val="24"/>
          <w:szCs w:val="24"/>
        </w:rPr>
        <w:t xml:space="preserve"> </w:t>
      </w:r>
      <w:r w:rsidRPr="00EE60D0">
        <w:rPr>
          <w:rFonts w:ascii="Times New Roman" w:hAnsi="Times New Roman" w:cs="Times New Roman"/>
          <w:color w:val="000000" w:themeColor="text1"/>
          <w:sz w:val="24"/>
          <w:szCs w:val="24"/>
        </w:rPr>
        <w:t xml:space="preserve">K. </w:t>
      </w:r>
      <w:r>
        <w:rPr>
          <w:rFonts w:ascii="Times New Roman" w:hAnsi="Times New Roman" w:cs="Times New Roman"/>
          <w:color w:val="000000" w:themeColor="text1"/>
          <w:sz w:val="24"/>
          <w:szCs w:val="24"/>
        </w:rPr>
        <w:t>&amp;</w:t>
      </w:r>
      <w:r w:rsidRPr="00EE60D0">
        <w:rPr>
          <w:rFonts w:ascii="Times New Roman" w:hAnsi="Times New Roman" w:cs="Times New Roman"/>
          <w:color w:val="000000" w:themeColor="text1"/>
          <w:sz w:val="24"/>
          <w:szCs w:val="24"/>
        </w:rPr>
        <w:t xml:space="preserve"> Mann, A. </w:t>
      </w:r>
      <w:r>
        <w:rPr>
          <w:rFonts w:ascii="Times New Roman" w:hAnsi="Times New Roman" w:cs="Times New Roman"/>
          <w:color w:val="000000" w:themeColor="text1"/>
          <w:sz w:val="24"/>
          <w:szCs w:val="24"/>
        </w:rPr>
        <w:t>(</w:t>
      </w:r>
      <w:r w:rsidRPr="00EE60D0">
        <w:rPr>
          <w:rFonts w:ascii="Times New Roman" w:hAnsi="Times New Roman" w:cs="Times New Roman"/>
          <w:color w:val="000000" w:themeColor="text1"/>
          <w:sz w:val="24"/>
          <w:szCs w:val="24"/>
        </w:rPr>
        <w:t>2014</w:t>
      </w:r>
      <w:r>
        <w:rPr>
          <w:rFonts w:ascii="Times New Roman" w:hAnsi="Times New Roman" w:cs="Times New Roman"/>
          <w:color w:val="000000" w:themeColor="text1"/>
          <w:sz w:val="24"/>
          <w:szCs w:val="24"/>
        </w:rPr>
        <w:t>)</w:t>
      </w:r>
      <w:r w:rsidRPr="00EE60D0">
        <w:rPr>
          <w:rFonts w:ascii="Times New Roman" w:hAnsi="Times New Roman" w:cs="Times New Roman"/>
          <w:color w:val="000000" w:themeColor="text1"/>
          <w:sz w:val="24"/>
          <w:szCs w:val="24"/>
        </w:rPr>
        <w:t>. Plant phenolics: Important bio-weapon against pathogens and insect herbivores. </w:t>
      </w:r>
      <w:r w:rsidRPr="00EE60D0">
        <w:rPr>
          <w:rFonts w:ascii="Times New Roman" w:hAnsi="Times New Roman" w:cs="Times New Roman"/>
          <w:i/>
          <w:iCs/>
          <w:color w:val="000000" w:themeColor="text1"/>
          <w:sz w:val="24"/>
          <w:szCs w:val="24"/>
        </w:rPr>
        <w:t xml:space="preserve">Popular </w:t>
      </w:r>
      <w:proofErr w:type="spellStart"/>
      <w:r w:rsidRPr="00EE60D0">
        <w:rPr>
          <w:rFonts w:ascii="Times New Roman" w:hAnsi="Times New Roman" w:cs="Times New Roman"/>
          <w:i/>
          <w:iCs/>
          <w:color w:val="000000" w:themeColor="text1"/>
          <w:sz w:val="24"/>
          <w:szCs w:val="24"/>
        </w:rPr>
        <w:t>Kheti</w:t>
      </w:r>
      <w:proofErr w:type="spellEnd"/>
      <w:r w:rsidRPr="00EE60D0">
        <w:rPr>
          <w:rFonts w:ascii="Times New Roman" w:hAnsi="Times New Roman" w:cs="Times New Roman"/>
          <w:color w:val="000000" w:themeColor="text1"/>
          <w:sz w:val="24"/>
          <w:szCs w:val="24"/>
        </w:rPr>
        <w:t>, </w:t>
      </w:r>
      <w:r w:rsidRPr="001F1E3F">
        <w:rPr>
          <w:rFonts w:ascii="Times New Roman" w:hAnsi="Times New Roman" w:cs="Times New Roman"/>
          <w:color w:val="000000" w:themeColor="text1"/>
          <w:sz w:val="24"/>
          <w:szCs w:val="24"/>
        </w:rPr>
        <w:t>2</w:t>
      </w:r>
      <w:r w:rsidRPr="00EE60D0">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sidRPr="00EE60D0">
        <w:rPr>
          <w:rFonts w:ascii="Times New Roman" w:hAnsi="Times New Roman" w:cs="Times New Roman"/>
          <w:color w:val="000000" w:themeColor="text1"/>
          <w:sz w:val="24"/>
          <w:szCs w:val="24"/>
        </w:rPr>
        <w:t>149-152.</w:t>
      </w:r>
    </w:p>
    <w:p w14:paraId="7714F8B3" w14:textId="2A02E362" w:rsidR="00401AC2" w:rsidRDefault="00401AC2" w:rsidP="00401AC2">
      <w:pPr>
        <w:spacing w:line="360" w:lineRule="auto"/>
        <w:ind w:left="720" w:hanging="720"/>
        <w:jc w:val="both"/>
        <w:rPr>
          <w:rFonts w:ascii="Times New Roman" w:hAnsi="Times New Roman" w:cs="Times New Roman"/>
          <w:color w:val="000000" w:themeColor="text1"/>
          <w:sz w:val="24"/>
          <w:szCs w:val="24"/>
        </w:rPr>
      </w:pPr>
      <w:bookmarkStart w:id="8" w:name="_Hlk197204339"/>
      <w:r w:rsidRPr="00401AC2">
        <w:rPr>
          <w:rFonts w:ascii="Times New Roman" w:hAnsi="Times New Roman" w:cs="Times New Roman"/>
          <w:color w:val="000000" w:themeColor="text1"/>
          <w:sz w:val="24"/>
          <w:szCs w:val="24"/>
        </w:rPr>
        <w:t xml:space="preserve">Majeed, G., Noor, W., Lone, R., Agrawal, S., </w:t>
      </w:r>
      <w:proofErr w:type="spellStart"/>
      <w:r w:rsidRPr="00401AC2">
        <w:rPr>
          <w:rFonts w:ascii="Times New Roman" w:hAnsi="Times New Roman" w:cs="Times New Roman"/>
          <w:color w:val="000000" w:themeColor="text1"/>
          <w:sz w:val="24"/>
          <w:szCs w:val="24"/>
        </w:rPr>
        <w:t>Alaklabi</w:t>
      </w:r>
      <w:proofErr w:type="spellEnd"/>
      <w:r w:rsidRPr="00401AC2">
        <w:rPr>
          <w:rFonts w:ascii="Times New Roman" w:hAnsi="Times New Roman" w:cs="Times New Roman"/>
          <w:color w:val="000000" w:themeColor="text1"/>
          <w:sz w:val="24"/>
          <w:szCs w:val="24"/>
        </w:rPr>
        <w:t>, A., Shah, M.A.</w:t>
      </w:r>
      <w:r>
        <w:rPr>
          <w:rFonts w:ascii="Times New Roman" w:hAnsi="Times New Roman" w:cs="Times New Roman"/>
          <w:color w:val="000000" w:themeColor="text1"/>
          <w:sz w:val="24"/>
          <w:szCs w:val="24"/>
        </w:rPr>
        <w:t>,</w:t>
      </w:r>
      <w:r w:rsidRPr="00401AC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&amp;</w:t>
      </w:r>
      <w:r w:rsidRPr="00401AC2">
        <w:rPr>
          <w:rFonts w:ascii="Times New Roman" w:hAnsi="Times New Roman" w:cs="Times New Roman"/>
          <w:color w:val="000000" w:themeColor="text1"/>
          <w:sz w:val="24"/>
          <w:szCs w:val="24"/>
        </w:rPr>
        <w:t xml:space="preserve"> Kamili, A.N. </w:t>
      </w:r>
      <w:r>
        <w:rPr>
          <w:rFonts w:ascii="Times New Roman" w:hAnsi="Times New Roman" w:cs="Times New Roman"/>
          <w:color w:val="000000" w:themeColor="text1"/>
          <w:sz w:val="24"/>
          <w:szCs w:val="24"/>
        </w:rPr>
        <w:t>(</w:t>
      </w:r>
      <w:r w:rsidRPr="00401AC2">
        <w:rPr>
          <w:rFonts w:ascii="Times New Roman" w:hAnsi="Times New Roman" w:cs="Times New Roman"/>
          <w:color w:val="000000" w:themeColor="text1"/>
          <w:sz w:val="24"/>
          <w:szCs w:val="24"/>
        </w:rPr>
        <w:t>2024</w:t>
      </w:r>
      <w:r>
        <w:rPr>
          <w:rFonts w:ascii="Times New Roman" w:hAnsi="Times New Roman" w:cs="Times New Roman"/>
          <w:color w:val="000000" w:themeColor="text1"/>
          <w:sz w:val="24"/>
          <w:szCs w:val="24"/>
        </w:rPr>
        <w:t>)</w:t>
      </w:r>
      <w:r w:rsidRPr="00401AC2">
        <w:rPr>
          <w:rFonts w:ascii="Times New Roman" w:hAnsi="Times New Roman" w:cs="Times New Roman"/>
          <w:color w:val="000000" w:themeColor="text1"/>
          <w:sz w:val="24"/>
          <w:szCs w:val="24"/>
        </w:rPr>
        <w:t xml:space="preserve">. Modulation of plant </w:t>
      </w:r>
      <w:proofErr w:type="spellStart"/>
      <w:r w:rsidRPr="00401AC2">
        <w:rPr>
          <w:rFonts w:ascii="Times New Roman" w:hAnsi="Times New Roman" w:cs="Times New Roman"/>
          <w:color w:val="000000" w:themeColor="text1"/>
          <w:sz w:val="24"/>
          <w:szCs w:val="24"/>
        </w:rPr>
        <w:t>defenses</w:t>
      </w:r>
      <w:proofErr w:type="spellEnd"/>
      <w:r w:rsidRPr="00401AC2">
        <w:rPr>
          <w:rFonts w:ascii="Times New Roman" w:hAnsi="Times New Roman" w:cs="Times New Roman"/>
          <w:color w:val="000000" w:themeColor="text1"/>
          <w:sz w:val="24"/>
          <w:szCs w:val="24"/>
        </w:rPr>
        <w:t xml:space="preserve"> by </w:t>
      </w:r>
      <w:proofErr w:type="spellStart"/>
      <w:r w:rsidRPr="00401AC2">
        <w:rPr>
          <w:rFonts w:ascii="Times New Roman" w:hAnsi="Times New Roman" w:cs="Times New Roman"/>
          <w:color w:val="000000" w:themeColor="text1"/>
          <w:sz w:val="24"/>
          <w:szCs w:val="24"/>
        </w:rPr>
        <w:t>Jasmonic</w:t>
      </w:r>
      <w:proofErr w:type="spellEnd"/>
      <w:r w:rsidRPr="00401AC2">
        <w:rPr>
          <w:rFonts w:ascii="Times New Roman" w:hAnsi="Times New Roman" w:cs="Times New Roman"/>
          <w:color w:val="000000" w:themeColor="text1"/>
          <w:sz w:val="24"/>
          <w:szCs w:val="24"/>
        </w:rPr>
        <w:t xml:space="preserve"> acid and salicylic acid in </w:t>
      </w:r>
      <w:r w:rsidRPr="00401AC2">
        <w:rPr>
          <w:rFonts w:ascii="Times New Roman" w:hAnsi="Times New Roman" w:cs="Times New Roman"/>
          <w:i/>
          <w:iCs/>
          <w:color w:val="000000" w:themeColor="text1"/>
          <w:sz w:val="24"/>
          <w:szCs w:val="24"/>
        </w:rPr>
        <w:t>Capsicum annuum</w:t>
      </w:r>
      <w:r w:rsidRPr="00401AC2">
        <w:rPr>
          <w:rFonts w:ascii="Times New Roman" w:hAnsi="Times New Roman" w:cs="Times New Roman"/>
          <w:color w:val="000000" w:themeColor="text1"/>
          <w:sz w:val="24"/>
          <w:szCs w:val="24"/>
        </w:rPr>
        <w:t xml:space="preserve"> L. against </w:t>
      </w:r>
      <w:r w:rsidRPr="00401AC2">
        <w:rPr>
          <w:rFonts w:ascii="Times New Roman" w:hAnsi="Times New Roman" w:cs="Times New Roman"/>
          <w:i/>
          <w:iCs/>
          <w:color w:val="000000" w:themeColor="text1"/>
          <w:sz w:val="24"/>
          <w:szCs w:val="24"/>
        </w:rPr>
        <w:t>Fusarium</w:t>
      </w:r>
      <w:r w:rsidRPr="00401AC2">
        <w:rPr>
          <w:rFonts w:ascii="Times New Roman" w:hAnsi="Times New Roman" w:cs="Times New Roman"/>
          <w:color w:val="000000" w:themeColor="text1"/>
          <w:sz w:val="24"/>
          <w:szCs w:val="24"/>
        </w:rPr>
        <w:t xml:space="preserve"> wilt in response to </w:t>
      </w:r>
      <w:r w:rsidRPr="00401AC2">
        <w:rPr>
          <w:rFonts w:ascii="Times New Roman" w:hAnsi="Times New Roman" w:cs="Times New Roman"/>
          <w:i/>
          <w:iCs/>
          <w:color w:val="000000" w:themeColor="text1"/>
          <w:sz w:val="24"/>
          <w:szCs w:val="24"/>
        </w:rPr>
        <w:t xml:space="preserve">Fusarium </w:t>
      </w:r>
      <w:proofErr w:type="spellStart"/>
      <w:r w:rsidRPr="00401AC2">
        <w:rPr>
          <w:rFonts w:ascii="Times New Roman" w:hAnsi="Times New Roman" w:cs="Times New Roman"/>
          <w:i/>
          <w:iCs/>
          <w:color w:val="000000" w:themeColor="text1"/>
          <w:sz w:val="24"/>
          <w:szCs w:val="24"/>
        </w:rPr>
        <w:t>oxysporum</w:t>
      </w:r>
      <w:proofErr w:type="spellEnd"/>
      <w:r w:rsidRPr="00401AC2">
        <w:rPr>
          <w:rFonts w:ascii="Times New Roman" w:hAnsi="Times New Roman" w:cs="Times New Roman"/>
          <w:color w:val="000000" w:themeColor="text1"/>
          <w:sz w:val="24"/>
          <w:szCs w:val="24"/>
        </w:rPr>
        <w:t xml:space="preserve"> pathogen. </w:t>
      </w:r>
      <w:r w:rsidRPr="00401AC2">
        <w:rPr>
          <w:rFonts w:ascii="Times New Roman" w:hAnsi="Times New Roman" w:cs="Times New Roman"/>
          <w:i/>
          <w:iCs/>
          <w:color w:val="000000" w:themeColor="text1"/>
          <w:sz w:val="24"/>
          <w:szCs w:val="24"/>
        </w:rPr>
        <w:t>Plant Stress</w:t>
      </w:r>
      <w:r w:rsidRPr="00401AC2">
        <w:rPr>
          <w:rFonts w:ascii="Times New Roman" w:hAnsi="Times New Roman" w:cs="Times New Roman"/>
          <w:color w:val="000000" w:themeColor="text1"/>
          <w:sz w:val="24"/>
          <w:szCs w:val="24"/>
        </w:rPr>
        <w:t>, </w:t>
      </w:r>
      <w:r w:rsidRPr="001F1E3F">
        <w:rPr>
          <w:rFonts w:ascii="Times New Roman" w:hAnsi="Times New Roman" w:cs="Times New Roman"/>
          <w:color w:val="000000" w:themeColor="text1"/>
          <w:sz w:val="24"/>
          <w:szCs w:val="24"/>
        </w:rPr>
        <w:t>14</w:t>
      </w:r>
      <w:r w:rsidRPr="00401AC2">
        <w:rPr>
          <w:rFonts w:ascii="Times New Roman" w:hAnsi="Times New Roman" w:cs="Times New Roman"/>
          <w:color w:val="000000" w:themeColor="text1"/>
          <w:sz w:val="24"/>
          <w:szCs w:val="24"/>
        </w:rPr>
        <w:t>, 100571.</w:t>
      </w:r>
    </w:p>
    <w:p w14:paraId="0342CA8B" w14:textId="77777777" w:rsidR="009D3E49" w:rsidRPr="00967E47" w:rsidRDefault="009D3E49" w:rsidP="009D3E49">
      <w:pPr>
        <w:spacing w:line="360" w:lineRule="auto"/>
        <w:ind w:left="720" w:hanging="720"/>
        <w:jc w:val="both"/>
        <w:rPr>
          <w:rFonts w:ascii="Times New Roman" w:hAnsi="Times New Roman" w:cs="Times New Roman"/>
          <w:sz w:val="24"/>
          <w:szCs w:val="24"/>
        </w:rPr>
      </w:pPr>
      <w:r w:rsidRPr="00967E47">
        <w:rPr>
          <w:rFonts w:ascii="Times New Roman" w:hAnsi="Times New Roman" w:cs="Times New Roman"/>
          <w:sz w:val="24"/>
          <w:szCs w:val="24"/>
        </w:rPr>
        <w:t xml:space="preserve">Mammootty, K.P. </w:t>
      </w:r>
      <w:r>
        <w:t>(</w:t>
      </w:r>
      <w:r w:rsidRPr="00967E47">
        <w:rPr>
          <w:rFonts w:ascii="Times New Roman" w:hAnsi="Times New Roman" w:cs="Times New Roman"/>
          <w:sz w:val="24"/>
          <w:szCs w:val="24"/>
        </w:rPr>
        <w:t>2008</w:t>
      </w:r>
      <w:r>
        <w:t>)</w:t>
      </w:r>
      <w:r w:rsidRPr="00967E47">
        <w:rPr>
          <w:rFonts w:ascii="Times New Roman" w:hAnsi="Times New Roman" w:cs="Times New Roman"/>
          <w:sz w:val="24"/>
          <w:szCs w:val="24"/>
        </w:rPr>
        <w:t>, November. Diseases of black pepper. In </w:t>
      </w:r>
      <w:r w:rsidRPr="00967E47">
        <w:rPr>
          <w:rFonts w:ascii="Times New Roman" w:hAnsi="Times New Roman" w:cs="Times New Roman"/>
          <w:i/>
          <w:iCs/>
          <w:sz w:val="24"/>
          <w:szCs w:val="24"/>
        </w:rPr>
        <w:t xml:space="preserve">National Seminar on </w:t>
      </w:r>
      <w:proofErr w:type="spellStart"/>
      <w:r w:rsidRPr="00967E47">
        <w:rPr>
          <w:rFonts w:ascii="Times New Roman" w:hAnsi="Times New Roman" w:cs="Times New Roman"/>
          <w:i/>
          <w:iCs/>
          <w:sz w:val="24"/>
          <w:szCs w:val="24"/>
        </w:rPr>
        <w:t>Plperaceae</w:t>
      </w:r>
      <w:proofErr w:type="spellEnd"/>
      <w:r w:rsidRPr="00967E47">
        <w:rPr>
          <w:rFonts w:ascii="Times New Roman" w:hAnsi="Times New Roman" w:cs="Times New Roman"/>
          <w:i/>
          <w:iCs/>
          <w:sz w:val="24"/>
          <w:szCs w:val="24"/>
        </w:rPr>
        <w:t xml:space="preserve">-Harnessing </w:t>
      </w:r>
      <w:proofErr w:type="spellStart"/>
      <w:r w:rsidRPr="00967E47">
        <w:rPr>
          <w:rFonts w:ascii="Times New Roman" w:hAnsi="Times New Roman" w:cs="Times New Roman"/>
          <w:i/>
          <w:iCs/>
          <w:sz w:val="24"/>
          <w:szCs w:val="24"/>
        </w:rPr>
        <w:t>Agro</w:t>
      </w:r>
      <w:proofErr w:type="spellEnd"/>
      <w:r w:rsidRPr="00967E47">
        <w:rPr>
          <w:rFonts w:ascii="Times New Roman" w:hAnsi="Times New Roman" w:cs="Times New Roman"/>
          <w:i/>
          <w:iCs/>
          <w:sz w:val="24"/>
          <w:szCs w:val="24"/>
        </w:rPr>
        <w:t>-technologies for Accelerated Production of Economically Important Piper Species</w:t>
      </w:r>
      <w:r w:rsidRPr="00967E47">
        <w:rPr>
          <w:rFonts w:ascii="Times New Roman" w:hAnsi="Times New Roman" w:cs="Times New Roman"/>
          <w:sz w:val="24"/>
          <w:szCs w:val="24"/>
        </w:rPr>
        <w:t xml:space="preserve">. by VA Parthasarathy, Director, Indian Institute of Spices Research, </w:t>
      </w:r>
      <w:proofErr w:type="spellStart"/>
      <w:r w:rsidRPr="00967E47">
        <w:rPr>
          <w:rFonts w:ascii="Times New Roman" w:hAnsi="Times New Roman" w:cs="Times New Roman"/>
          <w:sz w:val="24"/>
          <w:szCs w:val="24"/>
        </w:rPr>
        <w:t>Marikunnu</w:t>
      </w:r>
      <w:proofErr w:type="spellEnd"/>
      <w:r w:rsidRPr="00967E47">
        <w:rPr>
          <w:rFonts w:ascii="Times New Roman" w:hAnsi="Times New Roman" w:cs="Times New Roman"/>
          <w:sz w:val="24"/>
          <w:szCs w:val="24"/>
        </w:rPr>
        <w:t xml:space="preserve"> P 0, Calicut-673 012, Kerala, India.</w:t>
      </w:r>
    </w:p>
    <w:bookmarkEnd w:id="8"/>
    <w:p w14:paraId="6D289C9C" w14:textId="2C2D97A1" w:rsidR="0091093A" w:rsidRDefault="0091093A" w:rsidP="009A60A2">
      <w:pPr>
        <w:spacing w:line="360" w:lineRule="auto"/>
        <w:ind w:left="720" w:hanging="720"/>
        <w:jc w:val="both"/>
        <w:rPr>
          <w:rFonts w:ascii="Times New Roman" w:hAnsi="Times New Roman" w:cs="Times New Roman"/>
          <w:color w:val="000000" w:themeColor="text1"/>
          <w:sz w:val="24"/>
          <w:szCs w:val="24"/>
        </w:rPr>
      </w:pPr>
      <w:r w:rsidRPr="00783896">
        <w:rPr>
          <w:rFonts w:ascii="Times New Roman" w:hAnsi="Times New Roman" w:cs="Times New Roman"/>
          <w:color w:val="000000" w:themeColor="text1"/>
          <w:sz w:val="24"/>
          <w:szCs w:val="24"/>
        </w:rPr>
        <w:t>N</w:t>
      </w:r>
      <w:r w:rsidRPr="009A60A2">
        <w:rPr>
          <w:rFonts w:ascii="Times New Roman" w:hAnsi="Times New Roman" w:cs="Times New Roman"/>
          <w:color w:val="000000" w:themeColor="text1"/>
          <w:sz w:val="24"/>
          <w:szCs w:val="24"/>
        </w:rPr>
        <w:t>air, K.</w:t>
      </w:r>
      <w:r w:rsidR="004C6B48" w:rsidRPr="009A60A2">
        <w:rPr>
          <w:rFonts w:ascii="Times New Roman" w:hAnsi="Times New Roman" w:cs="Times New Roman"/>
          <w:color w:val="000000" w:themeColor="text1"/>
          <w:sz w:val="24"/>
          <w:szCs w:val="24"/>
        </w:rPr>
        <w:t xml:space="preserve"> </w:t>
      </w:r>
      <w:r w:rsidRPr="009A60A2">
        <w:rPr>
          <w:rFonts w:ascii="Times New Roman" w:hAnsi="Times New Roman" w:cs="Times New Roman"/>
          <w:color w:val="000000" w:themeColor="text1"/>
          <w:sz w:val="24"/>
          <w:szCs w:val="24"/>
        </w:rPr>
        <w:t xml:space="preserve">P. </w:t>
      </w:r>
      <w:r w:rsidR="004C6B48"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2004</w:t>
      </w:r>
      <w:r w:rsidR="004C6B48"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 The agronomy and economy of black pepper (</w:t>
      </w:r>
      <w:r w:rsidRPr="009A60A2">
        <w:rPr>
          <w:rFonts w:ascii="Times New Roman" w:hAnsi="Times New Roman" w:cs="Times New Roman"/>
          <w:i/>
          <w:iCs/>
          <w:color w:val="000000" w:themeColor="text1"/>
          <w:sz w:val="24"/>
          <w:szCs w:val="24"/>
        </w:rPr>
        <w:t>Piper nigrum</w:t>
      </w:r>
      <w:r w:rsidRPr="009A60A2">
        <w:rPr>
          <w:rFonts w:ascii="Times New Roman" w:hAnsi="Times New Roman" w:cs="Times New Roman"/>
          <w:color w:val="000000" w:themeColor="text1"/>
          <w:sz w:val="24"/>
          <w:szCs w:val="24"/>
        </w:rPr>
        <w:t xml:space="preserve"> L.)-the</w:t>
      </w:r>
      <w:r w:rsidR="00F36811"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 xml:space="preserve"> King of Spices</w:t>
      </w:r>
      <w:r w:rsidR="00F36811"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w:t>
      </w:r>
      <w:r w:rsidR="004C6B48" w:rsidRPr="009A60A2">
        <w:rPr>
          <w:rFonts w:ascii="Times New Roman" w:hAnsi="Times New Roman" w:cs="Times New Roman"/>
          <w:color w:val="000000" w:themeColor="text1"/>
          <w:sz w:val="24"/>
          <w:szCs w:val="24"/>
        </w:rPr>
        <w:t xml:space="preserve"> </w:t>
      </w:r>
      <w:r w:rsidRPr="009A60A2">
        <w:rPr>
          <w:rFonts w:ascii="Times New Roman" w:hAnsi="Times New Roman" w:cs="Times New Roman"/>
          <w:color w:val="000000" w:themeColor="text1"/>
          <w:sz w:val="24"/>
          <w:szCs w:val="24"/>
        </w:rPr>
        <w:t>271-389</w:t>
      </w:r>
      <w:r w:rsidR="00575779">
        <w:rPr>
          <w:rFonts w:ascii="Times New Roman" w:hAnsi="Times New Roman" w:cs="Times New Roman"/>
          <w:color w:val="000000" w:themeColor="text1"/>
          <w:sz w:val="24"/>
          <w:szCs w:val="24"/>
        </w:rPr>
        <w:t>.</w:t>
      </w:r>
    </w:p>
    <w:p w14:paraId="74107E86" w14:textId="78A46EF8" w:rsidR="00575779" w:rsidRDefault="00575779" w:rsidP="009A60A2">
      <w:pPr>
        <w:spacing w:line="360" w:lineRule="auto"/>
        <w:ind w:left="720" w:hanging="720"/>
        <w:jc w:val="both"/>
        <w:rPr>
          <w:rFonts w:ascii="Times New Roman" w:hAnsi="Times New Roman" w:cs="Times New Roman"/>
          <w:color w:val="000000" w:themeColor="text1"/>
          <w:sz w:val="24"/>
          <w:szCs w:val="24"/>
        </w:rPr>
      </w:pPr>
      <w:r w:rsidRPr="00783896">
        <w:rPr>
          <w:rFonts w:ascii="Times New Roman" w:hAnsi="Times New Roman" w:cs="Times New Roman"/>
          <w:color w:val="000000" w:themeColor="text1"/>
          <w:sz w:val="24"/>
          <w:szCs w:val="24"/>
        </w:rPr>
        <w:t>P</w:t>
      </w:r>
      <w:r w:rsidRPr="00575779">
        <w:rPr>
          <w:rFonts w:ascii="Times New Roman" w:hAnsi="Times New Roman" w:cs="Times New Roman"/>
          <w:color w:val="000000" w:themeColor="text1"/>
          <w:sz w:val="24"/>
          <w:szCs w:val="24"/>
        </w:rPr>
        <w:t>acheco, A.</w:t>
      </w:r>
      <w:r>
        <w:rPr>
          <w:rFonts w:ascii="Times New Roman" w:hAnsi="Times New Roman" w:cs="Times New Roman"/>
          <w:color w:val="000000" w:themeColor="text1"/>
          <w:sz w:val="24"/>
          <w:szCs w:val="24"/>
        </w:rPr>
        <w:t xml:space="preserve"> </w:t>
      </w:r>
      <w:r w:rsidRPr="00575779">
        <w:rPr>
          <w:rFonts w:ascii="Times New Roman" w:hAnsi="Times New Roman" w:cs="Times New Roman"/>
          <w:color w:val="000000" w:themeColor="text1"/>
          <w:sz w:val="24"/>
          <w:szCs w:val="24"/>
        </w:rPr>
        <w:t>C., Cabral, C.</w:t>
      </w:r>
      <w:r>
        <w:rPr>
          <w:rFonts w:ascii="Times New Roman" w:hAnsi="Times New Roman" w:cs="Times New Roman"/>
          <w:color w:val="000000" w:themeColor="text1"/>
          <w:sz w:val="24"/>
          <w:szCs w:val="24"/>
        </w:rPr>
        <w:t xml:space="preserve"> </w:t>
      </w:r>
      <w:r w:rsidRPr="00575779">
        <w:rPr>
          <w:rFonts w:ascii="Times New Roman" w:hAnsi="Times New Roman" w:cs="Times New Roman"/>
          <w:color w:val="000000" w:themeColor="text1"/>
          <w:sz w:val="24"/>
          <w:szCs w:val="24"/>
        </w:rPr>
        <w:t>S., Fermino, E.</w:t>
      </w:r>
      <w:r>
        <w:rPr>
          <w:rFonts w:ascii="Times New Roman" w:hAnsi="Times New Roman" w:cs="Times New Roman"/>
          <w:color w:val="000000" w:themeColor="text1"/>
          <w:sz w:val="24"/>
          <w:szCs w:val="24"/>
        </w:rPr>
        <w:t xml:space="preserve"> </w:t>
      </w:r>
      <w:r w:rsidRPr="00575779">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w:t>
      </w:r>
      <w:r w:rsidRPr="005757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&amp;</w:t>
      </w:r>
      <w:r w:rsidRPr="00575779">
        <w:rPr>
          <w:rFonts w:ascii="Times New Roman" w:hAnsi="Times New Roman" w:cs="Times New Roman"/>
          <w:color w:val="000000" w:themeColor="text1"/>
          <w:sz w:val="24"/>
          <w:szCs w:val="24"/>
        </w:rPr>
        <w:t xml:space="preserve"> Aleman, C.</w:t>
      </w:r>
      <w:r>
        <w:rPr>
          <w:rFonts w:ascii="Times New Roman" w:hAnsi="Times New Roman" w:cs="Times New Roman"/>
          <w:color w:val="000000" w:themeColor="text1"/>
          <w:sz w:val="24"/>
          <w:szCs w:val="24"/>
        </w:rPr>
        <w:t xml:space="preserve"> </w:t>
      </w:r>
      <w:r w:rsidRPr="00575779">
        <w:rPr>
          <w:rFonts w:ascii="Times New Roman" w:hAnsi="Times New Roman" w:cs="Times New Roman"/>
          <w:color w:val="000000" w:themeColor="text1"/>
          <w:sz w:val="24"/>
          <w:szCs w:val="24"/>
        </w:rPr>
        <w:t xml:space="preserve">C. </w:t>
      </w:r>
      <w:r>
        <w:rPr>
          <w:rFonts w:ascii="Times New Roman" w:hAnsi="Times New Roman" w:cs="Times New Roman"/>
          <w:color w:val="000000" w:themeColor="text1"/>
          <w:sz w:val="24"/>
          <w:szCs w:val="24"/>
        </w:rPr>
        <w:t>(</w:t>
      </w:r>
      <w:r w:rsidRPr="00575779">
        <w:rPr>
          <w:rFonts w:ascii="Times New Roman" w:hAnsi="Times New Roman" w:cs="Times New Roman"/>
          <w:color w:val="000000" w:themeColor="text1"/>
          <w:sz w:val="24"/>
          <w:szCs w:val="24"/>
        </w:rPr>
        <w:t>2013</w:t>
      </w:r>
      <w:r>
        <w:rPr>
          <w:rFonts w:ascii="Times New Roman" w:hAnsi="Times New Roman" w:cs="Times New Roman"/>
          <w:color w:val="000000" w:themeColor="text1"/>
          <w:sz w:val="24"/>
          <w:szCs w:val="24"/>
        </w:rPr>
        <w:t>)</w:t>
      </w:r>
      <w:r w:rsidRPr="00575779">
        <w:rPr>
          <w:rFonts w:ascii="Times New Roman" w:hAnsi="Times New Roman" w:cs="Times New Roman"/>
          <w:color w:val="000000" w:themeColor="text1"/>
          <w:sz w:val="24"/>
          <w:szCs w:val="24"/>
        </w:rPr>
        <w:t>. Salicylic acid-induced changes to growth, flowering and flavonoids production in marigold plants. </w:t>
      </w:r>
      <w:r w:rsidRPr="00575779">
        <w:rPr>
          <w:rFonts w:ascii="Times New Roman" w:hAnsi="Times New Roman" w:cs="Times New Roman"/>
          <w:i/>
          <w:iCs/>
          <w:color w:val="000000" w:themeColor="text1"/>
          <w:sz w:val="24"/>
          <w:szCs w:val="24"/>
        </w:rPr>
        <w:t>J. med. Plants res</w:t>
      </w:r>
      <w:r w:rsidRPr="00575779">
        <w:rPr>
          <w:rFonts w:ascii="Times New Roman" w:hAnsi="Times New Roman" w:cs="Times New Roman"/>
          <w:color w:val="000000" w:themeColor="text1"/>
          <w:sz w:val="24"/>
          <w:szCs w:val="24"/>
        </w:rPr>
        <w:t>, </w:t>
      </w:r>
      <w:r w:rsidRPr="001F1E3F">
        <w:rPr>
          <w:rFonts w:ascii="Times New Roman" w:hAnsi="Times New Roman" w:cs="Times New Roman"/>
          <w:color w:val="000000" w:themeColor="text1"/>
          <w:sz w:val="24"/>
          <w:szCs w:val="24"/>
        </w:rPr>
        <w:t>7</w:t>
      </w:r>
      <w:r w:rsidRPr="00575779">
        <w:rPr>
          <w:rFonts w:ascii="Times New Roman" w:hAnsi="Times New Roman" w:cs="Times New Roman"/>
          <w:color w:val="000000" w:themeColor="text1"/>
          <w:sz w:val="24"/>
          <w:szCs w:val="24"/>
        </w:rPr>
        <w:t>(42), 3158-3163.</w:t>
      </w:r>
    </w:p>
    <w:p w14:paraId="4A8F8B14" w14:textId="0095CB94" w:rsidR="00F638A9" w:rsidRPr="009A60A2" w:rsidRDefault="00F638A9" w:rsidP="009A60A2">
      <w:pPr>
        <w:spacing w:line="360" w:lineRule="auto"/>
        <w:ind w:left="720" w:hanging="720"/>
        <w:jc w:val="both"/>
        <w:rPr>
          <w:rFonts w:ascii="Times New Roman" w:hAnsi="Times New Roman" w:cs="Times New Roman"/>
          <w:color w:val="000000" w:themeColor="text1"/>
          <w:sz w:val="24"/>
          <w:szCs w:val="24"/>
        </w:rPr>
      </w:pPr>
      <w:r w:rsidRPr="00783896">
        <w:rPr>
          <w:rFonts w:ascii="Times New Roman" w:hAnsi="Times New Roman" w:cs="Times New Roman"/>
          <w:color w:val="000000" w:themeColor="text1"/>
          <w:sz w:val="24"/>
          <w:szCs w:val="24"/>
        </w:rPr>
        <w:t>P</w:t>
      </w:r>
      <w:r w:rsidR="00C819F2">
        <w:rPr>
          <w:rFonts w:ascii="Times New Roman" w:hAnsi="Times New Roman" w:cs="Times New Roman"/>
          <w:color w:val="000000" w:themeColor="text1"/>
          <w:sz w:val="24"/>
          <w:szCs w:val="24"/>
        </w:rPr>
        <w:t>e</w:t>
      </w:r>
      <w:r w:rsidRPr="00F638A9">
        <w:rPr>
          <w:rFonts w:ascii="Times New Roman" w:hAnsi="Times New Roman" w:cs="Times New Roman"/>
          <w:color w:val="000000" w:themeColor="text1"/>
          <w:sz w:val="24"/>
          <w:szCs w:val="24"/>
        </w:rPr>
        <w:t>rez, M.</w:t>
      </w:r>
      <w:r w:rsidR="00C819F2">
        <w:rPr>
          <w:rFonts w:ascii="Times New Roman" w:hAnsi="Times New Roman" w:cs="Times New Roman"/>
          <w:color w:val="000000" w:themeColor="text1"/>
          <w:sz w:val="24"/>
          <w:szCs w:val="24"/>
        </w:rPr>
        <w:t xml:space="preserve"> </w:t>
      </w:r>
      <w:r w:rsidRPr="00F638A9">
        <w:rPr>
          <w:rFonts w:ascii="Times New Roman" w:hAnsi="Times New Roman" w:cs="Times New Roman"/>
          <w:color w:val="000000" w:themeColor="text1"/>
          <w:sz w:val="24"/>
          <w:szCs w:val="24"/>
        </w:rPr>
        <w:t>G.</w:t>
      </w:r>
      <w:r w:rsidR="00C819F2">
        <w:rPr>
          <w:rFonts w:ascii="Times New Roman" w:hAnsi="Times New Roman" w:cs="Times New Roman"/>
          <w:color w:val="000000" w:themeColor="text1"/>
          <w:sz w:val="24"/>
          <w:szCs w:val="24"/>
        </w:rPr>
        <w:t xml:space="preserve"> </w:t>
      </w:r>
      <w:r w:rsidRPr="00F638A9">
        <w:rPr>
          <w:rFonts w:ascii="Times New Roman" w:hAnsi="Times New Roman" w:cs="Times New Roman"/>
          <w:color w:val="000000" w:themeColor="text1"/>
          <w:sz w:val="24"/>
          <w:szCs w:val="24"/>
        </w:rPr>
        <w:t>F., Rocha-Guzmán, N.</w:t>
      </w:r>
      <w:r w:rsidR="00C819F2">
        <w:rPr>
          <w:rFonts w:ascii="Times New Roman" w:hAnsi="Times New Roman" w:cs="Times New Roman"/>
          <w:color w:val="000000" w:themeColor="text1"/>
          <w:sz w:val="24"/>
          <w:szCs w:val="24"/>
        </w:rPr>
        <w:t xml:space="preserve"> </w:t>
      </w:r>
      <w:r w:rsidRPr="00F638A9">
        <w:rPr>
          <w:rFonts w:ascii="Times New Roman" w:hAnsi="Times New Roman" w:cs="Times New Roman"/>
          <w:color w:val="000000" w:themeColor="text1"/>
          <w:sz w:val="24"/>
          <w:szCs w:val="24"/>
        </w:rPr>
        <w:t>E., Mercado-Silva, E., Loarca-Pi</w:t>
      </w:r>
      <w:r w:rsidR="00C819F2">
        <w:rPr>
          <w:rFonts w:ascii="Times New Roman" w:hAnsi="Times New Roman" w:cs="Times New Roman"/>
          <w:color w:val="000000" w:themeColor="text1"/>
          <w:sz w:val="24"/>
          <w:szCs w:val="24"/>
        </w:rPr>
        <w:t>n</w:t>
      </w:r>
      <w:r w:rsidRPr="00F638A9">
        <w:rPr>
          <w:rFonts w:ascii="Times New Roman" w:hAnsi="Times New Roman" w:cs="Times New Roman"/>
          <w:color w:val="000000" w:themeColor="text1"/>
          <w:sz w:val="24"/>
          <w:szCs w:val="24"/>
        </w:rPr>
        <w:t>a, G.</w:t>
      </w:r>
      <w:r w:rsidR="00C819F2">
        <w:rPr>
          <w:rFonts w:ascii="Times New Roman" w:hAnsi="Times New Roman" w:cs="Times New Roman"/>
          <w:color w:val="000000" w:themeColor="text1"/>
          <w:sz w:val="24"/>
          <w:szCs w:val="24"/>
        </w:rPr>
        <w:t>,</w:t>
      </w:r>
      <w:r w:rsidRPr="00F638A9">
        <w:rPr>
          <w:rFonts w:ascii="Times New Roman" w:hAnsi="Times New Roman" w:cs="Times New Roman"/>
          <w:color w:val="000000" w:themeColor="text1"/>
          <w:sz w:val="24"/>
          <w:szCs w:val="24"/>
        </w:rPr>
        <w:t xml:space="preserve"> </w:t>
      </w:r>
      <w:r w:rsidR="00C819F2">
        <w:rPr>
          <w:rFonts w:ascii="Times New Roman" w:hAnsi="Times New Roman" w:cs="Times New Roman"/>
          <w:color w:val="000000" w:themeColor="text1"/>
          <w:sz w:val="24"/>
          <w:szCs w:val="24"/>
        </w:rPr>
        <w:t>&amp;</w:t>
      </w:r>
      <w:r w:rsidRPr="00F638A9">
        <w:rPr>
          <w:rFonts w:ascii="Times New Roman" w:hAnsi="Times New Roman" w:cs="Times New Roman"/>
          <w:color w:val="000000" w:themeColor="text1"/>
          <w:sz w:val="24"/>
          <w:szCs w:val="24"/>
        </w:rPr>
        <w:t xml:space="preserve"> Reynoso-Camacho, R. </w:t>
      </w:r>
      <w:r w:rsidR="00C819F2">
        <w:rPr>
          <w:rFonts w:ascii="Times New Roman" w:hAnsi="Times New Roman" w:cs="Times New Roman"/>
          <w:color w:val="000000" w:themeColor="text1"/>
          <w:sz w:val="24"/>
          <w:szCs w:val="24"/>
        </w:rPr>
        <w:t>(</w:t>
      </w:r>
      <w:r w:rsidRPr="00F638A9">
        <w:rPr>
          <w:rFonts w:ascii="Times New Roman" w:hAnsi="Times New Roman" w:cs="Times New Roman"/>
          <w:color w:val="000000" w:themeColor="text1"/>
          <w:sz w:val="24"/>
          <w:szCs w:val="24"/>
        </w:rPr>
        <w:t>2014</w:t>
      </w:r>
      <w:r w:rsidR="00C819F2">
        <w:rPr>
          <w:rFonts w:ascii="Times New Roman" w:hAnsi="Times New Roman" w:cs="Times New Roman"/>
          <w:color w:val="000000" w:themeColor="text1"/>
          <w:sz w:val="24"/>
          <w:szCs w:val="24"/>
        </w:rPr>
        <w:t>)</w:t>
      </w:r>
      <w:r w:rsidRPr="00F638A9">
        <w:rPr>
          <w:rFonts w:ascii="Times New Roman" w:hAnsi="Times New Roman" w:cs="Times New Roman"/>
          <w:color w:val="000000" w:themeColor="text1"/>
          <w:sz w:val="24"/>
          <w:szCs w:val="24"/>
        </w:rPr>
        <w:t>. Effect of chemical elicitors on peppermint (</w:t>
      </w:r>
      <w:r w:rsidRPr="00AA0A83">
        <w:rPr>
          <w:rFonts w:ascii="Times New Roman" w:hAnsi="Times New Roman" w:cs="Times New Roman"/>
          <w:i/>
          <w:iCs/>
          <w:color w:val="000000" w:themeColor="text1"/>
          <w:sz w:val="24"/>
          <w:szCs w:val="24"/>
        </w:rPr>
        <w:t>Mentha piperita</w:t>
      </w:r>
      <w:r w:rsidRPr="00F638A9">
        <w:rPr>
          <w:rFonts w:ascii="Times New Roman" w:hAnsi="Times New Roman" w:cs="Times New Roman"/>
          <w:color w:val="000000" w:themeColor="text1"/>
          <w:sz w:val="24"/>
          <w:szCs w:val="24"/>
        </w:rPr>
        <w:t>) plants and their impact on the metabolite profile and antioxidant capacity of resulting infusions. </w:t>
      </w:r>
      <w:r w:rsidRPr="00F638A9">
        <w:rPr>
          <w:rFonts w:ascii="Times New Roman" w:hAnsi="Times New Roman" w:cs="Times New Roman"/>
          <w:i/>
          <w:iCs/>
          <w:color w:val="000000" w:themeColor="text1"/>
          <w:sz w:val="24"/>
          <w:szCs w:val="24"/>
        </w:rPr>
        <w:t>Food chemistry</w:t>
      </w:r>
      <w:r w:rsidRPr="00F638A9">
        <w:rPr>
          <w:rFonts w:ascii="Times New Roman" w:hAnsi="Times New Roman" w:cs="Times New Roman"/>
          <w:color w:val="000000" w:themeColor="text1"/>
          <w:sz w:val="24"/>
          <w:szCs w:val="24"/>
        </w:rPr>
        <w:t>, </w:t>
      </w:r>
      <w:r w:rsidRPr="001F1E3F">
        <w:rPr>
          <w:rFonts w:ascii="Times New Roman" w:hAnsi="Times New Roman" w:cs="Times New Roman"/>
          <w:color w:val="000000" w:themeColor="text1"/>
          <w:sz w:val="24"/>
          <w:szCs w:val="24"/>
        </w:rPr>
        <w:t>156</w:t>
      </w:r>
      <w:r w:rsidRPr="00F638A9">
        <w:rPr>
          <w:rFonts w:ascii="Times New Roman" w:hAnsi="Times New Roman" w:cs="Times New Roman"/>
          <w:color w:val="000000" w:themeColor="text1"/>
          <w:sz w:val="24"/>
          <w:szCs w:val="24"/>
        </w:rPr>
        <w:t>, 273-278.</w:t>
      </w:r>
    </w:p>
    <w:p w14:paraId="278BC3FB" w14:textId="5D61ED9A" w:rsidR="0091093A" w:rsidRPr="009A60A2" w:rsidRDefault="0091093A" w:rsidP="009A60A2">
      <w:pPr>
        <w:spacing w:line="360" w:lineRule="auto"/>
        <w:ind w:left="720" w:hanging="720"/>
        <w:jc w:val="both"/>
        <w:rPr>
          <w:rFonts w:ascii="Times New Roman" w:hAnsi="Times New Roman" w:cs="Times New Roman"/>
          <w:color w:val="000000" w:themeColor="text1"/>
          <w:sz w:val="24"/>
          <w:szCs w:val="24"/>
        </w:rPr>
      </w:pPr>
      <w:r w:rsidRPr="00783896">
        <w:rPr>
          <w:rFonts w:ascii="Times New Roman" w:hAnsi="Times New Roman" w:cs="Times New Roman"/>
          <w:color w:val="000000" w:themeColor="text1"/>
          <w:sz w:val="24"/>
          <w:szCs w:val="24"/>
        </w:rPr>
        <w:lastRenderedPageBreak/>
        <w:t>Pieterse</w:t>
      </w:r>
      <w:r w:rsidRPr="009A60A2">
        <w:rPr>
          <w:rFonts w:ascii="Times New Roman" w:hAnsi="Times New Roman" w:cs="Times New Roman"/>
          <w:color w:val="000000" w:themeColor="text1"/>
          <w:sz w:val="24"/>
          <w:szCs w:val="24"/>
        </w:rPr>
        <w:t>, C.</w:t>
      </w:r>
      <w:r w:rsidR="004C6B48" w:rsidRPr="009A60A2">
        <w:rPr>
          <w:rFonts w:ascii="Times New Roman" w:hAnsi="Times New Roman" w:cs="Times New Roman"/>
          <w:color w:val="000000" w:themeColor="text1"/>
          <w:sz w:val="24"/>
          <w:szCs w:val="24"/>
        </w:rPr>
        <w:t xml:space="preserve"> </w:t>
      </w:r>
      <w:r w:rsidRPr="009A60A2">
        <w:rPr>
          <w:rFonts w:ascii="Times New Roman" w:hAnsi="Times New Roman" w:cs="Times New Roman"/>
          <w:color w:val="000000" w:themeColor="text1"/>
          <w:sz w:val="24"/>
          <w:szCs w:val="24"/>
        </w:rPr>
        <w:t>M.</w:t>
      </w:r>
      <w:r w:rsidR="004C6B48"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 xml:space="preserve"> </w:t>
      </w:r>
      <w:r w:rsidR="004C6B48" w:rsidRPr="009A60A2">
        <w:rPr>
          <w:rFonts w:ascii="Times New Roman" w:hAnsi="Times New Roman" w:cs="Times New Roman"/>
          <w:color w:val="000000" w:themeColor="text1"/>
          <w:sz w:val="24"/>
          <w:szCs w:val="24"/>
        </w:rPr>
        <w:t>&amp;</w:t>
      </w:r>
      <w:r w:rsidRPr="009A60A2">
        <w:rPr>
          <w:rFonts w:ascii="Times New Roman" w:hAnsi="Times New Roman" w:cs="Times New Roman"/>
          <w:color w:val="000000" w:themeColor="text1"/>
          <w:sz w:val="24"/>
          <w:szCs w:val="24"/>
        </w:rPr>
        <w:t xml:space="preserve"> Van Loon, L.</w:t>
      </w:r>
      <w:r w:rsidR="004C6B48" w:rsidRPr="009A60A2">
        <w:rPr>
          <w:rFonts w:ascii="Times New Roman" w:hAnsi="Times New Roman" w:cs="Times New Roman"/>
          <w:color w:val="000000" w:themeColor="text1"/>
          <w:sz w:val="24"/>
          <w:szCs w:val="24"/>
        </w:rPr>
        <w:t xml:space="preserve"> </w:t>
      </w:r>
      <w:r w:rsidRPr="009A60A2">
        <w:rPr>
          <w:rFonts w:ascii="Times New Roman" w:hAnsi="Times New Roman" w:cs="Times New Roman"/>
          <w:color w:val="000000" w:themeColor="text1"/>
          <w:sz w:val="24"/>
          <w:szCs w:val="24"/>
        </w:rPr>
        <w:t xml:space="preserve">C. </w:t>
      </w:r>
      <w:r w:rsidR="004C6B48"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1999</w:t>
      </w:r>
      <w:r w:rsidR="004C6B48"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 Salicylic acid-independent plant defence pathways. </w:t>
      </w:r>
      <w:r w:rsidRPr="009A60A2">
        <w:rPr>
          <w:rFonts w:ascii="Times New Roman" w:hAnsi="Times New Roman" w:cs="Times New Roman"/>
          <w:i/>
          <w:iCs/>
          <w:color w:val="000000" w:themeColor="text1"/>
          <w:sz w:val="24"/>
          <w:szCs w:val="24"/>
        </w:rPr>
        <w:t>Trends in plant science</w:t>
      </w:r>
      <w:r w:rsidRPr="009A60A2">
        <w:rPr>
          <w:rFonts w:ascii="Times New Roman" w:hAnsi="Times New Roman" w:cs="Times New Roman"/>
          <w:color w:val="000000" w:themeColor="text1"/>
          <w:sz w:val="24"/>
          <w:szCs w:val="24"/>
        </w:rPr>
        <w:t>, </w:t>
      </w:r>
      <w:r w:rsidRPr="001F1E3F">
        <w:rPr>
          <w:rFonts w:ascii="Times New Roman" w:hAnsi="Times New Roman" w:cs="Times New Roman"/>
          <w:color w:val="000000" w:themeColor="text1"/>
          <w:sz w:val="24"/>
          <w:szCs w:val="24"/>
        </w:rPr>
        <w:t>4</w:t>
      </w:r>
      <w:r w:rsidRPr="009A60A2">
        <w:rPr>
          <w:rFonts w:ascii="Times New Roman" w:hAnsi="Times New Roman" w:cs="Times New Roman"/>
          <w:color w:val="000000" w:themeColor="text1"/>
          <w:sz w:val="24"/>
          <w:szCs w:val="24"/>
        </w:rPr>
        <w:t>(2),</w:t>
      </w:r>
      <w:r w:rsidR="004C6B48" w:rsidRPr="009A60A2">
        <w:rPr>
          <w:rFonts w:ascii="Times New Roman" w:hAnsi="Times New Roman" w:cs="Times New Roman"/>
          <w:color w:val="000000" w:themeColor="text1"/>
          <w:sz w:val="24"/>
          <w:szCs w:val="24"/>
        </w:rPr>
        <w:t xml:space="preserve"> </w:t>
      </w:r>
      <w:r w:rsidRPr="009A60A2">
        <w:rPr>
          <w:rFonts w:ascii="Times New Roman" w:hAnsi="Times New Roman" w:cs="Times New Roman"/>
          <w:color w:val="000000" w:themeColor="text1"/>
          <w:sz w:val="24"/>
          <w:szCs w:val="24"/>
        </w:rPr>
        <w:t>52-58.</w:t>
      </w:r>
    </w:p>
    <w:p w14:paraId="4A071BA8" w14:textId="4B48A488" w:rsidR="00575779" w:rsidRPr="009A60A2" w:rsidRDefault="00575779" w:rsidP="009A60A2">
      <w:pPr>
        <w:spacing w:line="360" w:lineRule="auto"/>
        <w:ind w:left="720" w:hanging="720"/>
        <w:jc w:val="both"/>
        <w:rPr>
          <w:rFonts w:ascii="Times New Roman" w:hAnsi="Times New Roman" w:cs="Times New Roman"/>
          <w:color w:val="000000" w:themeColor="text1"/>
          <w:sz w:val="24"/>
          <w:szCs w:val="24"/>
        </w:rPr>
      </w:pPr>
      <w:r w:rsidRPr="00783896">
        <w:rPr>
          <w:rFonts w:ascii="Times New Roman" w:hAnsi="Times New Roman" w:cs="Times New Roman"/>
          <w:color w:val="000000" w:themeColor="text1"/>
          <w:sz w:val="24"/>
          <w:szCs w:val="24"/>
        </w:rPr>
        <w:t>S</w:t>
      </w:r>
      <w:r w:rsidRPr="00575779">
        <w:rPr>
          <w:rFonts w:ascii="Times New Roman" w:hAnsi="Times New Roman" w:cs="Times New Roman"/>
          <w:color w:val="000000" w:themeColor="text1"/>
          <w:sz w:val="24"/>
          <w:szCs w:val="24"/>
        </w:rPr>
        <w:t>hi, L., Tan, Y., Sun, Z., Ren, A., Zhu, J.</w:t>
      </w:r>
      <w:r>
        <w:rPr>
          <w:rFonts w:ascii="Times New Roman" w:hAnsi="Times New Roman" w:cs="Times New Roman"/>
          <w:color w:val="000000" w:themeColor="text1"/>
          <w:sz w:val="24"/>
          <w:szCs w:val="24"/>
        </w:rPr>
        <w:t>,</w:t>
      </w:r>
      <w:r w:rsidRPr="005757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&amp;</w:t>
      </w:r>
      <w:r w:rsidRPr="00575779">
        <w:rPr>
          <w:rFonts w:ascii="Times New Roman" w:hAnsi="Times New Roman" w:cs="Times New Roman"/>
          <w:color w:val="000000" w:themeColor="text1"/>
          <w:sz w:val="24"/>
          <w:szCs w:val="24"/>
        </w:rPr>
        <w:t xml:space="preserve"> Zhao, M. </w:t>
      </w:r>
      <w:r>
        <w:rPr>
          <w:rFonts w:ascii="Times New Roman" w:hAnsi="Times New Roman" w:cs="Times New Roman"/>
          <w:color w:val="000000" w:themeColor="text1"/>
          <w:sz w:val="24"/>
          <w:szCs w:val="24"/>
        </w:rPr>
        <w:t>(</w:t>
      </w:r>
      <w:r w:rsidRPr="00575779">
        <w:rPr>
          <w:rFonts w:ascii="Times New Roman" w:hAnsi="Times New Roman" w:cs="Times New Roman"/>
          <w:color w:val="000000" w:themeColor="text1"/>
          <w:sz w:val="24"/>
          <w:szCs w:val="24"/>
        </w:rPr>
        <w:t>2019</w:t>
      </w:r>
      <w:r>
        <w:rPr>
          <w:rFonts w:ascii="Times New Roman" w:hAnsi="Times New Roman" w:cs="Times New Roman"/>
          <w:color w:val="000000" w:themeColor="text1"/>
          <w:sz w:val="24"/>
          <w:szCs w:val="24"/>
        </w:rPr>
        <w:t>)</w:t>
      </w:r>
      <w:r w:rsidRPr="00575779">
        <w:rPr>
          <w:rFonts w:ascii="Times New Roman" w:hAnsi="Times New Roman" w:cs="Times New Roman"/>
          <w:color w:val="000000" w:themeColor="text1"/>
          <w:sz w:val="24"/>
          <w:szCs w:val="24"/>
        </w:rPr>
        <w:t xml:space="preserve">. Exogenous salicylic acid (SA) promotes the accumulation of biomass and flavonoid content in </w:t>
      </w:r>
      <w:r w:rsidRPr="00575779">
        <w:rPr>
          <w:rFonts w:ascii="Times New Roman" w:hAnsi="Times New Roman" w:cs="Times New Roman"/>
          <w:i/>
          <w:iCs/>
          <w:color w:val="000000" w:themeColor="text1"/>
          <w:sz w:val="24"/>
          <w:szCs w:val="24"/>
        </w:rPr>
        <w:t>Phellinus igniarius</w:t>
      </w:r>
      <w:r w:rsidRPr="00575779">
        <w:rPr>
          <w:rFonts w:ascii="Times New Roman" w:hAnsi="Times New Roman" w:cs="Times New Roman"/>
          <w:color w:val="000000" w:themeColor="text1"/>
          <w:sz w:val="24"/>
          <w:szCs w:val="24"/>
        </w:rPr>
        <w:t xml:space="preserve"> (Agaricomycetes). </w:t>
      </w:r>
      <w:r w:rsidRPr="00575779">
        <w:rPr>
          <w:rFonts w:ascii="Times New Roman" w:hAnsi="Times New Roman" w:cs="Times New Roman"/>
          <w:i/>
          <w:iCs/>
          <w:color w:val="000000" w:themeColor="text1"/>
          <w:sz w:val="24"/>
          <w:szCs w:val="24"/>
        </w:rPr>
        <w:t>International Journal of Medicinal Mushrooms</w:t>
      </w:r>
      <w:r w:rsidRPr="00575779">
        <w:rPr>
          <w:rFonts w:ascii="Times New Roman" w:hAnsi="Times New Roman" w:cs="Times New Roman"/>
          <w:color w:val="000000" w:themeColor="text1"/>
          <w:sz w:val="24"/>
          <w:szCs w:val="24"/>
        </w:rPr>
        <w:t>, </w:t>
      </w:r>
      <w:r w:rsidRPr="001F1E3F">
        <w:rPr>
          <w:rFonts w:ascii="Times New Roman" w:hAnsi="Times New Roman" w:cs="Times New Roman"/>
          <w:color w:val="000000" w:themeColor="text1"/>
          <w:sz w:val="24"/>
          <w:szCs w:val="24"/>
        </w:rPr>
        <w:t>21</w:t>
      </w:r>
      <w:r w:rsidRPr="00575779">
        <w:rPr>
          <w:rFonts w:ascii="Times New Roman" w:hAnsi="Times New Roman" w:cs="Times New Roman"/>
          <w:color w:val="000000" w:themeColor="text1"/>
          <w:sz w:val="24"/>
          <w:szCs w:val="24"/>
        </w:rPr>
        <w:t>(10).</w:t>
      </w:r>
    </w:p>
    <w:p w14:paraId="2344B30C" w14:textId="177122F5" w:rsidR="00575779" w:rsidRPr="009A60A2" w:rsidRDefault="00575779" w:rsidP="009A60A2">
      <w:pPr>
        <w:spacing w:line="360" w:lineRule="auto"/>
        <w:ind w:left="720" w:hanging="720"/>
        <w:jc w:val="both"/>
        <w:rPr>
          <w:rFonts w:ascii="Times New Roman" w:hAnsi="Times New Roman" w:cs="Times New Roman"/>
          <w:color w:val="000000" w:themeColor="text1"/>
          <w:sz w:val="24"/>
          <w:szCs w:val="24"/>
        </w:rPr>
      </w:pPr>
      <w:r w:rsidRPr="00783896">
        <w:rPr>
          <w:rFonts w:ascii="Times New Roman" w:hAnsi="Times New Roman" w:cs="Times New Roman"/>
          <w:color w:val="000000" w:themeColor="text1"/>
          <w:sz w:val="24"/>
          <w:szCs w:val="24"/>
        </w:rPr>
        <w:t>T</w:t>
      </w:r>
      <w:r w:rsidRPr="00575779">
        <w:rPr>
          <w:rFonts w:ascii="Times New Roman" w:hAnsi="Times New Roman" w:cs="Times New Roman"/>
          <w:color w:val="000000" w:themeColor="text1"/>
          <w:sz w:val="24"/>
          <w:szCs w:val="24"/>
        </w:rPr>
        <w:t xml:space="preserve">ajik, S., </w:t>
      </w:r>
      <w:proofErr w:type="spellStart"/>
      <w:r w:rsidRPr="00575779">
        <w:rPr>
          <w:rFonts w:ascii="Times New Roman" w:hAnsi="Times New Roman" w:cs="Times New Roman"/>
          <w:color w:val="000000" w:themeColor="text1"/>
          <w:sz w:val="24"/>
          <w:szCs w:val="24"/>
        </w:rPr>
        <w:t>Zarinkamar</w:t>
      </w:r>
      <w:proofErr w:type="spellEnd"/>
      <w:r w:rsidRPr="00575779">
        <w:rPr>
          <w:rFonts w:ascii="Times New Roman" w:hAnsi="Times New Roman" w:cs="Times New Roman"/>
          <w:color w:val="000000" w:themeColor="text1"/>
          <w:sz w:val="24"/>
          <w:szCs w:val="24"/>
        </w:rPr>
        <w:t>, F., Soltani, B.</w:t>
      </w:r>
      <w:r>
        <w:rPr>
          <w:rFonts w:ascii="Times New Roman" w:hAnsi="Times New Roman" w:cs="Times New Roman"/>
          <w:color w:val="000000" w:themeColor="text1"/>
          <w:sz w:val="24"/>
          <w:szCs w:val="24"/>
        </w:rPr>
        <w:t xml:space="preserve"> </w:t>
      </w:r>
      <w:r w:rsidRPr="00575779">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w:t>
      </w:r>
      <w:r w:rsidRPr="005757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&amp;</w:t>
      </w:r>
      <w:r w:rsidRPr="00575779">
        <w:rPr>
          <w:rFonts w:ascii="Times New Roman" w:hAnsi="Times New Roman" w:cs="Times New Roman"/>
          <w:color w:val="000000" w:themeColor="text1"/>
          <w:sz w:val="24"/>
          <w:szCs w:val="24"/>
        </w:rPr>
        <w:t xml:space="preserve"> Nazari, M. </w:t>
      </w:r>
      <w:r>
        <w:rPr>
          <w:rFonts w:ascii="Times New Roman" w:hAnsi="Times New Roman" w:cs="Times New Roman"/>
          <w:color w:val="000000" w:themeColor="text1"/>
          <w:sz w:val="24"/>
          <w:szCs w:val="24"/>
        </w:rPr>
        <w:t>(</w:t>
      </w:r>
      <w:r w:rsidRPr="00575779">
        <w:rPr>
          <w:rFonts w:ascii="Times New Roman" w:hAnsi="Times New Roman" w:cs="Times New Roman"/>
          <w:color w:val="000000" w:themeColor="text1"/>
          <w:sz w:val="24"/>
          <w:szCs w:val="24"/>
        </w:rPr>
        <w:t>2019</w:t>
      </w:r>
      <w:r>
        <w:rPr>
          <w:rFonts w:ascii="Times New Roman" w:hAnsi="Times New Roman" w:cs="Times New Roman"/>
          <w:color w:val="000000" w:themeColor="text1"/>
          <w:sz w:val="24"/>
          <w:szCs w:val="24"/>
        </w:rPr>
        <w:t>)</w:t>
      </w:r>
      <w:r w:rsidRPr="00575779">
        <w:rPr>
          <w:rFonts w:ascii="Times New Roman" w:hAnsi="Times New Roman" w:cs="Times New Roman"/>
          <w:color w:val="000000" w:themeColor="text1"/>
          <w:sz w:val="24"/>
          <w:szCs w:val="24"/>
        </w:rPr>
        <w:t>. Induction of phenolic and flavonoid compounds in leaves of saffron (</w:t>
      </w:r>
      <w:r w:rsidRPr="00575779">
        <w:rPr>
          <w:rFonts w:ascii="Times New Roman" w:hAnsi="Times New Roman" w:cs="Times New Roman"/>
          <w:i/>
          <w:iCs/>
          <w:color w:val="000000" w:themeColor="text1"/>
          <w:sz w:val="24"/>
          <w:szCs w:val="24"/>
        </w:rPr>
        <w:t>Crocus sativus</w:t>
      </w:r>
      <w:r w:rsidRPr="00575779">
        <w:rPr>
          <w:rFonts w:ascii="Times New Roman" w:hAnsi="Times New Roman" w:cs="Times New Roman"/>
          <w:color w:val="000000" w:themeColor="text1"/>
          <w:sz w:val="24"/>
          <w:szCs w:val="24"/>
        </w:rPr>
        <w:t xml:space="preserve"> L.) by salicylic acid. </w:t>
      </w:r>
      <w:r w:rsidRPr="00575779">
        <w:rPr>
          <w:rFonts w:ascii="Times New Roman" w:hAnsi="Times New Roman" w:cs="Times New Roman"/>
          <w:i/>
          <w:iCs/>
          <w:color w:val="000000" w:themeColor="text1"/>
          <w:sz w:val="24"/>
          <w:szCs w:val="24"/>
        </w:rPr>
        <w:t xml:space="preserve">Scientia </w:t>
      </w:r>
      <w:proofErr w:type="spellStart"/>
      <w:r w:rsidRPr="00575779">
        <w:rPr>
          <w:rFonts w:ascii="Times New Roman" w:hAnsi="Times New Roman" w:cs="Times New Roman"/>
          <w:i/>
          <w:iCs/>
          <w:color w:val="000000" w:themeColor="text1"/>
          <w:sz w:val="24"/>
          <w:szCs w:val="24"/>
        </w:rPr>
        <w:t>Horticulturae</w:t>
      </w:r>
      <w:proofErr w:type="spellEnd"/>
      <w:r w:rsidRPr="00575779">
        <w:rPr>
          <w:rFonts w:ascii="Times New Roman" w:hAnsi="Times New Roman" w:cs="Times New Roman"/>
          <w:color w:val="000000" w:themeColor="text1"/>
          <w:sz w:val="24"/>
          <w:szCs w:val="24"/>
        </w:rPr>
        <w:t>, </w:t>
      </w:r>
      <w:r w:rsidRPr="001F1E3F">
        <w:rPr>
          <w:rFonts w:ascii="Times New Roman" w:hAnsi="Times New Roman" w:cs="Times New Roman"/>
          <w:color w:val="000000" w:themeColor="text1"/>
          <w:sz w:val="24"/>
          <w:szCs w:val="24"/>
        </w:rPr>
        <w:t>257</w:t>
      </w:r>
      <w:r w:rsidRPr="00575779">
        <w:rPr>
          <w:rFonts w:ascii="Times New Roman" w:hAnsi="Times New Roman" w:cs="Times New Roman"/>
          <w:color w:val="000000" w:themeColor="text1"/>
          <w:sz w:val="24"/>
          <w:szCs w:val="24"/>
        </w:rPr>
        <w:t>, 108751.</w:t>
      </w:r>
    </w:p>
    <w:p w14:paraId="030704E1" w14:textId="0EAEBA75" w:rsidR="0091093A" w:rsidRDefault="0091093A" w:rsidP="009A60A2">
      <w:pPr>
        <w:spacing w:line="360" w:lineRule="auto"/>
        <w:ind w:left="720" w:hanging="720"/>
        <w:jc w:val="both"/>
        <w:rPr>
          <w:rFonts w:ascii="Times New Roman" w:hAnsi="Times New Roman" w:cs="Times New Roman"/>
          <w:color w:val="000000" w:themeColor="text1"/>
          <w:sz w:val="24"/>
          <w:szCs w:val="24"/>
        </w:rPr>
      </w:pPr>
      <w:r w:rsidRPr="00783896">
        <w:rPr>
          <w:rFonts w:ascii="Times New Roman" w:hAnsi="Times New Roman" w:cs="Times New Roman"/>
          <w:color w:val="000000" w:themeColor="text1"/>
          <w:sz w:val="24"/>
          <w:szCs w:val="24"/>
        </w:rPr>
        <w:t>T</w:t>
      </w:r>
      <w:r w:rsidRPr="009A60A2">
        <w:rPr>
          <w:rFonts w:ascii="Times New Roman" w:hAnsi="Times New Roman" w:cs="Times New Roman"/>
          <w:color w:val="000000" w:themeColor="text1"/>
          <w:sz w:val="24"/>
          <w:szCs w:val="24"/>
        </w:rPr>
        <w:t>on, N.</w:t>
      </w:r>
      <w:r w:rsidR="00F44500" w:rsidRPr="009A60A2">
        <w:rPr>
          <w:rFonts w:ascii="Times New Roman" w:hAnsi="Times New Roman" w:cs="Times New Roman"/>
          <w:color w:val="000000" w:themeColor="text1"/>
          <w:sz w:val="24"/>
          <w:szCs w:val="24"/>
        </w:rPr>
        <w:t xml:space="preserve"> </w:t>
      </w:r>
      <w:r w:rsidRPr="009A60A2">
        <w:rPr>
          <w:rFonts w:ascii="Times New Roman" w:hAnsi="Times New Roman" w:cs="Times New Roman"/>
          <w:color w:val="000000" w:themeColor="text1"/>
          <w:sz w:val="24"/>
          <w:szCs w:val="24"/>
        </w:rPr>
        <w:t>T., Nam, T.</w:t>
      </w:r>
      <w:r w:rsidR="00F44500" w:rsidRPr="009A60A2">
        <w:rPr>
          <w:rFonts w:ascii="Times New Roman" w:hAnsi="Times New Roman" w:cs="Times New Roman"/>
          <w:color w:val="000000" w:themeColor="text1"/>
          <w:sz w:val="24"/>
          <w:szCs w:val="24"/>
        </w:rPr>
        <w:t xml:space="preserve"> </w:t>
      </w:r>
      <w:r w:rsidRPr="009A60A2">
        <w:rPr>
          <w:rFonts w:ascii="Times New Roman" w:hAnsi="Times New Roman" w:cs="Times New Roman"/>
          <w:color w:val="000000" w:themeColor="text1"/>
          <w:sz w:val="24"/>
          <w:szCs w:val="24"/>
        </w:rPr>
        <w:t>N.</w:t>
      </w:r>
      <w:r w:rsidR="00F44500" w:rsidRPr="009A60A2">
        <w:rPr>
          <w:rFonts w:ascii="Times New Roman" w:hAnsi="Times New Roman" w:cs="Times New Roman"/>
          <w:color w:val="000000" w:themeColor="text1"/>
          <w:sz w:val="24"/>
          <w:szCs w:val="24"/>
        </w:rPr>
        <w:t xml:space="preserve"> </w:t>
      </w:r>
      <w:r w:rsidRPr="009A60A2">
        <w:rPr>
          <w:rFonts w:ascii="Times New Roman" w:hAnsi="Times New Roman" w:cs="Times New Roman"/>
          <w:color w:val="000000" w:themeColor="text1"/>
          <w:sz w:val="24"/>
          <w:szCs w:val="24"/>
        </w:rPr>
        <w:t>T., Don, L.</w:t>
      </w:r>
      <w:r w:rsidR="00F44500" w:rsidRPr="009A60A2">
        <w:rPr>
          <w:rFonts w:ascii="Times New Roman" w:hAnsi="Times New Roman" w:cs="Times New Roman"/>
          <w:color w:val="000000" w:themeColor="text1"/>
          <w:sz w:val="24"/>
          <w:szCs w:val="24"/>
        </w:rPr>
        <w:t xml:space="preserve"> </w:t>
      </w:r>
      <w:r w:rsidRPr="009A60A2">
        <w:rPr>
          <w:rFonts w:ascii="Times New Roman" w:hAnsi="Times New Roman" w:cs="Times New Roman"/>
          <w:color w:val="000000" w:themeColor="text1"/>
          <w:sz w:val="24"/>
          <w:szCs w:val="24"/>
        </w:rPr>
        <w:t>D., Tri, M.</w:t>
      </w:r>
      <w:r w:rsidR="00F44500" w:rsidRPr="009A60A2">
        <w:rPr>
          <w:rFonts w:ascii="Times New Roman" w:hAnsi="Times New Roman" w:cs="Times New Roman"/>
          <w:color w:val="000000" w:themeColor="text1"/>
          <w:sz w:val="24"/>
          <w:szCs w:val="24"/>
        </w:rPr>
        <w:t xml:space="preserve"> </w:t>
      </w:r>
      <w:r w:rsidRPr="009A60A2">
        <w:rPr>
          <w:rFonts w:ascii="Times New Roman" w:hAnsi="Times New Roman" w:cs="Times New Roman"/>
          <w:color w:val="000000" w:themeColor="text1"/>
          <w:sz w:val="24"/>
          <w:szCs w:val="24"/>
        </w:rPr>
        <w:t>V., Hieu, N.</w:t>
      </w:r>
      <w:r w:rsidR="00F44500" w:rsidRPr="009A60A2">
        <w:rPr>
          <w:rFonts w:ascii="Times New Roman" w:hAnsi="Times New Roman" w:cs="Times New Roman"/>
          <w:color w:val="000000" w:themeColor="text1"/>
          <w:sz w:val="24"/>
          <w:szCs w:val="24"/>
        </w:rPr>
        <w:t xml:space="preserve"> </w:t>
      </w:r>
      <w:r w:rsidRPr="009A60A2">
        <w:rPr>
          <w:rFonts w:ascii="Times New Roman" w:hAnsi="Times New Roman" w:cs="Times New Roman"/>
          <w:color w:val="000000" w:themeColor="text1"/>
          <w:sz w:val="24"/>
          <w:szCs w:val="24"/>
        </w:rPr>
        <w:t>M.</w:t>
      </w:r>
      <w:r w:rsidR="00F44500"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 xml:space="preserve"> </w:t>
      </w:r>
      <w:r w:rsidR="00F44500" w:rsidRPr="009A60A2">
        <w:rPr>
          <w:rFonts w:ascii="Times New Roman" w:hAnsi="Times New Roman" w:cs="Times New Roman"/>
          <w:color w:val="000000" w:themeColor="text1"/>
          <w:sz w:val="24"/>
          <w:szCs w:val="24"/>
        </w:rPr>
        <w:t>&amp;</w:t>
      </w:r>
      <w:r w:rsidRPr="009A60A2">
        <w:rPr>
          <w:rFonts w:ascii="Times New Roman" w:hAnsi="Times New Roman" w:cs="Times New Roman"/>
          <w:color w:val="000000" w:themeColor="text1"/>
          <w:sz w:val="24"/>
          <w:szCs w:val="24"/>
        </w:rPr>
        <w:t xml:space="preserve"> Phuong, N.</w:t>
      </w:r>
      <w:r w:rsidR="00F44500" w:rsidRPr="009A60A2">
        <w:rPr>
          <w:rFonts w:ascii="Times New Roman" w:hAnsi="Times New Roman" w:cs="Times New Roman"/>
          <w:color w:val="000000" w:themeColor="text1"/>
          <w:sz w:val="24"/>
          <w:szCs w:val="24"/>
        </w:rPr>
        <w:t xml:space="preserve"> </w:t>
      </w:r>
      <w:r w:rsidRPr="009A60A2">
        <w:rPr>
          <w:rFonts w:ascii="Times New Roman" w:hAnsi="Times New Roman" w:cs="Times New Roman"/>
          <w:color w:val="000000" w:themeColor="text1"/>
          <w:sz w:val="24"/>
          <w:szCs w:val="24"/>
        </w:rPr>
        <w:t xml:space="preserve">B. </w:t>
      </w:r>
      <w:r w:rsidR="00F44500"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2005</w:t>
      </w:r>
      <w:r w:rsidR="00F44500" w:rsidRPr="009A60A2">
        <w:rPr>
          <w:rFonts w:ascii="Times New Roman" w:hAnsi="Times New Roman" w:cs="Times New Roman"/>
          <w:color w:val="000000" w:themeColor="text1"/>
          <w:sz w:val="24"/>
          <w:szCs w:val="24"/>
        </w:rPr>
        <w:t>)</w:t>
      </w:r>
      <w:r w:rsidRPr="009A60A2">
        <w:rPr>
          <w:rFonts w:ascii="Times New Roman" w:hAnsi="Times New Roman" w:cs="Times New Roman"/>
          <w:color w:val="000000" w:themeColor="text1"/>
          <w:sz w:val="24"/>
          <w:szCs w:val="24"/>
        </w:rPr>
        <w:t>. Study on the scientific, technological and marketing measures for the development of black pepper production serving to processing and export. </w:t>
      </w:r>
      <w:r w:rsidRPr="009A60A2">
        <w:rPr>
          <w:rFonts w:ascii="Times New Roman" w:hAnsi="Times New Roman" w:cs="Times New Roman"/>
          <w:i/>
          <w:iCs/>
          <w:color w:val="000000" w:themeColor="text1"/>
          <w:sz w:val="24"/>
          <w:szCs w:val="24"/>
        </w:rPr>
        <w:t>Final report of national research project</w:t>
      </w:r>
      <w:r w:rsidRPr="009A60A2">
        <w:rPr>
          <w:rFonts w:ascii="Times New Roman" w:hAnsi="Times New Roman" w:cs="Times New Roman"/>
          <w:color w:val="000000" w:themeColor="text1"/>
          <w:sz w:val="24"/>
          <w:szCs w:val="24"/>
        </w:rPr>
        <w:t>.</w:t>
      </w:r>
    </w:p>
    <w:p w14:paraId="057FB077" w14:textId="056C6FE0" w:rsidR="00235E9A" w:rsidRPr="009A60A2" w:rsidRDefault="00235E9A" w:rsidP="009A60A2">
      <w:pPr>
        <w:spacing w:line="360" w:lineRule="auto"/>
        <w:ind w:left="720" w:hanging="720"/>
        <w:jc w:val="both"/>
        <w:rPr>
          <w:rFonts w:ascii="Times New Roman" w:hAnsi="Times New Roman" w:cs="Times New Roman"/>
          <w:color w:val="000000" w:themeColor="text1"/>
          <w:sz w:val="24"/>
          <w:szCs w:val="24"/>
        </w:rPr>
      </w:pPr>
      <w:r w:rsidRPr="00783896">
        <w:rPr>
          <w:rFonts w:ascii="Times New Roman" w:hAnsi="Times New Roman" w:cs="Times New Roman"/>
          <w:color w:val="000000" w:themeColor="text1"/>
          <w:sz w:val="24"/>
          <w:szCs w:val="24"/>
        </w:rPr>
        <w:t>Y</w:t>
      </w:r>
      <w:r w:rsidRPr="00235E9A">
        <w:rPr>
          <w:rFonts w:ascii="Times New Roman" w:hAnsi="Times New Roman" w:cs="Times New Roman"/>
          <w:color w:val="000000" w:themeColor="text1"/>
          <w:sz w:val="24"/>
          <w:szCs w:val="24"/>
        </w:rPr>
        <w:t>in, Y., Hu, M., Yang, Z., Zhu, J.</w:t>
      </w:r>
      <w:r>
        <w:rPr>
          <w:rFonts w:ascii="Times New Roman" w:hAnsi="Times New Roman" w:cs="Times New Roman"/>
          <w:color w:val="000000" w:themeColor="text1"/>
          <w:sz w:val="24"/>
          <w:szCs w:val="24"/>
        </w:rPr>
        <w:t>,</w:t>
      </w:r>
      <w:r w:rsidRPr="00235E9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&amp;</w:t>
      </w:r>
      <w:r w:rsidRPr="00235E9A">
        <w:rPr>
          <w:rFonts w:ascii="Times New Roman" w:hAnsi="Times New Roman" w:cs="Times New Roman"/>
          <w:color w:val="000000" w:themeColor="text1"/>
          <w:sz w:val="24"/>
          <w:szCs w:val="24"/>
        </w:rPr>
        <w:t xml:space="preserve"> Fang, W. </w:t>
      </w:r>
      <w:r>
        <w:rPr>
          <w:rFonts w:ascii="Times New Roman" w:hAnsi="Times New Roman" w:cs="Times New Roman"/>
          <w:color w:val="000000" w:themeColor="text1"/>
          <w:sz w:val="24"/>
          <w:szCs w:val="24"/>
        </w:rPr>
        <w:t>(</w:t>
      </w:r>
      <w:r w:rsidRPr="00235E9A">
        <w:rPr>
          <w:rFonts w:ascii="Times New Roman" w:hAnsi="Times New Roman" w:cs="Times New Roman"/>
          <w:color w:val="000000" w:themeColor="text1"/>
          <w:sz w:val="24"/>
          <w:szCs w:val="24"/>
        </w:rPr>
        <w:t>2024</w:t>
      </w:r>
      <w:r>
        <w:rPr>
          <w:rFonts w:ascii="Times New Roman" w:hAnsi="Times New Roman" w:cs="Times New Roman"/>
          <w:color w:val="000000" w:themeColor="text1"/>
          <w:sz w:val="24"/>
          <w:szCs w:val="24"/>
        </w:rPr>
        <w:t>)</w:t>
      </w:r>
      <w:r w:rsidRPr="00235E9A">
        <w:rPr>
          <w:rFonts w:ascii="Times New Roman" w:hAnsi="Times New Roman" w:cs="Times New Roman"/>
          <w:color w:val="000000" w:themeColor="text1"/>
          <w:sz w:val="24"/>
          <w:szCs w:val="24"/>
        </w:rPr>
        <w:t>. Salicylic acid promotes phenolic acid biosynthesis for the production of phenol acid‐rich barley sprouts. </w:t>
      </w:r>
      <w:r w:rsidRPr="00235E9A">
        <w:rPr>
          <w:rFonts w:ascii="Times New Roman" w:hAnsi="Times New Roman" w:cs="Times New Roman"/>
          <w:i/>
          <w:iCs/>
          <w:color w:val="000000" w:themeColor="text1"/>
          <w:sz w:val="24"/>
          <w:szCs w:val="24"/>
        </w:rPr>
        <w:t>Journal of the Science of Food and Agriculture</w:t>
      </w:r>
      <w:r w:rsidRPr="00235E9A">
        <w:rPr>
          <w:rFonts w:ascii="Times New Roman" w:hAnsi="Times New Roman" w:cs="Times New Roman"/>
          <w:color w:val="000000" w:themeColor="text1"/>
          <w:sz w:val="24"/>
          <w:szCs w:val="24"/>
        </w:rPr>
        <w:t>, </w:t>
      </w:r>
      <w:r w:rsidRPr="00AA0A83">
        <w:rPr>
          <w:rFonts w:ascii="Times New Roman" w:hAnsi="Times New Roman" w:cs="Times New Roman"/>
          <w:color w:val="000000" w:themeColor="text1"/>
          <w:sz w:val="24"/>
          <w:szCs w:val="24"/>
        </w:rPr>
        <w:t>104</w:t>
      </w:r>
      <w:r w:rsidRPr="00235E9A">
        <w:rPr>
          <w:rFonts w:ascii="Times New Roman" w:hAnsi="Times New Roman" w:cs="Times New Roman"/>
          <w:color w:val="000000" w:themeColor="text1"/>
          <w:sz w:val="24"/>
          <w:szCs w:val="24"/>
        </w:rPr>
        <w:t>(9), 5350-5359.</w:t>
      </w:r>
    </w:p>
    <w:p w14:paraId="5B655B7C" w14:textId="117124D6" w:rsidR="002B396B" w:rsidRPr="009A60A2" w:rsidRDefault="002B396B" w:rsidP="009A60A2">
      <w:pPr>
        <w:spacing w:line="360" w:lineRule="auto"/>
        <w:jc w:val="both"/>
        <w:rPr>
          <w:rFonts w:ascii="Times New Roman" w:hAnsi="Times New Roman" w:cs="Times New Roman"/>
          <w:color w:val="000000" w:themeColor="text1"/>
          <w:sz w:val="24"/>
          <w:szCs w:val="24"/>
        </w:rPr>
      </w:pPr>
    </w:p>
    <w:sectPr w:rsidR="002B396B" w:rsidRPr="009A60A2" w:rsidSect="002B396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D48B4" w14:textId="77777777" w:rsidR="006445F6" w:rsidRDefault="006445F6" w:rsidP="00EE51D4">
      <w:pPr>
        <w:spacing w:after="0" w:line="240" w:lineRule="auto"/>
      </w:pPr>
      <w:r>
        <w:separator/>
      </w:r>
    </w:p>
  </w:endnote>
  <w:endnote w:type="continuationSeparator" w:id="0">
    <w:p w14:paraId="0C79D955" w14:textId="77777777" w:rsidR="006445F6" w:rsidRDefault="006445F6" w:rsidP="00EE5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FDF10" w14:textId="77777777" w:rsidR="00FF19A3" w:rsidRDefault="00FF1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DFC2" w14:textId="799CDFA1" w:rsidR="00EE51D4" w:rsidRPr="00025FE1" w:rsidRDefault="00EE51D4" w:rsidP="00025FE1">
    <w:pPr>
      <w:pStyle w:val="Footer"/>
    </w:pPr>
    <w:r w:rsidRPr="00025FE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5BE8A" w14:textId="77777777" w:rsidR="00FF19A3" w:rsidRDefault="00FF1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6D418" w14:textId="77777777" w:rsidR="006445F6" w:rsidRDefault="006445F6" w:rsidP="00EE51D4">
      <w:pPr>
        <w:spacing w:after="0" w:line="240" w:lineRule="auto"/>
      </w:pPr>
      <w:r>
        <w:separator/>
      </w:r>
    </w:p>
  </w:footnote>
  <w:footnote w:type="continuationSeparator" w:id="0">
    <w:p w14:paraId="76C7EDDB" w14:textId="77777777" w:rsidR="006445F6" w:rsidRDefault="006445F6" w:rsidP="00EE5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1853" w14:textId="012CF1A5" w:rsidR="00FF19A3" w:rsidRDefault="00000000">
    <w:pPr>
      <w:pStyle w:val="Header"/>
    </w:pPr>
    <w:r>
      <w:rPr>
        <w:noProof/>
      </w:rPr>
      <w:pict w14:anchorId="7EBBAE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136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8EC7" w14:textId="39E284B9" w:rsidR="00FF19A3" w:rsidRDefault="00000000">
    <w:pPr>
      <w:pStyle w:val="Header"/>
    </w:pPr>
    <w:r>
      <w:rPr>
        <w:noProof/>
      </w:rPr>
      <w:pict w14:anchorId="05AF8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136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2D43E" w14:textId="4112771E" w:rsidR="00FF19A3" w:rsidRDefault="00000000">
    <w:pPr>
      <w:pStyle w:val="Header"/>
    </w:pPr>
    <w:r>
      <w:rPr>
        <w:noProof/>
      </w:rPr>
      <w:pict w14:anchorId="526D2A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135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A00A4"/>
    <w:multiLevelType w:val="hybridMultilevel"/>
    <w:tmpl w:val="7CD0BA10"/>
    <w:lvl w:ilvl="0" w:tplc="4B8CBA24">
      <w:numFmt w:val="bullet"/>
      <w:lvlText w:val=""/>
      <w:lvlJc w:val="left"/>
      <w:pPr>
        <w:ind w:left="720" w:hanging="360"/>
      </w:pPr>
      <w:rPr>
        <w:rFonts w:ascii="Symbol" w:eastAsiaTheme="minorHAnsi" w:hAnsi="Symbol" w:cs="Times New Roman" w:hint="default"/>
        <w:color w:val="000000" w:themeColor="text1"/>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64446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BCA"/>
    <w:rsid w:val="00005431"/>
    <w:rsid w:val="00007233"/>
    <w:rsid w:val="00021528"/>
    <w:rsid w:val="00023E6E"/>
    <w:rsid w:val="00025FE1"/>
    <w:rsid w:val="00037380"/>
    <w:rsid w:val="00041BC4"/>
    <w:rsid w:val="0008027A"/>
    <w:rsid w:val="000B6A8D"/>
    <w:rsid w:val="000C1A4B"/>
    <w:rsid w:val="000C5BD2"/>
    <w:rsid w:val="000F5AD6"/>
    <w:rsid w:val="00107BA5"/>
    <w:rsid w:val="00107D0C"/>
    <w:rsid w:val="001576B5"/>
    <w:rsid w:val="0017037D"/>
    <w:rsid w:val="001744E6"/>
    <w:rsid w:val="001755BC"/>
    <w:rsid w:val="001B122B"/>
    <w:rsid w:val="001C4D6B"/>
    <w:rsid w:val="001D3698"/>
    <w:rsid w:val="001D5483"/>
    <w:rsid w:val="001E2E02"/>
    <w:rsid w:val="001E4DAB"/>
    <w:rsid w:val="001F1E3F"/>
    <w:rsid w:val="00201B51"/>
    <w:rsid w:val="00220C40"/>
    <w:rsid w:val="00222C59"/>
    <w:rsid w:val="002269B2"/>
    <w:rsid w:val="00235E9A"/>
    <w:rsid w:val="00236A53"/>
    <w:rsid w:val="00256FF3"/>
    <w:rsid w:val="00263EFF"/>
    <w:rsid w:val="002645C3"/>
    <w:rsid w:val="002705D5"/>
    <w:rsid w:val="00274CF6"/>
    <w:rsid w:val="00280019"/>
    <w:rsid w:val="00280534"/>
    <w:rsid w:val="002B396B"/>
    <w:rsid w:val="00323BD9"/>
    <w:rsid w:val="003342A2"/>
    <w:rsid w:val="00346407"/>
    <w:rsid w:val="00367D9A"/>
    <w:rsid w:val="003725E6"/>
    <w:rsid w:val="00394E45"/>
    <w:rsid w:val="003C32CB"/>
    <w:rsid w:val="003D26BD"/>
    <w:rsid w:val="003E39AF"/>
    <w:rsid w:val="003E58F8"/>
    <w:rsid w:val="003F20E3"/>
    <w:rsid w:val="003F7E21"/>
    <w:rsid w:val="00401AC2"/>
    <w:rsid w:val="00405F87"/>
    <w:rsid w:val="00426205"/>
    <w:rsid w:val="0043104B"/>
    <w:rsid w:val="00453EEB"/>
    <w:rsid w:val="004627D3"/>
    <w:rsid w:val="00463672"/>
    <w:rsid w:val="004645EB"/>
    <w:rsid w:val="00474C14"/>
    <w:rsid w:val="004918DE"/>
    <w:rsid w:val="00495505"/>
    <w:rsid w:val="004B5592"/>
    <w:rsid w:val="004C3A95"/>
    <w:rsid w:val="004C5D98"/>
    <w:rsid w:val="004C6B48"/>
    <w:rsid w:val="004D110F"/>
    <w:rsid w:val="004D77D0"/>
    <w:rsid w:val="004E01FA"/>
    <w:rsid w:val="0050300B"/>
    <w:rsid w:val="005073A8"/>
    <w:rsid w:val="00524D8C"/>
    <w:rsid w:val="005623E2"/>
    <w:rsid w:val="00573BEB"/>
    <w:rsid w:val="00575779"/>
    <w:rsid w:val="005850F6"/>
    <w:rsid w:val="005B4CE6"/>
    <w:rsid w:val="005B5FA9"/>
    <w:rsid w:val="005C0E3C"/>
    <w:rsid w:val="005C2EFB"/>
    <w:rsid w:val="005C36D6"/>
    <w:rsid w:val="005E7AE3"/>
    <w:rsid w:val="00632F8E"/>
    <w:rsid w:val="006445F6"/>
    <w:rsid w:val="00651452"/>
    <w:rsid w:val="00657570"/>
    <w:rsid w:val="00665F8A"/>
    <w:rsid w:val="00666536"/>
    <w:rsid w:val="00681F58"/>
    <w:rsid w:val="0069466D"/>
    <w:rsid w:val="006A26EA"/>
    <w:rsid w:val="006A313B"/>
    <w:rsid w:val="006B238D"/>
    <w:rsid w:val="006C1312"/>
    <w:rsid w:val="006E4033"/>
    <w:rsid w:val="006E7BF2"/>
    <w:rsid w:val="006F3888"/>
    <w:rsid w:val="00754C72"/>
    <w:rsid w:val="007668A7"/>
    <w:rsid w:val="00775909"/>
    <w:rsid w:val="00781EAF"/>
    <w:rsid w:val="00783896"/>
    <w:rsid w:val="007934BA"/>
    <w:rsid w:val="007B1739"/>
    <w:rsid w:val="007B68BE"/>
    <w:rsid w:val="007D12E2"/>
    <w:rsid w:val="007D344C"/>
    <w:rsid w:val="007D6E64"/>
    <w:rsid w:val="00813FBC"/>
    <w:rsid w:val="00853ACF"/>
    <w:rsid w:val="00864242"/>
    <w:rsid w:val="00896D86"/>
    <w:rsid w:val="008A074D"/>
    <w:rsid w:val="008B0A53"/>
    <w:rsid w:val="008B1CE4"/>
    <w:rsid w:val="008C61DD"/>
    <w:rsid w:val="008D0EBD"/>
    <w:rsid w:val="008D2069"/>
    <w:rsid w:val="008E2102"/>
    <w:rsid w:val="008E451B"/>
    <w:rsid w:val="008F670D"/>
    <w:rsid w:val="0090741D"/>
    <w:rsid w:val="00907A44"/>
    <w:rsid w:val="0091093A"/>
    <w:rsid w:val="009243B1"/>
    <w:rsid w:val="00927F3D"/>
    <w:rsid w:val="00935743"/>
    <w:rsid w:val="009439B3"/>
    <w:rsid w:val="0095669D"/>
    <w:rsid w:val="009576CF"/>
    <w:rsid w:val="00977840"/>
    <w:rsid w:val="009825F4"/>
    <w:rsid w:val="00982BA3"/>
    <w:rsid w:val="0099057B"/>
    <w:rsid w:val="009A60A2"/>
    <w:rsid w:val="009B78F7"/>
    <w:rsid w:val="009D12F1"/>
    <w:rsid w:val="009D3E49"/>
    <w:rsid w:val="009D461A"/>
    <w:rsid w:val="00A0176E"/>
    <w:rsid w:val="00A20915"/>
    <w:rsid w:val="00A26789"/>
    <w:rsid w:val="00A334D5"/>
    <w:rsid w:val="00A339F1"/>
    <w:rsid w:val="00A353EF"/>
    <w:rsid w:val="00A67654"/>
    <w:rsid w:val="00A724D1"/>
    <w:rsid w:val="00A90D76"/>
    <w:rsid w:val="00A91AE4"/>
    <w:rsid w:val="00AA0A83"/>
    <w:rsid w:val="00AD2818"/>
    <w:rsid w:val="00AD69E0"/>
    <w:rsid w:val="00B116AF"/>
    <w:rsid w:val="00B17FA3"/>
    <w:rsid w:val="00B426AC"/>
    <w:rsid w:val="00B50DA1"/>
    <w:rsid w:val="00B81AA7"/>
    <w:rsid w:val="00B830F0"/>
    <w:rsid w:val="00B8565F"/>
    <w:rsid w:val="00B8776B"/>
    <w:rsid w:val="00B906E0"/>
    <w:rsid w:val="00BA2C4F"/>
    <w:rsid w:val="00BB7C06"/>
    <w:rsid w:val="00BD1F56"/>
    <w:rsid w:val="00BD1FC6"/>
    <w:rsid w:val="00BD21DF"/>
    <w:rsid w:val="00BF78E5"/>
    <w:rsid w:val="00C13085"/>
    <w:rsid w:val="00C1358F"/>
    <w:rsid w:val="00C35631"/>
    <w:rsid w:val="00C524B9"/>
    <w:rsid w:val="00C609A9"/>
    <w:rsid w:val="00C61FD8"/>
    <w:rsid w:val="00C819F2"/>
    <w:rsid w:val="00C82207"/>
    <w:rsid w:val="00C854F5"/>
    <w:rsid w:val="00CA4E56"/>
    <w:rsid w:val="00CD4313"/>
    <w:rsid w:val="00CD772E"/>
    <w:rsid w:val="00CE3A18"/>
    <w:rsid w:val="00CF0976"/>
    <w:rsid w:val="00CF4BE9"/>
    <w:rsid w:val="00D138E2"/>
    <w:rsid w:val="00D268B2"/>
    <w:rsid w:val="00D2692F"/>
    <w:rsid w:val="00D42D5C"/>
    <w:rsid w:val="00D664FB"/>
    <w:rsid w:val="00D67370"/>
    <w:rsid w:val="00D711DE"/>
    <w:rsid w:val="00D93FCB"/>
    <w:rsid w:val="00DD17BB"/>
    <w:rsid w:val="00DD2515"/>
    <w:rsid w:val="00E03BCA"/>
    <w:rsid w:val="00E13221"/>
    <w:rsid w:val="00E34C16"/>
    <w:rsid w:val="00E4418A"/>
    <w:rsid w:val="00E451D5"/>
    <w:rsid w:val="00E452DC"/>
    <w:rsid w:val="00E47499"/>
    <w:rsid w:val="00E6592D"/>
    <w:rsid w:val="00E83DD9"/>
    <w:rsid w:val="00E90788"/>
    <w:rsid w:val="00E94A2D"/>
    <w:rsid w:val="00E95076"/>
    <w:rsid w:val="00E9556A"/>
    <w:rsid w:val="00E964E7"/>
    <w:rsid w:val="00E969EC"/>
    <w:rsid w:val="00EB022B"/>
    <w:rsid w:val="00EB6801"/>
    <w:rsid w:val="00EC0A3E"/>
    <w:rsid w:val="00EE3289"/>
    <w:rsid w:val="00EE51D4"/>
    <w:rsid w:val="00EE5FD7"/>
    <w:rsid w:val="00EE60D0"/>
    <w:rsid w:val="00EF5F32"/>
    <w:rsid w:val="00EF64D2"/>
    <w:rsid w:val="00F36811"/>
    <w:rsid w:val="00F44500"/>
    <w:rsid w:val="00F45D4F"/>
    <w:rsid w:val="00F52A1D"/>
    <w:rsid w:val="00F638A9"/>
    <w:rsid w:val="00F65CC1"/>
    <w:rsid w:val="00FA240E"/>
    <w:rsid w:val="00FC3E20"/>
    <w:rsid w:val="00FD5EB5"/>
    <w:rsid w:val="00FE5C77"/>
    <w:rsid w:val="00FE60BE"/>
    <w:rsid w:val="00FF19A3"/>
    <w:rsid w:val="00FF693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AEA74"/>
  <w15:chartTrackingRefBased/>
  <w15:docId w15:val="{B9AE7F4D-879A-45E7-AC23-CBEC24C3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B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03B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03B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3B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3B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3B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B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B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B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B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03B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03B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3B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3B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3B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B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B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BCA"/>
    <w:rPr>
      <w:rFonts w:eastAsiaTheme="majorEastAsia" w:cstheme="majorBidi"/>
      <w:color w:val="272727" w:themeColor="text1" w:themeTint="D8"/>
    </w:rPr>
  </w:style>
  <w:style w:type="paragraph" w:styleId="Title">
    <w:name w:val="Title"/>
    <w:basedOn w:val="Normal"/>
    <w:next w:val="Normal"/>
    <w:link w:val="TitleChar"/>
    <w:uiPriority w:val="10"/>
    <w:qFormat/>
    <w:rsid w:val="00E03B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B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B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B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BCA"/>
    <w:pPr>
      <w:spacing w:before="160"/>
      <w:jc w:val="center"/>
    </w:pPr>
    <w:rPr>
      <w:i/>
      <w:iCs/>
      <w:color w:val="404040" w:themeColor="text1" w:themeTint="BF"/>
    </w:rPr>
  </w:style>
  <w:style w:type="character" w:customStyle="1" w:styleId="QuoteChar">
    <w:name w:val="Quote Char"/>
    <w:basedOn w:val="DefaultParagraphFont"/>
    <w:link w:val="Quote"/>
    <w:uiPriority w:val="29"/>
    <w:rsid w:val="00E03BCA"/>
    <w:rPr>
      <w:i/>
      <w:iCs/>
      <w:color w:val="404040" w:themeColor="text1" w:themeTint="BF"/>
    </w:rPr>
  </w:style>
  <w:style w:type="paragraph" w:styleId="ListParagraph">
    <w:name w:val="List Paragraph"/>
    <w:basedOn w:val="Normal"/>
    <w:uiPriority w:val="34"/>
    <w:qFormat/>
    <w:rsid w:val="00E03BCA"/>
    <w:pPr>
      <w:ind w:left="720"/>
      <w:contextualSpacing/>
    </w:pPr>
  </w:style>
  <w:style w:type="character" w:styleId="IntenseEmphasis">
    <w:name w:val="Intense Emphasis"/>
    <w:basedOn w:val="DefaultParagraphFont"/>
    <w:uiPriority w:val="21"/>
    <w:qFormat/>
    <w:rsid w:val="00E03BCA"/>
    <w:rPr>
      <w:i/>
      <w:iCs/>
      <w:color w:val="2F5496" w:themeColor="accent1" w:themeShade="BF"/>
    </w:rPr>
  </w:style>
  <w:style w:type="paragraph" w:styleId="IntenseQuote">
    <w:name w:val="Intense Quote"/>
    <w:basedOn w:val="Normal"/>
    <w:next w:val="Normal"/>
    <w:link w:val="IntenseQuoteChar"/>
    <w:uiPriority w:val="30"/>
    <w:qFormat/>
    <w:rsid w:val="00E03B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3BCA"/>
    <w:rPr>
      <w:i/>
      <w:iCs/>
      <w:color w:val="2F5496" w:themeColor="accent1" w:themeShade="BF"/>
    </w:rPr>
  </w:style>
  <w:style w:type="character" w:styleId="IntenseReference">
    <w:name w:val="Intense Reference"/>
    <w:basedOn w:val="DefaultParagraphFont"/>
    <w:uiPriority w:val="32"/>
    <w:qFormat/>
    <w:rsid w:val="00E03BCA"/>
    <w:rPr>
      <w:b/>
      <w:bCs/>
      <w:smallCaps/>
      <w:color w:val="2F5496" w:themeColor="accent1" w:themeShade="BF"/>
      <w:spacing w:val="5"/>
    </w:rPr>
  </w:style>
  <w:style w:type="table" w:styleId="TableGrid">
    <w:name w:val="Table Grid"/>
    <w:basedOn w:val="TableNormal"/>
    <w:uiPriority w:val="39"/>
    <w:rsid w:val="00E03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03BCA"/>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E03BCA"/>
    <w:rPr>
      <w:rFonts w:ascii="Times New Roman" w:eastAsia="Times New Roman" w:hAnsi="Times New Roman" w:cs="Times New Roman"/>
      <w:kern w:val="0"/>
      <w:sz w:val="24"/>
      <w:szCs w:val="24"/>
      <w:lang w:val="en-US"/>
    </w:rPr>
  </w:style>
  <w:style w:type="paragraph" w:styleId="CommentText">
    <w:name w:val="annotation text"/>
    <w:basedOn w:val="Normal"/>
    <w:link w:val="CommentTextChar"/>
    <w:uiPriority w:val="99"/>
    <w:semiHidden/>
    <w:unhideWhenUsed/>
    <w:qFormat/>
    <w:rsid w:val="00E95076"/>
    <w:rPr>
      <w14:ligatures w14:val="none"/>
    </w:rPr>
  </w:style>
  <w:style w:type="character" w:customStyle="1" w:styleId="CommentTextChar">
    <w:name w:val="Comment Text Char"/>
    <w:basedOn w:val="DefaultParagraphFont"/>
    <w:link w:val="CommentText"/>
    <w:uiPriority w:val="99"/>
    <w:semiHidden/>
    <w:qFormat/>
    <w:rsid w:val="00E95076"/>
    <w:rPr>
      <w14:ligatures w14:val="none"/>
    </w:rPr>
  </w:style>
  <w:style w:type="character" w:styleId="Hyperlink">
    <w:name w:val="Hyperlink"/>
    <w:basedOn w:val="DefaultParagraphFont"/>
    <w:uiPriority w:val="99"/>
    <w:unhideWhenUsed/>
    <w:rsid w:val="003E58F8"/>
    <w:rPr>
      <w:color w:val="0563C1" w:themeColor="hyperlink"/>
      <w:u w:val="single"/>
    </w:rPr>
  </w:style>
  <w:style w:type="character" w:customStyle="1" w:styleId="UnresolvedMention1">
    <w:name w:val="Unresolved Mention1"/>
    <w:basedOn w:val="DefaultParagraphFont"/>
    <w:uiPriority w:val="99"/>
    <w:semiHidden/>
    <w:unhideWhenUsed/>
    <w:rsid w:val="003E58F8"/>
    <w:rPr>
      <w:color w:val="605E5C"/>
      <w:shd w:val="clear" w:color="auto" w:fill="E1DFDD"/>
    </w:rPr>
  </w:style>
  <w:style w:type="paragraph" w:customStyle="1" w:styleId="Compact">
    <w:name w:val="Compact"/>
    <w:basedOn w:val="BodyText"/>
    <w:qFormat/>
    <w:rsid w:val="001755BC"/>
    <w:pPr>
      <w:widowControl/>
      <w:autoSpaceDE/>
      <w:autoSpaceDN/>
      <w:spacing w:before="36" w:after="36" w:line="276" w:lineRule="auto"/>
    </w:pPr>
    <w:rPr>
      <w:rFonts w:asciiTheme="minorHAnsi" w:eastAsiaTheme="minorEastAsia" w:hAnsiTheme="minorHAnsi" w:cstheme="minorBidi"/>
      <w:sz w:val="20"/>
      <w:szCs w:val="20"/>
      <w:lang w:bidi="en-US"/>
      <w14:ligatures w14:val="none"/>
    </w:rPr>
  </w:style>
  <w:style w:type="table" w:customStyle="1" w:styleId="Table">
    <w:name w:val="Table"/>
    <w:semiHidden/>
    <w:unhideWhenUsed/>
    <w:qFormat/>
    <w:rsid w:val="001755BC"/>
    <w:pPr>
      <w:spacing w:before="200" w:after="200" w:line="276" w:lineRule="auto"/>
    </w:pPr>
    <w:rPr>
      <w:rFonts w:eastAsiaTheme="minorEastAsia"/>
      <w:kern w:val="0"/>
      <w:sz w:val="20"/>
      <w:szCs w:val="20"/>
      <w:lang w:val="en-US" w:eastAsia="en-IN" w:bidi="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Header">
    <w:name w:val="header"/>
    <w:basedOn w:val="Normal"/>
    <w:link w:val="HeaderChar"/>
    <w:uiPriority w:val="99"/>
    <w:unhideWhenUsed/>
    <w:rsid w:val="00EE5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1D4"/>
  </w:style>
  <w:style w:type="paragraph" w:styleId="Footer">
    <w:name w:val="footer"/>
    <w:basedOn w:val="Normal"/>
    <w:link w:val="FooterChar"/>
    <w:uiPriority w:val="99"/>
    <w:unhideWhenUsed/>
    <w:rsid w:val="00EE51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258">
      <w:bodyDiv w:val="1"/>
      <w:marLeft w:val="0"/>
      <w:marRight w:val="0"/>
      <w:marTop w:val="0"/>
      <w:marBottom w:val="0"/>
      <w:divBdr>
        <w:top w:val="none" w:sz="0" w:space="0" w:color="auto"/>
        <w:left w:val="none" w:sz="0" w:space="0" w:color="auto"/>
        <w:bottom w:val="none" w:sz="0" w:space="0" w:color="auto"/>
        <w:right w:val="none" w:sz="0" w:space="0" w:color="auto"/>
      </w:divBdr>
      <w:divsChild>
        <w:div w:id="993949100">
          <w:marLeft w:val="0"/>
          <w:marRight w:val="0"/>
          <w:marTop w:val="0"/>
          <w:marBottom w:val="0"/>
          <w:divBdr>
            <w:top w:val="none" w:sz="0" w:space="0" w:color="auto"/>
            <w:left w:val="none" w:sz="0" w:space="0" w:color="auto"/>
            <w:bottom w:val="none" w:sz="0" w:space="0" w:color="auto"/>
            <w:right w:val="none" w:sz="0" w:space="0" w:color="auto"/>
          </w:divBdr>
        </w:div>
      </w:divsChild>
    </w:div>
    <w:div w:id="116728449">
      <w:bodyDiv w:val="1"/>
      <w:marLeft w:val="0"/>
      <w:marRight w:val="0"/>
      <w:marTop w:val="0"/>
      <w:marBottom w:val="0"/>
      <w:divBdr>
        <w:top w:val="none" w:sz="0" w:space="0" w:color="auto"/>
        <w:left w:val="none" w:sz="0" w:space="0" w:color="auto"/>
        <w:bottom w:val="none" w:sz="0" w:space="0" w:color="auto"/>
        <w:right w:val="none" w:sz="0" w:space="0" w:color="auto"/>
      </w:divBdr>
      <w:divsChild>
        <w:div w:id="123081669">
          <w:marLeft w:val="0"/>
          <w:marRight w:val="0"/>
          <w:marTop w:val="0"/>
          <w:marBottom w:val="0"/>
          <w:divBdr>
            <w:top w:val="none" w:sz="0" w:space="0" w:color="auto"/>
            <w:left w:val="none" w:sz="0" w:space="0" w:color="auto"/>
            <w:bottom w:val="none" w:sz="0" w:space="0" w:color="auto"/>
            <w:right w:val="none" w:sz="0" w:space="0" w:color="auto"/>
          </w:divBdr>
          <w:divsChild>
            <w:div w:id="151337378">
              <w:marLeft w:val="0"/>
              <w:marRight w:val="0"/>
              <w:marTop w:val="0"/>
              <w:marBottom w:val="0"/>
              <w:divBdr>
                <w:top w:val="none" w:sz="0" w:space="0" w:color="auto"/>
                <w:left w:val="none" w:sz="0" w:space="0" w:color="auto"/>
                <w:bottom w:val="none" w:sz="0" w:space="0" w:color="auto"/>
                <w:right w:val="none" w:sz="0" w:space="0" w:color="auto"/>
              </w:divBdr>
              <w:divsChild>
                <w:div w:id="1936664872">
                  <w:marLeft w:val="0"/>
                  <w:marRight w:val="0"/>
                  <w:marTop w:val="0"/>
                  <w:marBottom w:val="0"/>
                  <w:divBdr>
                    <w:top w:val="none" w:sz="0" w:space="0" w:color="auto"/>
                    <w:left w:val="none" w:sz="0" w:space="0" w:color="auto"/>
                    <w:bottom w:val="none" w:sz="0" w:space="0" w:color="auto"/>
                    <w:right w:val="none" w:sz="0" w:space="0" w:color="auto"/>
                  </w:divBdr>
                  <w:divsChild>
                    <w:div w:id="243299125">
                      <w:marLeft w:val="0"/>
                      <w:marRight w:val="0"/>
                      <w:marTop w:val="0"/>
                      <w:marBottom w:val="0"/>
                      <w:divBdr>
                        <w:top w:val="none" w:sz="0" w:space="0" w:color="auto"/>
                        <w:left w:val="none" w:sz="0" w:space="0" w:color="auto"/>
                        <w:bottom w:val="none" w:sz="0" w:space="0" w:color="auto"/>
                        <w:right w:val="none" w:sz="0" w:space="0" w:color="auto"/>
                      </w:divBdr>
                      <w:divsChild>
                        <w:div w:id="446462630">
                          <w:marLeft w:val="0"/>
                          <w:marRight w:val="0"/>
                          <w:marTop w:val="0"/>
                          <w:marBottom w:val="0"/>
                          <w:divBdr>
                            <w:top w:val="none" w:sz="0" w:space="0" w:color="auto"/>
                            <w:left w:val="none" w:sz="0" w:space="0" w:color="auto"/>
                            <w:bottom w:val="none" w:sz="0" w:space="0" w:color="auto"/>
                            <w:right w:val="none" w:sz="0" w:space="0" w:color="auto"/>
                          </w:divBdr>
                          <w:divsChild>
                            <w:div w:id="42213242">
                              <w:marLeft w:val="0"/>
                              <w:marRight w:val="0"/>
                              <w:marTop w:val="0"/>
                              <w:marBottom w:val="0"/>
                              <w:divBdr>
                                <w:top w:val="none" w:sz="0" w:space="0" w:color="auto"/>
                                <w:left w:val="none" w:sz="0" w:space="0" w:color="auto"/>
                                <w:bottom w:val="none" w:sz="0" w:space="0" w:color="auto"/>
                                <w:right w:val="none" w:sz="0" w:space="0" w:color="auto"/>
                              </w:divBdr>
                              <w:divsChild>
                                <w:div w:id="358749903">
                                  <w:marLeft w:val="0"/>
                                  <w:marRight w:val="0"/>
                                  <w:marTop w:val="0"/>
                                  <w:marBottom w:val="0"/>
                                  <w:divBdr>
                                    <w:top w:val="none" w:sz="0" w:space="0" w:color="auto"/>
                                    <w:left w:val="none" w:sz="0" w:space="0" w:color="auto"/>
                                    <w:bottom w:val="none" w:sz="0" w:space="0" w:color="auto"/>
                                    <w:right w:val="none" w:sz="0" w:space="0" w:color="auto"/>
                                  </w:divBdr>
                                  <w:divsChild>
                                    <w:div w:id="14545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698879">
                          <w:marLeft w:val="0"/>
                          <w:marRight w:val="0"/>
                          <w:marTop w:val="0"/>
                          <w:marBottom w:val="0"/>
                          <w:divBdr>
                            <w:top w:val="none" w:sz="0" w:space="0" w:color="auto"/>
                            <w:left w:val="none" w:sz="0" w:space="0" w:color="auto"/>
                            <w:bottom w:val="none" w:sz="0" w:space="0" w:color="auto"/>
                            <w:right w:val="none" w:sz="0" w:space="0" w:color="auto"/>
                          </w:divBdr>
                          <w:divsChild>
                            <w:div w:id="331762911">
                              <w:marLeft w:val="0"/>
                              <w:marRight w:val="0"/>
                              <w:marTop w:val="0"/>
                              <w:marBottom w:val="0"/>
                              <w:divBdr>
                                <w:top w:val="none" w:sz="0" w:space="0" w:color="auto"/>
                                <w:left w:val="none" w:sz="0" w:space="0" w:color="auto"/>
                                <w:bottom w:val="none" w:sz="0" w:space="0" w:color="auto"/>
                                <w:right w:val="none" w:sz="0" w:space="0" w:color="auto"/>
                              </w:divBdr>
                              <w:divsChild>
                                <w:div w:id="159895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015651">
      <w:bodyDiv w:val="1"/>
      <w:marLeft w:val="0"/>
      <w:marRight w:val="0"/>
      <w:marTop w:val="0"/>
      <w:marBottom w:val="0"/>
      <w:divBdr>
        <w:top w:val="none" w:sz="0" w:space="0" w:color="auto"/>
        <w:left w:val="none" w:sz="0" w:space="0" w:color="auto"/>
        <w:bottom w:val="none" w:sz="0" w:space="0" w:color="auto"/>
        <w:right w:val="none" w:sz="0" w:space="0" w:color="auto"/>
      </w:divBdr>
    </w:div>
    <w:div w:id="263421876">
      <w:bodyDiv w:val="1"/>
      <w:marLeft w:val="0"/>
      <w:marRight w:val="0"/>
      <w:marTop w:val="0"/>
      <w:marBottom w:val="0"/>
      <w:divBdr>
        <w:top w:val="none" w:sz="0" w:space="0" w:color="auto"/>
        <w:left w:val="none" w:sz="0" w:space="0" w:color="auto"/>
        <w:bottom w:val="none" w:sz="0" w:space="0" w:color="auto"/>
        <w:right w:val="none" w:sz="0" w:space="0" w:color="auto"/>
      </w:divBdr>
    </w:div>
    <w:div w:id="302391751">
      <w:bodyDiv w:val="1"/>
      <w:marLeft w:val="0"/>
      <w:marRight w:val="0"/>
      <w:marTop w:val="0"/>
      <w:marBottom w:val="0"/>
      <w:divBdr>
        <w:top w:val="none" w:sz="0" w:space="0" w:color="auto"/>
        <w:left w:val="none" w:sz="0" w:space="0" w:color="auto"/>
        <w:bottom w:val="none" w:sz="0" w:space="0" w:color="auto"/>
        <w:right w:val="none" w:sz="0" w:space="0" w:color="auto"/>
      </w:divBdr>
      <w:divsChild>
        <w:div w:id="1009604245">
          <w:marLeft w:val="0"/>
          <w:marRight w:val="0"/>
          <w:marTop w:val="0"/>
          <w:marBottom w:val="0"/>
          <w:divBdr>
            <w:top w:val="none" w:sz="0" w:space="0" w:color="auto"/>
            <w:left w:val="none" w:sz="0" w:space="0" w:color="auto"/>
            <w:bottom w:val="none" w:sz="0" w:space="0" w:color="auto"/>
            <w:right w:val="none" w:sz="0" w:space="0" w:color="auto"/>
          </w:divBdr>
        </w:div>
      </w:divsChild>
    </w:div>
    <w:div w:id="304094068">
      <w:bodyDiv w:val="1"/>
      <w:marLeft w:val="0"/>
      <w:marRight w:val="0"/>
      <w:marTop w:val="0"/>
      <w:marBottom w:val="0"/>
      <w:divBdr>
        <w:top w:val="none" w:sz="0" w:space="0" w:color="auto"/>
        <w:left w:val="none" w:sz="0" w:space="0" w:color="auto"/>
        <w:bottom w:val="none" w:sz="0" w:space="0" w:color="auto"/>
        <w:right w:val="none" w:sz="0" w:space="0" w:color="auto"/>
      </w:divBdr>
    </w:div>
    <w:div w:id="409348890">
      <w:bodyDiv w:val="1"/>
      <w:marLeft w:val="0"/>
      <w:marRight w:val="0"/>
      <w:marTop w:val="0"/>
      <w:marBottom w:val="0"/>
      <w:divBdr>
        <w:top w:val="none" w:sz="0" w:space="0" w:color="auto"/>
        <w:left w:val="none" w:sz="0" w:space="0" w:color="auto"/>
        <w:bottom w:val="none" w:sz="0" w:space="0" w:color="auto"/>
        <w:right w:val="none" w:sz="0" w:space="0" w:color="auto"/>
      </w:divBdr>
    </w:div>
    <w:div w:id="518087204">
      <w:bodyDiv w:val="1"/>
      <w:marLeft w:val="0"/>
      <w:marRight w:val="0"/>
      <w:marTop w:val="0"/>
      <w:marBottom w:val="0"/>
      <w:divBdr>
        <w:top w:val="none" w:sz="0" w:space="0" w:color="auto"/>
        <w:left w:val="none" w:sz="0" w:space="0" w:color="auto"/>
        <w:bottom w:val="none" w:sz="0" w:space="0" w:color="auto"/>
        <w:right w:val="none" w:sz="0" w:space="0" w:color="auto"/>
      </w:divBdr>
      <w:divsChild>
        <w:div w:id="94372571">
          <w:marLeft w:val="0"/>
          <w:marRight w:val="0"/>
          <w:marTop w:val="0"/>
          <w:marBottom w:val="0"/>
          <w:divBdr>
            <w:top w:val="none" w:sz="0" w:space="0" w:color="auto"/>
            <w:left w:val="none" w:sz="0" w:space="0" w:color="auto"/>
            <w:bottom w:val="none" w:sz="0" w:space="0" w:color="auto"/>
            <w:right w:val="none" w:sz="0" w:space="0" w:color="auto"/>
          </w:divBdr>
        </w:div>
      </w:divsChild>
    </w:div>
    <w:div w:id="569460297">
      <w:bodyDiv w:val="1"/>
      <w:marLeft w:val="0"/>
      <w:marRight w:val="0"/>
      <w:marTop w:val="0"/>
      <w:marBottom w:val="0"/>
      <w:divBdr>
        <w:top w:val="none" w:sz="0" w:space="0" w:color="auto"/>
        <w:left w:val="none" w:sz="0" w:space="0" w:color="auto"/>
        <w:bottom w:val="none" w:sz="0" w:space="0" w:color="auto"/>
        <w:right w:val="none" w:sz="0" w:space="0" w:color="auto"/>
      </w:divBdr>
    </w:div>
    <w:div w:id="652101105">
      <w:bodyDiv w:val="1"/>
      <w:marLeft w:val="0"/>
      <w:marRight w:val="0"/>
      <w:marTop w:val="0"/>
      <w:marBottom w:val="0"/>
      <w:divBdr>
        <w:top w:val="none" w:sz="0" w:space="0" w:color="auto"/>
        <w:left w:val="none" w:sz="0" w:space="0" w:color="auto"/>
        <w:bottom w:val="none" w:sz="0" w:space="0" w:color="auto"/>
        <w:right w:val="none" w:sz="0" w:space="0" w:color="auto"/>
      </w:divBdr>
    </w:div>
    <w:div w:id="727537938">
      <w:bodyDiv w:val="1"/>
      <w:marLeft w:val="0"/>
      <w:marRight w:val="0"/>
      <w:marTop w:val="0"/>
      <w:marBottom w:val="0"/>
      <w:divBdr>
        <w:top w:val="none" w:sz="0" w:space="0" w:color="auto"/>
        <w:left w:val="none" w:sz="0" w:space="0" w:color="auto"/>
        <w:bottom w:val="none" w:sz="0" w:space="0" w:color="auto"/>
        <w:right w:val="none" w:sz="0" w:space="0" w:color="auto"/>
      </w:divBdr>
    </w:div>
    <w:div w:id="730006959">
      <w:bodyDiv w:val="1"/>
      <w:marLeft w:val="0"/>
      <w:marRight w:val="0"/>
      <w:marTop w:val="0"/>
      <w:marBottom w:val="0"/>
      <w:divBdr>
        <w:top w:val="none" w:sz="0" w:space="0" w:color="auto"/>
        <w:left w:val="none" w:sz="0" w:space="0" w:color="auto"/>
        <w:bottom w:val="none" w:sz="0" w:space="0" w:color="auto"/>
        <w:right w:val="none" w:sz="0" w:space="0" w:color="auto"/>
      </w:divBdr>
    </w:div>
    <w:div w:id="826171818">
      <w:bodyDiv w:val="1"/>
      <w:marLeft w:val="0"/>
      <w:marRight w:val="0"/>
      <w:marTop w:val="0"/>
      <w:marBottom w:val="0"/>
      <w:divBdr>
        <w:top w:val="none" w:sz="0" w:space="0" w:color="auto"/>
        <w:left w:val="none" w:sz="0" w:space="0" w:color="auto"/>
        <w:bottom w:val="none" w:sz="0" w:space="0" w:color="auto"/>
        <w:right w:val="none" w:sz="0" w:space="0" w:color="auto"/>
      </w:divBdr>
    </w:div>
    <w:div w:id="858466966">
      <w:bodyDiv w:val="1"/>
      <w:marLeft w:val="0"/>
      <w:marRight w:val="0"/>
      <w:marTop w:val="0"/>
      <w:marBottom w:val="0"/>
      <w:divBdr>
        <w:top w:val="none" w:sz="0" w:space="0" w:color="auto"/>
        <w:left w:val="none" w:sz="0" w:space="0" w:color="auto"/>
        <w:bottom w:val="none" w:sz="0" w:space="0" w:color="auto"/>
        <w:right w:val="none" w:sz="0" w:space="0" w:color="auto"/>
      </w:divBdr>
    </w:div>
    <w:div w:id="881865459">
      <w:bodyDiv w:val="1"/>
      <w:marLeft w:val="0"/>
      <w:marRight w:val="0"/>
      <w:marTop w:val="0"/>
      <w:marBottom w:val="0"/>
      <w:divBdr>
        <w:top w:val="none" w:sz="0" w:space="0" w:color="auto"/>
        <w:left w:val="none" w:sz="0" w:space="0" w:color="auto"/>
        <w:bottom w:val="none" w:sz="0" w:space="0" w:color="auto"/>
        <w:right w:val="none" w:sz="0" w:space="0" w:color="auto"/>
      </w:divBdr>
    </w:div>
    <w:div w:id="955673756">
      <w:bodyDiv w:val="1"/>
      <w:marLeft w:val="0"/>
      <w:marRight w:val="0"/>
      <w:marTop w:val="0"/>
      <w:marBottom w:val="0"/>
      <w:divBdr>
        <w:top w:val="none" w:sz="0" w:space="0" w:color="auto"/>
        <w:left w:val="none" w:sz="0" w:space="0" w:color="auto"/>
        <w:bottom w:val="none" w:sz="0" w:space="0" w:color="auto"/>
        <w:right w:val="none" w:sz="0" w:space="0" w:color="auto"/>
      </w:divBdr>
    </w:div>
    <w:div w:id="963970719">
      <w:bodyDiv w:val="1"/>
      <w:marLeft w:val="0"/>
      <w:marRight w:val="0"/>
      <w:marTop w:val="0"/>
      <w:marBottom w:val="0"/>
      <w:divBdr>
        <w:top w:val="none" w:sz="0" w:space="0" w:color="auto"/>
        <w:left w:val="none" w:sz="0" w:space="0" w:color="auto"/>
        <w:bottom w:val="none" w:sz="0" w:space="0" w:color="auto"/>
        <w:right w:val="none" w:sz="0" w:space="0" w:color="auto"/>
      </w:divBdr>
    </w:div>
    <w:div w:id="1112701131">
      <w:bodyDiv w:val="1"/>
      <w:marLeft w:val="0"/>
      <w:marRight w:val="0"/>
      <w:marTop w:val="0"/>
      <w:marBottom w:val="0"/>
      <w:divBdr>
        <w:top w:val="none" w:sz="0" w:space="0" w:color="auto"/>
        <w:left w:val="none" w:sz="0" w:space="0" w:color="auto"/>
        <w:bottom w:val="none" w:sz="0" w:space="0" w:color="auto"/>
        <w:right w:val="none" w:sz="0" w:space="0" w:color="auto"/>
      </w:divBdr>
      <w:divsChild>
        <w:div w:id="1080367667">
          <w:marLeft w:val="0"/>
          <w:marRight w:val="0"/>
          <w:marTop w:val="0"/>
          <w:marBottom w:val="0"/>
          <w:divBdr>
            <w:top w:val="none" w:sz="0" w:space="0" w:color="auto"/>
            <w:left w:val="none" w:sz="0" w:space="0" w:color="auto"/>
            <w:bottom w:val="none" w:sz="0" w:space="0" w:color="auto"/>
            <w:right w:val="none" w:sz="0" w:space="0" w:color="auto"/>
          </w:divBdr>
        </w:div>
      </w:divsChild>
    </w:div>
    <w:div w:id="1177574319">
      <w:bodyDiv w:val="1"/>
      <w:marLeft w:val="0"/>
      <w:marRight w:val="0"/>
      <w:marTop w:val="0"/>
      <w:marBottom w:val="0"/>
      <w:divBdr>
        <w:top w:val="none" w:sz="0" w:space="0" w:color="auto"/>
        <w:left w:val="none" w:sz="0" w:space="0" w:color="auto"/>
        <w:bottom w:val="none" w:sz="0" w:space="0" w:color="auto"/>
        <w:right w:val="none" w:sz="0" w:space="0" w:color="auto"/>
      </w:divBdr>
    </w:div>
    <w:div w:id="1262881232">
      <w:bodyDiv w:val="1"/>
      <w:marLeft w:val="0"/>
      <w:marRight w:val="0"/>
      <w:marTop w:val="0"/>
      <w:marBottom w:val="0"/>
      <w:divBdr>
        <w:top w:val="none" w:sz="0" w:space="0" w:color="auto"/>
        <w:left w:val="none" w:sz="0" w:space="0" w:color="auto"/>
        <w:bottom w:val="none" w:sz="0" w:space="0" w:color="auto"/>
        <w:right w:val="none" w:sz="0" w:space="0" w:color="auto"/>
      </w:divBdr>
    </w:div>
    <w:div w:id="1282030955">
      <w:bodyDiv w:val="1"/>
      <w:marLeft w:val="0"/>
      <w:marRight w:val="0"/>
      <w:marTop w:val="0"/>
      <w:marBottom w:val="0"/>
      <w:divBdr>
        <w:top w:val="none" w:sz="0" w:space="0" w:color="auto"/>
        <w:left w:val="none" w:sz="0" w:space="0" w:color="auto"/>
        <w:bottom w:val="none" w:sz="0" w:space="0" w:color="auto"/>
        <w:right w:val="none" w:sz="0" w:space="0" w:color="auto"/>
      </w:divBdr>
    </w:div>
    <w:div w:id="1285500436">
      <w:bodyDiv w:val="1"/>
      <w:marLeft w:val="0"/>
      <w:marRight w:val="0"/>
      <w:marTop w:val="0"/>
      <w:marBottom w:val="0"/>
      <w:divBdr>
        <w:top w:val="none" w:sz="0" w:space="0" w:color="auto"/>
        <w:left w:val="none" w:sz="0" w:space="0" w:color="auto"/>
        <w:bottom w:val="none" w:sz="0" w:space="0" w:color="auto"/>
        <w:right w:val="none" w:sz="0" w:space="0" w:color="auto"/>
      </w:divBdr>
    </w:div>
    <w:div w:id="1344631520">
      <w:bodyDiv w:val="1"/>
      <w:marLeft w:val="0"/>
      <w:marRight w:val="0"/>
      <w:marTop w:val="0"/>
      <w:marBottom w:val="0"/>
      <w:divBdr>
        <w:top w:val="none" w:sz="0" w:space="0" w:color="auto"/>
        <w:left w:val="none" w:sz="0" w:space="0" w:color="auto"/>
        <w:bottom w:val="none" w:sz="0" w:space="0" w:color="auto"/>
        <w:right w:val="none" w:sz="0" w:space="0" w:color="auto"/>
      </w:divBdr>
    </w:div>
    <w:div w:id="1375033543">
      <w:bodyDiv w:val="1"/>
      <w:marLeft w:val="0"/>
      <w:marRight w:val="0"/>
      <w:marTop w:val="0"/>
      <w:marBottom w:val="0"/>
      <w:divBdr>
        <w:top w:val="none" w:sz="0" w:space="0" w:color="auto"/>
        <w:left w:val="none" w:sz="0" w:space="0" w:color="auto"/>
        <w:bottom w:val="none" w:sz="0" w:space="0" w:color="auto"/>
        <w:right w:val="none" w:sz="0" w:space="0" w:color="auto"/>
      </w:divBdr>
    </w:div>
    <w:div w:id="1439450904">
      <w:bodyDiv w:val="1"/>
      <w:marLeft w:val="0"/>
      <w:marRight w:val="0"/>
      <w:marTop w:val="0"/>
      <w:marBottom w:val="0"/>
      <w:divBdr>
        <w:top w:val="none" w:sz="0" w:space="0" w:color="auto"/>
        <w:left w:val="none" w:sz="0" w:space="0" w:color="auto"/>
        <w:bottom w:val="none" w:sz="0" w:space="0" w:color="auto"/>
        <w:right w:val="none" w:sz="0" w:space="0" w:color="auto"/>
      </w:divBdr>
    </w:div>
    <w:div w:id="1504585556">
      <w:bodyDiv w:val="1"/>
      <w:marLeft w:val="0"/>
      <w:marRight w:val="0"/>
      <w:marTop w:val="0"/>
      <w:marBottom w:val="0"/>
      <w:divBdr>
        <w:top w:val="none" w:sz="0" w:space="0" w:color="auto"/>
        <w:left w:val="none" w:sz="0" w:space="0" w:color="auto"/>
        <w:bottom w:val="none" w:sz="0" w:space="0" w:color="auto"/>
        <w:right w:val="none" w:sz="0" w:space="0" w:color="auto"/>
      </w:divBdr>
    </w:div>
    <w:div w:id="1515001821">
      <w:bodyDiv w:val="1"/>
      <w:marLeft w:val="0"/>
      <w:marRight w:val="0"/>
      <w:marTop w:val="0"/>
      <w:marBottom w:val="0"/>
      <w:divBdr>
        <w:top w:val="none" w:sz="0" w:space="0" w:color="auto"/>
        <w:left w:val="none" w:sz="0" w:space="0" w:color="auto"/>
        <w:bottom w:val="none" w:sz="0" w:space="0" w:color="auto"/>
        <w:right w:val="none" w:sz="0" w:space="0" w:color="auto"/>
      </w:divBdr>
      <w:divsChild>
        <w:div w:id="1778717284">
          <w:marLeft w:val="0"/>
          <w:marRight w:val="0"/>
          <w:marTop w:val="0"/>
          <w:marBottom w:val="0"/>
          <w:divBdr>
            <w:top w:val="none" w:sz="0" w:space="0" w:color="auto"/>
            <w:left w:val="none" w:sz="0" w:space="0" w:color="auto"/>
            <w:bottom w:val="none" w:sz="0" w:space="0" w:color="auto"/>
            <w:right w:val="none" w:sz="0" w:space="0" w:color="auto"/>
          </w:divBdr>
        </w:div>
      </w:divsChild>
    </w:div>
    <w:div w:id="1527601143">
      <w:bodyDiv w:val="1"/>
      <w:marLeft w:val="0"/>
      <w:marRight w:val="0"/>
      <w:marTop w:val="0"/>
      <w:marBottom w:val="0"/>
      <w:divBdr>
        <w:top w:val="none" w:sz="0" w:space="0" w:color="auto"/>
        <w:left w:val="none" w:sz="0" w:space="0" w:color="auto"/>
        <w:bottom w:val="none" w:sz="0" w:space="0" w:color="auto"/>
        <w:right w:val="none" w:sz="0" w:space="0" w:color="auto"/>
      </w:divBdr>
      <w:divsChild>
        <w:div w:id="574435796">
          <w:marLeft w:val="0"/>
          <w:marRight w:val="0"/>
          <w:marTop w:val="0"/>
          <w:marBottom w:val="0"/>
          <w:divBdr>
            <w:top w:val="none" w:sz="0" w:space="0" w:color="auto"/>
            <w:left w:val="none" w:sz="0" w:space="0" w:color="auto"/>
            <w:bottom w:val="none" w:sz="0" w:space="0" w:color="auto"/>
            <w:right w:val="none" w:sz="0" w:space="0" w:color="auto"/>
          </w:divBdr>
        </w:div>
      </w:divsChild>
    </w:div>
    <w:div w:id="1679110971">
      <w:bodyDiv w:val="1"/>
      <w:marLeft w:val="0"/>
      <w:marRight w:val="0"/>
      <w:marTop w:val="0"/>
      <w:marBottom w:val="0"/>
      <w:divBdr>
        <w:top w:val="none" w:sz="0" w:space="0" w:color="auto"/>
        <w:left w:val="none" w:sz="0" w:space="0" w:color="auto"/>
        <w:bottom w:val="none" w:sz="0" w:space="0" w:color="auto"/>
        <w:right w:val="none" w:sz="0" w:space="0" w:color="auto"/>
      </w:divBdr>
    </w:div>
    <w:div w:id="1689984190">
      <w:bodyDiv w:val="1"/>
      <w:marLeft w:val="0"/>
      <w:marRight w:val="0"/>
      <w:marTop w:val="0"/>
      <w:marBottom w:val="0"/>
      <w:divBdr>
        <w:top w:val="none" w:sz="0" w:space="0" w:color="auto"/>
        <w:left w:val="none" w:sz="0" w:space="0" w:color="auto"/>
        <w:bottom w:val="none" w:sz="0" w:space="0" w:color="auto"/>
        <w:right w:val="none" w:sz="0" w:space="0" w:color="auto"/>
      </w:divBdr>
    </w:div>
    <w:div w:id="1702628493">
      <w:bodyDiv w:val="1"/>
      <w:marLeft w:val="0"/>
      <w:marRight w:val="0"/>
      <w:marTop w:val="0"/>
      <w:marBottom w:val="0"/>
      <w:divBdr>
        <w:top w:val="none" w:sz="0" w:space="0" w:color="auto"/>
        <w:left w:val="none" w:sz="0" w:space="0" w:color="auto"/>
        <w:bottom w:val="none" w:sz="0" w:space="0" w:color="auto"/>
        <w:right w:val="none" w:sz="0" w:space="0" w:color="auto"/>
      </w:divBdr>
    </w:div>
    <w:div w:id="1709799637">
      <w:bodyDiv w:val="1"/>
      <w:marLeft w:val="0"/>
      <w:marRight w:val="0"/>
      <w:marTop w:val="0"/>
      <w:marBottom w:val="0"/>
      <w:divBdr>
        <w:top w:val="none" w:sz="0" w:space="0" w:color="auto"/>
        <w:left w:val="none" w:sz="0" w:space="0" w:color="auto"/>
        <w:bottom w:val="none" w:sz="0" w:space="0" w:color="auto"/>
        <w:right w:val="none" w:sz="0" w:space="0" w:color="auto"/>
      </w:divBdr>
    </w:div>
    <w:div w:id="1717117021">
      <w:bodyDiv w:val="1"/>
      <w:marLeft w:val="0"/>
      <w:marRight w:val="0"/>
      <w:marTop w:val="0"/>
      <w:marBottom w:val="0"/>
      <w:divBdr>
        <w:top w:val="none" w:sz="0" w:space="0" w:color="auto"/>
        <w:left w:val="none" w:sz="0" w:space="0" w:color="auto"/>
        <w:bottom w:val="none" w:sz="0" w:space="0" w:color="auto"/>
        <w:right w:val="none" w:sz="0" w:space="0" w:color="auto"/>
      </w:divBdr>
    </w:div>
    <w:div w:id="1810827726">
      <w:bodyDiv w:val="1"/>
      <w:marLeft w:val="0"/>
      <w:marRight w:val="0"/>
      <w:marTop w:val="0"/>
      <w:marBottom w:val="0"/>
      <w:divBdr>
        <w:top w:val="none" w:sz="0" w:space="0" w:color="auto"/>
        <w:left w:val="none" w:sz="0" w:space="0" w:color="auto"/>
        <w:bottom w:val="none" w:sz="0" w:space="0" w:color="auto"/>
        <w:right w:val="none" w:sz="0" w:space="0" w:color="auto"/>
      </w:divBdr>
    </w:div>
    <w:div w:id="1833566898">
      <w:bodyDiv w:val="1"/>
      <w:marLeft w:val="0"/>
      <w:marRight w:val="0"/>
      <w:marTop w:val="0"/>
      <w:marBottom w:val="0"/>
      <w:divBdr>
        <w:top w:val="none" w:sz="0" w:space="0" w:color="auto"/>
        <w:left w:val="none" w:sz="0" w:space="0" w:color="auto"/>
        <w:bottom w:val="none" w:sz="0" w:space="0" w:color="auto"/>
        <w:right w:val="none" w:sz="0" w:space="0" w:color="auto"/>
      </w:divBdr>
    </w:div>
    <w:div w:id="1883206096">
      <w:bodyDiv w:val="1"/>
      <w:marLeft w:val="0"/>
      <w:marRight w:val="0"/>
      <w:marTop w:val="0"/>
      <w:marBottom w:val="0"/>
      <w:divBdr>
        <w:top w:val="none" w:sz="0" w:space="0" w:color="auto"/>
        <w:left w:val="none" w:sz="0" w:space="0" w:color="auto"/>
        <w:bottom w:val="none" w:sz="0" w:space="0" w:color="auto"/>
        <w:right w:val="none" w:sz="0" w:space="0" w:color="auto"/>
      </w:divBdr>
    </w:div>
    <w:div w:id="1916164049">
      <w:bodyDiv w:val="1"/>
      <w:marLeft w:val="0"/>
      <w:marRight w:val="0"/>
      <w:marTop w:val="0"/>
      <w:marBottom w:val="0"/>
      <w:divBdr>
        <w:top w:val="none" w:sz="0" w:space="0" w:color="auto"/>
        <w:left w:val="none" w:sz="0" w:space="0" w:color="auto"/>
        <w:bottom w:val="none" w:sz="0" w:space="0" w:color="auto"/>
        <w:right w:val="none" w:sz="0" w:space="0" w:color="auto"/>
      </w:divBdr>
    </w:div>
    <w:div w:id="1939285587">
      <w:bodyDiv w:val="1"/>
      <w:marLeft w:val="0"/>
      <w:marRight w:val="0"/>
      <w:marTop w:val="0"/>
      <w:marBottom w:val="0"/>
      <w:divBdr>
        <w:top w:val="none" w:sz="0" w:space="0" w:color="auto"/>
        <w:left w:val="none" w:sz="0" w:space="0" w:color="auto"/>
        <w:bottom w:val="none" w:sz="0" w:space="0" w:color="auto"/>
        <w:right w:val="none" w:sz="0" w:space="0" w:color="auto"/>
      </w:divBdr>
      <w:divsChild>
        <w:div w:id="757674521">
          <w:marLeft w:val="0"/>
          <w:marRight w:val="0"/>
          <w:marTop w:val="0"/>
          <w:marBottom w:val="0"/>
          <w:divBdr>
            <w:top w:val="none" w:sz="0" w:space="0" w:color="auto"/>
            <w:left w:val="none" w:sz="0" w:space="0" w:color="auto"/>
            <w:bottom w:val="none" w:sz="0" w:space="0" w:color="auto"/>
            <w:right w:val="none" w:sz="0" w:space="0" w:color="auto"/>
          </w:divBdr>
          <w:divsChild>
            <w:div w:id="766268817">
              <w:marLeft w:val="0"/>
              <w:marRight w:val="0"/>
              <w:marTop w:val="0"/>
              <w:marBottom w:val="0"/>
              <w:divBdr>
                <w:top w:val="none" w:sz="0" w:space="0" w:color="auto"/>
                <w:left w:val="none" w:sz="0" w:space="0" w:color="auto"/>
                <w:bottom w:val="none" w:sz="0" w:space="0" w:color="auto"/>
                <w:right w:val="none" w:sz="0" w:space="0" w:color="auto"/>
              </w:divBdr>
              <w:divsChild>
                <w:div w:id="338655672">
                  <w:marLeft w:val="0"/>
                  <w:marRight w:val="0"/>
                  <w:marTop w:val="0"/>
                  <w:marBottom w:val="0"/>
                  <w:divBdr>
                    <w:top w:val="none" w:sz="0" w:space="0" w:color="auto"/>
                    <w:left w:val="none" w:sz="0" w:space="0" w:color="auto"/>
                    <w:bottom w:val="none" w:sz="0" w:space="0" w:color="auto"/>
                    <w:right w:val="none" w:sz="0" w:space="0" w:color="auto"/>
                  </w:divBdr>
                  <w:divsChild>
                    <w:div w:id="1338970464">
                      <w:marLeft w:val="0"/>
                      <w:marRight w:val="0"/>
                      <w:marTop w:val="0"/>
                      <w:marBottom w:val="0"/>
                      <w:divBdr>
                        <w:top w:val="none" w:sz="0" w:space="0" w:color="auto"/>
                        <w:left w:val="none" w:sz="0" w:space="0" w:color="auto"/>
                        <w:bottom w:val="none" w:sz="0" w:space="0" w:color="auto"/>
                        <w:right w:val="none" w:sz="0" w:space="0" w:color="auto"/>
                      </w:divBdr>
                      <w:divsChild>
                        <w:div w:id="2024815061">
                          <w:marLeft w:val="0"/>
                          <w:marRight w:val="0"/>
                          <w:marTop w:val="0"/>
                          <w:marBottom w:val="0"/>
                          <w:divBdr>
                            <w:top w:val="none" w:sz="0" w:space="0" w:color="auto"/>
                            <w:left w:val="none" w:sz="0" w:space="0" w:color="auto"/>
                            <w:bottom w:val="none" w:sz="0" w:space="0" w:color="auto"/>
                            <w:right w:val="none" w:sz="0" w:space="0" w:color="auto"/>
                          </w:divBdr>
                          <w:divsChild>
                            <w:div w:id="1797600563">
                              <w:marLeft w:val="0"/>
                              <w:marRight w:val="0"/>
                              <w:marTop w:val="0"/>
                              <w:marBottom w:val="0"/>
                              <w:divBdr>
                                <w:top w:val="none" w:sz="0" w:space="0" w:color="auto"/>
                                <w:left w:val="none" w:sz="0" w:space="0" w:color="auto"/>
                                <w:bottom w:val="none" w:sz="0" w:space="0" w:color="auto"/>
                                <w:right w:val="none" w:sz="0" w:space="0" w:color="auto"/>
                              </w:divBdr>
                              <w:divsChild>
                                <w:div w:id="1820420236">
                                  <w:marLeft w:val="0"/>
                                  <w:marRight w:val="0"/>
                                  <w:marTop w:val="0"/>
                                  <w:marBottom w:val="0"/>
                                  <w:divBdr>
                                    <w:top w:val="none" w:sz="0" w:space="0" w:color="auto"/>
                                    <w:left w:val="none" w:sz="0" w:space="0" w:color="auto"/>
                                    <w:bottom w:val="none" w:sz="0" w:space="0" w:color="auto"/>
                                    <w:right w:val="none" w:sz="0" w:space="0" w:color="auto"/>
                                  </w:divBdr>
                                  <w:divsChild>
                                    <w:div w:id="18765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162574">
                          <w:marLeft w:val="0"/>
                          <w:marRight w:val="0"/>
                          <w:marTop w:val="0"/>
                          <w:marBottom w:val="0"/>
                          <w:divBdr>
                            <w:top w:val="none" w:sz="0" w:space="0" w:color="auto"/>
                            <w:left w:val="none" w:sz="0" w:space="0" w:color="auto"/>
                            <w:bottom w:val="none" w:sz="0" w:space="0" w:color="auto"/>
                            <w:right w:val="none" w:sz="0" w:space="0" w:color="auto"/>
                          </w:divBdr>
                          <w:divsChild>
                            <w:div w:id="1272475132">
                              <w:marLeft w:val="0"/>
                              <w:marRight w:val="0"/>
                              <w:marTop w:val="0"/>
                              <w:marBottom w:val="0"/>
                              <w:divBdr>
                                <w:top w:val="none" w:sz="0" w:space="0" w:color="auto"/>
                                <w:left w:val="none" w:sz="0" w:space="0" w:color="auto"/>
                                <w:bottom w:val="none" w:sz="0" w:space="0" w:color="auto"/>
                                <w:right w:val="none" w:sz="0" w:space="0" w:color="auto"/>
                              </w:divBdr>
                              <w:divsChild>
                                <w:div w:id="9171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922763">
      <w:bodyDiv w:val="1"/>
      <w:marLeft w:val="0"/>
      <w:marRight w:val="0"/>
      <w:marTop w:val="0"/>
      <w:marBottom w:val="0"/>
      <w:divBdr>
        <w:top w:val="none" w:sz="0" w:space="0" w:color="auto"/>
        <w:left w:val="none" w:sz="0" w:space="0" w:color="auto"/>
        <w:bottom w:val="none" w:sz="0" w:space="0" w:color="auto"/>
        <w:right w:val="none" w:sz="0" w:space="0" w:color="auto"/>
      </w:divBdr>
      <w:divsChild>
        <w:div w:id="702946576">
          <w:marLeft w:val="0"/>
          <w:marRight w:val="0"/>
          <w:marTop w:val="0"/>
          <w:marBottom w:val="0"/>
          <w:divBdr>
            <w:top w:val="none" w:sz="0" w:space="0" w:color="auto"/>
            <w:left w:val="none" w:sz="0" w:space="0" w:color="auto"/>
            <w:bottom w:val="none" w:sz="0" w:space="0" w:color="auto"/>
            <w:right w:val="none" w:sz="0" w:space="0" w:color="auto"/>
          </w:divBdr>
        </w:div>
      </w:divsChild>
    </w:div>
    <w:div w:id="210877350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82">
          <w:marLeft w:val="0"/>
          <w:marRight w:val="0"/>
          <w:marTop w:val="0"/>
          <w:marBottom w:val="0"/>
          <w:divBdr>
            <w:top w:val="none" w:sz="0" w:space="0" w:color="auto"/>
            <w:left w:val="none" w:sz="0" w:space="0" w:color="auto"/>
            <w:bottom w:val="none" w:sz="0" w:space="0" w:color="auto"/>
            <w:right w:val="none" w:sz="0" w:space="0" w:color="auto"/>
          </w:divBdr>
        </w:div>
      </w:divsChild>
    </w:div>
    <w:div w:id="2116561184">
      <w:bodyDiv w:val="1"/>
      <w:marLeft w:val="0"/>
      <w:marRight w:val="0"/>
      <w:marTop w:val="0"/>
      <w:marBottom w:val="0"/>
      <w:divBdr>
        <w:top w:val="none" w:sz="0" w:space="0" w:color="auto"/>
        <w:left w:val="none" w:sz="0" w:space="0" w:color="auto"/>
        <w:bottom w:val="none" w:sz="0" w:space="0" w:color="auto"/>
        <w:right w:val="none" w:sz="0" w:space="0" w:color="auto"/>
      </w:divBdr>
    </w:div>
    <w:div w:id="2131624438">
      <w:bodyDiv w:val="1"/>
      <w:marLeft w:val="0"/>
      <w:marRight w:val="0"/>
      <w:marTop w:val="0"/>
      <w:marBottom w:val="0"/>
      <w:divBdr>
        <w:top w:val="none" w:sz="0" w:space="0" w:color="auto"/>
        <w:left w:val="none" w:sz="0" w:space="0" w:color="auto"/>
        <w:bottom w:val="none" w:sz="0" w:space="0" w:color="auto"/>
        <w:right w:val="none" w:sz="0" w:space="0" w:color="auto"/>
      </w:divBdr>
    </w:div>
    <w:div w:id="214468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fao.org/home/en.%20Accessed%2019%20April%202023"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nk.springer.com/article/10.1007/s11101-022-09822-3"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E:\research%20works\excel\tables%20and%20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research%20works\excel\tables%20and%20graph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Phenol2!$B$2</c:f>
              <c:strCache>
                <c:ptCount val="1"/>
                <c:pt idx="0">
                  <c:v>24 h</c:v>
                </c:pt>
              </c:strCache>
            </c:strRef>
          </c:tx>
          <c:spPr>
            <a:solidFill>
              <a:schemeClr val="accent1"/>
            </a:solidFill>
            <a:ln>
              <a:noFill/>
            </a:ln>
            <a:effectLst/>
          </c:spPr>
          <c:invertIfNegative val="0"/>
          <c:cat>
            <c:strRef>
              <c:f>Phenol2!$A$3:$A$9</c:f>
              <c:strCache>
                <c:ptCount val="7"/>
                <c:pt idx="0">
                  <c:v>T1</c:v>
                </c:pt>
                <c:pt idx="1">
                  <c:v>T2</c:v>
                </c:pt>
                <c:pt idx="2">
                  <c:v>T3</c:v>
                </c:pt>
                <c:pt idx="3">
                  <c:v>T4</c:v>
                </c:pt>
                <c:pt idx="4">
                  <c:v>T5</c:v>
                </c:pt>
                <c:pt idx="5">
                  <c:v>T6</c:v>
                </c:pt>
                <c:pt idx="6">
                  <c:v>T7</c:v>
                </c:pt>
              </c:strCache>
            </c:strRef>
          </c:cat>
          <c:val>
            <c:numRef>
              <c:f>Phenol2!$B$3:$B$9</c:f>
              <c:numCache>
                <c:formatCode>General</c:formatCode>
                <c:ptCount val="7"/>
                <c:pt idx="0">
                  <c:v>2.44</c:v>
                </c:pt>
                <c:pt idx="1">
                  <c:v>2.74</c:v>
                </c:pt>
                <c:pt idx="2">
                  <c:v>2.79</c:v>
                </c:pt>
                <c:pt idx="3">
                  <c:v>2.54</c:v>
                </c:pt>
                <c:pt idx="4">
                  <c:v>2.58</c:v>
                </c:pt>
                <c:pt idx="5">
                  <c:v>2.04</c:v>
                </c:pt>
                <c:pt idx="6">
                  <c:v>1.9</c:v>
                </c:pt>
              </c:numCache>
            </c:numRef>
          </c:val>
          <c:extLst>
            <c:ext xmlns:c16="http://schemas.microsoft.com/office/drawing/2014/chart" uri="{C3380CC4-5D6E-409C-BE32-E72D297353CC}">
              <c16:uniqueId val="{00000000-3DDD-42C4-978B-FBC42B052E4D}"/>
            </c:ext>
          </c:extLst>
        </c:ser>
        <c:ser>
          <c:idx val="1"/>
          <c:order val="1"/>
          <c:tx>
            <c:strRef>
              <c:f>Phenol2!$C$2</c:f>
              <c:strCache>
                <c:ptCount val="1"/>
                <c:pt idx="0">
                  <c:v>48 h</c:v>
                </c:pt>
              </c:strCache>
            </c:strRef>
          </c:tx>
          <c:spPr>
            <a:solidFill>
              <a:schemeClr val="accent2"/>
            </a:solidFill>
            <a:ln>
              <a:noFill/>
            </a:ln>
            <a:effectLst/>
          </c:spPr>
          <c:invertIfNegative val="0"/>
          <c:cat>
            <c:strRef>
              <c:f>Phenol2!$A$3:$A$9</c:f>
              <c:strCache>
                <c:ptCount val="7"/>
                <c:pt idx="0">
                  <c:v>T1</c:v>
                </c:pt>
                <c:pt idx="1">
                  <c:v>T2</c:v>
                </c:pt>
                <c:pt idx="2">
                  <c:v>T3</c:v>
                </c:pt>
                <c:pt idx="3">
                  <c:v>T4</c:v>
                </c:pt>
                <c:pt idx="4">
                  <c:v>T5</c:v>
                </c:pt>
                <c:pt idx="5">
                  <c:v>T6</c:v>
                </c:pt>
                <c:pt idx="6">
                  <c:v>T7</c:v>
                </c:pt>
              </c:strCache>
            </c:strRef>
          </c:cat>
          <c:val>
            <c:numRef>
              <c:f>Phenol2!$C$3:$C$9</c:f>
              <c:numCache>
                <c:formatCode>General</c:formatCode>
                <c:ptCount val="7"/>
                <c:pt idx="0">
                  <c:v>2.15</c:v>
                </c:pt>
                <c:pt idx="1">
                  <c:v>2.66</c:v>
                </c:pt>
                <c:pt idx="2">
                  <c:v>2.66</c:v>
                </c:pt>
                <c:pt idx="3">
                  <c:v>2.61</c:v>
                </c:pt>
                <c:pt idx="4">
                  <c:v>2.39</c:v>
                </c:pt>
                <c:pt idx="5">
                  <c:v>2.23</c:v>
                </c:pt>
                <c:pt idx="6">
                  <c:v>2.12</c:v>
                </c:pt>
              </c:numCache>
            </c:numRef>
          </c:val>
          <c:extLst>
            <c:ext xmlns:c16="http://schemas.microsoft.com/office/drawing/2014/chart" uri="{C3380CC4-5D6E-409C-BE32-E72D297353CC}">
              <c16:uniqueId val="{00000001-3DDD-42C4-978B-FBC42B052E4D}"/>
            </c:ext>
          </c:extLst>
        </c:ser>
        <c:ser>
          <c:idx val="2"/>
          <c:order val="2"/>
          <c:tx>
            <c:strRef>
              <c:f>Phenol2!$D$2</c:f>
              <c:strCache>
                <c:ptCount val="1"/>
                <c:pt idx="0">
                  <c:v>72 h</c:v>
                </c:pt>
              </c:strCache>
            </c:strRef>
          </c:tx>
          <c:spPr>
            <a:solidFill>
              <a:schemeClr val="accent3"/>
            </a:solidFill>
            <a:ln>
              <a:noFill/>
            </a:ln>
            <a:effectLst/>
          </c:spPr>
          <c:invertIfNegative val="0"/>
          <c:cat>
            <c:strRef>
              <c:f>Phenol2!$A$3:$A$9</c:f>
              <c:strCache>
                <c:ptCount val="7"/>
                <c:pt idx="0">
                  <c:v>T1</c:v>
                </c:pt>
                <c:pt idx="1">
                  <c:v>T2</c:v>
                </c:pt>
                <c:pt idx="2">
                  <c:v>T3</c:v>
                </c:pt>
                <c:pt idx="3">
                  <c:v>T4</c:v>
                </c:pt>
                <c:pt idx="4">
                  <c:v>T5</c:v>
                </c:pt>
                <c:pt idx="5">
                  <c:v>T6</c:v>
                </c:pt>
                <c:pt idx="6">
                  <c:v>T7</c:v>
                </c:pt>
              </c:strCache>
            </c:strRef>
          </c:cat>
          <c:val>
            <c:numRef>
              <c:f>Phenol2!$D$3:$D$9</c:f>
              <c:numCache>
                <c:formatCode>General</c:formatCode>
                <c:ptCount val="7"/>
                <c:pt idx="0">
                  <c:v>2.54</c:v>
                </c:pt>
                <c:pt idx="1">
                  <c:v>2.54</c:v>
                </c:pt>
                <c:pt idx="2">
                  <c:v>2.79</c:v>
                </c:pt>
                <c:pt idx="3">
                  <c:v>2.78</c:v>
                </c:pt>
                <c:pt idx="4">
                  <c:v>2.76</c:v>
                </c:pt>
                <c:pt idx="5">
                  <c:v>2.29</c:v>
                </c:pt>
                <c:pt idx="6">
                  <c:v>1.81</c:v>
                </c:pt>
              </c:numCache>
            </c:numRef>
          </c:val>
          <c:extLst>
            <c:ext xmlns:c16="http://schemas.microsoft.com/office/drawing/2014/chart" uri="{C3380CC4-5D6E-409C-BE32-E72D297353CC}">
              <c16:uniqueId val="{00000002-3DDD-42C4-978B-FBC42B052E4D}"/>
            </c:ext>
          </c:extLst>
        </c:ser>
        <c:dLbls>
          <c:showLegendKey val="0"/>
          <c:showVal val="0"/>
          <c:showCatName val="0"/>
          <c:showSerName val="0"/>
          <c:showPercent val="0"/>
          <c:showBubbleSize val="0"/>
        </c:dLbls>
        <c:gapWidth val="150"/>
        <c:overlap val="100"/>
        <c:axId val="1387639376"/>
        <c:axId val="1387653776"/>
      </c:barChart>
      <c:catAx>
        <c:axId val="1387639376"/>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b="1">
                    <a:solidFill>
                      <a:schemeClr val="tx1"/>
                    </a:solidFill>
                  </a:rPr>
                  <a:t>Treatments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387653776"/>
        <c:crosses val="autoZero"/>
        <c:auto val="1"/>
        <c:lblAlgn val="ctr"/>
        <c:lblOffset val="100"/>
        <c:noMultiLvlLbl val="0"/>
      </c:catAx>
      <c:valAx>
        <c:axId val="13876537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chemeClr val="tx1"/>
                    </a:solidFill>
                  </a:rPr>
                  <a:t>Phenol (mg g</a:t>
                </a:r>
                <a:r>
                  <a:rPr lang="en-IN" sz="1000" b="1" i="0" u="none" strike="noStrike" kern="100" baseline="30000" dirty="0">
                    <a:solidFill>
                      <a:schemeClr val="tx1"/>
                    </a:solidFill>
                    <a:effectLst/>
                  </a:rPr>
                  <a:t>-1  </a:t>
                </a:r>
                <a:r>
                  <a:rPr lang="en-IN" sz="1000" b="1" i="0" u="none" strike="noStrike" kern="100" baseline="0" dirty="0">
                    <a:solidFill>
                      <a:schemeClr val="tx1"/>
                    </a:solidFill>
                    <a:effectLst/>
                  </a:rPr>
                  <a:t>sample)</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387639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Flav2!$B$2</c:f>
              <c:strCache>
                <c:ptCount val="1"/>
                <c:pt idx="0">
                  <c:v>24 h</c:v>
                </c:pt>
              </c:strCache>
            </c:strRef>
          </c:tx>
          <c:spPr>
            <a:solidFill>
              <a:schemeClr val="accent1"/>
            </a:solidFill>
            <a:ln>
              <a:noFill/>
            </a:ln>
            <a:effectLst/>
          </c:spPr>
          <c:invertIfNegative val="0"/>
          <c:cat>
            <c:strRef>
              <c:f>Flav2!$A$3:$A$9</c:f>
              <c:strCache>
                <c:ptCount val="7"/>
                <c:pt idx="0">
                  <c:v>T1</c:v>
                </c:pt>
                <c:pt idx="1">
                  <c:v>T2</c:v>
                </c:pt>
                <c:pt idx="2">
                  <c:v>T3</c:v>
                </c:pt>
                <c:pt idx="3">
                  <c:v>T4</c:v>
                </c:pt>
                <c:pt idx="4">
                  <c:v>T5</c:v>
                </c:pt>
                <c:pt idx="5">
                  <c:v>T6</c:v>
                </c:pt>
                <c:pt idx="6">
                  <c:v>T7</c:v>
                </c:pt>
              </c:strCache>
            </c:strRef>
          </c:cat>
          <c:val>
            <c:numRef>
              <c:f>Flav2!$B$3:$B$9</c:f>
              <c:numCache>
                <c:formatCode>General</c:formatCode>
                <c:ptCount val="7"/>
                <c:pt idx="0">
                  <c:v>4.8</c:v>
                </c:pt>
                <c:pt idx="1">
                  <c:v>5.58</c:v>
                </c:pt>
                <c:pt idx="2">
                  <c:v>6.25</c:v>
                </c:pt>
                <c:pt idx="3">
                  <c:v>5.56</c:v>
                </c:pt>
                <c:pt idx="4">
                  <c:v>5.54</c:v>
                </c:pt>
                <c:pt idx="5">
                  <c:v>5.12</c:v>
                </c:pt>
                <c:pt idx="6">
                  <c:v>4.34</c:v>
                </c:pt>
              </c:numCache>
            </c:numRef>
          </c:val>
          <c:extLst>
            <c:ext xmlns:c16="http://schemas.microsoft.com/office/drawing/2014/chart" uri="{C3380CC4-5D6E-409C-BE32-E72D297353CC}">
              <c16:uniqueId val="{00000000-529E-4E6D-8122-C8A0D7F8844C}"/>
            </c:ext>
          </c:extLst>
        </c:ser>
        <c:ser>
          <c:idx val="1"/>
          <c:order val="1"/>
          <c:tx>
            <c:strRef>
              <c:f>Flav2!$C$2</c:f>
              <c:strCache>
                <c:ptCount val="1"/>
                <c:pt idx="0">
                  <c:v>48 h</c:v>
                </c:pt>
              </c:strCache>
            </c:strRef>
          </c:tx>
          <c:spPr>
            <a:solidFill>
              <a:schemeClr val="accent2"/>
            </a:solidFill>
            <a:ln>
              <a:noFill/>
            </a:ln>
            <a:effectLst/>
          </c:spPr>
          <c:invertIfNegative val="0"/>
          <c:cat>
            <c:strRef>
              <c:f>Flav2!$A$3:$A$9</c:f>
              <c:strCache>
                <c:ptCount val="7"/>
                <c:pt idx="0">
                  <c:v>T1</c:v>
                </c:pt>
                <c:pt idx="1">
                  <c:v>T2</c:v>
                </c:pt>
                <c:pt idx="2">
                  <c:v>T3</c:v>
                </c:pt>
                <c:pt idx="3">
                  <c:v>T4</c:v>
                </c:pt>
                <c:pt idx="4">
                  <c:v>T5</c:v>
                </c:pt>
                <c:pt idx="5">
                  <c:v>T6</c:v>
                </c:pt>
                <c:pt idx="6">
                  <c:v>T7</c:v>
                </c:pt>
              </c:strCache>
            </c:strRef>
          </c:cat>
          <c:val>
            <c:numRef>
              <c:f>Flav2!$C$3:$C$9</c:f>
              <c:numCache>
                <c:formatCode>General</c:formatCode>
                <c:ptCount val="7"/>
                <c:pt idx="0">
                  <c:v>4.68</c:v>
                </c:pt>
                <c:pt idx="1">
                  <c:v>5.46</c:v>
                </c:pt>
                <c:pt idx="2">
                  <c:v>6.11</c:v>
                </c:pt>
                <c:pt idx="3">
                  <c:v>5.35</c:v>
                </c:pt>
                <c:pt idx="4">
                  <c:v>4.88</c:v>
                </c:pt>
                <c:pt idx="5">
                  <c:v>5.2</c:v>
                </c:pt>
                <c:pt idx="6">
                  <c:v>4.1399999999999997</c:v>
                </c:pt>
              </c:numCache>
            </c:numRef>
          </c:val>
          <c:extLst>
            <c:ext xmlns:c16="http://schemas.microsoft.com/office/drawing/2014/chart" uri="{C3380CC4-5D6E-409C-BE32-E72D297353CC}">
              <c16:uniqueId val="{00000001-529E-4E6D-8122-C8A0D7F8844C}"/>
            </c:ext>
          </c:extLst>
        </c:ser>
        <c:ser>
          <c:idx val="2"/>
          <c:order val="2"/>
          <c:tx>
            <c:strRef>
              <c:f>Flav2!$D$2</c:f>
              <c:strCache>
                <c:ptCount val="1"/>
                <c:pt idx="0">
                  <c:v>72 h</c:v>
                </c:pt>
              </c:strCache>
            </c:strRef>
          </c:tx>
          <c:spPr>
            <a:solidFill>
              <a:schemeClr val="accent3"/>
            </a:solidFill>
            <a:ln>
              <a:noFill/>
            </a:ln>
            <a:effectLst/>
          </c:spPr>
          <c:invertIfNegative val="0"/>
          <c:cat>
            <c:strRef>
              <c:f>Flav2!$A$3:$A$9</c:f>
              <c:strCache>
                <c:ptCount val="7"/>
                <c:pt idx="0">
                  <c:v>T1</c:v>
                </c:pt>
                <c:pt idx="1">
                  <c:v>T2</c:v>
                </c:pt>
                <c:pt idx="2">
                  <c:v>T3</c:v>
                </c:pt>
                <c:pt idx="3">
                  <c:v>T4</c:v>
                </c:pt>
                <c:pt idx="4">
                  <c:v>T5</c:v>
                </c:pt>
                <c:pt idx="5">
                  <c:v>T6</c:v>
                </c:pt>
                <c:pt idx="6">
                  <c:v>T7</c:v>
                </c:pt>
              </c:strCache>
            </c:strRef>
          </c:cat>
          <c:val>
            <c:numRef>
              <c:f>Flav2!$D$3:$D$9</c:f>
              <c:numCache>
                <c:formatCode>General</c:formatCode>
                <c:ptCount val="7"/>
                <c:pt idx="0">
                  <c:v>4.79</c:v>
                </c:pt>
                <c:pt idx="1">
                  <c:v>5.38</c:v>
                </c:pt>
                <c:pt idx="2">
                  <c:v>5.82</c:v>
                </c:pt>
                <c:pt idx="3">
                  <c:v>5.54</c:v>
                </c:pt>
                <c:pt idx="4">
                  <c:v>5.56</c:v>
                </c:pt>
                <c:pt idx="5">
                  <c:v>4.3600000000000003</c:v>
                </c:pt>
                <c:pt idx="6">
                  <c:v>4.16</c:v>
                </c:pt>
              </c:numCache>
            </c:numRef>
          </c:val>
          <c:extLst>
            <c:ext xmlns:c16="http://schemas.microsoft.com/office/drawing/2014/chart" uri="{C3380CC4-5D6E-409C-BE32-E72D297353CC}">
              <c16:uniqueId val="{00000002-529E-4E6D-8122-C8A0D7F8844C}"/>
            </c:ext>
          </c:extLst>
        </c:ser>
        <c:dLbls>
          <c:showLegendKey val="0"/>
          <c:showVal val="0"/>
          <c:showCatName val="0"/>
          <c:showSerName val="0"/>
          <c:showPercent val="0"/>
          <c:showBubbleSize val="0"/>
        </c:dLbls>
        <c:gapWidth val="150"/>
        <c:overlap val="100"/>
        <c:axId val="902596863"/>
        <c:axId val="902614623"/>
      </c:barChart>
      <c:catAx>
        <c:axId val="902596863"/>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b="1">
                    <a:solidFill>
                      <a:schemeClr val="tx1"/>
                    </a:solidFill>
                  </a:rPr>
                  <a:t>Treatments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902614623"/>
        <c:crosses val="autoZero"/>
        <c:auto val="1"/>
        <c:lblAlgn val="ctr"/>
        <c:lblOffset val="100"/>
        <c:noMultiLvlLbl val="0"/>
      </c:catAx>
      <c:valAx>
        <c:axId val="902614623"/>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chemeClr val="tx1"/>
                    </a:solidFill>
                  </a:rPr>
                  <a:t>Flavonoid</a:t>
                </a:r>
                <a:r>
                  <a:rPr lang="en-US" sz="1000" b="0" i="0" u="none" strike="noStrike" kern="1200" baseline="0">
                    <a:solidFill>
                      <a:sysClr val="windowText" lastClr="000000">
                        <a:lumMod val="65000"/>
                        <a:lumOff val="35000"/>
                      </a:sysClr>
                    </a:solidFill>
                  </a:rPr>
                  <a:t> </a:t>
                </a:r>
                <a:r>
                  <a:rPr lang="en-US" sz="1000" b="1" i="0" u="none" strike="noStrike" kern="1200" baseline="0">
                    <a:solidFill>
                      <a:schemeClr val="tx1"/>
                    </a:solidFill>
                  </a:rPr>
                  <a:t>(mg g</a:t>
                </a:r>
                <a:r>
                  <a:rPr lang="en-IN" sz="1000" b="1" i="0" u="none" strike="noStrike" kern="100" baseline="30000" dirty="0">
                    <a:solidFill>
                      <a:schemeClr val="tx1"/>
                    </a:solidFill>
                    <a:effectLst/>
                  </a:rPr>
                  <a:t>-1  </a:t>
                </a:r>
                <a:r>
                  <a:rPr lang="en-IN" sz="1000" b="1" i="0" u="none" strike="noStrike" kern="100" baseline="0" dirty="0">
                    <a:solidFill>
                      <a:schemeClr val="tx1"/>
                    </a:solidFill>
                    <a:effectLst/>
                  </a:rPr>
                  <a:t>sample)</a:t>
                </a:r>
                <a:endParaRPr lang="en-IN" sz="1000" b="0" i="0" u="none" strike="noStrike" kern="1200" baseline="0">
                  <a:solidFill>
                    <a:sysClr val="windowText" lastClr="000000">
                      <a:lumMod val="65000"/>
                      <a:lumOff val="35000"/>
                    </a:sysClr>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9025968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01CE3-C811-4731-BC3C-B4662AADA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3286</Words>
  <Characters>17707</Characters>
  <Application>Microsoft Office Word</Application>
  <DocSecurity>0</DocSecurity>
  <Lines>458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2018041066 Sincy Joseph</dc:creator>
  <cp:keywords/>
  <dc:description/>
  <cp:lastModifiedBy>2018041066 Sincy Joseph</cp:lastModifiedBy>
  <cp:revision>2</cp:revision>
  <cp:lastPrinted>2025-04-26T08:20:00Z</cp:lastPrinted>
  <dcterms:created xsi:type="dcterms:W3CDTF">2025-05-03T17:51:00Z</dcterms:created>
  <dcterms:modified xsi:type="dcterms:W3CDTF">2025-05-03T17:51:00Z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103ae6bc-c676-430d-968e-d3e596c95f3d</vt:lpwstr>
  </property>
</Properties>
</file>