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D6A99" w14:textId="77777777" w:rsidR="00063942" w:rsidRPr="001170B5" w:rsidRDefault="001F2769" w:rsidP="001F2769">
      <w:pPr>
        <w:jc w:val="center"/>
        <w:rPr>
          <w:rFonts w:ascii="Arial" w:hAnsi="Arial" w:cs="Arial"/>
          <w:b/>
          <w:bCs/>
          <w:sz w:val="20"/>
          <w:szCs w:val="20"/>
        </w:rPr>
      </w:pPr>
      <w:r w:rsidRPr="001170B5">
        <w:rPr>
          <w:rFonts w:ascii="Arial" w:hAnsi="Arial" w:cs="Arial"/>
          <w:b/>
          <w:bCs/>
          <w:sz w:val="20"/>
          <w:szCs w:val="20"/>
        </w:rPr>
        <w:t xml:space="preserve">Response of Green Gram Demonstrated Technology under NICRA </w:t>
      </w:r>
      <w:r w:rsidR="00116EF6" w:rsidRPr="001170B5">
        <w:rPr>
          <w:rFonts w:ascii="Arial" w:hAnsi="Arial" w:cs="Arial"/>
          <w:b/>
          <w:bCs/>
          <w:sz w:val="20"/>
          <w:szCs w:val="20"/>
        </w:rPr>
        <w:t xml:space="preserve">Cluster </w:t>
      </w:r>
      <w:r w:rsidRPr="001170B5">
        <w:rPr>
          <w:rFonts w:ascii="Arial" w:hAnsi="Arial" w:cs="Arial"/>
          <w:b/>
          <w:bCs/>
          <w:sz w:val="20"/>
          <w:szCs w:val="20"/>
        </w:rPr>
        <w:t>Front Line Demonstration in Nagaur, Rajasthan, India</w:t>
      </w:r>
    </w:p>
    <w:p w14:paraId="0B6038B2" w14:textId="77777777" w:rsidR="00116EF6" w:rsidRPr="001170B5" w:rsidRDefault="00116EF6" w:rsidP="001F2769">
      <w:pPr>
        <w:jc w:val="center"/>
        <w:rPr>
          <w:rFonts w:ascii="Arial" w:eastAsia="Times New Roman" w:hAnsi="Arial" w:cs="Arial"/>
          <w:b/>
          <w:kern w:val="0"/>
          <w:sz w:val="20"/>
          <w:szCs w:val="20"/>
          <w:u w:val="single"/>
          <w:lang w:val="en-US" w:bidi="ar-SA"/>
        </w:rPr>
      </w:pPr>
      <w:r w:rsidRPr="001170B5">
        <w:rPr>
          <w:rFonts w:ascii="Arial" w:eastAsia="Times New Roman" w:hAnsi="Arial" w:cs="Arial"/>
          <w:b/>
          <w:kern w:val="0"/>
          <w:sz w:val="20"/>
          <w:szCs w:val="20"/>
          <w:u w:val="single"/>
          <w:lang w:val="en-US" w:bidi="ar-SA"/>
        </w:rPr>
        <w:t>ABSTRACT</w:t>
      </w:r>
    </w:p>
    <w:p w14:paraId="056BC3C2" w14:textId="77777777" w:rsidR="005664D8" w:rsidRPr="001170B5" w:rsidRDefault="005664D8" w:rsidP="005664D8">
      <w:pPr>
        <w:pStyle w:val="NormalWeb"/>
        <w:jc w:val="both"/>
        <w:rPr>
          <w:rFonts w:ascii="Arial" w:hAnsi="Arial" w:cs="Arial"/>
          <w:sz w:val="20"/>
          <w:szCs w:val="20"/>
        </w:rPr>
      </w:pPr>
      <w:r w:rsidRPr="001170B5">
        <w:rPr>
          <w:rFonts w:ascii="Arial" w:hAnsi="Arial" w:cs="Arial"/>
          <w:sz w:val="20"/>
          <w:szCs w:val="20"/>
        </w:rPr>
        <w:t xml:space="preserve">A comparative study </w:t>
      </w:r>
      <w:proofErr w:type="gramStart"/>
      <w:r w:rsidRPr="001170B5">
        <w:rPr>
          <w:rFonts w:ascii="Arial" w:hAnsi="Arial" w:cs="Arial"/>
          <w:sz w:val="20"/>
          <w:szCs w:val="20"/>
        </w:rPr>
        <w:t>was conducted</w:t>
      </w:r>
      <w:proofErr w:type="gramEnd"/>
      <w:r w:rsidRPr="001170B5">
        <w:rPr>
          <w:rFonts w:ascii="Arial" w:hAnsi="Arial" w:cs="Arial"/>
          <w:sz w:val="20"/>
          <w:szCs w:val="20"/>
        </w:rPr>
        <w:t xml:space="preserve"> under the National Innovations in Climate Resilient Agriculture (NICRA) Cluster Front Line Demonstration (FLD) initiative in Nagaur district, Rajasthan, spanning the 2022-23 and 2023-24 cropping seasons. The objective was to evaluate the agronomic and economic performance of an improved management package for green gram (</w:t>
      </w:r>
      <w:r w:rsidRPr="001170B5">
        <w:rPr>
          <w:rStyle w:val="Emphasis"/>
          <w:rFonts w:ascii="Arial" w:eastAsiaTheme="majorEastAsia" w:hAnsi="Arial" w:cs="Arial"/>
          <w:sz w:val="20"/>
          <w:szCs w:val="20"/>
        </w:rPr>
        <w:t>Vigna radiata</w:t>
      </w:r>
      <w:r w:rsidRPr="001170B5">
        <w:rPr>
          <w:rFonts w:ascii="Arial" w:hAnsi="Arial" w:cs="Arial"/>
          <w:sz w:val="20"/>
          <w:szCs w:val="20"/>
        </w:rPr>
        <w:t>) against conventional farmer practices. Observations revealed enhanced root nodulation in the FLD plots. The mean number of nodules per plant at 20 days after sowing (DAS) was 11.58 and 10.60, and at 40 DAS was 24.40 and 24.12 for the respective years. Correspondingly, nodule dry weight per plant at 20 DAS (30.15 &amp; 70.54 units) and 40 DAS (24.87 &amp; 63.22 units) was also greater under the FLD system. Significantly higher grain yields were recorded in the FLD plots (10.30 q/ha and 9.94 q/ha for 2022-23 and 2023-24, respectively) compared to the farmer practice plots. The Technology Index for the demonstrated package was relatively low (39.19% and 43.24%), indicating effective technology transfer. The calculated Extension Gap ranged between 1.77 and 2.35 q/ha. Economic analysis showed superior net returns from the FLD plots (₹53,422/ha in 2022-23 and ₹58,379/ha in 2023-24) with higher Benefit-Cost ratios (3.02 and 3.19) compared to the local check (2.39 and 2.81). These results strongly suggest that the adoption of the improved package of practices promoted via the NICRA FLD program significantly boosts both the productivity and profitability of green gram cultivation in the region.</w:t>
      </w:r>
    </w:p>
    <w:p w14:paraId="12419AB5" w14:textId="77777777" w:rsidR="00090362" w:rsidRPr="001170B5" w:rsidRDefault="00090362" w:rsidP="00090362">
      <w:pPr>
        <w:pStyle w:val="NormalWeb"/>
        <w:jc w:val="both"/>
        <w:rPr>
          <w:rFonts w:ascii="Arial" w:hAnsi="Arial" w:cs="Arial"/>
          <w:sz w:val="20"/>
          <w:szCs w:val="20"/>
        </w:rPr>
      </w:pPr>
      <w:r w:rsidRPr="001170B5">
        <w:rPr>
          <w:rFonts w:ascii="Arial" w:hAnsi="Arial" w:cs="Arial"/>
          <w:b/>
          <w:bCs/>
          <w:sz w:val="20"/>
          <w:szCs w:val="20"/>
          <w:lang w:val="en-IN"/>
        </w:rPr>
        <w:t>Keywords</w:t>
      </w:r>
      <w:r w:rsidRPr="001170B5">
        <w:rPr>
          <w:rFonts w:ascii="Arial" w:hAnsi="Arial" w:cs="Arial"/>
          <w:sz w:val="20"/>
          <w:szCs w:val="20"/>
          <w:lang w:val="en-IN"/>
        </w:rPr>
        <w:t>: NICRA FLD, Economics,</w:t>
      </w:r>
      <w:r w:rsidRPr="001170B5">
        <w:rPr>
          <w:rFonts w:ascii="Arial" w:hAnsi="Arial" w:cs="Arial"/>
          <w:sz w:val="20"/>
          <w:szCs w:val="20"/>
        </w:rPr>
        <w:t xml:space="preserve"> </w:t>
      </w:r>
      <w:r w:rsidRPr="001170B5">
        <w:rPr>
          <w:rFonts w:ascii="Arial" w:hAnsi="Arial" w:cs="Arial"/>
          <w:sz w:val="20"/>
          <w:szCs w:val="20"/>
          <w:lang w:val="en-IN"/>
        </w:rPr>
        <w:t>Growth and yield attributes, Technology index</w:t>
      </w:r>
    </w:p>
    <w:p w14:paraId="79D8D230" w14:textId="77777777" w:rsidR="00C7510F" w:rsidRPr="001170B5" w:rsidRDefault="00C7510F" w:rsidP="00C7510F">
      <w:pPr>
        <w:jc w:val="center"/>
        <w:rPr>
          <w:rFonts w:ascii="Arial" w:eastAsia="Times New Roman" w:hAnsi="Arial" w:cs="Arial"/>
          <w:b/>
          <w:kern w:val="0"/>
          <w:sz w:val="20"/>
          <w:szCs w:val="20"/>
          <w:lang w:val="en-US" w:bidi="ar-SA"/>
        </w:rPr>
      </w:pPr>
      <w:r w:rsidRPr="001170B5">
        <w:rPr>
          <w:rFonts w:ascii="Arial" w:eastAsia="Times New Roman" w:hAnsi="Arial" w:cs="Arial"/>
          <w:b/>
          <w:kern w:val="0"/>
          <w:sz w:val="20"/>
          <w:szCs w:val="20"/>
          <w:lang w:val="en-US" w:bidi="ar-SA"/>
        </w:rPr>
        <w:t>INTRODUCTION</w:t>
      </w:r>
    </w:p>
    <w:p w14:paraId="0E0483BC" w14:textId="77777777" w:rsidR="004339EF" w:rsidRPr="001170B5" w:rsidRDefault="004339EF" w:rsidP="0042721D">
      <w:pPr>
        <w:pStyle w:val="NormalWeb"/>
        <w:spacing w:before="0" w:beforeAutospacing="0" w:after="0" w:afterAutospacing="0" w:line="276" w:lineRule="auto"/>
        <w:ind w:firstLine="720"/>
        <w:jc w:val="both"/>
        <w:rPr>
          <w:rStyle w:val="citation-0"/>
          <w:rFonts w:ascii="Arial" w:eastAsiaTheme="majorEastAsia" w:hAnsi="Arial" w:cs="Arial"/>
          <w:sz w:val="20"/>
          <w:szCs w:val="20"/>
        </w:rPr>
      </w:pPr>
      <w:r w:rsidRPr="001170B5">
        <w:rPr>
          <w:rStyle w:val="citation-0"/>
          <w:rFonts w:ascii="Arial" w:eastAsiaTheme="majorEastAsia" w:hAnsi="Arial" w:cs="Arial"/>
          <w:sz w:val="20"/>
          <w:szCs w:val="20"/>
        </w:rPr>
        <w:t xml:space="preserve">Leguminous crops are essential for Indian agriculture because they supply organic matter from waste from plants and improve soil fertility through biological nitrogen fixation (Tomar </w:t>
      </w:r>
      <w:r w:rsidRPr="001170B5">
        <w:rPr>
          <w:rStyle w:val="citation-0"/>
          <w:rFonts w:ascii="Arial" w:eastAsiaTheme="majorEastAsia" w:hAnsi="Arial" w:cs="Arial"/>
          <w:i/>
          <w:iCs/>
          <w:sz w:val="20"/>
          <w:szCs w:val="20"/>
        </w:rPr>
        <w:t>et al.,</w:t>
      </w:r>
      <w:r w:rsidRPr="001170B5">
        <w:rPr>
          <w:rStyle w:val="citation-0"/>
          <w:rFonts w:ascii="Arial" w:eastAsiaTheme="majorEastAsia" w:hAnsi="Arial" w:cs="Arial"/>
          <w:sz w:val="20"/>
          <w:szCs w:val="20"/>
        </w:rPr>
        <w:t xml:space="preserve"> 2023). With chromosomal number 2n=</w:t>
      </w:r>
      <w:proofErr w:type="gramStart"/>
      <w:r w:rsidRPr="001170B5">
        <w:rPr>
          <w:rStyle w:val="citation-0"/>
          <w:rFonts w:ascii="Arial" w:eastAsiaTheme="majorEastAsia" w:hAnsi="Arial" w:cs="Arial"/>
          <w:sz w:val="20"/>
          <w:szCs w:val="20"/>
        </w:rPr>
        <w:t>2x</w:t>
      </w:r>
      <w:proofErr w:type="gramEnd"/>
      <w:r w:rsidRPr="001170B5">
        <w:rPr>
          <w:rStyle w:val="citation-0"/>
          <w:rFonts w:ascii="Arial" w:eastAsiaTheme="majorEastAsia" w:hAnsi="Arial" w:cs="Arial"/>
          <w:sz w:val="20"/>
          <w:szCs w:val="20"/>
        </w:rPr>
        <w:t>=22, the green gram (</w:t>
      </w:r>
      <w:r w:rsidRPr="001170B5">
        <w:rPr>
          <w:rStyle w:val="citation-0"/>
          <w:rFonts w:ascii="Arial" w:eastAsiaTheme="majorEastAsia" w:hAnsi="Arial" w:cs="Arial"/>
          <w:i/>
          <w:iCs/>
          <w:sz w:val="20"/>
          <w:szCs w:val="20"/>
        </w:rPr>
        <w:t>Vigna</w:t>
      </w:r>
      <w:r w:rsidRPr="001170B5">
        <w:rPr>
          <w:rStyle w:val="citation-0"/>
          <w:rFonts w:ascii="Arial" w:eastAsiaTheme="majorEastAsia" w:hAnsi="Arial" w:cs="Arial"/>
          <w:sz w:val="20"/>
          <w:szCs w:val="20"/>
        </w:rPr>
        <w:t xml:space="preserve"> </w:t>
      </w:r>
      <w:r w:rsidRPr="001170B5">
        <w:rPr>
          <w:rStyle w:val="citation-0"/>
          <w:rFonts w:ascii="Arial" w:eastAsiaTheme="majorEastAsia" w:hAnsi="Arial" w:cs="Arial"/>
          <w:i/>
          <w:iCs/>
          <w:sz w:val="20"/>
          <w:szCs w:val="20"/>
        </w:rPr>
        <w:t>radiata</w:t>
      </w:r>
      <w:r w:rsidRPr="001170B5">
        <w:rPr>
          <w:rStyle w:val="citation-0"/>
          <w:rFonts w:ascii="Arial" w:eastAsiaTheme="majorEastAsia" w:hAnsi="Arial" w:cs="Arial"/>
          <w:sz w:val="20"/>
          <w:szCs w:val="20"/>
        </w:rPr>
        <w:t xml:space="preserve"> (L.) Wilczek), a member of the </w:t>
      </w:r>
      <w:proofErr w:type="spellStart"/>
      <w:r w:rsidRPr="001170B5">
        <w:rPr>
          <w:rStyle w:val="citation-0"/>
          <w:rFonts w:ascii="Arial" w:eastAsiaTheme="majorEastAsia" w:hAnsi="Arial" w:cs="Arial"/>
          <w:i/>
          <w:iCs/>
          <w:sz w:val="20"/>
          <w:szCs w:val="20"/>
        </w:rPr>
        <w:t>Fabaceae</w:t>
      </w:r>
      <w:proofErr w:type="spellEnd"/>
      <w:r w:rsidRPr="001170B5">
        <w:rPr>
          <w:rStyle w:val="citation-0"/>
          <w:rFonts w:ascii="Arial" w:eastAsiaTheme="majorEastAsia" w:hAnsi="Arial" w:cs="Arial"/>
          <w:sz w:val="20"/>
          <w:szCs w:val="20"/>
        </w:rPr>
        <w:t xml:space="preserve"> family (Sub-family </w:t>
      </w:r>
      <w:proofErr w:type="spellStart"/>
      <w:r w:rsidRPr="001170B5">
        <w:rPr>
          <w:rStyle w:val="citation-0"/>
          <w:rFonts w:ascii="Arial" w:eastAsiaTheme="majorEastAsia" w:hAnsi="Arial" w:cs="Arial"/>
          <w:i/>
          <w:iCs/>
          <w:sz w:val="20"/>
          <w:szCs w:val="20"/>
        </w:rPr>
        <w:t>Papilionaceae</w:t>
      </w:r>
      <w:proofErr w:type="spellEnd"/>
      <w:r w:rsidRPr="001170B5">
        <w:rPr>
          <w:rStyle w:val="citation-0"/>
          <w:rFonts w:ascii="Arial" w:eastAsiaTheme="majorEastAsia" w:hAnsi="Arial" w:cs="Arial"/>
          <w:sz w:val="20"/>
          <w:szCs w:val="20"/>
        </w:rPr>
        <w:t xml:space="preserve">), is the third- most important pulse crop in India, behind pigeon pea and chickpea. Green gram farming, which has its main origins in India, is widely distributed throughout East Asia, Southeast Asia, and the Indian subcontinent. It accounts for about 16 percent of India's total pulse acreage. According to Kumar </w:t>
      </w:r>
      <w:r w:rsidRPr="001170B5">
        <w:rPr>
          <w:rStyle w:val="citation-0"/>
          <w:rFonts w:ascii="Arial" w:eastAsiaTheme="majorEastAsia" w:hAnsi="Arial" w:cs="Arial"/>
          <w:i/>
          <w:iCs/>
          <w:sz w:val="20"/>
          <w:szCs w:val="20"/>
        </w:rPr>
        <w:t xml:space="preserve">et al., </w:t>
      </w:r>
      <w:r w:rsidRPr="001170B5">
        <w:rPr>
          <w:rStyle w:val="citation-0"/>
          <w:rFonts w:ascii="Arial" w:eastAsiaTheme="majorEastAsia" w:hAnsi="Arial" w:cs="Arial"/>
          <w:sz w:val="20"/>
          <w:szCs w:val="20"/>
        </w:rPr>
        <w:t xml:space="preserve">(2022), green grams </w:t>
      </w:r>
      <w:proofErr w:type="gramStart"/>
      <w:r w:rsidRPr="001170B5">
        <w:rPr>
          <w:rStyle w:val="citation-0"/>
          <w:rFonts w:ascii="Arial" w:eastAsiaTheme="majorEastAsia" w:hAnsi="Arial" w:cs="Arial"/>
          <w:sz w:val="20"/>
          <w:szCs w:val="20"/>
        </w:rPr>
        <w:t>are prized</w:t>
      </w:r>
      <w:proofErr w:type="gramEnd"/>
      <w:r w:rsidRPr="001170B5">
        <w:rPr>
          <w:rStyle w:val="citation-0"/>
          <w:rFonts w:ascii="Arial" w:eastAsiaTheme="majorEastAsia" w:hAnsi="Arial" w:cs="Arial"/>
          <w:sz w:val="20"/>
          <w:szCs w:val="20"/>
        </w:rPr>
        <w:t xml:space="preserve"> for their high protein (20–25%), low fat, high fiber, superior palatability, market appeal, and ease of digesting. </w:t>
      </w:r>
    </w:p>
    <w:p w14:paraId="5E3E865B" w14:textId="77777777" w:rsidR="00927CDE" w:rsidRPr="001170B5" w:rsidRDefault="004339EF" w:rsidP="0042721D">
      <w:pPr>
        <w:pStyle w:val="NormalWeb"/>
        <w:spacing w:before="0" w:beforeAutospacing="0" w:after="0" w:afterAutospacing="0" w:line="276" w:lineRule="auto"/>
        <w:ind w:firstLine="720"/>
        <w:jc w:val="both"/>
        <w:rPr>
          <w:rFonts w:ascii="Arial" w:hAnsi="Arial" w:cs="Arial"/>
          <w:sz w:val="20"/>
          <w:szCs w:val="20"/>
        </w:rPr>
      </w:pPr>
      <w:r w:rsidRPr="001170B5">
        <w:rPr>
          <w:rFonts w:ascii="Arial" w:hAnsi="Arial" w:cs="Arial"/>
          <w:sz w:val="20"/>
          <w:szCs w:val="20"/>
        </w:rPr>
        <w:t>Although these qualities, it has difficulties with productivity, which may result in yearly declines. According to agricultural data, India produced 15.93 lakh hect</w:t>
      </w:r>
      <w:r w:rsidR="00927CDE" w:rsidRPr="001170B5">
        <w:rPr>
          <w:rFonts w:ascii="Arial" w:hAnsi="Arial" w:cs="Arial"/>
          <w:sz w:val="20"/>
          <w:szCs w:val="20"/>
        </w:rPr>
        <w:t>ares of green gram in 2023–2024-</w:t>
      </w:r>
      <w:r w:rsidRPr="001170B5">
        <w:rPr>
          <w:rFonts w:ascii="Arial" w:hAnsi="Arial" w:cs="Arial"/>
          <w:sz w:val="20"/>
          <w:szCs w:val="20"/>
        </w:rPr>
        <w:t xml:space="preserve">an slight increase from 15.57 lakh hectares in 2022–2023. 3.74 million </w:t>
      </w:r>
      <w:proofErr w:type="spellStart"/>
      <w:proofErr w:type="gramStart"/>
      <w:r w:rsidRPr="001170B5">
        <w:rPr>
          <w:rFonts w:ascii="Arial" w:hAnsi="Arial" w:cs="Arial"/>
          <w:sz w:val="20"/>
          <w:szCs w:val="20"/>
        </w:rPr>
        <w:t>tonnes</w:t>
      </w:r>
      <w:proofErr w:type="spellEnd"/>
      <w:proofErr w:type="gramEnd"/>
      <w:r w:rsidRPr="001170B5">
        <w:rPr>
          <w:rFonts w:ascii="Arial" w:hAnsi="Arial" w:cs="Arial"/>
          <w:sz w:val="20"/>
          <w:szCs w:val="20"/>
        </w:rPr>
        <w:t xml:space="preserve"> was expected to be produced nationally in 2022–2023 (The Government the 3rd Advance Estimates, cited in Green Gram Outlook, 2023). </w:t>
      </w:r>
    </w:p>
    <w:p w14:paraId="1FB540B4" w14:textId="77777777" w:rsidR="005664D8" w:rsidRPr="001170B5" w:rsidRDefault="005664D8" w:rsidP="0042721D">
      <w:pPr>
        <w:pStyle w:val="NormalWeb"/>
        <w:spacing w:before="0" w:beforeAutospacing="0" w:after="0" w:afterAutospacing="0" w:line="276" w:lineRule="auto"/>
        <w:ind w:firstLine="720"/>
        <w:jc w:val="both"/>
        <w:rPr>
          <w:rFonts w:ascii="Arial" w:hAnsi="Arial" w:cs="Arial"/>
          <w:sz w:val="20"/>
          <w:szCs w:val="20"/>
        </w:rPr>
      </w:pPr>
      <w:r w:rsidRPr="001170B5">
        <w:rPr>
          <w:rFonts w:ascii="Arial" w:hAnsi="Arial" w:cs="Arial"/>
          <w:sz w:val="20"/>
          <w:szCs w:val="20"/>
        </w:rPr>
        <w:t xml:space="preserve">Enhancing productivity sustainably </w:t>
      </w:r>
      <w:proofErr w:type="gramStart"/>
      <w:r w:rsidRPr="001170B5">
        <w:rPr>
          <w:rFonts w:ascii="Arial" w:hAnsi="Arial" w:cs="Arial"/>
          <w:sz w:val="20"/>
          <w:szCs w:val="20"/>
        </w:rPr>
        <w:t>can be achieved</w:t>
      </w:r>
      <w:proofErr w:type="gramEnd"/>
      <w:r w:rsidRPr="001170B5">
        <w:rPr>
          <w:rFonts w:ascii="Arial" w:hAnsi="Arial" w:cs="Arial"/>
          <w:sz w:val="20"/>
          <w:szCs w:val="20"/>
        </w:rPr>
        <w:t xml:space="preserve"> through strategies like Integrated Nutrient Management (INM). </w:t>
      </w:r>
      <w:r w:rsidRPr="001170B5">
        <w:rPr>
          <w:rStyle w:val="citation-2"/>
          <w:rFonts w:ascii="Arial" w:eastAsiaTheme="majorEastAsia" w:hAnsi="Arial" w:cs="Arial"/>
          <w:sz w:val="20"/>
          <w:szCs w:val="20"/>
        </w:rPr>
        <w:t xml:space="preserve">INM involves the judicious use of combined organic, inorganic, and biological nutrient sources to maintain optimal yields, preserve or improve soil physicochemical properties, and deliver nutrient solutions that are technically sound, economically viable, practically feasible, and environmentally safe (Mishra </w:t>
      </w:r>
      <w:r w:rsidRPr="001170B5">
        <w:rPr>
          <w:rStyle w:val="citation-2"/>
          <w:rFonts w:ascii="Arial" w:eastAsiaTheme="majorEastAsia" w:hAnsi="Arial" w:cs="Arial"/>
          <w:i/>
          <w:iCs/>
          <w:sz w:val="20"/>
          <w:szCs w:val="20"/>
        </w:rPr>
        <w:t>et al.,</w:t>
      </w:r>
      <w:r w:rsidRPr="001170B5">
        <w:rPr>
          <w:rStyle w:val="citation-2"/>
          <w:rFonts w:ascii="Arial" w:eastAsiaTheme="majorEastAsia" w:hAnsi="Arial" w:cs="Arial"/>
          <w:sz w:val="20"/>
          <w:szCs w:val="20"/>
        </w:rPr>
        <w:t xml:space="preserve"> 2022).</w:t>
      </w:r>
      <w:r w:rsidRPr="001170B5">
        <w:rPr>
          <w:rFonts w:ascii="Arial" w:hAnsi="Arial" w:cs="Arial"/>
          <w:sz w:val="20"/>
          <w:szCs w:val="20"/>
        </w:rPr>
        <w:t xml:space="preserve"> There is a growing emphasis on growers adopting INM to boost productivity while sustaining soil health. </w:t>
      </w:r>
      <w:r w:rsidRPr="001170B5">
        <w:rPr>
          <w:rStyle w:val="citation-3"/>
          <w:rFonts w:ascii="Arial" w:eastAsiaTheme="majorEastAsia" w:hAnsi="Arial" w:cs="Arial"/>
          <w:sz w:val="20"/>
          <w:szCs w:val="20"/>
        </w:rPr>
        <w:t xml:space="preserve">Organic amendments represent a key component or alternative strategy within INM to improve production outcomes (Meena </w:t>
      </w:r>
      <w:r w:rsidRPr="001170B5">
        <w:rPr>
          <w:rStyle w:val="citation-3"/>
          <w:rFonts w:ascii="Arial" w:eastAsiaTheme="majorEastAsia" w:hAnsi="Arial" w:cs="Arial"/>
          <w:i/>
          <w:iCs/>
          <w:sz w:val="20"/>
          <w:szCs w:val="20"/>
        </w:rPr>
        <w:t>et al.,</w:t>
      </w:r>
      <w:r w:rsidRPr="001170B5">
        <w:rPr>
          <w:rStyle w:val="citation-3"/>
          <w:rFonts w:ascii="Arial" w:eastAsiaTheme="majorEastAsia" w:hAnsi="Arial" w:cs="Arial"/>
          <w:sz w:val="20"/>
          <w:szCs w:val="20"/>
        </w:rPr>
        <w:t xml:space="preserve"> 2015).</w:t>
      </w:r>
      <w:r w:rsidRPr="001170B5">
        <w:rPr>
          <w:rStyle w:val="button-container"/>
          <w:rFonts w:ascii="Arial" w:eastAsiaTheme="majorEastAsia" w:hAnsi="Arial" w:cs="Arial"/>
          <w:sz w:val="20"/>
          <w:szCs w:val="20"/>
        </w:rPr>
        <w:t xml:space="preserve">  </w:t>
      </w:r>
      <w:r w:rsidRPr="001170B5">
        <w:rPr>
          <w:rStyle w:val="citation-4"/>
          <w:rFonts w:ascii="Arial" w:eastAsiaTheme="majorEastAsia" w:hAnsi="Arial" w:cs="Arial"/>
          <w:sz w:val="20"/>
          <w:szCs w:val="20"/>
        </w:rPr>
        <w:t xml:space="preserve">Front Line Demonstrations (FLDs) </w:t>
      </w:r>
      <w:proofErr w:type="gramStart"/>
      <w:r w:rsidRPr="001170B5">
        <w:rPr>
          <w:rStyle w:val="citation-4"/>
          <w:rFonts w:ascii="Arial" w:eastAsiaTheme="majorEastAsia" w:hAnsi="Arial" w:cs="Arial"/>
          <w:sz w:val="20"/>
          <w:szCs w:val="20"/>
        </w:rPr>
        <w:t>are designed</w:t>
      </w:r>
      <w:proofErr w:type="gramEnd"/>
      <w:r w:rsidRPr="001170B5">
        <w:rPr>
          <w:rStyle w:val="citation-4"/>
          <w:rFonts w:ascii="Arial" w:eastAsiaTheme="majorEastAsia" w:hAnsi="Arial" w:cs="Arial"/>
          <w:sz w:val="20"/>
          <w:szCs w:val="20"/>
        </w:rPr>
        <w:t xml:space="preserve"> to assess new production technologies and management systems under real-world farming conditions.</w:t>
      </w:r>
      <w:r w:rsidRPr="001170B5">
        <w:rPr>
          <w:rFonts w:ascii="Arial" w:hAnsi="Arial" w:cs="Arial"/>
          <w:sz w:val="20"/>
          <w:szCs w:val="20"/>
        </w:rPr>
        <w:t xml:space="preserve"> Conducted under the guidance of Krishi Vigyan Kendra (KVK) scientists, initiatives like the NICRA project FLDs facilitate on-farm evaluation and gather crucial farmer feedback on demonstrated interventions.</w:t>
      </w:r>
    </w:p>
    <w:p w14:paraId="07800599" w14:textId="77777777" w:rsidR="00B17714" w:rsidRPr="001170B5" w:rsidRDefault="005F30D1" w:rsidP="0042721D">
      <w:pPr>
        <w:spacing w:after="0" w:line="276" w:lineRule="auto"/>
        <w:jc w:val="both"/>
        <w:rPr>
          <w:rFonts w:ascii="Arial" w:eastAsia="Times New Roman" w:hAnsi="Arial" w:cs="Arial"/>
          <w:b/>
          <w:kern w:val="0"/>
          <w:sz w:val="20"/>
          <w:szCs w:val="20"/>
          <w:lang w:val="en-US" w:bidi="ar-SA"/>
        </w:rPr>
      </w:pPr>
      <w:r w:rsidRPr="001170B5">
        <w:rPr>
          <w:rFonts w:ascii="Arial" w:eastAsia="Times New Roman" w:hAnsi="Arial" w:cs="Arial"/>
          <w:b/>
          <w:kern w:val="0"/>
          <w:sz w:val="20"/>
          <w:szCs w:val="20"/>
          <w:lang w:val="en-US" w:bidi="ar-SA"/>
        </w:rPr>
        <w:t>Methodology</w:t>
      </w:r>
    </w:p>
    <w:p w14:paraId="556367A4" w14:textId="77777777" w:rsidR="00C36052" w:rsidRPr="001170B5" w:rsidRDefault="00C36052" w:rsidP="0042721D">
      <w:pPr>
        <w:spacing w:after="0" w:line="276" w:lineRule="auto"/>
        <w:ind w:firstLine="360"/>
        <w:jc w:val="both"/>
        <w:rPr>
          <w:rFonts w:ascii="Arial" w:eastAsia="Times New Roman" w:hAnsi="Arial" w:cs="Arial"/>
          <w:kern w:val="0"/>
          <w:sz w:val="20"/>
          <w:szCs w:val="20"/>
          <w:lang w:val="en-US" w:bidi="ar-SA"/>
        </w:rPr>
      </w:pPr>
      <w:r w:rsidRPr="001170B5">
        <w:rPr>
          <w:rFonts w:ascii="Arial" w:eastAsia="Times New Roman" w:hAnsi="Arial" w:cs="Arial"/>
          <w:kern w:val="0"/>
          <w:sz w:val="20"/>
          <w:szCs w:val="20"/>
          <w:lang w:val="en-US" w:bidi="ar-SA"/>
        </w:rPr>
        <w:t xml:space="preserve">The Krishi Vigyan Kendra (KVK), which is associated with Agriculture University in Jodhpur, carried this study at </w:t>
      </w:r>
      <w:proofErr w:type="spellStart"/>
      <w:r w:rsidRPr="001170B5">
        <w:rPr>
          <w:rFonts w:ascii="Arial" w:eastAsia="Times New Roman" w:hAnsi="Arial" w:cs="Arial"/>
          <w:kern w:val="0"/>
          <w:sz w:val="20"/>
          <w:szCs w:val="20"/>
          <w:lang w:val="en-US" w:bidi="ar-SA"/>
        </w:rPr>
        <w:t>Athiyasan</w:t>
      </w:r>
      <w:proofErr w:type="spellEnd"/>
      <w:r w:rsidRPr="001170B5">
        <w:rPr>
          <w:rFonts w:ascii="Arial" w:eastAsia="Times New Roman" w:hAnsi="Arial" w:cs="Arial"/>
          <w:kern w:val="0"/>
          <w:sz w:val="20"/>
          <w:szCs w:val="20"/>
          <w:lang w:val="en-US" w:bidi="ar-SA"/>
        </w:rPr>
        <w:t xml:space="preserve">, </w:t>
      </w:r>
      <w:proofErr w:type="spellStart"/>
      <w:r w:rsidRPr="001170B5">
        <w:rPr>
          <w:rFonts w:ascii="Arial" w:eastAsia="Times New Roman" w:hAnsi="Arial" w:cs="Arial"/>
          <w:kern w:val="0"/>
          <w:sz w:val="20"/>
          <w:szCs w:val="20"/>
          <w:lang w:val="en-US" w:bidi="ar-SA"/>
        </w:rPr>
        <w:t>Nagaur</w:t>
      </w:r>
      <w:proofErr w:type="spellEnd"/>
      <w:r w:rsidRPr="001170B5">
        <w:rPr>
          <w:rFonts w:ascii="Arial" w:eastAsia="Times New Roman" w:hAnsi="Arial" w:cs="Arial"/>
          <w:kern w:val="0"/>
          <w:sz w:val="20"/>
          <w:szCs w:val="20"/>
          <w:lang w:val="en-US" w:bidi="ar-SA"/>
        </w:rPr>
        <w:t xml:space="preserve">. The Central Research Institute for Dryland Agriculture </w:t>
      </w:r>
      <w:r w:rsidRPr="001170B5">
        <w:rPr>
          <w:rFonts w:ascii="Arial" w:eastAsia="Times New Roman" w:hAnsi="Arial" w:cs="Arial"/>
          <w:kern w:val="0"/>
          <w:sz w:val="20"/>
          <w:szCs w:val="20"/>
          <w:lang w:val="en-US" w:bidi="ar-SA"/>
        </w:rPr>
        <w:lastRenderedPageBreak/>
        <w:t xml:space="preserve">(CRIDA), located in Hyderabad, is the central sponsor of the National Innovations in Climate Resilient Agriculture (NICRA) self-initiative, which included the research. Tests in the field </w:t>
      </w:r>
      <w:proofErr w:type="gramStart"/>
      <w:r w:rsidRPr="001170B5">
        <w:rPr>
          <w:rFonts w:ascii="Arial" w:eastAsia="Times New Roman" w:hAnsi="Arial" w:cs="Arial"/>
          <w:kern w:val="0"/>
          <w:sz w:val="20"/>
          <w:szCs w:val="20"/>
          <w:lang w:val="en-US" w:bidi="ar-SA"/>
        </w:rPr>
        <w:t>were carried out</w:t>
      </w:r>
      <w:proofErr w:type="gramEnd"/>
      <w:r w:rsidRPr="001170B5">
        <w:rPr>
          <w:rFonts w:ascii="Arial" w:eastAsia="Times New Roman" w:hAnsi="Arial" w:cs="Arial"/>
          <w:kern w:val="0"/>
          <w:sz w:val="20"/>
          <w:szCs w:val="20"/>
          <w:lang w:val="en-US" w:bidi="ar-SA"/>
        </w:rPr>
        <w:t xml:space="preserve"> on farmers' holdings in </w:t>
      </w:r>
      <w:proofErr w:type="spellStart"/>
      <w:r w:rsidRPr="001170B5">
        <w:rPr>
          <w:rFonts w:ascii="Arial" w:eastAsia="Times New Roman" w:hAnsi="Arial" w:cs="Arial"/>
          <w:kern w:val="0"/>
          <w:sz w:val="20"/>
          <w:szCs w:val="20"/>
          <w:lang w:val="en-US" w:bidi="ar-SA"/>
        </w:rPr>
        <w:t>Deshwal</w:t>
      </w:r>
      <w:proofErr w:type="spellEnd"/>
      <w:r w:rsidRPr="001170B5">
        <w:rPr>
          <w:rFonts w:ascii="Arial" w:eastAsia="Times New Roman" w:hAnsi="Arial" w:cs="Arial"/>
          <w:kern w:val="0"/>
          <w:sz w:val="20"/>
          <w:szCs w:val="20"/>
          <w:lang w:val="en-US" w:bidi="ar-SA"/>
        </w:rPr>
        <w:t xml:space="preserve"> village, </w:t>
      </w:r>
      <w:proofErr w:type="spellStart"/>
      <w:r w:rsidRPr="001170B5">
        <w:rPr>
          <w:rFonts w:ascii="Arial" w:eastAsia="Times New Roman" w:hAnsi="Arial" w:cs="Arial"/>
          <w:kern w:val="0"/>
          <w:sz w:val="20"/>
          <w:szCs w:val="20"/>
          <w:lang w:val="en-US" w:bidi="ar-SA"/>
        </w:rPr>
        <w:t>Nagaur</w:t>
      </w:r>
      <w:proofErr w:type="spellEnd"/>
      <w:r w:rsidRPr="001170B5">
        <w:rPr>
          <w:rFonts w:ascii="Arial" w:eastAsia="Times New Roman" w:hAnsi="Arial" w:cs="Arial"/>
          <w:kern w:val="0"/>
          <w:sz w:val="20"/>
          <w:szCs w:val="20"/>
          <w:lang w:val="en-US" w:bidi="ar-SA"/>
        </w:rPr>
        <w:t xml:space="preserve"> district, Rajasthan, throughout the 2022–2023 and 2023–2024 </w:t>
      </w:r>
      <w:r w:rsidRPr="001170B5">
        <w:rPr>
          <w:rFonts w:ascii="Arial" w:eastAsia="Times New Roman" w:hAnsi="Arial" w:cs="Arial"/>
          <w:i/>
          <w:iCs/>
          <w:kern w:val="0"/>
          <w:sz w:val="20"/>
          <w:szCs w:val="20"/>
          <w:lang w:val="en-US" w:bidi="ar-SA"/>
        </w:rPr>
        <w:t>kharif</w:t>
      </w:r>
      <w:r w:rsidRPr="001170B5">
        <w:rPr>
          <w:rFonts w:ascii="Arial" w:eastAsia="Times New Roman" w:hAnsi="Arial" w:cs="Arial"/>
          <w:kern w:val="0"/>
          <w:sz w:val="20"/>
          <w:szCs w:val="20"/>
          <w:lang w:val="en-US" w:bidi="ar-SA"/>
        </w:rPr>
        <w:t xml:space="preserve"> seasons. In the selected villages, 90 Front Line Demonstrations (FLDs) covering 36 hectares </w:t>
      </w:r>
      <w:proofErr w:type="gramStart"/>
      <w:r w:rsidRPr="001170B5">
        <w:rPr>
          <w:rFonts w:ascii="Arial" w:eastAsia="Times New Roman" w:hAnsi="Arial" w:cs="Arial"/>
          <w:kern w:val="0"/>
          <w:sz w:val="20"/>
          <w:szCs w:val="20"/>
          <w:lang w:val="en-US" w:bidi="ar-SA"/>
        </w:rPr>
        <w:t>have been immersed</w:t>
      </w:r>
      <w:proofErr w:type="gramEnd"/>
      <w:r w:rsidRPr="001170B5">
        <w:rPr>
          <w:rFonts w:ascii="Arial" w:eastAsia="Times New Roman" w:hAnsi="Arial" w:cs="Arial"/>
          <w:kern w:val="0"/>
          <w:sz w:val="20"/>
          <w:szCs w:val="20"/>
          <w:lang w:val="en-US" w:bidi="ar-SA"/>
        </w:rPr>
        <w:t xml:space="preserve"> up. The FLD plots, which used an improved package of practices, </w:t>
      </w:r>
      <w:proofErr w:type="gramStart"/>
      <w:r w:rsidRPr="001170B5">
        <w:rPr>
          <w:rFonts w:ascii="Arial" w:eastAsia="Times New Roman" w:hAnsi="Arial" w:cs="Arial"/>
          <w:kern w:val="0"/>
          <w:sz w:val="20"/>
          <w:szCs w:val="20"/>
          <w:lang w:val="en-US" w:bidi="ar-SA"/>
        </w:rPr>
        <w:t>were directly compared</w:t>
      </w:r>
      <w:proofErr w:type="gramEnd"/>
      <w:r w:rsidRPr="001170B5">
        <w:rPr>
          <w:rFonts w:ascii="Arial" w:eastAsia="Times New Roman" w:hAnsi="Arial" w:cs="Arial"/>
          <w:kern w:val="0"/>
          <w:sz w:val="20"/>
          <w:szCs w:val="20"/>
          <w:lang w:val="en-US" w:bidi="ar-SA"/>
        </w:rPr>
        <w:t xml:space="preserve"> to the nearby control plots that remained operational with traditional farmer solutions as part of the methodology.</w:t>
      </w:r>
    </w:p>
    <w:p w14:paraId="618BED18" w14:textId="77777777" w:rsidR="00D36AE0" w:rsidRPr="001170B5" w:rsidRDefault="00AC06C3" w:rsidP="0042721D">
      <w:pPr>
        <w:spacing w:after="0" w:line="276" w:lineRule="auto"/>
        <w:ind w:firstLine="360"/>
        <w:jc w:val="both"/>
        <w:rPr>
          <w:rFonts w:ascii="Arial" w:eastAsia="Times New Roman" w:hAnsi="Arial" w:cs="Arial"/>
          <w:kern w:val="0"/>
          <w:sz w:val="20"/>
          <w:szCs w:val="20"/>
          <w:lang w:val="en-US" w:bidi="ar-SA"/>
        </w:rPr>
      </w:pPr>
      <w:r w:rsidRPr="001170B5">
        <w:rPr>
          <w:rFonts w:ascii="Arial" w:eastAsia="Times New Roman" w:hAnsi="Arial" w:cs="Arial"/>
          <w:kern w:val="0"/>
          <w:sz w:val="20"/>
          <w:szCs w:val="20"/>
          <w:lang w:val="en-US" w:bidi="ar-SA"/>
        </w:rPr>
        <w:t xml:space="preserve">The FLD interventions included using quality-certified seeds of improved green gram varieties (MH-421, MH-1142), line sowing at a 30 cm x 10 cm spacing, balanced fertilizer application based on soil health recommendations, and need-based application of plant protection measures. Data collection commenced with harvesting at physiological maturity. For nodulation studies, five plants </w:t>
      </w:r>
      <w:proofErr w:type="gramStart"/>
      <w:r w:rsidRPr="001170B5">
        <w:rPr>
          <w:rFonts w:ascii="Arial" w:eastAsia="Times New Roman" w:hAnsi="Arial" w:cs="Arial"/>
          <w:kern w:val="0"/>
          <w:sz w:val="20"/>
          <w:szCs w:val="20"/>
          <w:lang w:val="en-US" w:bidi="ar-SA"/>
        </w:rPr>
        <w:t>were randomly selected</w:t>
      </w:r>
      <w:proofErr w:type="gramEnd"/>
      <w:r w:rsidRPr="001170B5">
        <w:rPr>
          <w:rFonts w:ascii="Arial" w:eastAsia="Times New Roman" w:hAnsi="Arial" w:cs="Arial"/>
          <w:kern w:val="0"/>
          <w:sz w:val="20"/>
          <w:szCs w:val="20"/>
          <w:lang w:val="en-US" w:bidi="ar-SA"/>
        </w:rPr>
        <w:t xml:space="preserve"> from each demonstration and control plot per cluster at both 20 and 40 </w:t>
      </w:r>
      <w:r w:rsidR="00D36AE0" w:rsidRPr="001170B5">
        <w:rPr>
          <w:rFonts w:ascii="Arial" w:hAnsi="Arial" w:cs="Arial"/>
          <w:sz w:val="20"/>
          <w:szCs w:val="20"/>
        </w:rPr>
        <w:t>Days after sowing</w:t>
      </w:r>
      <w:r w:rsidRPr="001170B5">
        <w:rPr>
          <w:rFonts w:ascii="Arial" w:eastAsia="Times New Roman" w:hAnsi="Arial" w:cs="Arial"/>
          <w:kern w:val="0"/>
          <w:sz w:val="20"/>
          <w:szCs w:val="20"/>
          <w:lang w:val="en-US" w:bidi="ar-SA"/>
        </w:rPr>
        <w:t xml:space="preserve">. </w:t>
      </w:r>
    </w:p>
    <w:p w14:paraId="5013AED9" w14:textId="77777777" w:rsidR="00AC06C3" w:rsidRPr="001170B5" w:rsidRDefault="00AC06C3" w:rsidP="0042721D">
      <w:pPr>
        <w:spacing w:after="0" w:line="276" w:lineRule="auto"/>
        <w:ind w:firstLine="360"/>
        <w:jc w:val="both"/>
        <w:rPr>
          <w:rFonts w:ascii="Arial" w:eastAsia="Times New Roman" w:hAnsi="Arial" w:cs="Arial"/>
          <w:b/>
          <w:kern w:val="0"/>
          <w:sz w:val="20"/>
          <w:szCs w:val="20"/>
          <w:lang w:val="en-US" w:bidi="ar-SA"/>
        </w:rPr>
      </w:pPr>
      <w:r w:rsidRPr="001170B5">
        <w:rPr>
          <w:rFonts w:ascii="Arial" w:eastAsia="Times New Roman" w:hAnsi="Arial" w:cs="Arial"/>
          <w:kern w:val="0"/>
          <w:sz w:val="20"/>
          <w:szCs w:val="20"/>
          <w:lang w:val="en-US" w:bidi="ar-SA"/>
        </w:rPr>
        <w:t xml:space="preserve">These plants were carefully uprooted, roots washed, and nodules meticulously detached and counted to determine the average number per plant. Nodule biomass was assessed by recording fresh weight, followed by </w:t>
      </w:r>
      <w:proofErr w:type="gramStart"/>
      <w:r w:rsidRPr="001170B5">
        <w:rPr>
          <w:rFonts w:ascii="Arial" w:eastAsia="Times New Roman" w:hAnsi="Arial" w:cs="Arial"/>
          <w:kern w:val="0"/>
          <w:sz w:val="20"/>
          <w:szCs w:val="20"/>
          <w:lang w:val="en-US" w:bidi="ar-SA"/>
        </w:rPr>
        <w:t>sun-drying</w:t>
      </w:r>
      <w:proofErr w:type="gramEnd"/>
      <w:r w:rsidRPr="001170B5">
        <w:rPr>
          <w:rFonts w:ascii="Arial" w:eastAsia="Times New Roman" w:hAnsi="Arial" w:cs="Arial"/>
          <w:kern w:val="0"/>
          <w:sz w:val="20"/>
          <w:szCs w:val="20"/>
          <w:lang w:val="en-US" w:bidi="ar-SA"/>
        </w:rPr>
        <w:t xml:space="preserve"> for two days and subsequent oven-drying at 70</w:t>
      </w:r>
      <w:r w:rsidRPr="001170B5">
        <w:rPr>
          <w:rFonts w:ascii="Cambria Math" w:eastAsia="Times New Roman" w:hAnsi="Cambria Math" w:cs="Cambria Math"/>
          <w:kern w:val="0"/>
          <w:sz w:val="20"/>
          <w:szCs w:val="20"/>
          <w:lang w:val="en-US" w:bidi="ar-SA"/>
        </w:rPr>
        <w:t>∘</w:t>
      </w:r>
      <w:r w:rsidRPr="001170B5">
        <w:rPr>
          <w:rFonts w:ascii="Arial" w:eastAsia="Times New Roman" w:hAnsi="Arial" w:cs="Arial"/>
          <w:kern w:val="0"/>
          <w:sz w:val="20"/>
          <w:szCs w:val="20"/>
          <w:lang w:val="en-US" w:bidi="ar-SA"/>
        </w:rPr>
        <w:t xml:space="preserve">C to constant weight for dry weight determination. Key yield attributes, specifically mean pod length and mean pods per plant, were recorded from the sampled plants. Grain yield </w:t>
      </w:r>
      <w:proofErr w:type="gramStart"/>
      <w:r w:rsidRPr="001170B5">
        <w:rPr>
          <w:rFonts w:ascii="Arial" w:eastAsia="Times New Roman" w:hAnsi="Arial" w:cs="Arial"/>
          <w:kern w:val="0"/>
          <w:sz w:val="20"/>
          <w:szCs w:val="20"/>
          <w:lang w:val="en-US" w:bidi="ar-SA"/>
        </w:rPr>
        <w:t>was quantified</w:t>
      </w:r>
      <w:proofErr w:type="gramEnd"/>
      <w:r w:rsidRPr="001170B5">
        <w:rPr>
          <w:rFonts w:ascii="Arial" w:eastAsia="Times New Roman" w:hAnsi="Arial" w:cs="Arial"/>
          <w:kern w:val="0"/>
          <w:sz w:val="20"/>
          <w:szCs w:val="20"/>
          <w:lang w:val="en-US" w:bidi="ar-SA"/>
        </w:rPr>
        <w:t xml:space="preserve"> from both FLD and farmer practice plots using standardized crop cutting methods. Basic statistical analysis </w:t>
      </w:r>
      <w:proofErr w:type="gramStart"/>
      <w:r w:rsidRPr="001170B5">
        <w:rPr>
          <w:rFonts w:ascii="Arial" w:eastAsia="Times New Roman" w:hAnsi="Arial" w:cs="Arial"/>
          <w:kern w:val="0"/>
          <w:sz w:val="20"/>
          <w:szCs w:val="20"/>
          <w:lang w:val="en-US" w:bidi="ar-SA"/>
        </w:rPr>
        <w:t>was applied</w:t>
      </w:r>
      <w:proofErr w:type="gramEnd"/>
      <w:r w:rsidRPr="001170B5">
        <w:rPr>
          <w:rFonts w:ascii="Arial" w:eastAsia="Times New Roman" w:hAnsi="Arial" w:cs="Arial"/>
          <w:kern w:val="0"/>
          <w:sz w:val="20"/>
          <w:szCs w:val="20"/>
          <w:lang w:val="en-US" w:bidi="ar-SA"/>
        </w:rPr>
        <w:t xml:space="preserve"> to the yield data. Economic viability </w:t>
      </w:r>
      <w:proofErr w:type="gramStart"/>
      <w:r w:rsidRPr="001170B5">
        <w:rPr>
          <w:rFonts w:ascii="Arial" w:eastAsia="Times New Roman" w:hAnsi="Arial" w:cs="Arial"/>
          <w:kern w:val="0"/>
          <w:sz w:val="20"/>
          <w:szCs w:val="20"/>
          <w:lang w:val="en-US" w:bidi="ar-SA"/>
        </w:rPr>
        <w:t>was assessed</w:t>
      </w:r>
      <w:proofErr w:type="gramEnd"/>
      <w:r w:rsidRPr="001170B5">
        <w:rPr>
          <w:rFonts w:ascii="Arial" w:eastAsia="Times New Roman" w:hAnsi="Arial" w:cs="Arial"/>
          <w:kern w:val="0"/>
          <w:sz w:val="20"/>
          <w:szCs w:val="20"/>
          <w:lang w:val="en-US" w:bidi="ar-SA"/>
        </w:rPr>
        <w:t xml:space="preserve"> by calculating gross returns (yield × prevailing local market price), net returns, and the Benefit-Cost ratio (following principles similar to Samui </w:t>
      </w:r>
      <w:r w:rsidRPr="001170B5">
        <w:rPr>
          <w:rFonts w:ascii="Arial" w:eastAsia="Times New Roman" w:hAnsi="Arial" w:cs="Arial"/>
          <w:i/>
          <w:iCs/>
          <w:kern w:val="0"/>
          <w:sz w:val="20"/>
          <w:szCs w:val="20"/>
          <w:lang w:val="en-US" w:bidi="ar-SA"/>
        </w:rPr>
        <w:t>et al.,</w:t>
      </w:r>
      <w:r w:rsidRPr="001170B5">
        <w:rPr>
          <w:rFonts w:ascii="Arial" w:eastAsia="Times New Roman" w:hAnsi="Arial" w:cs="Arial"/>
          <w:kern w:val="0"/>
          <w:sz w:val="20"/>
          <w:szCs w:val="20"/>
          <w:lang w:val="en-US" w:bidi="ar-SA"/>
        </w:rPr>
        <w:t xml:space="preserve"> 2000). Technology adoption and performance were evaluated using standard indices (Yadav </w:t>
      </w:r>
      <w:r w:rsidRPr="001170B5">
        <w:rPr>
          <w:rFonts w:ascii="Arial" w:eastAsia="Times New Roman" w:hAnsi="Arial" w:cs="Arial"/>
          <w:i/>
          <w:iCs/>
          <w:kern w:val="0"/>
          <w:sz w:val="20"/>
          <w:szCs w:val="20"/>
          <w:lang w:val="en-US" w:bidi="ar-SA"/>
        </w:rPr>
        <w:t>et al.,</w:t>
      </w:r>
      <w:r w:rsidRPr="001170B5">
        <w:rPr>
          <w:rFonts w:ascii="Arial" w:eastAsia="Times New Roman" w:hAnsi="Arial" w:cs="Arial"/>
          <w:kern w:val="0"/>
          <w:sz w:val="20"/>
          <w:szCs w:val="20"/>
          <w:lang w:val="en-US" w:bidi="ar-SA"/>
        </w:rPr>
        <w:t xml:space="preserve"> 2004):</w:t>
      </w:r>
    </w:p>
    <w:p w14:paraId="1E27A1B6" w14:textId="77777777" w:rsidR="00AC06C3" w:rsidRPr="001170B5" w:rsidRDefault="00AC06C3" w:rsidP="0042721D">
      <w:pPr>
        <w:pStyle w:val="ListParagraph"/>
        <w:numPr>
          <w:ilvl w:val="0"/>
          <w:numId w:val="2"/>
        </w:numPr>
        <w:spacing w:after="0" w:line="276" w:lineRule="auto"/>
        <w:rPr>
          <w:rFonts w:ascii="Arial" w:eastAsia="Times New Roman" w:hAnsi="Arial" w:cs="Arial"/>
          <w:kern w:val="0"/>
          <w:sz w:val="20"/>
          <w:szCs w:val="20"/>
          <w:lang w:val="en-US" w:bidi="ar-SA"/>
        </w:rPr>
      </w:pPr>
      <w:r w:rsidRPr="001170B5">
        <w:rPr>
          <w:rFonts w:ascii="Arial" w:eastAsia="Times New Roman" w:hAnsi="Arial" w:cs="Arial"/>
          <w:kern w:val="0"/>
          <w:sz w:val="20"/>
          <w:szCs w:val="20"/>
          <w:lang w:val="en-US" w:bidi="ar-SA"/>
        </w:rPr>
        <w:t>Technology Gap = Potential Yield – Demonstration Yield</w:t>
      </w:r>
    </w:p>
    <w:p w14:paraId="717385A7" w14:textId="77777777" w:rsidR="00AC06C3" w:rsidRPr="001170B5" w:rsidRDefault="00AC06C3" w:rsidP="0042721D">
      <w:pPr>
        <w:pStyle w:val="ListParagraph"/>
        <w:numPr>
          <w:ilvl w:val="0"/>
          <w:numId w:val="2"/>
        </w:numPr>
        <w:spacing w:after="0" w:line="276" w:lineRule="auto"/>
        <w:rPr>
          <w:rFonts w:ascii="Arial" w:eastAsia="Times New Roman" w:hAnsi="Arial" w:cs="Arial"/>
          <w:kern w:val="0"/>
          <w:sz w:val="20"/>
          <w:szCs w:val="20"/>
          <w:lang w:val="en-US" w:bidi="ar-SA"/>
        </w:rPr>
      </w:pPr>
      <w:r w:rsidRPr="001170B5">
        <w:rPr>
          <w:rFonts w:ascii="Arial" w:eastAsia="Times New Roman" w:hAnsi="Arial" w:cs="Arial"/>
          <w:kern w:val="0"/>
          <w:sz w:val="20"/>
          <w:szCs w:val="20"/>
          <w:lang w:val="en-US" w:bidi="ar-SA"/>
        </w:rPr>
        <w:t>Extension Gap = Demonstration Yield – Farmers’ Yield</w:t>
      </w:r>
    </w:p>
    <w:p w14:paraId="77DB3CE5" w14:textId="77777777" w:rsidR="00AC06C3" w:rsidRPr="001170B5" w:rsidRDefault="00AC06C3" w:rsidP="0042721D">
      <w:pPr>
        <w:pStyle w:val="ListParagraph"/>
        <w:numPr>
          <w:ilvl w:val="0"/>
          <w:numId w:val="2"/>
        </w:numPr>
        <w:spacing w:after="0" w:line="276" w:lineRule="auto"/>
        <w:rPr>
          <w:rFonts w:ascii="Arial" w:eastAsia="Times New Roman" w:hAnsi="Arial" w:cs="Arial"/>
          <w:kern w:val="0"/>
          <w:sz w:val="20"/>
          <w:szCs w:val="20"/>
          <w:lang w:val="en-US" w:bidi="ar-SA"/>
        </w:rPr>
      </w:pPr>
      <w:r w:rsidRPr="001170B5">
        <w:rPr>
          <w:rFonts w:ascii="Arial" w:eastAsia="Times New Roman" w:hAnsi="Arial" w:cs="Arial"/>
          <w:kern w:val="0"/>
          <w:sz w:val="20"/>
          <w:szCs w:val="20"/>
          <w:lang w:val="en-US" w:bidi="ar-SA"/>
        </w:rPr>
        <w:t xml:space="preserve">Technology Index (%) </w:t>
      </w:r>
      <w:r w:rsidR="00090362" w:rsidRPr="001170B5">
        <w:rPr>
          <w:rFonts w:ascii="Arial" w:eastAsia="Times New Roman" w:hAnsi="Arial" w:cs="Arial"/>
          <w:kern w:val="0"/>
          <w:sz w:val="20"/>
          <w:szCs w:val="20"/>
          <w:lang w:val="en-US" w:bidi="ar-SA"/>
        </w:rPr>
        <w:t>= Potential Yield Technology Gap</w:t>
      </w:r>
      <w:r w:rsidRPr="001170B5">
        <w:rPr>
          <w:rFonts w:ascii="Arial" w:eastAsia="Times New Roman" w:hAnsi="Arial" w:cs="Arial"/>
          <w:kern w:val="0"/>
          <w:sz w:val="20"/>
          <w:szCs w:val="20"/>
          <w:lang w:val="en-US" w:bidi="ar-SA"/>
        </w:rPr>
        <w:t>×100</w:t>
      </w:r>
    </w:p>
    <w:p w14:paraId="30BC0651" w14:textId="77777777" w:rsidR="007F6BDD" w:rsidRPr="001170B5" w:rsidRDefault="007F6BDD" w:rsidP="0042721D">
      <w:pPr>
        <w:spacing w:after="0" w:line="276" w:lineRule="auto"/>
        <w:rPr>
          <w:rFonts w:ascii="Arial" w:hAnsi="Arial" w:cs="Arial"/>
          <w:b/>
          <w:bCs/>
          <w:sz w:val="20"/>
          <w:szCs w:val="20"/>
        </w:rPr>
      </w:pPr>
    </w:p>
    <w:p w14:paraId="384B2545" w14:textId="77777777" w:rsidR="00BD5D12" w:rsidRPr="001170B5" w:rsidRDefault="00BD5D12" w:rsidP="0042721D">
      <w:pPr>
        <w:spacing w:after="0" w:line="276" w:lineRule="auto"/>
        <w:rPr>
          <w:rFonts w:ascii="Arial" w:hAnsi="Arial" w:cs="Arial"/>
          <w:b/>
          <w:bCs/>
          <w:sz w:val="20"/>
          <w:szCs w:val="20"/>
        </w:rPr>
      </w:pPr>
      <w:r w:rsidRPr="001170B5">
        <w:rPr>
          <w:rFonts w:ascii="Arial" w:hAnsi="Arial" w:cs="Arial"/>
          <w:b/>
          <w:bCs/>
          <w:sz w:val="20"/>
          <w:szCs w:val="20"/>
        </w:rPr>
        <w:t xml:space="preserve">RESULTS AND DISCUSSION </w:t>
      </w:r>
    </w:p>
    <w:p w14:paraId="35E1ABB9" w14:textId="77777777" w:rsidR="00D36AE0" w:rsidRPr="001170B5" w:rsidRDefault="00B17714" w:rsidP="0042721D">
      <w:pPr>
        <w:spacing w:after="0" w:line="276" w:lineRule="auto"/>
        <w:ind w:firstLine="360"/>
        <w:jc w:val="both"/>
        <w:rPr>
          <w:rFonts w:ascii="Arial" w:hAnsi="Arial" w:cs="Arial"/>
          <w:sz w:val="20"/>
          <w:szCs w:val="20"/>
        </w:rPr>
      </w:pPr>
      <w:r w:rsidRPr="001170B5">
        <w:rPr>
          <w:rFonts w:ascii="Arial" w:hAnsi="Arial" w:cs="Arial"/>
          <w:sz w:val="20"/>
          <w:szCs w:val="20"/>
        </w:rPr>
        <w:t xml:space="preserve">Evaluation </w:t>
      </w:r>
      <w:r w:rsidR="00D36AE0" w:rsidRPr="001170B5">
        <w:rPr>
          <w:rFonts w:ascii="Arial" w:hAnsi="Arial" w:cs="Arial"/>
          <w:sz w:val="20"/>
          <w:szCs w:val="20"/>
        </w:rPr>
        <w:t>of Front-</w:t>
      </w:r>
      <w:r w:rsidR="00233718" w:rsidRPr="001170B5">
        <w:rPr>
          <w:rFonts w:ascii="Arial" w:hAnsi="Arial" w:cs="Arial"/>
          <w:sz w:val="20"/>
          <w:szCs w:val="20"/>
        </w:rPr>
        <w:t>Line Demonstrations (FLDs) incorporating technological packages revealed significant enhancements in green gram grain yield compared to conventional farmer practices ov</w:t>
      </w:r>
      <w:r w:rsidR="007F6BDD" w:rsidRPr="001170B5">
        <w:rPr>
          <w:rFonts w:ascii="Arial" w:hAnsi="Arial" w:cs="Arial"/>
          <w:sz w:val="20"/>
          <w:szCs w:val="20"/>
        </w:rPr>
        <w:t>er two consecutive years (Table-</w:t>
      </w:r>
      <w:r w:rsidR="00233718" w:rsidRPr="001170B5">
        <w:rPr>
          <w:rFonts w:ascii="Arial" w:hAnsi="Arial" w:cs="Arial"/>
          <w:sz w:val="20"/>
          <w:szCs w:val="20"/>
        </w:rPr>
        <w:t xml:space="preserve">1). The adoption of high-yielding varieties, balanced fertilization including micronutrients, and integrated pest/disease management strategies motivated farmers to cultivate green gram under the scientific guidance of KVK, </w:t>
      </w:r>
      <w:proofErr w:type="spellStart"/>
      <w:r w:rsidR="00233718" w:rsidRPr="001170B5">
        <w:rPr>
          <w:rFonts w:ascii="Arial" w:hAnsi="Arial" w:cs="Arial"/>
          <w:sz w:val="20"/>
          <w:szCs w:val="20"/>
        </w:rPr>
        <w:t>Athiyasan</w:t>
      </w:r>
      <w:proofErr w:type="spellEnd"/>
      <w:r w:rsidR="00233718" w:rsidRPr="001170B5">
        <w:rPr>
          <w:rFonts w:ascii="Arial" w:hAnsi="Arial" w:cs="Arial"/>
          <w:sz w:val="20"/>
          <w:szCs w:val="20"/>
        </w:rPr>
        <w:t xml:space="preserve"> </w:t>
      </w:r>
      <w:proofErr w:type="spellStart"/>
      <w:r w:rsidR="00233718" w:rsidRPr="001170B5">
        <w:rPr>
          <w:rFonts w:ascii="Arial" w:hAnsi="Arial" w:cs="Arial"/>
          <w:sz w:val="20"/>
          <w:szCs w:val="20"/>
        </w:rPr>
        <w:t>Nagaur</w:t>
      </w:r>
      <w:proofErr w:type="spellEnd"/>
      <w:r w:rsidR="00233718" w:rsidRPr="001170B5">
        <w:rPr>
          <w:rFonts w:ascii="Arial" w:hAnsi="Arial" w:cs="Arial"/>
          <w:sz w:val="20"/>
          <w:szCs w:val="20"/>
        </w:rPr>
        <w:t>-I. Quantitative data indicated superior root nodulation in demonstration plots versus control plots. Nodule count per plant was high</w:t>
      </w:r>
      <w:r w:rsidR="00D36AE0" w:rsidRPr="001170B5">
        <w:rPr>
          <w:rFonts w:ascii="Arial" w:hAnsi="Arial" w:cs="Arial"/>
          <w:sz w:val="20"/>
          <w:szCs w:val="20"/>
        </w:rPr>
        <w:t xml:space="preserve">er at both 20 days after sowing </w:t>
      </w:r>
      <w:r w:rsidR="00233718" w:rsidRPr="001170B5">
        <w:rPr>
          <w:rFonts w:ascii="Arial" w:hAnsi="Arial" w:cs="Arial"/>
          <w:sz w:val="20"/>
          <w:szCs w:val="20"/>
        </w:rPr>
        <w:t xml:space="preserve">(11.58 &amp; 10.60) and 40 DAS (24.40 &amp; 24.12) in FLD plots across both years. Similarly, nodule dry biomass per plant showed increases at 20 DAS (30.15 &amp; 70.54) and 40 DAS (24.87 &amp; 63.22) in the demonstration plots relative to the farmer practice plots. This improvement in nodulation may stem from enhanced </w:t>
      </w:r>
      <w:proofErr w:type="spellStart"/>
      <w:r w:rsidR="00233718" w:rsidRPr="001170B5">
        <w:rPr>
          <w:rFonts w:ascii="Arial" w:hAnsi="Arial" w:cs="Arial"/>
          <w:sz w:val="20"/>
          <w:szCs w:val="20"/>
        </w:rPr>
        <w:t>rhizobial</w:t>
      </w:r>
      <w:proofErr w:type="spellEnd"/>
      <w:r w:rsidR="00233718" w:rsidRPr="001170B5">
        <w:rPr>
          <w:rFonts w:ascii="Arial" w:hAnsi="Arial" w:cs="Arial"/>
          <w:sz w:val="20"/>
          <w:szCs w:val="20"/>
        </w:rPr>
        <w:t xml:space="preserve"> colonization within the rhizosphere, facilitated by increased micronutrient availability (Meena </w:t>
      </w:r>
      <w:r w:rsidR="00233718" w:rsidRPr="001170B5">
        <w:rPr>
          <w:rFonts w:ascii="Arial" w:hAnsi="Arial" w:cs="Arial"/>
          <w:i/>
          <w:iCs/>
          <w:sz w:val="20"/>
          <w:szCs w:val="20"/>
        </w:rPr>
        <w:t>et al.,</w:t>
      </w:r>
      <w:r w:rsidR="00233718" w:rsidRPr="001170B5">
        <w:rPr>
          <w:rFonts w:ascii="Arial" w:hAnsi="Arial" w:cs="Arial"/>
          <w:sz w:val="20"/>
          <w:szCs w:val="20"/>
        </w:rPr>
        <w:t xml:space="preserve"> 2012). Yield component analysis in 2022-23 showed that variety MH-421 in demonstration plots yielded 9.12 grains/pod, 10.02 cm pod length, 19.28 pods/plant, and a 38.60 g test weight. In 2023-24, variety MH-1142 yielded 7.65 grains/pod, 7.72 cm pod length, 17.27 pods/plant, and a 36.42 g test weight under the demonstration package. </w:t>
      </w:r>
    </w:p>
    <w:p w14:paraId="2D85A203" w14:textId="77777777" w:rsidR="00D36AE0" w:rsidRPr="001170B5" w:rsidRDefault="00233718" w:rsidP="0042721D">
      <w:pPr>
        <w:spacing w:after="0" w:line="276" w:lineRule="auto"/>
        <w:ind w:firstLine="360"/>
        <w:jc w:val="both"/>
        <w:rPr>
          <w:rFonts w:ascii="Arial" w:hAnsi="Arial" w:cs="Arial"/>
          <w:sz w:val="20"/>
          <w:szCs w:val="20"/>
        </w:rPr>
      </w:pPr>
      <w:r w:rsidRPr="001170B5">
        <w:rPr>
          <w:rFonts w:ascii="Arial" w:hAnsi="Arial" w:cs="Arial"/>
          <w:sz w:val="20"/>
          <w:szCs w:val="20"/>
        </w:rPr>
        <w:t xml:space="preserve">These observations are consistent with </w:t>
      </w:r>
      <w:proofErr w:type="spellStart"/>
      <w:r w:rsidRPr="001170B5">
        <w:rPr>
          <w:rFonts w:ascii="Arial" w:hAnsi="Arial" w:cs="Arial"/>
          <w:sz w:val="20"/>
          <w:szCs w:val="20"/>
        </w:rPr>
        <w:t>Saravana</w:t>
      </w:r>
      <w:proofErr w:type="spellEnd"/>
      <w:r w:rsidRPr="001170B5">
        <w:rPr>
          <w:rFonts w:ascii="Arial" w:hAnsi="Arial" w:cs="Arial"/>
          <w:sz w:val="20"/>
          <w:szCs w:val="20"/>
        </w:rPr>
        <w:t xml:space="preserve"> </w:t>
      </w:r>
      <w:proofErr w:type="spellStart"/>
      <w:r w:rsidRPr="001170B5">
        <w:rPr>
          <w:rFonts w:ascii="Arial" w:hAnsi="Arial" w:cs="Arial"/>
          <w:sz w:val="20"/>
          <w:szCs w:val="20"/>
        </w:rPr>
        <w:t>kumar</w:t>
      </w:r>
      <w:proofErr w:type="spellEnd"/>
      <w:r w:rsidRPr="001170B5">
        <w:rPr>
          <w:rFonts w:ascii="Arial" w:hAnsi="Arial" w:cs="Arial"/>
          <w:sz w:val="20"/>
          <w:szCs w:val="20"/>
        </w:rPr>
        <w:t xml:space="preserve"> </w:t>
      </w:r>
      <w:r w:rsidRPr="001170B5">
        <w:rPr>
          <w:rFonts w:ascii="Arial" w:hAnsi="Arial" w:cs="Arial"/>
          <w:i/>
          <w:iCs/>
          <w:sz w:val="20"/>
          <w:szCs w:val="20"/>
        </w:rPr>
        <w:t>et al.</w:t>
      </w:r>
      <w:r w:rsidRPr="001170B5">
        <w:rPr>
          <w:rFonts w:ascii="Arial" w:hAnsi="Arial" w:cs="Arial"/>
          <w:sz w:val="20"/>
          <w:szCs w:val="20"/>
        </w:rPr>
        <w:t xml:space="preserve"> (2021), who noted increased pod numbers over farmer methods. The advantageous effects of micronutrient foliar application on green gram </w:t>
      </w:r>
      <w:proofErr w:type="gramStart"/>
      <w:r w:rsidRPr="001170B5">
        <w:rPr>
          <w:rFonts w:ascii="Arial" w:hAnsi="Arial" w:cs="Arial"/>
          <w:sz w:val="20"/>
          <w:szCs w:val="20"/>
        </w:rPr>
        <w:t>are supported</w:t>
      </w:r>
      <w:proofErr w:type="gramEnd"/>
      <w:r w:rsidRPr="001170B5">
        <w:rPr>
          <w:rFonts w:ascii="Arial" w:hAnsi="Arial" w:cs="Arial"/>
          <w:sz w:val="20"/>
          <w:szCs w:val="20"/>
        </w:rPr>
        <w:t xml:space="preserve"> by previous studies (e.g., Kumawat </w:t>
      </w:r>
      <w:r w:rsidRPr="001170B5">
        <w:rPr>
          <w:rFonts w:ascii="Arial" w:hAnsi="Arial" w:cs="Arial"/>
          <w:i/>
          <w:iCs/>
          <w:sz w:val="20"/>
          <w:szCs w:val="20"/>
        </w:rPr>
        <w:t>et al.,</w:t>
      </w:r>
      <w:r w:rsidRPr="001170B5">
        <w:rPr>
          <w:rFonts w:ascii="Arial" w:hAnsi="Arial" w:cs="Arial"/>
          <w:sz w:val="20"/>
          <w:szCs w:val="20"/>
        </w:rPr>
        <w:t xml:space="preserve"> 2005). Micronutrients likely play a role in improving seed set, thus increasing seeds per pod. </w:t>
      </w:r>
    </w:p>
    <w:p w14:paraId="7AA523B4" w14:textId="77777777" w:rsidR="0042721D" w:rsidRPr="001170B5" w:rsidRDefault="00233718" w:rsidP="0042721D">
      <w:pPr>
        <w:spacing w:after="0" w:line="276" w:lineRule="auto"/>
        <w:ind w:firstLine="360"/>
        <w:jc w:val="both"/>
        <w:rPr>
          <w:rFonts w:ascii="Arial" w:hAnsi="Arial" w:cs="Arial"/>
          <w:sz w:val="20"/>
          <w:szCs w:val="20"/>
        </w:rPr>
      </w:pPr>
      <w:r w:rsidRPr="001170B5">
        <w:rPr>
          <w:rFonts w:ascii="Arial" w:hAnsi="Arial" w:cs="Arial"/>
          <w:sz w:val="20"/>
          <w:szCs w:val="20"/>
        </w:rPr>
        <w:t xml:space="preserve">Enhanced grain weight </w:t>
      </w:r>
      <w:proofErr w:type="gramStart"/>
      <w:r w:rsidRPr="001170B5">
        <w:rPr>
          <w:rFonts w:ascii="Arial" w:hAnsi="Arial" w:cs="Arial"/>
          <w:sz w:val="20"/>
          <w:szCs w:val="20"/>
        </w:rPr>
        <w:t>might be attributed</w:t>
      </w:r>
      <w:proofErr w:type="gramEnd"/>
      <w:r w:rsidRPr="001170B5">
        <w:rPr>
          <w:rFonts w:ascii="Arial" w:hAnsi="Arial" w:cs="Arial"/>
          <w:sz w:val="20"/>
          <w:szCs w:val="20"/>
        </w:rPr>
        <w:t xml:space="preserve"> to the facilitated translocation of photosynthates to developing grains following micronutrient application. Furthermore, a synergistic effect between mic</w:t>
      </w:r>
      <w:r w:rsidR="00D36AE0" w:rsidRPr="001170B5">
        <w:rPr>
          <w:rFonts w:ascii="Arial" w:hAnsi="Arial" w:cs="Arial"/>
          <w:sz w:val="20"/>
          <w:szCs w:val="20"/>
        </w:rPr>
        <w:t xml:space="preserve">ronutrient supplementation and </w:t>
      </w:r>
      <w:proofErr w:type="spellStart"/>
      <w:r w:rsidR="00D36AE0" w:rsidRPr="001170B5">
        <w:rPr>
          <w:rFonts w:ascii="Arial" w:hAnsi="Arial" w:cs="Arial"/>
          <w:sz w:val="20"/>
          <w:szCs w:val="20"/>
        </w:rPr>
        <w:t>r</w:t>
      </w:r>
      <w:r w:rsidRPr="001170B5">
        <w:rPr>
          <w:rFonts w:ascii="Arial" w:hAnsi="Arial" w:cs="Arial"/>
          <w:sz w:val="20"/>
          <w:szCs w:val="20"/>
        </w:rPr>
        <w:t>hizobial</w:t>
      </w:r>
      <w:proofErr w:type="spellEnd"/>
      <w:r w:rsidRPr="001170B5">
        <w:rPr>
          <w:rFonts w:ascii="Arial" w:hAnsi="Arial" w:cs="Arial"/>
          <w:sz w:val="20"/>
          <w:szCs w:val="20"/>
        </w:rPr>
        <w:t xml:space="preserve"> inoculation could potentially enhance nitrogenase activity, thereby boosting nitrogen fixation for improved plant growth and yield components, aligning with findings by Singh </w:t>
      </w:r>
      <w:r w:rsidRPr="001170B5">
        <w:rPr>
          <w:rFonts w:ascii="Arial" w:hAnsi="Arial" w:cs="Arial"/>
          <w:i/>
          <w:iCs/>
          <w:sz w:val="20"/>
          <w:szCs w:val="20"/>
        </w:rPr>
        <w:t>et al.</w:t>
      </w:r>
      <w:r w:rsidRPr="001170B5">
        <w:rPr>
          <w:rFonts w:ascii="Arial" w:hAnsi="Arial" w:cs="Arial"/>
          <w:sz w:val="20"/>
          <w:szCs w:val="20"/>
        </w:rPr>
        <w:t xml:space="preserve"> (2010) and Choudhary </w:t>
      </w:r>
      <w:r w:rsidRPr="001170B5">
        <w:rPr>
          <w:rFonts w:ascii="Arial" w:hAnsi="Arial" w:cs="Arial"/>
          <w:i/>
          <w:iCs/>
          <w:sz w:val="20"/>
          <w:szCs w:val="20"/>
        </w:rPr>
        <w:t>et al.</w:t>
      </w:r>
      <w:r w:rsidRPr="001170B5">
        <w:rPr>
          <w:rFonts w:ascii="Arial" w:hAnsi="Arial" w:cs="Arial"/>
          <w:sz w:val="20"/>
          <w:szCs w:val="20"/>
        </w:rPr>
        <w:t xml:space="preserve"> (2011).</w:t>
      </w:r>
    </w:p>
    <w:p w14:paraId="2C57AFB2" w14:textId="77777777" w:rsidR="00A66194" w:rsidRPr="001170B5" w:rsidRDefault="00A66194" w:rsidP="00A66194">
      <w:pPr>
        <w:spacing w:after="0"/>
        <w:ind w:firstLine="360"/>
        <w:jc w:val="both"/>
        <w:rPr>
          <w:rFonts w:ascii="Arial" w:eastAsia="Times New Roman" w:hAnsi="Arial" w:cs="Arial"/>
          <w:kern w:val="0"/>
          <w:sz w:val="20"/>
          <w:szCs w:val="20"/>
          <w:lang w:val="en-US" w:bidi="ar-SA"/>
        </w:rPr>
      </w:pPr>
      <w:r w:rsidRPr="001170B5">
        <w:rPr>
          <w:rFonts w:ascii="Arial" w:eastAsia="Times New Roman" w:hAnsi="Arial" w:cs="Arial"/>
          <w:kern w:val="0"/>
          <w:sz w:val="20"/>
          <w:szCs w:val="20"/>
          <w:lang w:val="en-US" w:bidi="ar-SA"/>
        </w:rPr>
        <w:lastRenderedPageBreak/>
        <w:t xml:space="preserve">Green gram grain yields under demonstration plots were 10.30 and 9.94 q/ha across the two implementation years, respectively, while yields under farmers' tactics were 7.89 and 7.99 q/ha (Table 1). As compared to the local check, the grain yield in the demonstration plots increased by 31.09% and 24.58% in the two years in question. </w:t>
      </w:r>
      <w:proofErr w:type="gramStart"/>
      <w:r w:rsidRPr="001170B5">
        <w:rPr>
          <w:rFonts w:ascii="Arial" w:eastAsia="Times New Roman" w:hAnsi="Arial" w:cs="Arial"/>
          <w:kern w:val="0"/>
          <w:sz w:val="20"/>
          <w:szCs w:val="20"/>
          <w:lang w:val="en-US" w:bidi="ar-SA"/>
        </w:rPr>
        <w:t xml:space="preserve">Significant increases in yield brought about by technological interventions have been reported by Jain (2016), Kumar </w:t>
      </w:r>
      <w:r w:rsidRPr="001170B5">
        <w:rPr>
          <w:rFonts w:ascii="Arial" w:eastAsia="Times New Roman" w:hAnsi="Arial" w:cs="Arial"/>
          <w:i/>
          <w:iCs/>
          <w:kern w:val="0"/>
          <w:sz w:val="20"/>
          <w:szCs w:val="20"/>
          <w:lang w:val="en-US" w:bidi="ar-SA"/>
        </w:rPr>
        <w:t>et al.</w:t>
      </w:r>
      <w:r w:rsidRPr="001170B5">
        <w:rPr>
          <w:rFonts w:ascii="Arial" w:eastAsia="Times New Roman" w:hAnsi="Arial" w:cs="Arial"/>
          <w:kern w:val="0"/>
          <w:sz w:val="20"/>
          <w:szCs w:val="20"/>
          <w:lang w:val="en-US" w:bidi="ar-SA"/>
        </w:rPr>
        <w:t xml:space="preserve"> (2018), Sandhu and Dhaliwal (2016), and Nain </w:t>
      </w:r>
      <w:r w:rsidRPr="001170B5">
        <w:rPr>
          <w:rFonts w:ascii="Arial" w:eastAsia="Times New Roman" w:hAnsi="Arial" w:cs="Arial"/>
          <w:i/>
          <w:iCs/>
          <w:kern w:val="0"/>
          <w:sz w:val="20"/>
          <w:szCs w:val="20"/>
          <w:lang w:val="en-US" w:bidi="ar-SA"/>
        </w:rPr>
        <w:t>et al.</w:t>
      </w:r>
      <w:r w:rsidRPr="001170B5">
        <w:rPr>
          <w:rFonts w:ascii="Arial" w:eastAsia="Times New Roman" w:hAnsi="Arial" w:cs="Arial"/>
          <w:kern w:val="0"/>
          <w:sz w:val="20"/>
          <w:szCs w:val="20"/>
          <w:lang w:val="en-US" w:bidi="ar-SA"/>
        </w:rPr>
        <w:t xml:space="preserve"> (2014)</w:t>
      </w:r>
      <w:proofErr w:type="gramEnd"/>
      <w:r w:rsidRPr="001170B5">
        <w:rPr>
          <w:rFonts w:ascii="Arial" w:eastAsia="Times New Roman" w:hAnsi="Arial" w:cs="Arial"/>
          <w:kern w:val="0"/>
          <w:sz w:val="20"/>
          <w:szCs w:val="20"/>
          <w:lang w:val="en-US" w:bidi="ar-SA"/>
        </w:rPr>
        <w:t xml:space="preserve">. Improved agronomic interventions, such as seed treatment, the most effective sowing time and technique, balanced nutrient management, including fertilizer application techniques, and comprehensive pest and disease control strategies, </w:t>
      </w:r>
      <w:proofErr w:type="gramStart"/>
      <w:r w:rsidRPr="001170B5">
        <w:rPr>
          <w:rFonts w:ascii="Arial" w:eastAsia="Times New Roman" w:hAnsi="Arial" w:cs="Arial"/>
          <w:kern w:val="0"/>
          <w:sz w:val="20"/>
          <w:szCs w:val="20"/>
          <w:lang w:val="en-US" w:bidi="ar-SA"/>
        </w:rPr>
        <w:t>are largely held</w:t>
      </w:r>
      <w:proofErr w:type="gramEnd"/>
      <w:r w:rsidRPr="001170B5">
        <w:rPr>
          <w:rFonts w:ascii="Arial" w:eastAsia="Times New Roman" w:hAnsi="Arial" w:cs="Arial"/>
          <w:kern w:val="0"/>
          <w:sz w:val="20"/>
          <w:szCs w:val="20"/>
          <w:lang w:val="en-US" w:bidi="ar-SA"/>
        </w:rPr>
        <w:t xml:space="preserve"> accountable for the observed yield differences between the demonstration and traditional practices.</w:t>
      </w:r>
    </w:p>
    <w:p w14:paraId="6870BBA2" w14:textId="57688719" w:rsidR="00E969F7" w:rsidRPr="001170B5" w:rsidRDefault="00E969F7" w:rsidP="00A66194">
      <w:pPr>
        <w:spacing w:after="0"/>
        <w:ind w:firstLine="360"/>
        <w:jc w:val="both"/>
        <w:rPr>
          <w:rFonts w:ascii="Arial" w:hAnsi="Arial" w:cs="Arial"/>
          <w:noProof/>
          <w:sz w:val="20"/>
          <w:szCs w:val="20"/>
        </w:rPr>
      </w:pPr>
      <w:r w:rsidRPr="001170B5">
        <w:rPr>
          <w:rFonts w:ascii="Arial" w:hAnsi="Arial" w:cs="Arial"/>
          <w:noProof/>
          <w:sz w:val="20"/>
          <w:szCs w:val="20"/>
          <w:lang w:val="en-US" w:bidi="ar-SA"/>
        </w:rPr>
        <w:drawing>
          <wp:inline distT="0" distB="0" distL="0" distR="0" wp14:anchorId="56686CE3" wp14:editId="3331CE78">
            <wp:extent cx="2524760" cy="1355725"/>
            <wp:effectExtent l="19050" t="19050" r="8890" b="0"/>
            <wp:docPr id="20" name="Picture 19">
              <a:extLst xmlns:a="http://schemas.openxmlformats.org/drawingml/2006/main">
                <a:ext uri="{FF2B5EF4-FFF2-40B4-BE49-F238E27FC236}">
                  <a16:creationId xmlns:a16="http://schemas.microsoft.com/office/drawing/2014/main" id="{F657B0FE-857D-9329-88DC-9119FE202E5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F657B0FE-857D-9329-88DC-9119FE202E59}"/>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6500" r="8198" b="28245"/>
                    <a:stretch/>
                  </pic:blipFill>
                  <pic:spPr bwMode="auto">
                    <a:xfrm>
                      <a:off x="0" y="0"/>
                      <a:ext cx="2524760" cy="135572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1170B5">
        <w:rPr>
          <w:rFonts w:ascii="Arial" w:hAnsi="Arial" w:cs="Arial"/>
          <w:noProof/>
          <w:sz w:val="20"/>
          <w:szCs w:val="20"/>
        </w:rPr>
        <w:t xml:space="preserve"> </w:t>
      </w:r>
      <w:r w:rsidRPr="001170B5">
        <w:rPr>
          <w:rFonts w:ascii="Arial" w:hAnsi="Arial" w:cs="Arial"/>
          <w:noProof/>
          <w:sz w:val="20"/>
          <w:szCs w:val="20"/>
          <w:lang w:val="en-US" w:bidi="ar-SA"/>
        </w:rPr>
        <w:drawing>
          <wp:inline distT="0" distB="0" distL="0" distR="0" wp14:anchorId="54663658" wp14:editId="77C1C322">
            <wp:extent cx="2679065" cy="1337310"/>
            <wp:effectExtent l="19050" t="19050" r="6985" b="0"/>
            <wp:docPr id="1198290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0150" name="Picture 1"/>
                    <pic:cNvPicPr>
                      <a:picLocks noChangeAspect="1"/>
                    </pic:cNvPicPr>
                  </pic:nvPicPr>
                  <pic:blipFill rotWithShape="1">
                    <a:blip r:embed="rId6" cstate="print">
                      <a:extLst>
                        <a:ext uri="{28A0092B-C50C-407E-A947-70E740481C1C}">
                          <a14:useLocalDpi xmlns:a14="http://schemas.microsoft.com/office/drawing/2010/main" val="0"/>
                        </a:ext>
                      </a:extLst>
                    </a:blip>
                    <a:srcRect t="10286" b="27272"/>
                    <a:stretch/>
                  </pic:blipFill>
                  <pic:spPr bwMode="auto">
                    <a:xfrm>
                      <a:off x="0" y="0"/>
                      <a:ext cx="2679065" cy="133731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B8AB466" w14:textId="1AA5B8AC" w:rsidR="00E969F7" w:rsidRPr="001170B5" w:rsidRDefault="00E969F7" w:rsidP="00E969F7">
      <w:pPr>
        <w:spacing w:after="0"/>
        <w:ind w:firstLine="360"/>
        <w:jc w:val="center"/>
        <w:rPr>
          <w:rFonts w:ascii="Arial" w:eastAsia="Times New Roman" w:hAnsi="Arial" w:cs="Arial"/>
          <w:kern w:val="0"/>
          <w:sz w:val="20"/>
          <w:szCs w:val="20"/>
          <w:lang w:val="en-US" w:bidi="ar-SA"/>
        </w:rPr>
      </w:pPr>
      <w:r w:rsidRPr="001170B5">
        <w:rPr>
          <w:rFonts w:ascii="Arial" w:eastAsia="Times New Roman" w:hAnsi="Arial" w:cs="Arial"/>
          <w:kern w:val="0"/>
          <w:sz w:val="20"/>
          <w:szCs w:val="20"/>
          <w:lang w:val="en-US" w:bidi="ar-SA"/>
        </w:rPr>
        <w:t xml:space="preserve">Pic 1. </w:t>
      </w:r>
      <w:proofErr w:type="gramStart"/>
      <w:r w:rsidRPr="001170B5">
        <w:rPr>
          <w:rFonts w:ascii="Arial" w:eastAsia="Times New Roman" w:hAnsi="Arial" w:cs="Arial"/>
          <w:kern w:val="0"/>
          <w:sz w:val="20"/>
          <w:szCs w:val="20"/>
          <w:lang w:val="en-US" w:bidi="ar-SA"/>
        </w:rPr>
        <w:t>Field work</w:t>
      </w:r>
      <w:proofErr w:type="gramEnd"/>
    </w:p>
    <w:p w14:paraId="7CC87DAA" w14:textId="77777777" w:rsidR="00E969F7" w:rsidRPr="001170B5" w:rsidRDefault="00E969F7" w:rsidP="00A66194">
      <w:pPr>
        <w:spacing w:after="0"/>
        <w:ind w:firstLine="360"/>
        <w:jc w:val="both"/>
        <w:rPr>
          <w:rFonts w:ascii="Arial" w:eastAsia="Times New Roman" w:hAnsi="Arial" w:cs="Arial"/>
          <w:kern w:val="0"/>
          <w:sz w:val="20"/>
          <w:szCs w:val="20"/>
          <w:lang w:val="en-US" w:bidi="ar-SA"/>
        </w:rPr>
      </w:pPr>
    </w:p>
    <w:p w14:paraId="3AFC0A85" w14:textId="77777777" w:rsidR="005708E6" w:rsidRPr="001170B5" w:rsidRDefault="005708E6" w:rsidP="00A66194">
      <w:pPr>
        <w:spacing w:after="0"/>
        <w:ind w:firstLine="360"/>
        <w:jc w:val="both"/>
        <w:rPr>
          <w:rFonts w:ascii="Arial" w:hAnsi="Arial" w:cs="Arial"/>
          <w:sz w:val="20"/>
          <w:szCs w:val="20"/>
        </w:rPr>
      </w:pPr>
      <w:r w:rsidRPr="001170B5">
        <w:rPr>
          <w:rFonts w:ascii="Arial" w:hAnsi="Arial" w:cs="Arial"/>
          <w:sz w:val="20"/>
          <w:szCs w:val="20"/>
        </w:rPr>
        <w:t>The technology gap was recorded as 7.25 q/ha i</w:t>
      </w:r>
      <w:r w:rsidR="0042721D" w:rsidRPr="001170B5">
        <w:rPr>
          <w:rFonts w:ascii="Arial" w:hAnsi="Arial" w:cs="Arial"/>
          <w:sz w:val="20"/>
          <w:szCs w:val="20"/>
        </w:rPr>
        <w:t>n 2022-23 and 8.00 q/ha in 2023-</w:t>
      </w:r>
      <w:r w:rsidRPr="001170B5">
        <w:rPr>
          <w:rFonts w:ascii="Arial" w:hAnsi="Arial" w:cs="Arial"/>
          <w:sz w:val="20"/>
          <w:szCs w:val="20"/>
        </w:rPr>
        <w:t xml:space="preserve">24. This gap </w:t>
      </w:r>
      <w:proofErr w:type="gramStart"/>
      <w:r w:rsidRPr="001170B5">
        <w:rPr>
          <w:rFonts w:ascii="Arial" w:hAnsi="Arial" w:cs="Arial"/>
          <w:sz w:val="20"/>
          <w:szCs w:val="20"/>
        </w:rPr>
        <w:t>may be attributed</w:t>
      </w:r>
      <w:proofErr w:type="gramEnd"/>
      <w:r w:rsidRPr="001170B5">
        <w:rPr>
          <w:rFonts w:ascii="Arial" w:hAnsi="Arial" w:cs="Arial"/>
          <w:sz w:val="20"/>
          <w:szCs w:val="20"/>
        </w:rPr>
        <w:t xml:space="preserve"> to several limiting factors, including variations in soil fertility status, low soil moisture availability, untimely sowing, and unfavourable climatic events. To bridge this yield gap, it is imperative to implement location-specific strategies involving selection of suitable varieties, site-specific nutrient management through soil testing, and timely sowi</w:t>
      </w:r>
      <w:r w:rsidR="0042721D" w:rsidRPr="001170B5">
        <w:rPr>
          <w:rFonts w:ascii="Arial" w:hAnsi="Arial" w:cs="Arial"/>
          <w:sz w:val="20"/>
          <w:szCs w:val="20"/>
        </w:rPr>
        <w:t>ng practices. The extension gap-</w:t>
      </w:r>
      <w:r w:rsidRPr="001170B5">
        <w:rPr>
          <w:rFonts w:ascii="Arial" w:hAnsi="Arial" w:cs="Arial"/>
          <w:sz w:val="20"/>
          <w:szCs w:val="20"/>
        </w:rPr>
        <w:t>indicative of the difference in yield between demon</w:t>
      </w:r>
      <w:r w:rsidR="00B17714" w:rsidRPr="001170B5">
        <w:rPr>
          <w:rFonts w:ascii="Arial" w:hAnsi="Arial" w:cs="Arial"/>
          <w:sz w:val="20"/>
          <w:szCs w:val="20"/>
        </w:rPr>
        <w:t xml:space="preserve">stration and farmers’ practices </w:t>
      </w:r>
      <w:r w:rsidR="0042721D" w:rsidRPr="001170B5">
        <w:rPr>
          <w:rFonts w:ascii="Arial" w:hAnsi="Arial" w:cs="Arial"/>
          <w:sz w:val="20"/>
          <w:szCs w:val="20"/>
        </w:rPr>
        <w:t>was 2.35 q/ha in 2022-23 and 1.77 q/ha in 2023-</w:t>
      </w:r>
      <w:r w:rsidRPr="001170B5">
        <w:rPr>
          <w:rFonts w:ascii="Arial" w:hAnsi="Arial" w:cs="Arial"/>
          <w:sz w:val="20"/>
          <w:szCs w:val="20"/>
        </w:rPr>
        <w:t xml:space="preserve">24. This substantial extension gap underscores the necessity of disseminating improved technologies to a broader farming community. </w:t>
      </w:r>
      <w:proofErr w:type="gramStart"/>
      <w:r w:rsidRPr="001170B5">
        <w:rPr>
          <w:rFonts w:ascii="Arial" w:hAnsi="Arial" w:cs="Arial"/>
          <w:sz w:val="20"/>
          <w:szCs w:val="20"/>
        </w:rPr>
        <w:t xml:space="preserve">Similar observations were reported by Raj </w:t>
      </w:r>
      <w:r w:rsidRPr="001170B5">
        <w:rPr>
          <w:rFonts w:ascii="Arial" w:hAnsi="Arial" w:cs="Arial"/>
          <w:i/>
          <w:iCs/>
          <w:sz w:val="20"/>
          <w:szCs w:val="20"/>
        </w:rPr>
        <w:t>et al.</w:t>
      </w:r>
      <w:r w:rsidR="0042721D" w:rsidRPr="001170B5">
        <w:rPr>
          <w:rFonts w:ascii="Arial" w:hAnsi="Arial" w:cs="Arial"/>
          <w:sz w:val="20"/>
          <w:szCs w:val="20"/>
        </w:rPr>
        <w:t>,</w:t>
      </w:r>
      <w:r w:rsidRPr="001170B5">
        <w:rPr>
          <w:rFonts w:ascii="Arial" w:hAnsi="Arial" w:cs="Arial"/>
          <w:sz w:val="20"/>
          <w:szCs w:val="20"/>
        </w:rPr>
        <w:t xml:space="preserve"> (2013), Jain (2016), and </w:t>
      </w:r>
      <w:proofErr w:type="spellStart"/>
      <w:r w:rsidRPr="001170B5">
        <w:rPr>
          <w:rFonts w:ascii="Arial" w:hAnsi="Arial" w:cs="Arial"/>
          <w:sz w:val="20"/>
          <w:szCs w:val="20"/>
        </w:rPr>
        <w:t>Kushwah</w:t>
      </w:r>
      <w:proofErr w:type="spellEnd"/>
      <w:r w:rsidRPr="001170B5">
        <w:rPr>
          <w:rFonts w:ascii="Arial" w:hAnsi="Arial" w:cs="Arial"/>
          <w:sz w:val="20"/>
          <w:szCs w:val="20"/>
        </w:rPr>
        <w:t xml:space="preserve"> </w:t>
      </w:r>
      <w:r w:rsidRPr="001170B5">
        <w:rPr>
          <w:rFonts w:ascii="Arial" w:hAnsi="Arial" w:cs="Arial"/>
          <w:i/>
          <w:iCs/>
          <w:sz w:val="20"/>
          <w:szCs w:val="20"/>
        </w:rPr>
        <w:t>et al.</w:t>
      </w:r>
      <w:r w:rsidR="0042721D" w:rsidRPr="001170B5">
        <w:rPr>
          <w:rFonts w:ascii="Arial" w:hAnsi="Arial" w:cs="Arial"/>
          <w:i/>
          <w:iCs/>
          <w:sz w:val="20"/>
          <w:szCs w:val="20"/>
        </w:rPr>
        <w:t>,</w:t>
      </w:r>
      <w:r w:rsidRPr="001170B5">
        <w:rPr>
          <w:rFonts w:ascii="Arial" w:hAnsi="Arial" w:cs="Arial"/>
          <w:sz w:val="20"/>
          <w:szCs w:val="20"/>
        </w:rPr>
        <w:t xml:space="preserve"> (2016)</w:t>
      </w:r>
      <w:proofErr w:type="gramEnd"/>
      <w:r w:rsidRPr="001170B5">
        <w:rPr>
          <w:rFonts w:ascii="Arial" w:hAnsi="Arial" w:cs="Arial"/>
          <w:sz w:val="20"/>
          <w:szCs w:val="20"/>
        </w:rPr>
        <w:t xml:space="preserve">. The technology index, which reflects the feasibility of improved varieties under real field conditions, </w:t>
      </w:r>
      <w:proofErr w:type="gramStart"/>
      <w:r w:rsidRPr="001170B5">
        <w:rPr>
          <w:rFonts w:ascii="Arial" w:hAnsi="Arial" w:cs="Arial"/>
          <w:sz w:val="20"/>
          <w:szCs w:val="20"/>
        </w:rPr>
        <w:t>was calculated</w:t>
      </w:r>
      <w:proofErr w:type="gramEnd"/>
      <w:r w:rsidRPr="001170B5">
        <w:rPr>
          <w:rFonts w:ascii="Arial" w:hAnsi="Arial" w:cs="Arial"/>
          <w:sz w:val="20"/>
          <w:szCs w:val="20"/>
        </w:rPr>
        <w:t xml:space="preserve"> at 39.19</w:t>
      </w:r>
      <w:r w:rsidR="0042721D" w:rsidRPr="001170B5">
        <w:rPr>
          <w:rFonts w:ascii="Arial" w:hAnsi="Arial" w:cs="Arial"/>
          <w:sz w:val="20"/>
          <w:szCs w:val="20"/>
        </w:rPr>
        <w:t>% in 2022–23 and 43.24% in 2023-</w:t>
      </w:r>
      <w:r w:rsidRPr="001170B5">
        <w:rPr>
          <w:rFonts w:ascii="Arial" w:hAnsi="Arial" w:cs="Arial"/>
          <w:sz w:val="20"/>
          <w:szCs w:val="20"/>
        </w:rPr>
        <w:t xml:space="preserve">24. These results align with the findings of Kumbhare </w:t>
      </w:r>
      <w:r w:rsidRPr="001170B5">
        <w:rPr>
          <w:rFonts w:ascii="Arial" w:hAnsi="Arial" w:cs="Arial"/>
          <w:i/>
          <w:iCs/>
          <w:sz w:val="20"/>
          <w:szCs w:val="20"/>
        </w:rPr>
        <w:t>et al.</w:t>
      </w:r>
      <w:r w:rsidRPr="001170B5">
        <w:rPr>
          <w:rFonts w:ascii="Arial" w:hAnsi="Arial" w:cs="Arial"/>
          <w:sz w:val="20"/>
          <w:szCs w:val="20"/>
        </w:rPr>
        <w:t xml:space="preserve"> (2014), Bar and Das (2015), Sandhu </w:t>
      </w:r>
      <w:r w:rsidRPr="001170B5">
        <w:rPr>
          <w:rFonts w:ascii="Arial" w:hAnsi="Arial" w:cs="Arial"/>
          <w:i/>
          <w:iCs/>
          <w:sz w:val="20"/>
          <w:szCs w:val="20"/>
        </w:rPr>
        <w:t>et al.</w:t>
      </w:r>
      <w:r w:rsidRPr="001170B5">
        <w:rPr>
          <w:rFonts w:ascii="Arial" w:hAnsi="Arial" w:cs="Arial"/>
          <w:sz w:val="20"/>
          <w:szCs w:val="20"/>
        </w:rPr>
        <w:t xml:space="preserve"> (2016), and Anuratha </w:t>
      </w:r>
      <w:r w:rsidRPr="001170B5">
        <w:rPr>
          <w:rFonts w:ascii="Arial" w:hAnsi="Arial" w:cs="Arial"/>
          <w:i/>
          <w:iCs/>
          <w:sz w:val="20"/>
          <w:szCs w:val="20"/>
        </w:rPr>
        <w:t>et al.</w:t>
      </w:r>
      <w:r w:rsidRPr="001170B5">
        <w:rPr>
          <w:rFonts w:ascii="Arial" w:hAnsi="Arial" w:cs="Arial"/>
          <w:sz w:val="20"/>
          <w:szCs w:val="20"/>
        </w:rPr>
        <w:t xml:space="preserve"> (2019), indicating the relevance of the demonstrated technologies in bridging the existing yield potential under farmers’ field conditions.</w:t>
      </w:r>
    </w:p>
    <w:p w14:paraId="722C5566" w14:textId="77777777" w:rsidR="008C7B4B" w:rsidRPr="001170B5" w:rsidRDefault="008C7B4B" w:rsidP="0042721D">
      <w:pPr>
        <w:spacing w:after="0"/>
        <w:ind w:left="720" w:hanging="720"/>
        <w:jc w:val="both"/>
        <w:rPr>
          <w:rFonts w:ascii="Arial" w:hAnsi="Arial" w:cs="Arial"/>
          <w:b/>
          <w:bCs/>
          <w:sz w:val="20"/>
          <w:szCs w:val="20"/>
        </w:rPr>
      </w:pPr>
      <w:r w:rsidRPr="001170B5">
        <w:rPr>
          <w:rFonts w:ascii="Arial" w:hAnsi="Arial" w:cs="Arial"/>
          <w:b/>
          <w:bCs/>
          <w:sz w:val="20"/>
          <w:szCs w:val="20"/>
        </w:rPr>
        <w:t>Table 1. Yield, technology gap, extension gap and technology index of green gram cultivation</w:t>
      </w:r>
    </w:p>
    <w:tbl>
      <w:tblPr>
        <w:tblStyle w:val="TableGrid"/>
        <w:tblW w:w="0" w:type="auto"/>
        <w:tblLook w:val="04A0" w:firstRow="1" w:lastRow="0" w:firstColumn="1" w:lastColumn="0" w:noHBand="0" w:noVBand="1"/>
      </w:tblPr>
      <w:tblGrid>
        <w:gridCol w:w="529"/>
        <w:gridCol w:w="664"/>
        <w:gridCol w:w="617"/>
        <w:gridCol w:w="542"/>
        <w:gridCol w:w="732"/>
        <w:gridCol w:w="522"/>
        <w:gridCol w:w="454"/>
        <w:gridCol w:w="522"/>
        <w:gridCol w:w="454"/>
        <w:gridCol w:w="454"/>
        <w:gridCol w:w="454"/>
        <w:gridCol w:w="712"/>
        <w:gridCol w:w="893"/>
        <w:gridCol w:w="800"/>
        <w:gridCol w:w="893"/>
      </w:tblGrid>
      <w:tr w:rsidR="00FB4037" w:rsidRPr="001170B5" w14:paraId="5B589C9D" w14:textId="77777777" w:rsidTr="0095002B">
        <w:tc>
          <w:tcPr>
            <w:tcW w:w="534" w:type="dxa"/>
            <w:vMerge w:val="restart"/>
          </w:tcPr>
          <w:p w14:paraId="29D51607"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Year</w:t>
            </w:r>
          </w:p>
        </w:tc>
        <w:tc>
          <w:tcPr>
            <w:tcW w:w="632" w:type="dxa"/>
            <w:vMerge w:val="restart"/>
          </w:tcPr>
          <w:p w14:paraId="6EBADAA4"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No. of farmers</w:t>
            </w:r>
          </w:p>
        </w:tc>
        <w:tc>
          <w:tcPr>
            <w:tcW w:w="610" w:type="dxa"/>
            <w:vMerge w:val="restart"/>
          </w:tcPr>
          <w:p w14:paraId="1162A617"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Variety</w:t>
            </w:r>
          </w:p>
        </w:tc>
        <w:tc>
          <w:tcPr>
            <w:tcW w:w="519" w:type="dxa"/>
            <w:vMerge w:val="restart"/>
          </w:tcPr>
          <w:p w14:paraId="108A7209"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No. of demo</w:t>
            </w:r>
          </w:p>
        </w:tc>
        <w:tc>
          <w:tcPr>
            <w:tcW w:w="535" w:type="dxa"/>
            <w:vMerge w:val="restart"/>
          </w:tcPr>
          <w:p w14:paraId="2A458728"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Potential yield (q/ha)</w:t>
            </w:r>
          </w:p>
        </w:tc>
        <w:tc>
          <w:tcPr>
            <w:tcW w:w="3044" w:type="dxa"/>
            <w:gridSpan w:val="6"/>
          </w:tcPr>
          <w:p w14:paraId="485ED2BC"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Yield (q/ha)</w:t>
            </w:r>
          </w:p>
        </w:tc>
        <w:tc>
          <w:tcPr>
            <w:tcW w:w="663" w:type="dxa"/>
            <w:vMerge w:val="restart"/>
          </w:tcPr>
          <w:p w14:paraId="78C761E4"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Yield increase (%)</w:t>
            </w:r>
          </w:p>
        </w:tc>
        <w:tc>
          <w:tcPr>
            <w:tcW w:w="859" w:type="dxa"/>
            <w:vMerge w:val="restart"/>
          </w:tcPr>
          <w:p w14:paraId="140361BD"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Technology gap (q/ha)</w:t>
            </w:r>
          </w:p>
        </w:tc>
        <w:tc>
          <w:tcPr>
            <w:tcW w:w="761" w:type="dxa"/>
            <w:vMerge w:val="restart"/>
          </w:tcPr>
          <w:p w14:paraId="60C95784"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Extension gap (q/ha)</w:t>
            </w:r>
          </w:p>
        </w:tc>
        <w:tc>
          <w:tcPr>
            <w:tcW w:w="859" w:type="dxa"/>
            <w:vMerge w:val="restart"/>
          </w:tcPr>
          <w:p w14:paraId="272F4436"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Technology index (%)</w:t>
            </w:r>
          </w:p>
        </w:tc>
      </w:tr>
      <w:tr w:rsidR="006B62BB" w:rsidRPr="001170B5" w14:paraId="5DF7DAA0" w14:textId="77777777" w:rsidTr="0095002B">
        <w:tc>
          <w:tcPr>
            <w:tcW w:w="534" w:type="dxa"/>
            <w:vMerge/>
          </w:tcPr>
          <w:p w14:paraId="717D1A6F" w14:textId="77777777" w:rsidR="00FB4037" w:rsidRPr="001170B5" w:rsidRDefault="00FB4037" w:rsidP="00DB4A05">
            <w:pPr>
              <w:jc w:val="both"/>
              <w:rPr>
                <w:rFonts w:ascii="Arial" w:hAnsi="Arial" w:cs="Arial"/>
                <w:sz w:val="20"/>
                <w:szCs w:val="20"/>
              </w:rPr>
            </w:pPr>
          </w:p>
        </w:tc>
        <w:tc>
          <w:tcPr>
            <w:tcW w:w="632" w:type="dxa"/>
            <w:vMerge/>
          </w:tcPr>
          <w:p w14:paraId="676C07A3" w14:textId="77777777" w:rsidR="00FB4037" w:rsidRPr="001170B5" w:rsidRDefault="00FB4037" w:rsidP="00DB4A05">
            <w:pPr>
              <w:jc w:val="both"/>
              <w:rPr>
                <w:rFonts w:ascii="Arial" w:hAnsi="Arial" w:cs="Arial"/>
                <w:sz w:val="20"/>
                <w:szCs w:val="20"/>
              </w:rPr>
            </w:pPr>
          </w:p>
        </w:tc>
        <w:tc>
          <w:tcPr>
            <w:tcW w:w="610" w:type="dxa"/>
            <w:vMerge/>
          </w:tcPr>
          <w:p w14:paraId="366DE709" w14:textId="77777777" w:rsidR="00FB4037" w:rsidRPr="001170B5" w:rsidRDefault="00FB4037" w:rsidP="00DB4A05">
            <w:pPr>
              <w:jc w:val="both"/>
              <w:rPr>
                <w:rFonts w:ascii="Arial" w:hAnsi="Arial" w:cs="Arial"/>
                <w:sz w:val="20"/>
                <w:szCs w:val="20"/>
              </w:rPr>
            </w:pPr>
          </w:p>
        </w:tc>
        <w:tc>
          <w:tcPr>
            <w:tcW w:w="519" w:type="dxa"/>
            <w:vMerge/>
          </w:tcPr>
          <w:p w14:paraId="3145108C" w14:textId="77777777" w:rsidR="00FB4037" w:rsidRPr="001170B5" w:rsidRDefault="00FB4037" w:rsidP="00DB4A05">
            <w:pPr>
              <w:jc w:val="both"/>
              <w:rPr>
                <w:rFonts w:ascii="Arial" w:hAnsi="Arial" w:cs="Arial"/>
                <w:sz w:val="20"/>
                <w:szCs w:val="20"/>
              </w:rPr>
            </w:pPr>
          </w:p>
        </w:tc>
        <w:tc>
          <w:tcPr>
            <w:tcW w:w="535" w:type="dxa"/>
            <w:vMerge/>
          </w:tcPr>
          <w:p w14:paraId="4198A140" w14:textId="77777777" w:rsidR="00FB4037" w:rsidRPr="001170B5" w:rsidRDefault="00FB4037" w:rsidP="00DB4A05">
            <w:pPr>
              <w:jc w:val="both"/>
              <w:rPr>
                <w:rFonts w:ascii="Arial" w:hAnsi="Arial" w:cs="Arial"/>
                <w:sz w:val="20"/>
                <w:szCs w:val="20"/>
              </w:rPr>
            </w:pPr>
          </w:p>
        </w:tc>
        <w:tc>
          <w:tcPr>
            <w:tcW w:w="1667" w:type="dxa"/>
            <w:gridSpan w:val="3"/>
          </w:tcPr>
          <w:p w14:paraId="176EFEA7"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Demonstration</w:t>
            </w:r>
          </w:p>
        </w:tc>
        <w:tc>
          <w:tcPr>
            <w:tcW w:w="1377" w:type="dxa"/>
            <w:gridSpan w:val="3"/>
          </w:tcPr>
          <w:p w14:paraId="182BFD73"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Check</w:t>
            </w:r>
          </w:p>
        </w:tc>
        <w:tc>
          <w:tcPr>
            <w:tcW w:w="663" w:type="dxa"/>
            <w:vMerge/>
          </w:tcPr>
          <w:p w14:paraId="6AA6E1C4" w14:textId="77777777" w:rsidR="00FB4037" w:rsidRPr="001170B5" w:rsidRDefault="00FB4037" w:rsidP="00DB4A05">
            <w:pPr>
              <w:jc w:val="both"/>
              <w:rPr>
                <w:rFonts w:ascii="Arial" w:hAnsi="Arial" w:cs="Arial"/>
                <w:sz w:val="20"/>
                <w:szCs w:val="20"/>
              </w:rPr>
            </w:pPr>
          </w:p>
        </w:tc>
        <w:tc>
          <w:tcPr>
            <w:tcW w:w="859" w:type="dxa"/>
            <w:vMerge/>
          </w:tcPr>
          <w:p w14:paraId="1F3016DD" w14:textId="77777777" w:rsidR="00FB4037" w:rsidRPr="001170B5" w:rsidRDefault="00FB4037" w:rsidP="00DB4A05">
            <w:pPr>
              <w:jc w:val="both"/>
              <w:rPr>
                <w:rFonts w:ascii="Arial" w:hAnsi="Arial" w:cs="Arial"/>
                <w:sz w:val="20"/>
                <w:szCs w:val="20"/>
              </w:rPr>
            </w:pPr>
          </w:p>
        </w:tc>
        <w:tc>
          <w:tcPr>
            <w:tcW w:w="761" w:type="dxa"/>
            <w:vMerge/>
          </w:tcPr>
          <w:p w14:paraId="12E9DD07" w14:textId="77777777" w:rsidR="00FB4037" w:rsidRPr="001170B5" w:rsidRDefault="00FB4037" w:rsidP="00DB4A05">
            <w:pPr>
              <w:jc w:val="both"/>
              <w:rPr>
                <w:rFonts w:ascii="Arial" w:hAnsi="Arial" w:cs="Arial"/>
                <w:sz w:val="20"/>
                <w:szCs w:val="20"/>
              </w:rPr>
            </w:pPr>
          </w:p>
        </w:tc>
        <w:tc>
          <w:tcPr>
            <w:tcW w:w="859" w:type="dxa"/>
            <w:vMerge/>
          </w:tcPr>
          <w:p w14:paraId="30D1069F" w14:textId="77777777" w:rsidR="00FB4037" w:rsidRPr="001170B5" w:rsidRDefault="00FB4037" w:rsidP="00DB4A05">
            <w:pPr>
              <w:jc w:val="both"/>
              <w:rPr>
                <w:rFonts w:ascii="Arial" w:hAnsi="Arial" w:cs="Arial"/>
                <w:sz w:val="20"/>
                <w:szCs w:val="20"/>
              </w:rPr>
            </w:pPr>
          </w:p>
        </w:tc>
      </w:tr>
      <w:tr w:rsidR="009403D4" w:rsidRPr="001170B5" w14:paraId="06DF57BC" w14:textId="77777777" w:rsidTr="0095002B">
        <w:tc>
          <w:tcPr>
            <w:tcW w:w="534" w:type="dxa"/>
            <w:vMerge/>
          </w:tcPr>
          <w:p w14:paraId="088B164D" w14:textId="77777777" w:rsidR="00FB4037" w:rsidRPr="001170B5" w:rsidRDefault="00FB4037" w:rsidP="00D20DC9">
            <w:pPr>
              <w:jc w:val="both"/>
              <w:rPr>
                <w:rFonts w:ascii="Arial" w:hAnsi="Arial" w:cs="Arial"/>
                <w:sz w:val="20"/>
                <w:szCs w:val="20"/>
              </w:rPr>
            </w:pPr>
          </w:p>
        </w:tc>
        <w:tc>
          <w:tcPr>
            <w:tcW w:w="632" w:type="dxa"/>
            <w:vMerge/>
          </w:tcPr>
          <w:p w14:paraId="5AE34A35" w14:textId="77777777" w:rsidR="00FB4037" w:rsidRPr="001170B5" w:rsidRDefault="00FB4037" w:rsidP="00D20DC9">
            <w:pPr>
              <w:jc w:val="both"/>
              <w:rPr>
                <w:rFonts w:ascii="Arial" w:hAnsi="Arial" w:cs="Arial"/>
                <w:sz w:val="20"/>
                <w:szCs w:val="20"/>
              </w:rPr>
            </w:pPr>
          </w:p>
        </w:tc>
        <w:tc>
          <w:tcPr>
            <w:tcW w:w="610" w:type="dxa"/>
            <w:vMerge/>
          </w:tcPr>
          <w:p w14:paraId="5CA2C2F8" w14:textId="77777777" w:rsidR="00FB4037" w:rsidRPr="001170B5" w:rsidRDefault="00FB4037" w:rsidP="00D20DC9">
            <w:pPr>
              <w:jc w:val="both"/>
              <w:rPr>
                <w:rFonts w:ascii="Arial" w:hAnsi="Arial" w:cs="Arial"/>
                <w:sz w:val="20"/>
                <w:szCs w:val="20"/>
              </w:rPr>
            </w:pPr>
          </w:p>
        </w:tc>
        <w:tc>
          <w:tcPr>
            <w:tcW w:w="519" w:type="dxa"/>
            <w:vMerge/>
          </w:tcPr>
          <w:p w14:paraId="6B1E9DA0" w14:textId="77777777" w:rsidR="00FB4037" w:rsidRPr="001170B5" w:rsidRDefault="00FB4037" w:rsidP="00D20DC9">
            <w:pPr>
              <w:jc w:val="both"/>
              <w:rPr>
                <w:rFonts w:ascii="Arial" w:hAnsi="Arial" w:cs="Arial"/>
                <w:sz w:val="20"/>
                <w:szCs w:val="20"/>
              </w:rPr>
            </w:pPr>
          </w:p>
        </w:tc>
        <w:tc>
          <w:tcPr>
            <w:tcW w:w="535" w:type="dxa"/>
            <w:vMerge/>
          </w:tcPr>
          <w:p w14:paraId="1091F4CB" w14:textId="77777777" w:rsidR="00FB4037" w:rsidRPr="001170B5" w:rsidRDefault="00FB4037" w:rsidP="00D20DC9">
            <w:pPr>
              <w:jc w:val="both"/>
              <w:rPr>
                <w:rFonts w:ascii="Arial" w:hAnsi="Arial" w:cs="Arial"/>
                <w:sz w:val="20"/>
                <w:szCs w:val="20"/>
              </w:rPr>
            </w:pPr>
          </w:p>
        </w:tc>
        <w:tc>
          <w:tcPr>
            <w:tcW w:w="689" w:type="dxa"/>
          </w:tcPr>
          <w:p w14:paraId="4A68D85A"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Max</w:t>
            </w:r>
          </w:p>
        </w:tc>
        <w:tc>
          <w:tcPr>
            <w:tcW w:w="455" w:type="dxa"/>
          </w:tcPr>
          <w:p w14:paraId="3340CEE9"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Min</w:t>
            </w:r>
          </w:p>
        </w:tc>
        <w:tc>
          <w:tcPr>
            <w:tcW w:w="523" w:type="dxa"/>
          </w:tcPr>
          <w:p w14:paraId="584E8ECB"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Av.</w:t>
            </w:r>
          </w:p>
        </w:tc>
        <w:tc>
          <w:tcPr>
            <w:tcW w:w="467" w:type="dxa"/>
          </w:tcPr>
          <w:p w14:paraId="58C8ECE4"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Max</w:t>
            </w:r>
          </w:p>
        </w:tc>
        <w:tc>
          <w:tcPr>
            <w:tcW w:w="455" w:type="dxa"/>
          </w:tcPr>
          <w:p w14:paraId="2F34DD4B"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Min</w:t>
            </w:r>
          </w:p>
        </w:tc>
        <w:tc>
          <w:tcPr>
            <w:tcW w:w="455" w:type="dxa"/>
          </w:tcPr>
          <w:p w14:paraId="1A1A4065" w14:textId="77777777" w:rsidR="00FB4037" w:rsidRPr="001170B5" w:rsidRDefault="00FB4037" w:rsidP="0042721D">
            <w:pPr>
              <w:jc w:val="center"/>
              <w:rPr>
                <w:rFonts w:ascii="Arial" w:hAnsi="Arial" w:cs="Arial"/>
                <w:b/>
                <w:bCs/>
                <w:sz w:val="20"/>
                <w:szCs w:val="20"/>
              </w:rPr>
            </w:pPr>
            <w:r w:rsidRPr="001170B5">
              <w:rPr>
                <w:rFonts w:ascii="Arial" w:hAnsi="Arial" w:cs="Arial"/>
                <w:b/>
                <w:bCs/>
                <w:sz w:val="20"/>
                <w:szCs w:val="20"/>
              </w:rPr>
              <w:t>Av.</w:t>
            </w:r>
          </w:p>
        </w:tc>
        <w:tc>
          <w:tcPr>
            <w:tcW w:w="663" w:type="dxa"/>
            <w:vMerge/>
          </w:tcPr>
          <w:p w14:paraId="7C25145E" w14:textId="77777777" w:rsidR="00FB4037" w:rsidRPr="001170B5" w:rsidRDefault="00FB4037" w:rsidP="00D20DC9">
            <w:pPr>
              <w:jc w:val="both"/>
              <w:rPr>
                <w:rFonts w:ascii="Arial" w:hAnsi="Arial" w:cs="Arial"/>
                <w:sz w:val="20"/>
                <w:szCs w:val="20"/>
              </w:rPr>
            </w:pPr>
          </w:p>
        </w:tc>
        <w:tc>
          <w:tcPr>
            <w:tcW w:w="859" w:type="dxa"/>
            <w:vMerge/>
          </w:tcPr>
          <w:p w14:paraId="358B4466" w14:textId="77777777" w:rsidR="00FB4037" w:rsidRPr="001170B5" w:rsidRDefault="00FB4037" w:rsidP="00D20DC9">
            <w:pPr>
              <w:jc w:val="both"/>
              <w:rPr>
                <w:rFonts w:ascii="Arial" w:hAnsi="Arial" w:cs="Arial"/>
                <w:sz w:val="20"/>
                <w:szCs w:val="20"/>
              </w:rPr>
            </w:pPr>
          </w:p>
        </w:tc>
        <w:tc>
          <w:tcPr>
            <w:tcW w:w="761" w:type="dxa"/>
            <w:vMerge/>
          </w:tcPr>
          <w:p w14:paraId="3ACBC669" w14:textId="77777777" w:rsidR="00FB4037" w:rsidRPr="001170B5" w:rsidRDefault="00FB4037" w:rsidP="00D20DC9">
            <w:pPr>
              <w:jc w:val="both"/>
              <w:rPr>
                <w:rFonts w:ascii="Arial" w:hAnsi="Arial" w:cs="Arial"/>
                <w:sz w:val="20"/>
                <w:szCs w:val="20"/>
              </w:rPr>
            </w:pPr>
          </w:p>
        </w:tc>
        <w:tc>
          <w:tcPr>
            <w:tcW w:w="859" w:type="dxa"/>
            <w:vMerge/>
          </w:tcPr>
          <w:p w14:paraId="36877D51" w14:textId="77777777" w:rsidR="00FB4037" w:rsidRPr="001170B5" w:rsidRDefault="00FB4037" w:rsidP="00D20DC9">
            <w:pPr>
              <w:jc w:val="both"/>
              <w:rPr>
                <w:rFonts w:ascii="Arial" w:hAnsi="Arial" w:cs="Arial"/>
                <w:sz w:val="20"/>
                <w:szCs w:val="20"/>
              </w:rPr>
            </w:pPr>
          </w:p>
        </w:tc>
      </w:tr>
      <w:tr w:rsidR="009403D4" w:rsidRPr="001170B5" w14:paraId="4DDD5D23" w14:textId="77777777" w:rsidTr="0095002B">
        <w:tc>
          <w:tcPr>
            <w:tcW w:w="534" w:type="dxa"/>
          </w:tcPr>
          <w:p w14:paraId="41356977" w14:textId="77777777" w:rsidR="00D20DC9" w:rsidRPr="001170B5" w:rsidRDefault="00D20DC9" w:rsidP="00DB4A05">
            <w:pPr>
              <w:jc w:val="both"/>
              <w:rPr>
                <w:rFonts w:ascii="Arial" w:hAnsi="Arial" w:cs="Arial"/>
                <w:sz w:val="20"/>
                <w:szCs w:val="20"/>
              </w:rPr>
            </w:pPr>
            <w:r w:rsidRPr="001170B5">
              <w:rPr>
                <w:rFonts w:ascii="Arial" w:hAnsi="Arial" w:cs="Arial"/>
                <w:sz w:val="20"/>
                <w:szCs w:val="20"/>
              </w:rPr>
              <w:t>2022-23</w:t>
            </w:r>
          </w:p>
        </w:tc>
        <w:tc>
          <w:tcPr>
            <w:tcW w:w="632" w:type="dxa"/>
          </w:tcPr>
          <w:p w14:paraId="391BCD7A" w14:textId="77777777" w:rsidR="00D20DC9" w:rsidRPr="001170B5" w:rsidRDefault="00D20DC9" w:rsidP="00DB4A05">
            <w:pPr>
              <w:jc w:val="both"/>
              <w:rPr>
                <w:rFonts w:ascii="Arial" w:hAnsi="Arial" w:cs="Arial"/>
                <w:sz w:val="20"/>
                <w:szCs w:val="20"/>
              </w:rPr>
            </w:pPr>
            <w:r w:rsidRPr="001170B5">
              <w:rPr>
                <w:rFonts w:ascii="Arial" w:hAnsi="Arial" w:cs="Arial"/>
                <w:sz w:val="20"/>
                <w:szCs w:val="20"/>
              </w:rPr>
              <w:t>50</w:t>
            </w:r>
          </w:p>
        </w:tc>
        <w:tc>
          <w:tcPr>
            <w:tcW w:w="610" w:type="dxa"/>
          </w:tcPr>
          <w:p w14:paraId="7AA69397" w14:textId="77777777" w:rsidR="00D20DC9" w:rsidRPr="001170B5" w:rsidRDefault="00D20DC9" w:rsidP="00DB4A05">
            <w:pPr>
              <w:jc w:val="both"/>
              <w:rPr>
                <w:rFonts w:ascii="Arial" w:hAnsi="Arial" w:cs="Arial"/>
                <w:sz w:val="20"/>
                <w:szCs w:val="20"/>
              </w:rPr>
            </w:pPr>
            <w:r w:rsidRPr="001170B5">
              <w:rPr>
                <w:rFonts w:ascii="Arial" w:hAnsi="Arial" w:cs="Arial"/>
                <w:sz w:val="20"/>
                <w:szCs w:val="20"/>
              </w:rPr>
              <w:t>MH-421</w:t>
            </w:r>
          </w:p>
        </w:tc>
        <w:tc>
          <w:tcPr>
            <w:tcW w:w="519" w:type="dxa"/>
          </w:tcPr>
          <w:p w14:paraId="6378F2A0" w14:textId="77777777" w:rsidR="00D20DC9" w:rsidRPr="001170B5" w:rsidRDefault="00D20DC9" w:rsidP="00DB4A05">
            <w:pPr>
              <w:jc w:val="both"/>
              <w:rPr>
                <w:rFonts w:ascii="Arial" w:hAnsi="Arial" w:cs="Arial"/>
                <w:sz w:val="20"/>
                <w:szCs w:val="20"/>
              </w:rPr>
            </w:pPr>
            <w:r w:rsidRPr="001170B5">
              <w:rPr>
                <w:rFonts w:ascii="Arial" w:hAnsi="Arial" w:cs="Arial"/>
                <w:sz w:val="20"/>
                <w:szCs w:val="20"/>
              </w:rPr>
              <w:t>50</w:t>
            </w:r>
          </w:p>
        </w:tc>
        <w:tc>
          <w:tcPr>
            <w:tcW w:w="535" w:type="dxa"/>
          </w:tcPr>
          <w:p w14:paraId="3200DE2F" w14:textId="77777777" w:rsidR="00D20DC9" w:rsidRPr="001170B5" w:rsidRDefault="0034654C" w:rsidP="00DB4A05">
            <w:pPr>
              <w:jc w:val="both"/>
              <w:rPr>
                <w:rFonts w:ascii="Arial" w:hAnsi="Arial" w:cs="Arial"/>
                <w:sz w:val="20"/>
                <w:szCs w:val="20"/>
              </w:rPr>
            </w:pPr>
            <w:r w:rsidRPr="001170B5">
              <w:rPr>
                <w:rFonts w:ascii="Arial" w:hAnsi="Arial" w:cs="Arial"/>
                <w:sz w:val="20"/>
                <w:szCs w:val="20"/>
              </w:rPr>
              <w:t>18.5</w:t>
            </w:r>
          </w:p>
        </w:tc>
        <w:tc>
          <w:tcPr>
            <w:tcW w:w="689" w:type="dxa"/>
          </w:tcPr>
          <w:p w14:paraId="665886CA" w14:textId="77777777" w:rsidR="00D20DC9" w:rsidRPr="001170B5" w:rsidRDefault="0034654C" w:rsidP="00DB4A05">
            <w:pPr>
              <w:jc w:val="both"/>
              <w:rPr>
                <w:rFonts w:ascii="Arial" w:hAnsi="Arial" w:cs="Arial"/>
                <w:sz w:val="20"/>
                <w:szCs w:val="20"/>
              </w:rPr>
            </w:pPr>
            <w:r w:rsidRPr="001170B5">
              <w:rPr>
                <w:rFonts w:ascii="Arial" w:hAnsi="Arial" w:cs="Arial"/>
                <w:sz w:val="20"/>
                <w:szCs w:val="20"/>
              </w:rPr>
              <w:t>11.25</w:t>
            </w:r>
          </w:p>
        </w:tc>
        <w:tc>
          <w:tcPr>
            <w:tcW w:w="455" w:type="dxa"/>
          </w:tcPr>
          <w:p w14:paraId="6D37EBCA" w14:textId="77777777" w:rsidR="00D20DC9" w:rsidRPr="001170B5" w:rsidRDefault="009403D4" w:rsidP="00DB4A05">
            <w:pPr>
              <w:jc w:val="both"/>
              <w:rPr>
                <w:rFonts w:ascii="Arial" w:hAnsi="Arial" w:cs="Arial"/>
                <w:sz w:val="20"/>
                <w:szCs w:val="20"/>
              </w:rPr>
            </w:pPr>
            <w:r w:rsidRPr="001170B5">
              <w:rPr>
                <w:rFonts w:ascii="Arial" w:hAnsi="Arial" w:cs="Arial"/>
                <w:sz w:val="20"/>
                <w:szCs w:val="20"/>
              </w:rPr>
              <w:t>9.5</w:t>
            </w:r>
          </w:p>
        </w:tc>
        <w:tc>
          <w:tcPr>
            <w:tcW w:w="523" w:type="dxa"/>
          </w:tcPr>
          <w:p w14:paraId="155DA09E" w14:textId="77777777" w:rsidR="00D20DC9" w:rsidRPr="001170B5" w:rsidRDefault="009403D4" w:rsidP="00DB4A05">
            <w:pPr>
              <w:jc w:val="both"/>
              <w:rPr>
                <w:rFonts w:ascii="Arial" w:hAnsi="Arial" w:cs="Arial"/>
                <w:sz w:val="20"/>
                <w:szCs w:val="20"/>
              </w:rPr>
            </w:pPr>
            <w:r w:rsidRPr="001170B5">
              <w:rPr>
                <w:rFonts w:ascii="Arial" w:hAnsi="Arial" w:cs="Arial"/>
                <w:sz w:val="20"/>
                <w:szCs w:val="20"/>
              </w:rPr>
              <w:t>10.30</w:t>
            </w:r>
          </w:p>
        </w:tc>
        <w:tc>
          <w:tcPr>
            <w:tcW w:w="467" w:type="dxa"/>
          </w:tcPr>
          <w:p w14:paraId="43E7872B" w14:textId="77777777" w:rsidR="00D20DC9" w:rsidRPr="001170B5" w:rsidRDefault="0034654C" w:rsidP="00DB4A05">
            <w:pPr>
              <w:jc w:val="both"/>
              <w:rPr>
                <w:rFonts w:ascii="Arial" w:hAnsi="Arial" w:cs="Arial"/>
                <w:sz w:val="20"/>
                <w:szCs w:val="20"/>
              </w:rPr>
            </w:pPr>
            <w:r w:rsidRPr="001170B5">
              <w:rPr>
                <w:rFonts w:ascii="Arial" w:hAnsi="Arial" w:cs="Arial"/>
                <w:sz w:val="20"/>
                <w:szCs w:val="20"/>
              </w:rPr>
              <w:t>8</w:t>
            </w:r>
            <w:r w:rsidR="009403D4" w:rsidRPr="001170B5">
              <w:rPr>
                <w:rFonts w:ascii="Arial" w:hAnsi="Arial" w:cs="Arial"/>
                <w:sz w:val="20"/>
                <w:szCs w:val="20"/>
              </w:rPr>
              <w:t>.90</w:t>
            </w:r>
          </w:p>
        </w:tc>
        <w:tc>
          <w:tcPr>
            <w:tcW w:w="455" w:type="dxa"/>
          </w:tcPr>
          <w:p w14:paraId="2439582F" w14:textId="77777777" w:rsidR="00D20DC9" w:rsidRPr="001170B5" w:rsidRDefault="009403D4" w:rsidP="00DB4A05">
            <w:pPr>
              <w:jc w:val="both"/>
              <w:rPr>
                <w:rFonts w:ascii="Arial" w:hAnsi="Arial" w:cs="Arial"/>
                <w:sz w:val="20"/>
                <w:szCs w:val="20"/>
              </w:rPr>
            </w:pPr>
            <w:r w:rsidRPr="001170B5">
              <w:rPr>
                <w:rFonts w:ascii="Arial" w:hAnsi="Arial" w:cs="Arial"/>
                <w:sz w:val="20"/>
                <w:szCs w:val="20"/>
              </w:rPr>
              <w:t>6.94</w:t>
            </w:r>
          </w:p>
        </w:tc>
        <w:tc>
          <w:tcPr>
            <w:tcW w:w="455" w:type="dxa"/>
          </w:tcPr>
          <w:p w14:paraId="46F8DB90" w14:textId="77777777" w:rsidR="00D20DC9" w:rsidRPr="001170B5" w:rsidRDefault="009403D4" w:rsidP="00DB4A05">
            <w:pPr>
              <w:jc w:val="both"/>
              <w:rPr>
                <w:rFonts w:ascii="Arial" w:hAnsi="Arial" w:cs="Arial"/>
                <w:sz w:val="20"/>
                <w:szCs w:val="20"/>
              </w:rPr>
            </w:pPr>
            <w:r w:rsidRPr="001170B5">
              <w:rPr>
                <w:rFonts w:ascii="Arial" w:hAnsi="Arial" w:cs="Arial"/>
                <w:sz w:val="20"/>
                <w:szCs w:val="20"/>
              </w:rPr>
              <w:t>7.89</w:t>
            </w:r>
          </w:p>
        </w:tc>
        <w:tc>
          <w:tcPr>
            <w:tcW w:w="663" w:type="dxa"/>
          </w:tcPr>
          <w:p w14:paraId="540C1102" w14:textId="77777777" w:rsidR="00D20DC9" w:rsidRPr="001170B5" w:rsidRDefault="009403D4" w:rsidP="00DB4A05">
            <w:pPr>
              <w:jc w:val="both"/>
              <w:rPr>
                <w:rFonts w:ascii="Arial" w:hAnsi="Arial" w:cs="Arial"/>
                <w:sz w:val="20"/>
                <w:szCs w:val="20"/>
              </w:rPr>
            </w:pPr>
            <w:r w:rsidRPr="001170B5">
              <w:rPr>
                <w:rFonts w:ascii="Arial" w:hAnsi="Arial" w:cs="Arial"/>
                <w:sz w:val="20"/>
                <w:szCs w:val="20"/>
              </w:rPr>
              <w:t>31.09%</w:t>
            </w:r>
          </w:p>
        </w:tc>
        <w:tc>
          <w:tcPr>
            <w:tcW w:w="859" w:type="dxa"/>
          </w:tcPr>
          <w:p w14:paraId="6DF55091" w14:textId="77777777" w:rsidR="00D20DC9" w:rsidRPr="001170B5" w:rsidRDefault="004619BF" w:rsidP="00DB4A05">
            <w:pPr>
              <w:jc w:val="both"/>
              <w:rPr>
                <w:rFonts w:ascii="Arial" w:hAnsi="Arial" w:cs="Arial"/>
                <w:sz w:val="20"/>
                <w:szCs w:val="20"/>
              </w:rPr>
            </w:pPr>
            <w:r w:rsidRPr="001170B5">
              <w:rPr>
                <w:rFonts w:ascii="Arial" w:hAnsi="Arial" w:cs="Arial"/>
                <w:sz w:val="20"/>
                <w:szCs w:val="20"/>
              </w:rPr>
              <w:t>7.25</w:t>
            </w:r>
          </w:p>
        </w:tc>
        <w:tc>
          <w:tcPr>
            <w:tcW w:w="761" w:type="dxa"/>
          </w:tcPr>
          <w:p w14:paraId="7720B885" w14:textId="77777777" w:rsidR="00D20DC9" w:rsidRPr="001170B5" w:rsidRDefault="004619BF" w:rsidP="00DB4A05">
            <w:pPr>
              <w:jc w:val="both"/>
              <w:rPr>
                <w:rFonts w:ascii="Arial" w:hAnsi="Arial" w:cs="Arial"/>
                <w:sz w:val="20"/>
                <w:szCs w:val="20"/>
              </w:rPr>
            </w:pPr>
            <w:r w:rsidRPr="001170B5">
              <w:rPr>
                <w:rFonts w:ascii="Arial" w:hAnsi="Arial" w:cs="Arial"/>
                <w:sz w:val="20"/>
                <w:szCs w:val="20"/>
              </w:rPr>
              <w:t>2.35</w:t>
            </w:r>
          </w:p>
        </w:tc>
        <w:tc>
          <w:tcPr>
            <w:tcW w:w="859" w:type="dxa"/>
          </w:tcPr>
          <w:p w14:paraId="3D53AB3F" w14:textId="77777777" w:rsidR="00D20DC9" w:rsidRPr="001170B5" w:rsidRDefault="00EC1608" w:rsidP="00DB4A05">
            <w:pPr>
              <w:jc w:val="both"/>
              <w:rPr>
                <w:rFonts w:ascii="Arial" w:hAnsi="Arial" w:cs="Arial"/>
                <w:sz w:val="20"/>
                <w:szCs w:val="20"/>
              </w:rPr>
            </w:pPr>
            <w:r w:rsidRPr="001170B5">
              <w:rPr>
                <w:rFonts w:ascii="Arial" w:hAnsi="Arial" w:cs="Arial"/>
                <w:sz w:val="20"/>
                <w:szCs w:val="20"/>
              </w:rPr>
              <w:t>39.19</w:t>
            </w:r>
          </w:p>
        </w:tc>
      </w:tr>
      <w:tr w:rsidR="009403D4" w:rsidRPr="001170B5" w14:paraId="7CF523BF" w14:textId="77777777" w:rsidTr="0095002B">
        <w:tc>
          <w:tcPr>
            <w:tcW w:w="534" w:type="dxa"/>
          </w:tcPr>
          <w:p w14:paraId="404AEBF8" w14:textId="77777777" w:rsidR="00D20DC9" w:rsidRPr="001170B5" w:rsidRDefault="00D20DC9" w:rsidP="00DB4A05">
            <w:pPr>
              <w:jc w:val="both"/>
              <w:rPr>
                <w:rFonts w:ascii="Arial" w:hAnsi="Arial" w:cs="Arial"/>
                <w:sz w:val="20"/>
                <w:szCs w:val="20"/>
              </w:rPr>
            </w:pPr>
            <w:r w:rsidRPr="001170B5">
              <w:rPr>
                <w:rFonts w:ascii="Arial" w:hAnsi="Arial" w:cs="Arial"/>
                <w:sz w:val="20"/>
                <w:szCs w:val="20"/>
              </w:rPr>
              <w:t>2023-24</w:t>
            </w:r>
          </w:p>
        </w:tc>
        <w:tc>
          <w:tcPr>
            <w:tcW w:w="632" w:type="dxa"/>
          </w:tcPr>
          <w:p w14:paraId="154B6449" w14:textId="77777777" w:rsidR="00D20DC9" w:rsidRPr="001170B5" w:rsidRDefault="00D20DC9" w:rsidP="00DB4A05">
            <w:pPr>
              <w:jc w:val="both"/>
              <w:rPr>
                <w:rFonts w:ascii="Arial" w:hAnsi="Arial" w:cs="Arial"/>
                <w:sz w:val="20"/>
                <w:szCs w:val="20"/>
              </w:rPr>
            </w:pPr>
            <w:r w:rsidRPr="001170B5">
              <w:rPr>
                <w:rFonts w:ascii="Arial" w:hAnsi="Arial" w:cs="Arial"/>
                <w:sz w:val="20"/>
                <w:szCs w:val="20"/>
              </w:rPr>
              <w:t>40</w:t>
            </w:r>
          </w:p>
        </w:tc>
        <w:tc>
          <w:tcPr>
            <w:tcW w:w="610" w:type="dxa"/>
          </w:tcPr>
          <w:p w14:paraId="0852FA2C" w14:textId="77777777" w:rsidR="00D20DC9" w:rsidRPr="001170B5" w:rsidRDefault="00D20DC9" w:rsidP="00DB4A05">
            <w:pPr>
              <w:jc w:val="both"/>
              <w:rPr>
                <w:rFonts w:ascii="Arial" w:hAnsi="Arial" w:cs="Arial"/>
                <w:sz w:val="20"/>
                <w:szCs w:val="20"/>
              </w:rPr>
            </w:pPr>
            <w:r w:rsidRPr="001170B5">
              <w:rPr>
                <w:rFonts w:ascii="Arial" w:hAnsi="Arial" w:cs="Arial"/>
                <w:sz w:val="20"/>
                <w:szCs w:val="20"/>
              </w:rPr>
              <w:t>MH-1142</w:t>
            </w:r>
          </w:p>
        </w:tc>
        <w:tc>
          <w:tcPr>
            <w:tcW w:w="519" w:type="dxa"/>
          </w:tcPr>
          <w:p w14:paraId="72541F8E" w14:textId="77777777" w:rsidR="00D20DC9" w:rsidRPr="001170B5" w:rsidRDefault="00D20DC9" w:rsidP="00DB4A05">
            <w:pPr>
              <w:jc w:val="both"/>
              <w:rPr>
                <w:rFonts w:ascii="Arial" w:hAnsi="Arial" w:cs="Arial"/>
                <w:sz w:val="20"/>
                <w:szCs w:val="20"/>
              </w:rPr>
            </w:pPr>
            <w:r w:rsidRPr="001170B5">
              <w:rPr>
                <w:rFonts w:ascii="Arial" w:hAnsi="Arial" w:cs="Arial"/>
                <w:sz w:val="20"/>
                <w:szCs w:val="20"/>
              </w:rPr>
              <w:t>40</w:t>
            </w:r>
          </w:p>
        </w:tc>
        <w:tc>
          <w:tcPr>
            <w:tcW w:w="535" w:type="dxa"/>
          </w:tcPr>
          <w:p w14:paraId="204B85EC" w14:textId="77777777" w:rsidR="00D20DC9" w:rsidRPr="001170B5" w:rsidRDefault="0034654C" w:rsidP="00DB4A05">
            <w:pPr>
              <w:jc w:val="both"/>
              <w:rPr>
                <w:rFonts w:ascii="Arial" w:hAnsi="Arial" w:cs="Arial"/>
                <w:sz w:val="20"/>
                <w:szCs w:val="20"/>
              </w:rPr>
            </w:pPr>
            <w:r w:rsidRPr="001170B5">
              <w:rPr>
                <w:rFonts w:ascii="Arial" w:hAnsi="Arial" w:cs="Arial"/>
                <w:sz w:val="20"/>
                <w:szCs w:val="20"/>
              </w:rPr>
              <w:t>18.5</w:t>
            </w:r>
          </w:p>
        </w:tc>
        <w:tc>
          <w:tcPr>
            <w:tcW w:w="689" w:type="dxa"/>
          </w:tcPr>
          <w:p w14:paraId="0C5D619D" w14:textId="77777777" w:rsidR="00D20DC9" w:rsidRPr="001170B5" w:rsidRDefault="006B62BB" w:rsidP="00DB4A05">
            <w:pPr>
              <w:jc w:val="both"/>
              <w:rPr>
                <w:rFonts w:ascii="Arial" w:hAnsi="Arial" w:cs="Arial"/>
                <w:sz w:val="20"/>
                <w:szCs w:val="20"/>
              </w:rPr>
            </w:pPr>
            <w:r w:rsidRPr="001170B5">
              <w:rPr>
                <w:rFonts w:ascii="Arial" w:hAnsi="Arial" w:cs="Arial"/>
                <w:sz w:val="20"/>
                <w:szCs w:val="20"/>
              </w:rPr>
              <w:t>10.50</w:t>
            </w:r>
          </w:p>
        </w:tc>
        <w:tc>
          <w:tcPr>
            <w:tcW w:w="455" w:type="dxa"/>
          </w:tcPr>
          <w:p w14:paraId="75768452" w14:textId="77777777" w:rsidR="00D20DC9" w:rsidRPr="001170B5" w:rsidRDefault="006B62BB" w:rsidP="00DB4A05">
            <w:pPr>
              <w:jc w:val="both"/>
              <w:rPr>
                <w:rFonts w:ascii="Arial" w:hAnsi="Arial" w:cs="Arial"/>
                <w:sz w:val="20"/>
                <w:szCs w:val="20"/>
              </w:rPr>
            </w:pPr>
            <w:r w:rsidRPr="001170B5">
              <w:rPr>
                <w:rFonts w:ascii="Arial" w:hAnsi="Arial" w:cs="Arial"/>
                <w:sz w:val="20"/>
                <w:szCs w:val="20"/>
              </w:rPr>
              <w:t>9.45</w:t>
            </w:r>
          </w:p>
        </w:tc>
        <w:tc>
          <w:tcPr>
            <w:tcW w:w="523" w:type="dxa"/>
          </w:tcPr>
          <w:p w14:paraId="5EBF3825" w14:textId="77777777" w:rsidR="00D20DC9" w:rsidRPr="001170B5" w:rsidRDefault="006B62BB" w:rsidP="00DB4A05">
            <w:pPr>
              <w:jc w:val="both"/>
              <w:rPr>
                <w:rFonts w:ascii="Arial" w:hAnsi="Arial" w:cs="Arial"/>
                <w:sz w:val="20"/>
                <w:szCs w:val="20"/>
              </w:rPr>
            </w:pPr>
            <w:r w:rsidRPr="001170B5">
              <w:rPr>
                <w:rFonts w:ascii="Arial" w:hAnsi="Arial" w:cs="Arial"/>
                <w:sz w:val="20"/>
                <w:szCs w:val="20"/>
              </w:rPr>
              <w:t>9.94</w:t>
            </w:r>
          </w:p>
        </w:tc>
        <w:tc>
          <w:tcPr>
            <w:tcW w:w="467" w:type="dxa"/>
          </w:tcPr>
          <w:p w14:paraId="68D9D51B" w14:textId="77777777" w:rsidR="00D20DC9" w:rsidRPr="001170B5" w:rsidRDefault="006B62BB" w:rsidP="00DB4A05">
            <w:pPr>
              <w:jc w:val="both"/>
              <w:rPr>
                <w:rFonts w:ascii="Arial" w:hAnsi="Arial" w:cs="Arial"/>
                <w:sz w:val="20"/>
                <w:szCs w:val="20"/>
              </w:rPr>
            </w:pPr>
            <w:r w:rsidRPr="001170B5">
              <w:rPr>
                <w:rFonts w:ascii="Arial" w:hAnsi="Arial" w:cs="Arial"/>
                <w:sz w:val="20"/>
                <w:szCs w:val="20"/>
              </w:rPr>
              <w:t>8.73</w:t>
            </w:r>
          </w:p>
        </w:tc>
        <w:tc>
          <w:tcPr>
            <w:tcW w:w="455" w:type="dxa"/>
          </w:tcPr>
          <w:p w14:paraId="07D15BB5" w14:textId="77777777" w:rsidR="00D20DC9" w:rsidRPr="001170B5" w:rsidRDefault="006B62BB" w:rsidP="00DB4A05">
            <w:pPr>
              <w:jc w:val="both"/>
              <w:rPr>
                <w:rFonts w:ascii="Arial" w:hAnsi="Arial" w:cs="Arial"/>
                <w:sz w:val="20"/>
                <w:szCs w:val="20"/>
              </w:rPr>
            </w:pPr>
            <w:r w:rsidRPr="001170B5">
              <w:rPr>
                <w:rFonts w:ascii="Arial" w:hAnsi="Arial" w:cs="Arial"/>
                <w:sz w:val="20"/>
                <w:szCs w:val="20"/>
              </w:rPr>
              <w:t>7.52</w:t>
            </w:r>
          </w:p>
        </w:tc>
        <w:tc>
          <w:tcPr>
            <w:tcW w:w="455" w:type="dxa"/>
          </w:tcPr>
          <w:p w14:paraId="05B7DBA4" w14:textId="77777777" w:rsidR="00D20DC9" w:rsidRPr="001170B5" w:rsidRDefault="006B62BB" w:rsidP="00DB4A05">
            <w:pPr>
              <w:jc w:val="both"/>
              <w:rPr>
                <w:rFonts w:ascii="Arial" w:hAnsi="Arial" w:cs="Arial"/>
                <w:sz w:val="20"/>
                <w:szCs w:val="20"/>
              </w:rPr>
            </w:pPr>
            <w:r w:rsidRPr="001170B5">
              <w:rPr>
                <w:rFonts w:ascii="Arial" w:hAnsi="Arial" w:cs="Arial"/>
                <w:sz w:val="20"/>
                <w:szCs w:val="20"/>
              </w:rPr>
              <w:t>7.99</w:t>
            </w:r>
          </w:p>
        </w:tc>
        <w:tc>
          <w:tcPr>
            <w:tcW w:w="663" w:type="dxa"/>
          </w:tcPr>
          <w:p w14:paraId="7971CE7C" w14:textId="77777777" w:rsidR="00D20DC9" w:rsidRPr="001170B5" w:rsidRDefault="006B62BB" w:rsidP="00DB4A05">
            <w:pPr>
              <w:jc w:val="both"/>
              <w:rPr>
                <w:rFonts w:ascii="Arial" w:hAnsi="Arial" w:cs="Arial"/>
                <w:sz w:val="20"/>
                <w:szCs w:val="20"/>
              </w:rPr>
            </w:pPr>
            <w:r w:rsidRPr="001170B5">
              <w:rPr>
                <w:rFonts w:ascii="Arial" w:hAnsi="Arial" w:cs="Arial"/>
                <w:sz w:val="20"/>
                <w:szCs w:val="20"/>
              </w:rPr>
              <w:t>24.58%</w:t>
            </w:r>
          </w:p>
        </w:tc>
        <w:tc>
          <w:tcPr>
            <w:tcW w:w="859" w:type="dxa"/>
          </w:tcPr>
          <w:p w14:paraId="1E0B55D2" w14:textId="77777777" w:rsidR="00D20DC9" w:rsidRPr="001170B5" w:rsidRDefault="004619BF" w:rsidP="00DB4A05">
            <w:pPr>
              <w:jc w:val="both"/>
              <w:rPr>
                <w:rFonts w:ascii="Arial" w:hAnsi="Arial" w:cs="Arial"/>
                <w:sz w:val="20"/>
                <w:szCs w:val="20"/>
              </w:rPr>
            </w:pPr>
            <w:r w:rsidRPr="001170B5">
              <w:rPr>
                <w:rFonts w:ascii="Arial" w:hAnsi="Arial" w:cs="Arial"/>
                <w:sz w:val="20"/>
                <w:szCs w:val="20"/>
              </w:rPr>
              <w:t>8.00</w:t>
            </w:r>
          </w:p>
        </w:tc>
        <w:tc>
          <w:tcPr>
            <w:tcW w:w="761" w:type="dxa"/>
          </w:tcPr>
          <w:p w14:paraId="33E82CFC" w14:textId="77777777" w:rsidR="00D20DC9" w:rsidRPr="001170B5" w:rsidRDefault="00EC1608" w:rsidP="00DB4A05">
            <w:pPr>
              <w:jc w:val="both"/>
              <w:rPr>
                <w:rFonts w:ascii="Arial" w:hAnsi="Arial" w:cs="Arial"/>
                <w:sz w:val="20"/>
                <w:szCs w:val="20"/>
              </w:rPr>
            </w:pPr>
            <w:r w:rsidRPr="001170B5">
              <w:rPr>
                <w:rFonts w:ascii="Arial" w:hAnsi="Arial" w:cs="Arial"/>
                <w:sz w:val="20"/>
                <w:szCs w:val="20"/>
              </w:rPr>
              <w:t>1.77</w:t>
            </w:r>
          </w:p>
        </w:tc>
        <w:tc>
          <w:tcPr>
            <w:tcW w:w="859" w:type="dxa"/>
          </w:tcPr>
          <w:p w14:paraId="6D129543" w14:textId="77777777" w:rsidR="00D20DC9" w:rsidRPr="001170B5" w:rsidRDefault="00EC1608" w:rsidP="00DB4A05">
            <w:pPr>
              <w:jc w:val="both"/>
              <w:rPr>
                <w:rFonts w:ascii="Arial" w:hAnsi="Arial" w:cs="Arial"/>
                <w:sz w:val="20"/>
                <w:szCs w:val="20"/>
              </w:rPr>
            </w:pPr>
            <w:r w:rsidRPr="001170B5">
              <w:rPr>
                <w:rFonts w:ascii="Arial" w:hAnsi="Arial" w:cs="Arial"/>
                <w:sz w:val="20"/>
                <w:szCs w:val="20"/>
              </w:rPr>
              <w:t>43.24</w:t>
            </w:r>
          </w:p>
        </w:tc>
      </w:tr>
    </w:tbl>
    <w:p w14:paraId="636952B1" w14:textId="77777777" w:rsidR="008C7B4B" w:rsidRPr="001170B5" w:rsidRDefault="007277A4" w:rsidP="0042721D">
      <w:pPr>
        <w:spacing w:before="240" w:after="0"/>
        <w:ind w:left="720" w:hanging="720"/>
        <w:jc w:val="both"/>
        <w:rPr>
          <w:rFonts w:ascii="Arial" w:hAnsi="Arial" w:cs="Arial"/>
          <w:b/>
          <w:bCs/>
          <w:sz w:val="20"/>
          <w:szCs w:val="20"/>
        </w:rPr>
      </w:pPr>
      <w:r w:rsidRPr="001170B5">
        <w:rPr>
          <w:rFonts w:ascii="Arial" w:hAnsi="Arial" w:cs="Arial"/>
          <w:b/>
          <w:bCs/>
          <w:sz w:val="20"/>
          <w:szCs w:val="20"/>
        </w:rPr>
        <w:t>Table 2: Gross return, cost of cultivation, net return and B</w:t>
      </w:r>
      <w:proofErr w:type="gramStart"/>
      <w:r w:rsidRPr="001170B5">
        <w:rPr>
          <w:rFonts w:ascii="Arial" w:hAnsi="Arial" w:cs="Arial"/>
          <w:b/>
          <w:bCs/>
          <w:sz w:val="20"/>
          <w:szCs w:val="20"/>
        </w:rPr>
        <w:t>:C</w:t>
      </w:r>
      <w:proofErr w:type="gramEnd"/>
      <w:r w:rsidRPr="001170B5">
        <w:rPr>
          <w:rFonts w:ascii="Arial" w:hAnsi="Arial" w:cs="Arial"/>
          <w:b/>
          <w:bCs/>
          <w:sz w:val="20"/>
          <w:szCs w:val="20"/>
        </w:rPr>
        <w:t xml:space="preserve"> ratio of green gram cultivation</w:t>
      </w:r>
    </w:p>
    <w:tbl>
      <w:tblPr>
        <w:tblStyle w:val="TableGrid"/>
        <w:tblW w:w="0" w:type="auto"/>
        <w:jc w:val="center"/>
        <w:tblLook w:val="04A0" w:firstRow="1" w:lastRow="0" w:firstColumn="1" w:lastColumn="0" w:noHBand="0" w:noVBand="1"/>
      </w:tblPr>
      <w:tblGrid>
        <w:gridCol w:w="892"/>
        <w:gridCol w:w="894"/>
        <w:gridCol w:w="923"/>
        <w:gridCol w:w="923"/>
        <w:gridCol w:w="656"/>
        <w:gridCol w:w="923"/>
        <w:gridCol w:w="923"/>
        <w:gridCol w:w="1082"/>
        <w:gridCol w:w="992"/>
        <w:gridCol w:w="1028"/>
      </w:tblGrid>
      <w:tr w:rsidR="00F14AD1" w:rsidRPr="001170B5" w14:paraId="1C2B51FE" w14:textId="77777777" w:rsidTr="005708E6">
        <w:trPr>
          <w:jc w:val="center"/>
        </w:trPr>
        <w:tc>
          <w:tcPr>
            <w:tcW w:w="892" w:type="dxa"/>
            <w:vMerge w:val="restart"/>
          </w:tcPr>
          <w:p w14:paraId="5A963753" w14:textId="77777777" w:rsidR="00F14AD1" w:rsidRPr="001170B5" w:rsidRDefault="00F14AD1" w:rsidP="00D6197D">
            <w:pPr>
              <w:jc w:val="both"/>
              <w:rPr>
                <w:rFonts w:ascii="Arial" w:hAnsi="Arial" w:cs="Arial"/>
                <w:b/>
                <w:bCs/>
                <w:sz w:val="20"/>
                <w:szCs w:val="20"/>
              </w:rPr>
            </w:pPr>
            <w:r w:rsidRPr="001170B5">
              <w:rPr>
                <w:rFonts w:ascii="Arial" w:hAnsi="Arial" w:cs="Arial"/>
                <w:b/>
                <w:bCs/>
                <w:sz w:val="20"/>
                <w:szCs w:val="20"/>
              </w:rPr>
              <w:t>Year</w:t>
            </w:r>
          </w:p>
        </w:tc>
        <w:tc>
          <w:tcPr>
            <w:tcW w:w="7229" w:type="dxa"/>
            <w:gridSpan w:val="8"/>
          </w:tcPr>
          <w:p w14:paraId="4FD561FD" w14:textId="77777777" w:rsidR="00F14AD1" w:rsidRPr="001170B5" w:rsidRDefault="00F14AD1" w:rsidP="005708E6">
            <w:pPr>
              <w:jc w:val="center"/>
              <w:rPr>
                <w:rFonts w:ascii="Arial" w:hAnsi="Arial" w:cs="Arial"/>
                <w:b/>
                <w:bCs/>
                <w:sz w:val="20"/>
                <w:szCs w:val="20"/>
              </w:rPr>
            </w:pPr>
            <w:r w:rsidRPr="001170B5">
              <w:rPr>
                <w:rFonts w:ascii="Arial" w:hAnsi="Arial" w:cs="Arial"/>
                <w:b/>
                <w:bCs/>
                <w:sz w:val="20"/>
                <w:szCs w:val="20"/>
              </w:rPr>
              <w:t>Yield (q/ha)</w:t>
            </w:r>
          </w:p>
        </w:tc>
        <w:tc>
          <w:tcPr>
            <w:tcW w:w="987" w:type="dxa"/>
            <w:vMerge w:val="restart"/>
          </w:tcPr>
          <w:p w14:paraId="481D03E5" w14:textId="77777777" w:rsidR="00F14AD1" w:rsidRPr="001170B5" w:rsidRDefault="00F14AD1" w:rsidP="00D6197D">
            <w:pPr>
              <w:jc w:val="both"/>
              <w:rPr>
                <w:rFonts w:ascii="Arial" w:hAnsi="Arial" w:cs="Arial"/>
                <w:b/>
                <w:bCs/>
                <w:sz w:val="20"/>
                <w:szCs w:val="20"/>
              </w:rPr>
            </w:pPr>
            <w:r w:rsidRPr="001170B5">
              <w:rPr>
                <w:rFonts w:ascii="Arial" w:hAnsi="Arial" w:cs="Arial"/>
                <w:b/>
                <w:bCs/>
                <w:sz w:val="20"/>
                <w:szCs w:val="20"/>
              </w:rPr>
              <w:t>Net return increase (%)</w:t>
            </w:r>
          </w:p>
        </w:tc>
      </w:tr>
      <w:tr w:rsidR="00F14AD1" w:rsidRPr="001170B5" w14:paraId="5C6BA17B" w14:textId="77777777" w:rsidTr="005708E6">
        <w:trPr>
          <w:jc w:val="center"/>
        </w:trPr>
        <w:tc>
          <w:tcPr>
            <w:tcW w:w="892" w:type="dxa"/>
            <w:vMerge/>
          </w:tcPr>
          <w:p w14:paraId="44F54308" w14:textId="77777777" w:rsidR="00F14AD1" w:rsidRPr="001170B5" w:rsidRDefault="00F14AD1" w:rsidP="00D6197D">
            <w:pPr>
              <w:jc w:val="both"/>
              <w:rPr>
                <w:rFonts w:ascii="Arial" w:hAnsi="Arial" w:cs="Arial"/>
                <w:sz w:val="20"/>
                <w:szCs w:val="20"/>
              </w:rPr>
            </w:pPr>
          </w:p>
        </w:tc>
        <w:tc>
          <w:tcPr>
            <w:tcW w:w="3309" w:type="dxa"/>
            <w:gridSpan w:val="4"/>
          </w:tcPr>
          <w:p w14:paraId="101967DF" w14:textId="77777777" w:rsidR="00F14AD1" w:rsidRPr="001170B5" w:rsidRDefault="00F14AD1" w:rsidP="005708E6">
            <w:pPr>
              <w:jc w:val="center"/>
              <w:rPr>
                <w:rFonts w:ascii="Arial" w:hAnsi="Arial" w:cs="Arial"/>
                <w:b/>
                <w:bCs/>
                <w:sz w:val="20"/>
                <w:szCs w:val="20"/>
              </w:rPr>
            </w:pPr>
            <w:r w:rsidRPr="001170B5">
              <w:rPr>
                <w:rFonts w:ascii="Arial" w:hAnsi="Arial" w:cs="Arial"/>
                <w:b/>
                <w:bCs/>
                <w:sz w:val="20"/>
                <w:szCs w:val="20"/>
              </w:rPr>
              <w:t>Demonstration</w:t>
            </w:r>
          </w:p>
        </w:tc>
        <w:tc>
          <w:tcPr>
            <w:tcW w:w="3920" w:type="dxa"/>
            <w:gridSpan w:val="4"/>
          </w:tcPr>
          <w:p w14:paraId="39B280F2" w14:textId="77777777" w:rsidR="00F14AD1" w:rsidRPr="001170B5" w:rsidRDefault="00F14AD1" w:rsidP="005708E6">
            <w:pPr>
              <w:jc w:val="center"/>
              <w:rPr>
                <w:rFonts w:ascii="Arial" w:hAnsi="Arial" w:cs="Arial"/>
                <w:b/>
                <w:bCs/>
                <w:sz w:val="20"/>
                <w:szCs w:val="20"/>
              </w:rPr>
            </w:pPr>
            <w:r w:rsidRPr="001170B5">
              <w:rPr>
                <w:rFonts w:ascii="Arial" w:hAnsi="Arial" w:cs="Arial"/>
                <w:b/>
                <w:bCs/>
                <w:sz w:val="20"/>
                <w:szCs w:val="20"/>
              </w:rPr>
              <w:t>Check</w:t>
            </w:r>
          </w:p>
        </w:tc>
        <w:tc>
          <w:tcPr>
            <w:tcW w:w="987" w:type="dxa"/>
            <w:vMerge/>
          </w:tcPr>
          <w:p w14:paraId="1009A0D4" w14:textId="77777777" w:rsidR="00F14AD1" w:rsidRPr="001170B5" w:rsidRDefault="00F14AD1" w:rsidP="00D6197D">
            <w:pPr>
              <w:jc w:val="both"/>
              <w:rPr>
                <w:rFonts w:ascii="Arial" w:hAnsi="Arial" w:cs="Arial"/>
                <w:sz w:val="20"/>
                <w:szCs w:val="20"/>
              </w:rPr>
            </w:pPr>
          </w:p>
        </w:tc>
      </w:tr>
      <w:tr w:rsidR="00F14AD1" w:rsidRPr="001170B5" w14:paraId="614975B5" w14:textId="77777777" w:rsidTr="005708E6">
        <w:trPr>
          <w:jc w:val="center"/>
        </w:trPr>
        <w:tc>
          <w:tcPr>
            <w:tcW w:w="892" w:type="dxa"/>
            <w:vMerge/>
          </w:tcPr>
          <w:p w14:paraId="281EDBEE" w14:textId="77777777" w:rsidR="00F14AD1" w:rsidRPr="001170B5" w:rsidRDefault="00F14AD1" w:rsidP="00F14AD1">
            <w:pPr>
              <w:jc w:val="both"/>
              <w:rPr>
                <w:rFonts w:ascii="Arial" w:hAnsi="Arial" w:cs="Arial"/>
                <w:sz w:val="20"/>
                <w:szCs w:val="20"/>
              </w:rPr>
            </w:pPr>
          </w:p>
        </w:tc>
        <w:tc>
          <w:tcPr>
            <w:tcW w:w="807" w:type="dxa"/>
          </w:tcPr>
          <w:p w14:paraId="42E7F0AF" w14:textId="77777777" w:rsidR="00F14AD1" w:rsidRPr="001170B5" w:rsidRDefault="00F14AD1" w:rsidP="00F14AD1">
            <w:pPr>
              <w:jc w:val="both"/>
              <w:rPr>
                <w:rFonts w:ascii="Arial" w:hAnsi="Arial" w:cs="Arial"/>
                <w:b/>
                <w:bCs/>
                <w:sz w:val="20"/>
                <w:szCs w:val="20"/>
              </w:rPr>
            </w:pPr>
            <w:r w:rsidRPr="001170B5">
              <w:rPr>
                <w:rFonts w:ascii="Arial" w:hAnsi="Arial" w:cs="Arial"/>
                <w:b/>
                <w:bCs/>
                <w:sz w:val="20"/>
                <w:szCs w:val="20"/>
              </w:rPr>
              <w:t>Gross cost (Rs/ha)</w:t>
            </w:r>
          </w:p>
        </w:tc>
        <w:tc>
          <w:tcPr>
            <w:tcW w:w="923" w:type="dxa"/>
          </w:tcPr>
          <w:p w14:paraId="57093E64" w14:textId="77777777" w:rsidR="00F14AD1" w:rsidRPr="001170B5" w:rsidRDefault="00F14AD1" w:rsidP="00F14AD1">
            <w:pPr>
              <w:jc w:val="both"/>
              <w:rPr>
                <w:rFonts w:ascii="Arial" w:hAnsi="Arial" w:cs="Arial"/>
                <w:b/>
                <w:bCs/>
                <w:sz w:val="20"/>
                <w:szCs w:val="20"/>
              </w:rPr>
            </w:pPr>
            <w:r w:rsidRPr="001170B5">
              <w:rPr>
                <w:rFonts w:ascii="Arial" w:hAnsi="Arial" w:cs="Arial"/>
                <w:b/>
                <w:bCs/>
                <w:sz w:val="20"/>
                <w:szCs w:val="20"/>
              </w:rPr>
              <w:t>Gross return (Rs/ha)</w:t>
            </w:r>
          </w:p>
        </w:tc>
        <w:tc>
          <w:tcPr>
            <w:tcW w:w="923" w:type="dxa"/>
          </w:tcPr>
          <w:p w14:paraId="18AB73D9" w14:textId="77777777" w:rsidR="00F14AD1" w:rsidRPr="001170B5" w:rsidRDefault="00F14AD1" w:rsidP="00F14AD1">
            <w:pPr>
              <w:jc w:val="both"/>
              <w:rPr>
                <w:rFonts w:ascii="Arial" w:hAnsi="Arial" w:cs="Arial"/>
                <w:b/>
                <w:bCs/>
                <w:sz w:val="20"/>
                <w:szCs w:val="20"/>
              </w:rPr>
            </w:pPr>
            <w:r w:rsidRPr="001170B5">
              <w:rPr>
                <w:rFonts w:ascii="Arial" w:hAnsi="Arial" w:cs="Arial"/>
                <w:b/>
                <w:bCs/>
                <w:sz w:val="20"/>
                <w:szCs w:val="20"/>
              </w:rPr>
              <w:t>Net return (Rs/ha)</w:t>
            </w:r>
          </w:p>
        </w:tc>
        <w:tc>
          <w:tcPr>
            <w:tcW w:w="656" w:type="dxa"/>
          </w:tcPr>
          <w:p w14:paraId="0488066E" w14:textId="77777777" w:rsidR="00F14AD1" w:rsidRPr="001170B5" w:rsidRDefault="00F14AD1" w:rsidP="00F14AD1">
            <w:pPr>
              <w:jc w:val="both"/>
              <w:rPr>
                <w:rFonts w:ascii="Arial" w:hAnsi="Arial" w:cs="Arial"/>
                <w:b/>
                <w:bCs/>
                <w:sz w:val="20"/>
                <w:szCs w:val="20"/>
              </w:rPr>
            </w:pPr>
            <w:r w:rsidRPr="001170B5">
              <w:rPr>
                <w:rFonts w:ascii="Arial" w:hAnsi="Arial" w:cs="Arial"/>
                <w:b/>
                <w:bCs/>
                <w:sz w:val="20"/>
                <w:szCs w:val="20"/>
              </w:rPr>
              <w:t>B:C ratio</w:t>
            </w:r>
          </w:p>
        </w:tc>
        <w:tc>
          <w:tcPr>
            <w:tcW w:w="923" w:type="dxa"/>
          </w:tcPr>
          <w:p w14:paraId="716B5F15" w14:textId="77777777" w:rsidR="00F14AD1" w:rsidRPr="001170B5" w:rsidRDefault="00F14AD1" w:rsidP="00F14AD1">
            <w:pPr>
              <w:jc w:val="both"/>
              <w:rPr>
                <w:rFonts w:ascii="Arial" w:hAnsi="Arial" w:cs="Arial"/>
                <w:b/>
                <w:bCs/>
                <w:sz w:val="20"/>
                <w:szCs w:val="20"/>
              </w:rPr>
            </w:pPr>
            <w:r w:rsidRPr="001170B5">
              <w:rPr>
                <w:rFonts w:ascii="Arial" w:hAnsi="Arial" w:cs="Arial"/>
                <w:b/>
                <w:bCs/>
                <w:sz w:val="20"/>
                <w:szCs w:val="20"/>
              </w:rPr>
              <w:t>Gross cost (Rs/ha)</w:t>
            </w:r>
          </w:p>
        </w:tc>
        <w:tc>
          <w:tcPr>
            <w:tcW w:w="923" w:type="dxa"/>
          </w:tcPr>
          <w:p w14:paraId="3F2BA084" w14:textId="77777777" w:rsidR="00F14AD1" w:rsidRPr="001170B5" w:rsidRDefault="00F14AD1" w:rsidP="00F14AD1">
            <w:pPr>
              <w:jc w:val="both"/>
              <w:rPr>
                <w:rFonts w:ascii="Arial" w:hAnsi="Arial" w:cs="Arial"/>
                <w:b/>
                <w:bCs/>
                <w:sz w:val="20"/>
                <w:szCs w:val="20"/>
              </w:rPr>
            </w:pPr>
            <w:r w:rsidRPr="001170B5">
              <w:rPr>
                <w:rFonts w:ascii="Arial" w:hAnsi="Arial" w:cs="Arial"/>
                <w:b/>
                <w:bCs/>
                <w:sz w:val="20"/>
                <w:szCs w:val="20"/>
              </w:rPr>
              <w:t>Gross return (Rs/ha)</w:t>
            </w:r>
          </w:p>
        </w:tc>
        <w:tc>
          <w:tcPr>
            <w:tcW w:w="1082" w:type="dxa"/>
          </w:tcPr>
          <w:p w14:paraId="07B9B369" w14:textId="77777777" w:rsidR="00F14AD1" w:rsidRPr="001170B5" w:rsidRDefault="00F14AD1" w:rsidP="00F14AD1">
            <w:pPr>
              <w:jc w:val="both"/>
              <w:rPr>
                <w:rFonts w:ascii="Arial" w:hAnsi="Arial" w:cs="Arial"/>
                <w:b/>
                <w:bCs/>
                <w:sz w:val="20"/>
                <w:szCs w:val="20"/>
              </w:rPr>
            </w:pPr>
            <w:r w:rsidRPr="001170B5">
              <w:rPr>
                <w:rFonts w:ascii="Arial" w:hAnsi="Arial" w:cs="Arial"/>
                <w:b/>
                <w:bCs/>
                <w:sz w:val="20"/>
                <w:szCs w:val="20"/>
              </w:rPr>
              <w:t>Net return (Rs/ha)</w:t>
            </w:r>
          </w:p>
        </w:tc>
        <w:tc>
          <w:tcPr>
            <w:tcW w:w="992" w:type="dxa"/>
          </w:tcPr>
          <w:p w14:paraId="7A24733F" w14:textId="77777777" w:rsidR="00F14AD1" w:rsidRPr="001170B5" w:rsidRDefault="00F14AD1" w:rsidP="00F14AD1">
            <w:pPr>
              <w:jc w:val="both"/>
              <w:rPr>
                <w:rFonts w:ascii="Arial" w:hAnsi="Arial" w:cs="Arial"/>
                <w:b/>
                <w:bCs/>
                <w:sz w:val="20"/>
                <w:szCs w:val="20"/>
              </w:rPr>
            </w:pPr>
            <w:r w:rsidRPr="001170B5">
              <w:rPr>
                <w:rFonts w:ascii="Arial" w:hAnsi="Arial" w:cs="Arial"/>
                <w:b/>
                <w:bCs/>
                <w:sz w:val="20"/>
                <w:szCs w:val="20"/>
              </w:rPr>
              <w:t>B:C ratio</w:t>
            </w:r>
          </w:p>
        </w:tc>
        <w:tc>
          <w:tcPr>
            <w:tcW w:w="987" w:type="dxa"/>
            <w:vMerge/>
          </w:tcPr>
          <w:p w14:paraId="63662940" w14:textId="77777777" w:rsidR="00F14AD1" w:rsidRPr="001170B5" w:rsidRDefault="00F14AD1" w:rsidP="00F14AD1">
            <w:pPr>
              <w:jc w:val="both"/>
              <w:rPr>
                <w:rFonts w:ascii="Arial" w:hAnsi="Arial" w:cs="Arial"/>
                <w:sz w:val="20"/>
                <w:szCs w:val="20"/>
              </w:rPr>
            </w:pPr>
          </w:p>
        </w:tc>
      </w:tr>
      <w:tr w:rsidR="00F14AD1" w:rsidRPr="001170B5" w14:paraId="1A772C87" w14:textId="77777777" w:rsidTr="005708E6">
        <w:trPr>
          <w:jc w:val="center"/>
        </w:trPr>
        <w:tc>
          <w:tcPr>
            <w:tcW w:w="892" w:type="dxa"/>
          </w:tcPr>
          <w:p w14:paraId="5A358B73" w14:textId="77777777" w:rsidR="00F14AD1" w:rsidRPr="001170B5" w:rsidRDefault="00F14AD1" w:rsidP="00D6197D">
            <w:pPr>
              <w:jc w:val="both"/>
              <w:rPr>
                <w:rFonts w:ascii="Arial" w:hAnsi="Arial" w:cs="Arial"/>
                <w:sz w:val="20"/>
                <w:szCs w:val="20"/>
              </w:rPr>
            </w:pPr>
            <w:r w:rsidRPr="001170B5">
              <w:rPr>
                <w:rFonts w:ascii="Arial" w:hAnsi="Arial" w:cs="Arial"/>
                <w:sz w:val="20"/>
                <w:szCs w:val="20"/>
              </w:rPr>
              <w:t>2022-23</w:t>
            </w:r>
          </w:p>
        </w:tc>
        <w:tc>
          <w:tcPr>
            <w:tcW w:w="807" w:type="dxa"/>
          </w:tcPr>
          <w:p w14:paraId="5333ADCB" w14:textId="77777777" w:rsidR="00F14AD1" w:rsidRPr="001170B5" w:rsidRDefault="00CD6860" w:rsidP="00D6197D">
            <w:pPr>
              <w:jc w:val="both"/>
              <w:rPr>
                <w:rFonts w:ascii="Arial" w:hAnsi="Arial" w:cs="Arial"/>
                <w:sz w:val="20"/>
                <w:szCs w:val="20"/>
              </w:rPr>
            </w:pPr>
            <w:r w:rsidRPr="001170B5">
              <w:rPr>
                <w:rFonts w:ascii="Arial" w:hAnsi="Arial" w:cs="Arial"/>
                <w:sz w:val="20"/>
                <w:szCs w:val="20"/>
              </w:rPr>
              <w:t>26450</w:t>
            </w:r>
          </w:p>
        </w:tc>
        <w:tc>
          <w:tcPr>
            <w:tcW w:w="923" w:type="dxa"/>
          </w:tcPr>
          <w:p w14:paraId="009F179F" w14:textId="77777777" w:rsidR="00F14AD1" w:rsidRPr="001170B5" w:rsidRDefault="00CD6860" w:rsidP="00D6197D">
            <w:pPr>
              <w:jc w:val="both"/>
              <w:rPr>
                <w:rFonts w:ascii="Arial" w:hAnsi="Arial" w:cs="Arial"/>
                <w:sz w:val="20"/>
                <w:szCs w:val="20"/>
              </w:rPr>
            </w:pPr>
            <w:r w:rsidRPr="001170B5">
              <w:rPr>
                <w:rFonts w:ascii="Arial" w:hAnsi="Arial" w:cs="Arial"/>
                <w:sz w:val="20"/>
                <w:szCs w:val="20"/>
              </w:rPr>
              <w:t>79872</w:t>
            </w:r>
          </w:p>
        </w:tc>
        <w:tc>
          <w:tcPr>
            <w:tcW w:w="923" w:type="dxa"/>
          </w:tcPr>
          <w:p w14:paraId="7259DE30" w14:textId="77777777" w:rsidR="00F14AD1" w:rsidRPr="001170B5" w:rsidRDefault="00CD6860" w:rsidP="00D6197D">
            <w:pPr>
              <w:jc w:val="both"/>
              <w:rPr>
                <w:rFonts w:ascii="Arial" w:hAnsi="Arial" w:cs="Arial"/>
                <w:sz w:val="20"/>
                <w:szCs w:val="20"/>
              </w:rPr>
            </w:pPr>
            <w:r w:rsidRPr="001170B5">
              <w:rPr>
                <w:rFonts w:ascii="Arial" w:hAnsi="Arial" w:cs="Arial"/>
                <w:sz w:val="20"/>
                <w:szCs w:val="20"/>
              </w:rPr>
              <w:t>53422</w:t>
            </w:r>
          </w:p>
        </w:tc>
        <w:tc>
          <w:tcPr>
            <w:tcW w:w="656" w:type="dxa"/>
          </w:tcPr>
          <w:p w14:paraId="7CADD6D0" w14:textId="77777777" w:rsidR="00F14AD1" w:rsidRPr="001170B5" w:rsidRDefault="00CD6860" w:rsidP="00D6197D">
            <w:pPr>
              <w:jc w:val="both"/>
              <w:rPr>
                <w:rFonts w:ascii="Arial" w:hAnsi="Arial" w:cs="Arial"/>
                <w:sz w:val="20"/>
                <w:szCs w:val="20"/>
              </w:rPr>
            </w:pPr>
            <w:r w:rsidRPr="001170B5">
              <w:rPr>
                <w:rFonts w:ascii="Arial" w:hAnsi="Arial" w:cs="Arial"/>
                <w:sz w:val="20"/>
                <w:szCs w:val="20"/>
              </w:rPr>
              <w:t>3.02</w:t>
            </w:r>
          </w:p>
        </w:tc>
        <w:tc>
          <w:tcPr>
            <w:tcW w:w="923" w:type="dxa"/>
          </w:tcPr>
          <w:p w14:paraId="3416ED36" w14:textId="77777777" w:rsidR="00F14AD1" w:rsidRPr="001170B5" w:rsidRDefault="00CD6860" w:rsidP="00D6197D">
            <w:pPr>
              <w:jc w:val="both"/>
              <w:rPr>
                <w:rFonts w:ascii="Arial" w:hAnsi="Arial" w:cs="Arial"/>
                <w:sz w:val="20"/>
                <w:szCs w:val="20"/>
              </w:rPr>
            </w:pPr>
            <w:r w:rsidRPr="001170B5">
              <w:rPr>
                <w:rFonts w:ascii="Arial" w:hAnsi="Arial" w:cs="Arial"/>
                <w:sz w:val="20"/>
                <w:szCs w:val="20"/>
              </w:rPr>
              <w:t>24150</w:t>
            </w:r>
          </w:p>
        </w:tc>
        <w:tc>
          <w:tcPr>
            <w:tcW w:w="923" w:type="dxa"/>
          </w:tcPr>
          <w:p w14:paraId="6E971000" w14:textId="77777777" w:rsidR="00F14AD1" w:rsidRPr="001170B5" w:rsidRDefault="00CD6860" w:rsidP="00D6197D">
            <w:pPr>
              <w:jc w:val="both"/>
              <w:rPr>
                <w:rFonts w:ascii="Arial" w:hAnsi="Arial" w:cs="Arial"/>
                <w:sz w:val="20"/>
                <w:szCs w:val="20"/>
              </w:rPr>
            </w:pPr>
            <w:r w:rsidRPr="001170B5">
              <w:rPr>
                <w:rFonts w:ascii="Arial" w:hAnsi="Arial" w:cs="Arial"/>
                <w:sz w:val="20"/>
                <w:szCs w:val="20"/>
              </w:rPr>
              <w:t>61154</w:t>
            </w:r>
          </w:p>
        </w:tc>
        <w:tc>
          <w:tcPr>
            <w:tcW w:w="1082" w:type="dxa"/>
          </w:tcPr>
          <w:p w14:paraId="344DB29B" w14:textId="77777777" w:rsidR="00F14AD1" w:rsidRPr="001170B5" w:rsidRDefault="00CD6860" w:rsidP="00D6197D">
            <w:pPr>
              <w:jc w:val="both"/>
              <w:rPr>
                <w:rFonts w:ascii="Arial" w:hAnsi="Arial" w:cs="Arial"/>
                <w:sz w:val="20"/>
                <w:szCs w:val="20"/>
              </w:rPr>
            </w:pPr>
            <w:r w:rsidRPr="001170B5">
              <w:rPr>
                <w:rFonts w:ascii="Arial" w:hAnsi="Arial" w:cs="Arial"/>
                <w:sz w:val="20"/>
                <w:szCs w:val="20"/>
              </w:rPr>
              <w:t>37004</w:t>
            </w:r>
          </w:p>
        </w:tc>
        <w:tc>
          <w:tcPr>
            <w:tcW w:w="992" w:type="dxa"/>
          </w:tcPr>
          <w:p w14:paraId="23C9BFA6" w14:textId="77777777" w:rsidR="00F14AD1" w:rsidRPr="001170B5" w:rsidRDefault="00CD6860" w:rsidP="00D6197D">
            <w:pPr>
              <w:jc w:val="both"/>
              <w:rPr>
                <w:rFonts w:ascii="Arial" w:hAnsi="Arial" w:cs="Arial"/>
                <w:sz w:val="20"/>
                <w:szCs w:val="20"/>
              </w:rPr>
            </w:pPr>
            <w:r w:rsidRPr="001170B5">
              <w:rPr>
                <w:rFonts w:ascii="Arial" w:hAnsi="Arial" w:cs="Arial"/>
                <w:sz w:val="20"/>
                <w:szCs w:val="20"/>
              </w:rPr>
              <w:t>2.53</w:t>
            </w:r>
          </w:p>
        </w:tc>
        <w:tc>
          <w:tcPr>
            <w:tcW w:w="987" w:type="dxa"/>
          </w:tcPr>
          <w:p w14:paraId="0DCA06E5" w14:textId="77777777" w:rsidR="00F14AD1" w:rsidRPr="001170B5" w:rsidRDefault="008C48EB" w:rsidP="00D6197D">
            <w:pPr>
              <w:jc w:val="both"/>
              <w:rPr>
                <w:rFonts w:ascii="Arial" w:hAnsi="Arial" w:cs="Arial"/>
                <w:sz w:val="20"/>
                <w:szCs w:val="20"/>
              </w:rPr>
            </w:pPr>
            <w:r w:rsidRPr="001170B5">
              <w:rPr>
                <w:rFonts w:ascii="Arial" w:hAnsi="Arial" w:cs="Arial"/>
                <w:sz w:val="20"/>
                <w:szCs w:val="20"/>
              </w:rPr>
              <w:t>44.37</w:t>
            </w:r>
          </w:p>
        </w:tc>
      </w:tr>
      <w:tr w:rsidR="00F14AD1" w:rsidRPr="001170B5" w14:paraId="6FCC6D31" w14:textId="77777777" w:rsidTr="005708E6">
        <w:trPr>
          <w:jc w:val="center"/>
        </w:trPr>
        <w:tc>
          <w:tcPr>
            <w:tcW w:w="892" w:type="dxa"/>
          </w:tcPr>
          <w:p w14:paraId="68F3E665" w14:textId="77777777" w:rsidR="00F14AD1" w:rsidRPr="001170B5" w:rsidRDefault="00F14AD1" w:rsidP="00D6197D">
            <w:pPr>
              <w:jc w:val="both"/>
              <w:rPr>
                <w:rFonts w:ascii="Arial" w:hAnsi="Arial" w:cs="Arial"/>
                <w:sz w:val="20"/>
                <w:szCs w:val="20"/>
              </w:rPr>
            </w:pPr>
            <w:r w:rsidRPr="001170B5">
              <w:rPr>
                <w:rFonts w:ascii="Arial" w:hAnsi="Arial" w:cs="Arial"/>
                <w:sz w:val="20"/>
                <w:szCs w:val="20"/>
              </w:rPr>
              <w:t>2023-</w:t>
            </w:r>
            <w:r w:rsidRPr="001170B5">
              <w:rPr>
                <w:rFonts w:ascii="Arial" w:hAnsi="Arial" w:cs="Arial"/>
                <w:sz w:val="20"/>
                <w:szCs w:val="20"/>
              </w:rPr>
              <w:lastRenderedPageBreak/>
              <w:t>24</w:t>
            </w:r>
          </w:p>
        </w:tc>
        <w:tc>
          <w:tcPr>
            <w:tcW w:w="807" w:type="dxa"/>
          </w:tcPr>
          <w:p w14:paraId="6FDAA919" w14:textId="77777777" w:rsidR="00F14AD1" w:rsidRPr="001170B5" w:rsidRDefault="006B62BB" w:rsidP="00D6197D">
            <w:pPr>
              <w:jc w:val="both"/>
              <w:rPr>
                <w:rFonts w:ascii="Arial" w:hAnsi="Arial" w:cs="Arial"/>
                <w:sz w:val="20"/>
                <w:szCs w:val="20"/>
              </w:rPr>
            </w:pPr>
            <w:r w:rsidRPr="001170B5">
              <w:rPr>
                <w:rFonts w:ascii="Arial" w:hAnsi="Arial" w:cs="Arial"/>
                <w:sz w:val="20"/>
                <w:szCs w:val="20"/>
              </w:rPr>
              <w:lastRenderedPageBreak/>
              <w:t>26645</w:t>
            </w:r>
          </w:p>
        </w:tc>
        <w:tc>
          <w:tcPr>
            <w:tcW w:w="923" w:type="dxa"/>
          </w:tcPr>
          <w:p w14:paraId="32962050" w14:textId="77777777" w:rsidR="00F14AD1" w:rsidRPr="001170B5" w:rsidRDefault="006B62BB" w:rsidP="00D6197D">
            <w:pPr>
              <w:jc w:val="both"/>
              <w:rPr>
                <w:rFonts w:ascii="Arial" w:hAnsi="Arial" w:cs="Arial"/>
                <w:sz w:val="20"/>
                <w:szCs w:val="20"/>
              </w:rPr>
            </w:pPr>
            <w:r w:rsidRPr="001170B5">
              <w:rPr>
                <w:rFonts w:ascii="Arial" w:hAnsi="Arial" w:cs="Arial"/>
                <w:sz w:val="20"/>
                <w:szCs w:val="20"/>
              </w:rPr>
              <w:t>85024</w:t>
            </w:r>
          </w:p>
        </w:tc>
        <w:tc>
          <w:tcPr>
            <w:tcW w:w="923" w:type="dxa"/>
          </w:tcPr>
          <w:p w14:paraId="44627D32" w14:textId="77777777" w:rsidR="00F14AD1" w:rsidRPr="001170B5" w:rsidRDefault="006B62BB" w:rsidP="00D6197D">
            <w:pPr>
              <w:jc w:val="both"/>
              <w:rPr>
                <w:rFonts w:ascii="Arial" w:hAnsi="Arial" w:cs="Arial"/>
                <w:sz w:val="20"/>
                <w:szCs w:val="20"/>
              </w:rPr>
            </w:pPr>
            <w:r w:rsidRPr="001170B5">
              <w:rPr>
                <w:rFonts w:ascii="Arial" w:hAnsi="Arial" w:cs="Arial"/>
                <w:sz w:val="20"/>
                <w:szCs w:val="20"/>
              </w:rPr>
              <w:t>58024</w:t>
            </w:r>
          </w:p>
        </w:tc>
        <w:tc>
          <w:tcPr>
            <w:tcW w:w="656" w:type="dxa"/>
          </w:tcPr>
          <w:p w14:paraId="1169C2BB" w14:textId="77777777" w:rsidR="00F14AD1" w:rsidRPr="001170B5" w:rsidRDefault="006B62BB" w:rsidP="00D6197D">
            <w:pPr>
              <w:jc w:val="both"/>
              <w:rPr>
                <w:rFonts w:ascii="Arial" w:hAnsi="Arial" w:cs="Arial"/>
                <w:sz w:val="20"/>
                <w:szCs w:val="20"/>
              </w:rPr>
            </w:pPr>
            <w:r w:rsidRPr="001170B5">
              <w:rPr>
                <w:rFonts w:ascii="Arial" w:hAnsi="Arial" w:cs="Arial"/>
                <w:sz w:val="20"/>
                <w:szCs w:val="20"/>
              </w:rPr>
              <w:t>3:19</w:t>
            </w:r>
          </w:p>
        </w:tc>
        <w:tc>
          <w:tcPr>
            <w:tcW w:w="923" w:type="dxa"/>
          </w:tcPr>
          <w:p w14:paraId="21603210" w14:textId="77777777" w:rsidR="00F14AD1" w:rsidRPr="001170B5" w:rsidRDefault="006B62BB" w:rsidP="00D6197D">
            <w:pPr>
              <w:jc w:val="both"/>
              <w:rPr>
                <w:rFonts w:ascii="Arial" w:hAnsi="Arial" w:cs="Arial"/>
                <w:sz w:val="20"/>
                <w:szCs w:val="20"/>
              </w:rPr>
            </w:pPr>
            <w:r w:rsidRPr="001170B5">
              <w:rPr>
                <w:rFonts w:ascii="Arial" w:hAnsi="Arial" w:cs="Arial"/>
                <w:sz w:val="20"/>
                <w:szCs w:val="20"/>
              </w:rPr>
              <w:t>24350</w:t>
            </w:r>
          </w:p>
        </w:tc>
        <w:tc>
          <w:tcPr>
            <w:tcW w:w="923" w:type="dxa"/>
          </w:tcPr>
          <w:p w14:paraId="026D5726" w14:textId="77777777" w:rsidR="00F14AD1" w:rsidRPr="001170B5" w:rsidRDefault="006B62BB" w:rsidP="00D6197D">
            <w:pPr>
              <w:jc w:val="both"/>
              <w:rPr>
                <w:rFonts w:ascii="Arial" w:hAnsi="Arial" w:cs="Arial"/>
                <w:sz w:val="20"/>
                <w:szCs w:val="20"/>
              </w:rPr>
            </w:pPr>
            <w:r w:rsidRPr="001170B5">
              <w:rPr>
                <w:rFonts w:ascii="Arial" w:hAnsi="Arial" w:cs="Arial"/>
                <w:sz w:val="20"/>
                <w:szCs w:val="20"/>
              </w:rPr>
              <w:t>68396</w:t>
            </w:r>
          </w:p>
        </w:tc>
        <w:tc>
          <w:tcPr>
            <w:tcW w:w="1082" w:type="dxa"/>
          </w:tcPr>
          <w:p w14:paraId="37B4FD49" w14:textId="77777777" w:rsidR="00F14AD1" w:rsidRPr="001170B5" w:rsidRDefault="006B62BB" w:rsidP="00D6197D">
            <w:pPr>
              <w:jc w:val="both"/>
              <w:rPr>
                <w:rFonts w:ascii="Arial" w:hAnsi="Arial" w:cs="Arial"/>
                <w:sz w:val="20"/>
                <w:szCs w:val="20"/>
              </w:rPr>
            </w:pPr>
            <w:r w:rsidRPr="001170B5">
              <w:rPr>
                <w:rFonts w:ascii="Arial" w:hAnsi="Arial" w:cs="Arial"/>
                <w:sz w:val="20"/>
                <w:szCs w:val="20"/>
              </w:rPr>
              <w:t>44046</w:t>
            </w:r>
          </w:p>
        </w:tc>
        <w:tc>
          <w:tcPr>
            <w:tcW w:w="992" w:type="dxa"/>
          </w:tcPr>
          <w:p w14:paraId="3565A101" w14:textId="77777777" w:rsidR="00F14AD1" w:rsidRPr="001170B5" w:rsidRDefault="006B62BB" w:rsidP="00D6197D">
            <w:pPr>
              <w:jc w:val="both"/>
              <w:rPr>
                <w:rFonts w:ascii="Arial" w:hAnsi="Arial" w:cs="Arial"/>
                <w:sz w:val="20"/>
                <w:szCs w:val="20"/>
              </w:rPr>
            </w:pPr>
            <w:r w:rsidRPr="001170B5">
              <w:rPr>
                <w:rFonts w:ascii="Arial" w:hAnsi="Arial" w:cs="Arial"/>
                <w:sz w:val="20"/>
                <w:szCs w:val="20"/>
              </w:rPr>
              <w:t>2.81</w:t>
            </w:r>
          </w:p>
        </w:tc>
        <w:tc>
          <w:tcPr>
            <w:tcW w:w="987" w:type="dxa"/>
          </w:tcPr>
          <w:p w14:paraId="16DE78C9" w14:textId="77777777" w:rsidR="00F14AD1" w:rsidRPr="001170B5" w:rsidRDefault="008C48EB" w:rsidP="00D6197D">
            <w:pPr>
              <w:jc w:val="both"/>
              <w:rPr>
                <w:rFonts w:ascii="Arial" w:hAnsi="Arial" w:cs="Arial"/>
                <w:sz w:val="20"/>
                <w:szCs w:val="20"/>
              </w:rPr>
            </w:pPr>
            <w:r w:rsidRPr="001170B5">
              <w:rPr>
                <w:rFonts w:ascii="Arial" w:hAnsi="Arial" w:cs="Arial"/>
                <w:sz w:val="20"/>
                <w:szCs w:val="20"/>
              </w:rPr>
              <w:t>31.74</w:t>
            </w:r>
          </w:p>
        </w:tc>
      </w:tr>
    </w:tbl>
    <w:p w14:paraId="1085D728" w14:textId="77777777" w:rsidR="00F14AD1" w:rsidRPr="001170B5" w:rsidRDefault="0005377E" w:rsidP="00DB4A05">
      <w:pPr>
        <w:jc w:val="both"/>
        <w:rPr>
          <w:rFonts w:ascii="Arial" w:hAnsi="Arial" w:cs="Arial"/>
          <w:sz w:val="20"/>
          <w:szCs w:val="20"/>
        </w:rPr>
      </w:pPr>
      <w:r w:rsidRPr="001170B5">
        <w:rPr>
          <w:rFonts w:ascii="Arial" w:hAnsi="Arial" w:cs="Arial"/>
          <w:sz w:val="20"/>
          <w:szCs w:val="20"/>
        </w:rPr>
        <w:t xml:space="preserve">* Rs. </w:t>
      </w:r>
      <w:r w:rsidR="008A55A0" w:rsidRPr="001170B5">
        <w:rPr>
          <w:rFonts w:ascii="Arial" w:hAnsi="Arial" w:cs="Arial"/>
          <w:sz w:val="20"/>
          <w:szCs w:val="20"/>
        </w:rPr>
        <w:t>77.55</w:t>
      </w:r>
      <w:r w:rsidRPr="001170B5">
        <w:rPr>
          <w:rFonts w:ascii="Arial" w:hAnsi="Arial" w:cs="Arial"/>
          <w:sz w:val="20"/>
          <w:szCs w:val="20"/>
        </w:rPr>
        <w:t xml:space="preserve"> per kg rate in 202</w:t>
      </w:r>
      <w:r w:rsidR="008A55A0" w:rsidRPr="001170B5">
        <w:rPr>
          <w:rFonts w:ascii="Arial" w:hAnsi="Arial" w:cs="Arial"/>
          <w:sz w:val="20"/>
          <w:szCs w:val="20"/>
        </w:rPr>
        <w:t>2</w:t>
      </w:r>
      <w:r w:rsidRPr="001170B5">
        <w:rPr>
          <w:rFonts w:ascii="Arial" w:hAnsi="Arial" w:cs="Arial"/>
          <w:sz w:val="20"/>
          <w:szCs w:val="20"/>
        </w:rPr>
        <w:t xml:space="preserve">-24 &amp; Rs </w:t>
      </w:r>
      <w:r w:rsidR="008A55A0" w:rsidRPr="001170B5">
        <w:rPr>
          <w:rFonts w:ascii="Arial" w:hAnsi="Arial" w:cs="Arial"/>
          <w:sz w:val="20"/>
          <w:szCs w:val="20"/>
        </w:rPr>
        <w:t>85.58</w:t>
      </w:r>
      <w:r w:rsidRPr="001170B5">
        <w:rPr>
          <w:rFonts w:ascii="Arial" w:hAnsi="Arial" w:cs="Arial"/>
          <w:sz w:val="20"/>
          <w:szCs w:val="20"/>
        </w:rPr>
        <w:t xml:space="preserve"> per kg rate in 202</w:t>
      </w:r>
      <w:r w:rsidR="008A55A0" w:rsidRPr="001170B5">
        <w:rPr>
          <w:rFonts w:ascii="Arial" w:hAnsi="Arial" w:cs="Arial"/>
          <w:sz w:val="20"/>
          <w:szCs w:val="20"/>
        </w:rPr>
        <w:t>3</w:t>
      </w:r>
      <w:r w:rsidRPr="001170B5">
        <w:rPr>
          <w:rFonts w:ascii="Arial" w:hAnsi="Arial" w:cs="Arial"/>
          <w:sz w:val="20"/>
          <w:szCs w:val="20"/>
        </w:rPr>
        <w:t>-25</w:t>
      </w:r>
    </w:p>
    <w:p w14:paraId="799BD1CD" w14:textId="77777777" w:rsidR="005708E6" w:rsidRPr="001170B5" w:rsidRDefault="00A66194" w:rsidP="0042721D">
      <w:pPr>
        <w:ind w:firstLine="360"/>
        <w:jc w:val="both"/>
        <w:rPr>
          <w:rFonts w:ascii="Arial" w:hAnsi="Arial" w:cs="Arial"/>
          <w:sz w:val="20"/>
          <w:szCs w:val="20"/>
        </w:rPr>
      </w:pPr>
      <w:r w:rsidRPr="001170B5">
        <w:rPr>
          <w:rFonts w:ascii="Arial" w:hAnsi="Arial" w:cs="Arial"/>
          <w:sz w:val="20"/>
          <w:szCs w:val="20"/>
        </w:rPr>
        <w:t xml:space="preserve">Table 2 provides specifics on the economic assessment of green gram cultivation under NICRA Front Line Demonstrations (FLDs). NICRA FLDs produced significantly higher gross returns of Rs. 79,872/ha in 2022–2023 and Rs. 85,024/ha in 2023–2024, according to an analysis of economic returns. In line with this, net returns for the corresponding years were Rs. 53,422/ha and Rs. 58,024/ha. Along with being more </w:t>
      </w:r>
      <w:proofErr w:type="spellStart"/>
      <w:r w:rsidRPr="001170B5">
        <w:rPr>
          <w:rFonts w:ascii="Arial" w:hAnsi="Arial" w:cs="Arial"/>
          <w:sz w:val="20"/>
          <w:szCs w:val="20"/>
        </w:rPr>
        <w:t>favorable</w:t>
      </w:r>
      <w:proofErr w:type="spellEnd"/>
      <w:r w:rsidRPr="001170B5">
        <w:rPr>
          <w:rFonts w:ascii="Arial" w:hAnsi="Arial" w:cs="Arial"/>
          <w:sz w:val="20"/>
          <w:szCs w:val="20"/>
        </w:rPr>
        <w:t xml:space="preserve"> under FLDs, the benefit-cost (B: C) ratio had values of 3.02 and 3.19 as opposed to 2.53 and 2.81 under local check plots. In 2022–2023 and 2023–2024, the net returns under the demonstration plots increased by 44.37% and 31.74%, respectively. These findings unequivocally demonstrate the financial benefit of enhanced farming techniques made possible by NICRA. </w:t>
      </w:r>
      <w:r w:rsidR="005708E6" w:rsidRPr="001170B5">
        <w:rPr>
          <w:rFonts w:ascii="Arial" w:hAnsi="Arial" w:cs="Arial"/>
          <w:sz w:val="20"/>
          <w:szCs w:val="20"/>
        </w:rPr>
        <w:t xml:space="preserve">Similar economic benefits from demonstration plots over farmers’ traditional practices have been reported by Nain </w:t>
      </w:r>
      <w:r w:rsidR="005708E6" w:rsidRPr="001170B5">
        <w:rPr>
          <w:rFonts w:ascii="Arial" w:hAnsi="Arial" w:cs="Arial"/>
          <w:i/>
          <w:iCs/>
          <w:sz w:val="20"/>
          <w:szCs w:val="20"/>
        </w:rPr>
        <w:t>et al.</w:t>
      </w:r>
      <w:r w:rsidR="005708E6" w:rsidRPr="001170B5">
        <w:rPr>
          <w:rFonts w:ascii="Arial" w:hAnsi="Arial" w:cs="Arial"/>
          <w:sz w:val="20"/>
          <w:szCs w:val="20"/>
        </w:rPr>
        <w:t xml:space="preserve"> (2015), Patil </w:t>
      </w:r>
      <w:r w:rsidR="005708E6" w:rsidRPr="001170B5">
        <w:rPr>
          <w:rFonts w:ascii="Arial" w:hAnsi="Arial" w:cs="Arial"/>
          <w:i/>
          <w:iCs/>
          <w:sz w:val="20"/>
          <w:szCs w:val="20"/>
        </w:rPr>
        <w:t>et al.</w:t>
      </w:r>
      <w:r w:rsidR="005708E6" w:rsidRPr="001170B5">
        <w:rPr>
          <w:rFonts w:ascii="Arial" w:hAnsi="Arial" w:cs="Arial"/>
          <w:sz w:val="20"/>
          <w:szCs w:val="20"/>
        </w:rPr>
        <w:t xml:space="preserve"> (2015), Kumar </w:t>
      </w:r>
      <w:r w:rsidR="005708E6" w:rsidRPr="001170B5">
        <w:rPr>
          <w:rFonts w:ascii="Arial" w:hAnsi="Arial" w:cs="Arial"/>
          <w:i/>
          <w:iCs/>
          <w:sz w:val="20"/>
          <w:szCs w:val="20"/>
        </w:rPr>
        <w:t>et al.</w:t>
      </w:r>
      <w:r w:rsidR="005708E6" w:rsidRPr="001170B5">
        <w:rPr>
          <w:rFonts w:ascii="Arial" w:hAnsi="Arial" w:cs="Arial"/>
          <w:sz w:val="20"/>
          <w:szCs w:val="20"/>
        </w:rPr>
        <w:t xml:space="preserve"> (2018), and Gireesh </w:t>
      </w:r>
      <w:r w:rsidR="005708E6" w:rsidRPr="001170B5">
        <w:rPr>
          <w:rFonts w:ascii="Arial" w:hAnsi="Arial" w:cs="Arial"/>
          <w:i/>
          <w:iCs/>
          <w:sz w:val="20"/>
          <w:szCs w:val="20"/>
        </w:rPr>
        <w:t>et al.</w:t>
      </w:r>
      <w:r w:rsidR="005708E6" w:rsidRPr="001170B5">
        <w:rPr>
          <w:rFonts w:ascii="Arial" w:hAnsi="Arial" w:cs="Arial"/>
          <w:sz w:val="20"/>
          <w:szCs w:val="20"/>
        </w:rPr>
        <w:t xml:space="preserve"> (2019), indicating that adoption of recommended technologies can significantly enhance farm profitability.</w:t>
      </w:r>
    </w:p>
    <w:p w14:paraId="69CC8F1F" w14:textId="77777777" w:rsidR="0005377E" w:rsidRPr="001170B5" w:rsidRDefault="0005377E" w:rsidP="00A66194">
      <w:pPr>
        <w:rPr>
          <w:rFonts w:ascii="Arial" w:hAnsi="Arial" w:cs="Arial"/>
          <w:b/>
          <w:sz w:val="20"/>
          <w:szCs w:val="20"/>
        </w:rPr>
      </w:pPr>
      <w:r w:rsidRPr="001170B5">
        <w:rPr>
          <w:rFonts w:ascii="Arial" w:hAnsi="Arial" w:cs="Arial"/>
          <w:b/>
          <w:sz w:val="20"/>
          <w:szCs w:val="20"/>
        </w:rPr>
        <w:t>CONCLUSION</w:t>
      </w:r>
    </w:p>
    <w:p w14:paraId="679B7698" w14:textId="30BB1BD4" w:rsidR="0005377E" w:rsidRDefault="0005377E" w:rsidP="0042721D">
      <w:pPr>
        <w:ind w:firstLine="360"/>
        <w:jc w:val="both"/>
        <w:rPr>
          <w:rFonts w:ascii="Arial" w:hAnsi="Arial" w:cs="Arial"/>
          <w:sz w:val="20"/>
          <w:szCs w:val="20"/>
        </w:rPr>
      </w:pPr>
      <w:r w:rsidRPr="001170B5">
        <w:rPr>
          <w:rFonts w:ascii="Arial" w:hAnsi="Arial" w:cs="Arial"/>
          <w:sz w:val="20"/>
          <w:szCs w:val="20"/>
        </w:rPr>
        <w:t xml:space="preserve">The cluster frontline line demonstrations conducted by </w:t>
      </w:r>
      <w:proofErr w:type="spellStart"/>
      <w:r w:rsidRPr="001170B5">
        <w:rPr>
          <w:rFonts w:ascii="Arial" w:hAnsi="Arial" w:cs="Arial"/>
          <w:sz w:val="20"/>
          <w:szCs w:val="20"/>
        </w:rPr>
        <w:t>Krishi</w:t>
      </w:r>
      <w:proofErr w:type="spellEnd"/>
      <w:r w:rsidRPr="001170B5">
        <w:rPr>
          <w:rFonts w:ascii="Arial" w:hAnsi="Arial" w:cs="Arial"/>
          <w:sz w:val="20"/>
          <w:szCs w:val="20"/>
        </w:rPr>
        <w:t xml:space="preserve"> </w:t>
      </w:r>
      <w:proofErr w:type="spellStart"/>
      <w:r w:rsidRPr="001170B5">
        <w:rPr>
          <w:rFonts w:ascii="Arial" w:hAnsi="Arial" w:cs="Arial"/>
          <w:sz w:val="20"/>
          <w:szCs w:val="20"/>
        </w:rPr>
        <w:t>Vigyan</w:t>
      </w:r>
      <w:proofErr w:type="spellEnd"/>
      <w:r w:rsidRPr="001170B5">
        <w:rPr>
          <w:rFonts w:ascii="Arial" w:hAnsi="Arial" w:cs="Arial"/>
          <w:sz w:val="20"/>
          <w:szCs w:val="20"/>
        </w:rPr>
        <w:t xml:space="preserve"> </w:t>
      </w:r>
      <w:proofErr w:type="spellStart"/>
      <w:r w:rsidRPr="001170B5">
        <w:rPr>
          <w:rFonts w:ascii="Arial" w:hAnsi="Arial" w:cs="Arial"/>
          <w:sz w:val="20"/>
          <w:szCs w:val="20"/>
        </w:rPr>
        <w:t>Kenra</w:t>
      </w:r>
      <w:proofErr w:type="spellEnd"/>
      <w:r w:rsidRPr="001170B5">
        <w:rPr>
          <w:rFonts w:ascii="Arial" w:hAnsi="Arial" w:cs="Arial"/>
          <w:sz w:val="20"/>
          <w:szCs w:val="20"/>
        </w:rPr>
        <w:t xml:space="preserve">, </w:t>
      </w:r>
      <w:proofErr w:type="spellStart"/>
      <w:r w:rsidRPr="001170B5">
        <w:rPr>
          <w:rFonts w:ascii="Arial" w:hAnsi="Arial" w:cs="Arial"/>
          <w:sz w:val="20"/>
          <w:szCs w:val="20"/>
        </w:rPr>
        <w:t>Athiyasan</w:t>
      </w:r>
      <w:proofErr w:type="spellEnd"/>
      <w:r w:rsidRPr="001170B5">
        <w:rPr>
          <w:rFonts w:ascii="Arial" w:hAnsi="Arial" w:cs="Arial"/>
          <w:sz w:val="20"/>
          <w:szCs w:val="20"/>
        </w:rPr>
        <w:t xml:space="preserve">, </w:t>
      </w:r>
      <w:proofErr w:type="spellStart"/>
      <w:r w:rsidRPr="001170B5">
        <w:rPr>
          <w:rFonts w:ascii="Arial" w:hAnsi="Arial" w:cs="Arial"/>
          <w:sz w:val="20"/>
          <w:szCs w:val="20"/>
        </w:rPr>
        <w:t>Nagaur</w:t>
      </w:r>
      <w:proofErr w:type="spellEnd"/>
      <w:r w:rsidRPr="001170B5">
        <w:rPr>
          <w:rFonts w:ascii="Arial" w:hAnsi="Arial" w:cs="Arial"/>
          <w:sz w:val="20"/>
          <w:szCs w:val="20"/>
        </w:rPr>
        <w:t xml:space="preserve"> under Agriculture University, Jodhpur had enhanced the yield of green gram and ensured rapid spread of recommended technologies of green gram production by implementation of various extension activities like training programmes, field days, exposure visits etc. organized in farmer’s field. The farmers included under </w:t>
      </w:r>
      <w:r w:rsidR="008A55A0" w:rsidRPr="001170B5">
        <w:rPr>
          <w:rFonts w:ascii="Arial" w:hAnsi="Arial" w:cs="Arial"/>
          <w:sz w:val="20"/>
          <w:szCs w:val="20"/>
        </w:rPr>
        <w:t>NICRA project</w:t>
      </w:r>
      <w:r w:rsidRPr="001170B5">
        <w:rPr>
          <w:rFonts w:ascii="Arial" w:hAnsi="Arial" w:cs="Arial"/>
          <w:sz w:val="20"/>
          <w:szCs w:val="20"/>
        </w:rPr>
        <w:t xml:space="preserve"> programme also played an important role for wider dissemination of the improved technologies for the nearby farmers. Therefore, it </w:t>
      </w:r>
      <w:proofErr w:type="gramStart"/>
      <w:r w:rsidRPr="001170B5">
        <w:rPr>
          <w:rFonts w:ascii="Arial" w:hAnsi="Arial" w:cs="Arial"/>
          <w:sz w:val="20"/>
          <w:szCs w:val="20"/>
        </w:rPr>
        <w:t>is suggested</w:t>
      </w:r>
      <w:proofErr w:type="gramEnd"/>
      <w:r w:rsidRPr="001170B5">
        <w:rPr>
          <w:rFonts w:ascii="Arial" w:hAnsi="Arial" w:cs="Arial"/>
          <w:sz w:val="20"/>
          <w:szCs w:val="20"/>
        </w:rPr>
        <w:t xml:space="preserve"> that policy maker may provide adequate financial support to frontline extension system for organizing FLD under the close supervision of agricultural scientists and extension functionaries</w:t>
      </w:r>
    </w:p>
    <w:p w14:paraId="43C04CD1" w14:textId="77777777" w:rsidR="00CA1E15" w:rsidRPr="00CA1E15" w:rsidRDefault="00CA1E15" w:rsidP="00CA1E15">
      <w:pPr>
        <w:ind w:firstLine="360"/>
        <w:jc w:val="both"/>
        <w:rPr>
          <w:rFonts w:ascii="Arial" w:hAnsi="Arial" w:cs="Arial"/>
          <w:sz w:val="20"/>
          <w:szCs w:val="20"/>
        </w:rPr>
      </w:pPr>
      <w:r w:rsidRPr="00CA1E15">
        <w:rPr>
          <w:rFonts w:ascii="Arial" w:hAnsi="Arial" w:cs="Arial"/>
          <w:sz w:val="20"/>
          <w:szCs w:val="20"/>
        </w:rPr>
        <w:t>Disclaimer (Artificial intelligence)</w:t>
      </w:r>
    </w:p>
    <w:p w14:paraId="434FB9E7" w14:textId="77777777" w:rsidR="00CA1E15" w:rsidRPr="00CA1E15" w:rsidRDefault="00CA1E15" w:rsidP="00CA1E15">
      <w:pPr>
        <w:ind w:firstLine="360"/>
        <w:jc w:val="both"/>
        <w:rPr>
          <w:rFonts w:ascii="Arial" w:hAnsi="Arial" w:cs="Arial"/>
          <w:sz w:val="20"/>
          <w:szCs w:val="20"/>
        </w:rPr>
      </w:pPr>
      <w:r w:rsidRPr="00CA1E15">
        <w:rPr>
          <w:rFonts w:ascii="Arial" w:hAnsi="Arial" w:cs="Arial"/>
          <w:sz w:val="20"/>
          <w:szCs w:val="20"/>
        </w:rPr>
        <w:t xml:space="preserve">Option 1: </w:t>
      </w:r>
    </w:p>
    <w:p w14:paraId="649BB3CC" w14:textId="77777777" w:rsidR="00CA1E15" w:rsidRPr="00CA1E15" w:rsidRDefault="00CA1E15" w:rsidP="00CA1E15">
      <w:pPr>
        <w:ind w:firstLine="360"/>
        <w:jc w:val="both"/>
        <w:rPr>
          <w:rFonts w:ascii="Arial" w:hAnsi="Arial" w:cs="Arial"/>
          <w:sz w:val="20"/>
          <w:szCs w:val="20"/>
        </w:rPr>
      </w:pPr>
      <w:r w:rsidRPr="00CA1E15">
        <w:rPr>
          <w:rFonts w:ascii="Arial" w:hAnsi="Arial" w:cs="Arial"/>
          <w:sz w:val="20"/>
          <w:szCs w:val="20"/>
        </w:rPr>
        <w:t>Author(s) hereby declare that NO generative AI technologies such as Large Language Models (</w:t>
      </w:r>
      <w:proofErr w:type="spellStart"/>
      <w:r w:rsidRPr="00CA1E15">
        <w:rPr>
          <w:rFonts w:ascii="Arial" w:hAnsi="Arial" w:cs="Arial"/>
          <w:sz w:val="20"/>
          <w:szCs w:val="20"/>
        </w:rPr>
        <w:t>ChatGPT</w:t>
      </w:r>
      <w:proofErr w:type="spellEnd"/>
      <w:r w:rsidRPr="00CA1E15">
        <w:rPr>
          <w:rFonts w:ascii="Arial" w:hAnsi="Arial" w:cs="Arial"/>
          <w:sz w:val="20"/>
          <w:szCs w:val="20"/>
        </w:rPr>
        <w:t xml:space="preserve">, COPILOT, etc.) and text-to-image generators </w:t>
      </w:r>
      <w:proofErr w:type="gramStart"/>
      <w:r w:rsidRPr="00CA1E15">
        <w:rPr>
          <w:rFonts w:ascii="Arial" w:hAnsi="Arial" w:cs="Arial"/>
          <w:sz w:val="20"/>
          <w:szCs w:val="20"/>
        </w:rPr>
        <w:t>have been used</w:t>
      </w:r>
      <w:proofErr w:type="gramEnd"/>
      <w:r w:rsidRPr="00CA1E15">
        <w:rPr>
          <w:rFonts w:ascii="Arial" w:hAnsi="Arial" w:cs="Arial"/>
          <w:sz w:val="20"/>
          <w:szCs w:val="20"/>
        </w:rPr>
        <w:t xml:space="preserve"> during the writing or editing of this manuscript. </w:t>
      </w:r>
    </w:p>
    <w:p w14:paraId="444D93FE" w14:textId="77777777" w:rsidR="00CA1E15" w:rsidRPr="00CA1E15" w:rsidRDefault="00CA1E15" w:rsidP="00CA1E15">
      <w:pPr>
        <w:ind w:firstLine="360"/>
        <w:jc w:val="both"/>
        <w:rPr>
          <w:rFonts w:ascii="Arial" w:hAnsi="Arial" w:cs="Arial"/>
          <w:sz w:val="20"/>
          <w:szCs w:val="20"/>
        </w:rPr>
      </w:pPr>
      <w:r w:rsidRPr="00CA1E15">
        <w:rPr>
          <w:rFonts w:ascii="Arial" w:hAnsi="Arial" w:cs="Arial"/>
          <w:sz w:val="20"/>
          <w:szCs w:val="20"/>
        </w:rPr>
        <w:t xml:space="preserve">Option 2: </w:t>
      </w:r>
    </w:p>
    <w:p w14:paraId="6F334CEA" w14:textId="77777777" w:rsidR="00CA1E15" w:rsidRPr="00CA1E15" w:rsidRDefault="00CA1E15" w:rsidP="00CA1E15">
      <w:pPr>
        <w:ind w:firstLine="360"/>
        <w:jc w:val="both"/>
        <w:rPr>
          <w:rFonts w:ascii="Arial" w:hAnsi="Arial" w:cs="Arial"/>
          <w:sz w:val="20"/>
          <w:szCs w:val="20"/>
        </w:rPr>
      </w:pPr>
      <w:r w:rsidRPr="00CA1E15">
        <w:rPr>
          <w:rFonts w:ascii="Arial" w:hAnsi="Arial" w:cs="Arial"/>
          <w:sz w:val="20"/>
          <w:szCs w:val="20"/>
        </w:rPr>
        <w:t xml:space="preserve">Author(s) hereby declare that generative AI technologies such as Large Language Models, etc. </w:t>
      </w:r>
      <w:proofErr w:type="gramStart"/>
      <w:r w:rsidRPr="00CA1E15">
        <w:rPr>
          <w:rFonts w:ascii="Arial" w:hAnsi="Arial" w:cs="Arial"/>
          <w:sz w:val="20"/>
          <w:szCs w:val="20"/>
        </w:rPr>
        <w:t>have been used</w:t>
      </w:r>
      <w:proofErr w:type="gramEnd"/>
      <w:r w:rsidRPr="00CA1E15">
        <w:rPr>
          <w:rFonts w:ascii="Arial" w:hAnsi="Arial" w:cs="Arial"/>
          <w:sz w:val="20"/>
          <w:szCs w:val="20"/>
        </w:rPr>
        <w:t xml:space="preserve"> during the writing or editing of manuscripts. This explanation will include the name, version, model, and source of the generative AI technology and as well as all input prompts provided to the generative AI technology</w:t>
      </w:r>
    </w:p>
    <w:p w14:paraId="1E1A9E74" w14:textId="77777777" w:rsidR="00CA1E15" w:rsidRPr="00CA1E15" w:rsidRDefault="00CA1E15" w:rsidP="00CA1E15">
      <w:pPr>
        <w:ind w:firstLine="360"/>
        <w:jc w:val="both"/>
        <w:rPr>
          <w:rFonts w:ascii="Arial" w:hAnsi="Arial" w:cs="Arial"/>
          <w:sz w:val="20"/>
          <w:szCs w:val="20"/>
        </w:rPr>
      </w:pPr>
      <w:r w:rsidRPr="00CA1E15">
        <w:rPr>
          <w:rFonts w:ascii="Arial" w:hAnsi="Arial" w:cs="Arial"/>
          <w:sz w:val="20"/>
          <w:szCs w:val="20"/>
        </w:rPr>
        <w:t xml:space="preserve">Details of the AI usage </w:t>
      </w:r>
      <w:proofErr w:type="gramStart"/>
      <w:r w:rsidRPr="00CA1E15">
        <w:rPr>
          <w:rFonts w:ascii="Arial" w:hAnsi="Arial" w:cs="Arial"/>
          <w:sz w:val="20"/>
          <w:szCs w:val="20"/>
        </w:rPr>
        <w:t>are given</w:t>
      </w:r>
      <w:proofErr w:type="gramEnd"/>
      <w:r w:rsidRPr="00CA1E15">
        <w:rPr>
          <w:rFonts w:ascii="Arial" w:hAnsi="Arial" w:cs="Arial"/>
          <w:sz w:val="20"/>
          <w:szCs w:val="20"/>
        </w:rPr>
        <w:t xml:space="preserve"> below:</w:t>
      </w:r>
    </w:p>
    <w:p w14:paraId="7E3D7BEA" w14:textId="77777777" w:rsidR="00CA1E15" w:rsidRPr="00CA1E15" w:rsidRDefault="00CA1E15" w:rsidP="00CA1E15">
      <w:pPr>
        <w:ind w:firstLine="360"/>
        <w:jc w:val="both"/>
        <w:rPr>
          <w:rFonts w:ascii="Arial" w:hAnsi="Arial" w:cs="Arial"/>
          <w:sz w:val="20"/>
          <w:szCs w:val="20"/>
        </w:rPr>
      </w:pPr>
      <w:r w:rsidRPr="00CA1E15">
        <w:rPr>
          <w:rFonts w:ascii="Arial" w:hAnsi="Arial" w:cs="Arial"/>
          <w:sz w:val="20"/>
          <w:szCs w:val="20"/>
        </w:rPr>
        <w:t>1.</w:t>
      </w:r>
    </w:p>
    <w:p w14:paraId="17C7AD8E" w14:textId="77777777" w:rsidR="00CA1E15" w:rsidRPr="00CA1E15" w:rsidRDefault="00CA1E15" w:rsidP="00CA1E15">
      <w:pPr>
        <w:ind w:firstLine="360"/>
        <w:jc w:val="both"/>
        <w:rPr>
          <w:rFonts w:ascii="Arial" w:hAnsi="Arial" w:cs="Arial"/>
          <w:sz w:val="20"/>
          <w:szCs w:val="20"/>
        </w:rPr>
      </w:pPr>
      <w:r w:rsidRPr="00CA1E15">
        <w:rPr>
          <w:rFonts w:ascii="Arial" w:hAnsi="Arial" w:cs="Arial"/>
          <w:sz w:val="20"/>
          <w:szCs w:val="20"/>
        </w:rPr>
        <w:t>2.</w:t>
      </w:r>
    </w:p>
    <w:p w14:paraId="15275941" w14:textId="6259E9A4" w:rsidR="00CA1E15" w:rsidRPr="001170B5" w:rsidRDefault="00CA1E15" w:rsidP="00CA1E15">
      <w:pPr>
        <w:ind w:firstLine="360"/>
        <w:jc w:val="both"/>
        <w:rPr>
          <w:rFonts w:ascii="Arial" w:hAnsi="Arial" w:cs="Arial"/>
          <w:sz w:val="20"/>
          <w:szCs w:val="20"/>
        </w:rPr>
      </w:pPr>
      <w:r w:rsidRPr="00CA1E15">
        <w:rPr>
          <w:rFonts w:ascii="Arial" w:hAnsi="Arial" w:cs="Arial"/>
          <w:sz w:val="20"/>
          <w:szCs w:val="20"/>
        </w:rPr>
        <w:t>3.</w:t>
      </w:r>
      <w:bookmarkStart w:id="0" w:name="_GoBack"/>
      <w:bookmarkEnd w:id="0"/>
    </w:p>
    <w:p w14:paraId="5221995B" w14:textId="77777777" w:rsidR="006D2AC5" w:rsidRPr="001170B5" w:rsidRDefault="006D2AC5" w:rsidP="005708E6">
      <w:pPr>
        <w:rPr>
          <w:rFonts w:ascii="Arial" w:hAnsi="Arial" w:cs="Arial"/>
          <w:b/>
          <w:sz w:val="20"/>
          <w:szCs w:val="20"/>
        </w:rPr>
      </w:pPr>
      <w:r w:rsidRPr="001170B5">
        <w:rPr>
          <w:rFonts w:ascii="Arial" w:hAnsi="Arial" w:cs="Arial"/>
          <w:b/>
          <w:sz w:val="20"/>
          <w:szCs w:val="20"/>
        </w:rPr>
        <w:t>REFERENCES</w:t>
      </w:r>
    </w:p>
    <w:p w14:paraId="6E0526BA" w14:textId="77777777" w:rsidR="00112CBC" w:rsidRPr="001170B5" w:rsidRDefault="00112CBC" w:rsidP="00DB4A05">
      <w:pPr>
        <w:jc w:val="both"/>
        <w:rPr>
          <w:rFonts w:ascii="Arial" w:hAnsi="Arial" w:cs="Arial"/>
          <w:sz w:val="20"/>
          <w:szCs w:val="20"/>
        </w:rPr>
      </w:pPr>
      <w:r w:rsidRPr="001170B5">
        <w:rPr>
          <w:rFonts w:ascii="Arial" w:hAnsi="Arial" w:cs="Arial"/>
          <w:sz w:val="20"/>
          <w:szCs w:val="20"/>
        </w:rPr>
        <w:t xml:space="preserve">Anuratha A, R Ravi and Selvi J. Cluster front line demonstration in green gram variety CO 8 at </w:t>
      </w:r>
      <w:proofErr w:type="spellStart"/>
      <w:r w:rsidRPr="001170B5">
        <w:rPr>
          <w:rFonts w:ascii="Arial" w:hAnsi="Arial" w:cs="Arial"/>
          <w:sz w:val="20"/>
          <w:szCs w:val="20"/>
        </w:rPr>
        <w:t>Nagapattinam</w:t>
      </w:r>
      <w:proofErr w:type="spellEnd"/>
      <w:r w:rsidRPr="001170B5">
        <w:rPr>
          <w:rFonts w:ascii="Arial" w:hAnsi="Arial" w:cs="Arial"/>
          <w:sz w:val="20"/>
          <w:szCs w:val="20"/>
        </w:rPr>
        <w:t xml:space="preserve"> district of Tamil Nadu</w:t>
      </w:r>
      <w:r w:rsidRPr="001170B5">
        <w:rPr>
          <w:rFonts w:ascii="Arial" w:hAnsi="Arial" w:cs="Arial"/>
          <w:i/>
          <w:iCs/>
          <w:sz w:val="20"/>
          <w:szCs w:val="20"/>
        </w:rPr>
        <w:t xml:space="preserve">. J </w:t>
      </w:r>
      <w:proofErr w:type="spellStart"/>
      <w:r w:rsidRPr="001170B5">
        <w:rPr>
          <w:rFonts w:ascii="Arial" w:hAnsi="Arial" w:cs="Arial"/>
          <w:i/>
          <w:iCs/>
          <w:sz w:val="20"/>
          <w:szCs w:val="20"/>
        </w:rPr>
        <w:t>Pharmacogn</w:t>
      </w:r>
      <w:proofErr w:type="spellEnd"/>
      <w:r w:rsidRPr="001170B5">
        <w:rPr>
          <w:rFonts w:ascii="Arial" w:hAnsi="Arial" w:cs="Arial"/>
          <w:i/>
          <w:iCs/>
          <w:sz w:val="20"/>
          <w:szCs w:val="20"/>
        </w:rPr>
        <w:t xml:space="preserve"> </w:t>
      </w:r>
      <w:proofErr w:type="spellStart"/>
      <w:r w:rsidRPr="001170B5">
        <w:rPr>
          <w:rFonts w:ascii="Arial" w:hAnsi="Arial" w:cs="Arial"/>
          <w:i/>
          <w:iCs/>
          <w:sz w:val="20"/>
          <w:szCs w:val="20"/>
        </w:rPr>
        <w:t>Phytochem</w:t>
      </w:r>
      <w:proofErr w:type="spellEnd"/>
      <w:r w:rsidRPr="001170B5">
        <w:rPr>
          <w:rFonts w:ascii="Arial" w:hAnsi="Arial" w:cs="Arial"/>
          <w:sz w:val="20"/>
          <w:szCs w:val="20"/>
        </w:rPr>
        <w:t xml:space="preserve"> 2019</w:t>
      </w:r>
      <w:proofErr w:type="gramStart"/>
      <w:r w:rsidRPr="001170B5">
        <w:rPr>
          <w:rFonts w:ascii="Arial" w:hAnsi="Arial" w:cs="Arial"/>
          <w:sz w:val="20"/>
          <w:szCs w:val="20"/>
        </w:rPr>
        <w:t>;8</w:t>
      </w:r>
      <w:proofErr w:type="gramEnd"/>
      <w:r w:rsidRPr="001170B5">
        <w:rPr>
          <w:rFonts w:ascii="Arial" w:hAnsi="Arial" w:cs="Arial"/>
          <w:sz w:val="20"/>
          <w:szCs w:val="20"/>
        </w:rPr>
        <w:t xml:space="preserve"> (2S):726-729.</w:t>
      </w:r>
    </w:p>
    <w:p w14:paraId="56AB9246" w14:textId="77777777" w:rsidR="006D2AC5" w:rsidRPr="001170B5" w:rsidRDefault="0005377E" w:rsidP="00DB4A05">
      <w:pPr>
        <w:jc w:val="both"/>
        <w:rPr>
          <w:rFonts w:ascii="Arial" w:hAnsi="Arial" w:cs="Arial"/>
          <w:sz w:val="20"/>
          <w:szCs w:val="20"/>
        </w:rPr>
      </w:pPr>
      <w:r w:rsidRPr="001170B5">
        <w:rPr>
          <w:rFonts w:ascii="Arial" w:hAnsi="Arial" w:cs="Arial"/>
          <w:sz w:val="20"/>
          <w:szCs w:val="20"/>
        </w:rPr>
        <w:t xml:space="preserve">Bar, N., &amp; Das, S. (2015). Enhancement of production and productivity of </w:t>
      </w:r>
      <w:proofErr w:type="spellStart"/>
      <w:r w:rsidRPr="001170B5">
        <w:rPr>
          <w:rFonts w:ascii="Arial" w:hAnsi="Arial" w:cs="Arial"/>
          <w:sz w:val="20"/>
          <w:szCs w:val="20"/>
        </w:rPr>
        <w:t>Arhar</w:t>
      </w:r>
      <w:proofErr w:type="spellEnd"/>
      <w:r w:rsidRPr="001170B5">
        <w:rPr>
          <w:rFonts w:ascii="Arial" w:hAnsi="Arial" w:cs="Arial"/>
          <w:sz w:val="20"/>
          <w:szCs w:val="20"/>
        </w:rPr>
        <w:t xml:space="preserve"> crop through front line demonstration. International Journal of Innovative Research &amp; Development. 4(5), Online.http://www.internationaljournalcorner.com/index.php/ijird_ojs/article/view/135552/94676</w:t>
      </w:r>
    </w:p>
    <w:p w14:paraId="0F176611" w14:textId="77777777" w:rsidR="006D2AC5" w:rsidRPr="001170B5" w:rsidRDefault="0005377E" w:rsidP="00DB4A05">
      <w:pPr>
        <w:jc w:val="both"/>
        <w:rPr>
          <w:rFonts w:ascii="Arial" w:hAnsi="Arial" w:cs="Arial"/>
          <w:sz w:val="20"/>
          <w:szCs w:val="20"/>
        </w:rPr>
      </w:pPr>
      <w:r w:rsidRPr="001170B5">
        <w:rPr>
          <w:rFonts w:ascii="Arial" w:hAnsi="Arial" w:cs="Arial"/>
          <w:sz w:val="20"/>
          <w:szCs w:val="20"/>
        </w:rPr>
        <w:lastRenderedPageBreak/>
        <w:t>Chaudhary, H. R., Sharma, O. P., Yadav, L. R., &amp; Choudhary, G. L. (2011). Effect of organic sources and chemicals fertilizers on productivity of mungbean. Journal of Food Legumes, 24, 324 326.</w:t>
      </w:r>
    </w:p>
    <w:p w14:paraId="0FB35D77" w14:textId="77777777" w:rsidR="00941D9D" w:rsidRPr="001170B5" w:rsidRDefault="0042721D" w:rsidP="00DB4A05">
      <w:pPr>
        <w:jc w:val="both"/>
        <w:rPr>
          <w:rFonts w:ascii="Arial" w:hAnsi="Arial" w:cs="Arial"/>
          <w:sz w:val="20"/>
          <w:szCs w:val="20"/>
        </w:rPr>
      </w:pPr>
      <w:r w:rsidRPr="001170B5">
        <w:rPr>
          <w:rFonts w:ascii="Arial" w:hAnsi="Arial" w:cs="Arial"/>
          <w:sz w:val="20"/>
          <w:szCs w:val="20"/>
        </w:rPr>
        <w:t>Dayanand</w:t>
      </w:r>
      <w:r w:rsidR="00941D9D" w:rsidRPr="001170B5">
        <w:rPr>
          <w:rFonts w:ascii="Arial" w:hAnsi="Arial" w:cs="Arial"/>
          <w:sz w:val="20"/>
          <w:szCs w:val="20"/>
        </w:rPr>
        <w:t xml:space="preserve">, R. S. Rathore and R. K. Verma (2019) Performance of green gram variety ipm-02-3 in front line demonstrations under rainfed conditions. </w:t>
      </w:r>
      <w:r w:rsidR="00941D9D" w:rsidRPr="001170B5">
        <w:rPr>
          <w:rFonts w:ascii="Arial" w:hAnsi="Arial" w:cs="Arial"/>
          <w:i/>
          <w:iCs/>
          <w:sz w:val="20"/>
          <w:szCs w:val="20"/>
        </w:rPr>
        <w:t>Int. J. Agri</w:t>
      </w:r>
      <w:r w:rsidR="00B17714" w:rsidRPr="001170B5">
        <w:rPr>
          <w:rFonts w:ascii="Arial" w:hAnsi="Arial" w:cs="Arial"/>
          <w:i/>
          <w:iCs/>
          <w:sz w:val="20"/>
          <w:szCs w:val="20"/>
        </w:rPr>
        <w:t xml:space="preserve">. </w:t>
      </w:r>
      <w:r w:rsidR="00941D9D" w:rsidRPr="001170B5">
        <w:rPr>
          <w:rFonts w:ascii="Arial" w:hAnsi="Arial" w:cs="Arial"/>
          <w:i/>
          <w:iCs/>
          <w:sz w:val="20"/>
          <w:szCs w:val="20"/>
        </w:rPr>
        <w:t>cult. Stat. Sci.</w:t>
      </w:r>
      <w:r w:rsidR="00941D9D" w:rsidRPr="001170B5">
        <w:rPr>
          <w:rFonts w:ascii="Arial" w:hAnsi="Arial" w:cs="Arial"/>
          <w:sz w:val="20"/>
          <w:szCs w:val="20"/>
        </w:rPr>
        <w:t xml:space="preserve"> Vol. 15, No. 1, pp. 131-134</w:t>
      </w:r>
    </w:p>
    <w:p w14:paraId="6F15560D"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 xml:space="preserve">Gireesh, S., Kumbhare, N. V., Nain, M. S., Kumar, P. &amp; Gurung, B. (2019). Yield gap and constraints in production of major pulses in Madhya Pradesh and Maharashtra. Indian Journal of Agricultural Research, 53(1), 104-107. </w:t>
      </w:r>
    </w:p>
    <w:p w14:paraId="209316ED"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Jain, L. K. (2016). Impact assessment of front line demonstrations on green gram in Barmer district of Western Rajasthan. Journal of Food Legumes, 29(</w:t>
      </w:r>
      <w:proofErr w:type="gramStart"/>
      <w:r w:rsidRPr="001170B5">
        <w:rPr>
          <w:rFonts w:ascii="Arial" w:hAnsi="Arial" w:cs="Arial"/>
          <w:sz w:val="20"/>
          <w:szCs w:val="20"/>
        </w:rPr>
        <w:t>3&amp;</w:t>
      </w:r>
      <w:proofErr w:type="gramEnd"/>
      <w:r w:rsidRPr="001170B5">
        <w:rPr>
          <w:rFonts w:ascii="Arial" w:hAnsi="Arial" w:cs="Arial"/>
          <w:sz w:val="20"/>
          <w:szCs w:val="20"/>
        </w:rPr>
        <w:t xml:space="preserve">4), 249-252. </w:t>
      </w:r>
    </w:p>
    <w:p w14:paraId="45E352A5"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 xml:space="preserve">Jakhar, D. S., &amp; Kumar, S. (2022). Impact of cluster front line demonstrations on green Gram (MH-421) in Sirsa District of Haryana State. Indian Journal of Extension Education, 58(1), 166-168. </w:t>
      </w:r>
    </w:p>
    <w:p w14:paraId="3CE667E5"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 xml:space="preserve">Kumar, S., Singh, R. N., &amp; Choudhary, V. P. (2017). Effect of integrated nutrient management on growth, yield and fertility level in lentil. The Bioscan, 12(1), 341-344. </w:t>
      </w:r>
    </w:p>
    <w:p w14:paraId="6E2CA1DE"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 xml:space="preserve">Kumar, S., Tiwari, R. K., Asthana, R. K., &amp; Kumar, S. (2018). Evaluation of different cultivars of green gram under cluster frontline demonstration programme in </w:t>
      </w:r>
      <w:proofErr w:type="spellStart"/>
      <w:r w:rsidRPr="001170B5">
        <w:rPr>
          <w:rFonts w:ascii="Arial" w:hAnsi="Arial" w:cs="Arial"/>
          <w:sz w:val="20"/>
          <w:szCs w:val="20"/>
        </w:rPr>
        <w:t>Samastipur</w:t>
      </w:r>
      <w:proofErr w:type="spellEnd"/>
      <w:r w:rsidRPr="001170B5">
        <w:rPr>
          <w:rFonts w:ascii="Arial" w:hAnsi="Arial" w:cs="Arial"/>
          <w:sz w:val="20"/>
          <w:szCs w:val="20"/>
        </w:rPr>
        <w:t xml:space="preserve"> district Bihar. Journal of Community Mobilization and Sustainable Development, 13(2), 271-274. </w:t>
      </w:r>
    </w:p>
    <w:p w14:paraId="414AAE25"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Kumawat R. N., Rathore, P. S., &amp; Talwar, H. S. (2005). Effect of sulphur and iron on crop growth attributes in summer green gram. Indian Journal of Plant Physiology, 10(1), 86-89.</w:t>
      </w:r>
    </w:p>
    <w:p w14:paraId="69079BE1"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 xml:space="preserve"> Kumbhare, N. V., Dubey, S. K., Nain, M. S., &amp; Bahal, R. (2014). </w:t>
      </w:r>
      <w:proofErr w:type="gramStart"/>
      <w:r w:rsidRPr="001170B5">
        <w:rPr>
          <w:rFonts w:ascii="Arial" w:hAnsi="Arial" w:cs="Arial"/>
          <w:sz w:val="20"/>
          <w:szCs w:val="20"/>
        </w:rPr>
        <w:t>Micro analysis</w:t>
      </w:r>
      <w:proofErr w:type="gramEnd"/>
      <w:r w:rsidRPr="001170B5">
        <w:rPr>
          <w:rFonts w:ascii="Arial" w:hAnsi="Arial" w:cs="Arial"/>
          <w:sz w:val="20"/>
          <w:szCs w:val="20"/>
        </w:rPr>
        <w:t xml:space="preserve"> of yield gap and profitability in pulses and cereals. Legume Research- An International Journal, 37(5), 532-536. </w:t>
      </w:r>
    </w:p>
    <w:p w14:paraId="63F3E9CB" w14:textId="77777777" w:rsidR="00C1238E" w:rsidRPr="001170B5" w:rsidRDefault="0005377E" w:rsidP="00DB4A05">
      <w:pPr>
        <w:jc w:val="both"/>
        <w:rPr>
          <w:rFonts w:ascii="Arial" w:hAnsi="Arial" w:cs="Arial"/>
          <w:sz w:val="20"/>
          <w:szCs w:val="20"/>
        </w:rPr>
      </w:pPr>
      <w:proofErr w:type="spellStart"/>
      <w:r w:rsidRPr="001170B5">
        <w:rPr>
          <w:rFonts w:ascii="Arial" w:hAnsi="Arial" w:cs="Arial"/>
          <w:sz w:val="20"/>
          <w:szCs w:val="20"/>
        </w:rPr>
        <w:t>Kushwah</w:t>
      </w:r>
      <w:proofErr w:type="spellEnd"/>
      <w:r w:rsidRPr="001170B5">
        <w:rPr>
          <w:rFonts w:ascii="Arial" w:hAnsi="Arial" w:cs="Arial"/>
          <w:sz w:val="20"/>
          <w:szCs w:val="20"/>
        </w:rPr>
        <w:t xml:space="preserve">, S., Kumar, S., &amp; Singh, S. R. K. (2016). Adoption of improved late sown mustard cultivation practices– A case study in Bihar. Journal of Community Mobilization and Sustainable Development, 11(1), 19-23. </w:t>
      </w:r>
    </w:p>
    <w:p w14:paraId="1F5CEF88"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 xml:space="preserve">Meena, K. K., Meena, R. S., &amp; Kumawat, S. M. (2012). Effect of sulphur and iron fertilization on yield attributes, yield and nutrient uptake of mungbean (Vigna radiata). Indian Journal of Agricultural Sciences, 83(4), 472-476. </w:t>
      </w:r>
    </w:p>
    <w:p w14:paraId="4B5E05A1"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Mondal, M. M. A., Puteh, A. B., Malek, M. A., Ismail, M. R., Rafii, M. Y., &amp; Latif, M. A. (2012). Seed yield of mungbean [Vigna radiata (L.) Wilczek] in relation to growth and developmental aspects. Scientific World Journal, pp 425168. https:</w:t>
      </w:r>
      <w:r w:rsidR="00B17714" w:rsidRPr="001170B5">
        <w:rPr>
          <w:rFonts w:ascii="Arial" w:hAnsi="Arial" w:cs="Arial"/>
          <w:sz w:val="20"/>
          <w:szCs w:val="20"/>
        </w:rPr>
        <w:t xml:space="preserve">//doi.org/ 10.1100/2012/425168 </w:t>
      </w:r>
      <w:r w:rsidRPr="001170B5">
        <w:rPr>
          <w:rFonts w:ascii="Arial" w:hAnsi="Arial" w:cs="Arial"/>
          <w:sz w:val="20"/>
          <w:szCs w:val="20"/>
        </w:rPr>
        <w:t xml:space="preserve"> </w:t>
      </w:r>
    </w:p>
    <w:p w14:paraId="710AC76E"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 xml:space="preserve">Nain, M. S., Bahal, R., Dubey, S. K., &amp; Kumbhare, N. V. (2014). Adoption gap as the determinant of instability in Indian legume production: Perspective and implications. Journal of Food Legumes, 27(2): 146-150 </w:t>
      </w:r>
    </w:p>
    <w:p w14:paraId="4591ADEA" w14:textId="77777777" w:rsidR="00C1238E" w:rsidRPr="001170B5" w:rsidRDefault="0005377E" w:rsidP="00DB4A05">
      <w:pPr>
        <w:jc w:val="both"/>
        <w:rPr>
          <w:rFonts w:ascii="Arial" w:hAnsi="Arial" w:cs="Arial"/>
          <w:sz w:val="20"/>
          <w:szCs w:val="20"/>
        </w:rPr>
      </w:pPr>
      <w:r w:rsidRPr="001170B5">
        <w:rPr>
          <w:rFonts w:ascii="Arial" w:hAnsi="Arial" w:cs="Arial"/>
          <w:sz w:val="20"/>
          <w:szCs w:val="20"/>
        </w:rPr>
        <w:t xml:space="preserve">Nain, M. S., Kumbhare, N. V., Sharma, J. P., Chahal, V. P., &amp; Bahal, R. (2015). Status, adoption gap and way forward of pulse production in India. Indian Journal of Agricultural Science, 85(8), 1017-1025. </w:t>
      </w:r>
    </w:p>
    <w:p w14:paraId="00C9B3AB" w14:textId="77777777" w:rsidR="00C368FB" w:rsidRPr="001170B5" w:rsidRDefault="0005377E" w:rsidP="00DB4A05">
      <w:pPr>
        <w:jc w:val="both"/>
        <w:rPr>
          <w:rFonts w:ascii="Arial" w:hAnsi="Arial" w:cs="Arial"/>
          <w:sz w:val="20"/>
          <w:szCs w:val="20"/>
        </w:rPr>
      </w:pPr>
      <w:r w:rsidRPr="001170B5">
        <w:rPr>
          <w:rFonts w:ascii="Arial" w:hAnsi="Arial" w:cs="Arial"/>
          <w:sz w:val="20"/>
          <w:szCs w:val="20"/>
        </w:rPr>
        <w:t xml:space="preserve">Patil, L. M., Modi, D. J., Vasava, H. M., &amp; </w:t>
      </w:r>
      <w:proofErr w:type="spellStart"/>
      <w:r w:rsidRPr="001170B5">
        <w:rPr>
          <w:rFonts w:ascii="Arial" w:hAnsi="Arial" w:cs="Arial"/>
          <w:sz w:val="20"/>
          <w:szCs w:val="20"/>
        </w:rPr>
        <w:t>Gomkale</w:t>
      </w:r>
      <w:proofErr w:type="spellEnd"/>
      <w:r w:rsidRPr="001170B5">
        <w:rPr>
          <w:rFonts w:ascii="Arial" w:hAnsi="Arial" w:cs="Arial"/>
          <w:sz w:val="20"/>
          <w:szCs w:val="20"/>
        </w:rPr>
        <w:t xml:space="preserve">, S. R. (2015). Evaluation of front line demonstration programme on green gram variety Meha (IPM-99-125) in Bharuch district of Gujarat. Journal of Agriculture and Veterinary Science, 8(9), 1-3. </w:t>
      </w:r>
    </w:p>
    <w:p w14:paraId="54FE4970" w14:textId="77777777" w:rsidR="00C368FB" w:rsidRPr="001170B5" w:rsidRDefault="0005377E" w:rsidP="00DB4A05">
      <w:pPr>
        <w:jc w:val="both"/>
        <w:rPr>
          <w:rFonts w:ascii="Arial" w:hAnsi="Arial" w:cs="Arial"/>
          <w:sz w:val="20"/>
          <w:szCs w:val="20"/>
        </w:rPr>
      </w:pPr>
      <w:r w:rsidRPr="001170B5">
        <w:rPr>
          <w:rFonts w:ascii="Arial" w:hAnsi="Arial" w:cs="Arial"/>
          <w:sz w:val="20"/>
          <w:szCs w:val="20"/>
        </w:rPr>
        <w:t xml:space="preserve">Raj, A. D., Yadav, V., &amp; Rathod, J. H. (2013). Impact of front line demonstrations on the yield of pulses. International Journal of Scientific and Research, 3(9), 1-3. </w:t>
      </w:r>
    </w:p>
    <w:p w14:paraId="3A542EDF" w14:textId="77777777" w:rsidR="00C368FB" w:rsidRPr="001170B5" w:rsidRDefault="0005377E" w:rsidP="00DB4A05">
      <w:pPr>
        <w:jc w:val="both"/>
        <w:rPr>
          <w:rFonts w:ascii="Arial" w:hAnsi="Arial" w:cs="Arial"/>
          <w:sz w:val="20"/>
          <w:szCs w:val="20"/>
        </w:rPr>
      </w:pPr>
      <w:r w:rsidRPr="001170B5">
        <w:rPr>
          <w:rFonts w:ascii="Arial" w:hAnsi="Arial" w:cs="Arial"/>
          <w:sz w:val="20"/>
          <w:szCs w:val="20"/>
        </w:rPr>
        <w:lastRenderedPageBreak/>
        <w:t>Samui, S. K., Maitra, S., Roy, D. K., Mondal, A. K. &amp; Saha, D. (2000). Evaluation of front line demonstration programme on groundnut (Arachis hypogea L.). Indian Society of Coastal Agricultural Research, 18 (2)</w:t>
      </w:r>
      <w:proofErr w:type="gramStart"/>
      <w:r w:rsidRPr="001170B5">
        <w:rPr>
          <w:rFonts w:ascii="Arial" w:hAnsi="Arial" w:cs="Arial"/>
          <w:sz w:val="20"/>
          <w:szCs w:val="20"/>
        </w:rPr>
        <w:t>,180</w:t>
      </w:r>
      <w:proofErr w:type="gramEnd"/>
      <w:r w:rsidRPr="001170B5">
        <w:rPr>
          <w:rFonts w:ascii="Arial" w:hAnsi="Arial" w:cs="Arial"/>
          <w:sz w:val="20"/>
          <w:szCs w:val="20"/>
        </w:rPr>
        <w:t xml:space="preserve">-183. </w:t>
      </w:r>
    </w:p>
    <w:p w14:paraId="4A96F681" w14:textId="77777777" w:rsidR="0005377E" w:rsidRPr="001170B5" w:rsidRDefault="0005377E" w:rsidP="00DB4A05">
      <w:pPr>
        <w:jc w:val="both"/>
        <w:rPr>
          <w:rFonts w:ascii="Arial" w:hAnsi="Arial" w:cs="Arial"/>
          <w:sz w:val="20"/>
          <w:szCs w:val="20"/>
        </w:rPr>
      </w:pPr>
      <w:r w:rsidRPr="001170B5">
        <w:rPr>
          <w:rFonts w:ascii="Arial" w:hAnsi="Arial" w:cs="Arial"/>
          <w:sz w:val="20"/>
          <w:szCs w:val="20"/>
        </w:rPr>
        <w:t>Sandhu, B. S., &amp; Dhaliwal, N. S. (2016). Evaluation of front line demonstration programme on summer moong in south Western Punjab. Journal of Food Legumes. 29(</w:t>
      </w:r>
      <w:proofErr w:type="gramStart"/>
      <w:r w:rsidRPr="001170B5">
        <w:rPr>
          <w:rFonts w:ascii="Arial" w:hAnsi="Arial" w:cs="Arial"/>
          <w:sz w:val="20"/>
          <w:szCs w:val="20"/>
        </w:rPr>
        <w:t>3&amp;</w:t>
      </w:r>
      <w:proofErr w:type="gramEnd"/>
      <w:r w:rsidRPr="001170B5">
        <w:rPr>
          <w:rFonts w:ascii="Arial" w:hAnsi="Arial" w:cs="Arial"/>
          <w:sz w:val="20"/>
          <w:szCs w:val="20"/>
        </w:rPr>
        <w:t>4): 245-248.</w:t>
      </w:r>
    </w:p>
    <w:sectPr w:rsidR="0005377E" w:rsidRPr="001170B5" w:rsidSect="00661C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51891"/>
    <w:multiLevelType w:val="hybridMultilevel"/>
    <w:tmpl w:val="5356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B93BCA"/>
    <w:multiLevelType w:val="multilevel"/>
    <w:tmpl w:val="9D5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rsids>
    <w:rsidRoot w:val="00063942"/>
    <w:rsid w:val="000212D2"/>
    <w:rsid w:val="0005377E"/>
    <w:rsid w:val="00060E9E"/>
    <w:rsid w:val="00063942"/>
    <w:rsid w:val="00090362"/>
    <w:rsid w:val="000B2EFD"/>
    <w:rsid w:val="00112CBC"/>
    <w:rsid w:val="00116EF6"/>
    <w:rsid w:val="001170B5"/>
    <w:rsid w:val="001F2769"/>
    <w:rsid w:val="00217E78"/>
    <w:rsid w:val="00233718"/>
    <w:rsid w:val="0025362F"/>
    <w:rsid w:val="00302E21"/>
    <w:rsid w:val="003271D8"/>
    <w:rsid w:val="0034654C"/>
    <w:rsid w:val="0042721D"/>
    <w:rsid w:val="004339EF"/>
    <w:rsid w:val="004371B1"/>
    <w:rsid w:val="00442723"/>
    <w:rsid w:val="004619BF"/>
    <w:rsid w:val="004821B4"/>
    <w:rsid w:val="00562687"/>
    <w:rsid w:val="005664D8"/>
    <w:rsid w:val="005708E6"/>
    <w:rsid w:val="00585CD9"/>
    <w:rsid w:val="005F30D1"/>
    <w:rsid w:val="00661CD4"/>
    <w:rsid w:val="006B62BB"/>
    <w:rsid w:val="006D2AC5"/>
    <w:rsid w:val="0070627A"/>
    <w:rsid w:val="007277A4"/>
    <w:rsid w:val="00743868"/>
    <w:rsid w:val="00750E38"/>
    <w:rsid w:val="00761EBC"/>
    <w:rsid w:val="007661B0"/>
    <w:rsid w:val="00783EE3"/>
    <w:rsid w:val="007F6BDD"/>
    <w:rsid w:val="008A55A0"/>
    <w:rsid w:val="008C48EB"/>
    <w:rsid w:val="008C7B4B"/>
    <w:rsid w:val="00927CDE"/>
    <w:rsid w:val="009403D4"/>
    <w:rsid w:val="00941D9D"/>
    <w:rsid w:val="0095002B"/>
    <w:rsid w:val="009A5FB1"/>
    <w:rsid w:val="009B3086"/>
    <w:rsid w:val="009D1696"/>
    <w:rsid w:val="009F6811"/>
    <w:rsid w:val="00A249D7"/>
    <w:rsid w:val="00A66194"/>
    <w:rsid w:val="00A95DC9"/>
    <w:rsid w:val="00AC06C3"/>
    <w:rsid w:val="00B13456"/>
    <w:rsid w:val="00B15943"/>
    <w:rsid w:val="00B17714"/>
    <w:rsid w:val="00B92C02"/>
    <w:rsid w:val="00B96EC3"/>
    <w:rsid w:val="00BD5D12"/>
    <w:rsid w:val="00BD7966"/>
    <w:rsid w:val="00C1238E"/>
    <w:rsid w:val="00C36052"/>
    <w:rsid w:val="00C368FB"/>
    <w:rsid w:val="00C7510F"/>
    <w:rsid w:val="00C81058"/>
    <w:rsid w:val="00CA1E15"/>
    <w:rsid w:val="00CD6860"/>
    <w:rsid w:val="00CE1AFE"/>
    <w:rsid w:val="00D04AF5"/>
    <w:rsid w:val="00D20DC9"/>
    <w:rsid w:val="00D36AE0"/>
    <w:rsid w:val="00DB4A05"/>
    <w:rsid w:val="00DB7507"/>
    <w:rsid w:val="00DD3B11"/>
    <w:rsid w:val="00DF4190"/>
    <w:rsid w:val="00E13BD5"/>
    <w:rsid w:val="00E6214F"/>
    <w:rsid w:val="00E969F7"/>
    <w:rsid w:val="00EB5798"/>
    <w:rsid w:val="00EC1608"/>
    <w:rsid w:val="00F14AD1"/>
    <w:rsid w:val="00FB4037"/>
    <w:rsid w:val="00FC2D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0545"/>
  <w15:docId w15:val="{FCFA34D5-EDFF-449D-8E68-DE4145CA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CD4"/>
  </w:style>
  <w:style w:type="paragraph" w:styleId="Heading1">
    <w:name w:val="heading 1"/>
    <w:basedOn w:val="Normal"/>
    <w:next w:val="Normal"/>
    <w:link w:val="Heading1Char"/>
    <w:uiPriority w:val="9"/>
    <w:qFormat/>
    <w:rsid w:val="00063942"/>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63942"/>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63942"/>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63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942"/>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63942"/>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63942"/>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63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942"/>
    <w:rPr>
      <w:rFonts w:eastAsiaTheme="majorEastAsia" w:cstheme="majorBidi"/>
      <w:color w:val="272727" w:themeColor="text1" w:themeTint="D8"/>
    </w:rPr>
  </w:style>
  <w:style w:type="paragraph" w:styleId="Title">
    <w:name w:val="Title"/>
    <w:basedOn w:val="Normal"/>
    <w:next w:val="Normal"/>
    <w:link w:val="TitleChar"/>
    <w:uiPriority w:val="10"/>
    <w:qFormat/>
    <w:rsid w:val="0006394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6394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6394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6394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63942"/>
    <w:pPr>
      <w:spacing w:before="160"/>
      <w:jc w:val="center"/>
    </w:pPr>
    <w:rPr>
      <w:i/>
      <w:iCs/>
      <w:color w:val="404040" w:themeColor="text1" w:themeTint="BF"/>
    </w:rPr>
  </w:style>
  <w:style w:type="character" w:customStyle="1" w:styleId="QuoteChar">
    <w:name w:val="Quote Char"/>
    <w:basedOn w:val="DefaultParagraphFont"/>
    <w:link w:val="Quote"/>
    <w:uiPriority w:val="29"/>
    <w:rsid w:val="00063942"/>
    <w:rPr>
      <w:i/>
      <w:iCs/>
      <w:color w:val="404040" w:themeColor="text1" w:themeTint="BF"/>
    </w:rPr>
  </w:style>
  <w:style w:type="paragraph" w:styleId="ListParagraph">
    <w:name w:val="List Paragraph"/>
    <w:basedOn w:val="Normal"/>
    <w:uiPriority w:val="34"/>
    <w:qFormat/>
    <w:rsid w:val="00063942"/>
    <w:pPr>
      <w:ind w:left="720"/>
      <w:contextualSpacing/>
    </w:pPr>
  </w:style>
  <w:style w:type="character" w:styleId="IntenseEmphasis">
    <w:name w:val="Intense Emphasis"/>
    <w:basedOn w:val="DefaultParagraphFont"/>
    <w:uiPriority w:val="21"/>
    <w:qFormat/>
    <w:rsid w:val="00063942"/>
    <w:rPr>
      <w:i/>
      <w:iCs/>
      <w:color w:val="2F5496" w:themeColor="accent1" w:themeShade="BF"/>
    </w:rPr>
  </w:style>
  <w:style w:type="paragraph" w:styleId="IntenseQuote">
    <w:name w:val="Intense Quote"/>
    <w:basedOn w:val="Normal"/>
    <w:next w:val="Normal"/>
    <w:link w:val="IntenseQuoteChar"/>
    <w:uiPriority w:val="30"/>
    <w:qFormat/>
    <w:rsid w:val="00063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942"/>
    <w:rPr>
      <w:i/>
      <w:iCs/>
      <w:color w:val="2F5496" w:themeColor="accent1" w:themeShade="BF"/>
    </w:rPr>
  </w:style>
  <w:style w:type="character" w:styleId="IntenseReference">
    <w:name w:val="Intense Reference"/>
    <w:basedOn w:val="DefaultParagraphFont"/>
    <w:uiPriority w:val="32"/>
    <w:qFormat/>
    <w:rsid w:val="00063942"/>
    <w:rPr>
      <w:b/>
      <w:bCs/>
      <w:smallCaps/>
      <w:color w:val="2F5496" w:themeColor="accent1" w:themeShade="BF"/>
      <w:spacing w:val="5"/>
    </w:rPr>
  </w:style>
  <w:style w:type="character" w:styleId="Hyperlink">
    <w:name w:val="Hyperlink"/>
    <w:basedOn w:val="DefaultParagraphFont"/>
    <w:uiPriority w:val="99"/>
    <w:unhideWhenUsed/>
    <w:rsid w:val="00116EF6"/>
    <w:rPr>
      <w:color w:val="0563C1" w:themeColor="hyperlink"/>
      <w:u w:val="single"/>
    </w:rPr>
  </w:style>
  <w:style w:type="character" w:customStyle="1" w:styleId="UnresolvedMention1">
    <w:name w:val="Unresolved Mention1"/>
    <w:basedOn w:val="DefaultParagraphFont"/>
    <w:uiPriority w:val="99"/>
    <w:semiHidden/>
    <w:unhideWhenUsed/>
    <w:rsid w:val="00116EF6"/>
    <w:rPr>
      <w:color w:val="605E5C"/>
      <w:shd w:val="clear" w:color="auto" w:fill="E1DFDD"/>
    </w:rPr>
  </w:style>
  <w:style w:type="table" w:styleId="TableGrid">
    <w:name w:val="Table Grid"/>
    <w:basedOn w:val="TableNormal"/>
    <w:uiPriority w:val="39"/>
    <w:rsid w:val="00BD7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664D8"/>
    <w:pPr>
      <w:spacing w:before="100" w:beforeAutospacing="1" w:after="100" w:afterAutospacing="1" w:line="240" w:lineRule="auto"/>
    </w:pPr>
    <w:rPr>
      <w:rFonts w:ascii="Times New Roman" w:eastAsia="Times New Roman" w:hAnsi="Times New Roman" w:cs="Times New Roman"/>
      <w:kern w:val="0"/>
      <w:szCs w:val="24"/>
      <w:lang w:val="en-US" w:bidi="ar-SA"/>
    </w:rPr>
  </w:style>
  <w:style w:type="character" w:styleId="Emphasis">
    <w:name w:val="Emphasis"/>
    <w:basedOn w:val="DefaultParagraphFont"/>
    <w:uiPriority w:val="20"/>
    <w:qFormat/>
    <w:rsid w:val="005664D8"/>
    <w:rPr>
      <w:i/>
      <w:iCs/>
    </w:rPr>
  </w:style>
  <w:style w:type="character" w:customStyle="1" w:styleId="citation-0">
    <w:name w:val="citation-0"/>
    <w:basedOn w:val="DefaultParagraphFont"/>
    <w:rsid w:val="005664D8"/>
  </w:style>
  <w:style w:type="character" w:customStyle="1" w:styleId="button-container">
    <w:name w:val="button-container"/>
    <w:basedOn w:val="DefaultParagraphFont"/>
    <w:rsid w:val="005664D8"/>
  </w:style>
  <w:style w:type="character" w:customStyle="1" w:styleId="citation-1">
    <w:name w:val="citation-1"/>
    <w:basedOn w:val="DefaultParagraphFont"/>
    <w:rsid w:val="005664D8"/>
  </w:style>
  <w:style w:type="character" w:customStyle="1" w:styleId="citation-2">
    <w:name w:val="citation-2"/>
    <w:basedOn w:val="DefaultParagraphFont"/>
    <w:rsid w:val="005664D8"/>
  </w:style>
  <w:style w:type="character" w:customStyle="1" w:styleId="citation-3">
    <w:name w:val="citation-3"/>
    <w:basedOn w:val="DefaultParagraphFont"/>
    <w:rsid w:val="005664D8"/>
  </w:style>
  <w:style w:type="character" w:customStyle="1" w:styleId="citation-4">
    <w:name w:val="citation-4"/>
    <w:basedOn w:val="DefaultParagraphFont"/>
    <w:rsid w:val="005664D8"/>
  </w:style>
  <w:style w:type="character" w:customStyle="1" w:styleId="collapsible-button-text">
    <w:name w:val="collapsible-button-text"/>
    <w:basedOn w:val="DefaultParagraphFont"/>
    <w:rsid w:val="005664D8"/>
  </w:style>
  <w:style w:type="character" w:customStyle="1" w:styleId="mord">
    <w:name w:val="mord"/>
    <w:basedOn w:val="DefaultParagraphFont"/>
    <w:rsid w:val="00AC06C3"/>
  </w:style>
  <w:style w:type="character" w:customStyle="1" w:styleId="vlist-s">
    <w:name w:val="vlist-s"/>
    <w:basedOn w:val="DefaultParagraphFont"/>
    <w:rsid w:val="00AC06C3"/>
  </w:style>
  <w:style w:type="character" w:customStyle="1" w:styleId="mbin">
    <w:name w:val="mbin"/>
    <w:basedOn w:val="DefaultParagraphFont"/>
    <w:rsid w:val="00AC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658446">
      <w:bodyDiv w:val="1"/>
      <w:marLeft w:val="0"/>
      <w:marRight w:val="0"/>
      <w:marTop w:val="0"/>
      <w:marBottom w:val="0"/>
      <w:divBdr>
        <w:top w:val="none" w:sz="0" w:space="0" w:color="auto"/>
        <w:left w:val="none" w:sz="0" w:space="0" w:color="auto"/>
        <w:bottom w:val="none" w:sz="0" w:space="0" w:color="auto"/>
        <w:right w:val="none" w:sz="0" w:space="0" w:color="auto"/>
      </w:divBdr>
    </w:div>
    <w:div w:id="858852274">
      <w:bodyDiv w:val="1"/>
      <w:marLeft w:val="0"/>
      <w:marRight w:val="0"/>
      <w:marTop w:val="0"/>
      <w:marBottom w:val="0"/>
      <w:divBdr>
        <w:top w:val="none" w:sz="0" w:space="0" w:color="auto"/>
        <w:left w:val="none" w:sz="0" w:space="0" w:color="auto"/>
        <w:bottom w:val="none" w:sz="0" w:space="0" w:color="auto"/>
        <w:right w:val="none" w:sz="0" w:space="0" w:color="auto"/>
      </w:divBdr>
      <w:divsChild>
        <w:div w:id="1396853145">
          <w:marLeft w:val="0"/>
          <w:marRight w:val="0"/>
          <w:marTop w:val="0"/>
          <w:marBottom w:val="0"/>
          <w:divBdr>
            <w:top w:val="none" w:sz="0" w:space="0" w:color="auto"/>
            <w:left w:val="none" w:sz="0" w:space="0" w:color="auto"/>
            <w:bottom w:val="none" w:sz="0" w:space="0" w:color="auto"/>
            <w:right w:val="none" w:sz="0" w:space="0" w:color="auto"/>
          </w:divBdr>
        </w:div>
        <w:div w:id="1470854751">
          <w:marLeft w:val="0"/>
          <w:marRight w:val="0"/>
          <w:marTop w:val="0"/>
          <w:marBottom w:val="0"/>
          <w:divBdr>
            <w:top w:val="none" w:sz="0" w:space="0" w:color="auto"/>
            <w:left w:val="none" w:sz="0" w:space="0" w:color="auto"/>
            <w:bottom w:val="none" w:sz="0" w:space="0" w:color="auto"/>
            <w:right w:val="none" w:sz="0" w:space="0" w:color="auto"/>
          </w:divBdr>
          <w:divsChild>
            <w:div w:id="222451789">
              <w:marLeft w:val="0"/>
              <w:marRight w:val="0"/>
              <w:marTop w:val="0"/>
              <w:marBottom w:val="0"/>
              <w:divBdr>
                <w:top w:val="none" w:sz="0" w:space="0" w:color="auto"/>
                <w:left w:val="none" w:sz="0" w:space="0" w:color="auto"/>
                <w:bottom w:val="none" w:sz="0" w:space="0" w:color="auto"/>
                <w:right w:val="none" w:sz="0" w:space="0" w:color="auto"/>
              </w:divBdr>
            </w:div>
            <w:div w:id="525338033">
              <w:marLeft w:val="0"/>
              <w:marRight w:val="0"/>
              <w:marTop w:val="0"/>
              <w:marBottom w:val="0"/>
              <w:divBdr>
                <w:top w:val="none" w:sz="0" w:space="0" w:color="auto"/>
                <w:left w:val="none" w:sz="0" w:space="0" w:color="auto"/>
                <w:bottom w:val="none" w:sz="0" w:space="0" w:color="auto"/>
                <w:right w:val="none" w:sz="0" w:space="0" w:color="auto"/>
              </w:divBdr>
              <w:divsChild>
                <w:div w:id="2122143754">
                  <w:marLeft w:val="0"/>
                  <w:marRight w:val="0"/>
                  <w:marTop w:val="0"/>
                  <w:marBottom w:val="0"/>
                  <w:divBdr>
                    <w:top w:val="none" w:sz="0" w:space="0" w:color="auto"/>
                    <w:left w:val="none" w:sz="0" w:space="0" w:color="auto"/>
                    <w:bottom w:val="none" w:sz="0" w:space="0" w:color="auto"/>
                    <w:right w:val="none" w:sz="0" w:space="0" w:color="auto"/>
                  </w:divBdr>
                  <w:divsChild>
                    <w:div w:id="41025983">
                      <w:marLeft w:val="0"/>
                      <w:marRight w:val="0"/>
                      <w:marTop w:val="0"/>
                      <w:marBottom w:val="0"/>
                      <w:divBdr>
                        <w:top w:val="none" w:sz="0" w:space="0" w:color="auto"/>
                        <w:left w:val="none" w:sz="0" w:space="0" w:color="auto"/>
                        <w:bottom w:val="none" w:sz="0" w:space="0" w:color="auto"/>
                        <w:right w:val="none" w:sz="0" w:space="0" w:color="auto"/>
                      </w:divBdr>
                      <w:divsChild>
                        <w:div w:id="1147472463">
                          <w:marLeft w:val="0"/>
                          <w:marRight w:val="0"/>
                          <w:marTop w:val="0"/>
                          <w:marBottom w:val="0"/>
                          <w:divBdr>
                            <w:top w:val="none" w:sz="0" w:space="0" w:color="auto"/>
                            <w:left w:val="none" w:sz="0" w:space="0" w:color="auto"/>
                            <w:bottom w:val="none" w:sz="0" w:space="0" w:color="auto"/>
                            <w:right w:val="none" w:sz="0" w:space="0" w:color="auto"/>
                          </w:divBdr>
                          <w:divsChild>
                            <w:div w:id="1987734300">
                              <w:marLeft w:val="0"/>
                              <w:marRight w:val="0"/>
                              <w:marTop w:val="0"/>
                              <w:marBottom w:val="0"/>
                              <w:divBdr>
                                <w:top w:val="none" w:sz="0" w:space="0" w:color="auto"/>
                                <w:left w:val="none" w:sz="0" w:space="0" w:color="auto"/>
                                <w:bottom w:val="none" w:sz="0" w:space="0" w:color="auto"/>
                                <w:right w:val="none" w:sz="0" w:space="0" w:color="auto"/>
                              </w:divBdr>
                              <w:divsChild>
                                <w:div w:id="5553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384531">
      <w:bodyDiv w:val="1"/>
      <w:marLeft w:val="0"/>
      <w:marRight w:val="0"/>
      <w:marTop w:val="0"/>
      <w:marBottom w:val="0"/>
      <w:divBdr>
        <w:top w:val="none" w:sz="0" w:space="0" w:color="auto"/>
        <w:left w:val="none" w:sz="0" w:space="0" w:color="auto"/>
        <w:bottom w:val="none" w:sz="0" w:space="0" w:color="auto"/>
        <w:right w:val="none" w:sz="0" w:space="0" w:color="auto"/>
      </w:divBdr>
    </w:div>
    <w:div w:id="1458639052">
      <w:bodyDiv w:val="1"/>
      <w:marLeft w:val="0"/>
      <w:marRight w:val="0"/>
      <w:marTop w:val="0"/>
      <w:marBottom w:val="0"/>
      <w:divBdr>
        <w:top w:val="none" w:sz="0" w:space="0" w:color="auto"/>
        <w:left w:val="none" w:sz="0" w:space="0" w:color="auto"/>
        <w:bottom w:val="none" w:sz="0" w:space="0" w:color="auto"/>
        <w:right w:val="none" w:sz="0" w:space="0" w:color="auto"/>
      </w:divBdr>
    </w:div>
    <w:div w:id="1568226901">
      <w:bodyDiv w:val="1"/>
      <w:marLeft w:val="0"/>
      <w:marRight w:val="0"/>
      <w:marTop w:val="0"/>
      <w:marBottom w:val="0"/>
      <w:divBdr>
        <w:top w:val="none" w:sz="0" w:space="0" w:color="auto"/>
        <w:left w:val="none" w:sz="0" w:space="0" w:color="auto"/>
        <w:bottom w:val="none" w:sz="0" w:space="0" w:color="auto"/>
        <w:right w:val="none" w:sz="0" w:space="0" w:color="auto"/>
      </w:divBdr>
      <w:divsChild>
        <w:div w:id="458692655">
          <w:marLeft w:val="0"/>
          <w:marRight w:val="0"/>
          <w:marTop w:val="0"/>
          <w:marBottom w:val="0"/>
          <w:divBdr>
            <w:top w:val="none" w:sz="0" w:space="0" w:color="auto"/>
            <w:left w:val="none" w:sz="0" w:space="0" w:color="auto"/>
            <w:bottom w:val="none" w:sz="0" w:space="0" w:color="auto"/>
            <w:right w:val="none" w:sz="0" w:space="0" w:color="auto"/>
          </w:divBdr>
        </w:div>
        <w:div w:id="980112592">
          <w:marLeft w:val="0"/>
          <w:marRight w:val="0"/>
          <w:marTop w:val="0"/>
          <w:marBottom w:val="0"/>
          <w:divBdr>
            <w:top w:val="none" w:sz="0" w:space="0" w:color="auto"/>
            <w:left w:val="none" w:sz="0" w:space="0" w:color="auto"/>
            <w:bottom w:val="none" w:sz="0" w:space="0" w:color="auto"/>
            <w:right w:val="none" w:sz="0" w:space="0" w:color="auto"/>
          </w:divBdr>
          <w:divsChild>
            <w:div w:id="1316102099">
              <w:marLeft w:val="0"/>
              <w:marRight w:val="0"/>
              <w:marTop w:val="0"/>
              <w:marBottom w:val="0"/>
              <w:divBdr>
                <w:top w:val="none" w:sz="0" w:space="0" w:color="auto"/>
                <w:left w:val="none" w:sz="0" w:space="0" w:color="auto"/>
                <w:bottom w:val="none" w:sz="0" w:space="0" w:color="auto"/>
                <w:right w:val="none" w:sz="0" w:space="0" w:color="auto"/>
              </w:divBdr>
            </w:div>
            <w:div w:id="900142807">
              <w:marLeft w:val="0"/>
              <w:marRight w:val="0"/>
              <w:marTop w:val="0"/>
              <w:marBottom w:val="0"/>
              <w:divBdr>
                <w:top w:val="none" w:sz="0" w:space="0" w:color="auto"/>
                <w:left w:val="none" w:sz="0" w:space="0" w:color="auto"/>
                <w:bottom w:val="none" w:sz="0" w:space="0" w:color="auto"/>
                <w:right w:val="none" w:sz="0" w:space="0" w:color="auto"/>
              </w:divBdr>
              <w:divsChild>
                <w:div w:id="289940073">
                  <w:marLeft w:val="0"/>
                  <w:marRight w:val="0"/>
                  <w:marTop w:val="0"/>
                  <w:marBottom w:val="0"/>
                  <w:divBdr>
                    <w:top w:val="none" w:sz="0" w:space="0" w:color="auto"/>
                    <w:left w:val="none" w:sz="0" w:space="0" w:color="auto"/>
                    <w:bottom w:val="none" w:sz="0" w:space="0" w:color="auto"/>
                    <w:right w:val="none" w:sz="0" w:space="0" w:color="auto"/>
                  </w:divBdr>
                  <w:divsChild>
                    <w:div w:id="1298488627">
                      <w:marLeft w:val="0"/>
                      <w:marRight w:val="0"/>
                      <w:marTop w:val="0"/>
                      <w:marBottom w:val="0"/>
                      <w:divBdr>
                        <w:top w:val="none" w:sz="0" w:space="0" w:color="auto"/>
                        <w:left w:val="none" w:sz="0" w:space="0" w:color="auto"/>
                        <w:bottom w:val="none" w:sz="0" w:space="0" w:color="auto"/>
                        <w:right w:val="none" w:sz="0" w:space="0" w:color="auto"/>
                      </w:divBdr>
                      <w:divsChild>
                        <w:div w:id="977606816">
                          <w:marLeft w:val="0"/>
                          <w:marRight w:val="0"/>
                          <w:marTop w:val="0"/>
                          <w:marBottom w:val="0"/>
                          <w:divBdr>
                            <w:top w:val="none" w:sz="0" w:space="0" w:color="auto"/>
                            <w:left w:val="none" w:sz="0" w:space="0" w:color="auto"/>
                            <w:bottom w:val="none" w:sz="0" w:space="0" w:color="auto"/>
                            <w:right w:val="none" w:sz="0" w:space="0" w:color="auto"/>
                          </w:divBdr>
                          <w:divsChild>
                            <w:div w:id="1434784654">
                              <w:marLeft w:val="0"/>
                              <w:marRight w:val="0"/>
                              <w:marTop w:val="0"/>
                              <w:marBottom w:val="0"/>
                              <w:divBdr>
                                <w:top w:val="none" w:sz="0" w:space="0" w:color="auto"/>
                                <w:left w:val="none" w:sz="0" w:space="0" w:color="auto"/>
                                <w:bottom w:val="none" w:sz="0" w:space="0" w:color="auto"/>
                                <w:right w:val="none" w:sz="0" w:space="0" w:color="auto"/>
                              </w:divBdr>
                              <w:divsChild>
                                <w:div w:id="2006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569731">
      <w:bodyDiv w:val="1"/>
      <w:marLeft w:val="0"/>
      <w:marRight w:val="0"/>
      <w:marTop w:val="0"/>
      <w:marBottom w:val="0"/>
      <w:divBdr>
        <w:top w:val="none" w:sz="0" w:space="0" w:color="auto"/>
        <w:left w:val="none" w:sz="0" w:space="0" w:color="auto"/>
        <w:bottom w:val="none" w:sz="0" w:space="0" w:color="auto"/>
        <w:right w:val="none" w:sz="0" w:space="0" w:color="auto"/>
      </w:divBdr>
    </w:div>
    <w:div w:id="1613243686">
      <w:bodyDiv w:val="1"/>
      <w:marLeft w:val="0"/>
      <w:marRight w:val="0"/>
      <w:marTop w:val="0"/>
      <w:marBottom w:val="0"/>
      <w:divBdr>
        <w:top w:val="none" w:sz="0" w:space="0" w:color="auto"/>
        <w:left w:val="none" w:sz="0" w:space="0" w:color="auto"/>
        <w:bottom w:val="none" w:sz="0" w:space="0" w:color="auto"/>
        <w:right w:val="none" w:sz="0" w:space="0" w:color="auto"/>
      </w:divBdr>
    </w:div>
    <w:div w:id="16820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1671</TotalTime>
  <Pages>6</Pages>
  <Words>2757</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 NAGAUR</dc:creator>
  <cp:keywords/>
  <dc:description/>
  <cp:lastModifiedBy>SDI CPU 1127</cp:lastModifiedBy>
  <cp:revision>19</cp:revision>
  <dcterms:created xsi:type="dcterms:W3CDTF">2025-04-13T03:17:00Z</dcterms:created>
  <dcterms:modified xsi:type="dcterms:W3CDTF">2025-04-29T07:02:00Z</dcterms:modified>
</cp:coreProperties>
</file>