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6FC9" w14:textId="77777777" w:rsidR="00754C9A" w:rsidRDefault="00754C9A" w:rsidP="00441B6F">
      <w:pPr>
        <w:pStyle w:val="Title"/>
        <w:spacing w:after="0"/>
        <w:jc w:val="both"/>
        <w:rPr>
          <w:rFonts w:ascii="Arial" w:hAnsi="Arial" w:cs="Arial"/>
        </w:rPr>
      </w:pPr>
    </w:p>
    <w:p w14:paraId="2AE44D17" w14:textId="669E5031" w:rsidR="0007585B" w:rsidRPr="0007585B"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 xml:space="preserve">Response </w:t>
      </w:r>
      <w:r>
        <w:rPr>
          <w:rFonts w:ascii="Arial" w:hAnsi="Arial" w:cs="Arial"/>
          <w:bCs/>
          <w:iCs/>
          <w:kern w:val="28"/>
          <w:sz w:val="36"/>
        </w:rPr>
        <w:t>o</w:t>
      </w:r>
      <w:r w:rsidRPr="0007585B">
        <w:rPr>
          <w:rFonts w:ascii="Arial" w:hAnsi="Arial" w:cs="Arial"/>
          <w:bCs/>
          <w:iCs/>
          <w:kern w:val="28"/>
          <w:sz w:val="36"/>
        </w:rPr>
        <w:t xml:space="preserve">f Soil-Dwelling Insects </w:t>
      </w:r>
      <w:r>
        <w:rPr>
          <w:rFonts w:ascii="Arial" w:hAnsi="Arial" w:cs="Arial"/>
          <w:bCs/>
          <w:iCs/>
          <w:kern w:val="28"/>
          <w:sz w:val="36"/>
        </w:rPr>
        <w:t>a</w:t>
      </w:r>
      <w:r w:rsidRPr="0007585B">
        <w:rPr>
          <w:rFonts w:ascii="Arial" w:hAnsi="Arial" w:cs="Arial"/>
          <w:bCs/>
          <w:iCs/>
          <w:kern w:val="28"/>
          <w:sz w:val="36"/>
        </w:rPr>
        <w:t xml:space="preserve">nd Weed Communities </w:t>
      </w:r>
      <w:r>
        <w:rPr>
          <w:rFonts w:ascii="Arial" w:hAnsi="Arial" w:cs="Arial"/>
          <w:bCs/>
          <w:iCs/>
          <w:kern w:val="28"/>
          <w:sz w:val="36"/>
        </w:rPr>
        <w:t>t</w:t>
      </w:r>
      <w:r w:rsidRPr="0007585B">
        <w:rPr>
          <w:rFonts w:ascii="Arial" w:hAnsi="Arial" w:cs="Arial"/>
          <w:bCs/>
          <w:iCs/>
          <w:kern w:val="28"/>
          <w:sz w:val="36"/>
        </w:rPr>
        <w:t xml:space="preserve">o Fertilizer Management </w:t>
      </w:r>
    </w:p>
    <w:p w14:paraId="136E3504" w14:textId="627437D5" w:rsidR="0007585B" w:rsidRPr="0007585B" w:rsidRDefault="0007585B" w:rsidP="0007585B">
      <w:pPr>
        <w:pStyle w:val="Author"/>
        <w:spacing w:line="276" w:lineRule="auto"/>
        <w:rPr>
          <w:rFonts w:ascii="Arial" w:hAnsi="Arial" w:cs="Arial"/>
          <w:bCs/>
          <w:iCs/>
          <w:kern w:val="28"/>
          <w:sz w:val="36"/>
        </w:rPr>
      </w:pPr>
      <w:r>
        <w:rPr>
          <w:rFonts w:ascii="Arial" w:hAnsi="Arial" w:cs="Arial"/>
          <w:bCs/>
          <w:iCs/>
          <w:kern w:val="28"/>
          <w:sz w:val="36"/>
        </w:rPr>
        <w:t>i</w:t>
      </w:r>
      <w:r w:rsidRPr="0007585B">
        <w:rPr>
          <w:rFonts w:ascii="Arial" w:hAnsi="Arial" w:cs="Arial"/>
          <w:bCs/>
          <w:iCs/>
          <w:kern w:val="28"/>
          <w:sz w:val="36"/>
        </w:rPr>
        <w:t>n Cassava</w:t>
      </w:r>
      <w:r>
        <w:rPr>
          <w:rFonts w:ascii="Arial" w:hAnsi="Arial" w:cs="Arial"/>
          <w:bCs/>
          <w:iCs/>
          <w:kern w:val="28"/>
          <w:sz w:val="36"/>
        </w:rPr>
        <w:t xml:space="preserve"> P</w:t>
      </w:r>
      <w:r w:rsidRPr="0007585B">
        <w:rPr>
          <w:rFonts w:ascii="Arial" w:hAnsi="Arial" w:cs="Arial"/>
          <w:bCs/>
          <w:iCs/>
          <w:kern w:val="28"/>
          <w:sz w:val="36"/>
        </w:rPr>
        <w:t xml:space="preserve">roduction: A Site </w:t>
      </w:r>
    </w:p>
    <w:p w14:paraId="05F48B29" w14:textId="359FB80A" w:rsidR="0007585B" w:rsidRPr="0007585B"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 xml:space="preserve">Comparison Study </w:t>
      </w:r>
      <w:r>
        <w:rPr>
          <w:rFonts w:ascii="Arial" w:hAnsi="Arial" w:cs="Arial"/>
          <w:bCs/>
          <w:iCs/>
          <w:kern w:val="28"/>
          <w:sz w:val="36"/>
        </w:rPr>
        <w:t>i</w:t>
      </w:r>
      <w:r w:rsidRPr="0007585B">
        <w:rPr>
          <w:rFonts w:ascii="Arial" w:hAnsi="Arial" w:cs="Arial"/>
          <w:bCs/>
          <w:iCs/>
          <w:kern w:val="28"/>
          <w:sz w:val="36"/>
        </w:rPr>
        <w:t xml:space="preserve">n Agusan </w:t>
      </w:r>
    </w:p>
    <w:p w14:paraId="31E8EE8F" w14:textId="3F92C25A" w:rsidR="00A258C3"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Del Sur, Philippines</w:t>
      </w:r>
    </w:p>
    <w:p w14:paraId="56558C9A" w14:textId="77777777" w:rsidR="0007585B" w:rsidRPr="00790ADA" w:rsidRDefault="0007585B" w:rsidP="0007585B">
      <w:pPr>
        <w:pStyle w:val="Author"/>
        <w:spacing w:line="240" w:lineRule="auto"/>
        <w:rPr>
          <w:rFonts w:ascii="Arial" w:hAnsi="Arial" w:cs="Arial"/>
          <w:sz w:val="36"/>
        </w:rPr>
      </w:pPr>
    </w:p>
    <w:p w14:paraId="4ACE1DF6" w14:textId="77777777" w:rsidR="00790ADA" w:rsidRDefault="00790ADA" w:rsidP="00441B6F">
      <w:pPr>
        <w:pStyle w:val="Affiliation"/>
        <w:spacing w:after="0" w:line="240" w:lineRule="auto"/>
        <w:jc w:val="both"/>
        <w:rPr>
          <w:rFonts w:ascii="Arial" w:hAnsi="Arial" w:cs="Arial"/>
        </w:rPr>
      </w:pPr>
    </w:p>
    <w:p w14:paraId="60603950" w14:textId="77777777" w:rsidR="002C57D2" w:rsidRPr="00FB3A86" w:rsidRDefault="002C57D2" w:rsidP="00441B6F">
      <w:pPr>
        <w:pStyle w:val="Affiliation"/>
        <w:spacing w:after="0" w:line="240" w:lineRule="auto"/>
        <w:jc w:val="both"/>
        <w:rPr>
          <w:rFonts w:ascii="Arial" w:hAnsi="Arial" w:cs="Arial"/>
        </w:rPr>
      </w:pPr>
    </w:p>
    <w:p w14:paraId="66838ED2" w14:textId="2820C092" w:rsidR="00B01FCD" w:rsidRPr="00FB3A86" w:rsidRDefault="008545A0" w:rsidP="00441B6F">
      <w:pPr>
        <w:pStyle w:val="Copyright"/>
        <w:spacing w:after="0" w:line="240" w:lineRule="auto"/>
        <w:jc w:val="both"/>
        <w:rPr>
          <w:rFonts w:ascii="Arial" w:hAnsi="Arial" w:cs="Arial"/>
        </w:rPr>
        <w:sectPr w:rsidR="00B01FCD" w:rsidRPr="00FB3A86" w:rsidSect="00315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EC8679" wp14:editId="707A8A83">
                <wp:extent cx="5303520" cy="635"/>
                <wp:effectExtent l="13335" t="13335" r="17145" b="15240"/>
                <wp:docPr id="12966442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165D6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0B098B" w14:textId="5BAA4F45" w:rsidR="00B01FCD" w:rsidRDefault="00B01FCD" w:rsidP="00441B6F">
      <w:pPr>
        <w:pStyle w:val="AbstHead"/>
        <w:spacing w:after="0"/>
        <w:jc w:val="both"/>
        <w:rPr>
          <w:rFonts w:ascii="Arial" w:hAnsi="Arial" w:cs="Arial"/>
        </w:rPr>
      </w:pPr>
      <w:r w:rsidRPr="00FB3A86">
        <w:rPr>
          <w:rFonts w:ascii="Arial" w:hAnsi="Arial" w:cs="Arial"/>
        </w:rPr>
        <w:t>ABSTRACT</w:t>
      </w:r>
    </w:p>
    <w:p w14:paraId="227A11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5C15B67" w14:textId="77777777" w:rsidTr="001E44FE">
        <w:tc>
          <w:tcPr>
            <w:tcW w:w="9576" w:type="dxa"/>
            <w:shd w:val="clear" w:color="auto" w:fill="F2F2F2"/>
          </w:tcPr>
          <w:p w14:paraId="5C3C7B0D" w14:textId="1EDDA3F5" w:rsid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Aims</w:t>
            </w:r>
            <w:r>
              <w:rPr>
                <w:rFonts w:ascii="Arial" w:eastAsia="Calibri" w:hAnsi="Arial" w:cs="Arial"/>
                <w:b/>
                <w:szCs w:val="22"/>
              </w:rPr>
              <w:t>:</w:t>
            </w:r>
            <w:r w:rsidR="00836A13">
              <w:rPr>
                <w:rFonts w:ascii="Arial" w:eastAsia="Calibri" w:hAnsi="Arial" w:cs="Arial"/>
                <w:b/>
                <w:szCs w:val="22"/>
              </w:rPr>
              <w:t xml:space="preserve"> </w:t>
            </w:r>
            <w:r w:rsidRPr="002E56EB">
              <w:rPr>
                <w:rFonts w:ascii="Arial" w:eastAsia="Calibri" w:hAnsi="Arial" w:cs="Arial"/>
                <w:bCs/>
                <w:szCs w:val="22"/>
              </w:rPr>
              <w:t>Intensification of cassava production through improved fertilizer management requires understanding its impacts on agricultural biodiversity.</w:t>
            </w:r>
          </w:p>
          <w:p w14:paraId="16BCCE03" w14:textId="57470FF8" w:rsidR="002E56EB" w:rsidRP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Study Design</w:t>
            </w:r>
            <w:r>
              <w:rPr>
                <w:rFonts w:ascii="Arial" w:eastAsia="Calibri" w:hAnsi="Arial" w:cs="Arial"/>
                <w:b/>
                <w:szCs w:val="22"/>
              </w:rPr>
              <w:t xml:space="preserve">: </w:t>
            </w:r>
            <w:r w:rsidRPr="002E56EB">
              <w:rPr>
                <w:rFonts w:ascii="Arial" w:eastAsia="Calibri" w:hAnsi="Arial" w:cs="Arial"/>
                <w:bCs/>
                <w:szCs w:val="22"/>
              </w:rPr>
              <w:t>A field experiment using a split-plot design with three replications.</w:t>
            </w:r>
          </w:p>
          <w:p w14:paraId="140943D2" w14:textId="77777777" w:rsid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Place and Duration of the Study</w:t>
            </w:r>
            <w:r>
              <w:rPr>
                <w:rFonts w:ascii="Arial" w:eastAsia="Calibri" w:hAnsi="Arial" w:cs="Arial"/>
                <w:b/>
                <w:szCs w:val="22"/>
              </w:rPr>
              <w:t xml:space="preserve">: </w:t>
            </w:r>
            <w:r w:rsidRPr="002E56EB">
              <w:rPr>
                <w:rFonts w:ascii="Arial" w:eastAsia="Calibri" w:hAnsi="Arial" w:cs="Arial"/>
                <w:bCs/>
                <w:szCs w:val="22"/>
              </w:rPr>
              <w:t>The study was conducted at two sites (Research Station and farmer's field) from April 2021 to March 2022.</w:t>
            </w:r>
          </w:p>
          <w:p w14:paraId="05B745A1" w14:textId="09EB50F3" w:rsidR="002E56EB" w:rsidRPr="002E56EB" w:rsidRDefault="002E56EB" w:rsidP="002E56EB">
            <w:pPr>
              <w:pStyle w:val="Body"/>
              <w:spacing w:after="0"/>
              <w:rPr>
                <w:rFonts w:ascii="Arial" w:eastAsia="Calibri" w:hAnsi="Arial" w:cs="Arial"/>
                <w:b/>
                <w:szCs w:val="22"/>
              </w:rPr>
            </w:pPr>
            <w:r w:rsidRPr="002E56EB">
              <w:rPr>
                <w:rFonts w:ascii="Arial" w:eastAsia="Calibri" w:hAnsi="Arial" w:cs="Arial"/>
                <w:b/>
                <w:szCs w:val="22"/>
              </w:rPr>
              <w:t>Methodology</w:t>
            </w:r>
            <w:r>
              <w:rPr>
                <w:rFonts w:ascii="Arial" w:eastAsia="Calibri" w:hAnsi="Arial" w:cs="Arial"/>
                <w:b/>
                <w:szCs w:val="22"/>
              </w:rPr>
              <w:t xml:space="preserve">: </w:t>
            </w:r>
            <w:r w:rsidRPr="002E56EB">
              <w:rPr>
                <w:rFonts w:ascii="Arial" w:eastAsia="Calibri" w:hAnsi="Arial" w:cs="Arial"/>
                <w:bCs/>
                <w:szCs w:val="22"/>
              </w:rPr>
              <w:t>The study compared eleven fertilizer treatments across two cassava varieties (Lakan 1 and Golden Yellow). Soil-inhabiting insects and weed communities were assessed across all treatments.</w:t>
            </w:r>
          </w:p>
          <w:p w14:paraId="29B187A8" w14:textId="77777777" w:rsidR="00836A13" w:rsidRDefault="002E56EB" w:rsidP="00836A13">
            <w:pPr>
              <w:pStyle w:val="Body"/>
              <w:spacing w:after="0"/>
              <w:rPr>
                <w:rFonts w:ascii="Arial" w:eastAsia="Calibri" w:hAnsi="Arial" w:cs="Arial"/>
                <w:bCs/>
                <w:szCs w:val="22"/>
              </w:rPr>
            </w:pPr>
            <w:r w:rsidRPr="002E56EB">
              <w:rPr>
                <w:rFonts w:ascii="Arial" w:eastAsia="Calibri" w:hAnsi="Arial" w:cs="Arial"/>
                <w:b/>
                <w:szCs w:val="22"/>
              </w:rPr>
              <w:t>Results</w:t>
            </w:r>
            <w:r w:rsidR="00836A13">
              <w:rPr>
                <w:rFonts w:ascii="Arial" w:eastAsia="Calibri" w:hAnsi="Arial" w:cs="Arial"/>
                <w:b/>
                <w:szCs w:val="22"/>
              </w:rPr>
              <w:t xml:space="preserve">: </w:t>
            </w:r>
            <w:r w:rsidRPr="00836A13">
              <w:rPr>
                <w:rFonts w:ascii="Arial" w:eastAsia="Calibri" w:hAnsi="Arial" w:cs="Arial"/>
                <w:bCs/>
                <w:szCs w:val="22"/>
              </w:rPr>
              <w:t>Soil-inhabiting insects showed significantly higher populations in unfertilized control plots compared to fertilized treatments, with predatory ground beetles (</w:t>
            </w:r>
            <w:proofErr w:type="spellStart"/>
            <w:r w:rsidRPr="00836A13">
              <w:rPr>
                <w:rFonts w:ascii="Arial" w:eastAsia="Calibri" w:hAnsi="Arial" w:cs="Arial"/>
                <w:bCs/>
                <w:szCs w:val="22"/>
              </w:rPr>
              <w:t>Carabidae</w:t>
            </w:r>
            <w:proofErr w:type="spellEnd"/>
            <w:r w:rsidRPr="00836A13">
              <w:rPr>
                <w:rFonts w:ascii="Arial" w:eastAsia="Calibri" w:hAnsi="Arial" w:cs="Arial"/>
                <w:bCs/>
                <w:szCs w:val="22"/>
              </w:rPr>
              <w:t>) dominating both sites.</w:t>
            </w:r>
            <w:r w:rsidR="00836A13">
              <w:rPr>
                <w:rFonts w:ascii="Arial" w:eastAsia="Calibri" w:hAnsi="Arial" w:cs="Arial"/>
                <w:bCs/>
                <w:szCs w:val="22"/>
              </w:rPr>
              <w:t xml:space="preserve"> </w:t>
            </w:r>
            <w:r w:rsidRPr="00836A13">
              <w:rPr>
                <w:rFonts w:ascii="Arial" w:eastAsia="Calibri" w:hAnsi="Arial" w:cs="Arial"/>
                <w:bCs/>
                <w:szCs w:val="22"/>
              </w:rPr>
              <w:t>Shannon's diversity indices (1.58-1.62) indicated moderate insect diversity across sites, suggesting simplified but functional communities.</w:t>
            </w:r>
            <w:r w:rsidR="00836A13">
              <w:rPr>
                <w:rFonts w:ascii="Arial" w:eastAsia="Calibri" w:hAnsi="Arial" w:cs="Arial"/>
                <w:bCs/>
                <w:szCs w:val="22"/>
              </w:rPr>
              <w:t xml:space="preserve"> </w:t>
            </w:r>
            <w:r w:rsidRPr="00836A13">
              <w:rPr>
                <w:rFonts w:ascii="Arial" w:eastAsia="Calibri" w:hAnsi="Arial" w:cs="Arial"/>
                <w:bCs/>
                <w:szCs w:val="22"/>
              </w:rPr>
              <w:t xml:space="preserve">Weed assessments revealed distinct community structures between sites, dominated by perennial grasses from the </w:t>
            </w:r>
            <w:proofErr w:type="spellStart"/>
            <w:r w:rsidRPr="00836A13">
              <w:rPr>
                <w:rFonts w:ascii="Arial" w:eastAsia="Calibri" w:hAnsi="Arial" w:cs="Arial"/>
                <w:bCs/>
                <w:szCs w:val="22"/>
              </w:rPr>
              <w:t>Poaceae</w:t>
            </w:r>
            <w:proofErr w:type="spellEnd"/>
            <w:r w:rsidRPr="00836A13">
              <w:rPr>
                <w:rFonts w:ascii="Arial" w:eastAsia="Calibri" w:hAnsi="Arial" w:cs="Arial"/>
                <w:bCs/>
                <w:szCs w:val="22"/>
              </w:rPr>
              <w:t xml:space="preserve"> family.</w:t>
            </w:r>
            <w:r w:rsidR="00836A13">
              <w:rPr>
                <w:rFonts w:ascii="Arial" w:eastAsia="Calibri" w:hAnsi="Arial" w:cs="Arial"/>
                <w:bCs/>
                <w:szCs w:val="22"/>
              </w:rPr>
              <w:t xml:space="preserve"> </w:t>
            </w:r>
            <w:r w:rsidRPr="00836A13">
              <w:rPr>
                <w:rFonts w:ascii="Arial" w:eastAsia="Calibri" w:hAnsi="Arial" w:cs="Arial"/>
                <w:bCs/>
                <w:szCs w:val="22"/>
              </w:rPr>
              <w:t>While fertilizer treatments significantly influenced soil insect abundance, weed community composition was more strongly affected by site-specific conditions, as demonstrated through cluster analysis.</w:t>
            </w:r>
          </w:p>
          <w:p w14:paraId="54DFB8CC" w14:textId="17AE7EA7" w:rsidR="00505F06" w:rsidRPr="00836A13" w:rsidRDefault="002E56EB" w:rsidP="00441B6F">
            <w:pPr>
              <w:pStyle w:val="Body"/>
              <w:spacing w:after="0"/>
              <w:rPr>
                <w:rFonts w:ascii="Arial" w:eastAsia="Calibri" w:hAnsi="Arial" w:cs="Arial"/>
                <w:bCs/>
                <w:szCs w:val="22"/>
              </w:rPr>
            </w:pPr>
            <w:r w:rsidRPr="002E56EB">
              <w:rPr>
                <w:rFonts w:ascii="Arial" w:eastAsia="Calibri" w:hAnsi="Arial" w:cs="Arial"/>
                <w:b/>
                <w:szCs w:val="22"/>
              </w:rPr>
              <w:t>Conclusion</w:t>
            </w:r>
            <w:r w:rsidR="00836A13">
              <w:rPr>
                <w:rFonts w:ascii="Arial" w:eastAsia="Calibri" w:hAnsi="Arial" w:cs="Arial"/>
                <w:b/>
                <w:szCs w:val="22"/>
              </w:rPr>
              <w:t xml:space="preserve">: </w:t>
            </w:r>
            <w:r w:rsidRPr="00836A13">
              <w:rPr>
                <w:rFonts w:ascii="Arial" w:eastAsia="Calibri" w:hAnsi="Arial" w:cs="Arial"/>
                <w:bCs/>
                <w:szCs w:val="22"/>
              </w:rPr>
              <w:t>The study demonstrates that agricultural intensification through fertilizer application may impact beneficial soil fauna while having limited effect on weed community structure. These findings suggest the need for integrated, site-specific management approaches that balance nutrient application with biodiversity conservation in cassava production systems.</w:t>
            </w:r>
          </w:p>
        </w:tc>
      </w:tr>
    </w:tbl>
    <w:p w14:paraId="05DC4A79" w14:textId="77777777" w:rsidR="00636EB2" w:rsidRDefault="00636EB2" w:rsidP="00441B6F">
      <w:pPr>
        <w:pStyle w:val="Body"/>
        <w:spacing w:after="0"/>
        <w:rPr>
          <w:rFonts w:ascii="Arial" w:hAnsi="Arial" w:cs="Arial"/>
          <w:i/>
        </w:rPr>
      </w:pPr>
    </w:p>
    <w:p w14:paraId="6F21C571" w14:textId="09E1CFC8" w:rsidR="00A24E7E" w:rsidRPr="00836A13" w:rsidRDefault="00A24E7E" w:rsidP="00441B6F">
      <w:pPr>
        <w:pStyle w:val="Body"/>
        <w:spacing w:after="0"/>
        <w:rPr>
          <w:rFonts w:ascii="Arial" w:hAnsi="Arial" w:cs="Arial"/>
          <w:i/>
        </w:rPr>
      </w:pPr>
      <w:r>
        <w:rPr>
          <w:rFonts w:ascii="Arial" w:hAnsi="Arial" w:cs="Arial"/>
          <w:i/>
        </w:rPr>
        <w:t xml:space="preserve">Keywords: </w:t>
      </w:r>
      <w:r w:rsidR="00836A13" w:rsidRPr="00836A13">
        <w:rPr>
          <w:rFonts w:ascii="Arial" w:hAnsi="Arial" w:cs="Arial"/>
          <w:i/>
        </w:rPr>
        <w:t xml:space="preserve">Agro-biodiversity, Cassava production, Fertilizer treatments, Soil insects, Weed communities, </w:t>
      </w:r>
      <w:proofErr w:type="spellStart"/>
      <w:r w:rsidR="00836A13" w:rsidRPr="00836A13">
        <w:rPr>
          <w:rFonts w:ascii="Arial" w:hAnsi="Arial" w:cs="Arial"/>
          <w:i/>
        </w:rPr>
        <w:t>Carabidae</w:t>
      </w:r>
      <w:proofErr w:type="spellEnd"/>
      <w:r w:rsidR="00836A13" w:rsidRPr="00836A13">
        <w:rPr>
          <w:rFonts w:ascii="Arial" w:hAnsi="Arial" w:cs="Arial"/>
          <w:i/>
        </w:rPr>
        <w:t>, Species diversity, Site-specific management</w:t>
      </w:r>
    </w:p>
    <w:p w14:paraId="7DA076CF" w14:textId="77777777" w:rsidR="00790ADA" w:rsidRDefault="00790ADA" w:rsidP="00441B6F">
      <w:pPr>
        <w:pStyle w:val="Body"/>
        <w:spacing w:after="0"/>
        <w:rPr>
          <w:rFonts w:ascii="Arial" w:hAnsi="Arial" w:cs="Arial"/>
          <w:i/>
        </w:rPr>
      </w:pPr>
    </w:p>
    <w:p w14:paraId="32FFE45E" w14:textId="77777777" w:rsidR="0024282C" w:rsidRDefault="0024282C" w:rsidP="00441B6F">
      <w:pPr>
        <w:pStyle w:val="Body"/>
        <w:spacing w:after="0"/>
        <w:rPr>
          <w:rFonts w:ascii="Arial" w:hAnsi="Arial" w:cs="Arial"/>
          <w:i/>
          <w:sz w:val="18"/>
        </w:rPr>
      </w:pPr>
    </w:p>
    <w:p w14:paraId="1DE8A68B" w14:textId="77777777" w:rsidR="00505F06" w:rsidRPr="00A24E7E" w:rsidRDefault="00505F06" w:rsidP="00441B6F">
      <w:pPr>
        <w:pStyle w:val="Body"/>
        <w:spacing w:after="0"/>
        <w:rPr>
          <w:rFonts w:ascii="Arial" w:hAnsi="Arial" w:cs="Arial"/>
          <w:i/>
        </w:rPr>
      </w:pPr>
    </w:p>
    <w:p w14:paraId="0149E569" w14:textId="631504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F2A87E" w14:textId="77777777" w:rsidR="00790ADA" w:rsidRPr="00FB3A86" w:rsidRDefault="00790ADA" w:rsidP="00441B6F">
      <w:pPr>
        <w:pStyle w:val="AbstHead"/>
        <w:spacing w:after="0"/>
        <w:jc w:val="both"/>
        <w:rPr>
          <w:rFonts w:ascii="Arial" w:hAnsi="Arial" w:cs="Arial"/>
        </w:rPr>
      </w:pPr>
    </w:p>
    <w:p w14:paraId="01CFBD1B" w14:textId="110F2B53" w:rsidR="00650A27" w:rsidRPr="00650A27" w:rsidRDefault="00650A27" w:rsidP="00650A27">
      <w:pPr>
        <w:pStyle w:val="Body"/>
        <w:rPr>
          <w:rFonts w:ascii="Arial" w:hAnsi="Arial" w:cs="Arial"/>
        </w:rPr>
      </w:pPr>
      <w:r w:rsidRPr="00650A27">
        <w:rPr>
          <w:rFonts w:ascii="Arial" w:hAnsi="Arial" w:cs="Arial"/>
        </w:rPr>
        <w:t xml:space="preserve">The Cassava (Manihot esculenta Crantz) is a key food security crop in tropical and subtropical regions, serving as food and industrial commodities in the Philippines [1, 2]. Its remarkable tolerance to drought and poor soils makes it essential for subsistence farming, while its versatility supports various industries, including animal feed, starch production, bioethanol, </w:t>
      </w:r>
      <w:r w:rsidRPr="00650A27">
        <w:rPr>
          <w:rFonts w:ascii="Arial" w:hAnsi="Arial" w:cs="Arial"/>
        </w:rPr>
        <w:lastRenderedPageBreak/>
        <w:t>and food processing [3, 4]. In the Philippines, cassava cultivation accounts for 705,834 hectares across Northern Mindanao, Cagayan Valley, Bicol Region, and ARMM [5, 6], with the Caraga Region contributing 2,789 hectares yielding 8.8 t/ha [5]. However, cassava productivity faces challenges from declining soil fertility and increasing production pressure.</w:t>
      </w:r>
    </w:p>
    <w:p w14:paraId="3BA41941" w14:textId="4EAE96F5" w:rsidR="00650A27" w:rsidRPr="00650A27" w:rsidRDefault="00650A27" w:rsidP="00650A27">
      <w:pPr>
        <w:pStyle w:val="Body"/>
        <w:rPr>
          <w:rFonts w:ascii="Arial" w:hAnsi="Arial" w:cs="Arial"/>
        </w:rPr>
      </w:pPr>
      <w:r w:rsidRPr="00650A27">
        <w:rPr>
          <w:rFonts w:ascii="Arial" w:hAnsi="Arial" w:cs="Arial"/>
        </w:rPr>
        <w:t xml:space="preserve">Rising global demand has intensified the need for improved cassava production through enhanced fertilizer management practices. The sustainable intensification employing ecosystem-based approaches and improved fertilizer application methods [7], the implementation of site-specific nutrient management (SSNM), and customized fertilizers have shown a potential to increase yields by 5.50 t/ha compared to traditional practices [8]. However, the risks of soil deterioration and pests and diseases by intensification necessitate integrated management considering productivity and ecosystem health [7, 9]. Agricultural biodiversity plays a crucial role in maintaining ecosystem services within cropping systems. Research has demonstrated that diversified farming practices enhance services such as pollination, pest control, nutrient cycling, and soil fertility without compromising yield [10]. Particularly significant are soil-inhabiting insects, especially Carabid beetles, which provide biocontrol services through complex spatial networks [11]. Similarly, weed communities contribute to soil stability and habitat diversity through microbiome interactions [12], with emerging evidence suggesting that "neutral weed communities" can enhance ecosystem services without adversely impacting crop yield [13]. However, fertilizer applications modify the above-ground and below-ground biological communities. Recent studies have shown that nitrogen fertilization increases plant biomass and reduces species richness and soil prokaryotic diversity [14]. Different fertilizer types show varying effects: mineral nitrogen and straw applications decrease bacterial alpha diversity, while manure applications increase it [15]. However, significant knowledge gaps remain regarding these effects in root crops like cassava, which concern the simultaneous response of beneficial insects and weed communities to fertilizer management. Various agricultural ecosystems require examination under varied conditions, considering both research station and farmer's field conditions. Field margins have been shown to maintain biodiversity and enhance crop pollination and pest control services </w:t>
      </w:r>
      <w:r w:rsidRPr="007D56CA">
        <w:rPr>
          <w:rFonts w:ascii="Arial" w:hAnsi="Arial" w:cs="Arial"/>
          <w:highlight w:val="yellow"/>
        </w:rPr>
        <w:t>[16]</w:t>
      </w:r>
      <w:r w:rsidRPr="00650A27">
        <w:rPr>
          <w:rFonts w:ascii="Arial" w:hAnsi="Arial" w:cs="Arial"/>
        </w:rPr>
        <w:t>. Agusan del Sur's cassava production systems, influenced by agricultural practices and climate resilience requirements [17], provide an ideal setting for investigating these relationships.</w:t>
      </w:r>
    </w:p>
    <w:p w14:paraId="4D79B825" w14:textId="216999DF" w:rsidR="00B01FCD" w:rsidRDefault="00650A27" w:rsidP="00650A27">
      <w:pPr>
        <w:pStyle w:val="Body"/>
        <w:spacing w:after="0"/>
        <w:rPr>
          <w:rFonts w:ascii="Arial" w:hAnsi="Arial" w:cs="Arial"/>
        </w:rPr>
      </w:pPr>
      <w:r w:rsidRPr="00650A27">
        <w:rPr>
          <w:rFonts w:ascii="Arial" w:hAnsi="Arial" w:cs="Arial"/>
        </w:rPr>
        <w:t>This study evaluates the impacts of fertilizer treatments on agro-biodiversity within cassava production systems in Trento, Agusan del Sur, Philippines, examining the effects on soil insect diversity, weed composition, and interactions between fertilizer management and cassava varieties. It characterizes soil-inhabiting insect communities and weed flora responses across fertilizer regimes. It explores relationships between fertilizer applications and beneficial soil fauna, particularly ground beetles as soil health indicators, to understand fertilizer effects on biodiversity and cassava productivity.</w:t>
      </w:r>
    </w:p>
    <w:p w14:paraId="519A3D81" w14:textId="77777777" w:rsidR="00790ADA" w:rsidRPr="00FB3A86" w:rsidRDefault="00790ADA" w:rsidP="00441B6F">
      <w:pPr>
        <w:pStyle w:val="Body"/>
        <w:spacing w:after="0"/>
        <w:rPr>
          <w:rFonts w:ascii="Arial" w:hAnsi="Arial" w:cs="Arial"/>
        </w:rPr>
      </w:pPr>
    </w:p>
    <w:p w14:paraId="25366471" w14:textId="28C48B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B81014" w14:textId="77777777" w:rsidR="00790ADA" w:rsidRPr="00FB3A86" w:rsidRDefault="00790ADA" w:rsidP="00441B6F">
      <w:pPr>
        <w:pStyle w:val="AbstHead"/>
        <w:spacing w:after="0"/>
        <w:jc w:val="both"/>
        <w:rPr>
          <w:rFonts w:ascii="Arial" w:hAnsi="Arial" w:cs="Arial"/>
        </w:rPr>
      </w:pPr>
    </w:p>
    <w:p w14:paraId="612EF33D" w14:textId="466AFE14" w:rsidR="00650A27" w:rsidRPr="00650A27" w:rsidRDefault="00650A27" w:rsidP="00650A27">
      <w:pPr>
        <w:pStyle w:val="demucnho"/>
        <w:ind w:firstLine="0"/>
        <w:rPr>
          <w:rFonts w:ascii="Arial" w:hAnsi="Arial" w:cs="Arial"/>
          <w:sz w:val="20"/>
          <w:szCs w:val="20"/>
        </w:rPr>
      </w:pPr>
      <w:r>
        <w:rPr>
          <w:rFonts w:ascii="Arial" w:hAnsi="Arial" w:cs="Arial"/>
          <w:sz w:val="20"/>
          <w:szCs w:val="20"/>
        </w:rPr>
        <w:t xml:space="preserve">2.1. </w:t>
      </w:r>
      <w:r w:rsidRPr="00650A27">
        <w:rPr>
          <w:rFonts w:ascii="Arial" w:hAnsi="Arial" w:cs="Arial"/>
          <w:sz w:val="20"/>
          <w:szCs w:val="20"/>
        </w:rPr>
        <w:t>Study sites and experimental design</w:t>
      </w:r>
    </w:p>
    <w:p w14:paraId="613667FD"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 xml:space="preserve">The study was conducted from April 2021 to March 2022 at two sites in Trento, Agusan del Sur, Philippines: the DA-Caraga Research Station and the Barangay Cuevas experimental site. The area experiences a Type II climate with no distinct dry season but with pronounced rainfall from December to January. Each experimental site utilized an area of 4,300 m². The experiment was laid out in a Split-plot design arranged in a Randomized Complete Block Design (RCBD) with three replications. The main plot factor was fertilizer treatment, while </w:t>
      </w:r>
      <w:r w:rsidRPr="00650A27">
        <w:rPr>
          <w:rFonts w:ascii="Arial" w:hAnsi="Arial" w:cs="Arial"/>
          <w:b w:val="0"/>
          <w:sz w:val="20"/>
          <w:szCs w:val="20"/>
        </w:rPr>
        <w:lastRenderedPageBreak/>
        <w:t>cassava variety was the sub-plot factor. Each plot measured 6m × 6m to accommodate 36 plants with 1m × 1m spacing.</w:t>
      </w:r>
    </w:p>
    <w:p w14:paraId="7F404646"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The experiment consisted of eleven fertilizer treatments:</w:t>
      </w:r>
    </w:p>
    <w:p w14:paraId="5FD4E4D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 T1 (Ctrl) - Unfertilized control (0-0-0)</w:t>
      </w:r>
    </w:p>
    <w:p w14:paraId="055AE34C"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2. T2 (NPK) - Full NPK (200-100-350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0ACE8506"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3. T3 (PK) - N omission plot (0-100-350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2FD1E35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4. T4 (NK) - P omission plot (200-0-350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220A4D61"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5. T5 (NP) - K omission plot (200-100-0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0047498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6. T6 (SSNM) - Site-specific nutrient management</w:t>
      </w:r>
    </w:p>
    <w:p w14:paraId="49DB5D03"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7. T7 (NFR) - National fertilizer recommendation (56-56-560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7F8C07B1"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8. T8 (FFP) - Farmers' fertilizer practice</w:t>
      </w:r>
    </w:p>
    <w:p w14:paraId="3A100417"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9. T9 (NPK Adjusted N) - Modified N rate (100-100-350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1379CAB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10. T10 (NPK Adjusted P) - Modified P rate (200-50-350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42617DBB"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11. T11 (NPK Adjusted K) - Modified K rate (200-100-175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312146D3" w14:textId="77777777" w:rsidR="00650A27" w:rsidRPr="00650A27" w:rsidRDefault="00650A27" w:rsidP="00650A27">
      <w:pPr>
        <w:pStyle w:val="demucnho"/>
        <w:ind w:firstLine="0"/>
        <w:rPr>
          <w:rFonts w:ascii="Arial" w:hAnsi="Arial" w:cs="Arial"/>
          <w:sz w:val="20"/>
          <w:szCs w:val="20"/>
        </w:rPr>
      </w:pPr>
      <w:r w:rsidRPr="00650A27">
        <w:rPr>
          <w:rFonts w:ascii="Arial" w:hAnsi="Arial" w:cs="Arial"/>
          <w:sz w:val="20"/>
          <w:szCs w:val="20"/>
        </w:rPr>
        <w:t>2.2. Land preparation and planting</w:t>
      </w:r>
    </w:p>
    <w:p w14:paraId="64A6E8F6"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Before planting, the experimental area was thoroughly prepared by deep plowing and harrowing three times using a tractor to achieve proper soil tilth and enhance root penetration. Soil samples were collected from each site in a Z-pattern to establish baseline soil properties, including soil pH, total nitrogen (N), organic matter (%OM), available phosphorus (P), and exchangeable potassium (K) [18]. Mature cassava stem cuttings of two varieties (Lakan 1 and Golden Yellow) were obtained from DA-Caraga, Trento Research and Experiment Station. High-quality stem cuttings with five nodes were selected and cut to uniform lengths. Planting was done upright at a spacing of 1 m between hills and 1 m between rows, accommodating 36 plants within each 6m × 6m plot. The planting materials were sourced from disease-free, 8–10-month-old mother plants to ensure good establishment and vigor.</w:t>
      </w:r>
    </w:p>
    <w:p w14:paraId="72441D2D" w14:textId="77777777" w:rsidR="00650A27" w:rsidRPr="00650A27" w:rsidRDefault="00650A27" w:rsidP="00650A27">
      <w:pPr>
        <w:pStyle w:val="demucnho"/>
        <w:ind w:firstLine="0"/>
        <w:rPr>
          <w:rFonts w:ascii="Arial" w:hAnsi="Arial" w:cs="Arial"/>
          <w:sz w:val="20"/>
          <w:szCs w:val="20"/>
        </w:rPr>
      </w:pPr>
      <w:r w:rsidRPr="00650A27">
        <w:rPr>
          <w:rFonts w:ascii="Arial" w:hAnsi="Arial" w:cs="Arial"/>
          <w:sz w:val="20"/>
          <w:szCs w:val="20"/>
        </w:rPr>
        <w:t>2.3. Fertilizer treatment application</w:t>
      </w:r>
    </w:p>
    <w:p w14:paraId="3A203232"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 xml:space="preserve">Fertilizer applications were carried out following specific timing and splitting schedules for different nutrients. The nitrogen source was Urea (46% N), applied in three equal splits: 30% at planting, 35% at 2.5 months after planting (MAP), and the remaining 35% at 5 MAP. Phosphorus, sourced from </w:t>
      </w:r>
      <w:proofErr w:type="spellStart"/>
      <w:r w:rsidRPr="00650A27">
        <w:rPr>
          <w:rFonts w:ascii="Arial" w:hAnsi="Arial" w:cs="Arial"/>
          <w:b w:val="0"/>
          <w:sz w:val="20"/>
          <w:szCs w:val="20"/>
        </w:rPr>
        <w:t>Solophos</w:t>
      </w:r>
      <w:proofErr w:type="spellEnd"/>
      <w:r w:rsidRPr="00650A27">
        <w:rPr>
          <w:rFonts w:ascii="Arial" w:hAnsi="Arial" w:cs="Arial"/>
          <w:b w:val="0"/>
          <w:sz w:val="20"/>
          <w:szCs w:val="20"/>
        </w:rPr>
        <w:t xml:space="preserve"> (18%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was applied entirely as a basal application at planting. Using Muriate of Potash (60% K</w:t>
      </w:r>
      <w:r w:rsidRPr="00650A27">
        <w:rPr>
          <w:rFonts w:ascii="Cambria Math" w:hAnsi="Cambria Math" w:cs="Cambria Math"/>
          <w:b w:val="0"/>
          <w:sz w:val="20"/>
          <w:szCs w:val="20"/>
        </w:rPr>
        <w:t>₂</w:t>
      </w:r>
      <w:r w:rsidRPr="00650A27">
        <w:rPr>
          <w:rFonts w:ascii="Arial" w:hAnsi="Arial" w:cs="Arial"/>
          <w:b w:val="0"/>
          <w:sz w:val="20"/>
          <w:szCs w:val="20"/>
        </w:rPr>
        <w:t>O) as the source, potassium was applied in three splits following the same schedule as nitrogen (30:35:35 ratio at 0, 2.5, and 5 MAP).</w:t>
      </w:r>
    </w:p>
    <w:p w14:paraId="2CD4B07C"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Fertilizers were incorporated into the soil during the final harrowing operation for basal applications. Split applications were done through band placement 10-15 cm away from the plant base and covered with soil to minimize nutrient losses. Hilling-up was performed after the first fertilizer application, covering the fertilizer by hilling the soil to about 8-10 cm depth.</w:t>
      </w:r>
    </w:p>
    <w:p w14:paraId="76835358" w14:textId="77777777" w:rsidR="00650A27" w:rsidRPr="00650A27" w:rsidRDefault="00650A27" w:rsidP="00650A27">
      <w:pPr>
        <w:pStyle w:val="demucnho"/>
        <w:rPr>
          <w:rFonts w:ascii="Arial" w:hAnsi="Arial" w:cs="Arial"/>
          <w:b w:val="0"/>
          <w:sz w:val="20"/>
          <w:szCs w:val="20"/>
        </w:rPr>
      </w:pPr>
      <w:r w:rsidRPr="00650A27">
        <w:rPr>
          <w:rFonts w:ascii="Arial" w:hAnsi="Arial" w:cs="Arial"/>
          <w:b w:val="0"/>
          <w:sz w:val="20"/>
          <w:szCs w:val="20"/>
        </w:rPr>
        <w:t>The specific fertilizer rates for each treatment were as follows:</w:t>
      </w:r>
    </w:p>
    <w:p w14:paraId="27215E71"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Treatment 2 (NPK) received the full recommended rate of 200-100-350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 3 (PK) received 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while Treatment 4 (NK) received 200-0-350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and Treatment 5 (NP) received 200-100-0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 xml:space="preserve">O </w:t>
      </w:r>
      <w:r w:rsidRPr="00650A27">
        <w:rPr>
          <w:rFonts w:ascii="Arial" w:hAnsi="Arial" w:cs="Arial"/>
          <w:b w:val="0"/>
          <w:sz w:val="20"/>
          <w:szCs w:val="20"/>
        </w:rPr>
        <w:lastRenderedPageBreak/>
        <w:t>ha</w:t>
      </w:r>
      <w:r w:rsidRPr="00650A27">
        <w:rPr>
          <w:rFonts w:ascii="Cambria Math" w:hAnsi="Cambria Math" w:cs="Cambria Math"/>
          <w:b w:val="0"/>
          <w:sz w:val="20"/>
          <w:szCs w:val="20"/>
        </w:rPr>
        <w:t>⁻</w:t>
      </w:r>
      <w:r w:rsidRPr="00650A27">
        <w:rPr>
          <w:rFonts w:ascii="Arial" w:hAnsi="Arial" w:cs="Arial"/>
          <w:b w:val="0"/>
          <w:sz w:val="20"/>
          <w:szCs w:val="20"/>
        </w:rPr>
        <w:t>¹. Treatment 6 (SSNM) rates were computer-generated based on site-specific conditions. Treatment 7 (NFR) followed the national recommendation of 56-56-560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 8 (FFP) rates varied by site: Site 1 Research Station received 40-60-30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 xml:space="preserve">¹, while </w:t>
      </w:r>
      <w:proofErr w:type="spellStart"/>
      <w:r w:rsidRPr="00650A27">
        <w:rPr>
          <w:rFonts w:ascii="Arial" w:hAnsi="Arial" w:cs="Arial"/>
          <w:b w:val="0"/>
          <w:sz w:val="20"/>
          <w:szCs w:val="20"/>
        </w:rPr>
        <w:t>Brgy</w:t>
      </w:r>
      <w:proofErr w:type="spellEnd"/>
      <w:r w:rsidRPr="00650A27">
        <w:rPr>
          <w:rFonts w:ascii="Arial" w:hAnsi="Arial" w:cs="Arial"/>
          <w:b w:val="0"/>
          <w:sz w:val="20"/>
          <w:szCs w:val="20"/>
        </w:rPr>
        <w:t>. Cuevas received 60-30-7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Treatments 9, 10, and 11 received adjusted rates of either N (100-100-350), P (200-50-350), or K (200-100-175)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respectively.</w:t>
      </w:r>
    </w:p>
    <w:p w14:paraId="4630D81D"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2.4. Crop management</w:t>
      </w:r>
    </w:p>
    <w:p w14:paraId="5ADF99D0"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Off-barring was conducted one month after planting by plowing between the furrows to control weeds and improve soil aeration. Regular pest and disease incidence monitoring was carried out 60 days after planting until harvest, with observations conducted twice monthly. Weed management was performed through hand weeding and under-brushing to prevent weed competition and eliminate potential pests and disease hosts. The trial was maintained under rainfed conditions throughout the growing period. These management practices were uniformly implemented across all treatments to ensure that observed differences could be attributed to the fertilizer treatments rather than variations in cultural practices.</w:t>
      </w:r>
    </w:p>
    <w:p w14:paraId="4F1CB321"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 Biodiversity assessments</w:t>
      </w:r>
    </w:p>
    <w:p w14:paraId="1B10C86A"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2.5.1. Soil-inhabiting insect sampling</w:t>
      </w:r>
    </w:p>
    <w:p w14:paraId="6DE552A9"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Soil-inhabiting insects were sampled using pitfall traps installed one week before harvest. Seventy-two traps were systematically arranged within each plot following a grid pattern (Figure 1). The traps consisted of 1.5 L transparent plastic bottles measuring 5 inches in diameter and 6 inches in height. Each trap was filled with 250 mL of 75% ethyl alcohol as a preservation medium. Trapped insects were collected and carefully sorted into taxonomic groups. All specimens were preserved in 75% ethyl alcohol for subsequent identification. Using standard taxonomic keys, insects were identified at the family level, and population counts were recorded for each species or family group identified.</w:t>
      </w:r>
    </w:p>
    <w:p w14:paraId="11A11A87"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2.5.2. Weed assessment</w:t>
      </w:r>
    </w:p>
    <w:p w14:paraId="6C836DB4"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Weed diversity assessment was conducted using a quadrat sampling (Figure 2). Three 0.5m² quadrats were randomly placed within each plot, resulting in 198 quadrats across all treatments. Within each quadrat, all weed species were identified and counted individually. The weeds were classified according to their growth form (annual or perennial), plant type (grass, sedge, or broadleaf), and family classification. For each species identified, parameters including species composition, individual counts per species, frequency of occurrence, and relative frequency were measured and recorded.</w:t>
      </w:r>
    </w:p>
    <w:p w14:paraId="0914893B" w14:textId="77777777" w:rsidR="00650A27" w:rsidRPr="00650A27" w:rsidRDefault="00650A27" w:rsidP="00650A27">
      <w:pPr>
        <w:pStyle w:val="demucnho"/>
        <w:spacing w:before="120" w:after="120"/>
        <w:ind w:firstLine="0"/>
        <w:jc w:val="center"/>
        <w:rPr>
          <w:rFonts w:ascii="Arial" w:hAnsi="Arial" w:cs="Arial"/>
          <w:b w:val="0"/>
          <w:sz w:val="20"/>
          <w:szCs w:val="20"/>
        </w:rPr>
      </w:pPr>
      <w:r w:rsidRPr="00650A27">
        <w:rPr>
          <w:rFonts w:ascii="Arial" w:hAnsi="Arial" w:cs="Arial"/>
          <w:noProof/>
          <w:sz w:val="20"/>
          <w:szCs w:val="20"/>
        </w:rPr>
        <w:lastRenderedPageBreak/>
        <w:drawing>
          <wp:inline distT="0" distB="0" distL="0" distR="0" wp14:anchorId="0E594AD8" wp14:editId="1298EDA7">
            <wp:extent cx="2658110" cy="2249805"/>
            <wp:effectExtent l="0" t="0" r="8890" b="0"/>
            <wp:docPr id="112400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8110" cy="2249805"/>
                    </a:xfrm>
                    <a:prstGeom prst="rect">
                      <a:avLst/>
                    </a:prstGeom>
                    <a:noFill/>
                  </pic:spPr>
                </pic:pic>
              </a:graphicData>
            </a:graphic>
          </wp:inline>
        </w:drawing>
      </w:r>
    </w:p>
    <w:p w14:paraId="73E15334" w14:textId="77777777" w:rsidR="00650A27" w:rsidRPr="00A61DDD" w:rsidRDefault="00650A27" w:rsidP="00650A27">
      <w:pPr>
        <w:pStyle w:val="demucnho"/>
        <w:spacing w:before="120" w:after="120"/>
        <w:ind w:firstLine="0"/>
        <w:jc w:val="center"/>
        <w:rPr>
          <w:rFonts w:ascii="Arial" w:hAnsi="Arial" w:cs="Arial"/>
          <w:b w:val="0"/>
          <w:sz w:val="18"/>
          <w:szCs w:val="18"/>
        </w:rPr>
      </w:pPr>
      <w:r w:rsidRPr="00A61DDD">
        <w:rPr>
          <w:rFonts w:ascii="Arial" w:hAnsi="Arial" w:cs="Arial"/>
          <w:b w:val="0"/>
          <w:sz w:val="18"/>
          <w:szCs w:val="18"/>
        </w:rPr>
        <w:t>Figure 1. Pitfall traps</w:t>
      </w:r>
    </w:p>
    <w:p w14:paraId="2641E9A1" w14:textId="77777777" w:rsidR="00650A27" w:rsidRPr="00650A27" w:rsidRDefault="00650A27" w:rsidP="00650A27">
      <w:pPr>
        <w:pStyle w:val="demucnho"/>
        <w:spacing w:before="120" w:after="120"/>
        <w:ind w:firstLine="0"/>
        <w:jc w:val="center"/>
        <w:rPr>
          <w:rFonts w:ascii="Arial" w:hAnsi="Arial" w:cs="Arial"/>
          <w:b w:val="0"/>
          <w:sz w:val="20"/>
          <w:szCs w:val="20"/>
        </w:rPr>
      </w:pPr>
    </w:p>
    <w:p w14:paraId="49AC8327" w14:textId="77777777" w:rsidR="00650A27" w:rsidRPr="00650A27" w:rsidRDefault="00650A27" w:rsidP="00650A27">
      <w:pPr>
        <w:pStyle w:val="demucnho"/>
        <w:spacing w:before="120" w:after="120"/>
        <w:ind w:firstLine="0"/>
        <w:jc w:val="center"/>
        <w:rPr>
          <w:rFonts w:ascii="Arial" w:hAnsi="Arial" w:cs="Arial"/>
          <w:b w:val="0"/>
          <w:sz w:val="20"/>
          <w:szCs w:val="20"/>
        </w:rPr>
      </w:pPr>
      <w:r w:rsidRPr="00650A27">
        <w:rPr>
          <w:rFonts w:ascii="Arial" w:hAnsi="Arial" w:cs="Arial"/>
          <w:noProof/>
          <w:sz w:val="20"/>
          <w:szCs w:val="20"/>
        </w:rPr>
        <w:drawing>
          <wp:inline distT="0" distB="0" distL="0" distR="0" wp14:anchorId="0FE1E774" wp14:editId="68790110">
            <wp:extent cx="3438525" cy="2395855"/>
            <wp:effectExtent l="0" t="0" r="9525" b="4445"/>
            <wp:docPr id="967513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525" cy="2395855"/>
                    </a:xfrm>
                    <a:prstGeom prst="rect">
                      <a:avLst/>
                    </a:prstGeom>
                    <a:noFill/>
                  </pic:spPr>
                </pic:pic>
              </a:graphicData>
            </a:graphic>
          </wp:inline>
        </w:drawing>
      </w:r>
    </w:p>
    <w:p w14:paraId="7A305BD0" w14:textId="77777777" w:rsidR="00650A27" w:rsidRPr="00A61DDD" w:rsidRDefault="00650A27" w:rsidP="00650A27">
      <w:pPr>
        <w:pStyle w:val="demucnho"/>
        <w:spacing w:before="120" w:after="120"/>
        <w:ind w:firstLine="0"/>
        <w:jc w:val="center"/>
        <w:rPr>
          <w:rFonts w:ascii="Arial" w:hAnsi="Arial" w:cs="Arial"/>
          <w:b w:val="0"/>
          <w:sz w:val="18"/>
          <w:szCs w:val="18"/>
        </w:rPr>
      </w:pPr>
      <w:r w:rsidRPr="00A61DDD">
        <w:rPr>
          <w:rFonts w:ascii="Arial" w:hAnsi="Arial" w:cs="Arial"/>
          <w:b w:val="0"/>
          <w:sz w:val="18"/>
          <w:szCs w:val="18"/>
        </w:rPr>
        <w:t>Figure 2. Weed species collection quadrat</w:t>
      </w:r>
    </w:p>
    <w:p w14:paraId="2C3F22F0" w14:textId="77777777" w:rsidR="00650A27" w:rsidRPr="00650A27" w:rsidRDefault="00650A27" w:rsidP="00650A27">
      <w:pPr>
        <w:pStyle w:val="demucnho"/>
        <w:spacing w:before="120" w:after="120"/>
        <w:ind w:firstLine="0"/>
        <w:rPr>
          <w:rFonts w:ascii="Arial" w:hAnsi="Arial" w:cs="Arial"/>
          <w:bCs/>
          <w:sz w:val="20"/>
          <w:szCs w:val="20"/>
        </w:rPr>
      </w:pPr>
      <w:r w:rsidRPr="00650A27">
        <w:rPr>
          <w:rFonts w:ascii="Arial" w:hAnsi="Arial" w:cs="Arial"/>
          <w:bCs/>
          <w:sz w:val="20"/>
          <w:szCs w:val="20"/>
        </w:rPr>
        <w:t>2.5.3. Data analysis</w:t>
      </w:r>
    </w:p>
    <w:p w14:paraId="0D2C2C14"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The biodiversity data were analyzed using multiple statistical approaches to assess the effects of mineral nutrient applications comprehensively. Biodiversity indices, including the Shannon-Wiener diversity index (H'), species evenness, species richness, and relative abundance, were calculated to quantify the diversity patterns across treatments. Multivariate analysis was performed using PAST: Paleontological Statistics Software (version 4.02) to generate dendrograms, which visualized the similarities in species composition among different treatments through classical cluster analysis. For weed species assessment, the relative frequency was calculated using the formula: Relative Frequency = (Frequency of a species ÷ Total frequency of all species) × 100. This provided a standardized measure of weed species occurrence across the experimental plots. All statistical analyses were performed at a 5% significance level to ensure a robust interpretation of the results.</w:t>
      </w:r>
    </w:p>
    <w:p w14:paraId="2E872AD5" w14:textId="72A3BB67" w:rsidR="00AA74E0" w:rsidRDefault="00AA74E0" w:rsidP="00650A27">
      <w:pPr>
        <w:pStyle w:val="Body"/>
        <w:spacing w:after="0"/>
        <w:rPr>
          <w:rFonts w:ascii="Arial" w:hAnsi="Arial" w:cs="Arial"/>
        </w:rPr>
      </w:pPr>
      <w:r w:rsidRPr="00FB3A86">
        <w:rPr>
          <w:rFonts w:ascii="Arial" w:hAnsi="Arial" w:cs="Arial"/>
        </w:rPr>
        <w:t xml:space="preserve"> </w:t>
      </w:r>
    </w:p>
    <w:p w14:paraId="1282FD55" w14:textId="77777777" w:rsidR="00790ADA" w:rsidRPr="00FB3A86" w:rsidRDefault="00790ADA" w:rsidP="00441B6F">
      <w:pPr>
        <w:pStyle w:val="Body"/>
        <w:spacing w:after="0"/>
        <w:rPr>
          <w:rFonts w:ascii="Arial" w:hAnsi="Arial" w:cs="Arial"/>
        </w:rPr>
      </w:pPr>
    </w:p>
    <w:p w14:paraId="3982F647" w14:textId="210F1210"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E511D4" w14:textId="77777777" w:rsidR="00F74841" w:rsidRPr="00F74841" w:rsidRDefault="00F74841" w:rsidP="00F74841">
      <w:pPr>
        <w:pStyle w:val="demuclon"/>
        <w:numPr>
          <w:ilvl w:val="0"/>
          <w:numId w:val="0"/>
        </w:numPr>
        <w:tabs>
          <w:tab w:val="left" w:pos="210"/>
          <w:tab w:val="center" w:pos="4275"/>
        </w:tabs>
        <w:spacing w:before="240"/>
        <w:jc w:val="both"/>
        <w:rPr>
          <w:rFonts w:ascii="Arial" w:hAnsi="Arial" w:cs="Arial"/>
          <w:sz w:val="20"/>
          <w:szCs w:val="20"/>
        </w:rPr>
      </w:pPr>
      <w:r w:rsidRPr="00F74841">
        <w:rPr>
          <w:rFonts w:ascii="Arial" w:hAnsi="Arial" w:cs="Arial"/>
          <w:sz w:val="20"/>
          <w:szCs w:val="20"/>
        </w:rPr>
        <w:t xml:space="preserve">3.1. </w:t>
      </w:r>
      <w:r w:rsidRPr="00F74841">
        <w:rPr>
          <w:rFonts w:ascii="Arial" w:hAnsi="Arial" w:cs="Arial"/>
          <w:caps w:val="0"/>
          <w:sz w:val="20"/>
          <w:szCs w:val="20"/>
        </w:rPr>
        <w:t>Diversity and abundance of soil-inhabiting insects</w:t>
      </w:r>
    </w:p>
    <w:p w14:paraId="25E9BC92" w14:textId="77777777" w:rsidR="00F74841" w:rsidRPr="00F74841" w:rsidRDefault="00F74841" w:rsidP="00F74841">
      <w:pPr>
        <w:autoSpaceDE w:val="0"/>
        <w:autoSpaceDN w:val="0"/>
        <w:adjustRightInd w:val="0"/>
        <w:spacing w:before="240" w:after="240"/>
        <w:ind w:firstLine="461"/>
        <w:jc w:val="both"/>
        <w:rPr>
          <w:rFonts w:ascii="Arial" w:hAnsi="Arial" w:cs="Arial"/>
        </w:rPr>
      </w:pPr>
      <w:r w:rsidRPr="00F74841">
        <w:rPr>
          <w:rFonts w:ascii="Arial" w:hAnsi="Arial" w:cs="Arial"/>
        </w:rPr>
        <w:t>The assessment of soil-inhabiting insects at the two study sites revealed distinct patterns in species composition and abundance (Table 1). At Site 1 (Research Station), 183 individuals across seven species and five families were collected</w:t>
      </w:r>
      <w:r w:rsidRPr="00F74841">
        <w:rPr>
          <w:rFonts w:ascii="Arial" w:hAnsi="Arial" w:cs="Arial"/>
          <w:i/>
          <w:iCs/>
        </w:rPr>
        <w:t xml:space="preserve">. </w:t>
      </w:r>
      <w:proofErr w:type="spellStart"/>
      <w:r w:rsidRPr="00F74841">
        <w:rPr>
          <w:rFonts w:ascii="Arial" w:hAnsi="Arial" w:cs="Arial"/>
          <w:i/>
          <w:iCs/>
        </w:rPr>
        <w:t>Lasius</w:t>
      </w:r>
      <w:proofErr w:type="spellEnd"/>
      <w:r w:rsidRPr="00F74841">
        <w:rPr>
          <w:rFonts w:ascii="Arial" w:hAnsi="Arial" w:cs="Arial"/>
          <w:i/>
          <w:iCs/>
        </w:rPr>
        <w:t xml:space="preserve"> </w:t>
      </w:r>
      <w:proofErr w:type="spellStart"/>
      <w:r w:rsidRPr="00F74841">
        <w:rPr>
          <w:rFonts w:ascii="Arial" w:hAnsi="Arial" w:cs="Arial"/>
          <w:i/>
          <w:iCs/>
        </w:rPr>
        <w:t>niger</w:t>
      </w:r>
      <w:proofErr w:type="spellEnd"/>
      <w:r w:rsidRPr="00F74841">
        <w:rPr>
          <w:rFonts w:ascii="Arial" w:hAnsi="Arial" w:cs="Arial"/>
        </w:rPr>
        <w:t xml:space="preserve"> (Formicidae) was the most abundant, with 76 individuals, followed by </w:t>
      </w:r>
      <w:proofErr w:type="spellStart"/>
      <w:r w:rsidRPr="00F74841">
        <w:rPr>
          <w:rFonts w:ascii="Arial" w:hAnsi="Arial" w:cs="Arial"/>
          <w:i/>
          <w:iCs/>
        </w:rPr>
        <w:t>Pterostichus</w:t>
      </w:r>
      <w:proofErr w:type="spellEnd"/>
      <w:r w:rsidRPr="00F74841">
        <w:rPr>
          <w:rFonts w:ascii="Arial" w:hAnsi="Arial" w:cs="Arial"/>
          <w:i/>
          <w:iCs/>
        </w:rPr>
        <w:t xml:space="preserve"> sp</w:t>
      </w:r>
      <w:r w:rsidRPr="00F74841">
        <w:rPr>
          <w:rFonts w:ascii="Arial" w:hAnsi="Arial" w:cs="Arial"/>
        </w:rPr>
        <w:t>. (</w:t>
      </w:r>
      <w:proofErr w:type="spellStart"/>
      <w:r w:rsidRPr="00F74841">
        <w:rPr>
          <w:rFonts w:ascii="Arial" w:hAnsi="Arial" w:cs="Arial"/>
        </w:rPr>
        <w:t>Carabidae</w:t>
      </w:r>
      <w:proofErr w:type="spellEnd"/>
      <w:r w:rsidRPr="00F74841">
        <w:rPr>
          <w:rFonts w:ascii="Arial" w:hAnsi="Arial" w:cs="Arial"/>
        </w:rPr>
        <w:t xml:space="preserve">) with 46 individuals and </w:t>
      </w:r>
      <w:proofErr w:type="spellStart"/>
      <w:r w:rsidRPr="00F74841">
        <w:rPr>
          <w:rFonts w:ascii="Arial" w:hAnsi="Arial" w:cs="Arial"/>
          <w:i/>
          <w:iCs/>
        </w:rPr>
        <w:t>Pterostichus</w:t>
      </w:r>
      <w:proofErr w:type="spellEnd"/>
      <w:r w:rsidRPr="00F74841">
        <w:rPr>
          <w:rFonts w:ascii="Arial" w:hAnsi="Arial" w:cs="Arial"/>
          <w:i/>
          <w:iCs/>
        </w:rPr>
        <w:t xml:space="preserve"> </w:t>
      </w:r>
      <w:proofErr w:type="spellStart"/>
      <w:r w:rsidRPr="00F74841">
        <w:rPr>
          <w:rFonts w:ascii="Arial" w:hAnsi="Arial" w:cs="Arial"/>
          <w:i/>
          <w:iCs/>
        </w:rPr>
        <w:t>melanarius</w:t>
      </w:r>
      <w:proofErr w:type="spellEnd"/>
      <w:r w:rsidRPr="00F74841">
        <w:rPr>
          <w:rFonts w:ascii="Arial" w:hAnsi="Arial" w:cs="Arial"/>
        </w:rPr>
        <w:t xml:space="preserve"> (</w:t>
      </w:r>
      <w:proofErr w:type="spellStart"/>
      <w:r w:rsidRPr="00F74841">
        <w:rPr>
          <w:rFonts w:ascii="Arial" w:hAnsi="Arial" w:cs="Arial"/>
        </w:rPr>
        <w:t>Carabidae</w:t>
      </w:r>
      <w:proofErr w:type="spellEnd"/>
      <w:r w:rsidRPr="00F74841">
        <w:rPr>
          <w:rFonts w:ascii="Arial" w:hAnsi="Arial" w:cs="Arial"/>
        </w:rPr>
        <w:t xml:space="preserve">) with 29 individuals. Smaller populations included </w:t>
      </w:r>
      <w:proofErr w:type="spellStart"/>
      <w:r w:rsidRPr="00F74841">
        <w:rPr>
          <w:rFonts w:ascii="Arial" w:hAnsi="Arial" w:cs="Arial"/>
          <w:i/>
          <w:iCs/>
        </w:rPr>
        <w:t>Archispirostreptus</w:t>
      </w:r>
      <w:proofErr w:type="spellEnd"/>
      <w:r w:rsidRPr="00F74841">
        <w:rPr>
          <w:rFonts w:ascii="Arial" w:hAnsi="Arial" w:cs="Arial"/>
          <w:i/>
          <w:iCs/>
        </w:rPr>
        <w:t xml:space="preserve"> gigas</w:t>
      </w:r>
      <w:r w:rsidRPr="00F74841">
        <w:rPr>
          <w:rFonts w:ascii="Arial" w:hAnsi="Arial" w:cs="Arial"/>
        </w:rPr>
        <w:t xml:space="preserve"> (12 individuals), </w:t>
      </w:r>
      <w:r w:rsidRPr="00F74841">
        <w:rPr>
          <w:rFonts w:ascii="Arial" w:hAnsi="Arial" w:cs="Arial"/>
          <w:i/>
          <w:iCs/>
        </w:rPr>
        <w:t>Melanoplus sp</w:t>
      </w:r>
      <w:r w:rsidRPr="00F74841">
        <w:rPr>
          <w:rFonts w:ascii="Arial" w:hAnsi="Arial" w:cs="Arial"/>
        </w:rPr>
        <w:t xml:space="preserve">. (10), </w:t>
      </w:r>
      <w:r w:rsidRPr="00F74841">
        <w:rPr>
          <w:rFonts w:ascii="Arial" w:hAnsi="Arial" w:cs="Arial"/>
          <w:i/>
          <w:iCs/>
        </w:rPr>
        <w:t>Vespula vulgaris</w:t>
      </w:r>
      <w:r w:rsidRPr="00F74841">
        <w:rPr>
          <w:rFonts w:ascii="Arial" w:hAnsi="Arial" w:cs="Arial"/>
        </w:rPr>
        <w:t xml:space="preserve"> (9), and </w:t>
      </w:r>
      <w:proofErr w:type="spellStart"/>
      <w:r w:rsidRPr="00F74841">
        <w:rPr>
          <w:rFonts w:ascii="Arial" w:hAnsi="Arial" w:cs="Arial"/>
          <w:i/>
          <w:iCs/>
        </w:rPr>
        <w:t>Callidula</w:t>
      </w:r>
      <w:proofErr w:type="spellEnd"/>
      <w:r w:rsidRPr="00F74841">
        <w:rPr>
          <w:rFonts w:ascii="Arial" w:hAnsi="Arial" w:cs="Arial"/>
          <w:i/>
          <w:iCs/>
        </w:rPr>
        <w:t xml:space="preserve"> sp</w:t>
      </w:r>
      <w:r w:rsidRPr="00F74841">
        <w:rPr>
          <w:rFonts w:ascii="Arial" w:hAnsi="Arial" w:cs="Arial"/>
        </w:rPr>
        <w:t>. (1). At Site 2 (</w:t>
      </w:r>
      <w:proofErr w:type="spellStart"/>
      <w:r w:rsidRPr="00F74841">
        <w:rPr>
          <w:rFonts w:ascii="Arial" w:hAnsi="Arial" w:cs="Arial"/>
        </w:rPr>
        <w:t>Brgy</w:t>
      </w:r>
      <w:proofErr w:type="spellEnd"/>
      <w:r w:rsidRPr="00F74841">
        <w:rPr>
          <w:rFonts w:ascii="Arial" w:hAnsi="Arial" w:cs="Arial"/>
        </w:rPr>
        <w:t xml:space="preserve">. Cuevas), 164 individuals across eight species were recorded, with </w:t>
      </w:r>
      <w:proofErr w:type="spellStart"/>
      <w:r w:rsidRPr="00F74841">
        <w:rPr>
          <w:rFonts w:ascii="Arial" w:hAnsi="Arial" w:cs="Arial"/>
        </w:rPr>
        <w:t>Carabidae</w:t>
      </w:r>
      <w:proofErr w:type="spellEnd"/>
      <w:r w:rsidRPr="00F74841">
        <w:rPr>
          <w:rFonts w:ascii="Arial" w:hAnsi="Arial" w:cs="Arial"/>
        </w:rPr>
        <w:t xml:space="preserve"> as the dominant family. </w:t>
      </w:r>
      <w:proofErr w:type="spellStart"/>
      <w:r w:rsidRPr="00F74841">
        <w:rPr>
          <w:rFonts w:ascii="Arial" w:hAnsi="Arial" w:cs="Arial"/>
          <w:i/>
          <w:iCs/>
        </w:rPr>
        <w:t>Pterostichus</w:t>
      </w:r>
      <w:proofErr w:type="spellEnd"/>
      <w:r w:rsidRPr="00F74841">
        <w:rPr>
          <w:rFonts w:ascii="Arial" w:hAnsi="Arial" w:cs="Arial"/>
          <w:i/>
          <w:iCs/>
        </w:rPr>
        <w:t xml:space="preserve"> sp</w:t>
      </w:r>
      <w:r w:rsidRPr="00F74841">
        <w:rPr>
          <w:rFonts w:ascii="Arial" w:hAnsi="Arial" w:cs="Arial"/>
        </w:rPr>
        <w:t xml:space="preserve">. led with 70 individuals, followed by </w:t>
      </w:r>
      <w:proofErr w:type="spellStart"/>
      <w:r w:rsidRPr="00F74841">
        <w:rPr>
          <w:rFonts w:ascii="Arial" w:hAnsi="Arial" w:cs="Arial"/>
          <w:i/>
          <w:iCs/>
        </w:rPr>
        <w:t>Ophionea</w:t>
      </w:r>
      <w:proofErr w:type="spellEnd"/>
      <w:r w:rsidRPr="00F74841">
        <w:rPr>
          <w:rFonts w:ascii="Arial" w:hAnsi="Arial" w:cs="Arial"/>
          <w:i/>
          <w:iCs/>
        </w:rPr>
        <w:t xml:space="preserve"> </w:t>
      </w:r>
      <w:proofErr w:type="spellStart"/>
      <w:r w:rsidRPr="00F74841">
        <w:rPr>
          <w:rFonts w:ascii="Arial" w:hAnsi="Arial" w:cs="Arial"/>
          <w:i/>
          <w:iCs/>
        </w:rPr>
        <w:t>nigrofasciata</w:t>
      </w:r>
      <w:proofErr w:type="spellEnd"/>
      <w:r w:rsidRPr="00F74841">
        <w:rPr>
          <w:rFonts w:ascii="Arial" w:hAnsi="Arial" w:cs="Arial"/>
        </w:rPr>
        <w:t xml:space="preserve"> (44), </w:t>
      </w:r>
      <w:proofErr w:type="spellStart"/>
      <w:r w:rsidRPr="00F74841">
        <w:rPr>
          <w:rFonts w:ascii="Arial" w:hAnsi="Arial" w:cs="Arial"/>
          <w:i/>
          <w:iCs/>
        </w:rPr>
        <w:t>Pterostichus</w:t>
      </w:r>
      <w:proofErr w:type="spellEnd"/>
      <w:r w:rsidRPr="00F74841">
        <w:rPr>
          <w:rFonts w:ascii="Arial" w:hAnsi="Arial" w:cs="Arial"/>
          <w:i/>
          <w:iCs/>
        </w:rPr>
        <w:t xml:space="preserve"> </w:t>
      </w:r>
      <w:proofErr w:type="spellStart"/>
      <w:r w:rsidRPr="00F74841">
        <w:rPr>
          <w:rFonts w:ascii="Arial" w:hAnsi="Arial" w:cs="Arial"/>
          <w:i/>
          <w:iCs/>
        </w:rPr>
        <w:t>melanarius</w:t>
      </w:r>
      <w:proofErr w:type="spellEnd"/>
      <w:r w:rsidRPr="00F74841">
        <w:rPr>
          <w:rFonts w:ascii="Arial" w:hAnsi="Arial" w:cs="Arial"/>
        </w:rPr>
        <w:t xml:space="preserve"> (15), and </w:t>
      </w:r>
      <w:proofErr w:type="spellStart"/>
      <w:r w:rsidRPr="00F74841">
        <w:rPr>
          <w:rFonts w:ascii="Arial" w:hAnsi="Arial" w:cs="Arial"/>
          <w:i/>
          <w:iCs/>
        </w:rPr>
        <w:t>Calleida</w:t>
      </w:r>
      <w:proofErr w:type="spellEnd"/>
      <w:r w:rsidRPr="00F74841">
        <w:rPr>
          <w:rFonts w:ascii="Arial" w:hAnsi="Arial" w:cs="Arial"/>
          <w:i/>
          <w:iCs/>
        </w:rPr>
        <w:t xml:space="preserve"> decora</w:t>
      </w:r>
      <w:r w:rsidRPr="00F74841">
        <w:rPr>
          <w:rFonts w:ascii="Arial" w:hAnsi="Arial" w:cs="Arial"/>
        </w:rPr>
        <w:t xml:space="preserve"> (18). Smaller populations included </w:t>
      </w:r>
      <w:r w:rsidRPr="00F74841">
        <w:rPr>
          <w:rFonts w:ascii="Arial" w:hAnsi="Arial" w:cs="Arial"/>
          <w:i/>
          <w:iCs/>
        </w:rPr>
        <w:t xml:space="preserve">Gryllotalpa </w:t>
      </w:r>
      <w:proofErr w:type="spellStart"/>
      <w:r w:rsidRPr="00F74841">
        <w:rPr>
          <w:rFonts w:ascii="Arial" w:hAnsi="Arial" w:cs="Arial"/>
          <w:i/>
          <w:iCs/>
        </w:rPr>
        <w:t>africana</w:t>
      </w:r>
      <w:proofErr w:type="spellEnd"/>
      <w:r w:rsidRPr="00F74841">
        <w:rPr>
          <w:rFonts w:ascii="Arial" w:hAnsi="Arial" w:cs="Arial"/>
        </w:rPr>
        <w:t xml:space="preserve"> (8), </w:t>
      </w:r>
      <w:proofErr w:type="spellStart"/>
      <w:r w:rsidRPr="00F74841">
        <w:rPr>
          <w:rFonts w:ascii="Arial" w:hAnsi="Arial" w:cs="Arial"/>
          <w:i/>
          <w:iCs/>
        </w:rPr>
        <w:t>Dialytes</w:t>
      </w:r>
      <w:proofErr w:type="spellEnd"/>
      <w:r w:rsidRPr="00F74841">
        <w:rPr>
          <w:rFonts w:ascii="Arial" w:hAnsi="Arial" w:cs="Arial"/>
          <w:i/>
          <w:iCs/>
        </w:rPr>
        <w:t xml:space="preserve"> sp</w:t>
      </w:r>
      <w:r w:rsidRPr="00F74841">
        <w:rPr>
          <w:rFonts w:ascii="Arial" w:hAnsi="Arial" w:cs="Arial"/>
        </w:rPr>
        <w:t xml:space="preserve">. and </w:t>
      </w:r>
      <w:proofErr w:type="spellStart"/>
      <w:r w:rsidRPr="00F74841">
        <w:rPr>
          <w:rFonts w:ascii="Arial" w:hAnsi="Arial" w:cs="Arial"/>
          <w:i/>
          <w:iCs/>
        </w:rPr>
        <w:t>Conococephalus</w:t>
      </w:r>
      <w:proofErr w:type="spellEnd"/>
      <w:r w:rsidRPr="00F74841">
        <w:rPr>
          <w:rFonts w:ascii="Arial" w:hAnsi="Arial" w:cs="Arial"/>
          <w:i/>
          <w:iCs/>
        </w:rPr>
        <w:t xml:space="preserve"> </w:t>
      </w:r>
      <w:proofErr w:type="spellStart"/>
      <w:r w:rsidRPr="00F74841">
        <w:rPr>
          <w:rFonts w:ascii="Arial" w:hAnsi="Arial" w:cs="Arial"/>
          <w:i/>
          <w:iCs/>
        </w:rPr>
        <w:t>longepennis</w:t>
      </w:r>
      <w:proofErr w:type="spellEnd"/>
      <w:r w:rsidRPr="00F74841">
        <w:rPr>
          <w:rFonts w:ascii="Arial" w:hAnsi="Arial" w:cs="Arial"/>
        </w:rPr>
        <w:t xml:space="preserve"> (4 each), and Melanoplus sp. (1). Insect abundance varied significantly across fertilizer treatments and crop varieties (Figure 3). Control plots (unfertilized) consistently supported higher insect populations than fertilized plots for both varieties. In the Lakan 1 variety, control plots averaged 30 insects per plot, while NPK-treated plots averaged 15. A similar trend was seen in the Golden Yellow variety, with control plots averaging 28 insects and NPK-treated plots around 14. Diversity metrics differed between sites (Figure 4). Site 1 exhibited Shannon's diversity index of 1.58, evenness of 0.81, and species richness of 7. In contrast, Site 2 showed Shannon's index of 1.62, evenness of 0.78, and species richness of 8, indicating moderate diversity with relatively even species distribution at both sites.</w:t>
      </w:r>
    </w:p>
    <w:p w14:paraId="6E9D27E2" w14:textId="77777777" w:rsidR="00790ADA" w:rsidRDefault="00790ADA" w:rsidP="00441B6F">
      <w:pPr>
        <w:pStyle w:val="Body"/>
        <w:spacing w:after="0"/>
        <w:rPr>
          <w:rFonts w:ascii="Arial" w:hAnsi="Arial" w:cs="Arial"/>
        </w:rPr>
      </w:pPr>
    </w:p>
    <w:p w14:paraId="6675DBC6" w14:textId="69C9C553" w:rsidR="00863BD3" w:rsidRPr="00DC3180" w:rsidRDefault="00F74841" w:rsidP="00441B6F">
      <w:pPr>
        <w:tabs>
          <w:tab w:val="left" w:pos="1080"/>
        </w:tabs>
        <w:jc w:val="both"/>
        <w:rPr>
          <w:rFonts w:ascii="Arial" w:hAnsi="Arial"/>
          <w:b/>
        </w:rPr>
      </w:pPr>
      <w:r w:rsidRPr="00F74841">
        <w:rPr>
          <w:rFonts w:ascii="Arial" w:hAnsi="Arial"/>
          <w:b/>
        </w:rPr>
        <w:t>Table 1. Taxonomic classification and relative abundance of soil-inhabiting insects collected from two cassava production sites in Trento, Agusan del Sur, Philippines</w:t>
      </w:r>
    </w:p>
    <w:tbl>
      <w:tblPr>
        <w:tblStyle w:val="PlainTable21"/>
        <w:tblW w:w="5000" w:type="pct"/>
        <w:tblBorders>
          <w:top w:val="none" w:sz="0" w:space="0" w:color="auto"/>
          <w:bottom w:val="none" w:sz="0" w:space="0" w:color="auto"/>
        </w:tblBorders>
        <w:tblLook w:val="04A0" w:firstRow="1" w:lastRow="0" w:firstColumn="1" w:lastColumn="0" w:noHBand="0" w:noVBand="1"/>
      </w:tblPr>
      <w:tblGrid>
        <w:gridCol w:w="2777"/>
        <w:gridCol w:w="2052"/>
        <w:gridCol w:w="1706"/>
        <w:gridCol w:w="1673"/>
      </w:tblGrid>
      <w:tr w:rsidR="00A61DDD" w:rsidRPr="00A61DDD" w14:paraId="52CF3092" w14:textId="77777777" w:rsidTr="004F61E2">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692" w:type="pct"/>
            <w:tcBorders>
              <w:top w:val="double" w:sz="4" w:space="0" w:color="auto"/>
              <w:bottom w:val="single" w:sz="4" w:space="0" w:color="auto"/>
            </w:tcBorders>
            <w:vAlign w:val="center"/>
          </w:tcPr>
          <w:p w14:paraId="010EEBAB"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Inhabiting Insect Species</w:t>
            </w:r>
          </w:p>
        </w:tc>
        <w:tc>
          <w:tcPr>
            <w:tcW w:w="1250" w:type="pct"/>
            <w:tcBorders>
              <w:top w:val="double" w:sz="4" w:space="0" w:color="auto"/>
              <w:bottom w:val="single" w:sz="4" w:space="0" w:color="auto"/>
            </w:tcBorders>
            <w:vAlign w:val="center"/>
          </w:tcPr>
          <w:p w14:paraId="3473A243" w14:textId="77777777" w:rsidR="00A61DDD" w:rsidRPr="00A61DDD" w:rsidRDefault="00A61DDD" w:rsidP="00A61DDD">
            <w:pPr>
              <w:tabs>
                <w:tab w:val="left" w:pos="1980"/>
              </w:tabs>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Family</w:t>
            </w:r>
          </w:p>
        </w:tc>
        <w:tc>
          <w:tcPr>
            <w:tcW w:w="1039" w:type="pct"/>
            <w:tcBorders>
              <w:top w:val="double" w:sz="4" w:space="0" w:color="auto"/>
              <w:bottom w:val="single" w:sz="4" w:space="0" w:color="auto"/>
            </w:tcBorders>
            <w:vAlign w:val="center"/>
          </w:tcPr>
          <w:p w14:paraId="5324C572" w14:textId="77777777" w:rsidR="00A61DDD" w:rsidRPr="00A61DDD" w:rsidRDefault="00A61DDD" w:rsidP="00A61DDD">
            <w:pPr>
              <w:tabs>
                <w:tab w:val="left" w:pos="1980"/>
              </w:tabs>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Phylum</w:t>
            </w:r>
          </w:p>
        </w:tc>
        <w:tc>
          <w:tcPr>
            <w:tcW w:w="1019" w:type="pct"/>
            <w:tcBorders>
              <w:top w:val="double" w:sz="4" w:space="0" w:color="auto"/>
            </w:tcBorders>
            <w:vAlign w:val="center"/>
          </w:tcPr>
          <w:p w14:paraId="44B79B57" w14:textId="77777777" w:rsidR="00A61DDD" w:rsidRPr="00A61DDD" w:rsidRDefault="00A61DDD" w:rsidP="00A61DDD">
            <w:pPr>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No. of individuals per taxon</w:t>
            </w:r>
          </w:p>
        </w:tc>
      </w:tr>
      <w:tr w:rsidR="00A61DDD" w:rsidRPr="00A61DDD" w14:paraId="6AEEFB1D"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tcBorders>
            <w:vAlign w:val="center"/>
          </w:tcPr>
          <w:p w14:paraId="71873451"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Site 1 (Research Station)</w:t>
            </w:r>
          </w:p>
        </w:tc>
      </w:tr>
      <w:tr w:rsidR="00A61DDD" w:rsidRPr="00A61DDD" w14:paraId="2D8B55C6"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6D2472C1"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melanarius</w:t>
            </w:r>
            <w:proofErr w:type="spellEnd"/>
          </w:p>
        </w:tc>
        <w:tc>
          <w:tcPr>
            <w:tcW w:w="1250" w:type="pct"/>
            <w:vAlign w:val="center"/>
          </w:tcPr>
          <w:p w14:paraId="2A53539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59BBB7D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1881B48"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29</w:t>
            </w:r>
          </w:p>
        </w:tc>
      </w:tr>
      <w:tr w:rsidR="00A61DDD" w:rsidRPr="00A61DDD" w14:paraId="0C70C19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556664BF"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sp.</w:t>
            </w:r>
          </w:p>
        </w:tc>
        <w:tc>
          <w:tcPr>
            <w:tcW w:w="1250" w:type="pct"/>
            <w:vAlign w:val="center"/>
          </w:tcPr>
          <w:p w14:paraId="5433C8B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61A88380"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8C9AFF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46</w:t>
            </w:r>
          </w:p>
        </w:tc>
      </w:tr>
      <w:tr w:rsidR="00A61DDD" w:rsidRPr="00A61DDD" w14:paraId="412BEA08"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CBEB6E9"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Melanoplus sp.</w:t>
            </w:r>
          </w:p>
        </w:tc>
        <w:tc>
          <w:tcPr>
            <w:tcW w:w="1250" w:type="pct"/>
            <w:vAlign w:val="center"/>
          </w:tcPr>
          <w:p w14:paraId="1B7BDD5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Acrididae</w:t>
            </w:r>
          </w:p>
        </w:tc>
        <w:tc>
          <w:tcPr>
            <w:tcW w:w="1039" w:type="pct"/>
            <w:vAlign w:val="center"/>
          </w:tcPr>
          <w:p w14:paraId="79E629A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Insecta</w:t>
            </w:r>
            <w:proofErr w:type="spellEnd"/>
          </w:p>
        </w:tc>
        <w:tc>
          <w:tcPr>
            <w:tcW w:w="1019" w:type="pct"/>
            <w:vAlign w:val="center"/>
          </w:tcPr>
          <w:p w14:paraId="0DD861C8"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10</w:t>
            </w:r>
          </w:p>
        </w:tc>
      </w:tr>
      <w:tr w:rsidR="00A61DDD" w:rsidRPr="00A61DDD" w14:paraId="6E1EE45B"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4CBE0D79"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Archispirostreptus</w:t>
            </w:r>
            <w:proofErr w:type="spellEnd"/>
            <w:r w:rsidRPr="00A61DDD">
              <w:rPr>
                <w:rFonts w:ascii="Arial" w:hAnsi="Arial" w:cs="Arial"/>
                <w:i/>
                <w:sz w:val="16"/>
                <w:szCs w:val="16"/>
              </w:rPr>
              <w:t xml:space="preserve"> gigas</w:t>
            </w:r>
          </w:p>
        </w:tc>
        <w:tc>
          <w:tcPr>
            <w:tcW w:w="1250" w:type="pct"/>
            <w:vAlign w:val="center"/>
          </w:tcPr>
          <w:p w14:paraId="3217A94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Spirostrepridae</w:t>
            </w:r>
            <w:proofErr w:type="spellEnd"/>
          </w:p>
        </w:tc>
        <w:tc>
          <w:tcPr>
            <w:tcW w:w="1039" w:type="pct"/>
            <w:vAlign w:val="center"/>
          </w:tcPr>
          <w:p w14:paraId="50C51B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34C469E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12</w:t>
            </w:r>
          </w:p>
        </w:tc>
      </w:tr>
      <w:tr w:rsidR="00A61DDD" w:rsidRPr="00A61DDD" w14:paraId="59D5AC0F"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322B6E6C"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Callidula</w:t>
            </w:r>
            <w:proofErr w:type="spellEnd"/>
            <w:r w:rsidRPr="00A61DDD">
              <w:rPr>
                <w:rFonts w:ascii="Arial" w:hAnsi="Arial" w:cs="Arial"/>
                <w:i/>
                <w:sz w:val="16"/>
                <w:szCs w:val="16"/>
              </w:rPr>
              <w:t xml:space="preserve"> sp.</w:t>
            </w:r>
          </w:p>
        </w:tc>
        <w:tc>
          <w:tcPr>
            <w:tcW w:w="1250" w:type="pct"/>
            <w:vAlign w:val="center"/>
          </w:tcPr>
          <w:p w14:paraId="4737E659"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Callidulilae</w:t>
            </w:r>
            <w:proofErr w:type="spellEnd"/>
          </w:p>
        </w:tc>
        <w:tc>
          <w:tcPr>
            <w:tcW w:w="1039" w:type="pct"/>
            <w:vAlign w:val="center"/>
          </w:tcPr>
          <w:p w14:paraId="468CB840"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F8559E0"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w:t>
            </w:r>
          </w:p>
        </w:tc>
      </w:tr>
      <w:tr w:rsidR="00A61DDD" w:rsidRPr="00A61DDD" w14:paraId="0A54FE18"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75369270"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Lasius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niger</w:t>
            </w:r>
            <w:proofErr w:type="spellEnd"/>
          </w:p>
        </w:tc>
        <w:tc>
          <w:tcPr>
            <w:tcW w:w="1250" w:type="pct"/>
            <w:vAlign w:val="center"/>
          </w:tcPr>
          <w:p w14:paraId="499CCE78"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Formicidae</w:t>
            </w:r>
          </w:p>
        </w:tc>
        <w:tc>
          <w:tcPr>
            <w:tcW w:w="1039" w:type="pct"/>
            <w:vAlign w:val="center"/>
          </w:tcPr>
          <w:p w14:paraId="1FA9AE2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4B8A0E57"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76</w:t>
            </w:r>
          </w:p>
        </w:tc>
      </w:tr>
      <w:tr w:rsidR="00A61DDD" w:rsidRPr="00A61DDD" w14:paraId="49BD39A2"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79A49411"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Vespula vulgaris</w:t>
            </w:r>
          </w:p>
        </w:tc>
        <w:tc>
          <w:tcPr>
            <w:tcW w:w="1250" w:type="pct"/>
            <w:vAlign w:val="center"/>
          </w:tcPr>
          <w:p w14:paraId="39D1369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Vespidae</w:t>
            </w:r>
          </w:p>
        </w:tc>
        <w:tc>
          <w:tcPr>
            <w:tcW w:w="1039" w:type="pct"/>
            <w:vAlign w:val="center"/>
          </w:tcPr>
          <w:p w14:paraId="2A28977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7247DB8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9</w:t>
            </w:r>
          </w:p>
        </w:tc>
      </w:tr>
      <w:tr w:rsidR="00A61DDD" w:rsidRPr="00A61DDD" w14:paraId="43C2296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pct"/>
            <w:gridSpan w:val="3"/>
            <w:vAlign w:val="center"/>
          </w:tcPr>
          <w:p w14:paraId="7B58DE3B" w14:textId="77777777" w:rsidR="00A61DDD" w:rsidRPr="00A61DDD" w:rsidRDefault="00A61DDD" w:rsidP="00A61DDD">
            <w:pPr>
              <w:tabs>
                <w:tab w:val="left" w:pos="1980"/>
              </w:tabs>
              <w:spacing w:line="276" w:lineRule="auto"/>
              <w:ind w:firstLine="454"/>
              <w:jc w:val="right"/>
              <w:rPr>
                <w:rFonts w:ascii="Arial" w:hAnsi="Arial" w:cs="Arial"/>
                <w:sz w:val="16"/>
                <w:szCs w:val="16"/>
              </w:rPr>
            </w:pPr>
            <w:r w:rsidRPr="00A61DDD">
              <w:rPr>
                <w:rFonts w:ascii="Arial" w:hAnsi="Arial" w:cs="Arial"/>
                <w:sz w:val="16"/>
                <w:szCs w:val="16"/>
              </w:rPr>
              <w:t>Abundance</w:t>
            </w:r>
          </w:p>
        </w:tc>
        <w:tc>
          <w:tcPr>
            <w:tcW w:w="1019" w:type="pct"/>
            <w:vAlign w:val="center"/>
          </w:tcPr>
          <w:p w14:paraId="1B526A3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A61DDD">
              <w:rPr>
                <w:rFonts w:ascii="Arial" w:hAnsi="Arial" w:cs="Arial"/>
                <w:b/>
                <w:sz w:val="16"/>
                <w:szCs w:val="16"/>
              </w:rPr>
              <w:t>183</w:t>
            </w:r>
          </w:p>
        </w:tc>
      </w:tr>
      <w:tr w:rsidR="00A61DDD" w:rsidRPr="00A61DDD" w14:paraId="2C14E345" w14:textId="77777777" w:rsidTr="004F61E2">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ABA672D"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Site 2 (</w:t>
            </w:r>
            <w:proofErr w:type="spellStart"/>
            <w:r w:rsidRPr="00A61DDD">
              <w:rPr>
                <w:rFonts w:ascii="Arial" w:hAnsi="Arial" w:cs="Arial"/>
                <w:sz w:val="16"/>
                <w:szCs w:val="16"/>
              </w:rPr>
              <w:t>Brgy</w:t>
            </w:r>
            <w:proofErr w:type="spellEnd"/>
            <w:r w:rsidRPr="00A61DDD">
              <w:rPr>
                <w:rFonts w:ascii="Arial" w:hAnsi="Arial" w:cs="Arial"/>
                <w:sz w:val="16"/>
                <w:szCs w:val="16"/>
              </w:rPr>
              <w:t>. Cuevas)</w:t>
            </w:r>
          </w:p>
        </w:tc>
      </w:tr>
      <w:tr w:rsidR="00A61DDD" w:rsidRPr="00A61DDD" w14:paraId="7B9BD24C"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85F9134"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sp.</w:t>
            </w:r>
          </w:p>
        </w:tc>
        <w:tc>
          <w:tcPr>
            <w:tcW w:w="1250" w:type="pct"/>
            <w:vAlign w:val="center"/>
          </w:tcPr>
          <w:p w14:paraId="45524824"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00A6552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081DD5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70</w:t>
            </w:r>
          </w:p>
        </w:tc>
      </w:tr>
      <w:tr w:rsidR="00A61DDD" w:rsidRPr="00A61DDD" w14:paraId="1AB9A85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23DFA1A3"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Ophionea</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nigrofasciata</w:t>
            </w:r>
            <w:proofErr w:type="spellEnd"/>
          </w:p>
        </w:tc>
        <w:tc>
          <w:tcPr>
            <w:tcW w:w="1250" w:type="pct"/>
            <w:vAlign w:val="center"/>
          </w:tcPr>
          <w:p w14:paraId="5548BB5C"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6248ADC2"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93ED68D"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44</w:t>
            </w:r>
          </w:p>
        </w:tc>
      </w:tr>
      <w:tr w:rsidR="00A61DDD" w:rsidRPr="00A61DDD" w14:paraId="46FFC0AE"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5F7C6953"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melanarius</w:t>
            </w:r>
            <w:proofErr w:type="spellEnd"/>
          </w:p>
        </w:tc>
        <w:tc>
          <w:tcPr>
            <w:tcW w:w="1250" w:type="pct"/>
            <w:vAlign w:val="center"/>
          </w:tcPr>
          <w:p w14:paraId="42E16CD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5D187B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0F4E397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15</w:t>
            </w:r>
          </w:p>
        </w:tc>
      </w:tr>
      <w:tr w:rsidR="00A61DDD" w:rsidRPr="00A61DDD" w14:paraId="493FDA1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C8FB85D"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Calleida</w:t>
            </w:r>
            <w:proofErr w:type="spellEnd"/>
            <w:r w:rsidRPr="00A61DDD">
              <w:rPr>
                <w:rFonts w:ascii="Arial" w:hAnsi="Arial" w:cs="Arial"/>
                <w:i/>
                <w:sz w:val="16"/>
                <w:szCs w:val="16"/>
              </w:rPr>
              <w:t xml:space="preserve"> decora</w:t>
            </w:r>
          </w:p>
        </w:tc>
        <w:tc>
          <w:tcPr>
            <w:tcW w:w="1250" w:type="pct"/>
            <w:vAlign w:val="center"/>
          </w:tcPr>
          <w:p w14:paraId="10A0A9D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7EA17A9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3E8137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18</w:t>
            </w:r>
          </w:p>
        </w:tc>
      </w:tr>
      <w:tr w:rsidR="00A61DDD" w:rsidRPr="00A61DDD" w14:paraId="3C606AB8"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19F0CC9"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Melanoplus sp.</w:t>
            </w:r>
          </w:p>
        </w:tc>
        <w:tc>
          <w:tcPr>
            <w:tcW w:w="1250" w:type="pct"/>
            <w:vAlign w:val="center"/>
          </w:tcPr>
          <w:p w14:paraId="3DBA3FB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Acrididae</w:t>
            </w:r>
          </w:p>
        </w:tc>
        <w:tc>
          <w:tcPr>
            <w:tcW w:w="1039" w:type="pct"/>
            <w:vAlign w:val="center"/>
          </w:tcPr>
          <w:p w14:paraId="2D2BB211"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Insecta</w:t>
            </w:r>
            <w:proofErr w:type="spellEnd"/>
          </w:p>
        </w:tc>
        <w:tc>
          <w:tcPr>
            <w:tcW w:w="1019" w:type="pct"/>
            <w:vAlign w:val="center"/>
          </w:tcPr>
          <w:p w14:paraId="005AF47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w:t>
            </w:r>
          </w:p>
        </w:tc>
      </w:tr>
      <w:tr w:rsidR="00A61DDD" w:rsidRPr="00A61DDD" w14:paraId="3F36C6E1"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9EADC40"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Dialytes</w:t>
            </w:r>
            <w:proofErr w:type="spellEnd"/>
            <w:r w:rsidRPr="00A61DDD">
              <w:rPr>
                <w:rFonts w:ascii="Arial" w:hAnsi="Arial" w:cs="Arial"/>
                <w:i/>
                <w:sz w:val="16"/>
                <w:szCs w:val="16"/>
              </w:rPr>
              <w:t xml:space="preserve"> sp.</w:t>
            </w:r>
          </w:p>
        </w:tc>
        <w:tc>
          <w:tcPr>
            <w:tcW w:w="1250" w:type="pct"/>
            <w:vAlign w:val="center"/>
          </w:tcPr>
          <w:p w14:paraId="22106F73"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Scarabaeidae</w:t>
            </w:r>
            <w:proofErr w:type="spellEnd"/>
          </w:p>
        </w:tc>
        <w:tc>
          <w:tcPr>
            <w:tcW w:w="1039" w:type="pct"/>
            <w:vAlign w:val="center"/>
          </w:tcPr>
          <w:p w14:paraId="6B904D57"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9F3F626"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w:t>
            </w:r>
          </w:p>
        </w:tc>
      </w:tr>
      <w:tr w:rsidR="00A61DDD" w:rsidRPr="00A61DDD" w14:paraId="30942A2C"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3786C9F"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Gryllotalpa Africana</w:t>
            </w:r>
          </w:p>
        </w:tc>
        <w:tc>
          <w:tcPr>
            <w:tcW w:w="1250" w:type="pct"/>
            <w:vAlign w:val="center"/>
          </w:tcPr>
          <w:p w14:paraId="2DEBE329"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Gryllotalpidae</w:t>
            </w:r>
            <w:proofErr w:type="spellEnd"/>
          </w:p>
        </w:tc>
        <w:tc>
          <w:tcPr>
            <w:tcW w:w="1039" w:type="pct"/>
            <w:vAlign w:val="center"/>
          </w:tcPr>
          <w:p w14:paraId="4D7655BD"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4FC41631"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8</w:t>
            </w:r>
          </w:p>
        </w:tc>
      </w:tr>
      <w:tr w:rsidR="00A61DDD" w:rsidRPr="00A61DDD" w14:paraId="09D76BA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3F22A1B1"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Conococephalus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longepennis</w:t>
            </w:r>
            <w:proofErr w:type="spellEnd"/>
          </w:p>
        </w:tc>
        <w:tc>
          <w:tcPr>
            <w:tcW w:w="1250" w:type="pct"/>
            <w:vAlign w:val="center"/>
          </w:tcPr>
          <w:p w14:paraId="2EA1D69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Tettigoniidae</w:t>
            </w:r>
          </w:p>
        </w:tc>
        <w:tc>
          <w:tcPr>
            <w:tcW w:w="1039" w:type="pct"/>
            <w:vAlign w:val="center"/>
          </w:tcPr>
          <w:p w14:paraId="11B36B0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2B1CC5A7"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w:t>
            </w:r>
          </w:p>
        </w:tc>
      </w:tr>
      <w:tr w:rsidR="00A61DDD" w:rsidRPr="00A61DDD" w14:paraId="7CF5935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pct"/>
            <w:gridSpan w:val="3"/>
            <w:tcBorders>
              <w:bottom w:val="double" w:sz="4" w:space="0" w:color="auto"/>
            </w:tcBorders>
            <w:vAlign w:val="center"/>
          </w:tcPr>
          <w:p w14:paraId="284A23FD" w14:textId="77777777" w:rsidR="00A61DDD" w:rsidRPr="00A61DDD" w:rsidRDefault="00A61DDD" w:rsidP="00A61DDD">
            <w:pPr>
              <w:tabs>
                <w:tab w:val="left" w:pos="1980"/>
              </w:tabs>
              <w:spacing w:line="276" w:lineRule="auto"/>
              <w:ind w:firstLine="454"/>
              <w:jc w:val="right"/>
              <w:rPr>
                <w:rFonts w:ascii="Arial" w:hAnsi="Arial" w:cs="Arial"/>
                <w:sz w:val="16"/>
                <w:szCs w:val="16"/>
              </w:rPr>
            </w:pPr>
            <w:r w:rsidRPr="00A61DDD">
              <w:rPr>
                <w:rFonts w:ascii="Arial" w:hAnsi="Arial" w:cs="Arial"/>
                <w:sz w:val="16"/>
                <w:szCs w:val="16"/>
              </w:rPr>
              <w:t>Abundance</w:t>
            </w:r>
          </w:p>
        </w:tc>
        <w:tc>
          <w:tcPr>
            <w:tcW w:w="1019" w:type="pct"/>
            <w:tcBorders>
              <w:bottom w:val="double" w:sz="4" w:space="0" w:color="auto"/>
            </w:tcBorders>
            <w:vAlign w:val="center"/>
          </w:tcPr>
          <w:p w14:paraId="3F536279"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A61DDD">
              <w:rPr>
                <w:rFonts w:ascii="Arial" w:hAnsi="Arial" w:cs="Arial"/>
                <w:b/>
                <w:sz w:val="16"/>
                <w:szCs w:val="16"/>
              </w:rPr>
              <w:t>164</w:t>
            </w:r>
          </w:p>
        </w:tc>
      </w:tr>
    </w:tbl>
    <w:p w14:paraId="7648218D" w14:textId="77777777" w:rsidR="00A61DDD" w:rsidRPr="00A61DDD" w:rsidRDefault="00A61DDD" w:rsidP="00441B6F">
      <w:pPr>
        <w:pStyle w:val="BodyText3"/>
        <w:tabs>
          <w:tab w:val="left" w:pos="1080"/>
        </w:tabs>
        <w:spacing w:after="0"/>
        <w:ind w:left="1080" w:hanging="1080"/>
        <w:jc w:val="both"/>
        <w:rPr>
          <w:rFonts w:ascii="Arial" w:hAnsi="Arial"/>
          <w:bCs/>
          <w:iCs/>
          <w:sz w:val="18"/>
        </w:rPr>
      </w:pPr>
    </w:p>
    <w:p w14:paraId="2D93F392" w14:textId="77777777" w:rsidR="00A61DDD" w:rsidRDefault="00A61DDD" w:rsidP="00441B6F">
      <w:pPr>
        <w:pStyle w:val="BodyText3"/>
        <w:tabs>
          <w:tab w:val="left" w:pos="1080"/>
        </w:tabs>
        <w:spacing w:after="0"/>
        <w:ind w:left="1080" w:hanging="1080"/>
        <w:jc w:val="both"/>
        <w:rPr>
          <w:rFonts w:ascii="Arial" w:hAnsi="Arial"/>
          <w:bCs/>
          <w:i/>
          <w:sz w:val="18"/>
        </w:rPr>
      </w:pPr>
    </w:p>
    <w:p w14:paraId="4F55C73A" w14:textId="77777777" w:rsidR="00A61DDD" w:rsidRDefault="00A61DDD" w:rsidP="00441B6F">
      <w:pPr>
        <w:pStyle w:val="BodyText3"/>
        <w:tabs>
          <w:tab w:val="left" w:pos="1080"/>
        </w:tabs>
        <w:spacing w:after="0"/>
        <w:ind w:left="1080" w:hanging="1080"/>
        <w:jc w:val="both"/>
        <w:rPr>
          <w:rFonts w:ascii="Arial" w:hAnsi="Arial"/>
          <w:bCs/>
          <w:i/>
          <w:sz w:val="18"/>
        </w:rPr>
      </w:pPr>
    </w:p>
    <w:p w14:paraId="38A0C188" w14:textId="77777777" w:rsidR="00A61DDD" w:rsidRDefault="00A61DDD" w:rsidP="00441B6F">
      <w:pPr>
        <w:pStyle w:val="BodyText3"/>
        <w:tabs>
          <w:tab w:val="left" w:pos="1080"/>
        </w:tabs>
        <w:spacing w:after="0"/>
        <w:ind w:left="1080" w:hanging="1080"/>
        <w:jc w:val="both"/>
        <w:rPr>
          <w:rFonts w:ascii="Arial" w:hAnsi="Arial"/>
          <w:bCs/>
          <w:i/>
          <w:sz w:val="18"/>
        </w:rPr>
      </w:pPr>
    </w:p>
    <w:p w14:paraId="2B86B26D" w14:textId="77777777" w:rsidR="00A61DDD" w:rsidRDefault="00A61DDD" w:rsidP="00441B6F">
      <w:pPr>
        <w:pStyle w:val="BodyText3"/>
        <w:tabs>
          <w:tab w:val="left" w:pos="1080"/>
        </w:tabs>
        <w:spacing w:after="0"/>
        <w:ind w:left="1080" w:hanging="1080"/>
        <w:jc w:val="both"/>
        <w:rPr>
          <w:rFonts w:ascii="Arial" w:hAnsi="Arial"/>
          <w:bCs/>
          <w:i/>
          <w:sz w:val="18"/>
        </w:rPr>
      </w:pPr>
    </w:p>
    <w:p w14:paraId="20E15F44" w14:textId="77777777" w:rsidR="00A61DDD" w:rsidRDefault="00A61DDD" w:rsidP="00441B6F">
      <w:pPr>
        <w:pStyle w:val="BodyText3"/>
        <w:tabs>
          <w:tab w:val="left" w:pos="1080"/>
        </w:tabs>
        <w:spacing w:after="0"/>
        <w:ind w:left="1080" w:hanging="1080"/>
        <w:jc w:val="both"/>
        <w:rPr>
          <w:rFonts w:ascii="Arial" w:hAnsi="Arial"/>
          <w:bCs/>
          <w:i/>
          <w:sz w:val="18"/>
        </w:rPr>
      </w:pPr>
    </w:p>
    <w:p w14:paraId="6BCA7F0F" w14:textId="5D55CFEC" w:rsidR="00A61DDD" w:rsidRPr="00A61DDD" w:rsidRDefault="00A61DDD" w:rsidP="00A61DDD">
      <w:pPr>
        <w:pStyle w:val="BodyText3"/>
        <w:tabs>
          <w:tab w:val="left" w:pos="1080"/>
        </w:tabs>
        <w:spacing w:after="0"/>
        <w:ind w:left="1080" w:hanging="1080"/>
        <w:jc w:val="center"/>
        <w:rPr>
          <w:rFonts w:ascii="Arial" w:hAnsi="Arial"/>
          <w:bCs/>
          <w:iCs/>
          <w:sz w:val="18"/>
        </w:rPr>
      </w:pPr>
      <w:r w:rsidRPr="00A61DDD">
        <w:rPr>
          <w:rFonts w:ascii="Times New Roman" w:eastAsia="Calibri" w:hAnsi="Times New Roman"/>
          <w:noProof/>
          <w:sz w:val="22"/>
          <w:szCs w:val="22"/>
        </w:rPr>
        <w:drawing>
          <wp:inline distT="0" distB="0" distL="0" distR="0" wp14:anchorId="4016798F" wp14:editId="39424136">
            <wp:extent cx="5053965" cy="2529840"/>
            <wp:effectExtent l="0" t="0" r="0" b="3810"/>
            <wp:docPr id="1780115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3965" cy="2529840"/>
                    </a:xfrm>
                    <a:prstGeom prst="rect">
                      <a:avLst/>
                    </a:prstGeom>
                    <a:noFill/>
                  </pic:spPr>
                </pic:pic>
              </a:graphicData>
            </a:graphic>
          </wp:inline>
        </w:drawing>
      </w:r>
    </w:p>
    <w:p w14:paraId="0BFEFACD" w14:textId="77777777" w:rsidR="00A61DDD" w:rsidRDefault="00A61DDD" w:rsidP="00441B6F">
      <w:pPr>
        <w:pStyle w:val="BodyText3"/>
        <w:tabs>
          <w:tab w:val="left" w:pos="1080"/>
        </w:tabs>
        <w:spacing w:after="0"/>
        <w:ind w:left="1080" w:hanging="1080"/>
        <w:jc w:val="both"/>
        <w:rPr>
          <w:rFonts w:ascii="Arial" w:hAnsi="Arial"/>
          <w:bCs/>
          <w:i/>
          <w:sz w:val="18"/>
        </w:rPr>
      </w:pPr>
    </w:p>
    <w:p w14:paraId="713E3729"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 xml:space="preserve">Figure 3. Mean soil insect abundance across fertilizer treatments for two cassava varieties </w:t>
      </w:r>
    </w:p>
    <w:p w14:paraId="7AD720C5"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(Lakan 1 and Golden Yellow) at research station and farmer's field sites in</w:t>
      </w:r>
    </w:p>
    <w:p w14:paraId="2A110F97"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 xml:space="preserve"> Trento, Agusan del Sur, Philippines</w:t>
      </w:r>
    </w:p>
    <w:p w14:paraId="5F2414C3" w14:textId="77777777" w:rsidR="00A61DDD" w:rsidRDefault="00A61DDD" w:rsidP="00A61DDD">
      <w:pPr>
        <w:pStyle w:val="BodyText3"/>
        <w:tabs>
          <w:tab w:val="left" w:pos="1080"/>
        </w:tabs>
        <w:spacing w:after="0"/>
        <w:ind w:left="1080" w:hanging="1080"/>
        <w:jc w:val="center"/>
        <w:rPr>
          <w:rFonts w:ascii="Arial" w:hAnsi="Arial"/>
          <w:bCs/>
          <w:iCs/>
          <w:sz w:val="18"/>
        </w:rPr>
      </w:pPr>
    </w:p>
    <w:p w14:paraId="6823A2B0" w14:textId="42C612C8" w:rsidR="00A61DDD" w:rsidRPr="00A61DDD" w:rsidRDefault="00A61DDD" w:rsidP="00A61DDD">
      <w:pPr>
        <w:pStyle w:val="BodyText3"/>
        <w:tabs>
          <w:tab w:val="left" w:pos="1080"/>
        </w:tabs>
        <w:spacing w:after="0"/>
        <w:ind w:left="1080" w:hanging="1080"/>
        <w:jc w:val="center"/>
        <w:rPr>
          <w:rFonts w:ascii="Arial" w:hAnsi="Arial"/>
          <w:bCs/>
          <w:iCs/>
          <w:sz w:val="18"/>
        </w:rPr>
      </w:pPr>
      <w:r w:rsidRPr="00A61DDD">
        <w:rPr>
          <w:rFonts w:ascii="Calibri" w:eastAsia="Calibri" w:hAnsi="Calibri"/>
          <w:noProof/>
          <w:sz w:val="22"/>
          <w:szCs w:val="22"/>
        </w:rPr>
        <w:drawing>
          <wp:inline distT="0" distB="0" distL="0" distR="0" wp14:anchorId="43CB5AB2" wp14:editId="38374355">
            <wp:extent cx="5212080" cy="3330854"/>
            <wp:effectExtent l="0" t="0" r="7620" b="3175"/>
            <wp:docPr id="19986393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3330854"/>
                    </a:xfrm>
                    <a:prstGeom prst="rect">
                      <a:avLst/>
                    </a:prstGeom>
                    <a:noFill/>
                    <a:ln>
                      <a:noFill/>
                    </a:ln>
                  </pic:spPr>
                </pic:pic>
              </a:graphicData>
            </a:graphic>
          </wp:inline>
        </w:drawing>
      </w:r>
    </w:p>
    <w:p w14:paraId="2DCDC4DE" w14:textId="77777777" w:rsidR="00A61DDD" w:rsidRDefault="00A61DDD" w:rsidP="00441B6F">
      <w:pPr>
        <w:pStyle w:val="BodyText3"/>
        <w:tabs>
          <w:tab w:val="left" w:pos="1080"/>
        </w:tabs>
        <w:spacing w:after="0"/>
        <w:ind w:left="1080" w:hanging="1080"/>
        <w:jc w:val="both"/>
        <w:rPr>
          <w:rFonts w:ascii="Arial" w:hAnsi="Arial"/>
          <w:bCs/>
          <w:i/>
          <w:sz w:val="18"/>
        </w:rPr>
      </w:pPr>
    </w:p>
    <w:p w14:paraId="4EA320A3" w14:textId="3B9C3562" w:rsidR="00A61DDD" w:rsidRDefault="00A61DDD" w:rsidP="00A61DDD">
      <w:pPr>
        <w:pStyle w:val="BodyText3"/>
        <w:tabs>
          <w:tab w:val="left" w:pos="1080"/>
        </w:tabs>
        <w:spacing w:after="0"/>
        <w:ind w:left="1080" w:hanging="1080"/>
        <w:jc w:val="center"/>
        <w:rPr>
          <w:rFonts w:ascii="Arial" w:hAnsi="Arial" w:cs="Arial"/>
          <w:bCs/>
          <w:iCs/>
          <w:sz w:val="18"/>
        </w:rPr>
      </w:pPr>
      <w:r w:rsidRPr="00A61DDD">
        <w:rPr>
          <w:rFonts w:ascii="Arial" w:hAnsi="Arial" w:cs="Arial"/>
          <w:bCs/>
          <w:iCs/>
          <w:sz w:val="18"/>
        </w:rPr>
        <w:t>Figure 4. Comparison of soil insect diversity indices (Shannon's diversity index, evenness, and species richness) between research station and farmer's field sites in cassava production systems at Trento, Agusan del Sur, Philippines</w:t>
      </w:r>
    </w:p>
    <w:p w14:paraId="10ED2DDF" w14:textId="77777777" w:rsidR="00DB09BF" w:rsidRDefault="00DB09BF" w:rsidP="00A61DDD">
      <w:pPr>
        <w:pStyle w:val="BodyText3"/>
        <w:tabs>
          <w:tab w:val="left" w:pos="1080"/>
        </w:tabs>
        <w:spacing w:after="0"/>
        <w:ind w:left="1080" w:hanging="1080"/>
        <w:jc w:val="center"/>
        <w:rPr>
          <w:rFonts w:ascii="Arial" w:hAnsi="Arial" w:cs="Arial"/>
          <w:bCs/>
          <w:iCs/>
          <w:sz w:val="18"/>
        </w:rPr>
      </w:pPr>
    </w:p>
    <w:p w14:paraId="16B4DF76"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lastRenderedPageBreak/>
        <w:t xml:space="preserve">The prominence of </w:t>
      </w:r>
      <w:proofErr w:type="spellStart"/>
      <w:r w:rsidRPr="008F7AF7">
        <w:rPr>
          <w:rFonts w:ascii="Arial" w:eastAsia="Calibri" w:hAnsi="Arial" w:cs="Arial"/>
        </w:rPr>
        <w:t>Carabidae</w:t>
      </w:r>
      <w:proofErr w:type="spellEnd"/>
      <w:r w:rsidRPr="008F7AF7">
        <w:rPr>
          <w:rFonts w:ascii="Arial" w:eastAsia="Calibri" w:hAnsi="Arial" w:cs="Arial"/>
        </w:rPr>
        <w:t xml:space="preserve"> (ground beetles) in the study sites supports previous research on their role in agricultural ecosystems. Carabid beetles are widespread in agricultural fields globally and serve as natural pest controllers through predatory behavior and diverse feeding habits </w:t>
      </w:r>
      <w:r w:rsidRPr="007D56CA">
        <w:rPr>
          <w:rFonts w:ascii="Arial" w:eastAsia="Calibri" w:hAnsi="Arial" w:cs="Arial"/>
          <w:highlight w:val="yellow"/>
        </w:rPr>
        <w:t>[19]</w:t>
      </w:r>
      <w:r w:rsidRPr="008F7AF7">
        <w:rPr>
          <w:rFonts w:ascii="Arial" w:eastAsia="Calibri" w:hAnsi="Arial" w:cs="Arial"/>
        </w:rPr>
        <w:t xml:space="preserve">. Their population density in these environments is shaped by various environmental factors, including soil properties, microclimatic conditions, and management practices [20]. Typically, a single agricultural site can host 40-60 carabid species, with cropping sequences and pest management methods further influencing these populations [21]. The specific dominance of </w:t>
      </w:r>
      <w:proofErr w:type="spellStart"/>
      <w:r w:rsidRPr="008F7AF7">
        <w:rPr>
          <w:rFonts w:ascii="Arial" w:eastAsia="Calibri" w:hAnsi="Arial" w:cs="Arial"/>
        </w:rPr>
        <w:t>Pterostichus</w:t>
      </w:r>
      <w:proofErr w:type="spellEnd"/>
      <w:r w:rsidRPr="008F7AF7">
        <w:rPr>
          <w:rFonts w:ascii="Arial" w:eastAsia="Calibri" w:hAnsi="Arial" w:cs="Arial"/>
        </w:rPr>
        <w:t xml:space="preserve"> species reflects their adaptability to agricultural landscapes, as they effectively colonize field centers and edges across various cropping systems </w:t>
      </w:r>
      <w:r w:rsidRPr="007D56CA">
        <w:rPr>
          <w:rFonts w:ascii="Arial" w:eastAsia="Calibri" w:hAnsi="Arial" w:cs="Arial"/>
          <w:highlight w:val="yellow"/>
        </w:rPr>
        <w:t>[22]</w:t>
      </w:r>
      <w:r w:rsidRPr="008F7AF7">
        <w:rPr>
          <w:rFonts w:ascii="Arial" w:eastAsia="Calibri" w:hAnsi="Arial" w:cs="Arial"/>
        </w:rPr>
        <w:t xml:space="preserve">. Studies suggest that sustainable farming practices can increase carabid activity density compared to conventional methods, though their populations remain sensitive to insecticide applications </w:t>
      </w:r>
      <w:r w:rsidRPr="0099635B">
        <w:rPr>
          <w:rFonts w:ascii="Arial" w:eastAsia="Calibri" w:hAnsi="Arial" w:cs="Arial"/>
          <w:highlight w:val="yellow"/>
        </w:rPr>
        <w:t>[23]</w:t>
      </w:r>
      <w:r w:rsidRPr="008F7AF7">
        <w:rPr>
          <w:rFonts w:ascii="Arial" w:eastAsia="Calibri" w:hAnsi="Arial" w:cs="Arial"/>
        </w:rPr>
        <w:t>. In cassava fields, the abundance of carabids indicates their potential contribution to biological pest control, as ground beetles are known to reduce pest populations in agricultural landscapes [24].</w:t>
      </w:r>
    </w:p>
    <w:p w14:paraId="33ED7CCC" w14:textId="5FACD430"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 xml:space="preserve">The inverse relationship between fertilizer application and insect abundance highlights the impact of fertilizers on insect populations in agricultural plots. Reduced insect populations in fertilized plots may result from several factors. Increased nutrient availability leads to a denser crop canopy, which alters soil surface microhabitat conditions such as light, temperature, and humidity, thereby discouraging insect species adapted to open areas. Queiroz and Ribas [25] found that such canopy modifications create microclimatic differences that negatively affect certain insect species. These findings align with </w:t>
      </w:r>
      <w:proofErr w:type="spellStart"/>
      <w:r w:rsidRPr="008F7AF7">
        <w:rPr>
          <w:rFonts w:ascii="Arial" w:eastAsia="Calibri" w:hAnsi="Arial" w:cs="Arial"/>
        </w:rPr>
        <w:t>Brygadyrenko</w:t>
      </w:r>
      <w:proofErr w:type="spellEnd"/>
      <w:r w:rsidRPr="008F7AF7">
        <w:rPr>
          <w:rFonts w:ascii="Arial" w:eastAsia="Calibri" w:hAnsi="Arial" w:cs="Arial"/>
        </w:rPr>
        <w:t xml:space="preserve"> [26], who demonstrated that denser canopy conditions significantly reduce litter-dwelling macrofauna abundance and alter community structure. Additionally, changes in soil chemistry due to fertilizer application may affect habitat preference of soil-dwelling insects. </w:t>
      </w:r>
      <w:r w:rsidR="00B835EA" w:rsidRPr="0099635B">
        <w:rPr>
          <w:rFonts w:ascii="Arial" w:eastAsia="Calibri" w:hAnsi="Arial" w:cs="Arial"/>
          <w:highlight w:val="yellow"/>
        </w:rPr>
        <w:t>van Klink</w:t>
      </w:r>
      <w:r w:rsidR="00B835EA" w:rsidRPr="0099635B">
        <w:rPr>
          <w:rFonts w:ascii="Arial" w:eastAsia="Calibri" w:hAnsi="Arial" w:cs="Arial"/>
          <w:highlight w:val="yellow"/>
        </w:rPr>
        <w:t xml:space="preserve"> et al.</w:t>
      </w:r>
      <w:r w:rsidRPr="0099635B">
        <w:rPr>
          <w:rFonts w:ascii="Arial" w:eastAsia="Calibri" w:hAnsi="Arial" w:cs="Arial"/>
          <w:highlight w:val="yellow"/>
        </w:rPr>
        <w:t xml:space="preserve"> [27]</w:t>
      </w:r>
      <w:r w:rsidRPr="008F7AF7">
        <w:rPr>
          <w:rFonts w:ascii="Arial" w:eastAsia="Calibri" w:hAnsi="Arial" w:cs="Arial"/>
        </w:rPr>
        <w:t xml:space="preserve"> established that fertilizer-induced changes in soil chemistry directly influence habitat selection by soil-dwelling insects, while Chen et al. [28] showed that altered soil properties, such as pH and humidity, affect insect microhabitat preferences and survival rates. These studies collectively suggest that fertilizer application indirectly affects insect populations by modifying both the physical structure and chemical properties of their habitats.</w:t>
      </w:r>
    </w:p>
    <w:p w14:paraId="38D96A2A"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The moderate diversity indices at both sites indicate stable insect communities. Despite lower total insect abundance, site 2's slightly higher Shannon's index (1.62 vs. 1.58) suggests a more even species distribution. This variation likely stems from differences in management approaches: research stations typically follow standardized practices for experimental consistency, creating uniform conditions that may favor certain species, while farmers' fields often maintain more diverse microhabitats through varied practices such as crop rotation, mixed planting, or less uniform planting density. These differences in management intensity and variety create distinct microhabitats supporting different insect communities, even if overall abundance varies.</w:t>
      </w:r>
    </w:p>
    <w:p w14:paraId="07CA8EC0" w14:textId="7A0B3F11"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The presence of both predatory (</w:t>
      </w:r>
      <w:proofErr w:type="spellStart"/>
      <w:r w:rsidRPr="008F7AF7">
        <w:rPr>
          <w:rFonts w:ascii="Arial" w:eastAsia="Calibri" w:hAnsi="Arial" w:cs="Arial"/>
        </w:rPr>
        <w:t>Carabidae</w:t>
      </w:r>
      <w:proofErr w:type="spellEnd"/>
      <w:r w:rsidRPr="008F7AF7">
        <w:rPr>
          <w:rFonts w:ascii="Arial" w:eastAsia="Calibri" w:hAnsi="Arial" w:cs="Arial"/>
        </w:rPr>
        <w:t>) and herbivorous (</w:t>
      </w:r>
      <w:proofErr w:type="spellStart"/>
      <w:r w:rsidRPr="008F7AF7">
        <w:rPr>
          <w:rFonts w:ascii="Arial" w:eastAsia="Calibri" w:hAnsi="Arial" w:cs="Arial"/>
        </w:rPr>
        <w:t>Gryllotalpidae</w:t>
      </w:r>
      <w:proofErr w:type="spellEnd"/>
      <w:r w:rsidRPr="008F7AF7">
        <w:rPr>
          <w:rFonts w:ascii="Arial" w:eastAsia="Calibri" w:hAnsi="Arial" w:cs="Arial"/>
        </w:rPr>
        <w:t xml:space="preserve">, Acrididae) insects suggests a functional food web within the cassava system. However, lower diversity indices than natural ecosystems indicate that agricultural practices impact soil insect community structure. While natural ecosystems support diverse insect populations through habitat heterogeneity, managed agricultural fields present more uniform environments with frequent disturbances, reducing available niches and limiting insect survival. </w:t>
      </w:r>
      <w:proofErr w:type="spellStart"/>
      <w:r w:rsidRPr="008F7AF7">
        <w:rPr>
          <w:rFonts w:ascii="Arial" w:eastAsia="Calibri" w:hAnsi="Arial" w:cs="Arial"/>
        </w:rPr>
        <w:t>Sądej</w:t>
      </w:r>
      <w:proofErr w:type="spellEnd"/>
      <w:r w:rsidRPr="008F7AF7">
        <w:rPr>
          <w:rFonts w:ascii="Arial" w:eastAsia="Calibri" w:hAnsi="Arial" w:cs="Arial"/>
        </w:rPr>
        <w:t xml:space="preserve"> et al. [29] found that soil management and fertilization significantly influence ground beetle assemblages, showing higher diversity in soils with increased organic carbon and nitrogen content. </w:t>
      </w:r>
      <w:r w:rsidR="00224C23" w:rsidRPr="0099635B">
        <w:rPr>
          <w:rFonts w:ascii="Arial" w:eastAsia="Calibri" w:hAnsi="Arial" w:cs="Arial"/>
          <w:highlight w:val="yellow"/>
        </w:rPr>
        <w:t>Alyokhin</w:t>
      </w:r>
      <w:r w:rsidRPr="0099635B">
        <w:rPr>
          <w:rFonts w:ascii="Arial" w:eastAsia="Calibri" w:hAnsi="Arial" w:cs="Arial"/>
          <w:highlight w:val="yellow"/>
        </w:rPr>
        <w:t xml:space="preserve"> et al. [30]</w:t>
      </w:r>
      <w:r w:rsidRPr="008F7AF7">
        <w:rPr>
          <w:rFonts w:ascii="Arial" w:eastAsia="Calibri" w:hAnsi="Arial" w:cs="Arial"/>
        </w:rPr>
        <w:t xml:space="preserve"> suggested that soil management history more consistently affects insect behavior than immediate fertilizer use, highlighting the long-term effects of agricultural practices on insect communities. Goulet [21] further demonstrated that each beetle species </w:t>
      </w:r>
      <w:r w:rsidRPr="008F7AF7">
        <w:rPr>
          <w:rFonts w:ascii="Arial" w:eastAsia="Calibri" w:hAnsi="Arial" w:cs="Arial"/>
        </w:rPr>
        <w:lastRenderedPageBreak/>
        <w:t>has specific requirements for soil type, moisture, pH, and light exposure, making these insects sensitive to habitat modifications and changes in environmental quality.</w:t>
      </w:r>
    </w:p>
    <w:p w14:paraId="00D305CA"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 xml:space="preserve">The observed differences in insect abundance and diversity between the two cassava varieties, Lakan 1 and Golden Yellow, suggest that crop genotype may influence soil insect communities, potentially through variations in root exudates or canopy structure. Plants release organic compounds through their roots, known as exudates, which vary across crop varieties and can affect soil chemistry and microbial communities, thereby influencing soil-dwelling insects. Specific exudates can attract or repel certain insect species, altering the composition of the soil insect community around each variety. Research indicates that root exudates play a role in regulating soil fungal community composition and diversity, with plants maintaining resident soil fungal populations while influencing nonresident populations </w:t>
      </w:r>
      <w:r w:rsidRPr="0099635B">
        <w:rPr>
          <w:rFonts w:ascii="Arial" w:eastAsia="Calibri" w:hAnsi="Arial" w:cs="Arial"/>
          <w:highlight w:val="yellow"/>
        </w:rPr>
        <w:t>[31]</w:t>
      </w:r>
      <w:r w:rsidRPr="008F7AF7">
        <w:rPr>
          <w:rFonts w:ascii="Arial" w:eastAsia="Calibri" w:hAnsi="Arial" w:cs="Arial"/>
        </w:rPr>
        <w:t xml:space="preserve">. Certain plant genes, such as ABC transporters, significantly impact root exudation profiles, which in turn shape soil microbial communities </w:t>
      </w:r>
      <w:r w:rsidRPr="0099635B">
        <w:rPr>
          <w:rFonts w:ascii="Arial" w:eastAsia="Calibri" w:hAnsi="Arial" w:cs="Arial"/>
          <w:highlight w:val="yellow"/>
        </w:rPr>
        <w:t>[32]</w:t>
      </w:r>
      <w:r w:rsidRPr="008F7AF7">
        <w:rPr>
          <w:rFonts w:ascii="Arial" w:eastAsia="Calibri" w:hAnsi="Arial" w:cs="Arial"/>
        </w:rPr>
        <w:t xml:space="preserve">. Additionally, different plant accessions within the same species, such as </w:t>
      </w:r>
      <w:r w:rsidRPr="008F7AF7">
        <w:rPr>
          <w:rFonts w:ascii="Arial" w:eastAsia="Calibri" w:hAnsi="Arial" w:cs="Arial"/>
          <w:i/>
          <w:iCs/>
        </w:rPr>
        <w:t>Arabidopsis thaliana</w:t>
      </w:r>
      <w:r w:rsidRPr="008F7AF7">
        <w:rPr>
          <w:rFonts w:ascii="Arial" w:eastAsia="Calibri" w:hAnsi="Arial" w:cs="Arial"/>
        </w:rPr>
        <w:t>, selectively influence rhizobacterial communities through variations in root exudation [33]. This interaction between crop variety and soil fauna warrants further investigation to support the development of more sustainable cassava production systems.</w:t>
      </w:r>
    </w:p>
    <w:p w14:paraId="3A91C60A" w14:textId="557C538B" w:rsidR="008F7AF7" w:rsidRPr="008F7AF7" w:rsidRDefault="008F7AF7" w:rsidP="008F7AF7">
      <w:pPr>
        <w:tabs>
          <w:tab w:val="left" w:pos="1222"/>
        </w:tabs>
        <w:autoSpaceDE w:val="0"/>
        <w:autoSpaceDN w:val="0"/>
        <w:adjustRightInd w:val="0"/>
        <w:spacing w:before="240" w:after="240"/>
        <w:ind w:left="437" w:hanging="437"/>
        <w:jc w:val="both"/>
        <w:rPr>
          <w:rFonts w:ascii="Arial" w:eastAsia="Calibri" w:hAnsi="Arial" w:cs="Arial"/>
          <w:b/>
        </w:rPr>
      </w:pPr>
      <w:r w:rsidRPr="008F7AF7">
        <w:rPr>
          <w:rFonts w:ascii="Arial" w:eastAsia="Calibri" w:hAnsi="Arial" w:cs="Arial"/>
          <w:b/>
        </w:rPr>
        <w:t>3.</w:t>
      </w:r>
      <w:r w:rsidR="00A3232F">
        <w:rPr>
          <w:rFonts w:ascii="Arial" w:eastAsia="Calibri" w:hAnsi="Arial" w:cs="Arial"/>
          <w:b/>
        </w:rPr>
        <w:t>2</w:t>
      </w:r>
      <w:r w:rsidRPr="008F7AF7">
        <w:rPr>
          <w:rFonts w:ascii="Arial" w:eastAsia="Calibri" w:hAnsi="Arial" w:cs="Arial"/>
          <w:b/>
        </w:rPr>
        <w:t>. Weed species composition and distribution</w:t>
      </w:r>
    </w:p>
    <w:p w14:paraId="05673532" w14:textId="77777777" w:rsidR="008F7AF7" w:rsidRPr="008F7AF7" w:rsidRDefault="008F7AF7" w:rsidP="00A3232F">
      <w:pPr>
        <w:autoSpaceDE w:val="0"/>
        <w:autoSpaceDN w:val="0"/>
        <w:adjustRightInd w:val="0"/>
        <w:spacing w:before="240" w:after="240"/>
        <w:jc w:val="both"/>
        <w:rPr>
          <w:rFonts w:ascii="Arial" w:eastAsia="Calibri" w:hAnsi="Arial" w:cs="Arial"/>
          <w:iCs/>
        </w:rPr>
      </w:pPr>
      <w:r w:rsidRPr="008F7AF7">
        <w:rPr>
          <w:rFonts w:ascii="Arial" w:eastAsia="Calibri" w:hAnsi="Arial" w:cs="Arial"/>
          <w:iCs/>
        </w:rPr>
        <w:t xml:space="preserve">At two study sites, eight distinct species representing four plant families were identified (Table 2). The </w:t>
      </w:r>
      <w:proofErr w:type="spellStart"/>
      <w:r w:rsidRPr="008F7AF7">
        <w:rPr>
          <w:rFonts w:ascii="Arial" w:eastAsia="Calibri" w:hAnsi="Arial" w:cs="Arial"/>
          <w:iCs/>
        </w:rPr>
        <w:t>Poaceae</w:t>
      </w:r>
      <w:proofErr w:type="spellEnd"/>
      <w:r w:rsidRPr="008F7AF7">
        <w:rPr>
          <w:rFonts w:ascii="Arial" w:eastAsia="Calibri" w:hAnsi="Arial" w:cs="Arial"/>
          <w:iCs/>
        </w:rPr>
        <w:t xml:space="preserve"> (grass family) dominated the weed community with five species, while Asteraceae, Cyperaceae, and Fabaceae were represented by one species each. The identified species exhibited diverse growth forms: three perennial grasses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w:t>
      </w:r>
      <w:r w:rsidRPr="008F7AF7">
        <w:rPr>
          <w:rFonts w:ascii="Arial" w:eastAsia="Calibri" w:hAnsi="Arial" w:cs="Arial"/>
          <w:i/>
        </w:rPr>
        <w:t>Panicum maximum</w:t>
      </w:r>
      <w:r w:rsidRPr="008F7AF7">
        <w:rPr>
          <w:rFonts w:ascii="Arial" w:eastAsia="Calibri" w:hAnsi="Arial" w:cs="Arial"/>
          <w:iCs/>
        </w:rPr>
        <w:t xml:space="preserve">, and </w:t>
      </w:r>
      <w:proofErr w:type="spellStart"/>
      <w:r w:rsidRPr="008F7AF7">
        <w:rPr>
          <w:rFonts w:ascii="Arial" w:eastAsia="Calibri" w:hAnsi="Arial" w:cs="Arial"/>
          <w:i/>
        </w:rPr>
        <w:t>Imperata</w:t>
      </w:r>
      <w:proofErr w:type="spellEnd"/>
      <w:r w:rsidRPr="008F7AF7">
        <w:rPr>
          <w:rFonts w:ascii="Arial" w:eastAsia="Calibri" w:hAnsi="Arial" w:cs="Arial"/>
          <w:i/>
        </w:rPr>
        <w:t xml:space="preserve"> cylindrica</w:t>
      </w:r>
      <w:r w:rsidRPr="008F7AF7">
        <w:rPr>
          <w:rFonts w:ascii="Arial" w:eastAsia="Calibri" w:hAnsi="Arial" w:cs="Arial"/>
          <w:iCs/>
        </w:rPr>
        <w:t>), one perennial sedge (</w:t>
      </w:r>
      <w:r w:rsidRPr="008F7AF7">
        <w:rPr>
          <w:rFonts w:ascii="Arial" w:eastAsia="Calibri" w:hAnsi="Arial" w:cs="Arial"/>
          <w:i/>
        </w:rPr>
        <w:t xml:space="preserve">Cyperus </w:t>
      </w:r>
      <w:proofErr w:type="spellStart"/>
      <w:r w:rsidRPr="008F7AF7">
        <w:rPr>
          <w:rFonts w:ascii="Arial" w:eastAsia="Calibri" w:hAnsi="Arial" w:cs="Arial"/>
          <w:i/>
        </w:rPr>
        <w:t>rotundus</w:t>
      </w:r>
      <w:proofErr w:type="spellEnd"/>
      <w:r w:rsidRPr="008F7AF7">
        <w:rPr>
          <w:rFonts w:ascii="Arial" w:eastAsia="Calibri" w:hAnsi="Arial" w:cs="Arial"/>
          <w:iCs/>
        </w:rPr>
        <w:t>), one perennial forb (</w:t>
      </w:r>
      <w:r w:rsidRPr="008F7AF7">
        <w:rPr>
          <w:rFonts w:ascii="Arial" w:eastAsia="Calibri" w:hAnsi="Arial" w:cs="Arial"/>
          <w:i/>
        </w:rPr>
        <w:t>Mimosa pudica</w:t>
      </w:r>
      <w:r w:rsidRPr="008F7AF7">
        <w:rPr>
          <w:rFonts w:ascii="Arial" w:eastAsia="Calibri" w:hAnsi="Arial" w:cs="Arial"/>
          <w:iCs/>
        </w:rPr>
        <w:t xml:space="preserve"> L.), one annual forb (</w:t>
      </w:r>
      <w:r w:rsidRPr="008F7AF7">
        <w:rPr>
          <w:rFonts w:ascii="Arial" w:eastAsia="Calibri" w:hAnsi="Arial" w:cs="Arial"/>
          <w:i/>
        </w:rPr>
        <w:t xml:space="preserve">Ageratum </w:t>
      </w:r>
      <w:proofErr w:type="spellStart"/>
      <w:r w:rsidRPr="008F7AF7">
        <w:rPr>
          <w:rFonts w:ascii="Arial" w:eastAsia="Calibri" w:hAnsi="Arial" w:cs="Arial"/>
          <w:i/>
        </w:rPr>
        <w:t>conyzoides</w:t>
      </w:r>
      <w:proofErr w:type="spellEnd"/>
      <w:r w:rsidRPr="008F7AF7">
        <w:rPr>
          <w:rFonts w:ascii="Arial" w:eastAsia="Calibri" w:hAnsi="Arial" w:cs="Arial"/>
          <w:iCs/>
        </w:rPr>
        <w:t xml:space="preserve"> L.), and two annual grasses (</w:t>
      </w:r>
      <w:r w:rsidRPr="008F7AF7">
        <w:rPr>
          <w:rFonts w:ascii="Arial" w:eastAsia="Calibri" w:hAnsi="Arial" w:cs="Arial"/>
          <w:i/>
        </w:rPr>
        <w:t>Eleusine indica</w:t>
      </w:r>
      <w:r w:rsidRPr="008F7AF7">
        <w:rPr>
          <w:rFonts w:ascii="Arial" w:eastAsia="Calibri" w:hAnsi="Arial" w:cs="Arial"/>
          <w:iCs/>
        </w:rPr>
        <w:t xml:space="preserve"> L. and </w:t>
      </w:r>
      <w:proofErr w:type="spellStart"/>
      <w:r w:rsidRPr="008F7AF7">
        <w:rPr>
          <w:rFonts w:ascii="Arial" w:eastAsia="Calibri" w:hAnsi="Arial" w:cs="Arial"/>
          <w:i/>
        </w:rPr>
        <w:t>Dactyloctenium</w:t>
      </w:r>
      <w:proofErr w:type="spellEnd"/>
      <w:r w:rsidRPr="008F7AF7">
        <w:rPr>
          <w:rFonts w:ascii="Arial" w:eastAsia="Calibri" w:hAnsi="Arial" w:cs="Arial"/>
          <w:i/>
        </w:rPr>
        <w:t xml:space="preserve"> </w:t>
      </w:r>
      <w:proofErr w:type="spellStart"/>
      <w:r w:rsidRPr="008F7AF7">
        <w:rPr>
          <w:rFonts w:ascii="Arial" w:eastAsia="Calibri" w:hAnsi="Arial" w:cs="Arial"/>
          <w:i/>
        </w:rPr>
        <w:t>aegyptium</w:t>
      </w:r>
      <w:proofErr w:type="spellEnd"/>
      <w:r w:rsidRPr="008F7AF7">
        <w:rPr>
          <w:rFonts w:ascii="Arial" w:eastAsia="Calibri" w:hAnsi="Arial" w:cs="Arial"/>
          <w:iCs/>
        </w:rPr>
        <w:t xml:space="preserve"> L.). At Site 1 (Research Station),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was the most frequent species with a relative frequency of 17.378, followed by Panicum maximum and </w:t>
      </w:r>
      <w:proofErr w:type="spellStart"/>
      <w:r w:rsidRPr="008F7AF7">
        <w:rPr>
          <w:rFonts w:ascii="Arial" w:eastAsia="Calibri" w:hAnsi="Arial" w:cs="Arial"/>
          <w:i/>
        </w:rPr>
        <w:t>Dactyloctenium</w:t>
      </w:r>
      <w:proofErr w:type="spellEnd"/>
      <w:r w:rsidRPr="008F7AF7">
        <w:rPr>
          <w:rFonts w:ascii="Arial" w:eastAsia="Calibri" w:hAnsi="Arial" w:cs="Arial"/>
          <w:i/>
        </w:rPr>
        <w:t xml:space="preserve"> </w:t>
      </w:r>
      <w:proofErr w:type="spellStart"/>
      <w:r w:rsidRPr="008F7AF7">
        <w:rPr>
          <w:rFonts w:ascii="Arial" w:eastAsia="Calibri" w:hAnsi="Arial" w:cs="Arial"/>
          <w:i/>
        </w:rPr>
        <w:t>aegyptium</w:t>
      </w:r>
      <w:proofErr w:type="spellEnd"/>
      <w:r w:rsidRPr="008F7AF7">
        <w:rPr>
          <w:rFonts w:ascii="Arial" w:eastAsia="Calibri" w:hAnsi="Arial" w:cs="Arial"/>
          <w:iCs/>
        </w:rPr>
        <w:t xml:space="preserve"> L. at 14.399 each (Table 3). The dominance of these grasses suggests adaptation to the management practices at the research station. In contrast, at Site 2 (</w:t>
      </w:r>
      <w:proofErr w:type="spellStart"/>
      <w:r w:rsidRPr="008F7AF7">
        <w:rPr>
          <w:rFonts w:ascii="Arial" w:eastAsia="Calibri" w:hAnsi="Arial" w:cs="Arial"/>
          <w:iCs/>
        </w:rPr>
        <w:t>Brgy</w:t>
      </w:r>
      <w:proofErr w:type="spellEnd"/>
      <w:r w:rsidRPr="008F7AF7">
        <w:rPr>
          <w:rFonts w:ascii="Arial" w:eastAsia="Calibri" w:hAnsi="Arial" w:cs="Arial"/>
          <w:iCs/>
        </w:rPr>
        <w:t xml:space="preserve">. Cuevas), </w:t>
      </w:r>
      <w:proofErr w:type="spellStart"/>
      <w:r w:rsidRPr="008F7AF7">
        <w:rPr>
          <w:rFonts w:ascii="Arial" w:eastAsia="Calibri" w:hAnsi="Arial" w:cs="Arial"/>
          <w:i/>
        </w:rPr>
        <w:t>Imperata</w:t>
      </w:r>
      <w:proofErr w:type="spellEnd"/>
      <w:r w:rsidRPr="008F7AF7">
        <w:rPr>
          <w:rFonts w:ascii="Arial" w:eastAsia="Calibri" w:hAnsi="Arial" w:cs="Arial"/>
          <w:i/>
        </w:rPr>
        <w:t xml:space="preserve"> cylindrica</w:t>
      </w:r>
      <w:r w:rsidRPr="008F7AF7">
        <w:rPr>
          <w:rFonts w:ascii="Arial" w:eastAsia="Calibri" w:hAnsi="Arial" w:cs="Arial"/>
          <w:iCs/>
        </w:rPr>
        <w:t xml:space="preserve"> had the highest relative frequency (16.337), followed by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(14.134) and </w:t>
      </w:r>
      <w:r w:rsidRPr="008F7AF7">
        <w:rPr>
          <w:rFonts w:ascii="Arial" w:eastAsia="Calibri" w:hAnsi="Arial" w:cs="Arial"/>
          <w:i/>
        </w:rPr>
        <w:t>Eleusine indica</w:t>
      </w:r>
      <w:r w:rsidRPr="008F7AF7">
        <w:rPr>
          <w:rFonts w:ascii="Arial" w:eastAsia="Calibri" w:hAnsi="Arial" w:cs="Arial"/>
          <w:iCs/>
        </w:rPr>
        <w:t xml:space="preserve"> L. (13.895). Dendrogram analysis of weed communities under different fertilizer treatments at both sites showed no clear differentiation in community composition across treatments (Figures 5 &amp; 6). This indicates that site-specific conditions and existing seed banks influenced weed species composition more than nutrient management.</w:t>
      </w:r>
    </w:p>
    <w:p w14:paraId="637069A6" w14:textId="0663E155" w:rsidR="008F7AF7" w:rsidRDefault="008F7AF7" w:rsidP="008F7AF7">
      <w:pPr>
        <w:autoSpaceDE w:val="0"/>
        <w:autoSpaceDN w:val="0"/>
        <w:adjustRightInd w:val="0"/>
        <w:spacing w:before="240" w:after="240"/>
        <w:ind w:firstLine="461"/>
        <w:jc w:val="both"/>
        <w:rPr>
          <w:rFonts w:ascii="Arial" w:eastAsia="Calibri" w:hAnsi="Arial" w:cs="Arial"/>
          <w:iCs/>
        </w:rPr>
      </w:pPr>
      <w:r w:rsidRPr="008F7AF7">
        <w:rPr>
          <w:rFonts w:ascii="Arial" w:eastAsia="Calibri" w:hAnsi="Arial" w:cs="Arial"/>
          <w:iCs/>
        </w:rPr>
        <w:t xml:space="preserve">The predominance of </w:t>
      </w:r>
      <w:proofErr w:type="spellStart"/>
      <w:r w:rsidRPr="008F7AF7">
        <w:rPr>
          <w:rFonts w:ascii="Arial" w:eastAsia="Calibri" w:hAnsi="Arial" w:cs="Arial"/>
          <w:iCs/>
        </w:rPr>
        <w:t>Poaceae</w:t>
      </w:r>
      <w:proofErr w:type="spellEnd"/>
      <w:r w:rsidRPr="008F7AF7">
        <w:rPr>
          <w:rFonts w:ascii="Arial" w:eastAsia="Calibri" w:hAnsi="Arial" w:cs="Arial"/>
          <w:iCs/>
        </w:rPr>
        <w:t xml:space="preserve"> in the weed communities aligns with previous findings by Sagar et al. [33], who documented grass species from this family to be highly dominant in agricultural settings, particularly genera like </w:t>
      </w:r>
      <w:proofErr w:type="spellStart"/>
      <w:r w:rsidRPr="008F7AF7">
        <w:rPr>
          <w:rFonts w:ascii="Arial" w:eastAsia="Calibri" w:hAnsi="Arial" w:cs="Arial"/>
          <w:i/>
        </w:rPr>
        <w:t>Digitaria</w:t>
      </w:r>
      <w:proofErr w:type="spellEnd"/>
      <w:r w:rsidRPr="008F7AF7">
        <w:rPr>
          <w:rFonts w:ascii="Arial" w:eastAsia="Calibri" w:hAnsi="Arial" w:cs="Arial"/>
          <w:i/>
        </w:rPr>
        <w:t>, Panicum</w:t>
      </w:r>
      <w:r w:rsidRPr="008F7AF7">
        <w:rPr>
          <w:rFonts w:ascii="Arial" w:eastAsia="Calibri" w:hAnsi="Arial" w:cs="Arial"/>
          <w:iCs/>
        </w:rPr>
        <w:t xml:space="preserve">, and </w:t>
      </w:r>
      <w:proofErr w:type="spellStart"/>
      <w:r w:rsidRPr="008F7AF7">
        <w:rPr>
          <w:rFonts w:ascii="Arial" w:eastAsia="Calibri" w:hAnsi="Arial" w:cs="Arial"/>
          <w:iCs/>
        </w:rPr>
        <w:t>Echinochloa</w:t>
      </w:r>
      <w:proofErr w:type="spellEnd"/>
      <w:r w:rsidRPr="008F7AF7">
        <w:rPr>
          <w:rFonts w:ascii="Arial" w:eastAsia="Calibri" w:hAnsi="Arial" w:cs="Arial"/>
          <w:iCs/>
        </w:rPr>
        <w:t xml:space="preserve">. </w:t>
      </w:r>
      <w:r w:rsidR="000D1048" w:rsidRPr="0099635B">
        <w:rPr>
          <w:rFonts w:ascii="Arial" w:eastAsia="Calibri" w:hAnsi="Arial" w:cs="Arial"/>
          <w:iCs/>
          <w:highlight w:val="yellow"/>
        </w:rPr>
        <w:t>Schreiber</w:t>
      </w:r>
      <w:r w:rsidRPr="0099635B">
        <w:rPr>
          <w:rFonts w:ascii="Arial" w:eastAsia="Calibri" w:hAnsi="Arial" w:cs="Arial"/>
          <w:iCs/>
          <w:highlight w:val="yellow"/>
        </w:rPr>
        <w:t xml:space="preserve"> et al. [34]</w:t>
      </w:r>
      <w:r w:rsidRPr="008F7AF7">
        <w:rPr>
          <w:rFonts w:ascii="Arial" w:eastAsia="Calibri" w:hAnsi="Arial" w:cs="Arial"/>
          <w:iCs/>
        </w:rPr>
        <w:t xml:space="preserve"> similarly found that </w:t>
      </w:r>
      <w:proofErr w:type="spellStart"/>
      <w:r w:rsidRPr="008F7AF7">
        <w:rPr>
          <w:rFonts w:ascii="Arial" w:eastAsia="Calibri" w:hAnsi="Arial" w:cs="Arial"/>
          <w:iCs/>
        </w:rPr>
        <w:t>Poaceae</w:t>
      </w:r>
      <w:proofErr w:type="spellEnd"/>
      <w:r w:rsidRPr="008F7AF7">
        <w:rPr>
          <w:rFonts w:ascii="Arial" w:eastAsia="Calibri" w:hAnsi="Arial" w:cs="Arial"/>
          <w:iCs/>
        </w:rPr>
        <w:t xml:space="preserve"> consistently presented the largest number of species across diverse agricultural management systems.</w:t>
      </w:r>
    </w:p>
    <w:p w14:paraId="26E15C8D" w14:textId="77777777" w:rsidR="00895E4C" w:rsidRPr="00895E4C" w:rsidRDefault="00895E4C" w:rsidP="00895E4C">
      <w:pPr>
        <w:autoSpaceDE w:val="0"/>
        <w:autoSpaceDN w:val="0"/>
        <w:adjustRightInd w:val="0"/>
        <w:ind w:left="720" w:hanging="720"/>
        <w:jc w:val="both"/>
        <w:rPr>
          <w:rFonts w:ascii="Arial" w:eastAsia="Calibri" w:hAnsi="Arial" w:cs="Arial"/>
          <w:b/>
          <w:bCs/>
          <w:iCs/>
        </w:rPr>
      </w:pPr>
      <w:r w:rsidRPr="00895E4C">
        <w:rPr>
          <w:rFonts w:ascii="Arial" w:eastAsia="Calibri" w:hAnsi="Arial" w:cs="Arial"/>
          <w:b/>
          <w:bCs/>
          <w:iCs/>
        </w:rPr>
        <w:t>Table 2. Growth form and family classification of weed species identified in cassava production systems at Trento, Agusan del Sur, Philippines</w:t>
      </w:r>
    </w:p>
    <w:tbl>
      <w:tblPr>
        <w:tblStyle w:val="TableGrid1"/>
        <w:tblW w:w="5000" w:type="pct"/>
        <w:tblLook w:val="04A0" w:firstRow="1" w:lastRow="0" w:firstColumn="1" w:lastColumn="0" w:noHBand="0" w:noVBand="1"/>
      </w:tblPr>
      <w:tblGrid>
        <w:gridCol w:w="3539"/>
        <w:gridCol w:w="2610"/>
        <w:gridCol w:w="2059"/>
      </w:tblGrid>
      <w:tr w:rsidR="00895E4C" w:rsidRPr="00895E4C" w14:paraId="33043A0C" w14:textId="77777777" w:rsidTr="004F61E2">
        <w:trPr>
          <w:trHeight w:val="352"/>
        </w:trPr>
        <w:tc>
          <w:tcPr>
            <w:tcW w:w="2156" w:type="pct"/>
            <w:tcBorders>
              <w:left w:val="nil"/>
              <w:bottom w:val="double" w:sz="4" w:space="0" w:color="auto"/>
              <w:right w:val="nil"/>
            </w:tcBorders>
            <w:vAlign w:val="bottom"/>
          </w:tcPr>
          <w:p w14:paraId="2EA86544" w14:textId="77777777" w:rsidR="00895E4C" w:rsidRPr="00895E4C" w:rsidRDefault="00895E4C" w:rsidP="00895E4C">
            <w:pPr>
              <w:tabs>
                <w:tab w:val="left" w:pos="1980"/>
              </w:tabs>
              <w:spacing w:line="276" w:lineRule="auto"/>
              <w:jc w:val="both"/>
              <w:rPr>
                <w:rFonts w:ascii="Arial" w:hAnsi="Arial" w:cs="Arial"/>
              </w:rPr>
            </w:pPr>
            <w:r w:rsidRPr="00895E4C">
              <w:rPr>
                <w:rFonts w:ascii="Arial" w:hAnsi="Arial" w:cs="Arial"/>
              </w:rPr>
              <w:t>Weed Species</w:t>
            </w:r>
          </w:p>
        </w:tc>
        <w:tc>
          <w:tcPr>
            <w:tcW w:w="1590" w:type="pct"/>
            <w:tcBorders>
              <w:left w:val="nil"/>
              <w:bottom w:val="double" w:sz="4" w:space="0" w:color="auto"/>
              <w:right w:val="nil"/>
            </w:tcBorders>
            <w:vAlign w:val="bottom"/>
          </w:tcPr>
          <w:p w14:paraId="0D41A597"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Growth Form</w:t>
            </w:r>
          </w:p>
        </w:tc>
        <w:tc>
          <w:tcPr>
            <w:tcW w:w="1254" w:type="pct"/>
            <w:tcBorders>
              <w:left w:val="nil"/>
              <w:bottom w:val="double" w:sz="4" w:space="0" w:color="auto"/>
              <w:right w:val="nil"/>
            </w:tcBorders>
            <w:vAlign w:val="bottom"/>
          </w:tcPr>
          <w:p w14:paraId="2A7A5B1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Family Name</w:t>
            </w:r>
          </w:p>
        </w:tc>
      </w:tr>
      <w:tr w:rsidR="00895E4C" w:rsidRPr="00895E4C" w14:paraId="34165B91" w14:textId="77777777" w:rsidTr="004F61E2">
        <w:tc>
          <w:tcPr>
            <w:tcW w:w="2156" w:type="pct"/>
            <w:tcBorders>
              <w:top w:val="double" w:sz="4" w:space="0" w:color="auto"/>
              <w:left w:val="nil"/>
              <w:bottom w:val="nil"/>
              <w:right w:val="nil"/>
            </w:tcBorders>
            <w:vAlign w:val="center"/>
          </w:tcPr>
          <w:p w14:paraId="4433B1E8"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Ageratum </w:t>
            </w:r>
            <w:proofErr w:type="spellStart"/>
            <w:r w:rsidRPr="00895E4C">
              <w:rPr>
                <w:rFonts w:ascii="Arial" w:hAnsi="Arial" w:cs="Arial"/>
                <w:i/>
              </w:rPr>
              <w:t>conyzoides</w:t>
            </w:r>
            <w:proofErr w:type="spellEnd"/>
            <w:r w:rsidRPr="00895E4C">
              <w:rPr>
                <w:rFonts w:ascii="Arial" w:hAnsi="Arial" w:cs="Arial"/>
                <w:i/>
              </w:rPr>
              <w:t xml:space="preserve"> </w:t>
            </w:r>
            <w:r w:rsidRPr="00895E4C">
              <w:rPr>
                <w:rFonts w:ascii="Arial" w:hAnsi="Arial" w:cs="Arial"/>
              </w:rPr>
              <w:t>L</w:t>
            </w:r>
            <w:r w:rsidRPr="00895E4C">
              <w:rPr>
                <w:rFonts w:ascii="Arial" w:hAnsi="Arial" w:cs="Arial"/>
                <w:i/>
              </w:rPr>
              <w:t>.</w:t>
            </w:r>
          </w:p>
        </w:tc>
        <w:tc>
          <w:tcPr>
            <w:tcW w:w="1590" w:type="pct"/>
            <w:tcBorders>
              <w:top w:val="double" w:sz="4" w:space="0" w:color="auto"/>
              <w:left w:val="nil"/>
              <w:bottom w:val="nil"/>
              <w:right w:val="nil"/>
            </w:tcBorders>
            <w:vAlign w:val="center"/>
          </w:tcPr>
          <w:p w14:paraId="0E3CD911"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Forb</w:t>
            </w:r>
          </w:p>
        </w:tc>
        <w:tc>
          <w:tcPr>
            <w:tcW w:w="1254" w:type="pct"/>
            <w:tcBorders>
              <w:top w:val="double" w:sz="4" w:space="0" w:color="auto"/>
              <w:left w:val="nil"/>
              <w:bottom w:val="nil"/>
              <w:right w:val="nil"/>
            </w:tcBorders>
            <w:vAlign w:val="center"/>
          </w:tcPr>
          <w:p w14:paraId="4F60151A"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Asteraceae</w:t>
            </w:r>
          </w:p>
        </w:tc>
      </w:tr>
      <w:tr w:rsidR="00895E4C" w:rsidRPr="00895E4C" w14:paraId="0B61490D" w14:textId="77777777" w:rsidTr="004F61E2">
        <w:tc>
          <w:tcPr>
            <w:tcW w:w="2156" w:type="pct"/>
            <w:tcBorders>
              <w:top w:val="nil"/>
              <w:left w:val="nil"/>
              <w:bottom w:val="nil"/>
              <w:right w:val="nil"/>
            </w:tcBorders>
            <w:vAlign w:val="center"/>
          </w:tcPr>
          <w:p w14:paraId="58C38A56"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Mimosa pudica </w:t>
            </w:r>
            <w:r w:rsidRPr="00895E4C">
              <w:rPr>
                <w:rFonts w:ascii="Arial" w:hAnsi="Arial" w:cs="Arial"/>
              </w:rPr>
              <w:t>L.</w:t>
            </w:r>
          </w:p>
        </w:tc>
        <w:tc>
          <w:tcPr>
            <w:tcW w:w="1590" w:type="pct"/>
            <w:tcBorders>
              <w:top w:val="nil"/>
              <w:left w:val="nil"/>
              <w:bottom w:val="nil"/>
              <w:right w:val="nil"/>
            </w:tcBorders>
            <w:vAlign w:val="center"/>
          </w:tcPr>
          <w:p w14:paraId="609EFC1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Forb</w:t>
            </w:r>
          </w:p>
        </w:tc>
        <w:tc>
          <w:tcPr>
            <w:tcW w:w="1254" w:type="pct"/>
            <w:tcBorders>
              <w:top w:val="nil"/>
              <w:left w:val="nil"/>
              <w:bottom w:val="nil"/>
              <w:right w:val="nil"/>
            </w:tcBorders>
            <w:vAlign w:val="center"/>
          </w:tcPr>
          <w:p w14:paraId="4E39684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Fabaceae</w:t>
            </w:r>
          </w:p>
        </w:tc>
      </w:tr>
      <w:tr w:rsidR="00895E4C" w:rsidRPr="00895E4C" w14:paraId="62DF5D12" w14:textId="77777777" w:rsidTr="004F61E2">
        <w:tc>
          <w:tcPr>
            <w:tcW w:w="2156" w:type="pct"/>
            <w:tcBorders>
              <w:top w:val="nil"/>
              <w:left w:val="nil"/>
              <w:bottom w:val="nil"/>
              <w:right w:val="nil"/>
            </w:tcBorders>
            <w:vAlign w:val="center"/>
          </w:tcPr>
          <w:p w14:paraId="2E3C3D7B"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t>Cynodon</w:t>
            </w:r>
            <w:proofErr w:type="spellEnd"/>
            <w:r w:rsidRPr="00895E4C">
              <w:rPr>
                <w:rFonts w:ascii="Arial" w:hAnsi="Arial" w:cs="Arial"/>
                <w:i/>
              </w:rPr>
              <w:t xml:space="preserve"> </w:t>
            </w:r>
            <w:proofErr w:type="spellStart"/>
            <w:r w:rsidRPr="00895E4C">
              <w:rPr>
                <w:rFonts w:ascii="Arial" w:hAnsi="Arial" w:cs="Arial"/>
                <w:i/>
              </w:rPr>
              <w:t>dactylon</w:t>
            </w:r>
            <w:proofErr w:type="spellEnd"/>
            <w:r w:rsidRPr="00895E4C">
              <w:rPr>
                <w:rFonts w:ascii="Arial" w:hAnsi="Arial" w:cs="Arial"/>
                <w:i/>
              </w:rPr>
              <w:t xml:space="preserve"> </w:t>
            </w:r>
            <w:r w:rsidRPr="00895E4C">
              <w:rPr>
                <w:rFonts w:ascii="Arial" w:hAnsi="Arial" w:cs="Arial"/>
              </w:rPr>
              <w:t>L.</w:t>
            </w:r>
          </w:p>
        </w:tc>
        <w:tc>
          <w:tcPr>
            <w:tcW w:w="1590" w:type="pct"/>
            <w:tcBorders>
              <w:top w:val="nil"/>
              <w:left w:val="nil"/>
              <w:bottom w:val="nil"/>
              <w:right w:val="nil"/>
            </w:tcBorders>
            <w:vAlign w:val="center"/>
          </w:tcPr>
          <w:p w14:paraId="580F75A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64210C3D"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05A546D5" w14:textId="77777777" w:rsidTr="004F61E2">
        <w:tc>
          <w:tcPr>
            <w:tcW w:w="2156" w:type="pct"/>
            <w:tcBorders>
              <w:top w:val="nil"/>
              <w:left w:val="nil"/>
              <w:bottom w:val="nil"/>
              <w:right w:val="nil"/>
            </w:tcBorders>
            <w:vAlign w:val="center"/>
          </w:tcPr>
          <w:p w14:paraId="2E025E5F"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Eleusine indica </w:t>
            </w:r>
            <w:r w:rsidRPr="00895E4C">
              <w:rPr>
                <w:rFonts w:ascii="Arial" w:hAnsi="Arial" w:cs="Arial"/>
              </w:rPr>
              <w:t>L.</w:t>
            </w:r>
          </w:p>
        </w:tc>
        <w:tc>
          <w:tcPr>
            <w:tcW w:w="1590" w:type="pct"/>
            <w:tcBorders>
              <w:top w:val="nil"/>
              <w:left w:val="nil"/>
              <w:bottom w:val="nil"/>
              <w:right w:val="nil"/>
            </w:tcBorders>
            <w:vAlign w:val="center"/>
          </w:tcPr>
          <w:p w14:paraId="2BEB2C6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Grass</w:t>
            </w:r>
          </w:p>
        </w:tc>
        <w:tc>
          <w:tcPr>
            <w:tcW w:w="1254" w:type="pct"/>
            <w:tcBorders>
              <w:top w:val="nil"/>
              <w:left w:val="nil"/>
              <w:bottom w:val="nil"/>
              <w:right w:val="nil"/>
            </w:tcBorders>
            <w:vAlign w:val="center"/>
          </w:tcPr>
          <w:p w14:paraId="7812D5E9"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41532C23" w14:textId="77777777" w:rsidTr="004F61E2">
        <w:tc>
          <w:tcPr>
            <w:tcW w:w="2156" w:type="pct"/>
            <w:tcBorders>
              <w:top w:val="nil"/>
              <w:left w:val="nil"/>
              <w:bottom w:val="nil"/>
              <w:right w:val="nil"/>
            </w:tcBorders>
            <w:vAlign w:val="center"/>
          </w:tcPr>
          <w:p w14:paraId="309AFE2C"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Panicum maximum</w:t>
            </w:r>
          </w:p>
        </w:tc>
        <w:tc>
          <w:tcPr>
            <w:tcW w:w="1590" w:type="pct"/>
            <w:tcBorders>
              <w:top w:val="nil"/>
              <w:left w:val="nil"/>
              <w:bottom w:val="nil"/>
              <w:right w:val="nil"/>
            </w:tcBorders>
            <w:vAlign w:val="center"/>
          </w:tcPr>
          <w:p w14:paraId="4515989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688B4140"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381F6B71" w14:textId="77777777" w:rsidTr="004F61E2">
        <w:tc>
          <w:tcPr>
            <w:tcW w:w="2156" w:type="pct"/>
            <w:tcBorders>
              <w:top w:val="nil"/>
              <w:left w:val="nil"/>
              <w:bottom w:val="nil"/>
              <w:right w:val="nil"/>
            </w:tcBorders>
            <w:vAlign w:val="center"/>
          </w:tcPr>
          <w:p w14:paraId="2ED1062B"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lastRenderedPageBreak/>
              <w:t>Imperata</w:t>
            </w:r>
            <w:proofErr w:type="spellEnd"/>
            <w:r w:rsidRPr="00895E4C">
              <w:rPr>
                <w:rFonts w:ascii="Arial" w:hAnsi="Arial" w:cs="Arial"/>
                <w:i/>
              </w:rPr>
              <w:t xml:space="preserve"> cylindrica</w:t>
            </w:r>
          </w:p>
        </w:tc>
        <w:tc>
          <w:tcPr>
            <w:tcW w:w="1590" w:type="pct"/>
            <w:tcBorders>
              <w:top w:val="nil"/>
              <w:left w:val="nil"/>
              <w:bottom w:val="nil"/>
              <w:right w:val="nil"/>
            </w:tcBorders>
            <w:vAlign w:val="center"/>
          </w:tcPr>
          <w:p w14:paraId="23E67617"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5B4D1B5B"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6FACFDE4" w14:textId="77777777" w:rsidTr="004F61E2">
        <w:tc>
          <w:tcPr>
            <w:tcW w:w="2156" w:type="pct"/>
            <w:tcBorders>
              <w:top w:val="nil"/>
              <w:left w:val="nil"/>
              <w:bottom w:val="nil"/>
              <w:right w:val="nil"/>
            </w:tcBorders>
            <w:vAlign w:val="center"/>
          </w:tcPr>
          <w:p w14:paraId="2869B1C8"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Cyperus </w:t>
            </w:r>
            <w:proofErr w:type="spellStart"/>
            <w:r w:rsidRPr="00895E4C">
              <w:rPr>
                <w:rFonts w:ascii="Arial" w:hAnsi="Arial" w:cs="Arial"/>
                <w:i/>
              </w:rPr>
              <w:t>rotundus</w:t>
            </w:r>
            <w:proofErr w:type="spellEnd"/>
          </w:p>
        </w:tc>
        <w:tc>
          <w:tcPr>
            <w:tcW w:w="1590" w:type="pct"/>
            <w:tcBorders>
              <w:top w:val="nil"/>
              <w:left w:val="nil"/>
              <w:bottom w:val="nil"/>
              <w:right w:val="nil"/>
            </w:tcBorders>
            <w:vAlign w:val="center"/>
          </w:tcPr>
          <w:p w14:paraId="79D6166D"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Sedge</w:t>
            </w:r>
          </w:p>
        </w:tc>
        <w:tc>
          <w:tcPr>
            <w:tcW w:w="1254" w:type="pct"/>
            <w:tcBorders>
              <w:top w:val="nil"/>
              <w:left w:val="nil"/>
              <w:bottom w:val="nil"/>
              <w:right w:val="nil"/>
            </w:tcBorders>
            <w:vAlign w:val="center"/>
          </w:tcPr>
          <w:p w14:paraId="25274C75"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Cyperaceae</w:t>
            </w:r>
          </w:p>
        </w:tc>
      </w:tr>
      <w:tr w:rsidR="00895E4C" w:rsidRPr="00895E4C" w14:paraId="76205053" w14:textId="77777777" w:rsidTr="004F61E2">
        <w:tc>
          <w:tcPr>
            <w:tcW w:w="2156" w:type="pct"/>
            <w:tcBorders>
              <w:top w:val="nil"/>
              <w:left w:val="nil"/>
              <w:bottom w:val="double" w:sz="4" w:space="0" w:color="auto"/>
              <w:right w:val="nil"/>
            </w:tcBorders>
            <w:vAlign w:val="center"/>
          </w:tcPr>
          <w:p w14:paraId="5A95086A"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t>Dactyloctenium</w:t>
            </w:r>
            <w:proofErr w:type="spellEnd"/>
            <w:r w:rsidRPr="00895E4C">
              <w:rPr>
                <w:rFonts w:ascii="Arial" w:hAnsi="Arial" w:cs="Arial"/>
                <w:i/>
              </w:rPr>
              <w:t xml:space="preserve"> </w:t>
            </w:r>
            <w:proofErr w:type="spellStart"/>
            <w:r w:rsidRPr="00895E4C">
              <w:rPr>
                <w:rFonts w:ascii="Arial" w:hAnsi="Arial" w:cs="Arial"/>
                <w:i/>
              </w:rPr>
              <w:t>aegyptium</w:t>
            </w:r>
            <w:proofErr w:type="spellEnd"/>
            <w:r w:rsidRPr="00895E4C">
              <w:rPr>
                <w:rFonts w:ascii="Arial" w:hAnsi="Arial" w:cs="Arial"/>
                <w:i/>
              </w:rPr>
              <w:t xml:space="preserve"> </w:t>
            </w:r>
            <w:r w:rsidRPr="00895E4C">
              <w:rPr>
                <w:rFonts w:ascii="Arial" w:hAnsi="Arial" w:cs="Arial"/>
              </w:rPr>
              <w:t>L.</w:t>
            </w:r>
          </w:p>
        </w:tc>
        <w:tc>
          <w:tcPr>
            <w:tcW w:w="1590" w:type="pct"/>
            <w:tcBorders>
              <w:top w:val="nil"/>
              <w:left w:val="nil"/>
              <w:bottom w:val="double" w:sz="4" w:space="0" w:color="auto"/>
              <w:right w:val="nil"/>
            </w:tcBorders>
            <w:vAlign w:val="center"/>
          </w:tcPr>
          <w:p w14:paraId="2270BCA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Grass</w:t>
            </w:r>
          </w:p>
        </w:tc>
        <w:tc>
          <w:tcPr>
            <w:tcW w:w="1254" w:type="pct"/>
            <w:tcBorders>
              <w:top w:val="nil"/>
              <w:left w:val="nil"/>
              <w:bottom w:val="double" w:sz="4" w:space="0" w:color="auto"/>
              <w:right w:val="nil"/>
            </w:tcBorders>
            <w:vAlign w:val="center"/>
          </w:tcPr>
          <w:p w14:paraId="5A01121A"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bl>
    <w:p w14:paraId="50B67B09" w14:textId="77777777" w:rsidR="00895E4C" w:rsidRPr="00895E4C" w:rsidRDefault="00895E4C" w:rsidP="00895E4C">
      <w:pPr>
        <w:autoSpaceDE w:val="0"/>
        <w:autoSpaceDN w:val="0"/>
        <w:adjustRightInd w:val="0"/>
        <w:ind w:left="720" w:hanging="720"/>
        <w:jc w:val="both"/>
        <w:rPr>
          <w:rFonts w:ascii="Times New Roman" w:eastAsia="Calibri" w:hAnsi="Times New Roman"/>
          <w:iCs/>
          <w:sz w:val="22"/>
          <w:szCs w:val="22"/>
        </w:rPr>
      </w:pPr>
    </w:p>
    <w:p w14:paraId="039ADDEB" w14:textId="77777777" w:rsidR="00895E4C" w:rsidRPr="00895E4C" w:rsidRDefault="00895E4C" w:rsidP="00895E4C">
      <w:pPr>
        <w:autoSpaceDE w:val="0"/>
        <w:autoSpaceDN w:val="0"/>
        <w:adjustRightInd w:val="0"/>
        <w:ind w:left="720" w:hanging="720"/>
        <w:jc w:val="both"/>
        <w:rPr>
          <w:rFonts w:ascii="Times New Roman" w:eastAsia="Calibri" w:hAnsi="Times New Roman"/>
          <w:iCs/>
          <w:sz w:val="22"/>
          <w:szCs w:val="22"/>
        </w:rPr>
      </w:pPr>
    </w:p>
    <w:p w14:paraId="67402515" w14:textId="77777777" w:rsidR="00895E4C" w:rsidRPr="00895E4C" w:rsidRDefault="00895E4C" w:rsidP="00895E4C">
      <w:pPr>
        <w:autoSpaceDE w:val="0"/>
        <w:autoSpaceDN w:val="0"/>
        <w:adjustRightInd w:val="0"/>
        <w:ind w:left="720" w:hanging="720"/>
        <w:jc w:val="both"/>
        <w:rPr>
          <w:rFonts w:ascii="Arial" w:eastAsia="Calibri" w:hAnsi="Arial" w:cs="Arial"/>
          <w:b/>
          <w:bCs/>
          <w:iCs/>
        </w:rPr>
      </w:pPr>
      <w:r w:rsidRPr="00895E4C">
        <w:rPr>
          <w:rFonts w:ascii="Arial" w:eastAsia="Calibri" w:hAnsi="Arial" w:cs="Arial"/>
          <w:b/>
          <w:bCs/>
          <w:iCs/>
        </w:rPr>
        <w:t>Table 3. Frequency distribution and relative frequency of weed species in cassava production systems at research station and farmer's field sites in Trento, Agusan del Sur, Philippines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161"/>
        <w:gridCol w:w="1940"/>
        <w:gridCol w:w="1161"/>
        <w:gridCol w:w="1161"/>
      </w:tblGrid>
      <w:tr w:rsidR="00895E4C" w:rsidRPr="00895E4C" w14:paraId="6675362A" w14:textId="77777777" w:rsidTr="0087227D">
        <w:trPr>
          <w:trHeight w:val="107"/>
        </w:trPr>
        <w:tc>
          <w:tcPr>
            <w:tcW w:w="1697" w:type="pct"/>
            <w:vMerge w:val="restart"/>
            <w:tcBorders>
              <w:top w:val="single" w:sz="4" w:space="0" w:color="auto"/>
              <w:left w:val="nil"/>
              <w:right w:val="nil"/>
            </w:tcBorders>
            <w:shd w:val="clear" w:color="auto" w:fill="auto"/>
            <w:noWrap/>
            <w:vAlign w:val="center"/>
          </w:tcPr>
          <w:p w14:paraId="22DB96FC" w14:textId="77777777" w:rsidR="00895E4C" w:rsidRPr="00895E4C" w:rsidRDefault="00895E4C" w:rsidP="00895E4C">
            <w:pPr>
              <w:spacing w:line="276" w:lineRule="auto"/>
              <w:jc w:val="both"/>
              <w:rPr>
                <w:rFonts w:ascii="Arial" w:hAnsi="Arial" w:cs="Arial"/>
                <w:lang w:eastAsia="en-PH"/>
              </w:rPr>
            </w:pPr>
            <w:r w:rsidRPr="00895E4C">
              <w:rPr>
                <w:rFonts w:ascii="Arial" w:hAnsi="Arial" w:cs="Arial"/>
                <w:lang w:eastAsia="en-PH"/>
              </w:rPr>
              <w:t>Species</w:t>
            </w:r>
          </w:p>
        </w:tc>
        <w:tc>
          <w:tcPr>
            <w:tcW w:w="1889" w:type="pct"/>
            <w:gridSpan w:val="2"/>
            <w:tcBorders>
              <w:top w:val="single" w:sz="4" w:space="0" w:color="auto"/>
              <w:left w:val="nil"/>
              <w:bottom w:val="nil"/>
              <w:right w:val="nil"/>
            </w:tcBorders>
            <w:shd w:val="clear" w:color="auto" w:fill="auto"/>
            <w:noWrap/>
            <w:vAlign w:val="center"/>
          </w:tcPr>
          <w:p w14:paraId="5D3BFACA"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Site 1 (Research Station)</w:t>
            </w:r>
          </w:p>
        </w:tc>
        <w:tc>
          <w:tcPr>
            <w:tcW w:w="1414" w:type="pct"/>
            <w:gridSpan w:val="2"/>
            <w:tcBorders>
              <w:top w:val="single" w:sz="4" w:space="0" w:color="auto"/>
              <w:left w:val="nil"/>
              <w:bottom w:val="nil"/>
              <w:right w:val="nil"/>
            </w:tcBorders>
            <w:vAlign w:val="center"/>
          </w:tcPr>
          <w:p w14:paraId="61110EE4"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Site 2 (</w:t>
            </w:r>
            <w:proofErr w:type="spellStart"/>
            <w:r w:rsidRPr="00895E4C">
              <w:rPr>
                <w:rFonts w:ascii="Arial" w:eastAsia="Calibri" w:hAnsi="Arial" w:cs="Arial"/>
              </w:rPr>
              <w:t>Brgy</w:t>
            </w:r>
            <w:proofErr w:type="spellEnd"/>
            <w:r w:rsidRPr="00895E4C">
              <w:rPr>
                <w:rFonts w:ascii="Arial" w:eastAsia="Calibri" w:hAnsi="Arial" w:cs="Arial"/>
              </w:rPr>
              <w:t>. Cuevas)</w:t>
            </w:r>
          </w:p>
        </w:tc>
      </w:tr>
      <w:tr w:rsidR="00895E4C" w:rsidRPr="00895E4C" w14:paraId="64840BA1" w14:textId="77777777" w:rsidTr="0087227D">
        <w:trPr>
          <w:trHeight w:val="357"/>
        </w:trPr>
        <w:tc>
          <w:tcPr>
            <w:tcW w:w="1697" w:type="pct"/>
            <w:vMerge/>
            <w:tcBorders>
              <w:left w:val="nil"/>
              <w:bottom w:val="double" w:sz="4" w:space="0" w:color="auto"/>
              <w:right w:val="nil"/>
            </w:tcBorders>
            <w:shd w:val="clear" w:color="auto" w:fill="auto"/>
            <w:noWrap/>
            <w:vAlign w:val="bottom"/>
            <w:hideMark/>
          </w:tcPr>
          <w:p w14:paraId="39ABD455" w14:textId="77777777" w:rsidR="00895E4C" w:rsidRPr="00895E4C" w:rsidRDefault="00895E4C" w:rsidP="00895E4C">
            <w:pPr>
              <w:spacing w:line="276" w:lineRule="auto"/>
              <w:jc w:val="center"/>
              <w:rPr>
                <w:rFonts w:ascii="Arial" w:hAnsi="Arial" w:cs="Arial"/>
                <w:lang w:eastAsia="en-PH"/>
              </w:rPr>
            </w:pPr>
          </w:p>
        </w:tc>
        <w:tc>
          <w:tcPr>
            <w:tcW w:w="707" w:type="pct"/>
            <w:tcBorders>
              <w:top w:val="nil"/>
              <w:left w:val="nil"/>
              <w:bottom w:val="double" w:sz="4" w:space="0" w:color="auto"/>
              <w:right w:val="nil"/>
            </w:tcBorders>
            <w:shd w:val="clear" w:color="auto" w:fill="auto"/>
            <w:noWrap/>
            <w:vAlign w:val="center"/>
            <w:hideMark/>
          </w:tcPr>
          <w:p w14:paraId="0FFD8A03"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Frequency</w:t>
            </w:r>
          </w:p>
        </w:tc>
        <w:tc>
          <w:tcPr>
            <w:tcW w:w="1182" w:type="pct"/>
            <w:tcBorders>
              <w:top w:val="nil"/>
              <w:left w:val="nil"/>
              <w:bottom w:val="double" w:sz="4" w:space="0" w:color="auto"/>
              <w:right w:val="nil"/>
            </w:tcBorders>
            <w:shd w:val="clear" w:color="auto" w:fill="auto"/>
            <w:noWrap/>
            <w:vAlign w:val="center"/>
            <w:hideMark/>
          </w:tcPr>
          <w:p w14:paraId="0CA4535C"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Relative Frequency</w:t>
            </w:r>
          </w:p>
        </w:tc>
        <w:tc>
          <w:tcPr>
            <w:tcW w:w="707" w:type="pct"/>
            <w:tcBorders>
              <w:top w:val="nil"/>
              <w:left w:val="nil"/>
              <w:bottom w:val="double" w:sz="4" w:space="0" w:color="auto"/>
              <w:right w:val="nil"/>
            </w:tcBorders>
            <w:vAlign w:val="center"/>
          </w:tcPr>
          <w:p w14:paraId="171EA1BA"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Frequency</w:t>
            </w:r>
          </w:p>
        </w:tc>
        <w:tc>
          <w:tcPr>
            <w:tcW w:w="707" w:type="pct"/>
            <w:tcBorders>
              <w:top w:val="nil"/>
              <w:left w:val="nil"/>
              <w:bottom w:val="double" w:sz="4" w:space="0" w:color="auto"/>
              <w:right w:val="nil"/>
            </w:tcBorders>
            <w:vAlign w:val="center"/>
          </w:tcPr>
          <w:p w14:paraId="0D2F23F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Relative Frequency</w:t>
            </w:r>
          </w:p>
        </w:tc>
      </w:tr>
      <w:tr w:rsidR="00895E4C" w:rsidRPr="00895E4C" w14:paraId="6509DFEF" w14:textId="77777777" w:rsidTr="0087227D">
        <w:trPr>
          <w:trHeight w:val="300"/>
        </w:trPr>
        <w:tc>
          <w:tcPr>
            <w:tcW w:w="1697" w:type="pct"/>
            <w:tcBorders>
              <w:top w:val="double" w:sz="4" w:space="0" w:color="auto"/>
              <w:left w:val="nil"/>
              <w:bottom w:val="nil"/>
              <w:right w:val="nil"/>
            </w:tcBorders>
            <w:shd w:val="clear" w:color="auto" w:fill="auto"/>
            <w:noWrap/>
            <w:vAlign w:val="center"/>
            <w:hideMark/>
          </w:tcPr>
          <w:p w14:paraId="38BF0936" w14:textId="77777777" w:rsidR="00895E4C" w:rsidRPr="00895E4C" w:rsidRDefault="00895E4C" w:rsidP="00895E4C">
            <w:pPr>
              <w:spacing w:line="276" w:lineRule="auto"/>
              <w:jc w:val="both"/>
              <w:rPr>
                <w:rFonts w:ascii="Arial" w:hAnsi="Arial" w:cs="Arial"/>
                <w:lang w:eastAsia="en-PH"/>
              </w:rPr>
            </w:pPr>
            <w:r w:rsidRPr="00895E4C">
              <w:rPr>
                <w:rFonts w:ascii="Arial" w:hAnsi="Arial" w:cs="Arial"/>
                <w:i/>
                <w:lang w:eastAsia="en-PH"/>
              </w:rPr>
              <w:t xml:space="preserve">Ageratum </w:t>
            </w:r>
            <w:proofErr w:type="spellStart"/>
            <w:r w:rsidRPr="00895E4C">
              <w:rPr>
                <w:rFonts w:ascii="Arial" w:hAnsi="Arial" w:cs="Arial"/>
                <w:i/>
                <w:lang w:eastAsia="en-PH"/>
              </w:rPr>
              <w:t>conyzoides</w:t>
            </w:r>
            <w:proofErr w:type="spellEnd"/>
            <w:r w:rsidRPr="00895E4C">
              <w:rPr>
                <w:rFonts w:ascii="Arial" w:hAnsi="Arial" w:cs="Arial"/>
                <w:lang w:eastAsia="en-PH"/>
              </w:rPr>
              <w:t xml:space="preserve"> L.</w:t>
            </w:r>
          </w:p>
        </w:tc>
        <w:tc>
          <w:tcPr>
            <w:tcW w:w="707" w:type="pct"/>
            <w:tcBorders>
              <w:top w:val="double" w:sz="4" w:space="0" w:color="auto"/>
              <w:left w:val="nil"/>
              <w:bottom w:val="nil"/>
              <w:right w:val="nil"/>
            </w:tcBorders>
            <w:shd w:val="clear" w:color="auto" w:fill="auto"/>
            <w:noWrap/>
            <w:vAlign w:val="center"/>
            <w:hideMark/>
          </w:tcPr>
          <w:p w14:paraId="13D141C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96</w:t>
            </w:r>
          </w:p>
        </w:tc>
        <w:tc>
          <w:tcPr>
            <w:tcW w:w="1182" w:type="pct"/>
            <w:tcBorders>
              <w:top w:val="double" w:sz="4" w:space="0" w:color="auto"/>
              <w:left w:val="nil"/>
              <w:bottom w:val="nil"/>
              <w:right w:val="nil"/>
            </w:tcBorders>
            <w:shd w:val="clear" w:color="auto" w:fill="auto"/>
            <w:noWrap/>
            <w:vAlign w:val="center"/>
            <w:hideMark/>
          </w:tcPr>
          <w:p w14:paraId="5DD504A5"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9.533</w:t>
            </w:r>
          </w:p>
        </w:tc>
        <w:tc>
          <w:tcPr>
            <w:tcW w:w="707" w:type="pct"/>
            <w:tcBorders>
              <w:top w:val="double" w:sz="4" w:space="0" w:color="auto"/>
              <w:left w:val="nil"/>
              <w:bottom w:val="nil"/>
              <w:right w:val="nil"/>
            </w:tcBorders>
            <w:vAlign w:val="center"/>
          </w:tcPr>
          <w:p w14:paraId="5020253A"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141</w:t>
            </w:r>
          </w:p>
        </w:tc>
        <w:tc>
          <w:tcPr>
            <w:tcW w:w="707" w:type="pct"/>
            <w:tcBorders>
              <w:top w:val="double" w:sz="4" w:space="0" w:color="auto"/>
              <w:left w:val="nil"/>
              <w:bottom w:val="nil"/>
              <w:right w:val="nil"/>
            </w:tcBorders>
            <w:vAlign w:val="center"/>
          </w:tcPr>
          <w:p w14:paraId="7C410280"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13.437</w:t>
            </w:r>
          </w:p>
        </w:tc>
      </w:tr>
      <w:tr w:rsidR="00895E4C" w:rsidRPr="00895E4C" w14:paraId="3CB1B591" w14:textId="77777777" w:rsidTr="0087227D">
        <w:trPr>
          <w:trHeight w:val="300"/>
        </w:trPr>
        <w:tc>
          <w:tcPr>
            <w:tcW w:w="1697" w:type="pct"/>
            <w:tcBorders>
              <w:top w:val="nil"/>
              <w:left w:val="nil"/>
              <w:bottom w:val="nil"/>
              <w:right w:val="nil"/>
            </w:tcBorders>
            <w:shd w:val="clear" w:color="auto" w:fill="auto"/>
            <w:noWrap/>
            <w:vAlign w:val="center"/>
            <w:hideMark/>
          </w:tcPr>
          <w:p w14:paraId="46E0C258"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 xml:space="preserve">Mimosa pudica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378C80B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103</w:t>
            </w:r>
          </w:p>
        </w:tc>
        <w:tc>
          <w:tcPr>
            <w:tcW w:w="1182" w:type="pct"/>
            <w:tcBorders>
              <w:top w:val="nil"/>
              <w:left w:val="nil"/>
              <w:bottom w:val="nil"/>
              <w:right w:val="nil"/>
            </w:tcBorders>
            <w:shd w:val="clear" w:color="auto" w:fill="auto"/>
            <w:noWrap/>
            <w:vAlign w:val="center"/>
            <w:hideMark/>
          </w:tcPr>
          <w:p w14:paraId="2433932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10.228</w:t>
            </w:r>
          </w:p>
        </w:tc>
        <w:tc>
          <w:tcPr>
            <w:tcW w:w="707" w:type="pct"/>
            <w:tcBorders>
              <w:top w:val="nil"/>
              <w:left w:val="nil"/>
              <w:bottom w:val="nil"/>
              <w:right w:val="nil"/>
            </w:tcBorders>
            <w:vAlign w:val="center"/>
          </w:tcPr>
          <w:p w14:paraId="69A1E7E2"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93</w:t>
            </w:r>
          </w:p>
        </w:tc>
        <w:tc>
          <w:tcPr>
            <w:tcW w:w="707" w:type="pct"/>
            <w:tcBorders>
              <w:top w:val="nil"/>
              <w:left w:val="nil"/>
              <w:bottom w:val="nil"/>
              <w:right w:val="nil"/>
            </w:tcBorders>
            <w:vAlign w:val="center"/>
          </w:tcPr>
          <w:p w14:paraId="0349AE5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8.836</w:t>
            </w:r>
          </w:p>
        </w:tc>
      </w:tr>
      <w:tr w:rsidR="00895E4C" w:rsidRPr="00895E4C" w14:paraId="4A80B08D" w14:textId="77777777" w:rsidTr="0087227D">
        <w:trPr>
          <w:trHeight w:val="300"/>
        </w:trPr>
        <w:tc>
          <w:tcPr>
            <w:tcW w:w="1697" w:type="pct"/>
            <w:tcBorders>
              <w:top w:val="nil"/>
              <w:left w:val="nil"/>
              <w:bottom w:val="nil"/>
              <w:right w:val="nil"/>
            </w:tcBorders>
            <w:shd w:val="clear" w:color="auto" w:fill="auto"/>
            <w:noWrap/>
            <w:vAlign w:val="center"/>
            <w:hideMark/>
          </w:tcPr>
          <w:p w14:paraId="088F487C"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Cynodon</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dactylon</w:t>
            </w:r>
            <w:proofErr w:type="spellEnd"/>
            <w:r w:rsidRPr="00895E4C">
              <w:rPr>
                <w:rFonts w:ascii="Arial" w:hAnsi="Arial" w:cs="Arial"/>
                <w:i/>
                <w:iCs/>
                <w:lang w:eastAsia="en-PH"/>
              </w:rPr>
              <w:t xml:space="preserve">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7BDC682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175</w:t>
            </w:r>
          </w:p>
        </w:tc>
        <w:tc>
          <w:tcPr>
            <w:tcW w:w="1182" w:type="pct"/>
            <w:tcBorders>
              <w:top w:val="nil"/>
              <w:left w:val="nil"/>
              <w:bottom w:val="nil"/>
              <w:right w:val="nil"/>
            </w:tcBorders>
            <w:shd w:val="clear" w:color="auto" w:fill="auto"/>
            <w:noWrap/>
            <w:vAlign w:val="center"/>
            <w:hideMark/>
          </w:tcPr>
          <w:p w14:paraId="5193A4D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17.378</w:t>
            </w:r>
          </w:p>
        </w:tc>
        <w:tc>
          <w:tcPr>
            <w:tcW w:w="707" w:type="pct"/>
            <w:tcBorders>
              <w:top w:val="nil"/>
              <w:left w:val="nil"/>
              <w:bottom w:val="nil"/>
              <w:right w:val="nil"/>
            </w:tcBorders>
            <w:vAlign w:val="center"/>
          </w:tcPr>
          <w:p w14:paraId="2827807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148</w:t>
            </w:r>
          </w:p>
        </w:tc>
        <w:tc>
          <w:tcPr>
            <w:tcW w:w="707" w:type="pct"/>
            <w:tcBorders>
              <w:top w:val="nil"/>
              <w:left w:val="nil"/>
              <w:bottom w:val="nil"/>
              <w:right w:val="nil"/>
            </w:tcBorders>
            <w:vAlign w:val="center"/>
          </w:tcPr>
          <w:p w14:paraId="0E78C741"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14.134</w:t>
            </w:r>
          </w:p>
        </w:tc>
      </w:tr>
      <w:tr w:rsidR="00895E4C" w:rsidRPr="00895E4C" w14:paraId="0CB25EA8" w14:textId="77777777" w:rsidTr="0087227D">
        <w:trPr>
          <w:trHeight w:val="300"/>
        </w:trPr>
        <w:tc>
          <w:tcPr>
            <w:tcW w:w="1697" w:type="pct"/>
            <w:tcBorders>
              <w:top w:val="nil"/>
              <w:left w:val="nil"/>
              <w:bottom w:val="nil"/>
              <w:right w:val="nil"/>
            </w:tcBorders>
            <w:shd w:val="clear" w:color="auto" w:fill="auto"/>
            <w:noWrap/>
            <w:vAlign w:val="center"/>
            <w:hideMark/>
          </w:tcPr>
          <w:p w14:paraId="4601E3F2"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 xml:space="preserve">Eleusine indica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519282C5"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127</w:t>
            </w:r>
          </w:p>
        </w:tc>
        <w:tc>
          <w:tcPr>
            <w:tcW w:w="1182" w:type="pct"/>
            <w:tcBorders>
              <w:top w:val="nil"/>
              <w:left w:val="nil"/>
              <w:bottom w:val="nil"/>
              <w:right w:val="nil"/>
            </w:tcBorders>
            <w:shd w:val="clear" w:color="auto" w:fill="auto"/>
            <w:noWrap/>
            <w:vAlign w:val="center"/>
            <w:hideMark/>
          </w:tcPr>
          <w:p w14:paraId="7CAFA0D2"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12.612</w:t>
            </w:r>
          </w:p>
        </w:tc>
        <w:tc>
          <w:tcPr>
            <w:tcW w:w="707" w:type="pct"/>
            <w:tcBorders>
              <w:top w:val="nil"/>
              <w:left w:val="nil"/>
              <w:bottom w:val="nil"/>
              <w:right w:val="nil"/>
            </w:tcBorders>
            <w:vAlign w:val="center"/>
          </w:tcPr>
          <w:p w14:paraId="78B98FA6"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146</w:t>
            </w:r>
          </w:p>
        </w:tc>
        <w:tc>
          <w:tcPr>
            <w:tcW w:w="707" w:type="pct"/>
            <w:tcBorders>
              <w:top w:val="nil"/>
              <w:left w:val="nil"/>
              <w:bottom w:val="nil"/>
              <w:right w:val="nil"/>
            </w:tcBorders>
            <w:vAlign w:val="center"/>
          </w:tcPr>
          <w:p w14:paraId="01C8BAC9"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13.895</w:t>
            </w:r>
          </w:p>
        </w:tc>
      </w:tr>
      <w:tr w:rsidR="00895E4C" w:rsidRPr="00895E4C" w14:paraId="6FE2FD0A" w14:textId="77777777" w:rsidTr="0087227D">
        <w:trPr>
          <w:trHeight w:val="300"/>
        </w:trPr>
        <w:tc>
          <w:tcPr>
            <w:tcW w:w="1697" w:type="pct"/>
            <w:tcBorders>
              <w:top w:val="nil"/>
              <w:left w:val="nil"/>
              <w:bottom w:val="nil"/>
              <w:right w:val="nil"/>
            </w:tcBorders>
            <w:shd w:val="clear" w:color="auto" w:fill="auto"/>
            <w:noWrap/>
            <w:vAlign w:val="center"/>
            <w:hideMark/>
          </w:tcPr>
          <w:p w14:paraId="31E5F7E6"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Panicum maximum</w:t>
            </w:r>
          </w:p>
        </w:tc>
        <w:tc>
          <w:tcPr>
            <w:tcW w:w="707" w:type="pct"/>
            <w:tcBorders>
              <w:top w:val="nil"/>
              <w:left w:val="nil"/>
              <w:bottom w:val="nil"/>
              <w:right w:val="nil"/>
            </w:tcBorders>
            <w:shd w:val="clear" w:color="auto" w:fill="auto"/>
            <w:noWrap/>
            <w:vAlign w:val="center"/>
            <w:hideMark/>
          </w:tcPr>
          <w:p w14:paraId="5E640B1C"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145</w:t>
            </w:r>
          </w:p>
        </w:tc>
        <w:tc>
          <w:tcPr>
            <w:tcW w:w="1182" w:type="pct"/>
            <w:tcBorders>
              <w:top w:val="nil"/>
              <w:left w:val="nil"/>
              <w:bottom w:val="nil"/>
              <w:right w:val="nil"/>
            </w:tcBorders>
            <w:shd w:val="clear" w:color="auto" w:fill="auto"/>
            <w:noWrap/>
            <w:vAlign w:val="center"/>
            <w:hideMark/>
          </w:tcPr>
          <w:p w14:paraId="3F0B169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14.399</w:t>
            </w:r>
          </w:p>
        </w:tc>
        <w:tc>
          <w:tcPr>
            <w:tcW w:w="707" w:type="pct"/>
            <w:tcBorders>
              <w:top w:val="nil"/>
              <w:left w:val="nil"/>
              <w:bottom w:val="nil"/>
              <w:right w:val="nil"/>
            </w:tcBorders>
            <w:vAlign w:val="center"/>
          </w:tcPr>
          <w:p w14:paraId="276E5FBF"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137</w:t>
            </w:r>
          </w:p>
        </w:tc>
        <w:tc>
          <w:tcPr>
            <w:tcW w:w="707" w:type="pct"/>
            <w:tcBorders>
              <w:top w:val="nil"/>
              <w:left w:val="nil"/>
              <w:bottom w:val="nil"/>
              <w:right w:val="nil"/>
            </w:tcBorders>
            <w:vAlign w:val="center"/>
          </w:tcPr>
          <w:p w14:paraId="505BE167"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13.048</w:t>
            </w:r>
          </w:p>
        </w:tc>
      </w:tr>
      <w:tr w:rsidR="00895E4C" w:rsidRPr="00895E4C" w14:paraId="4D531944" w14:textId="77777777" w:rsidTr="0087227D">
        <w:trPr>
          <w:trHeight w:val="300"/>
        </w:trPr>
        <w:tc>
          <w:tcPr>
            <w:tcW w:w="1697" w:type="pct"/>
            <w:tcBorders>
              <w:top w:val="nil"/>
              <w:left w:val="nil"/>
              <w:bottom w:val="nil"/>
              <w:right w:val="nil"/>
            </w:tcBorders>
            <w:shd w:val="clear" w:color="auto" w:fill="auto"/>
            <w:noWrap/>
            <w:vAlign w:val="center"/>
            <w:hideMark/>
          </w:tcPr>
          <w:p w14:paraId="7212538E"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Imperata</w:t>
            </w:r>
            <w:proofErr w:type="spellEnd"/>
            <w:r w:rsidRPr="00895E4C">
              <w:rPr>
                <w:rFonts w:ascii="Arial" w:hAnsi="Arial" w:cs="Arial"/>
                <w:i/>
                <w:iCs/>
                <w:lang w:eastAsia="en-PH"/>
              </w:rPr>
              <w:t xml:space="preserve"> cylindrica</w:t>
            </w:r>
          </w:p>
        </w:tc>
        <w:tc>
          <w:tcPr>
            <w:tcW w:w="707" w:type="pct"/>
            <w:tcBorders>
              <w:top w:val="nil"/>
              <w:left w:val="nil"/>
              <w:bottom w:val="nil"/>
              <w:right w:val="nil"/>
            </w:tcBorders>
            <w:shd w:val="clear" w:color="auto" w:fill="auto"/>
            <w:noWrap/>
            <w:vAlign w:val="center"/>
            <w:hideMark/>
          </w:tcPr>
          <w:p w14:paraId="441C5038"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129</w:t>
            </w:r>
          </w:p>
        </w:tc>
        <w:tc>
          <w:tcPr>
            <w:tcW w:w="1182" w:type="pct"/>
            <w:tcBorders>
              <w:top w:val="nil"/>
              <w:left w:val="nil"/>
              <w:bottom w:val="nil"/>
              <w:right w:val="nil"/>
            </w:tcBorders>
            <w:shd w:val="clear" w:color="auto" w:fill="auto"/>
            <w:noWrap/>
            <w:vAlign w:val="center"/>
            <w:hideMark/>
          </w:tcPr>
          <w:p w14:paraId="0D3E41E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12.810</w:t>
            </w:r>
          </w:p>
        </w:tc>
        <w:tc>
          <w:tcPr>
            <w:tcW w:w="707" w:type="pct"/>
            <w:tcBorders>
              <w:top w:val="nil"/>
              <w:left w:val="nil"/>
              <w:bottom w:val="nil"/>
              <w:right w:val="nil"/>
            </w:tcBorders>
            <w:vAlign w:val="center"/>
          </w:tcPr>
          <w:p w14:paraId="2872C7F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171</w:t>
            </w:r>
          </w:p>
        </w:tc>
        <w:tc>
          <w:tcPr>
            <w:tcW w:w="707" w:type="pct"/>
            <w:tcBorders>
              <w:top w:val="nil"/>
              <w:left w:val="nil"/>
              <w:bottom w:val="nil"/>
              <w:right w:val="nil"/>
            </w:tcBorders>
            <w:vAlign w:val="center"/>
          </w:tcPr>
          <w:p w14:paraId="566DCCB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16.337</w:t>
            </w:r>
          </w:p>
        </w:tc>
      </w:tr>
      <w:tr w:rsidR="00895E4C" w:rsidRPr="00895E4C" w14:paraId="216C6BA9" w14:textId="77777777" w:rsidTr="0087227D">
        <w:trPr>
          <w:trHeight w:val="300"/>
        </w:trPr>
        <w:tc>
          <w:tcPr>
            <w:tcW w:w="1697" w:type="pct"/>
            <w:tcBorders>
              <w:top w:val="nil"/>
              <w:left w:val="nil"/>
              <w:bottom w:val="nil"/>
              <w:right w:val="nil"/>
            </w:tcBorders>
            <w:shd w:val="clear" w:color="auto" w:fill="auto"/>
            <w:noWrap/>
            <w:vAlign w:val="center"/>
            <w:hideMark/>
          </w:tcPr>
          <w:p w14:paraId="07FD138F"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 xml:space="preserve">Cyperus </w:t>
            </w:r>
            <w:proofErr w:type="spellStart"/>
            <w:r w:rsidRPr="00895E4C">
              <w:rPr>
                <w:rFonts w:ascii="Arial" w:hAnsi="Arial" w:cs="Arial"/>
                <w:i/>
                <w:iCs/>
                <w:lang w:eastAsia="en-PH"/>
              </w:rPr>
              <w:t>rotundus</w:t>
            </w:r>
            <w:proofErr w:type="spellEnd"/>
          </w:p>
        </w:tc>
        <w:tc>
          <w:tcPr>
            <w:tcW w:w="707" w:type="pct"/>
            <w:tcBorders>
              <w:top w:val="nil"/>
              <w:left w:val="nil"/>
              <w:bottom w:val="nil"/>
              <w:right w:val="nil"/>
            </w:tcBorders>
            <w:shd w:val="clear" w:color="auto" w:fill="auto"/>
            <w:noWrap/>
            <w:vAlign w:val="center"/>
            <w:hideMark/>
          </w:tcPr>
          <w:p w14:paraId="12E3FDD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87</w:t>
            </w:r>
          </w:p>
        </w:tc>
        <w:tc>
          <w:tcPr>
            <w:tcW w:w="1182" w:type="pct"/>
            <w:tcBorders>
              <w:top w:val="nil"/>
              <w:left w:val="nil"/>
              <w:bottom w:val="nil"/>
              <w:right w:val="nil"/>
            </w:tcBorders>
            <w:shd w:val="clear" w:color="auto" w:fill="auto"/>
            <w:noWrap/>
            <w:vAlign w:val="center"/>
            <w:hideMark/>
          </w:tcPr>
          <w:p w14:paraId="4F8EC18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8.640</w:t>
            </w:r>
          </w:p>
        </w:tc>
        <w:tc>
          <w:tcPr>
            <w:tcW w:w="707" w:type="pct"/>
            <w:tcBorders>
              <w:top w:val="nil"/>
              <w:left w:val="nil"/>
              <w:bottom w:val="nil"/>
              <w:right w:val="nil"/>
            </w:tcBorders>
            <w:vAlign w:val="center"/>
          </w:tcPr>
          <w:p w14:paraId="32A250E0"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104</w:t>
            </w:r>
          </w:p>
        </w:tc>
        <w:tc>
          <w:tcPr>
            <w:tcW w:w="707" w:type="pct"/>
            <w:tcBorders>
              <w:top w:val="nil"/>
              <w:left w:val="nil"/>
              <w:bottom w:val="nil"/>
              <w:right w:val="nil"/>
            </w:tcBorders>
            <w:vAlign w:val="center"/>
          </w:tcPr>
          <w:p w14:paraId="18056124"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9.959</w:t>
            </w:r>
          </w:p>
        </w:tc>
      </w:tr>
      <w:tr w:rsidR="00895E4C" w:rsidRPr="00895E4C" w14:paraId="649A30C0" w14:textId="77777777" w:rsidTr="0087227D">
        <w:trPr>
          <w:trHeight w:val="300"/>
        </w:trPr>
        <w:tc>
          <w:tcPr>
            <w:tcW w:w="1697" w:type="pct"/>
            <w:tcBorders>
              <w:top w:val="nil"/>
              <w:left w:val="nil"/>
              <w:bottom w:val="double" w:sz="4" w:space="0" w:color="auto"/>
              <w:right w:val="nil"/>
            </w:tcBorders>
            <w:shd w:val="clear" w:color="auto" w:fill="auto"/>
            <w:noWrap/>
            <w:vAlign w:val="center"/>
            <w:hideMark/>
          </w:tcPr>
          <w:p w14:paraId="576AF41B"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Dactyloctenium</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aegyptium</w:t>
            </w:r>
            <w:proofErr w:type="spellEnd"/>
            <w:r w:rsidRPr="00895E4C">
              <w:rPr>
                <w:rFonts w:ascii="Arial" w:hAnsi="Arial" w:cs="Arial"/>
                <w:i/>
                <w:iCs/>
                <w:lang w:eastAsia="en-PH"/>
              </w:rPr>
              <w:t xml:space="preserve"> </w:t>
            </w:r>
            <w:r w:rsidRPr="00895E4C">
              <w:rPr>
                <w:rFonts w:ascii="Arial" w:hAnsi="Arial" w:cs="Arial"/>
                <w:lang w:eastAsia="en-PH"/>
              </w:rPr>
              <w:t>L.</w:t>
            </w:r>
          </w:p>
        </w:tc>
        <w:tc>
          <w:tcPr>
            <w:tcW w:w="707" w:type="pct"/>
            <w:tcBorders>
              <w:top w:val="nil"/>
              <w:left w:val="nil"/>
              <w:bottom w:val="double" w:sz="4" w:space="0" w:color="auto"/>
              <w:right w:val="nil"/>
            </w:tcBorders>
            <w:shd w:val="clear" w:color="auto" w:fill="auto"/>
            <w:noWrap/>
            <w:vAlign w:val="center"/>
            <w:hideMark/>
          </w:tcPr>
          <w:p w14:paraId="3D23951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145</w:t>
            </w:r>
          </w:p>
        </w:tc>
        <w:tc>
          <w:tcPr>
            <w:tcW w:w="1182" w:type="pct"/>
            <w:tcBorders>
              <w:top w:val="nil"/>
              <w:left w:val="nil"/>
              <w:bottom w:val="double" w:sz="4" w:space="0" w:color="auto"/>
              <w:right w:val="nil"/>
            </w:tcBorders>
            <w:shd w:val="clear" w:color="auto" w:fill="auto"/>
            <w:noWrap/>
            <w:vAlign w:val="center"/>
            <w:hideMark/>
          </w:tcPr>
          <w:p w14:paraId="191C433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14.399</w:t>
            </w:r>
          </w:p>
        </w:tc>
        <w:tc>
          <w:tcPr>
            <w:tcW w:w="707" w:type="pct"/>
            <w:tcBorders>
              <w:top w:val="nil"/>
              <w:left w:val="nil"/>
              <w:bottom w:val="double" w:sz="4" w:space="0" w:color="auto"/>
              <w:right w:val="nil"/>
            </w:tcBorders>
            <w:vAlign w:val="center"/>
          </w:tcPr>
          <w:p w14:paraId="6C4A777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109</w:t>
            </w:r>
          </w:p>
        </w:tc>
        <w:tc>
          <w:tcPr>
            <w:tcW w:w="707" w:type="pct"/>
            <w:tcBorders>
              <w:top w:val="nil"/>
              <w:left w:val="nil"/>
              <w:bottom w:val="double" w:sz="4" w:space="0" w:color="auto"/>
              <w:right w:val="nil"/>
            </w:tcBorders>
            <w:vAlign w:val="center"/>
          </w:tcPr>
          <w:p w14:paraId="7FD68ADD"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10.369</w:t>
            </w:r>
          </w:p>
        </w:tc>
      </w:tr>
    </w:tbl>
    <w:p w14:paraId="3B608C9C" w14:textId="74AC2153" w:rsidR="00895E4C" w:rsidRPr="008F7AF7" w:rsidRDefault="0087227D" w:rsidP="00895E4C">
      <w:pPr>
        <w:autoSpaceDE w:val="0"/>
        <w:autoSpaceDN w:val="0"/>
        <w:adjustRightInd w:val="0"/>
        <w:spacing w:before="240" w:after="240"/>
        <w:jc w:val="both"/>
        <w:rPr>
          <w:rFonts w:ascii="Arial" w:eastAsia="Calibri" w:hAnsi="Arial" w:cs="Arial"/>
          <w:iCs/>
        </w:rPr>
      </w:pPr>
      <w:r w:rsidRPr="0087227D">
        <w:rPr>
          <w:rFonts w:ascii="Arial" w:eastAsia="Calibri" w:hAnsi="Arial" w:cs="Arial"/>
          <w:iCs/>
        </w:rPr>
        <w:t xml:space="preserve">The identified weed community, comprising both annual and perennial species, presents distinct management challenges. Annual weeds, as demonstrated by Schwartz-Lazaro and Copes [35], contribute significantly to the soil seed bank through their single-season life cycle and prolific seed production. </w:t>
      </w:r>
      <w:r w:rsidR="0099635B" w:rsidRPr="0099635B">
        <w:rPr>
          <w:rFonts w:ascii="Arial" w:eastAsia="Calibri" w:hAnsi="Arial" w:cs="Arial"/>
          <w:iCs/>
          <w:highlight w:val="yellow"/>
        </w:rPr>
        <w:t>Travlos</w:t>
      </w:r>
      <w:r w:rsidR="0099635B" w:rsidRPr="0099635B">
        <w:rPr>
          <w:rFonts w:ascii="Arial" w:eastAsia="Calibri" w:hAnsi="Arial" w:cs="Arial"/>
          <w:iCs/>
          <w:highlight w:val="yellow"/>
        </w:rPr>
        <w:t xml:space="preserve"> et al.</w:t>
      </w:r>
      <w:r w:rsidRPr="0099635B">
        <w:rPr>
          <w:rFonts w:ascii="Arial" w:eastAsia="Calibri" w:hAnsi="Arial" w:cs="Arial"/>
          <w:iCs/>
          <w:highlight w:val="yellow"/>
        </w:rPr>
        <w:t xml:space="preserve"> [36</w:t>
      </w:r>
      <w:r w:rsidRPr="0087227D">
        <w:rPr>
          <w:rFonts w:ascii="Arial" w:eastAsia="Calibri" w:hAnsi="Arial" w:cs="Arial"/>
          <w:iCs/>
        </w:rPr>
        <w:t xml:space="preserve">] showed that these annuals, particularly spring-emerging species, respond distinctively to management timing. The high representation of perennial species (five of eight identified species) in our study sites indicates the establishment of persistent populations through their dual reproductive strategy - vegetative reproduction via belowground buds and sexual reproduction through seeds [37]. This reproductive flexibility, particularly evident in species like C. </w:t>
      </w:r>
      <w:proofErr w:type="spellStart"/>
      <w:r w:rsidRPr="0087227D">
        <w:rPr>
          <w:rFonts w:ascii="Arial" w:eastAsia="Calibri" w:hAnsi="Arial" w:cs="Arial"/>
          <w:iCs/>
        </w:rPr>
        <w:t>dactylon</w:t>
      </w:r>
      <w:proofErr w:type="spellEnd"/>
      <w:r w:rsidRPr="0087227D">
        <w:rPr>
          <w:rFonts w:ascii="Arial" w:eastAsia="Calibri" w:hAnsi="Arial" w:cs="Arial"/>
          <w:iCs/>
        </w:rPr>
        <w:t xml:space="preserve"> and I. cylindrica, enables stable population maintenance under various environmental conditions and management practices. These established weed communities, through soil conditioning effects, can modify soil conditions that influence subsequent vegetation dynamics [38], aligning with Petit et al. [39] findings on species-specific interactions in agroecosystems.</w:t>
      </w:r>
    </w:p>
    <w:p w14:paraId="6D45E224" w14:textId="60FA0F8E" w:rsidR="005A15D4" w:rsidRPr="005A15D4" w:rsidRDefault="005A15D4" w:rsidP="005A15D4">
      <w:pPr>
        <w:autoSpaceDE w:val="0"/>
        <w:autoSpaceDN w:val="0"/>
        <w:adjustRightInd w:val="0"/>
        <w:spacing w:before="240" w:after="240"/>
        <w:jc w:val="both"/>
        <w:rPr>
          <w:rFonts w:ascii="Arial" w:eastAsia="Calibri" w:hAnsi="Arial" w:cs="Arial"/>
          <w:iCs/>
        </w:rPr>
      </w:pPr>
      <w:r w:rsidRPr="005A15D4">
        <w:rPr>
          <w:rFonts w:ascii="Arial" w:eastAsia="Calibri" w:hAnsi="Arial" w:cs="Arial"/>
          <w:iCs/>
        </w:rPr>
        <w:t>The dominance of different grass species at each site (</w:t>
      </w:r>
      <w:r w:rsidRPr="005A15D4">
        <w:rPr>
          <w:rFonts w:ascii="Arial" w:eastAsia="Calibri" w:hAnsi="Arial" w:cs="Arial"/>
          <w:i/>
        </w:rPr>
        <w:t xml:space="preserve">C. </w:t>
      </w:r>
      <w:proofErr w:type="spellStart"/>
      <w:r w:rsidRPr="005A15D4">
        <w:rPr>
          <w:rFonts w:ascii="Arial" w:eastAsia="Calibri" w:hAnsi="Arial" w:cs="Arial"/>
          <w:i/>
        </w:rPr>
        <w:t>dactylon</w:t>
      </w:r>
      <w:proofErr w:type="spellEnd"/>
      <w:r w:rsidRPr="005A15D4">
        <w:rPr>
          <w:rFonts w:ascii="Arial" w:eastAsia="Calibri" w:hAnsi="Arial" w:cs="Arial"/>
          <w:iCs/>
        </w:rPr>
        <w:t xml:space="preserve"> at Site 1 and </w:t>
      </w:r>
      <w:r w:rsidRPr="005A15D4">
        <w:rPr>
          <w:rFonts w:ascii="Arial" w:eastAsia="Calibri" w:hAnsi="Arial" w:cs="Arial"/>
          <w:i/>
        </w:rPr>
        <w:t>I. cylindrica</w:t>
      </w:r>
      <w:r w:rsidRPr="005A15D4">
        <w:rPr>
          <w:rFonts w:ascii="Arial" w:eastAsia="Calibri" w:hAnsi="Arial" w:cs="Arial"/>
          <w:iCs/>
        </w:rPr>
        <w:t xml:space="preserve"> at Site 2) underscores the impact of local management practices and environmental conditions on weed community structure. This finding aligns with Cordeau et al. [40], who reported that site-specific conditions account for 75.5% of the explained variation in weed community composition, while management practices explain 18.3%. Gibson et al. [41] similarly found that weed communities correlate most strongly with geographic location and secondarily with management practices. The higher relative frequency of C. </w:t>
      </w:r>
      <w:proofErr w:type="spellStart"/>
      <w:r w:rsidRPr="005A15D4">
        <w:rPr>
          <w:rFonts w:ascii="Arial" w:eastAsia="Calibri" w:hAnsi="Arial" w:cs="Arial"/>
          <w:iCs/>
        </w:rPr>
        <w:t>dactylon</w:t>
      </w:r>
      <w:proofErr w:type="spellEnd"/>
      <w:r w:rsidRPr="005A15D4">
        <w:rPr>
          <w:rFonts w:ascii="Arial" w:eastAsia="Calibri" w:hAnsi="Arial" w:cs="Arial"/>
          <w:iCs/>
        </w:rPr>
        <w:t xml:space="preserve"> at the research station reflects its adaptation to intensive management practices and regular disturbance, as supported by</w:t>
      </w:r>
      <w:r w:rsidR="0099635B">
        <w:rPr>
          <w:rFonts w:ascii="Arial" w:eastAsia="Calibri" w:hAnsi="Arial" w:cs="Arial"/>
          <w:iCs/>
        </w:rPr>
        <w:t xml:space="preserve"> </w:t>
      </w:r>
      <w:r w:rsidR="0099635B" w:rsidRPr="006829FF">
        <w:rPr>
          <w:rFonts w:ascii="Arial" w:eastAsia="Calibri" w:hAnsi="Arial" w:cs="Arial"/>
          <w:iCs/>
          <w:highlight w:val="yellow"/>
        </w:rPr>
        <w:t>Travlos</w:t>
      </w:r>
      <w:r w:rsidR="006829FF" w:rsidRPr="006829FF">
        <w:rPr>
          <w:rFonts w:ascii="Arial" w:eastAsia="Calibri" w:hAnsi="Arial" w:cs="Arial"/>
          <w:iCs/>
          <w:highlight w:val="yellow"/>
        </w:rPr>
        <w:t xml:space="preserve"> et al.</w:t>
      </w:r>
      <w:r w:rsidRPr="006829FF">
        <w:rPr>
          <w:rFonts w:ascii="Arial" w:eastAsia="Calibri" w:hAnsi="Arial" w:cs="Arial"/>
          <w:iCs/>
          <w:highlight w:val="yellow"/>
        </w:rPr>
        <w:t xml:space="preserve"> [36</w:t>
      </w:r>
      <w:r w:rsidRPr="005A15D4">
        <w:rPr>
          <w:rFonts w:ascii="Arial" w:eastAsia="Calibri" w:hAnsi="Arial" w:cs="Arial"/>
          <w:iCs/>
        </w:rPr>
        <w:t xml:space="preserve">] and </w:t>
      </w:r>
      <w:r w:rsidR="007D56CA" w:rsidRPr="007D56CA">
        <w:rPr>
          <w:rFonts w:ascii="Arial" w:eastAsia="Calibri" w:hAnsi="Arial" w:cs="Arial"/>
          <w:iCs/>
          <w:highlight w:val="yellow"/>
        </w:rPr>
        <w:t>Jung</w:t>
      </w:r>
      <w:r w:rsidRPr="007D56CA">
        <w:rPr>
          <w:rFonts w:ascii="Arial" w:eastAsia="Calibri" w:hAnsi="Arial" w:cs="Arial"/>
          <w:iCs/>
          <w:highlight w:val="yellow"/>
        </w:rPr>
        <w:t xml:space="preserve"> et al. [42],</w:t>
      </w:r>
      <w:r w:rsidRPr="005A15D4">
        <w:rPr>
          <w:rFonts w:ascii="Arial" w:eastAsia="Calibri" w:hAnsi="Arial" w:cs="Arial"/>
          <w:iCs/>
        </w:rPr>
        <w:t xml:space="preserve"> who found that such conditions favor species with rapid establishment capabilities while limiting competition from less adaptable species.</w:t>
      </w:r>
    </w:p>
    <w:p w14:paraId="3961226D" w14:textId="36082E9D" w:rsidR="00DB09BF" w:rsidRPr="00DB09BF" w:rsidRDefault="005A15D4" w:rsidP="005A15D4">
      <w:pPr>
        <w:pStyle w:val="BodyText3"/>
        <w:tabs>
          <w:tab w:val="left" w:pos="1080"/>
        </w:tabs>
        <w:spacing w:after="0"/>
        <w:jc w:val="both"/>
        <w:rPr>
          <w:rFonts w:ascii="Arial" w:hAnsi="Arial" w:cs="Arial"/>
          <w:bCs/>
          <w:iCs/>
          <w:sz w:val="20"/>
          <w:szCs w:val="18"/>
        </w:rPr>
      </w:pPr>
      <w:r w:rsidRPr="005A15D4">
        <w:rPr>
          <w:rFonts w:ascii="Arial" w:hAnsi="Arial" w:cs="Arial"/>
          <w:bCs/>
          <w:iCs/>
          <w:sz w:val="20"/>
          <w:szCs w:val="18"/>
        </w:rPr>
        <w:t xml:space="preserve">Annual and perennial species across sites indicate a complex weed community structure, presenting varied management challenges. Annual weeds complete their life cycle in a single growing season, producing large quantities of seeds that rapidly replenish their populations. </w:t>
      </w:r>
    </w:p>
    <w:p w14:paraId="746DC256" w14:textId="77777777" w:rsidR="00A61DDD" w:rsidRDefault="00A61DDD" w:rsidP="00441B6F">
      <w:pPr>
        <w:pStyle w:val="BodyText3"/>
        <w:tabs>
          <w:tab w:val="left" w:pos="1080"/>
        </w:tabs>
        <w:spacing w:after="0"/>
        <w:ind w:left="1080" w:hanging="1080"/>
        <w:jc w:val="both"/>
        <w:rPr>
          <w:rFonts w:ascii="Arial" w:hAnsi="Arial"/>
          <w:bCs/>
          <w:i/>
          <w:sz w:val="18"/>
        </w:rPr>
      </w:pPr>
    </w:p>
    <w:p w14:paraId="3566AF93" w14:textId="77777777" w:rsidR="00B0256A" w:rsidRDefault="00B0256A" w:rsidP="00441B6F">
      <w:pPr>
        <w:pStyle w:val="Body"/>
        <w:spacing w:after="0"/>
        <w:rPr>
          <w:rFonts w:ascii="Arial" w:hAnsi="Arial" w:cs="Arial"/>
        </w:rPr>
        <w:sectPr w:rsidR="00B0256A" w:rsidSect="0031564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8D25EFB" w14:textId="77777777" w:rsidR="00B0256A" w:rsidRDefault="00B0256A" w:rsidP="00441B6F">
      <w:pPr>
        <w:pStyle w:val="Body"/>
        <w:spacing w:after="0"/>
        <w:rPr>
          <w:rFonts w:ascii="Arial" w:hAnsi="Arial" w:cs="Arial"/>
        </w:rPr>
      </w:pPr>
    </w:p>
    <w:p w14:paraId="22C95223" w14:textId="6509E938" w:rsidR="00A62956" w:rsidRDefault="00B0256A" w:rsidP="00441B6F">
      <w:pPr>
        <w:pStyle w:val="Body"/>
        <w:spacing w:after="0"/>
        <w:rPr>
          <w:rFonts w:ascii="Arial" w:hAnsi="Arial" w:cs="Arial"/>
        </w:rPr>
      </w:pPr>
      <w:r w:rsidRPr="00B0256A">
        <w:rPr>
          <w:rFonts w:ascii="Calibri" w:eastAsia="Calibri" w:hAnsi="Calibri"/>
          <w:noProof/>
          <w:sz w:val="22"/>
          <w:szCs w:val="22"/>
        </w:rPr>
        <w:drawing>
          <wp:inline distT="0" distB="0" distL="0" distR="0" wp14:anchorId="4844E368" wp14:editId="5B92B980">
            <wp:extent cx="8229600" cy="4572000"/>
            <wp:effectExtent l="0" t="0" r="0" b="0"/>
            <wp:docPr id="85383254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4572000"/>
                    </a:xfrm>
                    <a:prstGeom prst="rect">
                      <a:avLst/>
                    </a:prstGeom>
                    <a:noFill/>
                  </pic:spPr>
                </pic:pic>
              </a:graphicData>
            </a:graphic>
          </wp:inline>
        </w:drawing>
      </w:r>
    </w:p>
    <w:p w14:paraId="3F888574" w14:textId="77777777" w:rsidR="00B0256A" w:rsidRPr="00195E18" w:rsidRDefault="00B0256A" w:rsidP="00B0256A">
      <w:pPr>
        <w:pStyle w:val="Body"/>
        <w:spacing w:after="0"/>
        <w:jc w:val="center"/>
        <w:rPr>
          <w:rFonts w:ascii="Arial" w:hAnsi="Arial" w:cs="Arial"/>
          <w:b/>
          <w:bCs/>
          <w:sz w:val="18"/>
          <w:szCs w:val="18"/>
        </w:rPr>
      </w:pPr>
      <w:r w:rsidRPr="00195E18">
        <w:rPr>
          <w:rFonts w:ascii="Arial" w:hAnsi="Arial" w:cs="Arial"/>
          <w:b/>
          <w:bCs/>
          <w:sz w:val="18"/>
          <w:szCs w:val="18"/>
        </w:rPr>
        <w:t xml:space="preserve">Figure 5. Hierarchical cluster analysis dendrogram showing weed community similarity patterns across fertilizer treatments </w:t>
      </w:r>
    </w:p>
    <w:p w14:paraId="42048285" w14:textId="737489FB" w:rsidR="00B0256A" w:rsidRPr="00195E18" w:rsidRDefault="00B0256A" w:rsidP="00B0256A">
      <w:pPr>
        <w:pStyle w:val="Body"/>
        <w:spacing w:after="0"/>
        <w:jc w:val="center"/>
        <w:rPr>
          <w:rFonts w:ascii="Arial" w:hAnsi="Arial" w:cs="Arial"/>
          <w:b/>
          <w:bCs/>
          <w:sz w:val="18"/>
          <w:szCs w:val="18"/>
        </w:rPr>
      </w:pPr>
      <w:r w:rsidRPr="00195E18">
        <w:rPr>
          <w:rFonts w:ascii="Arial" w:hAnsi="Arial" w:cs="Arial"/>
          <w:b/>
          <w:bCs/>
          <w:sz w:val="18"/>
          <w:szCs w:val="18"/>
        </w:rPr>
        <w:t>at the research station site in Trento, Agusan del Sur, Philippines</w:t>
      </w:r>
    </w:p>
    <w:p w14:paraId="2B89B3B7" w14:textId="780D2D54" w:rsidR="00B0256A" w:rsidRDefault="00B0256A" w:rsidP="00441B6F">
      <w:pPr>
        <w:pStyle w:val="Body"/>
        <w:spacing w:after="0"/>
        <w:rPr>
          <w:rFonts w:ascii="Arial" w:hAnsi="Arial" w:cs="Arial"/>
        </w:rPr>
      </w:pPr>
      <w:r w:rsidRPr="00B0256A">
        <w:rPr>
          <w:rFonts w:ascii="Calibri" w:eastAsia="Calibri" w:hAnsi="Calibri"/>
          <w:noProof/>
          <w:sz w:val="22"/>
          <w:szCs w:val="22"/>
        </w:rPr>
        <w:lastRenderedPageBreak/>
        <w:drawing>
          <wp:inline distT="0" distB="0" distL="0" distR="0" wp14:anchorId="2C90F052" wp14:editId="30B30708">
            <wp:extent cx="8229600" cy="4572000"/>
            <wp:effectExtent l="0" t="0" r="0" b="0"/>
            <wp:docPr id="147798760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29600" cy="4572000"/>
                    </a:xfrm>
                    <a:prstGeom prst="rect">
                      <a:avLst/>
                    </a:prstGeom>
                    <a:noFill/>
                  </pic:spPr>
                </pic:pic>
              </a:graphicData>
            </a:graphic>
          </wp:inline>
        </w:drawing>
      </w:r>
    </w:p>
    <w:p w14:paraId="2D3B6C38" w14:textId="658242EE" w:rsidR="00195E18" w:rsidRPr="00195E18" w:rsidRDefault="00195E18" w:rsidP="00195E18">
      <w:pPr>
        <w:autoSpaceDE w:val="0"/>
        <w:autoSpaceDN w:val="0"/>
        <w:adjustRightInd w:val="0"/>
        <w:jc w:val="center"/>
        <w:rPr>
          <w:rFonts w:ascii="Arial" w:eastAsia="Calibri" w:hAnsi="Arial" w:cs="Arial"/>
          <w:iCs/>
          <w:sz w:val="18"/>
          <w:szCs w:val="18"/>
        </w:rPr>
      </w:pPr>
      <w:r w:rsidRPr="00195E18">
        <w:rPr>
          <w:rFonts w:ascii="Arial" w:eastAsia="Calibri" w:hAnsi="Arial" w:cs="Arial"/>
          <w:iCs/>
          <w:sz w:val="18"/>
          <w:szCs w:val="18"/>
        </w:rPr>
        <w:t>Figure 6. Hierarchical cluster analysis dendrogram showing weed community similarity patterns across fertilizer treatments</w:t>
      </w:r>
    </w:p>
    <w:p w14:paraId="5BB367F9" w14:textId="77777777" w:rsidR="00195E18" w:rsidRPr="00195E18" w:rsidRDefault="00195E18" w:rsidP="00195E18">
      <w:pPr>
        <w:autoSpaceDE w:val="0"/>
        <w:autoSpaceDN w:val="0"/>
        <w:adjustRightInd w:val="0"/>
        <w:jc w:val="center"/>
        <w:rPr>
          <w:rFonts w:ascii="Arial" w:eastAsia="Calibri" w:hAnsi="Arial" w:cs="Arial"/>
          <w:iCs/>
          <w:sz w:val="18"/>
          <w:szCs w:val="18"/>
        </w:rPr>
      </w:pPr>
      <w:r w:rsidRPr="00195E18">
        <w:rPr>
          <w:rFonts w:ascii="Arial" w:eastAsia="Calibri" w:hAnsi="Arial" w:cs="Arial"/>
          <w:iCs/>
          <w:sz w:val="18"/>
          <w:szCs w:val="18"/>
        </w:rPr>
        <w:t xml:space="preserve">at the farmer's field site in </w:t>
      </w:r>
      <w:proofErr w:type="spellStart"/>
      <w:r w:rsidRPr="00195E18">
        <w:rPr>
          <w:rFonts w:ascii="Arial" w:eastAsia="Calibri" w:hAnsi="Arial" w:cs="Arial"/>
          <w:iCs/>
          <w:sz w:val="18"/>
          <w:szCs w:val="18"/>
        </w:rPr>
        <w:t>Brgy</w:t>
      </w:r>
      <w:proofErr w:type="spellEnd"/>
      <w:r w:rsidRPr="00195E18">
        <w:rPr>
          <w:rFonts w:ascii="Arial" w:eastAsia="Calibri" w:hAnsi="Arial" w:cs="Arial"/>
          <w:iCs/>
          <w:sz w:val="18"/>
          <w:szCs w:val="18"/>
        </w:rPr>
        <w:t>. Cuevas, Trento, Agusan del Sur, Philippines</w:t>
      </w:r>
    </w:p>
    <w:p w14:paraId="3F6A7D3C" w14:textId="77777777" w:rsidR="00195E18" w:rsidRDefault="00195E18" w:rsidP="00195E18">
      <w:pPr>
        <w:pStyle w:val="Body"/>
        <w:spacing w:after="0"/>
        <w:rPr>
          <w:rFonts w:ascii="Arial" w:hAnsi="Arial" w:cs="Arial"/>
        </w:rPr>
        <w:sectPr w:rsidR="00195E18" w:rsidSect="0031564E">
          <w:pgSz w:w="15840" w:h="12240" w:orient="landscape"/>
          <w:pgMar w:top="2016" w:right="2016" w:bottom="2016" w:left="1440" w:header="720" w:footer="1123" w:gutter="0"/>
          <w:cols w:space="720"/>
          <w:docGrid w:linePitch="272"/>
        </w:sectPr>
      </w:pPr>
    </w:p>
    <w:p w14:paraId="1F480DD9" w14:textId="31065DCD" w:rsidR="00AE76D3" w:rsidRPr="00AE76D3" w:rsidRDefault="00AE76D3" w:rsidP="00AE76D3">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lastRenderedPageBreak/>
        <w:t xml:space="preserve">Schwartz-Lazaro and Copes [35] demonstrated that annual weeds contribute significantly to the soil seed bank, requiring management strategies that prevent seed production and deplete existing seed reserves. Management timing is critical, as </w:t>
      </w:r>
      <w:r w:rsidR="006829FF" w:rsidRPr="006829FF">
        <w:rPr>
          <w:rFonts w:ascii="Arial" w:eastAsia="Calibri" w:hAnsi="Arial" w:cs="Arial"/>
          <w:iCs/>
          <w:highlight w:val="yellow"/>
        </w:rPr>
        <w:t>Travlos</w:t>
      </w:r>
      <w:r w:rsidR="006829FF" w:rsidRPr="006829FF">
        <w:rPr>
          <w:rFonts w:ascii="Arial" w:eastAsia="Calibri" w:hAnsi="Arial" w:cs="Arial"/>
          <w:iCs/>
          <w:highlight w:val="yellow"/>
        </w:rPr>
        <w:t xml:space="preserve"> et al.</w:t>
      </w:r>
      <w:r w:rsidRPr="006829FF">
        <w:rPr>
          <w:rFonts w:ascii="Arial" w:eastAsia="Calibri" w:hAnsi="Arial" w:cs="Arial"/>
          <w:iCs/>
          <w:highlight w:val="yellow"/>
        </w:rPr>
        <w:t xml:space="preserve"> [36]</w:t>
      </w:r>
      <w:r w:rsidRPr="00AE76D3">
        <w:rPr>
          <w:rFonts w:ascii="Arial" w:eastAsia="Calibri" w:hAnsi="Arial" w:cs="Arial"/>
          <w:iCs/>
        </w:rPr>
        <w:t xml:space="preserve"> showed that spring-emerging annual weeds respond differently to timing than later-emerging species, with early-emerging spring annuals being particularly sensitive to soil disturbance timing. In contrast, perennial species, especially the grass species identified in this study, use dual reproductive strategies: significant seed production and vegetative propagation (e.g., rhizomes or </w:t>
      </w:r>
      <w:proofErr w:type="spellStart"/>
      <w:r w:rsidRPr="00AE76D3">
        <w:rPr>
          <w:rFonts w:ascii="Arial" w:eastAsia="Calibri" w:hAnsi="Arial" w:cs="Arial"/>
          <w:iCs/>
        </w:rPr>
        <w:t>stolons</w:t>
      </w:r>
      <w:proofErr w:type="spellEnd"/>
      <w:r w:rsidRPr="00AE76D3">
        <w:rPr>
          <w:rFonts w:ascii="Arial" w:eastAsia="Calibri" w:hAnsi="Arial" w:cs="Arial"/>
          <w:iCs/>
        </w:rPr>
        <w:t>). Perennial grasses maintain populations through a combination of vegetative reproduction via belowground buds and seed production, as documented by Ott and Hartnett [37], who found that perennial grasses produce a large reserve of dormant buds, with flowering tillers generating more and larger buds than vegetative tillers. This reproductive flexibility enhances their persistence in agricultural systems, complicating management. Mahé et al. [43] further emphasized that effective management of persistent weed populations requires understanding both above-ground vegetation and the soil seed bank, as the seed bank acts as a reservoir for future weed infestations.</w:t>
      </w:r>
    </w:p>
    <w:p w14:paraId="2A4812E1" w14:textId="77777777" w:rsidR="00AE76D3" w:rsidRPr="00AE76D3" w:rsidRDefault="00AE76D3" w:rsidP="00AE76D3">
      <w:pPr>
        <w:autoSpaceDE w:val="0"/>
        <w:autoSpaceDN w:val="0"/>
        <w:adjustRightInd w:val="0"/>
        <w:spacing w:before="240" w:after="240"/>
        <w:ind w:firstLine="461"/>
        <w:jc w:val="both"/>
        <w:rPr>
          <w:rFonts w:ascii="Arial" w:eastAsia="Calibri" w:hAnsi="Arial" w:cs="Arial"/>
          <w:iCs/>
        </w:rPr>
      </w:pPr>
    </w:p>
    <w:p w14:paraId="35A2A5EB" w14:textId="4C060041" w:rsidR="00AE76D3" w:rsidRPr="00AE76D3" w:rsidRDefault="00AE76D3" w:rsidP="00AE76D3">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t xml:space="preserve">The lack of clear differentiation in weed communities across fertilizer treatments, as shown in the dendrograms, suggests that short-term nutrient management has less influence on weed community composition than other factors. Cordeau et al. [40] demonstrated that timing of management practices, particularly tillage, explains approximately 50% of weed community variability at local scales, with weather conditions playing crucial roles in community assembly. The established seed bank serves as a persistent source of weed propagules influencing current populations [43], while historical land use creates lasting effects through soil property modifications and plant-soil feedbacks [42, 38]. The consistent occurrence of </w:t>
      </w:r>
      <w:r w:rsidRPr="00AE76D3">
        <w:rPr>
          <w:rFonts w:ascii="Arial" w:eastAsia="Calibri" w:hAnsi="Arial" w:cs="Arial"/>
          <w:i/>
        </w:rPr>
        <w:t xml:space="preserve">C. </w:t>
      </w:r>
      <w:proofErr w:type="spellStart"/>
      <w:r w:rsidRPr="00AE76D3">
        <w:rPr>
          <w:rFonts w:ascii="Arial" w:eastAsia="Calibri" w:hAnsi="Arial" w:cs="Arial"/>
          <w:i/>
        </w:rPr>
        <w:t>rotundus</w:t>
      </w:r>
      <w:proofErr w:type="spellEnd"/>
      <w:r w:rsidRPr="00AE76D3">
        <w:rPr>
          <w:rFonts w:ascii="Arial" w:eastAsia="Calibri" w:hAnsi="Arial" w:cs="Arial"/>
          <w:iCs/>
        </w:rPr>
        <w:t xml:space="preserve"> across all treatments demonstrates its adaptability to various nutrient conditions, while the relatively even distribution of </w:t>
      </w:r>
      <w:r w:rsidRPr="00AE76D3">
        <w:rPr>
          <w:rFonts w:ascii="Arial" w:eastAsia="Calibri" w:hAnsi="Arial" w:cs="Arial"/>
          <w:i/>
        </w:rPr>
        <w:t xml:space="preserve">A. </w:t>
      </w:r>
      <w:proofErr w:type="spellStart"/>
      <w:r w:rsidRPr="00AE76D3">
        <w:rPr>
          <w:rFonts w:ascii="Arial" w:eastAsia="Calibri" w:hAnsi="Arial" w:cs="Arial"/>
          <w:i/>
        </w:rPr>
        <w:t>conyzoides</w:t>
      </w:r>
      <w:proofErr w:type="spellEnd"/>
      <w:r w:rsidRPr="00AE76D3">
        <w:rPr>
          <w:rFonts w:ascii="Arial" w:eastAsia="Calibri" w:hAnsi="Arial" w:cs="Arial"/>
          <w:iCs/>
        </w:rPr>
        <w:t xml:space="preserve"> and </w:t>
      </w:r>
      <w:r w:rsidRPr="00AE76D3">
        <w:rPr>
          <w:rFonts w:ascii="Arial" w:eastAsia="Calibri" w:hAnsi="Arial" w:cs="Arial"/>
          <w:i/>
        </w:rPr>
        <w:t>E. indica</w:t>
      </w:r>
      <w:r w:rsidRPr="00AE76D3">
        <w:rPr>
          <w:rFonts w:ascii="Arial" w:eastAsia="Calibri" w:hAnsi="Arial" w:cs="Arial"/>
          <w:iCs/>
        </w:rPr>
        <w:t xml:space="preserve"> across sites, despite different management intensities, indicates their broad ecological adaptability. However, their lower relative frequencies compared to perennial grasses suggests current management practices may be more effective in controlling annual species.</w:t>
      </w:r>
    </w:p>
    <w:p w14:paraId="07D086D8" w14:textId="4CA2E8DB" w:rsidR="00AE76D3" w:rsidRPr="004B2221" w:rsidRDefault="00AE76D3" w:rsidP="004B2221">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t xml:space="preserve">The presence of </w:t>
      </w:r>
      <w:r w:rsidRPr="00AE76D3">
        <w:rPr>
          <w:rFonts w:ascii="Arial" w:eastAsia="Calibri" w:hAnsi="Arial" w:cs="Arial"/>
          <w:i/>
        </w:rPr>
        <w:t xml:space="preserve">C. </w:t>
      </w:r>
      <w:proofErr w:type="spellStart"/>
      <w:r w:rsidRPr="00AE76D3">
        <w:rPr>
          <w:rFonts w:ascii="Arial" w:eastAsia="Calibri" w:hAnsi="Arial" w:cs="Arial"/>
          <w:i/>
        </w:rPr>
        <w:t>rotundus</w:t>
      </w:r>
      <w:proofErr w:type="spellEnd"/>
      <w:r w:rsidRPr="00AE76D3">
        <w:rPr>
          <w:rFonts w:ascii="Arial" w:eastAsia="Calibri" w:hAnsi="Arial" w:cs="Arial"/>
          <w:iCs/>
        </w:rPr>
        <w:t xml:space="preserve"> (nutgrass) across all treatments indicates its adaptability to various nutrient conditions, confirming its status as a problematic weed in tropical agricultural systems. Similarly, the consistent occurrence of </w:t>
      </w:r>
      <w:r w:rsidRPr="00AE76D3">
        <w:rPr>
          <w:rFonts w:ascii="Arial" w:eastAsia="Calibri" w:hAnsi="Arial" w:cs="Arial"/>
          <w:i/>
        </w:rPr>
        <w:t>M. pudica</w:t>
      </w:r>
      <w:r w:rsidRPr="00AE76D3">
        <w:rPr>
          <w:rFonts w:ascii="Arial" w:eastAsia="Calibri" w:hAnsi="Arial" w:cs="Arial"/>
          <w:iCs/>
        </w:rPr>
        <w:t xml:space="preserve"> suggests its tolerance to various management practices, though at lower frequencies compared to grass species. The relatively even distribution of certain species like A</w:t>
      </w:r>
      <w:r w:rsidRPr="00AE76D3">
        <w:rPr>
          <w:rFonts w:ascii="Arial" w:eastAsia="Calibri" w:hAnsi="Arial" w:cs="Arial"/>
          <w:i/>
        </w:rPr>
        <w:t xml:space="preserve">. </w:t>
      </w:r>
      <w:proofErr w:type="spellStart"/>
      <w:r w:rsidRPr="00AE76D3">
        <w:rPr>
          <w:rFonts w:ascii="Arial" w:eastAsia="Calibri" w:hAnsi="Arial" w:cs="Arial"/>
          <w:i/>
        </w:rPr>
        <w:t>conyzoides</w:t>
      </w:r>
      <w:proofErr w:type="spellEnd"/>
      <w:r w:rsidRPr="00AE76D3">
        <w:rPr>
          <w:rFonts w:ascii="Arial" w:eastAsia="Calibri" w:hAnsi="Arial" w:cs="Arial"/>
          <w:iCs/>
        </w:rPr>
        <w:t xml:space="preserve"> and </w:t>
      </w:r>
      <w:r w:rsidRPr="00AE76D3">
        <w:rPr>
          <w:rFonts w:ascii="Arial" w:eastAsia="Calibri" w:hAnsi="Arial" w:cs="Arial"/>
          <w:i/>
        </w:rPr>
        <w:t>E. indica</w:t>
      </w:r>
      <w:r w:rsidRPr="00AE76D3">
        <w:rPr>
          <w:rFonts w:ascii="Arial" w:eastAsia="Calibri" w:hAnsi="Arial" w:cs="Arial"/>
          <w:iCs/>
        </w:rPr>
        <w:t xml:space="preserve"> across sites, despite different management intensities, indicates their broad ecological adaptability. However, their lower relative frequencies compared to perennial grasses suggests that the current management practices may be more effective in controlling annual species.</w:t>
      </w:r>
    </w:p>
    <w:p w14:paraId="2D339B76" w14:textId="77777777" w:rsidR="00AE76D3" w:rsidRPr="00FB3A86" w:rsidRDefault="00AE76D3" w:rsidP="00441B6F">
      <w:pPr>
        <w:pStyle w:val="Body"/>
        <w:spacing w:after="0"/>
        <w:rPr>
          <w:rFonts w:ascii="Arial" w:hAnsi="Arial" w:cs="Arial"/>
        </w:rPr>
      </w:pPr>
    </w:p>
    <w:p w14:paraId="6A97D9C5" w14:textId="2124BEDA"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8A5CB7" w14:textId="06C1296C" w:rsidR="00B01FCD" w:rsidRDefault="004B2221" w:rsidP="00497A35">
      <w:pPr>
        <w:spacing w:before="240" w:after="240"/>
        <w:jc w:val="both"/>
        <w:rPr>
          <w:rFonts w:ascii="Arial" w:eastAsia="Calibri" w:hAnsi="Arial" w:cs="Arial"/>
          <w:bCs/>
        </w:rPr>
      </w:pPr>
      <w:r w:rsidRPr="004B2221">
        <w:rPr>
          <w:rFonts w:ascii="Arial" w:eastAsia="Calibri" w:hAnsi="Arial" w:cs="Arial"/>
          <w:bCs/>
        </w:rPr>
        <w:t xml:space="preserve">This study demonstrates distinct patterns in how fertilizer management practices affect agro-biodiversity components in cassava production systems. Soil insect communities showed higher abundance in unfertilized plots, with beneficial predatory insects (particularly </w:t>
      </w:r>
      <w:proofErr w:type="spellStart"/>
      <w:r w:rsidRPr="004B2221">
        <w:rPr>
          <w:rFonts w:ascii="Arial" w:eastAsia="Calibri" w:hAnsi="Arial" w:cs="Arial"/>
          <w:bCs/>
        </w:rPr>
        <w:t>carabidae</w:t>
      </w:r>
      <w:proofErr w:type="spellEnd"/>
      <w:r w:rsidRPr="004B2221">
        <w:rPr>
          <w:rFonts w:ascii="Arial" w:eastAsia="Calibri" w:hAnsi="Arial" w:cs="Arial"/>
          <w:bCs/>
        </w:rPr>
        <w:t xml:space="preserve">) dominating both study sites, suggesting that intensive fertilizer application may impact natural pest control services. The moderate diversity indices observed indicate that while these agricultural systems maintain functional insect communities, they represent simplified versions of natural ecosystems. Weed community structure proved more responsive to site-specific conditions than fertilizer treatments, with perennial grasses dominating both </w:t>
      </w:r>
      <w:r w:rsidRPr="004B2221">
        <w:rPr>
          <w:rFonts w:ascii="Arial" w:eastAsia="Calibri" w:hAnsi="Arial" w:cs="Arial"/>
          <w:bCs/>
        </w:rPr>
        <w:lastRenderedPageBreak/>
        <w:t>sites but showing distinct species dominance patterns between research station and farmer's field conditions. This suggests that effective weed management strategies should prioritize local conditions and historical management practices over universal fertilizer-based approaches.</w:t>
      </w:r>
    </w:p>
    <w:p w14:paraId="3B5EB8F3" w14:textId="3BEA1C44" w:rsidR="00F137A0" w:rsidRDefault="00F137A0" w:rsidP="00497A35">
      <w:pPr>
        <w:spacing w:before="240" w:after="240"/>
        <w:jc w:val="both"/>
        <w:rPr>
          <w:rFonts w:ascii="Arial" w:eastAsia="Calibri" w:hAnsi="Arial" w:cs="Arial"/>
          <w:bCs/>
        </w:rPr>
      </w:pPr>
    </w:p>
    <w:p w14:paraId="24559A36" w14:textId="77777777" w:rsidR="00F137A0" w:rsidRPr="00394842" w:rsidRDefault="00F137A0" w:rsidP="00F137A0">
      <w:pPr>
        <w:rPr>
          <w:highlight w:val="yellow"/>
        </w:rPr>
      </w:pPr>
      <w:r w:rsidRPr="00394842">
        <w:rPr>
          <w:highlight w:val="yellow"/>
        </w:rPr>
        <w:t>Disclaimer (Artificial intelligence)</w:t>
      </w:r>
    </w:p>
    <w:p w14:paraId="0309D898" w14:textId="77777777" w:rsidR="00F137A0" w:rsidRPr="00394842" w:rsidRDefault="00F137A0" w:rsidP="00F137A0">
      <w:pPr>
        <w:rPr>
          <w:highlight w:val="yellow"/>
        </w:rPr>
      </w:pPr>
    </w:p>
    <w:p w14:paraId="2BC703EE" w14:textId="77777777" w:rsidR="00F137A0" w:rsidRPr="00394842" w:rsidRDefault="00F137A0" w:rsidP="00F137A0">
      <w:pPr>
        <w:rPr>
          <w:highlight w:val="yellow"/>
        </w:rPr>
      </w:pPr>
      <w:r w:rsidRPr="00394842">
        <w:rPr>
          <w:highlight w:val="yellow"/>
        </w:rPr>
        <w:t xml:space="preserve">Option 1: </w:t>
      </w:r>
    </w:p>
    <w:p w14:paraId="0CEE8A99" w14:textId="77777777" w:rsidR="00F137A0" w:rsidRPr="00394842" w:rsidRDefault="00F137A0" w:rsidP="00F137A0">
      <w:pPr>
        <w:rPr>
          <w:highlight w:val="yellow"/>
        </w:rPr>
      </w:pPr>
    </w:p>
    <w:p w14:paraId="3647BE7D" w14:textId="77777777" w:rsidR="00F137A0" w:rsidRPr="00394842" w:rsidRDefault="00F137A0" w:rsidP="00F137A0">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9639002" w14:textId="77777777" w:rsidR="00F137A0" w:rsidRPr="00394842" w:rsidRDefault="00F137A0" w:rsidP="00F137A0">
      <w:pPr>
        <w:rPr>
          <w:highlight w:val="yellow"/>
        </w:rPr>
      </w:pPr>
    </w:p>
    <w:p w14:paraId="40AE43ED" w14:textId="77777777" w:rsidR="002B685A" w:rsidRPr="002B685A" w:rsidRDefault="002B685A" w:rsidP="00441B6F">
      <w:pPr>
        <w:pStyle w:val="ReferHead"/>
        <w:spacing w:after="0"/>
        <w:jc w:val="both"/>
        <w:rPr>
          <w:rFonts w:ascii="Arial" w:hAnsi="Arial" w:cs="Arial"/>
          <w:bCs/>
        </w:rPr>
      </w:pPr>
    </w:p>
    <w:p w14:paraId="314BDA05" w14:textId="77777777" w:rsidR="00860000" w:rsidRDefault="00860000" w:rsidP="00441B6F">
      <w:pPr>
        <w:pStyle w:val="ReferHead"/>
        <w:spacing w:after="0"/>
        <w:jc w:val="both"/>
        <w:rPr>
          <w:rFonts w:ascii="Arial" w:hAnsi="Arial" w:cs="Arial"/>
        </w:rPr>
      </w:pPr>
    </w:p>
    <w:p w14:paraId="45F7AE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E8D045" w14:textId="77777777" w:rsidR="00790ADA" w:rsidRPr="00FB3A86" w:rsidRDefault="00790ADA" w:rsidP="00441B6F">
      <w:pPr>
        <w:pStyle w:val="ReferHead"/>
        <w:spacing w:after="0"/>
        <w:jc w:val="both"/>
        <w:rPr>
          <w:rFonts w:ascii="Arial" w:hAnsi="Arial" w:cs="Arial"/>
        </w:rPr>
      </w:pPr>
    </w:p>
    <w:p w14:paraId="1D30F04B" w14:textId="34AD96D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Ferraro</w:t>
      </w:r>
      <w:r>
        <w:rPr>
          <w:rFonts w:ascii="Arial" w:hAnsi="Arial" w:cs="Arial"/>
        </w:rPr>
        <w:t>,</w:t>
      </w:r>
      <w:r w:rsidRPr="005E0BDB">
        <w:rPr>
          <w:rFonts w:ascii="Arial" w:hAnsi="Arial" w:cs="Arial"/>
        </w:rPr>
        <w:t xml:space="preserve"> V., Piccirillo</w:t>
      </w:r>
      <w:r>
        <w:rPr>
          <w:rFonts w:ascii="Arial" w:hAnsi="Arial" w:cs="Arial"/>
        </w:rPr>
        <w:t>,</w:t>
      </w:r>
      <w:r w:rsidRPr="005E0BDB">
        <w:rPr>
          <w:rFonts w:ascii="Arial" w:hAnsi="Arial" w:cs="Arial"/>
        </w:rPr>
        <w:t xml:space="preserve"> C., Tomlins</w:t>
      </w:r>
      <w:r>
        <w:rPr>
          <w:rFonts w:ascii="Arial" w:hAnsi="Arial" w:cs="Arial"/>
        </w:rPr>
        <w:t>,</w:t>
      </w:r>
      <w:r w:rsidRPr="005E0BDB">
        <w:rPr>
          <w:rFonts w:ascii="Arial" w:hAnsi="Arial" w:cs="Arial"/>
        </w:rPr>
        <w:t xml:space="preserve"> K. I., </w:t>
      </w:r>
      <w:r>
        <w:rPr>
          <w:rFonts w:ascii="Arial" w:hAnsi="Arial" w:cs="Arial"/>
        </w:rPr>
        <w:t xml:space="preserve">&amp; </w:t>
      </w:r>
      <w:r w:rsidRPr="005E0BDB">
        <w:rPr>
          <w:rFonts w:ascii="Arial" w:hAnsi="Arial" w:cs="Arial"/>
        </w:rPr>
        <w:t xml:space="preserve">Pintado M. E. </w:t>
      </w:r>
      <w:r>
        <w:rPr>
          <w:rFonts w:ascii="Arial" w:hAnsi="Arial" w:cs="Arial"/>
        </w:rPr>
        <w:t>(2016).</w:t>
      </w:r>
      <w:r w:rsidRPr="005E0BDB">
        <w:rPr>
          <w:rFonts w:ascii="Arial" w:hAnsi="Arial" w:cs="Arial"/>
        </w:rPr>
        <w:t xml:space="preserve"> Cassava (Manihot esculenta Crantz) and Yam (Dioscorea spp.) Crops and Their Derived Foodstuffs: Safety, Security and Nutritional Value. </w:t>
      </w:r>
      <w:r w:rsidR="00FF4AD8" w:rsidRPr="00FF4AD8">
        <w:rPr>
          <w:rFonts w:ascii="Arial" w:hAnsi="Arial" w:cs="Arial"/>
        </w:rPr>
        <w:t>Critical Reviews in Food Science and Nutrition, 56, 2714 - 2727. https://doi.org/10.1080/10408398.2014.922045</w:t>
      </w:r>
    </w:p>
    <w:p w14:paraId="797F352D" w14:textId="35EAF0A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Li</w:t>
      </w:r>
      <w:r w:rsidR="00EB4BF2">
        <w:rPr>
          <w:rFonts w:ascii="Arial" w:hAnsi="Arial" w:cs="Arial"/>
        </w:rPr>
        <w:t>,</w:t>
      </w:r>
      <w:r w:rsidRPr="005E0BDB">
        <w:rPr>
          <w:rFonts w:ascii="Arial" w:hAnsi="Arial" w:cs="Arial"/>
        </w:rPr>
        <w:t xml:space="preserve"> S., Cui</w:t>
      </w:r>
      <w:r w:rsidR="00EB4BF2">
        <w:rPr>
          <w:rFonts w:ascii="Arial" w:hAnsi="Arial" w:cs="Arial"/>
        </w:rPr>
        <w:t>,</w:t>
      </w:r>
      <w:r w:rsidRPr="005E0BDB">
        <w:rPr>
          <w:rFonts w:ascii="Arial" w:hAnsi="Arial" w:cs="Arial"/>
        </w:rPr>
        <w:t xml:space="preserve"> Y., Zhou</w:t>
      </w:r>
      <w:r w:rsidR="00EB4BF2">
        <w:rPr>
          <w:rFonts w:ascii="Arial" w:hAnsi="Arial" w:cs="Arial"/>
        </w:rPr>
        <w:t>,</w:t>
      </w:r>
      <w:r w:rsidRPr="005E0BDB">
        <w:rPr>
          <w:rFonts w:ascii="Arial" w:hAnsi="Arial" w:cs="Arial"/>
        </w:rPr>
        <w:t xml:space="preserve"> Y., Luo</w:t>
      </w:r>
      <w:r w:rsidR="00EB4BF2">
        <w:rPr>
          <w:rFonts w:ascii="Arial" w:hAnsi="Arial" w:cs="Arial"/>
        </w:rPr>
        <w:t>,</w:t>
      </w:r>
      <w:r w:rsidRPr="005E0BDB">
        <w:rPr>
          <w:rFonts w:ascii="Arial" w:hAnsi="Arial" w:cs="Arial"/>
        </w:rPr>
        <w:t xml:space="preserve"> Z., Liu</w:t>
      </w:r>
      <w:r w:rsidR="00EB4BF2">
        <w:rPr>
          <w:rFonts w:ascii="Arial" w:hAnsi="Arial" w:cs="Arial"/>
        </w:rPr>
        <w:t>,</w:t>
      </w:r>
      <w:r w:rsidRPr="005E0BDB">
        <w:rPr>
          <w:rFonts w:ascii="Arial" w:hAnsi="Arial" w:cs="Arial"/>
        </w:rPr>
        <w:t xml:space="preserve"> J., </w:t>
      </w:r>
      <w:r w:rsidR="00EB4BF2">
        <w:rPr>
          <w:rFonts w:ascii="Arial" w:hAnsi="Arial" w:cs="Arial"/>
        </w:rPr>
        <w:t xml:space="preserve">&amp; </w:t>
      </w:r>
      <w:r w:rsidRPr="005E0BDB">
        <w:rPr>
          <w:rFonts w:ascii="Arial" w:hAnsi="Arial" w:cs="Arial"/>
        </w:rPr>
        <w:t xml:space="preserve">Zhao M. </w:t>
      </w:r>
      <w:r w:rsidR="00EB4BF2">
        <w:rPr>
          <w:rFonts w:ascii="Arial" w:hAnsi="Arial" w:cs="Arial"/>
        </w:rPr>
        <w:t>(2017).</w:t>
      </w:r>
      <w:r w:rsidRPr="005E0BDB">
        <w:rPr>
          <w:rFonts w:ascii="Arial" w:hAnsi="Arial" w:cs="Arial"/>
        </w:rPr>
        <w:t xml:space="preserve"> The industrial applications of cassava: current status, opportunities and prospects. </w:t>
      </w:r>
      <w:r w:rsidR="00EB4BF2" w:rsidRPr="00EB4BF2">
        <w:rPr>
          <w:rFonts w:ascii="Arial" w:hAnsi="Arial" w:cs="Arial"/>
        </w:rPr>
        <w:t>Journal of the science of food and agriculture, 97 8, 2282-2290. https://doi.org/10.1002/jsfa.8287</w:t>
      </w:r>
    </w:p>
    <w:p w14:paraId="2027E793" w14:textId="5867857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Howeler</w:t>
      </w:r>
      <w:proofErr w:type="spellEnd"/>
      <w:r w:rsidR="00BB7DEB">
        <w:rPr>
          <w:rFonts w:ascii="Arial" w:hAnsi="Arial" w:cs="Arial"/>
        </w:rPr>
        <w:t>,</w:t>
      </w:r>
      <w:r w:rsidRPr="005E0BDB">
        <w:rPr>
          <w:rFonts w:ascii="Arial" w:hAnsi="Arial" w:cs="Arial"/>
        </w:rPr>
        <w:t xml:space="preserve"> R. H. (</w:t>
      </w:r>
      <w:r w:rsidR="0007401D">
        <w:rPr>
          <w:rFonts w:ascii="Arial" w:hAnsi="Arial" w:cs="Arial"/>
        </w:rPr>
        <w:t>2010</w:t>
      </w:r>
      <w:r w:rsidRPr="005E0BDB">
        <w:rPr>
          <w:rFonts w:ascii="Arial" w:hAnsi="Arial" w:cs="Arial"/>
        </w:rPr>
        <w:t xml:space="preserve">). International Center for Tropical Agriculture (CIAT). A new future for Cassava in Asia. Its use a free food and fuel to benefit the poor. CIAT, Cassava Program, Bangkok, TH. </w:t>
      </w:r>
    </w:p>
    <w:p w14:paraId="35EBBF5B" w14:textId="2319FB4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Panghal</w:t>
      </w:r>
      <w:proofErr w:type="spellEnd"/>
      <w:r w:rsidR="00D42C6A">
        <w:rPr>
          <w:rFonts w:ascii="Arial" w:hAnsi="Arial" w:cs="Arial"/>
        </w:rPr>
        <w:t>,</w:t>
      </w:r>
      <w:r w:rsidRPr="005E0BDB">
        <w:rPr>
          <w:rFonts w:ascii="Arial" w:hAnsi="Arial" w:cs="Arial"/>
        </w:rPr>
        <w:t xml:space="preserve"> A., Munezero</w:t>
      </w:r>
      <w:r w:rsidR="00D42C6A">
        <w:rPr>
          <w:rFonts w:ascii="Arial" w:hAnsi="Arial" w:cs="Arial"/>
        </w:rPr>
        <w:t>,</w:t>
      </w:r>
      <w:r w:rsidRPr="005E0BDB">
        <w:rPr>
          <w:rFonts w:ascii="Arial" w:hAnsi="Arial" w:cs="Arial"/>
        </w:rPr>
        <w:t xml:space="preserve"> C., Sharma</w:t>
      </w:r>
      <w:r w:rsidR="00D42C6A">
        <w:rPr>
          <w:rFonts w:ascii="Arial" w:hAnsi="Arial" w:cs="Arial"/>
        </w:rPr>
        <w:t>,</w:t>
      </w:r>
      <w:r w:rsidRPr="005E0BDB">
        <w:rPr>
          <w:rFonts w:ascii="Arial" w:hAnsi="Arial" w:cs="Arial"/>
        </w:rPr>
        <w:t xml:space="preserve"> P., </w:t>
      </w:r>
      <w:r w:rsidR="00D42C6A">
        <w:rPr>
          <w:rFonts w:ascii="Arial" w:hAnsi="Arial" w:cs="Arial"/>
        </w:rPr>
        <w:t xml:space="preserve">&amp; </w:t>
      </w:r>
      <w:proofErr w:type="spellStart"/>
      <w:r w:rsidRPr="005E0BDB">
        <w:rPr>
          <w:rFonts w:ascii="Arial" w:hAnsi="Arial" w:cs="Arial"/>
        </w:rPr>
        <w:t>Chhikara</w:t>
      </w:r>
      <w:proofErr w:type="spellEnd"/>
      <w:r w:rsidRPr="005E0BDB">
        <w:rPr>
          <w:rFonts w:ascii="Arial" w:hAnsi="Arial" w:cs="Arial"/>
        </w:rPr>
        <w:t xml:space="preserve"> N. </w:t>
      </w:r>
      <w:r w:rsidR="00D42C6A">
        <w:rPr>
          <w:rFonts w:ascii="Arial" w:hAnsi="Arial" w:cs="Arial"/>
        </w:rPr>
        <w:t>(2019).</w:t>
      </w:r>
      <w:r w:rsidRPr="005E0BDB">
        <w:rPr>
          <w:rFonts w:ascii="Arial" w:hAnsi="Arial" w:cs="Arial"/>
        </w:rPr>
        <w:t xml:space="preserve"> Cassava toxicity, detoxification and its food applications: a review. </w:t>
      </w:r>
      <w:r w:rsidR="00B42493" w:rsidRPr="00B42493">
        <w:rPr>
          <w:rFonts w:ascii="Arial" w:hAnsi="Arial" w:cs="Arial"/>
        </w:rPr>
        <w:t>Toxin Reviews, 40, 1 - 16. https://doi.org/10.1080/15569543.2018.1560334</w:t>
      </w:r>
    </w:p>
    <w:p w14:paraId="3018CE71" w14:textId="631F384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 xml:space="preserve">Philippine Statistics Authority </w:t>
      </w:r>
      <w:r w:rsidR="002C0C99">
        <w:rPr>
          <w:rFonts w:ascii="Arial" w:hAnsi="Arial" w:cs="Arial"/>
        </w:rPr>
        <w:t>(2018).</w:t>
      </w:r>
      <w:r w:rsidRPr="005E0BDB">
        <w:rPr>
          <w:rFonts w:ascii="Arial" w:hAnsi="Arial" w:cs="Arial"/>
        </w:rPr>
        <w:t xml:space="preserve"> Crops Statistics of the Philippines 2012-2016. Bureau of Agricultural Statistics, Department of Agri-culture, Quezon City, Philippines. </w:t>
      </w:r>
      <w:r w:rsidR="002C0C99" w:rsidRPr="002C0C99">
        <w:rPr>
          <w:rFonts w:ascii="Arial" w:hAnsi="Arial" w:cs="Arial"/>
        </w:rPr>
        <w:t>https://psa.gov.ph/system/files/main-publication/Selected%2520Statistics%2520on%2520Agriculture%25202018.pdf</w:t>
      </w:r>
    </w:p>
    <w:p w14:paraId="42B48A5C" w14:textId="3E95CE8D"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 xml:space="preserve">National Academy of Science and Technology </w:t>
      </w:r>
      <w:r w:rsidR="0062568F">
        <w:rPr>
          <w:rFonts w:ascii="Arial" w:hAnsi="Arial" w:cs="Arial"/>
        </w:rPr>
        <w:t>(2024).</w:t>
      </w:r>
      <w:r w:rsidRPr="005E0BDB">
        <w:rPr>
          <w:rFonts w:ascii="Arial" w:hAnsi="Arial" w:cs="Arial"/>
        </w:rPr>
        <w:t xml:space="preserve"> Unearthing the potential of the cassava industry. Available in: https://nast.dost.gov.ph/index.php/13-news-press-releases/793-unearthing-the-potential-of-the-cassava-industry#:~:text=The%20top%20producing%20region%20is,thousand%20metric%20tons%20(6.7%25).</w:t>
      </w:r>
    </w:p>
    <w:p w14:paraId="232CC5F0" w14:textId="7957EF6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Howeler</w:t>
      </w:r>
      <w:proofErr w:type="spellEnd"/>
      <w:r w:rsidR="00CA0CF6">
        <w:rPr>
          <w:rFonts w:ascii="Arial" w:hAnsi="Arial" w:cs="Arial"/>
        </w:rPr>
        <w:t>,</w:t>
      </w:r>
      <w:r w:rsidRPr="005E0BDB">
        <w:rPr>
          <w:rFonts w:ascii="Arial" w:hAnsi="Arial" w:cs="Arial"/>
        </w:rPr>
        <w:t xml:space="preserve"> R. H., </w:t>
      </w:r>
      <w:proofErr w:type="spellStart"/>
      <w:r w:rsidRPr="005E0BDB">
        <w:rPr>
          <w:rFonts w:ascii="Arial" w:hAnsi="Arial" w:cs="Arial"/>
        </w:rPr>
        <w:t>Lutaladio</w:t>
      </w:r>
      <w:proofErr w:type="spellEnd"/>
      <w:r w:rsidR="00CA0CF6">
        <w:rPr>
          <w:rFonts w:ascii="Arial" w:hAnsi="Arial" w:cs="Arial"/>
        </w:rPr>
        <w:t>,</w:t>
      </w:r>
      <w:r w:rsidRPr="005E0BDB">
        <w:rPr>
          <w:rFonts w:ascii="Arial" w:hAnsi="Arial" w:cs="Arial"/>
        </w:rPr>
        <w:t xml:space="preserve"> N., </w:t>
      </w:r>
      <w:r w:rsidR="00CA0CF6">
        <w:rPr>
          <w:rFonts w:ascii="Arial" w:hAnsi="Arial" w:cs="Arial"/>
        </w:rPr>
        <w:t xml:space="preserve">&amp; </w:t>
      </w:r>
      <w:r w:rsidRPr="005E0BDB">
        <w:rPr>
          <w:rFonts w:ascii="Arial" w:hAnsi="Arial" w:cs="Arial"/>
        </w:rPr>
        <w:t>Thomas</w:t>
      </w:r>
      <w:r w:rsidR="00CA0CF6">
        <w:rPr>
          <w:rFonts w:ascii="Arial" w:hAnsi="Arial" w:cs="Arial"/>
        </w:rPr>
        <w:t>,</w:t>
      </w:r>
      <w:r w:rsidRPr="005E0BDB">
        <w:rPr>
          <w:rFonts w:ascii="Arial" w:hAnsi="Arial" w:cs="Arial"/>
        </w:rPr>
        <w:t xml:space="preserve"> G. </w:t>
      </w:r>
      <w:r w:rsidR="00CA0CF6">
        <w:rPr>
          <w:rFonts w:ascii="Arial" w:hAnsi="Arial" w:cs="Arial"/>
        </w:rPr>
        <w:t>(2013).</w:t>
      </w:r>
      <w:r w:rsidRPr="005E0BDB">
        <w:rPr>
          <w:rFonts w:ascii="Arial" w:hAnsi="Arial" w:cs="Arial"/>
        </w:rPr>
        <w:t> Save and grow: cassava: a guide to sustainable production intensification, Rome</w:t>
      </w:r>
      <w:r w:rsidR="00CA0CF6">
        <w:rPr>
          <w:rFonts w:ascii="Arial" w:hAnsi="Arial" w:cs="Arial"/>
        </w:rPr>
        <w:t xml:space="preserve">, </w:t>
      </w:r>
      <w:r w:rsidRPr="005E0BDB">
        <w:rPr>
          <w:rFonts w:ascii="Arial" w:hAnsi="Arial" w:cs="Arial"/>
        </w:rPr>
        <w:t>1-129.</w:t>
      </w:r>
    </w:p>
    <w:p w14:paraId="07B24BDA" w14:textId="57A2B08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Byju</w:t>
      </w:r>
      <w:proofErr w:type="spellEnd"/>
      <w:r w:rsidR="00CA0CF6">
        <w:rPr>
          <w:rFonts w:ascii="Arial" w:hAnsi="Arial" w:cs="Arial"/>
        </w:rPr>
        <w:t>,</w:t>
      </w:r>
      <w:r w:rsidRPr="005E0BDB">
        <w:rPr>
          <w:rFonts w:ascii="Arial" w:hAnsi="Arial" w:cs="Arial"/>
        </w:rPr>
        <w:t xml:space="preserve"> G., </w:t>
      </w:r>
      <w:proofErr w:type="spellStart"/>
      <w:r w:rsidRPr="005E0BDB">
        <w:rPr>
          <w:rFonts w:ascii="Arial" w:hAnsi="Arial" w:cs="Arial"/>
        </w:rPr>
        <w:t>Nedunchezhiyan</w:t>
      </w:r>
      <w:proofErr w:type="spellEnd"/>
      <w:r w:rsidR="00CA0CF6">
        <w:rPr>
          <w:rFonts w:ascii="Arial" w:hAnsi="Arial" w:cs="Arial"/>
        </w:rPr>
        <w:t>,</w:t>
      </w:r>
      <w:r w:rsidRPr="005E0BDB">
        <w:rPr>
          <w:rFonts w:ascii="Arial" w:hAnsi="Arial" w:cs="Arial"/>
        </w:rPr>
        <w:t xml:space="preserve"> M., George</w:t>
      </w:r>
      <w:r w:rsidR="00CA0CF6">
        <w:rPr>
          <w:rFonts w:ascii="Arial" w:hAnsi="Arial" w:cs="Arial"/>
        </w:rPr>
        <w:t>,</w:t>
      </w:r>
      <w:r w:rsidRPr="005E0BDB">
        <w:rPr>
          <w:rFonts w:ascii="Arial" w:hAnsi="Arial" w:cs="Arial"/>
        </w:rPr>
        <w:t xml:space="preserve"> J., Sunitha</w:t>
      </w:r>
      <w:r w:rsidR="00CA0CF6">
        <w:rPr>
          <w:rFonts w:ascii="Arial" w:hAnsi="Arial" w:cs="Arial"/>
        </w:rPr>
        <w:t>,</w:t>
      </w:r>
      <w:r w:rsidRPr="005E0BDB">
        <w:rPr>
          <w:rFonts w:ascii="Arial" w:hAnsi="Arial" w:cs="Arial"/>
        </w:rPr>
        <w:t xml:space="preserve"> S., Soman</w:t>
      </w:r>
      <w:r w:rsidR="00CA0CF6">
        <w:rPr>
          <w:rFonts w:ascii="Arial" w:hAnsi="Arial" w:cs="Arial"/>
        </w:rPr>
        <w:t>,</w:t>
      </w:r>
      <w:r w:rsidRPr="005E0BDB">
        <w:rPr>
          <w:rFonts w:ascii="Arial" w:hAnsi="Arial" w:cs="Arial"/>
        </w:rPr>
        <w:t xml:space="preserve"> S., </w:t>
      </w:r>
      <w:r w:rsidR="00CA0CF6">
        <w:rPr>
          <w:rFonts w:ascii="Arial" w:hAnsi="Arial" w:cs="Arial"/>
        </w:rPr>
        <w:t xml:space="preserve">&amp; </w:t>
      </w:r>
      <w:r w:rsidRPr="005E0BDB">
        <w:rPr>
          <w:rFonts w:ascii="Arial" w:hAnsi="Arial" w:cs="Arial"/>
        </w:rPr>
        <w:t>Hridya</w:t>
      </w:r>
      <w:r w:rsidR="00CA0CF6">
        <w:rPr>
          <w:rFonts w:ascii="Arial" w:hAnsi="Arial" w:cs="Arial"/>
        </w:rPr>
        <w:t>,</w:t>
      </w:r>
      <w:r w:rsidRPr="005E0BDB">
        <w:rPr>
          <w:rFonts w:ascii="Arial" w:hAnsi="Arial" w:cs="Arial"/>
        </w:rPr>
        <w:t xml:space="preserve"> A. C. </w:t>
      </w:r>
      <w:r w:rsidR="00CA0CF6">
        <w:rPr>
          <w:rFonts w:ascii="Arial" w:hAnsi="Arial" w:cs="Arial"/>
        </w:rPr>
        <w:t>(2020).</w:t>
      </w:r>
      <w:r w:rsidRPr="005E0BDB">
        <w:rPr>
          <w:rFonts w:ascii="Arial" w:hAnsi="Arial" w:cs="Arial"/>
        </w:rPr>
        <w:t xml:space="preserve"> Evaluation of fertilizer best management practices by SSNM and customized fertilizers for cassava (Manihot esculenta) cultivation in India. </w:t>
      </w:r>
      <w:r w:rsidR="00F23FEB" w:rsidRPr="00F23FEB">
        <w:rPr>
          <w:rFonts w:ascii="Arial" w:hAnsi="Arial" w:cs="Arial"/>
        </w:rPr>
        <w:t>Current Horticulture, 8(1), 56-64. https://doi.org/10.5958/2455-7560.2020.00011.4</w:t>
      </w:r>
    </w:p>
    <w:p w14:paraId="5E149E7E" w14:textId="45917EDE"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lastRenderedPageBreak/>
        <w:t>Fermont</w:t>
      </w:r>
      <w:r w:rsidR="00CE2475">
        <w:rPr>
          <w:rFonts w:ascii="Arial" w:hAnsi="Arial" w:cs="Arial"/>
        </w:rPr>
        <w:t>,</w:t>
      </w:r>
      <w:r w:rsidRPr="005E0BDB">
        <w:rPr>
          <w:rFonts w:ascii="Arial" w:hAnsi="Arial" w:cs="Arial"/>
        </w:rPr>
        <w:t xml:space="preserve"> A. M. </w:t>
      </w:r>
      <w:r w:rsidR="00CE2475">
        <w:rPr>
          <w:rFonts w:ascii="Arial" w:hAnsi="Arial" w:cs="Arial"/>
        </w:rPr>
        <w:t>(2019).</w:t>
      </w:r>
      <w:r w:rsidRPr="005E0BDB">
        <w:rPr>
          <w:rFonts w:ascii="Arial" w:hAnsi="Arial" w:cs="Arial"/>
        </w:rPr>
        <w:t> Cassava and soil fertility in intensifying smallholder farming systems of East Africa. Wageningen University and Research.</w:t>
      </w:r>
    </w:p>
    <w:p w14:paraId="58113FBC" w14:textId="71276C9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Tamburini</w:t>
      </w:r>
      <w:r w:rsidR="00CE2475" w:rsidRPr="00CE2475">
        <w:rPr>
          <w:rFonts w:ascii="Arial" w:hAnsi="Arial" w:cs="Arial"/>
          <w:lang w:val="nb-NO"/>
        </w:rPr>
        <w:t>,</w:t>
      </w:r>
      <w:r w:rsidRPr="005E0BDB">
        <w:rPr>
          <w:rFonts w:ascii="Arial" w:hAnsi="Arial" w:cs="Arial"/>
          <w:lang w:val="nb-NO"/>
        </w:rPr>
        <w:t xml:space="preserve"> G., Bommarco</w:t>
      </w:r>
      <w:r w:rsidR="00CE2475" w:rsidRPr="00CE2475">
        <w:rPr>
          <w:rFonts w:ascii="Arial" w:hAnsi="Arial" w:cs="Arial"/>
          <w:lang w:val="nb-NO"/>
        </w:rPr>
        <w:t>,</w:t>
      </w:r>
      <w:r w:rsidRPr="005E0BDB">
        <w:rPr>
          <w:rFonts w:ascii="Arial" w:hAnsi="Arial" w:cs="Arial"/>
          <w:lang w:val="nb-NO"/>
        </w:rPr>
        <w:t xml:space="preserve"> R., Wanger</w:t>
      </w:r>
      <w:r w:rsidR="00CE2475" w:rsidRPr="00CE2475">
        <w:rPr>
          <w:rFonts w:ascii="Arial" w:hAnsi="Arial" w:cs="Arial"/>
          <w:lang w:val="nb-NO"/>
        </w:rPr>
        <w:t>,</w:t>
      </w:r>
      <w:r w:rsidRPr="005E0BDB">
        <w:rPr>
          <w:rFonts w:ascii="Arial" w:hAnsi="Arial" w:cs="Arial"/>
          <w:lang w:val="nb-NO"/>
        </w:rPr>
        <w:t xml:space="preserve"> T. C., Kremen</w:t>
      </w:r>
      <w:r w:rsidR="00CE2475" w:rsidRPr="00CE2475">
        <w:rPr>
          <w:rFonts w:ascii="Arial" w:hAnsi="Arial" w:cs="Arial"/>
          <w:lang w:val="nb-NO"/>
        </w:rPr>
        <w:t>,</w:t>
      </w:r>
      <w:r w:rsidRPr="005E0BDB">
        <w:rPr>
          <w:rFonts w:ascii="Arial" w:hAnsi="Arial" w:cs="Arial"/>
          <w:lang w:val="nb-NO"/>
        </w:rPr>
        <w:t xml:space="preserve"> C., Van Der Heijden</w:t>
      </w:r>
      <w:r w:rsidR="00CE2475" w:rsidRPr="00CE2475">
        <w:rPr>
          <w:rFonts w:ascii="Arial" w:hAnsi="Arial" w:cs="Arial"/>
          <w:lang w:val="nb-NO"/>
        </w:rPr>
        <w:t>,</w:t>
      </w:r>
      <w:r w:rsidRPr="005E0BDB">
        <w:rPr>
          <w:rFonts w:ascii="Arial" w:hAnsi="Arial" w:cs="Arial"/>
          <w:lang w:val="nb-NO"/>
        </w:rPr>
        <w:t xml:space="preserve"> M. G., Liebman</w:t>
      </w:r>
      <w:r w:rsidR="00CE2475" w:rsidRPr="00CE2475">
        <w:rPr>
          <w:rFonts w:ascii="Arial" w:hAnsi="Arial" w:cs="Arial"/>
          <w:lang w:val="nb-NO"/>
        </w:rPr>
        <w:t>,</w:t>
      </w:r>
      <w:r w:rsidRPr="005E0BDB">
        <w:rPr>
          <w:rFonts w:ascii="Arial" w:hAnsi="Arial" w:cs="Arial"/>
          <w:lang w:val="nb-NO"/>
        </w:rPr>
        <w:t xml:space="preserve"> M.,</w:t>
      </w:r>
      <w:r w:rsidR="00CE2475" w:rsidRPr="00CE2475">
        <w:rPr>
          <w:rFonts w:ascii="Arial" w:hAnsi="Arial" w:cs="Arial"/>
          <w:lang w:val="nb-NO"/>
        </w:rPr>
        <w:t xml:space="preserve"> &amp;</w:t>
      </w:r>
      <w:r w:rsidRPr="005E0BDB">
        <w:rPr>
          <w:rFonts w:ascii="Arial" w:hAnsi="Arial" w:cs="Arial"/>
          <w:lang w:val="nb-NO"/>
        </w:rPr>
        <w:t xml:space="preserve"> Hallin, S. (2020). </w:t>
      </w:r>
      <w:r w:rsidRPr="005E0BDB">
        <w:rPr>
          <w:rFonts w:ascii="Arial" w:hAnsi="Arial" w:cs="Arial"/>
        </w:rPr>
        <w:t>Agricultural diversification promotes multiple ecosystem services without compromising yield. Science Advances, 6 (45)</w:t>
      </w:r>
      <w:r w:rsidR="00CE2475">
        <w:rPr>
          <w:rFonts w:ascii="Arial" w:hAnsi="Arial" w:cs="Arial"/>
        </w:rPr>
        <w:t>,</w:t>
      </w:r>
      <w:r w:rsidRPr="005E0BDB">
        <w:rPr>
          <w:rFonts w:ascii="Arial" w:hAnsi="Arial" w:cs="Arial"/>
        </w:rPr>
        <w:t xml:space="preserve"> 1-8. </w:t>
      </w:r>
      <w:r w:rsidR="00CE2475" w:rsidRPr="00CE2475">
        <w:rPr>
          <w:rFonts w:ascii="Arial" w:hAnsi="Arial" w:cs="Arial"/>
        </w:rPr>
        <w:t>https://doi.org/10.1126/sciadv.aba1715</w:t>
      </w:r>
    </w:p>
    <w:p w14:paraId="28C6E1B8" w14:textId="7768295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De Heij</w:t>
      </w:r>
      <w:r w:rsidR="00571A2B" w:rsidRPr="00571A2B">
        <w:rPr>
          <w:rFonts w:ascii="Arial" w:hAnsi="Arial" w:cs="Arial"/>
          <w:lang w:val="nb-NO"/>
        </w:rPr>
        <w:t>,</w:t>
      </w:r>
      <w:r w:rsidRPr="005E0BDB">
        <w:rPr>
          <w:rFonts w:ascii="Arial" w:hAnsi="Arial" w:cs="Arial"/>
          <w:lang w:val="nb-NO"/>
        </w:rPr>
        <w:t xml:space="preserve"> S. E., </w:t>
      </w:r>
      <w:r w:rsidR="00571A2B" w:rsidRPr="00571A2B">
        <w:rPr>
          <w:rFonts w:ascii="Arial" w:hAnsi="Arial" w:cs="Arial"/>
          <w:lang w:val="nb-NO"/>
        </w:rPr>
        <w:t xml:space="preserve">&amp; </w:t>
      </w:r>
      <w:r w:rsidRPr="005E0BDB">
        <w:rPr>
          <w:rFonts w:ascii="Arial" w:hAnsi="Arial" w:cs="Arial"/>
          <w:lang w:val="nb-NO"/>
        </w:rPr>
        <w:t xml:space="preserve">Willenborg C. J. </w:t>
      </w:r>
      <w:r w:rsidR="00571A2B" w:rsidRPr="00571A2B">
        <w:rPr>
          <w:rFonts w:ascii="Arial" w:hAnsi="Arial" w:cs="Arial"/>
          <w:lang w:val="nb-NO"/>
        </w:rPr>
        <w:t>(2020).</w:t>
      </w:r>
      <w:r w:rsidRPr="005E0BDB">
        <w:rPr>
          <w:rFonts w:ascii="Arial" w:hAnsi="Arial" w:cs="Arial"/>
          <w:lang w:val="nb-NO"/>
        </w:rPr>
        <w:t xml:space="preserve"> </w:t>
      </w:r>
      <w:r w:rsidRPr="005E0BDB">
        <w:rPr>
          <w:rFonts w:ascii="Arial" w:hAnsi="Arial" w:cs="Arial"/>
        </w:rPr>
        <w:t>Connected carabids: Network interactions and their impact on biocontrol by carabid beetles. </w:t>
      </w:r>
      <w:proofErr w:type="spellStart"/>
      <w:r w:rsidRPr="005E0BDB">
        <w:rPr>
          <w:rFonts w:ascii="Arial" w:hAnsi="Arial" w:cs="Arial"/>
        </w:rPr>
        <w:t>BioScience</w:t>
      </w:r>
      <w:proofErr w:type="spellEnd"/>
      <w:r w:rsidRPr="005E0BDB">
        <w:rPr>
          <w:rFonts w:ascii="Arial" w:hAnsi="Arial" w:cs="Arial"/>
        </w:rPr>
        <w:t>, 70 (6)</w:t>
      </w:r>
      <w:r w:rsidR="00571A2B">
        <w:rPr>
          <w:rFonts w:ascii="Arial" w:hAnsi="Arial" w:cs="Arial"/>
        </w:rPr>
        <w:t>,</w:t>
      </w:r>
      <w:r w:rsidRPr="005E0BDB">
        <w:rPr>
          <w:rFonts w:ascii="Arial" w:hAnsi="Arial" w:cs="Arial"/>
        </w:rPr>
        <w:t xml:space="preserve"> 490-500. </w:t>
      </w:r>
      <w:r w:rsidR="00571A2B" w:rsidRPr="00571A2B">
        <w:rPr>
          <w:rFonts w:ascii="Arial" w:hAnsi="Arial" w:cs="Arial"/>
        </w:rPr>
        <w:t>https://doi.org/10.1093/biosci/biaa039</w:t>
      </w:r>
    </w:p>
    <w:p w14:paraId="70CE2230" w14:textId="1722B0A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Trognitz</w:t>
      </w:r>
      <w:proofErr w:type="spellEnd"/>
      <w:r w:rsidR="00571A2B">
        <w:rPr>
          <w:rFonts w:ascii="Arial" w:hAnsi="Arial" w:cs="Arial"/>
        </w:rPr>
        <w:t>,</w:t>
      </w:r>
      <w:r w:rsidRPr="005E0BDB">
        <w:rPr>
          <w:rFonts w:ascii="Arial" w:hAnsi="Arial" w:cs="Arial"/>
        </w:rPr>
        <w:t xml:space="preserve"> F., Hackl</w:t>
      </w:r>
      <w:r w:rsidR="00571A2B">
        <w:rPr>
          <w:rFonts w:ascii="Arial" w:hAnsi="Arial" w:cs="Arial"/>
        </w:rPr>
        <w:t>,</w:t>
      </w:r>
      <w:r w:rsidRPr="005E0BDB">
        <w:rPr>
          <w:rFonts w:ascii="Arial" w:hAnsi="Arial" w:cs="Arial"/>
        </w:rPr>
        <w:t xml:space="preserve"> E., Widhalm, S., </w:t>
      </w:r>
      <w:r w:rsidR="00571A2B">
        <w:rPr>
          <w:rFonts w:ascii="Arial" w:hAnsi="Arial" w:cs="Arial"/>
        </w:rPr>
        <w:t xml:space="preserve">&amp; </w:t>
      </w:r>
      <w:proofErr w:type="spellStart"/>
      <w:r w:rsidRPr="005E0BDB">
        <w:rPr>
          <w:rFonts w:ascii="Arial" w:hAnsi="Arial" w:cs="Arial"/>
        </w:rPr>
        <w:t>Sessitsch</w:t>
      </w:r>
      <w:proofErr w:type="spellEnd"/>
      <w:r w:rsidRPr="005E0BDB">
        <w:rPr>
          <w:rFonts w:ascii="Arial" w:hAnsi="Arial" w:cs="Arial"/>
        </w:rPr>
        <w:t xml:space="preserve">, A. </w:t>
      </w:r>
      <w:r w:rsidR="00571A2B">
        <w:rPr>
          <w:rFonts w:ascii="Arial" w:hAnsi="Arial" w:cs="Arial"/>
        </w:rPr>
        <w:t>(2016).</w:t>
      </w:r>
      <w:r w:rsidRPr="005E0BDB">
        <w:rPr>
          <w:rFonts w:ascii="Arial" w:hAnsi="Arial" w:cs="Arial"/>
        </w:rPr>
        <w:t xml:space="preserve"> The role of plant–microbiome interactions in weed establishment and control. </w:t>
      </w:r>
      <w:r w:rsidR="00571A2B" w:rsidRPr="00571A2B">
        <w:rPr>
          <w:rFonts w:ascii="Arial" w:hAnsi="Arial" w:cs="Arial"/>
        </w:rPr>
        <w:t>FEMS Microbiology Ecology, 92(10), 1-15. https://doi.org/10.1093/femsec/fiw138</w:t>
      </w:r>
    </w:p>
    <w:p w14:paraId="2F027D2E" w14:textId="3AB20AA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Esposito</w:t>
      </w:r>
      <w:r w:rsidR="00DE0823">
        <w:rPr>
          <w:rFonts w:ascii="Arial" w:hAnsi="Arial" w:cs="Arial"/>
        </w:rPr>
        <w:t>,</w:t>
      </w:r>
      <w:r w:rsidRPr="005E0BDB">
        <w:rPr>
          <w:rFonts w:ascii="Arial" w:hAnsi="Arial" w:cs="Arial"/>
        </w:rPr>
        <w:t xml:space="preserve"> M., Westbrook</w:t>
      </w:r>
      <w:r w:rsidR="00DE0823">
        <w:rPr>
          <w:rFonts w:ascii="Arial" w:hAnsi="Arial" w:cs="Arial"/>
        </w:rPr>
        <w:t>,</w:t>
      </w:r>
      <w:r w:rsidRPr="005E0BDB">
        <w:rPr>
          <w:rFonts w:ascii="Arial" w:hAnsi="Arial" w:cs="Arial"/>
        </w:rPr>
        <w:t xml:space="preserve"> A. S., Maggio</w:t>
      </w:r>
      <w:r w:rsidR="00DE0823">
        <w:rPr>
          <w:rFonts w:ascii="Arial" w:hAnsi="Arial" w:cs="Arial"/>
        </w:rPr>
        <w:t>,</w:t>
      </w:r>
      <w:r w:rsidRPr="005E0BDB">
        <w:rPr>
          <w:rFonts w:ascii="Arial" w:hAnsi="Arial" w:cs="Arial"/>
        </w:rPr>
        <w:t xml:space="preserve"> A., Cirillo</w:t>
      </w:r>
      <w:r w:rsidR="00DE0823">
        <w:rPr>
          <w:rFonts w:ascii="Arial" w:hAnsi="Arial" w:cs="Arial"/>
        </w:rPr>
        <w:t>,</w:t>
      </w:r>
      <w:r w:rsidRPr="005E0BDB">
        <w:rPr>
          <w:rFonts w:ascii="Arial" w:hAnsi="Arial" w:cs="Arial"/>
        </w:rPr>
        <w:t xml:space="preserve"> V., </w:t>
      </w:r>
      <w:r w:rsidR="00DE0823">
        <w:rPr>
          <w:rFonts w:ascii="Arial" w:hAnsi="Arial" w:cs="Arial"/>
        </w:rPr>
        <w:t xml:space="preserve">&amp; </w:t>
      </w:r>
      <w:r w:rsidRPr="005E0BDB">
        <w:rPr>
          <w:rFonts w:ascii="Arial" w:hAnsi="Arial" w:cs="Arial"/>
        </w:rPr>
        <w:t xml:space="preserve">DiTommaso A. </w:t>
      </w:r>
      <w:r w:rsidR="00DE0823">
        <w:rPr>
          <w:rFonts w:ascii="Arial" w:hAnsi="Arial" w:cs="Arial"/>
        </w:rPr>
        <w:t>(2023).</w:t>
      </w:r>
      <w:r w:rsidRPr="005E0BDB">
        <w:rPr>
          <w:rFonts w:ascii="Arial" w:hAnsi="Arial" w:cs="Arial"/>
        </w:rPr>
        <w:t xml:space="preserve"> Neutral weed communities: The intersection between crop productivity, biodiversity, and weed ecosystem services. </w:t>
      </w:r>
      <w:r w:rsidR="00DE0823" w:rsidRPr="00DE0823">
        <w:rPr>
          <w:rFonts w:ascii="Arial" w:hAnsi="Arial" w:cs="Arial"/>
        </w:rPr>
        <w:t>Weed Science, 71, 301 - 311. https://doi.org/10.1017/wsc.2023.27</w:t>
      </w:r>
    </w:p>
    <w:p w14:paraId="0D891D5D" w14:textId="1072CC1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Sun</w:t>
      </w:r>
      <w:r w:rsidR="00DE0823">
        <w:rPr>
          <w:rFonts w:ascii="Arial" w:hAnsi="Arial" w:cs="Arial"/>
        </w:rPr>
        <w:t>,</w:t>
      </w:r>
      <w:r w:rsidRPr="005E0BDB">
        <w:rPr>
          <w:rFonts w:ascii="Arial" w:hAnsi="Arial" w:cs="Arial"/>
        </w:rPr>
        <w:t xml:space="preserve"> S., Liu</w:t>
      </w:r>
      <w:r w:rsidR="00DE0823">
        <w:rPr>
          <w:rFonts w:ascii="Arial" w:hAnsi="Arial" w:cs="Arial"/>
        </w:rPr>
        <w:t>,</w:t>
      </w:r>
      <w:r w:rsidRPr="005E0BDB">
        <w:rPr>
          <w:rFonts w:ascii="Arial" w:hAnsi="Arial" w:cs="Arial"/>
        </w:rPr>
        <w:t xml:space="preserve"> C., Zhang</w:t>
      </w:r>
      <w:r w:rsidR="00DE0823">
        <w:rPr>
          <w:rFonts w:ascii="Arial" w:hAnsi="Arial" w:cs="Arial"/>
        </w:rPr>
        <w:t>,</w:t>
      </w:r>
      <w:r w:rsidRPr="005E0BDB">
        <w:rPr>
          <w:rFonts w:ascii="Arial" w:hAnsi="Arial" w:cs="Arial"/>
        </w:rPr>
        <w:t xml:space="preserve"> Y., Yue</w:t>
      </w:r>
      <w:r w:rsidR="00DE0823">
        <w:rPr>
          <w:rFonts w:ascii="Arial" w:hAnsi="Arial" w:cs="Arial"/>
        </w:rPr>
        <w:t>,</w:t>
      </w:r>
      <w:r w:rsidRPr="005E0BDB">
        <w:rPr>
          <w:rFonts w:ascii="Arial" w:hAnsi="Arial" w:cs="Arial"/>
        </w:rPr>
        <w:t xml:space="preserve"> Y., Sun</w:t>
      </w:r>
      <w:r w:rsidR="00DE0823">
        <w:rPr>
          <w:rFonts w:ascii="Arial" w:hAnsi="Arial" w:cs="Arial"/>
        </w:rPr>
        <w:t>,</w:t>
      </w:r>
      <w:r w:rsidRPr="005E0BDB">
        <w:rPr>
          <w:rFonts w:ascii="Arial" w:hAnsi="Arial" w:cs="Arial"/>
        </w:rPr>
        <w:t xml:space="preserve"> S., Bai</w:t>
      </w:r>
      <w:r w:rsidR="00DE0823">
        <w:rPr>
          <w:rFonts w:ascii="Arial" w:hAnsi="Arial" w:cs="Arial"/>
        </w:rPr>
        <w:t>,</w:t>
      </w:r>
      <w:r w:rsidRPr="005E0BDB">
        <w:rPr>
          <w:rFonts w:ascii="Arial" w:hAnsi="Arial" w:cs="Arial"/>
        </w:rPr>
        <w:t xml:space="preserve"> Y., </w:t>
      </w:r>
      <w:r w:rsidR="00DE0823">
        <w:rPr>
          <w:rFonts w:ascii="Arial" w:hAnsi="Arial" w:cs="Arial"/>
        </w:rPr>
        <w:t xml:space="preserve">&amp; </w:t>
      </w:r>
      <w:r w:rsidRPr="005E0BDB">
        <w:rPr>
          <w:rFonts w:ascii="Arial" w:hAnsi="Arial" w:cs="Arial"/>
        </w:rPr>
        <w:t xml:space="preserve">Xiong, W. </w:t>
      </w:r>
      <w:r w:rsidR="00DE0823">
        <w:rPr>
          <w:rFonts w:ascii="Arial" w:hAnsi="Arial" w:cs="Arial"/>
        </w:rPr>
        <w:t>(2024).</w:t>
      </w:r>
      <w:r w:rsidRPr="005E0BDB">
        <w:rPr>
          <w:rFonts w:ascii="Arial" w:hAnsi="Arial" w:cs="Arial"/>
        </w:rPr>
        <w:t xml:space="preserve"> Divergent impacts of fertilization regimes on below-ground prokaryotic and eukaryotic communities in the Tibetan Plateau. </w:t>
      </w:r>
      <w:r w:rsidR="00AB4154" w:rsidRPr="00AB4154">
        <w:rPr>
          <w:rFonts w:ascii="Arial" w:hAnsi="Arial" w:cs="Arial"/>
        </w:rPr>
        <w:t>Journal of Environmental Management, 364, 121379. https://doi.org/10.1016/j.jenvman.2024.121379</w:t>
      </w:r>
    </w:p>
    <w:p w14:paraId="60382F7B" w14:textId="3108C65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Dang</w:t>
      </w:r>
      <w:r w:rsidR="0034145A">
        <w:rPr>
          <w:rFonts w:ascii="Arial" w:hAnsi="Arial" w:cs="Arial"/>
        </w:rPr>
        <w:t>,</w:t>
      </w:r>
      <w:r w:rsidRPr="005E0BDB">
        <w:rPr>
          <w:rFonts w:ascii="Arial" w:hAnsi="Arial" w:cs="Arial"/>
        </w:rPr>
        <w:t xml:space="preserve"> P., Li</w:t>
      </w:r>
      <w:r w:rsidR="0034145A">
        <w:rPr>
          <w:rFonts w:ascii="Arial" w:hAnsi="Arial" w:cs="Arial"/>
        </w:rPr>
        <w:t>,</w:t>
      </w:r>
      <w:r w:rsidRPr="005E0BDB">
        <w:rPr>
          <w:rFonts w:ascii="Arial" w:hAnsi="Arial" w:cs="Arial"/>
        </w:rPr>
        <w:t xml:space="preserve"> C., Lu</w:t>
      </w:r>
      <w:r w:rsidR="0034145A">
        <w:rPr>
          <w:rFonts w:ascii="Arial" w:hAnsi="Arial" w:cs="Arial"/>
        </w:rPr>
        <w:t>,</w:t>
      </w:r>
      <w:r w:rsidRPr="005E0BDB">
        <w:rPr>
          <w:rFonts w:ascii="Arial" w:hAnsi="Arial" w:cs="Arial"/>
        </w:rPr>
        <w:t xml:space="preserve"> C., Zhang</w:t>
      </w:r>
      <w:r w:rsidR="0034145A">
        <w:rPr>
          <w:rFonts w:ascii="Arial" w:hAnsi="Arial" w:cs="Arial"/>
        </w:rPr>
        <w:t>,</w:t>
      </w:r>
      <w:r w:rsidRPr="005E0BDB">
        <w:rPr>
          <w:rFonts w:ascii="Arial" w:hAnsi="Arial" w:cs="Arial"/>
        </w:rPr>
        <w:t xml:space="preserve"> M., Huang</w:t>
      </w:r>
      <w:r w:rsidR="0034145A">
        <w:rPr>
          <w:rFonts w:ascii="Arial" w:hAnsi="Arial" w:cs="Arial"/>
        </w:rPr>
        <w:t>,</w:t>
      </w:r>
      <w:r w:rsidRPr="005E0BDB">
        <w:rPr>
          <w:rFonts w:ascii="Arial" w:hAnsi="Arial" w:cs="Arial"/>
        </w:rPr>
        <w:t xml:space="preserve"> T., Wan</w:t>
      </w:r>
      <w:r w:rsidR="0034145A">
        <w:rPr>
          <w:rFonts w:ascii="Arial" w:hAnsi="Arial" w:cs="Arial"/>
        </w:rPr>
        <w:t>,</w:t>
      </w:r>
      <w:r w:rsidRPr="005E0BDB">
        <w:rPr>
          <w:rFonts w:ascii="Arial" w:hAnsi="Arial" w:cs="Arial"/>
        </w:rPr>
        <w:t xml:space="preserve"> C., </w:t>
      </w:r>
      <w:r w:rsidR="0034145A">
        <w:rPr>
          <w:rFonts w:ascii="Arial" w:hAnsi="Arial" w:cs="Arial"/>
        </w:rPr>
        <w:t xml:space="preserve">&amp; </w:t>
      </w:r>
      <w:r w:rsidRPr="005E0BDB">
        <w:rPr>
          <w:rFonts w:ascii="Arial" w:hAnsi="Arial" w:cs="Arial"/>
        </w:rPr>
        <w:t>Siddique</w:t>
      </w:r>
      <w:r w:rsidR="0034145A">
        <w:rPr>
          <w:rFonts w:ascii="Arial" w:hAnsi="Arial" w:cs="Arial"/>
        </w:rPr>
        <w:t>,</w:t>
      </w:r>
      <w:r w:rsidRPr="005E0BDB">
        <w:rPr>
          <w:rFonts w:ascii="Arial" w:hAnsi="Arial" w:cs="Arial"/>
        </w:rPr>
        <w:t xml:space="preserve"> K. H. </w:t>
      </w:r>
      <w:r w:rsidR="0034145A">
        <w:rPr>
          <w:rFonts w:ascii="Arial" w:hAnsi="Arial" w:cs="Arial"/>
        </w:rPr>
        <w:t>(2022).</w:t>
      </w:r>
      <w:r w:rsidRPr="005E0BDB">
        <w:rPr>
          <w:rFonts w:ascii="Arial" w:hAnsi="Arial" w:cs="Arial"/>
        </w:rPr>
        <w:t xml:space="preserve"> Effect of fertilizer management on the soil bacterial community in agroecosystems across the globe. </w:t>
      </w:r>
      <w:r w:rsidR="00EA585C" w:rsidRPr="00EA585C">
        <w:rPr>
          <w:rFonts w:ascii="Arial" w:hAnsi="Arial" w:cs="Arial"/>
        </w:rPr>
        <w:t>Agriculture, Ecosystems &amp; Environment, 326, 107795. https://doi.org/10.1016/j.agee.2021.107795</w:t>
      </w:r>
    </w:p>
    <w:p w14:paraId="251415B3" w14:textId="747E3BBA" w:rsidR="00902593" w:rsidRPr="00902593" w:rsidRDefault="00902593"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902593">
        <w:rPr>
          <w:rFonts w:ascii="Arial" w:hAnsi="Arial" w:cs="Arial"/>
          <w:highlight w:val="yellow"/>
        </w:rPr>
        <w:t>Peters, J. S., Aguirre, B. A., DiPaola, A., &amp; Power, A. G. (2022). Ecology of yellow dwarf viruses in crops and grasslands: interactions in the context of climate change. Annual Review of Phytopathology, 60(1), 283-305. https://doi.org/10.1146/annurev-phyto-020620-101848</w:t>
      </w:r>
    </w:p>
    <w:p w14:paraId="356D8DC7" w14:textId="2922549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902593">
        <w:rPr>
          <w:rFonts w:ascii="Arial" w:hAnsi="Arial" w:cs="Arial"/>
          <w:lang w:val="nb-NO"/>
        </w:rPr>
        <w:t>Varela</w:t>
      </w:r>
      <w:r w:rsidR="00337A26" w:rsidRPr="00902593">
        <w:rPr>
          <w:rFonts w:ascii="Arial" w:hAnsi="Arial" w:cs="Arial"/>
          <w:lang w:val="nb-NO"/>
        </w:rPr>
        <w:t>,</w:t>
      </w:r>
      <w:r w:rsidRPr="00902593">
        <w:rPr>
          <w:rFonts w:ascii="Arial" w:hAnsi="Arial" w:cs="Arial"/>
          <w:lang w:val="nb-NO"/>
        </w:rPr>
        <w:t xml:space="preserve"> R. P., Apdohan</w:t>
      </w:r>
      <w:r w:rsidR="00337A26" w:rsidRPr="00902593">
        <w:rPr>
          <w:rFonts w:ascii="Arial" w:hAnsi="Arial" w:cs="Arial"/>
          <w:lang w:val="nb-NO"/>
        </w:rPr>
        <w:t>,</w:t>
      </w:r>
      <w:r w:rsidRPr="00902593">
        <w:rPr>
          <w:rFonts w:ascii="Arial" w:hAnsi="Arial" w:cs="Arial"/>
          <w:lang w:val="nb-NO"/>
        </w:rPr>
        <w:t xml:space="preserve"> A. G., </w:t>
      </w:r>
      <w:r w:rsidR="00337A26" w:rsidRPr="00902593">
        <w:rPr>
          <w:rFonts w:ascii="Arial" w:hAnsi="Arial" w:cs="Arial"/>
          <w:lang w:val="nb-NO"/>
        </w:rPr>
        <w:t xml:space="preserve">&amp; </w:t>
      </w:r>
      <w:r w:rsidRPr="00902593">
        <w:rPr>
          <w:rFonts w:ascii="Arial" w:hAnsi="Arial" w:cs="Arial"/>
          <w:lang w:val="nb-NO"/>
        </w:rPr>
        <w:t xml:space="preserve">Balanay R. M. </w:t>
      </w:r>
      <w:r w:rsidR="00337A26" w:rsidRPr="00902593">
        <w:rPr>
          <w:rFonts w:ascii="Arial" w:hAnsi="Arial" w:cs="Arial"/>
          <w:lang w:val="nb-NO"/>
        </w:rPr>
        <w:t>(2022).</w:t>
      </w:r>
      <w:r w:rsidRPr="00902593">
        <w:rPr>
          <w:rFonts w:ascii="Arial" w:hAnsi="Arial" w:cs="Arial"/>
          <w:lang w:val="nb-NO"/>
        </w:rPr>
        <w:t xml:space="preserve"> </w:t>
      </w:r>
      <w:r w:rsidRPr="005E0BDB">
        <w:rPr>
          <w:rFonts w:ascii="Arial" w:hAnsi="Arial" w:cs="Arial"/>
        </w:rPr>
        <w:t>Climate resilient agriculture and enhancing food production: Field experience from Agusan del Norte, Caraga Region, Philippines. </w:t>
      </w:r>
      <w:r w:rsidR="00337A26" w:rsidRPr="00337A26">
        <w:rPr>
          <w:rFonts w:ascii="Arial" w:hAnsi="Arial" w:cs="Arial"/>
        </w:rPr>
        <w:t>Frontiers in Sustainable Food Systems, 6</w:t>
      </w:r>
      <w:r w:rsidR="00337A26">
        <w:rPr>
          <w:rFonts w:ascii="Arial" w:hAnsi="Arial" w:cs="Arial"/>
        </w:rPr>
        <w:t>,</w:t>
      </w:r>
      <w:r w:rsidR="00337A26" w:rsidRPr="00337A26">
        <w:rPr>
          <w:rFonts w:ascii="Arial" w:hAnsi="Arial" w:cs="Arial"/>
        </w:rPr>
        <w:t xml:space="preserve"> 1-14. https://doi.org/10.3389/fsufs.2022.974789.</w:t>
      </w:r>
    </w:p>
    <w:p w14:paraId="46E4E9A1" w14:textId="35D1BA25"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Adajar</w:t>
      </w:r>
      <w:r w:rsidR="00337A26" w:rsidRPr="00337A26">
        <w:rPr>
          <w:rFonts w:ascii="Arial" w:hAnsi="Arial" w:cs="Arial"/>
          <w:lang w:val="nb-NO"/>
        </w:rPr>
        <w:t>,</w:t>
      </w:r>
      <w:r w:rsidRPr="005E0BDB">
        <w:rPr>
          <w:rFonts w:ascii="Arial" w:hAnsi="Arial" w:cs="Arial"/>
          <w:lang w:val="nb-NO"/>
        </w:rPr>
        <w:t xml:space="preserve"> R. R., </w:t>
      </w:r>
      <w:r w:rsidR="00337A26" w:rsidRPr="00337A26">
        <w:rPr>
          <w:rFonts w:ascii="Arial" w:hAnsi="Arial" w:cs="Arial"/>
          <w:lang w:val="nb-NO"/>
        </w:rPr>
        <w:t xml:space="preserve">&amp; </w:t>
      </w:r>
      <w:r w:rsidRPr="005E0BDB">
        <w:rPr>
          <w:rFonts w:ascii="Arial" w:hAnsi="Arial" w:cs="Arial"/>
          <w:lang w:val="nb-NO"/>
        </w:rPr>
        <w:t xml:space="preserve">Taer E. C. </w:t>
      </w:r>
      <w:r w:rsidR="00337A26" w:rsidRPr="00337A26">
        <w:rPr>
          <w:rFonts w:ascii="Arial" w:hAnsi="Arial" w:cs="Arial"/>
          <w:lang w:val="nb-NO"/>
        </w:rPr>
        <w:t>(2021).</w:t>
      </w:r>
      <w:r w:rsidRPr="005E0BDB">
        <w:rPr>
          <w:rFonts w:ascii="Arial" w:hAnsi="Arial" w:cs="Arial"/>
          <w:lang w:val="nb-NO"/>
        </w:rPr>
        <w:t xml:space="preserve"> </w:t>
      </w:r>
      <w:r w:rsidRPr="005E0BDB">
        <w:rPr>
          <w:rFonts w:ascii="Arial" w:hAnsi="Arial" w:cs="Arial"/>
        </w:rPr>
        <w:t>Application of foliar biofertilizers with and without NPK in cultivating white-</w:t>
      </w:r>
      <w:proofErr w:type="spellStart"/>
      <w:r w:rsidRPr="005E0BDB">
        <w:rPr>
          <w:rFonts w:ascii="Arial" w:hAnsi="Arial" w:cs="Arial"/>
        </w:rPr>
        <w:t>glutinou</w:t>
      </w:r>
      <w:proofErr w:type="spellEnd"/>
      <w:r w:rsidRPr="005E0BDB">
        <w:rPr>
          <w:rFonts w:ascii="Arial" w:hAnsi="Arial" w:cs="Arial"/>
        </w:rPr>
        <w:t xml:space="preserve"> s corn. Journal of Agriculture and Applied Biology, 2</w:t>
      </w:r>
      <w:r w:rsidR="00337A26">
        <w:rPr>
          <w:rFonts w:ascii="Arial" w:hAnsi="Arial" w:cs="Arial"/>
        </w:rPr>
        <w:t>,</w:t>
      </w:r>
      <w:r w:rsidRPr="005E0BDB">
        <w:rPr>
          <w:rFonts w:ascii="Arial" w:hAnsi="Arial" w:cs="Arial"/>
        </w:rPr>
        <w:t xml:space="preserve"> 105-113. </w:t>
      </w:r>
      <w:r w:rsidR="00337A26" w:rsidRPr="00337A26">
        <w:rPr>
          <w:rFonts w:ascii="Arial" w:hAnsi="Arial" w:cs="Arial"/>
        </w:rPr>
        <w:t>https://doi.org/10.11594/jaab.02.02.05</w:t>
      </w:r>
    </w:p>
    <w:p w14:paraId="56E39343" w14:textId="16FB5908" w:rsidR="005E0BDB" w:rsidRPr="00902593" w:rsidRDefault="00902593"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902593">
        <w:rPr>
          <w:rFonts w:ascii="Arial" w:hAnsi="Arial" w:cs="Arial"/>
          <w:highlight w:val="yellow"/>
          <w:lang w:val="en-PH"/>
        </w:rPr>
        <w:t xml:space="preserve">Fei, M., </w:t>
      </w:r>
      <w:proofErr w:type="spellStart"/>
      <w:r w:rsidRPr="00902593">
        <w:rPr>
          <w:rFonts w:ascii="Arial" w:hAnsi="Arial" w:cs="Arial"/>
          <w:highlight w:val="yellow"/>
          <w:lang w:val="en-PH"/>
        </w:rPr>
        <w:t>Gols</w:t>
      </w:r>
      <w:proofErr w:type="spellEnd"/>
      <w:r w:rsidRPr="00902593">
        <w:rPr>
          <w:rFonts w:ascii="Arial" w:hAnsi="Arial" w:cs="Arial"/>
          <w:highlight w:val="yellow"/>
          <w:lang w:val="en-PH"/>
        </w:rPr>
        <w:t xml:space="preserve">, R., &amp; Harvey, J. A. (2023). The biology and ecology of parasitoid wasps of predatory arthropods. </w:t>
      </w:r>
      <w:r w:rsidRPr="00902593">
        <w:rPr>
          <w:rFonts w:ascii="Arial" w:hAnsi="Arial" w:cs="Arial"/>
          <w:highlight w:val="yellow"/>
          <w:lang w:val="nb-NO"/>
        </w:rPr>
        <w:t>Annual review of entomology, 68(1), 109-128.</w:t>
      </w:r>
      <w:r>
        <w:rPr>
          <w:rFonts w:ascii="Arial" w:hAnsi="Arial" w:cs="Arial"/>
          <w:highlight w:val="yellow"/>
          <w:lang w:val="nb-NO"/>
        </w:rPr>
        <w:t xml:space="preserve"> </w:t>
      </w:r>
      <w:r w:rsidRPr="00902593">
        <w:rPr>
          <w:rFonts w:ascii="Arial" w:hAnsi="Arial" w:cs="Arial"/>
          <w:lang w:val="nb-NO"/>
        </w:rPr>
        <w:t>https://doi.org/10.1146/annurev-ento-120120-111607</w:t>
      </w:r>
    </w:p>
    <w:p w14:paraId="73956002" w14:textId="4EB99B9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Gašparić</w:t>
      </w:r>
      <w:r w:rsidR="00DD4FC4">
        <w:rPr>
          <w:rFonts w:ascii="Arial" w:hAnsi="Arial" w:cs="Arial"/>
        </w:rPr>
        <w:t>,</w:t>
      </w:r>
      <w:r w:rsidRPr="005E0BDB">
        <w:rPr>
          <w:rFonts w:ascii="Arial" w:hAnsi="Arial" w:cs="Arial"/>
        </w:rPr>
        <w:t xml:space="preserve"> H.V., Drmić</w:t>
      </w:r>
      <w:r w:rsidR="00DD4FC4">
        <w:rPr>
          <w:rFonts w:ascii="Arial" w:hAnsi="Arial" w:cs="Arial"/>
        </w:rPr>
        <w:t>,</w:t>
      </w:r>
      <w:r w:rsidRPr="005E0BDB">
        <w:rPr>
          <w:rFonts w:ascii="Arial" w:hAnsi="Arial" w:cs="Arial"/>
        </w:rPr>
        <w:t xml:space="preserve"> Z., </w:t>
      </w:r>
      <w:proofErr w:type="spellStart"/>
      <w:r w:rsidRPr="005E0BDB">
        <w:rPr>
          <w:rFonts w:ascii="Arial" w:hAnsi="Arial" w:cs="Arial"/>
        </w:rPr>
        <w:t>Čačija</w:t>
      </w:r>
      <w:proofErr w:type="spellEnd"/>
      <w:r w:rsidR="00DD4FC4">
        <w:rPr>
          <w:rFonts w:ascii="Arial" w:hAnsi="Arial" w:cs="Arial"/>
        </w:rPr>
        <w:t>,</w:t>
      </w:r>
      <w:r w:rsidRPr="005E0BDB">
        <w:rPr>
          <w:rFonts w:ascii="Arial" w:hAnsi="Arial" w:cs="Arial"/>
        </w:rPr>
        <w:t xml:space="preserve"> M., </w:t>
      </w:r>
      <w:proofErr w:type="spellStart"/>
      <w:r w:rsidRPr="005E0BDB">
        <w:rPr>
          <w:rFonts w:ascii="Arial" w:hAnsi="Arial" w:cs="Arial"/>
        </w:rPr>
        <w:t>Graša</w:t>
      </w:r>
      <w:proofErr w:type="spellEnd"/>
      <w:r w:rsidR="00DD4FC4">
        <w:rPr>
          <w:rFonts w:ascii="Arial" w:hAnsi="Arial" w:cs="Arial"/>
        </w:rPr>
        <w:t>,</w:t>
      </w:r>
      <w:r w:rsidRPr="005E0BDB">
        <w:rPr>
          <w:rFonts w:ascii="Arial" w:hAnsi="Arial" w:cs="Arial"/>
        </w:rPr>
        <w:t xml:space="preserve"> Ž., Petrak</w:t>
      </w:r>
      <w:r w:rsidR="00DD4FC4">
        <w:rPr>
          <w:rFonts w:ascii="Arial" w:hAnsi="Arial" w:cs="Arial"/>
        </w:rPr>
        <w:t>,</w:t>
      </w:r>
      <w:r w:rsidRPr="005E0BDB">
        <w:rPr>
          <w:rFonts w:ascii="Arial" w:hAnsi="Arial" w:cs="Arial"/>
        </w:rPr>
        <w:t xml:space="preserve"> I., </w:t>
      </w:r>
      <w:r w:rsidR="00DD4FC4">
        <w:rPr>
          <w:rFonts w:ascii="Arial" w:hAnsi="Arial" w:cs="Arial"/>
        </w:rPr>
        <w:t xml:space="preserve">&amp; </w:t>
      </w:r>
      <w:proofErr w:type="spellStart"/>
      <w:r w:rsidRPr="005E0BDB">
        <w:rPr>
          <w:rFonts w:ascii="Arial" w:hAnsi="Arial" w:cs="Arial"/>
        </w:rPr>
        <w:t>Bažok</w:t>
      </w:r>
      <w:proofErr w:type="spellEnd"/>
      <w:r w:rsidRPr="005E0BDB">
        <w:rPr>
          <w:rFonts w:ascii="Arial" w:hAnsi="Arial" w:cs="Arial"/>
        </w:rPr>
        <w:t xml:space="preserve"> R., </w:t>
      </w:r>
      <w:proofErr w:type="spellStart"/>
      <w:r w:rsidRPr="005E0BDB">
        <w:rPr>
          <w:rFonts w:ascii="Arial" w:hAnsi="Arial" w:cs="Arial"/>
        </w:rPr>
        <w:t>Lemić</w:t>
      </w:r>
      <w:proofErr w:type="spellEnd"/>
      <w:r w:rsidRPr="005E0BDB">
        <w:rPr>
          <w:rFonts w:ascii="Arial" w:hAnsi="Arial" w:cs="Arial"/>
        </w:rPr>
        <w:t xml:space="preserve"> D. </w:t>
      </w:r>
      <w:r w:rsidR="00DD4FC4">
        <w:rPr>
          <w:rFonts w:ascii="Arial" w:hAnsi="Arial" w:cs="Arial"/>
        </w:rPr>
        <w:t>(2017).</w:t>
      </w:r>
      <w:r w:rsidRPr="005E0BDB">
        <w:rPr>
          <w:rFonts w:ascii="Arial" w:hAnsi="Arial" w:cs="Arial"/>
        </w:rPr>
        <w:t xml:space="preserve"> Impact of environmental conditions and agro- technical factors on ground beetle populations in arable crops. </w:t>
      </w:r>
      <w:r w:rsidR="00DD4FC4" w:rsidRPr="00DD4FC4">
        <w:rPr>
          <w:rFonts w:ascii="Arial" w:hAnsi="Arial" w:cs="Arial"/>
        </w:rPr>
        <w:t>Applied Ecology and Environmental Research, 15, 697-711. http://dx.doi.org/10.15666/aeer/1503_697711</w:t>
      </w:r>
    </w:p>
    <w:p w14:paraId="4491116E" w14:textId="0F28F40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Goulet</w:t>
      </w:r>
      <w:r w:rsidR="00DD4FC4">
        <w:rPr>
          <w:rFonts w:ascii="Arial" w:hAnsi="Arial" w:cs="Arial"/>
        </w:rPr>
        <w:t>,</w:t>
      </w:r>
      <w:r w:rsidRPr="005E0BDB">
        <w:rPr>
          <w:rFonts w:ascii="Arial" w:hAnsi="Arial" w:cs="Arial"/>
        </w:rPr>
        <w:t xml:space="preserve"> H. </w:t>
      </w:r>
      <w:r w:rsidR="00DD4FC4">
        <w:rPr>
          <w:rFonts w:ascii="Arial" w:hAnsi="Arial" w:cs="Arial"/>
        </w:rPr>
        <w:t>(2023).</w:t>
      </w:r>
      <w:r w:rsidRPr="005E0BDB">
        <w:rPr>
          <w:rFonts w:ascii="Arial" w:hAnsi="Arial" w:cs="Arial"/>
        </w:rPr>
        <w:t xml:space="preserve"> Biodiversity of ground beetles (Coleoptera: </w:t>
      </w:r>
      <w:proofErr w:type="spellStart"/>
      <w:r w:rsidRPr="005E0BDB">
        <w:rPr>
          <w:rFonts w:ascii="Arial" w:hAnsi="Arial" w:cs="Arial"/>
        </w:rPr>
        <w:t>Carabidae</w:t>
      </w:r>
      <w:proofErr w:type="spellEnd"/>
      <w:r w:rsidRPr="005E0BDB">
        <w:rPr>
          <w:rFonts w:ascii="Arial" w:hAnsi="Arial" w:cs="Arial"/>
        </w:rPr>
        <w:t>) in Canadian agricultural soils. </w:t>
      </w:r>
      <w:r w:rsidR="00485B5D" w:rsidRPr="00485B5D">
        <w:rPr>
          <w:rFonts w:ascii="Arial" w:hAnsi="Arial" w:cs="Arial"/>
        </w:rPr>
        <w:t>Canadian journal of soil science, 83, 259-264. https://doi.org/10.4141/S01-06</w:t>
      </w:r>
    </w:p>
    <w:p w14:paraId="0C568799" w14:textId="184F608A" w:rsidR="005E0BDB" w:rsidRPr="005B5CDA" w:rsidRDefault="00902593"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5B5CDA">
        <w:rPr>
          <w:rFonts w:ascii="Arial" w:hAnsi="Arial" w:cs="Arial"/>
          <w:highlight w:val="yellow"/>
        </w:rPr>
        <w:lastRenderedPageBreak/>
        <w:t xml:space="preserve">Rose, R., &amp; Dively, G. P. (2014). Effects of insecticide-treated and lepidopteran-active </w:t>
      </w:r>
      <w:proofErr w:type="spellStart"/>
      <w:r w:rsidRPr="005B5CDA">
        <w:rPr>
          <w:rFonts w:ascii="Arial" w:hAnsi="Arial" w:cs="Arial"/>
          <w:highlight w:val="yellow"/>
        </w:rPr>
        <w:t>Bt</w:t>
      </w:r>
      <w:proofErr w:type="spellEnd"/>
      <w:r w:rsidRPr="005B5CDA">
        <w:rPr>
          <w:rFonts w:ascii="Arial" w:hAnsi="Arial" w:cs="Arial"/>
          <w:highlight w:val="yellow"/>
        </w:rPr>
        <w:t xml:space="preserve"> transgenic sweet corn on the abundance and diversity of arthropods. Environmental Entomology, 36(5), 1254-1268.</w:t>
      </w:r>
    </w:p>
    <w:p w14:paraId="6E9CBBDD" w14:textId="4104D573" w:rsidR="005E0BDB" w:rsidRPr="005B5CDA" w:rsidRDefault="005B5CDA"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5B5CDA">
        <w:rPr>
          <w:rFonts w:ascii="Arial" w:hAnsi="Arial" w:cs="Arial"/>
          <w:highlight w:val="yellow"/>
        </w:rPr>
        <w:t xml:space="preserve">Ivanković </w:t>
      </w:r>
      <w:proofErr w:type="spellStart"/>
      <w:r w:rsidRPr="005B5CDA">
        <w:rPr>
          <w:rFonts w:ascii="Arial" w:hAnsi="Arial" w:cs="Arial"/>
          <w:highlight w:val="yellow"/>
        </w:rPr>
        <w:t>Tatalović</w:t>
      </w:r>
      <w:proofErr w:type="spellEnd"/>
      <w:r w:rsidRPr="005B5CDA">
        <w:rPr>
          <w:rFonts w:ascii="Arial" w:hAnsi="Arial" w:cs="Arial"/>
          <w:highlight w:val="yellow"/>
        </w:rPr>
        <w:t xml:space="preserve">, L., Anđelić, B., Jelić, M., Kos, T., A Benítez, H., &amp; </w:t>
      </w:r>
      <w:proofErr w:type="spellStart"/>
      <w:r w:rsidRPr="005B5CDA">
        <w:rPr>
          <w:rFonts w:ascii="Arial" w:hAnsi="Arial" w:cs="Arial"/>
          <w:highlight w:val="yellow"/>
        </w:rPr>
        <w:t>Šerić</w:t>
      </w:r>
      <w:proofErr w:type="spellEnd"/>
      <w:r w:rsidRPr="005B5CDA">
        <w:rPr>
          <w:rFonts w:ascii="Arial" w:hAnsi="Arial" w:cs="Arial"/>
          <w:highlight w:val="yellow"/>
        </w:rPr>
        <w:t xml:space="preserve"> </w:t>
      </w:r>
      <w:proofErr w:type="spellStart"/>
      <w:r w:rsidRPr="005B5CDA">
        <w:rPr>
          <w:rFonts w:ascii="Arial" w:hAnsi="Arial" w:cs="Arial"/>
          <w:highlight w:val="yellow"/>
        </w:rPr>
        <w:t>Jelaska</w:t>
      </w:r>
      <w:proofErr w:type="spellEnd"/>
      <w:r w:rsidRPr="005B5CDA">
        <w:rPr>
          <w:rFonts w:ascii="Arial" w:hAnsi="Arial" w:cs="Arial"/>
          <w:highlight w:val="yellow"/>
        </w:rPr>
        <w:t>, L. (2020). Fluctuating asymmetry as a method of assessing environmental stress in two predatory carabid species within Mediterranean agroecosystems. Symmetry, 12(11), 1890.</w:t>
      </w:r>
      <w:r w:rsidRPr="005B5CDA">
        <w:rPr>
          <w:highlight w:val="yellow"/>
        </w:rPr>
        <w:t xml:space="preserve"> </w:t>
      </w:r>
      <w:r w:rsidRPr="005B5CDA">
        <w:rPr>
          <w:rFonts w:ascii="Arial" w:hAnsi="Arial" w:cs="Arial"/>
          <w:highlight w:val="yellow"/>
        </w:rPr>
        <w:t>https://doi.org/10.3390/sym12111890</w:t>
      </w:r>
    </w:p>
    <w:p w14:paraId="0DE011D6" w14:textId="2BD0534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Viric</w:t>
      </w:r>
      <w:r w:rsidR="00761CFF">
        <w:rPr>
          <w:rFonts w:ascii="Arial" w:hAnsi="Arial" w:cs="Arial"/>
        </w:rPr>
        <w:t>,</w:t>
      </w:r>
      <w:r w:rsidRPr="005E0BDB">
        <w:rPr>
          <w:rFonts w:ascii="Arial" w:hAnsi="Arial" w:cs="Arial"/>
        </w:rPr>
        <w:t xml:space="preserve"> </w:t>
      </w:r>
      <w:proofErr w:type="spellStart"/>
      <w:r w:rsidRPr="005E0BDB">
        <w:rPr>
          <w:rFonts w:ascii="Arial" w:hAnsi="Arial" w:cs="Arial"/>
        </w:rPr>
        <w:t>Gasparic</w:t>
      </w:r>
      <w:proofErr w:type="spellEnd"/>
      <w:r w:rsidR="00761CFF">
        <w:rPr>
          <w:rFonts w:ascii="Arial" w:hAnsi="Arial" w:cs="Arial"/>
        </w:rPr>
        <w:t>,</w:t>
      </w:r>
      <w:r w:rsidRPr="005E0BDB">
        <w:rPr>
          <w:rFonts w:ascii="Arial" w:hAnsi="Arial" w:cs="Arial"/>
        </w:rPr>
        <w:t xml:space="preserve"> H., </w:t>
      </w:r>
      <w:proofErr w:type="spellStart"/>
      <w:r w:rsidRPr="005E0BDB">
        <w:rPr>
          <w:rFonts w:ascii="Arial" w:hAnsi="Arial" w:cs="Arial"/>
        </w:rPr>
        <w:t>Göldel</w:t>
      </w:r>
      <w:proofErr w:type="spellEnd"/>
      <w:r w:rsidR="00761CFF">
        <w:rPr>
          <w:rFonts w:ascii="Arial" w:hAnsi="Arial" w:cs="Arial"/>
        </w:rPr>
        <w:t>,</w:t>
      </w:r>
      <w:r w:rsidRPr="005E0BDB">
        <w:rPr>
          <w:rFonts w:ascii="Arial" w:hAnsi="Arial" w:cs="Arial"/>
        </w:rPr>
        <w:t xml:space="preserve"> B., Emic</w:t>
      </w:r>
      <w:r w:rsidR="00761CFF">
        <w:rPr>
          <w:rFonts w:ascii="Arial" w:hAnsi="Arial" w:cs="Arial"/>
        </w:rPr>
        <w:t>,</w:t>
      </w:r>
      <w:r w:rsidRPr="005E0BDB">
        <w:rPr>
          <w:rFonts w:ascii="Arial" w:hAnsi="Arial" w:cs="Arial"/>
        </w:rPr>
        <w:t xml:space="preserve"> D., Pajac</w:t>
      </w:r>
      <w:r w:rsidR="00761CFF">
        <w:rPr>
          <w:rFonts w:ascii="Arial" w:hAnsi="Arial" w:cs="Arial"/>
        </w:rPr>
        <w:t>,</w:t>
      </w:r>
      <w:r w:rsidRPr="005E0BDB">
        <w:rPr>
          <w:rFonts w:ascii="Arial" w:hAnsi="Arial" w:cs="Arial"/>
        </w:rPr>
        <w:t xml:space="preserve"> Zivkovic I., </w:t>
      </w:r>
      <w:r w:rsidR="00761CFF">
        <w:rPr>
          <w:rFonts w:ascii="Arial" w:hAnsi="Arial" w:cs="Arial"/>
        </w:rPr>
        <w:t xml:space="preserve">&amp; </w:t>
      </w:r>
      <w:proofErr w:type="spellStart"/>
      <w:r w:rsidRPr="005E0BDB">
        <w:rPr>
          <w:rFonts w:ascii="Arial" w:hAnsi="Arial" w:cs="Arial"/>
        </w:rPr>
        <w:t>Bazok</w:t>
      </w:r>
      <w:proofErr w:type="spellEnd"/>
      <w:r w:rsidR="00761CFF">
        <w:rPr>
          <w:rFonts w:ascii="Arial" w:hAnsi="Arial" w:cs="Arial"/>
        </w:rPr>
        <w:t>,</w:t>
      </w:r>
      <w:r w:rsidRPr="005E0BDB">
        <w:rPr>
          <w:rFonts w:ascii="Arial" w:hAnsi="Arial" w:cs="Arial"/>
        </w:rPr>
        <w:t xml:space="preserve"> R. </w:t>
      </w:r>
      <w:r w:rsidR="00761CFF">
        <w:rPr>
          <w:rFonts w:ascii="Arial" w:hAnsi="Arial" w:cs="Arial"/>
        </w:rPr>
        <w:t>(2022).</w:t>
      </w:r>
      <w:r w:rsidRPr="005E0BDB">
        <w:rPr>
          <w:rFonts w:ascii="Arial" w:hAnsi="Arial" w:cs="Arial"/>
        </w:rPr>
        <w:t xml:space="preserve"> Carabids as indicators of sustainability in arable crops. </w:t>
      </w:r>
      <w:r w:rsidR="00662E6B" w:rsidRPr="00662E6B">
        <w:rPr>
          <w:rFonts w:ascii="Arial" w:hAnsi="Arial" w:cs="Arial"/>
        </w:rPr>
        <w:t>Applied Ecology &amp; Environmental Research, 20(6). Https://doi.org/10.15666/aeer/2006_46454665</w:t>
      </w:r>
    </w:p>
    <w:p w14:paraId="6818FEA7" w14:textId="00C68286"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Queiroz</w:t>
      </w:r>
      <w:r w:rsidR="00662E6B">
        <w:rPr>
          <w:rFonts w:ascii="Arial" w:hAnsi="Arial" w:cs="Arial"/>
        </w:rPr>
        <w:t>,</w:t>
      </w:r>
      <w:r w:rsidRPr="005E0BDB">
        <w:rPr>
          <w:rFonts w:ascii="Arial" w:hAnsi="Arial" w:cs="Arial"/>
        </w:rPr>
        <w:t xml:space="preserve"> A. C. M., </w:t>
      </w:r>
      <w:r w:rsidR="00662E6B">
        <w:rPr>
          <w:rFonts w:ascii="Arial" w:hAnsi="Arial" w:cs="Arial"/>
        </w:rPr>
        <w:t xml:space="preserve">&amp; </w:t>
      </w:r>
      <w:r w:rsidRPr="005E0BDB">
        <w:rPr>
          <w:rFonts w:ascii="Arial" w:hAnsi="Arial" w:cs="Arial"/>
        </w:rPr>
        <w:t>Ribas</w:t>
      </w:r>
      <w:r w:rsidR="00662E6B">
        <w:rPr>
          <w:rFonts w:ascii="Arial" w:hAnsi="Arial" w:cs="Arial"/>
        </w:rPr>
        <w:t>,</w:t>
      </w:r>
      <w:r w:rsidRPr="005E0BDB">
        <w:rPr>
          <w:rFonts w:ascii="Arial" w:hAnsi="Arial" w:cs="Arial"/>
        </w:rPr>
        <w:t xml:space="preserve"> C. R. </w:t>
      </w:r>
      <w:r w:rsidR="00662E6B">
        <w:rPr>
          <w:rFonts w:ascii="Arial" w:hAnsi="Arial" w:cs="Arial"/>
        </w:rPr>
        <w:t>(2016).</w:t>
      </w:r>
      <w:r w:rsidRPr="005E0BDB">
        <w:rPr>
          <w:rFonts w:ascii="Arial" w:hAnsi="Arial" w:cs="Arial"/>
        </w:rPr>
        <w:t xml:space="preserve"> Canopy cover negatively affects arboreal ant species richness in a tropical open habitat. </w:t>
      </w:r>
      <w:r w:rsidR="00BA71FB" w:rsidRPr="00BA71FB">
        <w:rPr>
          <w:rFonts w:ascii="Arial" w:hAnsi="Arial" w:cs="Arial"/>
        </w:rPr>
        <w:t>Brazilian Journal of Biology, 76, 864-870. https://doi.org/10.1590/1519-6984.02015</w:t>
      </w:r>
    </w:p>
    <w:p w14:paraId="6DCCD240" w14:textId="6B37CDC4" w:rsidR="004B710A" w:rsidRDefault="005E0BDB" w:rsidP="005014E0">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Brygadyrenko</w:t>
      </w:r>
      <w:proofErr w:type="spellEnd"/>
      <w:r w:rsidR="00BA71FB" w:rsidRPr="004B710A">
        <w:rPr>
          <w:rFonts w:ascii="Arial" w:hAnsi="Arial" w:cs="Arial"/>
        </w:rPr>
        <w:t>,</w:t>
      </w:r>
      <w:r w:rsidRPr="005E0BDB">
        <w:rPr>
          <w:rFonts w:ascii="Arial" w:hAnsi="Arial" w:cs="Arial"/>
        </w:rPr>
        <w:t xml:space="preserve"> V. V. </w:t>
      </w:r>
      <w:r w:rsidR="00BA71FB" w:rsidRPr="004B710A">
        <w:rPr>
          <w:rFonts w:ascii="Arial" w:hAnsi="Arial" w:cs="Arial"/>
        </w:rPr>
        <w:t>(</w:t>
      </w:r>
      <w:r w:rsidR="00A10DB8">
        <w:rPr>
          <w:rFonts w:ascii="Arial" w:hAnsi="Arial" w:cs="Arial"/>
        </w:rPr>
        <w:t>2016</w:t>
      </w:r>
      <w:r w:rsidR="00BA71FB" w:rsidRPr="004B710A">
        <w:rPr>
          <w:rFonts w:ascii="Arial" w:hAnsi="Arial" w:cs="Arial"/>
        </w:rPr>
        <w:t>).</w:t>
      </w:r>
      <w:r w:rsidRPr="005E0BDB">
        <w:rPr>
          <w:rFonts w:ascii="Arial" w:hAnsi="Arial" w:cs="Arial"/>
        </w:rPr>
        <w:t xml:space="preserve"> Effect of canopy density on litter invertebrate community structure in pine forests. </w:t>
      </w:r>
      <w:proofErr w:type="spellStart"/>
      <w:r w:rsidR="004B710A" w:rsidRPr="004B710A">
        <w:rPr>
          <w:rFonts w:ascii="Arial" w:hAnsi="Arial" w:cs="Arial"/>
        </w:rPr>
        <w:t>Ekológia</w:t>
      </w:r>
      <w:proofErr w:type="spellEnd"/>
      <w:r w:rsidR="004B710A" w:rsidRPr="004B710A">
        <w:rPr>
          <w:rFonts w:ascii="Arial" w:hAnsi="Arial" w:cs="Arial"/>
        </w:rPr>
        <w:t xml:space="preserve"> (Bratislava), 35(1), 90-102. https://doi.org/10.1515/eko-2016-0007</w:t>
      </w:r>
    </w:p>
    <w:p w14:paraId="4DAEBCB1" w14:textId="1C4E1E77" w:rsidR="005E0BDB" w:rsidRPr="00A10DB8" w:rsidRDefault="00A10DB8" w:rsidP="005014E0">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A10DB8">
        <w:rPr>
          <w:rFonts w:ascii="Arial" w:hAnsi="Arial" w:cs="Arial"/>
          <w:highlight w:val="yellow"/>
          <w:lang w:val="nb-NO"/>
        </w:rPr>
        <w:t xml:space="preserve">van Klink, R., van der Plas, F., Van Noordwijk, C. G. E., WallisDeVries, M. F., &amp; Olff, H. (2015). </w:t>
      </w:r>
      <w:r w:rsidRPr="00A10DB8">
        <w:rPr>
          <w:rFonts w:ascii="Arial" w:hAnsi="Arial" w:cs="Arial"/>
          <w:highlight w:val="yellow"/>
        </w:rPr>
        <w:t>Effects of large herbivores on grassland arthropod diversity. Biological reviews, 90(2), 347-366.</w:t>
      </w:r>
      <w:r w:rsidRPr="00A10DB8">
        <w:rPr>
          <w:rFonts w:ascii="Arial" w:hAnsi="Arial" w:cs="Arial"/>
          <w:highlight w:val="yellow"/>
        </w:rPr>
        <w:t xml:space="preserve"> </w:t>
      </w:r>
      <w:r w:rsidRPr="00A10DB8">
        <w:rPr>
          <w:rFonts w:ascii="Arial" w:hAnsi="Arial" w:cs="Arial"/>
          <w:highlight w:val="yellow"/>
        </w:rPr>
        <w:t>https://doi.org/10.1111/brv.12113</w:t>
      </w:r>
    </w:p>
    <w:p w14:paraId="4389B85A" w14:textId="1A98DFF5"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Chen</w:t>
      </w:r>
      <w:r w:rsidR="00A2576B">
        <w:rPr>
          <w:rFonts w:ascii="Arial" w:hAnsi="Arial" w:cs="Arial"/>
        </w:rPr>
        <w:t>,</w:t>
      </w:r>
      <w:r w:rsidRPr="005E0BDB">
        <w:rPr>
          <w:rFonts w:ascii="Arial" w:hAnsi="Arial" w:cs="Arial"/>
        </w:rPr>
        <w:t xml:space="preserve"> Y., Zhao</w:t>
      </w:r>
      <w:r w:rsidR="00A2576B">
        <w:rPr>
          <w:rFonts w:ascii="Arial" w:hAnsi="Arial" w:cs="Arial"/>
        </w:rPr>
        <w:t>,</w:t>
      </w:r>
      <w:r w:rsidRPr="005E0BDB">
        <w:rPr>
          <w:rFonts w:ascii="Arial" w:hAnsi="Arial" w:cs="Arial"/>
        </w:rPr>
        <w:t xml:space="preserve"> C., Zhang</w:t>
      </w:r>
      <w:r w:rsidR="00A2576B">
        <w:rPr>
          <w:rFonts w:ascii="Arial" w:hAnsi="Arial" w:cs="Arial"/>
        </w:rPr>
        <w:t>,</w:t>
      </w:r>
      <w:r w:rsidRPr="005E0BDB">
        <w:rPr>
          <w:rFonts w:ascii="Arial" w:hAnsi="Arial" w:cs="Arial"/>
        </w:rPr>
        <w:t xml:space="preserve"> D., Zhang</w:t>
      </w:r>
      <w:r w:rsidR="00A2576B">
        <w:rPr>
          <w:rFonts w:ascii="Arial" w:hAnsi="Arial" w:cs="Arial"/>
        </w:rPr>
        <w:t>,</w:t>
      </w:r>
      <w:r w:rsidRPr="005E0BDB">
        <w:rPr>
          <w:rFonts w:ascii="Arial" w:hAnsi="Arial" w:cs="Arial"/>
        </w:rPr>
        <w:t xml:space="preserve"> S., </w:t>
      </w:r>
      <w:r w:rsidR="00A2576B">
        <w:rPr>
          <w:rFonts w:ascii="Arial" w:hAnsi="Arial" w:cs="Arial"/>
        </w:rPr>
        <w:t xml:space="preserve">&amp; </w:t>
      </w:r>
      <w:r w:rsidRPr="005E0BDB">
        <w:rPr>
          <w:rFonts w:ascii="Arial" w:hAnsi="Arial" w:cs="Arial"/>
        </w:rPr>
        <w:t>Zeng</w:t>
      </w:r>
      <w:r w:rsidR="00A2576B">
        <w:rPr>
          <w:rFonts w:ascii="Arial" w:hAnsi="Arial" w:cs="Arial"/>
        </w:rPr>
        <w:t>,</w:t>
      </w:r>
      <w:r w:rsidRPr="005E0BDB">
        <w:rPr>
          <w:rFonts w:ascii="Arial" w:hAnsi="Arial" w:cs="Arial"/>
        </w:rPr>
        <w:t xml:space="preserve"> W., Li Z. </w:t>
      </w:r>
      <w:r w:rsidR="00A368D6">
        <w:rPr>
          <w:rFonts w:ascii="Arial" w:hAnsi="Arial" w:cs="Arial"/>
        </w:rPr>
        <w:t>(2022).</w:t>
      </w:r>
      <w:r w:rsidRPr="005E0BDB">
        <w:rPr>
          <w:rFonts w:ascii="Arial" w:hAnsi="Arial" w:cs="Arial"/>
        </w:rPr>
        <w:t xml:space="preserve"> The effect of amending soils with biochar on the microhabitat preferences of </w:t>
      </w:r>
      <w:proofErr w:type="spellStart"/>
      <w:r w:rsidRPr="005E0BDB">
        <w:rPr>
          <w:rFonts w:ascii="Arial" w:hAnsi="Arial" w:cs="Arial"/>
        </w:rPr>
        <w:t>Coptotermes</w:t>
      </w:r>
      <w:proofErr w:type="spellEnd"/>
      <w:r w:rsidRPr="005E0BDB">
        <w:rPr>
          <w:rFonts w:ascii="Arial" w:hAnsi="Arial" w:cs="Arial"/>
        </w:rPr>
        <w:t xml:space="preserve"> </w:t>
      </w:r>
      <w:proofErr w:type="spellStart"/>
      <w:r w:rsidRPr="005E0BDB">
        <w:rPr>
          <w:rFonts w:ascii="Arial" w:hAnsi="Arial" w:cs="Arial"/>
        </w:rPr>
        <w:t>formosanus</w:t>
      </w:r>
      <w:proofErr w:type="spellEnd"/>
      <w:r w:rsidRPr="005E0BDB">
        <w:rPr>
          <w:rFonts w:ascii="Arial" w:hAnsi="Arial" w:cs="Arial"/>
        </w:rPr>
        <w:t xml:space="preserve"> (</w:t>
      </w:r>
      <w:proofErr w:type="spellStart"/>
      <w:r w:rsidRPr="005E0BDB">
        <w:rPr>
          <w:rFonts w:ascii="Arial" w:hAnsi="Arial" w:cs="Arial"/>
        </w:rPr>
        <w:t>Blattodea</w:t>
      </w:r>
      <w:proofErr w:type="spellEnd"/>
      <w:r w:rsidRPr="005E0BDB">
        <w:rPr>
          <w:rFonts w:ascii="Arial" w:hAnsi="Arial" w:cs="Arial"/>
        </w:rPr>
        <w:t xml:space="preserve">: </w:t>
      </w:r>
      <w:proofErr w:type="spellStart"/>
      <w:r w:rsidRPr="005E0BDB">
        <w:rPr>
          <w:rFonts w:ascii="Arial" w:hAnsi="Arial" w:cs="Arial"/>
        </w:rPr>
        <w:t>Rhinotermitidae</w:t>
      </w:r>
      <w:proofErr w:type="spellEnd"/>
      <w:r w:rsidRPr="005E0BDB">
        <w:rPr>
          <w:rFonts w:ascii="Arial" w:hAnsi="Arial" w:cs="Arial"/>
        </w:rPr>
        <w:t>). </w:t>
      </w:r>
      <w:r w:rsidR="00A2576B" w:rsidRPr="00A2576B">
        <w:rPr>
          <w:rFonts w:ascii="Arial" w:hAnsi="Arial" w:cs="Arial"/>
        </w:rPr>
        <w:t>Ecotoxicology and Environmental Safety, 232, 113240. https://doi.org/10.1016/j.ecoenv.2022.113240</w:t>
      </w:r>
    </w:p>
    <w:p w14:paraId="15723DAC" w14:textId="0AD916D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Sądej</w:t>
      </w:r>
      <w:proofErr w:type="spellEnd"/>
      <w:r w:rsidR="00A2576B">
        <w:rPr>
          <w:rFonts w:ascii="Arial" w:hAnsi="Arial" w:cs="Arial"/>
        </w:rPr>
        <w:t>,</w:t>
      </w:r>
      <w:r w:rsidRPr="005E0BDB">
        <w:rPr>
          <w:rFonts w:ascii="Arial" w:hAnsi="Arial" w:cs="Arial"/>
        </w:rPr>
        <w:t xml:space="preserve"> W., </w:t>
      </w:r>
      <w:proofErr w:type="spellStart"/>
      <w:r w:rsidRPr="005E0BDB">
        <w:rPr>
          <w:rFonts w:ascii="Arial" w:hAnsi="Arial" w:cs="Arial"/>
        </w:rPr>
        <w:t>Kosewska</w:t>
      </w:r>
      <w:proofErr w:type="spellEnd"/>
      <w:r w:rsidR="00A2576B">
        <w:rPr>
          <w:rFonts w:ascii="Arial" w:hAnsi="Arial" w:cs="Arial"/>
        </w:rPr>
        <w:t>,</w:t>
      </w:r>
      <w:r w:rsidRPr="005E0BDB">
        <w:rPr>
          <w:rFonts w:ascii="Arial" w:hAnsi="Arial" w:cs="Arial"/>
        </w:rPr>
        <w:t xml:space="preserve"> A., </w:t>
      </w:r>
      <w:proofErr w:type="spellStart"/>
      <w:r w:rsidRPr="005E0BDB">
        <w:rPr>
          <w:rFonts w:ascii="Arial" w:hAnsi="Arial" w:cs="Arial"/>
        </w:rPr>
        <w:t>Sądej</w:t>
      </w:r>
      <w:proofErr w:type="spellEnd"/>
      <w:r w:rsidR="00A2576B">
        <w:rPr>
          <w:rFonts w:ascii="Arial" w:hAnsi="Arial" w:cs="Arial"/>
        </w:rPr>
        <w:t>,</w:t>
      </w:r>
      <w:r w:rsidRPr="005E0BDB">
        <w:rPr>
          <w:rFonts w:ascii="Arial" w:hAnsi="Arial" w:cs="Arial"/>
        </w:rPr>
        <w:t xml:space="preserve"> W., </w:t>
      </w:r>
      <w:r w:rsidR="00A2576B">
        <w:rPr>
          <w:rFonts w:ascii="Arial" w:hAnsi="Arial" w:cs="Arial"/>
        </w:rPr>
        <w:t xml:space="preserve">&amp; </w:t>
      </w:r>
      <w:r w:rsidRPr="005E0BDB">
        <w:rPr>
          <w:rFonts w:ascii="Arial" w:hAnsi="Arial" w:cs="Arial"/>
        </w:rPr>
        <w:t xml:space="preserve">Nietupski M. </w:t>
      </w:r>
      <w:r w:rsidR="00A2576B">
        <w:rPr>
          <w:rFonts w:ascii="Arial" w:hAnsi="Arial" w:cs="Arial"/>
        </w:rPr>
        <w:t>(2012).</w:t>
      </w:r>
      <w:r w:rsidRPr="005E0BDB">
        <w:rPr>
          <w:rFonts w:ascii="Arial" w:hAnsi="Arial" w:cs="Arial"/>
        </w:rPr>
        <w:t xml:space="preserve"> Effects of fertilizer and land-use type on soil properties and ground beetle communities. </w:t>
      </w:r>
      <w:r w:rsidR="00160461" w:rsidRPr="00160461">
        <w:rPr>
          <w:rFonts w:ascii="Arial" w:hAnsi="Arial" w:cs="Arial"/>
        </w:rPr>
        <w:t xml:space="preserve">Bulletin of </w:t>
      </w:r>
      <w:proofErr w:type="spellStart"/>
      <w:r w:rsidR="00160461" w:rsidRPr="00160461">
        <w:rPr>
          <w:rFonts w:ascii="Arial" w:hAnsi="Arial" w:cs="Arial"/>
        </w:rPr>
        <w:t>Insectology</w:t>
      </w:r>
      <w:proofErr w:type="spellEnd"/>
      <w:r w:rsidR="00160461" w:rsidRPr="00160461">
        <w:rPr>
          <w:rFonts w:ascii="Arial" w:hAnsi="Arial" w:cs="Arial"/>
        </w:rPr>
        <w:t>, 65, 239-246.</w:t>
      </w:r>
    </w:p>
    <w:p w14:paraId="5AB4B551" w14:textId="3153FC8E" w:rsidR="005E0BDB" w:rsidRPr="00A368D6" w:rsidRDefault="00A368D6"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A368D6">
        <w:rPr>
          <w:rFonts w:ascii="Arial" w:hAnsi="Arial" w:cs="Arial"/>
          <w:highlight w:val="yellow"/>
        </w:rPr>
        <w:t xml:space="preserve">Alyokhin, A., Nault, B., &amp; Brown, B. (2020). Soil conservation practices for insect pest management in highly disturbed agroecosystems–a review. </w:t>
      </w:r>
      <w:proofErr w:type="spellStart"/>
      <w:r w:rsidRPr="00A368D6">
        <w:rPr>
          <w:rFonts w:ascii="Arial" w:hAnsi="Arial" w:cs="Arial"/>
          <w:highlight w:val="yellow"/>
        </w:rPr>
        <w:t>Entomologia</w:t>
      </w:r>
      <w:proofErr w:type="spellEnd"/>
      <w:r w:rsidRPr="00A368D6">
        <w:rPr>
          <w:rFonts w:ascii="Arial" w:hAnsi="Arial" w:cs="Arial"/>
          <w:highlight w:val="yellow"/>
        </w:rPr>
        <w:t xml:space="preserve"> </w:t>
      </w:r>
      <w:proofErr w:type="spellStart"/>
      <w:r w:rsidRPr="00A368D6">
        <w:rPr>
          <w:rFonts w:ascii="Arial" w:hAnsi="Arial" w:cs="Arial"/>
          <w:highlight w:val="yellow"/>
        </w:rPr>
        <w:t>Experimentalis</w:t>
      </w:r>
      <w:proofErr w:type="spellEnd"/>
      <w:r w:rsidRPr="00A368D6">
        <w:rPr>
          <w:rFonts w:ascii="Arial" w:hAnsi="Arial" w:cs="Arial"/>
          <w:highlight w:val="yellow"/>
        </w:rPr>
        <w:t xml:space="preserve"> et </w:t>
      </w:r>
      <w:proofErr w:type="spellStart"/>
      <w:r w:rsidRPr="00A368D6">
        <w:rPr>
          <w:rFonts w:ascii="Arial" w:hAnsi="Arial" w:cs="Arial"/>
          <w:highlight w:val="yellow"/>
        </w:rPr>
        <w:t>Applicata</w:t>
      </w:r>
      <w:proofErr w:type="spellEnd"/>
      <w:r w:rsidRPr="00A368D6">
        <w:rPr>
          <w:rFonts w:ascii="Arial" w:hAnsi="Arial" w:cs="Arial"/>
          <w:highlight w:val="yellow"/>
        </w:rPr>
        <w:t>, 168(1), 7-27.</w:t>
      </w:r>
      <w:r w:rsidRPr="00A368D6">
        <w:rPr>
          <w:rFonts w:ascii="Arial" w:hAnsi="Arial" w:cs="Arial"/>
          <w:highlight w:val="yellow"/>
        </w:rPr>
        <w:t xml:space="preserve"> </w:t>
      </w:r>
      <w:r w:rsidRPr="00A368D6">
        <w:rPr>
          <w:rFonts w:ascii="Arial" w:hAnsi="Arial" w:cs="Arial"/>
          <w:highlight w:val="yellow"/>
        </w:rPr>
        <w:t>https://doi.org/10.1111/eea.12863</w:t>
      </w:r>
    </w:p>
    <w:p w14:paraId="619CC95A" w14:textId="6BFE249A" w:rsidR="005E0BDB" w:rsidRPr="00224C23" w:rsidRDefault="00224C23"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224C23">
        <w:rPr>
          <w:rFonts w:ascii="Arial" w:hAnsi="Arial" w:cs="Arial"/>
          <w:highlight w:val="yellow"/>
        </w:rPr>
        <w:t>Zhu, S., Vivanco, J. M., &amp; Manter, D. K. (2016). Nitrogen fertilizer rate affects root exudation, the rhizosphere microbiome and nitrogen-use-efficiency of maize. Applied Soil Ecology, 107, 324-333.</w:t>
      </w:r>
      <w:r>
        <w:rPr>
          <w:rFonts w:ascii="Arial" w:hAnsi="Arial" w:cs="Arial"/>
          <w:highlight w:val="yellow"/>
        </w:rPr>
        <w:t xml:space="preserve"> </w:t>
      </w:r>
      <w:r w:rsidRPr="00224C23">
        <w:rPr>
          <w:rFonts w:ascii="Arial" w:hAnsi="Arial" w:cs="Arial"/>
          <w:highlight w:val="yellow"/>
        </w:rPr>
        <w:t>https://doi.org/10.1016/j.apsoil.2016.07.009</w:t>
      </w:r>
    </w:p>
    <w:p w14:paraId="56E5753C" w14:textId="171F1446" w:rsidR="005E0BDB" w:rsidRPr="00224C23" w:rsidRDefault="00224C23"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224C23">
        <w:rPr>
          <w:rFonts w:ascii="Arial" w:hAnsi="Arial" w:cs="Arial"/>
          <w:highlight w:val="yellow"/>
        </w:rPr>
        <w:t xml:space="preserve">Sasse, J., </w:t>
      </w:r>
      <w:proofErr w:type="spellStart"/>
      <w:r w:rsidRPr="00224C23">
        <w:rPr>
          <w:rFonts w:ascii="Arial" w:hAnsi="Arial" w:cs="Arial"/>
          <w:highlight w:val="yellow"/>
        </w:rPr>
        <w:t>Martinoia</w:t>
      </w:r>
      <w:proofErr w:type="spellEnd"/>
      <w:r w:rsidRPr="00224C23">
        <w:rPr>
          <w:rFonts w:ascii="Arial" w:hAnsi="Arial" w:cs="Arial"/>
          <w:highlight w:val="yellow"/>
        </w:rPr>
        <w:t xml:space="preserve">, E., &amp; Northen, T. (2018). Feed your friends: do plant exudates shape the root </w:t>
      </w:r>
      <w:proofErr w:type="gramStart"/>
      <w:r w:rsidRPr="00224C23">
        <w:rPr>
          <w:rFonts w:ascii="Arial" w:hAnsi="Arial" w:cs="Arial"/>
          <w:highlight w:val="yellow"/>
        </w:rPr>
        <w:t>microbiome?.</w:t>
      </w:r>
      <w:proofErr w:type="gramEnd"/>
      <w:r w:rsidRPr="00224C23">
        <w:rPr>
          <w:rFonts w:ascii="Arial" w:hAnsi="Arial" w:cs="Arial"/>
          <w:highlight w:val="yellow"/>
        </w:rPr>
        <w:t xml:space="preserve"> Trends in plant science, 23(1), 25-41.</w:t>
      </w:r>
    </w:p>
    <w:p w14:paraId="3BCF5C15" w14:textId="7C86B772"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Sagar</w:t>
      </w:r>
      <w:r w:rsidR="001B6FD9">
        <w:rPr>
          <w:rFonts w:ascii="Arial" w:hAnsi="Arial" w:cs="Arial"/>
        </w:rPr>
        <w:t>,</w:t>
      </w:r>
      <w:r w:rsidRPr="005E0BDB">
        <w:rPr>
          <w:rFonts w:ascii="Arial" w:hAnsi="Arial" w:cs="Arial"/>
        </w:rPr>
        <w:t xml:space="preserve"> A., </w:t>
      </w:r>
      <w:r w:rsidR="001B6FD9">
        <w:rPr>
          <w:rFonts w:ascii="Arial" w:hAnsi="Arial" w:cs="Arial"/>
        </w:rPr>
        <w:t xml:space="preserve">&amp; </w:t>
      </w:r>
      <w:r w:rsidRPr="005E0BDB">
        <w:rPr>
          <w:rFonts w:ascii="Arial" w:hAnsi="Arial" w:cs="Arial"/>
        </w:rPr>
        <w:t>Sarwar</w:t>
      </w:r>
      <w:r w:rsidR="001B6FD9">
        <w:rPr>
          <w:rFonts w:ascii="Arial" w:hAnsi="Arial" w:cs="Arial"/>
        </w:rPr>
        <w:t>,</w:t>
      </w:r>
      <w:r w:rsidRPr="005E0BDB">
        <w:rPr>
          <w:rFonts w:ascii="Arial" w:hAnsi="Arial" w:cs="Arial"/>
        </w:rPr>
        <w:t xml:space="preserve"> A. G. </w:t>
      </w:r>
      <w:r w:rsidR="00D433F0">
        <w:rPr>
          <w:rFonts w:ascii="Arial" w:hAnsi="Arial" w:cs="Arial"/>
        </w:rPr>
        <w:t>(2018).</w:t>
      </w:r>
      <w:r w:rsidRPr="005E0BDB">
        <w:rPr>
          <w:rFonts w:ascii="Arial" w:hAnsi="Arial" w:cs="Arial"/>
        </w:rPr>
        <w:t xml:space="preserve"> Weed diversity of the family </w:t>
      </w:r>
      <w:proofErr w:type="spellStart"/>
      <w:r w:rsidRPr="005E0BDB">
        <w:rPr>
          <w:rFonts w:ascii="Arial" w:hAnsi="Arial" w:cs="Arial"/>
        </w:rPr>
        <w:t>Poaceae</w:t>
      </w:r>
      <w:proofErr w:type="spellEnd"/>
      <w:r w:rsidRPr="005E0BDB">
        <w:rPr>
          <w:rFonts w:ascii="Arial" w:hAnsi="Arial" w:cs="Arial"/>
        </w:rPr>
        <w:t xml:space="preserve"> in Bangladesh Agricultural University campus and their ethnobotanical uses: </w:t>
      </w:r>
      <w:proofErr w:type="spellStart"/>
      <w:r w:rsidRPr="005E0BDB">
        <w:rPr>
          <w:rFonts w:ascii="Arial" w:hAnsi="Arial" w:cs="Arial"/>
        </w:rPr>
        <w:t>Poaceae</w:t>
      </w:r>
      <w:proofErr w:type="spellEnd"/>
      <w:r w:rsidRPr="005E0BDB">
        <w:rPr>
          <w:rFonts w:ascii="Arial" w:hAnsi="Arial" w:cs="Arial"/>
        </w:rPr>
        <w:t xml:space="preserve"> grasses in BAU and their uses. </w:t>
      </w:r>
      <w:r w:rsidR="001B6FD9" w:rsidRPr="001B6FD9">
        <w:rPr>
          <w:rFonts w:ascii="Arial" w:hAnsi="Arial" w:cs="Arial"/>
        </w:rPr>
        <w:t>Journal of the Bangladesh Agricultural University, 16(3), 372-379. https://doi.org/10.3329/jbau.v16i3.39398</w:t>
      </w:r>
    </w:p>
    <w:p w14:paraId="1D0C70F1" w14:textId="7F1F8E13" w:rsidR="005E0BDB" w:rsidRPr="000D1048" w:rsidRDefault="000D1048"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0D1048">
        <w:rPr>
          <w:rFonts w:ascii="Arial" w:hAnsi="Arial" w:cs="Arial"/>
          <w:highlight w:val="yellow"/>
        </w:rPr>
        <w:t xml:space="preserve">Schreiber, F., Scherner, A., Andres, A., </w:t>
      </w:r>
      <w:proofErr w:type="spellStart"/>
      <w:r w:rsidRPr="000D1048">
        <w:rPr>
          <w:rFonts w:ascii="Arial" w:hAnsi="Arial" w:cs="Arial"/>
          <w:highlight w:val="yellow"/>
        </w:rPr>
        <w:t>Concenço</w:t>
      </w:r>
      <w:proofErr w:type="spellEnd"/>
      <w:r w:rsidRPr="000D1048">
        <w:rPr>
          <w:rFonts w:ascii="Arial" w:hAnsi="Arial" w:cs="Arial"/>
          <w:highlight w:val="yellow"/>
        </w:rPr>
        <w:t>, G., &amp; Goulart, F. (2018). Competitive Ability of Rice Cultivars in the Era of Weed. Plant Competition in Cropping Systems, 39.</w:t>
      </w:r>
      <w:r w:rsidRPr="000D1048">
        <w:rPr>
          <w:rFonts w:ascii="Arial" w:hAnsi="Arial" w:cs="Arial"/>
          <w:highlight w:val="yellow"/>
        </w:rPr>
        <w:t xml:space="preserve"> https://doi.org/</w:t>
      </w:r>
      <w:r w:rsidRPr="000D1048">
        <w:rPr>
          <w:rFonts w:ascii="Arial" w:hAnsi="Arial" w:cs="Arial"/>
          <w:highlight w:val="yellow"/>
        </w:rPr>
        <w:t>10.5772/intechopen.78342</w:t>
      </w:r>
    </w:p>
    <w:p w14:paraId="015582D4" w14:textId="09E3E852"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Schwartz-Lazaro</w:t>
      </w:r>
      <w:r w:rsidR="000C47E4">
        <w:rPr>
          <w:rFonts w:ascii="Arial" w:hAnsi="Arial" w:cs="Arial"/>
        </w:rPr>
        <w:t>,</w:t>
      </w:r>
      <w:r w:rsidRPr="005E0BDB">
        <w:rPr>
          <w:rFonts w:ascii="Arial" w:hAnsi="Arial" w:cs="Arial"/>
        </w:rPr>
        <w:t xml:space="preserve"> L. M., </w:t>
      </w:r>
      <w:r w:rsidR="000C47E4">
        <w:rPr>
          <w:rFonts w:ascii="Arial" w:hAnsi="Arial" w:cs="Arial"/>
        </w:rPr>
        <w:t xml:space="preserve">&amp; </w:t>
      </w:r>
      <w:r w:rsidRPr="005E0BDB">
        <w:rPr>
          <w:rFonts w:ascii="Arial" w:hAnsi="Arial" w:cs="Arial"/>
        </w:rPr>
        <w:t xml:space="preserve">Copes J. T. </w:t>
      </w:r>
      <w:r w:rsidR="000C47E4">
        <w:rPr>
          <w:rFonts w:ascii="Arial" w:hAnsi="Arial" w:cs="Arial"/>
        </w:rPr>
        <w:t>(2019).</w:t>
      </w:r>
      <w:r w:rsidRPr="005E0BDB">
        <w:rPr>
          <w:rFonts w:ascii="Arial" w:hAnsi="Arial" w:cs="Arial"/>
        </w:rPr>
        <w:t xml:space="preserve"> A review of the soil seedbank from a weed </w:t>
      </w:r>
      <w:proofErr w:type="gramStart"/>
      <w:r w:rsidRPr="005E0BDB">
        <w:rPr>
          <w:rFonts w:ascii="Arial" w:hAnsi="Arial" w:cs="Arial"/>
        </w:rPr>
        <w:t>scientists</w:t>
      </w:r>
      <w:proofErr w:type="gramEnd"/>
      <w:r w:rsidRPr="005E0BDB">
        <w:rPr>
          <w:rFonts w:ascii="Arial" w:hAnsi="Arial" w:cs="Arial"/>
        </w:rPr>
        <w:t xml:space="preserve"> perspective. </w:t>
      </w:r>
      <w:r w:rsidR="000C47E4" w:rsidRPr="000C47E4">
        <w:rPr>
          <w:rFonts w:ascii="Arial" w:hAnsi="Arial" w:cs="Arial"/>
        </w:rPr>
        <w:t>Agronomy, 9(7), 1-13. https://doi.org/10.3390/agronomy9070369</w:t>
      </w:r>
    </w:p>
    <w:p w14:paraId="4888B81C" w14:textId="061C8C3F" w:rsidR="005E0BDB" w:rsidRPr="000D1048" w:rsidRDefault="000D1048"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bookmarkStart w:id="0" w:name="_Hlk196462986"/>
      <w:r w:rsidRPr="000D1048">
        <w:rPr>
          <w:rFonts w:ascii="Arial" w:hAnsi="Arial" w:cs="Arial"/>
          <w:highlight w:val="yellow"/>
        </w:rPr>
        <w:t>Travlos</w:t>
      </w:r>
      <w:bookmarkEnd w:id="0"/>
      <w:r w:rsidRPr="000D1048">
        <w:rPr>
          <w:rFonts w:ascii="Arial" w:hAnsi="Arial" w:cs="Arial"/>
          <w:highlight w:val="yellow"/>
        </w:rPr>
        <w:t xml:space="preserve">, I., </w:t>
      </w:r>
      <w:proofErr w:type="spellStart"/>
      <w:r w:rsidRPr="000D1048">
        <w:rPr>
          <w:rFonts w:ascii="Arial" w:hAnsi="Arial" w:cs="Arial"/>
          <w:highlight w:val="yellow"/>
        </w:rPr>
        <w:t>Gazoulis</w:t>
      </w:r>
      <w:proofErr w:type="spellEnd"/>
      <w:r w:rsidRPr="000D1048">
        <w:rPr>
          <w:rFonts w:ascii="Arial" w:hAnsi="Arial" w:cs="Arial"/>
          <w:highlight w:val="yellow"/>
        </w:rPr>
        <w:t xml:space="preserve">, I., </w:t>
      </w:r>
      <w:proofErr w:type="spellStart"/>
      <w:r w:rsidRPr="000D1048">
        <w:rPr>
          <w:rFonts w:ascii="Arial" w:hAnsi="Arial" w:cs="Arial"/>
          <w:highlight w:val="yellow"/>
        </w:rPr>
        <w:t>Kanatas</w:t>
      </w:r>
      <w:proofErr w:type="spellEnd"/>
      <w:r w:rsidRPr="000D1048">
        <w:rPr>
          <w:rFonts w:ascii="Arial" w:hAnsi="Arial" w:cs="Arial"/>
          <w:highlight w:val="yellow"/>
        </w:rPr>
        <w:t xml:space="preserve">, P., Tsekoura, A., </w:t>
      </w:r>
      <w:proofErr w:type="spellStart"/>
      <w:r w:rsidRPr="000D1048">
        <w:rPr>
          <w:rFonts w:ascii="Arial" w:hAnsi="Arial" w:cs="Arial"/>
          <w:highlight w:val="yellow"/>
        </w:rPr>
        <w:t>Zannopoulos</w:t>
      </w:r>
      <w:proofErr w:type="spellEnd"/>
      <w:r w:rsidRPr="000D1048">
        <w:rPr>
          <w:rFonts w:ascii="Arial" w:hAnsi="Arial" w:cs="Arial"/>
          <w:highlight w:val="yellow"/>
        </w:rPr>
        <w:t xml:space="preserve">, S., &amp; </w:t>
      </w:r>
      <w:proofErr w:type="spellStart"/>
      <w:r w:rsidRPr="000D1048">
        <w:rPr>
          <w:rFonts w:ascii="Arial" w:hAnsi="Arial" w:cs="Arial"/>
          <w:highlight w:val="yellow"/>
        </w:rPr>
        <w:t>Papastylianou</w:t>
      </w:r>
      <w:proofErr w:type="spellEnd"/>
      <w:r w:rsidRPr="000D1048">
        <w:rPr>
          <w:rFonts w:ascii="Arial" w:hAnsi="Arial" w:cs="Arial"/>
          <w:highlight w:val="yellow"/>
        </w:rPr>
        <w:t xml:space="preserve">, P. (2020). Key factors affecting weed seeds' germination, weed emergence, and their </w:t>
      </w:r>
      <w:r w:rsidRPr="000D1048">
        <w:rPr>
          <w:rFonts w:ascii="Arial" w:hAnsi="Arial" w:cs="Arial"/>
          <w:highlight w:val="yellow"/>
        </w:rPr>
        <w:lastRenderedPageBreak/>
        <w:t>possible role for the efficacy of false seedbed technique as weed management practice. Frontiers in Agronomy, 2, 1.</w:t>
      </w:r>
      <w:r w:rsidRPr="000D1048">
        <w:rPr>
          <w:rFonts w:ascii="Arial" w:hAnsi="Arial" w:cs="Arial"/>
          <w:highlight w:val="yellow"/>
        </w:rPr>
        <w:t xml:space="preserve"> </w:t>
      </w:r>
      <w:r w:rsidRPr="000D1048">
        <w:rPr>
          <w:rFonts w:ascii="Arial" w:hAnsi="Arial" w:cs="Arial"/>
          <w:highlight w:val="yellow"/>
        </w:rPr>
        <w:t>https://doi.org/10.3389/fagro.2020.00001</w:t>
      </w:r>
    </w:p>
    <w:p w14:paraId="400BF3BF" w14:textId="4F840CC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Ott</w:t>
      </w:r>
      <w:r w:rsidR="000C47E4">
        <w:rPr>
          <w:rFonts w:ascii="Arial" w:hAnsi="Arial" w:cs="Arial"/>
          <w:lang w:val="nb-NO"/>
        </w:rPr>
        <w:t>,</w:t>
      </w:r>
      <w:r w:rsidRPr="005E0BDB">
        <w:rPr>
          <w:rFonts w:ascii="Arial" w:hAnsi="Arial" w:cs="Arial"/>
          <w:lang w:val="nb-NO"/>
        </w:rPr>
        <w:t xml:space="preserve"> J. P., </w:t>
      </w:r>
      <w:r w:rsidR="000C47E4">
        <w:rPr>
          <w:rFonts w:ascii="Arial" w:hAnsi="Arial" w:cs="Arial"/>
          <w:lang w:val="nb-NO"/>
        </w:rPr>
        <w:t xml:space="preserve">&amp; </w:t>
      </w:r>
      <w:r w:rsidRPr="005E0BDB">
        <w:rPr>
          <w:rFonts w:ascii="Arial" w:hAnsi="Arial" w:cs="Arial"/>
          <w:lang w:val="nb-NO"/>
        </w:rPr>
        <w:t xml:space="preserve">Hartnett D. C. (2011). </w:t>
      </w:r>
      <w:r w:rsidRPr="005E0BDB">
        <w:rPr>
          <w:rFonts w:ascii="Arial" w:hAnsi="Arial" w:cs="Arial"/>
        </w:rPr>
        <w:t>Bud production and dynamics of flowering and vegetative tillers in Andropogon gerardii (</w:t>
      </w:r>
      <w:proofErr w:type="spellStart"/>
      <w:r w:rsidRPr="005E0BDB">
        <w:rPr>
          <w:rFonts w:ascii="Arial" w:hAnsi="Arial" w:cs="Arial"/>
        </w:rPr>
        <w:t>Poaceae</w:t>
      </w:r>
      <w:proofErr w:type="spellEnd"/>
      <w:r w:rsidRPr="005E0BDB">
        <w:rPr>
          <w:rFonts w:ascii="Arial" w:hAnsi="Arial" w:cs="Arial"/>
        </w:rPr>
        <w:t>): The role of developmental constraints. </w:t>
      </w:r>
      <w:r w:rsidR="000C47E4" w:rsidRPr="000C47E4">
        <w:rPr>
          <w:rFonts w:ascii="Arial" w:hAnsi="Arial" w:cs="Arial"/>
        </w:rPr>
        <w:t>American Journal of Botany, 98(8), 1293-1298. https://doi.org/10.3732/ajb.1000264</w:t>
      </w:r>
    </w:p>
    <w:p w14:paraId="2592C912" w14:textId="455DE3C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Espeland</w:t>
      </w:r>
      <w:r w:rsidR="000C47E4">
        <w:rPr>
          <w:rFonts w:ascii="Arial" w:hAnsi="Arial" w:cs="Arial"/>
        </w:rPr>
        <w:t>,</w:t>
      </w:r>
      <w:r w:rsidRPr="005E0BDB">
        <w:rPr>
          <w:rFonts w:ascii="Arial" w:hAnsi="Arial" w:cs="Arial"/>
        </w:rPr>
        <w:t xml:space="preserve"> E. K. (2013). A colonizing species has high fitness on soils with an exotic species legacy when conditioning effects are mitigated. </w:t>
      </w:r>
      <w:r w:rsidR="00B92093" w:rsidRPr="00B92093">
        <w:rPr>
          <w:rFonts w:ascii="Arial" w:hAnsi="Arial" w:cs="Arial"/>
        </w:rPr>
        <w:t>Ecological Restoration, 31(2), 195-200. https://doi.org/10.3368/er.31.2.195</w:t>
      </w:r>
    </w:p>
    <w:p w14:paraId="0B38737C" w14:textId="20619381"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Petit</w:t>
      </w:r>
      <w:r w:rsidR="00B92093">
        <w:rPr>
          <w:rFonts w:ascii="Arial" w:hAnsi="Arial" w:cs="Arial"/>
        </w:rPr>
        <w:t>,</w:t>
      </w:r>
      <w:r w:rsidRPr="005E0BDB">
        <w:rPr>
          <w:rFonts w:ascii="Arial" w:hAnsi="Arial" w:cs="Arial"/>
        </w:rPr>
        <w:t xml:space="preserve"> S., </w:t>
      </w:r>
      <w:proofErr w:type="spellStart"/>
      <w:r w:rsidRPr="005E0BDB">
        <w:rPr>
          <w:rFonts w:ascii="Arial" w:hAnsi="Arial" w:cs="Arial"/>
        </w:rPr>
        <w:t>Boursault</w:t>
      </w:r>
      <w:proofErr w:type="spellEnd"/>
      <w:r w:rsidR="00B92093">
        <w:rPr>
          <w:rFonts w:ascii="Arial" w:hAnsi="Arial" w:cs="Arial"/>
        </w:rPr>
        <w:t>,</w:t>
      </w:r>
      <w:r w:rsidRPr="005E0BDB">
        <w:rPr>
          <w:rFonts w:ascii="Arial" w:hAnsi="Arial" w:cs="Arial"/>
        </w:rPr>
        <w:t xml:space="preserve"> A., Le Guilloux</w:t>
      </w:r>
      <w:r w:rsidR="00B92093">
        <w:rPr>
          <w:rFonts w:ascii="Arial" w:hAnsi="Arial" w:cs="Arial"/>
        </w:rPr>
        <w:t>,</w:t>
      </w:r>
      <w:r w:rsidRPr="005E0BDB">
        <w:rPr>
          <w:rFonts w:ascii="Arial" w:hAnsi="Arial" w:cs="Arial"/>
        </w:rPr>
        <w:t xml:space="preserve"> M., Munier-Jolain</w:t>
      </w:r>
      <w:r w:rsidR="00B92093">
        <w:rPr>
          <w:rFonts w:ascii="Arial" w:hAnsi="Arial" w:cs="Arial"/>
        </w:rPr>
        <w:t>,</w:t>
      </w:r>
      <w:r w:rsidRPr="005E0BDB">
        <w:rPr>
          <w:rFonts w:ascii="Arial" w:hAnsi="Arial" w:cs="Arial"/>
        </w:rPr>
        <w:t xml:space="preserve"> N., </w:t>
      </w:r>
      <w:r w:rsidR="00B92093">
        <w:rPr>
          <w:rFonts w:ascii="Arial" w:hAnsi="Arial" w:cs="Arial"/>
        </w:rPr>
        <w:t xml:space="preserve">&amp; </w:t>
      </w:r>
      <w:proofErr w:type="spellStart"/>
      <w:r w:rsidRPr="005E0BDB">
        <w:rPr>
          <w:rFonts w:ascii="Arial" w:hAnsi="Arial" w:cs="Arial"/>
        </w:rPr>
        <w:t>Reboud</w:t>
      </w:r>
      <w:proofErr w:type="spellEnd"/>
      <w:r w:rsidR="00B92093">
        <w:rPr>
          <w:rFonts w:ascii="Arial" w:hAnsi="Arial" w:cs="Arial"/>
        </w:rPr>
        <w:t>,</w:t>
      </w:r>
      <w:r w:rsidRPr="005E0BDB">
        <w:rPr>
          <w:rFonts w:ascii="Arial" w:hAnsi="Arial" w:cs="Arial"/>
        </w:rPr>
        <w:t xml:space="preserve"> X. </w:t>
      </w:r>
      <w:r w:rsidR="00B92093">
        <w:rPr>
          <w:rFonts w:ascii="Arial" w:hAnsi="Arial" w:cs="Arial"/>
        </w:rPr>
        <w:t>(2011).</w:t>
      </w:r>
      <w:r w:rsidRPr="005E0BDB">
        <w:rPr>
          <w:rFonts w:ascii="Arial" w:hAnsi="Arial" w:cs="Arial"/>
        </w:rPr>
        <w:t xml:space="preserve"> Weeds in agricultural landscapes. </w:t>
      </w:r>
      <w:r w:rsidR="00B92093" w:rsidRPr="00B92093">
        <w:rPr>
          <w:rFonts w:ascii="Arial" w:hAnsi="Arial" w:cs="Arial"/>
        </w:rPr>
        <w:t xml:space="preserve">Agronomy for </w:t>
      </w:r>
      <w:r w:rsidR="00B92093">
        <w:rPr>
          <w:rFonts w:ascii="Arial" w:hAnsi="Arial" w:cs="Arial"/>
        </w:rPr>
        <w:t>S</w:t>
      </w:r>
      <w:r w:rsidR="00B92093" w:rsidRPr="00B92093">
        <w:rPr>
          <w:rFonts w:ascii="Arial" w:hAnsi="Arial" w:cs="Arial"/>
        </w:rPr>
        <w:t xml:space="preserve">ustainable </w:t>
      </w:r>
      <w:r w:rsidR="00B92093">
        <w:rPr>
          <w:rFonts w:ascii="Arial" w:hAnsi="Arial" w:cs="Arial"/>
        </w:rPr>
        <w:t>D</w:t>
      </w:r>
      <w:r w:rsidR="00B92093" w:rsidRPr="00B92093">
        <w:rPr>
          <w:rFonts w:ascii="Arial" w:hAnsi="Arial" w:cs="Arial"/>
        </w:rPr>
        <w:t>evelopment, 31, 309-317. https://doi.org/10.1051/agro/2010020</w:t>
      </w:r>
    </w:p>
    <w:p w14:paraId="0FB31B84" w14:textId="2B52655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Cordeau</w:t>
      </w:r>
      <w:r w:rsidR="00777DDF">
        <w:rPr>
          <w:rFonts w:ascii="Arial" w:hAnsi="Arial" w:cs="Arial"/>
        </w:rPr>
        <w:t>,</w:t>
      </w:r>
      <w:r w:rsidRPr="005E0BDB">
        <w:rPr>
          <w:rFonts w:ascii="Arial" w:hAnsi="Arial" w:cs="Arial"/>
        </w:rPr>
        <w:t xml:space="preserve"> S., Smith</w:t>
      </w:r>
      <w:r w:rsidR="00777DDF">
        <w:rPr>
          <w:rFonts w:ascii="Arial" w:hAnsi="Arial" w:cs="Arial"/>
        </w:rPr>
        <w:t>,</w:t>
      </w:r>
      <w:r w:rsidRPr="005E0BDB">
        <w:rPr>
          <w:rFonts w:ascii="Arial" w:hAnsi="Arial" w:cs="Arial"/>
        </w:rPr>
        <w:t xml:space="preserve"> R. G., </w:t>
      </w:r>
      <w:proofErr w:type="spellStart"/>
      <w:r w:rsidRPr="005E0BDB">
        <w:rPr>
          <w:rFonts w:ascii="Arial" w:hAnsi="Arial" w:cs="Arial"/>
        </w:rPr>
        <w:t>Gallandt</w:t>
      </w:r>
      <w:proofErr w:type="spellEnd"/>
      <w:r w:rsidR="00777DDF">
        <w:rPr>
          <w:rFonts w:ascii="Arial" w:hAnsi="Arial" w:cs="Arial"/>
        </w:rPr>
        <w:t>,</w:t>
      </w:r>
      <w:r w:rsidRPr="005E0BDB">
        <w:rPr>
          <w:rFonts w:ascii="Arial" w:hAnsi="Arial" w:cs="Arial"/>
        </w:rPr>
        <w:t xml:space="preserve"> E. R., Brown</w:t>
      </w:r>
      <w:r w:rsidR="00777DDF">
        <w:rPr>
          <w:rFonts w:ascii="Arial" w:hAnsi="Arial" w:cs="Arial"/>
        </w:rPr>
        <w:t>,</w:t>
      </w:r>
      <w:r w:rsidRPr="005E0BDB">
        <w:rPr>
          <w:rFonts w:ascii="Arial" w:hAnsi="Arial" w:cs="Arial"/>
        </w:rPr>
        <w:t xml:space="preserve"> B., Salon</w:t>
      </w:r>
      <w:r w:rsidR="00777DDF">
        <w:rPr>
          <w:rFonts w:ascii="Arial" w:hAnsi="Arial" w:cs="Arial"/>
        </w:rPr>
        <w:t>,</w:t>
      </w:r>
      <w:r w:rsidRPr="005E0BDB">
        <w:rPr>
          <w:rFonts w:ascii="Arial" w:hAnsi="Arial" w:cs="Arial"/>
        </w:rPr>
        <w:t xml:space="preserve"> P., DiTommaso</w:t>
      </w:r>
      <w:r w:rsidR="00777DDF">
        <w:rPr>
          <w:rFonts w:ascii="Arial" w:hAnsi="Arial" w:cs="Arial"/>
        </w:rPr>
        <w:t>,</w:t>
      </w:r>
      <w:r w:rsidRPr="005E0BDB">
        <w:rPr>
          <w:rFonts w:ascii="Arial" w:hAnsi="Arial" w:cs="Arial"/>
        </w:rPr>
        <w:t xml:space="preserve"> A., </w:t>
      </w:r>
      <w:r w:rsidR="00777DDF">
        <w:rPr>
          <w:rFonts w:ascii="Arial" w:hAnsi="Arial" w:cs="Arial"/>
        </w:rPr>
        <w:t xml:space="preserve">&amp; </w:t>
      </w:r>
      <w:r w:rsidRPr="005E0BDB">
        <w:rPr>
          <w:rFonts w:ascii="Arial" w:hAnsi="Arial" w:cs="Arial"/>
        </w:rPr>
        <w:t xml:space="preserve">Ryan M. R. </w:t>
      </w:r>
      <w:r w:rsidR="00777DDF">
        <w:rPr>
          <w:rFonts w:ascii="Arial" w:hAnsi="Arial" w:cs="Arial"/>
        </w:rPr>
        <w:t>(2017).</w:t>
      </w:r>
      <w:r w:rsidRPr="005E0BDB">
        <w:rPr>
          <w:rFonts w:ascii="Arial" w:hAnsi="Arial" w:cs="Arial"/>
        </w:rPr>
        <w:t xml:space="preserve"> Disentangling the effects of tillage timing and weather on weed community assembly. </w:t>
      </w:r>
      <w:r w:rsidR="005C2844" w:rsidRPr="005C2844">
        <w:rPr>
          <w:rFonts w:ascii="Arial" w:hAnsi="Arial" w:cs="Arial"/>
        </w:rPr>
        <w:t>Agriculture, 7(8), 1-18. https://doi.org/10.3390/agriculture7080066</w:t>
      </w:r>
    </w:p>
    <w:p w14:paraId="653344A8" w14:textId="3DC510E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Gibson</w:t>
      </w:r>
      <w:r w:rsidR="005C2844">
        <w:rPr>
          <w:rFonts w:ascii="Arial" w:hAnsi="Arial" w:cs="Arial"/>
        </w:rPr>
        <w:t>,</w:t>
      </w:r>
      <w:r w:rsidRPr="005E0BDB">
        <w:rPr>
          <w:rFonts w:ascii="Arial" w:hAnsi="Arial" w:cs="Arial"/>
        </w:rPr>
        <w:t xml:space="preserve"> D. J., Gage</w:t>
      </w:r>
      <w:r w:rsidR="005C2844">
        <w:rPr>
          <w:rFonts w:ascii="Arial" w:hAnsi="Arial" w:cs="Arial"/>
        </w:rPr>
        <w:t>,</w:t>
      </w:r>
      <w:r w:rsidRPr="005E0BDB">
        <w:rPr>
          <w:rFonts w:ascii="Arial" w:hAnsi="Arial" w:cs="Arial"/>
        </w:rPr>
        <w:t xml:space="preserve"> K. L., Matthews</w:t>
      </w:r>
      <w:r w:rsidR="005C2844">
        <w:rPr>
          <w:rFonts w:ascii="Arial" w:hAnsi="Arial" w:cs="Arial"/>
        </w:rPr>
        <w:t>,</w:t>
      </w:r>
      <w:r w:rsidRPr="005E0BDB">
        <w:rPr>
          <w:rFonts w:ascii="Arial" w:hAnsi="Arial" w:cs="Arial"/>
        </w:rPr>
        <w:t xml:space="preserve"> J. L., Young</w:t>
      </w:r>
      <w:r w:rsidR="005C2844">
        <w:rPr>
          <w:rFonts w:ascii="Arial" w:hAnsi="Arial" w:cs="Arial"/>
        </w:rPr>
        <w:t>,</w:t>
      </w:r>
      <w:r w:rsidRPr="005E0BDB">
        <w:rPr>
          <w:rFonts w:ascii="Arial" w:hAnsi="Arial" w:cs="Arial"/>
        </w:rPr>
        <w:t xml:space="preserve"> B. G., Owen</w:t>
      </w:r>
      <w:r w:rsidR="005C2844">
        <w:rPr>
          <w:rFonts w:ascii="Arial" w:hAnsi="Arial" w:cs="Arial"/>
        </w:rPr>
        <w:t>,</w:t>
      </w:r>
      <w:r w:rsidRPr="005E0BDB">
        <w:rPr>
          <w:rFonts w:ascii="Arial" w:hAnsi="Arial" w:cs="Arial"/>
        </w:rPr>
        <w:t xml:space="preserve"> M. D., Wilson</w:t>
      </w:r>
      <w:r w:rsidR="005C2844">
        <w:rPr>
          <w:rFonts w:ascii="Arial" w:hAnsi="Arial" w:cs="Arial"/>
        </w:rPr>
        <w:t>,</w:t>
      </w:r>
      <w:r w:rsidRPr="005E0BDB">
        <w:rPr>
          <w:rFonts w:ascii="Arial" w:hAnsi="Arial" w:cs="Arial"/>
        </w:rPr>
        <w:t xml:space="preserve"> R. G.,</w:t>
      </w:r>
      <w:r w:rsidR="005C2844">
        <w:rPr>
          <w:rFonts w:ascii="Arial" w:hAnsi="Arial" w:cs="Arial"/>
        </w:rPr>
        <w:t xml:space="preserve"> &amp;</w:t>
      </w:r>
      <w:r w:rsidRPr="005E0BDB">
        <w:rPr>
          <w:rFonts w:ascii="Arial" w:hAnsi="Arial" w:cs="Arial"/>
        </w:rPr>
        <w:t xml:space="preserve"> Jordan, D. L. </w:t>
      </w:r>
      <w:r w:rsidR="005C2844">
        <w:rPr>
          <w:rFonts w:ascii="Arial" w:hAnsi="Arial" w:cs="Arial"/>
        </w:rPr>
        <w:t>(2013).</w:t>
      </w:r>
      <w:r w:rsidRPr="005E0BDB">
        <w:rPr>
          <w:rFonts w:ascii="Arial" w:hAnsi="Arial" w:cs="Arial"/>
        </w:rPr>
        <w:t xml:space="preserve"> The effect of weed management systems and location on arable weed species communities in glyphosate</w:t>
      </w:r>
      <w:r w:rsidRPr="005E0BDB">
        <w:rPr>
          <w:rFonts w:ascii="Cambria Math" w:hAnsi="Cambria Math" w:cs="Cambria Math"/>
        </w:rPr>
        <w:t>‐</w:t>
      </w:r>
      <w:r w:rsidRPr="005E0BDB">
        <w:rPr>
          <w:rFonts w:ascii="Arial" w:hAnsi="Arial" w:cs="Arial"/>
        </w:rPr>
        <w:t>resistant cropping systems. </w:t>
      </w:r>
      <w:r w:rsidR="00862FD7" w:rsidRPr="00862FD7">
        <w:rPr>
          <w:rFonts w:ascii="Arial" w:hAnsi="Arial" w:cs="Arial"/>
        </w:rPr>
        <w:t>Applied Vegetation Science, 16(4), 676-687. https://doi.org/10.1111/avsc.12039</w:t>
      </w:r>
    </w:p>
    <w:p w14:paraId="7ADDD996" w14:textId="78F5AAE3" w:rsidR="005E0BDB" w:rsidRPr="007D56CA" w:rsidRDefault="000D1048" w:rsidP="005E0BDB">
      <w:pPr>
        <w:numPr>
          <w:ilvl w:val="0"/>
          <w:numId w:val="32"/>
        </w:numPr>
        <w:shd w:val="clear" w:color="auto" w:fill="FFFFFF"/>
        <w:spacing w:before="100" w:beforeAutospacing="1" w:after="100" w:afterAutospacing="1" w:line="276" w:lineRule="auto"/>
        <w:jc w:val="both"/>
        <w:rPr>
          <w:rFonts w:ascii="Arial" w:hAnsi="Arial" w:cs="Arial"/>
          <w:highlight w:val="yellow"/>
        </w:rPr>
      </w:pPr>
      <w:r w:rsidRPr="000D1048">
        <w:rPr>
          <w:rFonts w:ascii="Arial" w:hAnsi="Arial" w:cs="Arial"/>
          <w:highlight w:val="yellow"/>
        </w:rPr>
        <w:t xml:space="preserve">Jung, M., Rowhani, P., &amp; </w:t>
      </w:r>
      <w:proofErr w:type="spellStart"/>
      <w:r w:rsidRPr="000D1048">
        <w:rPr>
          <w:rFonts w:ascii="Arial" w:hAnsi="Arial" w:cs="Arial"/>
          <w:highlight w:val="yellow"/>
        </w:rPr>
        <w:t>Scharlemann</w:t>
      </w:r>
      <w:proofErr w:type="spellEnd"/>
      <w:r w:rsidRPr="000D1048">
        <w:rPr>
          <w:rFonts w:ascii="Arial" w:hAnsi="Arial" w:cs="Arial"/>
          <w:highlight w:val="yellow"/>
        </w:rPr>
        <w:t>, J. P. (2019). Impacts of past abrupt land change on local biodiversity globally. Nature Communications, 10(1), 5474.</w:t>
      </w:r>
      <w:r w:rsidR="007D56CA">
        <w:rPr>
          <w:rFonts w:ascii="Arial" w:hAnsi="Arial" w:cs="Arial"/>
          <w:highlight w:val="yellow"/>
        </w:rPr>
        <w:t xml:space="preserve"> </w:t>
      </w:r>
      <w:r w:rsidR="007D56CA" w:rsidRPr="007D56CA">
        <w:rPr>
          <w:rFonts w:ascii="Arial" w:hAnsi="Arial" w:cs="Arial"/>
          <w:highlight w:val="yellow"/>
        </w:rPr>
        <w:t>https://doi.org/10.1038/s41467-019-13452-3</w:t>
      </w:r>
    </w:p>
    <w:p w14:paraId="2BF159A9" w14:textId="11593F6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Mahé</w:t>
      </w:r>
      <w:r w:rsidR="00862FD7">
        <w:rPr>
          <w:rFonts w:ascii="Arial" w:hAnsi="Arial" w:cs="Arial"/>
        </w:rPr>
        <w:t>,</w:t>
      </w:r>
      <w:r w:rsidRPr="005E0BDB">
        <w:rPr>
          <w:rFonts w:ascii="Arial" w:hAnsi="Arial" w:cs="Arial"/>
        </w:rPr>
        <w:t xml:space="preserve"> I., Cordeau</w:t>
      </w:r>
      <w:r w:rsidR="00862FD7">
        <w:rPr>
          <w:rFonts w:ascii="Arial" w:hAnsi="Arial" w:cs="Arial"/>
        </w:rPr>
        <w:t>,</w:t>
      </w:r>
      <w:r w:rsidRPr="005E0BDB">
        <w:rPr>
          <w:rFonts w:ascii="Arial" w:hAnsi="Arial" w:cs="Arial"/>
        </w:rPr>
        <w:t xml:space="preserve"> S., Bohan</w:t>
      </w:r>
      <w:r w:rsidR="00862FD7">
        <w:rPr>
          <w:rFonts w:ascii="Arial" w:hAnsi="Arial" w:cs="Arial"/>
        </w:rPr>
        <w:t>,</w:t>
      </w:r>
      <w:r w:rsidRPr="005E0BDB">
        <w:rPr>
          <w:rFonts w:ascii="Arial" w:hAnsi="Arial" w:cs="Arial"/>
        </w:rPr>
        <w:t xml:space="preserve"> D. A., </w:t>
      </w:r>
      <w:proofErr w:type="spellStart"/>
      <w:r w:rsidRPr="005E0BDB">
        <w:rPr>
          <w:rFonts w:ascii="Arial" w:hAnsi="Arial" w:cs="Arial"/>
        </w:rPr>
        <w:t>Derrouch</w:t>
      </w:r>
      <w:proofErr w:type="spellEnd"/>
      <w:r w:rsidR="00862FD7">
        <w:rPr>
          <w:rFonts w:ascii="Arial" w:hAnsi="Arial" w:cs="Arial"/>
        </w:rPr>
        <w:t>,</w:t>
      </w:r>
      <w:r w:rsidRPr="005E0BDB">
        <w:rPr>
          <w:rFonts w:ascii="Arial" w:hAnsi="Arial" w:cs="Arial"/>
        </w:rPr>
        <w:t xml:space="preserve"> D., Dessaint</w:t>
      </w:r>
      <w:r w:rsidR="00862FD7">
        <w:rPr>
          <w:rFonts w:ascii="Arial" w:hAnsi="Arial" w:cs="Arial"/>
        </w:rPr>
        <w:t>,</w:t>
      </w:r>
      <w:r w:rsidRPr="005E0BDB">
        <w:rPr>
          <w:rFonts w:ascii="Arial" w:hAnsi="Arial" w:cs="Arial"/>
        </w:rPr>
        <w:t xml:space="preserve"> F., Millot</w:t>
      </w:r>
      <w:r w:rsidR="00862FD7">
        <w:rPr>
          <w:rFonts w:ascii="Arial" w:hAnsi="Arial" w:cs="Arial"/>
        </w:rPr>
        <w:t>,</w:t>
      </w:r>
      <w:r w:rsidRPr="005E0BDB">
        <w:rPr>
          <w:rFonts w:ascii="Arial" w:hAnsi="Arial" w:cs="Arial"/>
        </w:rPr>
        <w:t xml:space="preserve"> D., </w:t>
      </w:r>
      <w:r w:rsidR="00862FD7">
        <w:rPr>
          <w:rFonts w:ascii="Arial" w:hAnsi="Arial" w:cs="Arial"/>
        </w:rPr>
        <w:t xml:space="preserve">&amp; </w:t>
      </w:r>
      <w:r w:rsidRPr="005E0BDB">
        <w:rPr>
          <w:rFonts w:ascii="Arial" w:hAnsi="Arial" w:cs="Arial"/>
        </w:rPr>
        <w:t>Chauvel</w:t>
      </w:r>
      <w:r w:rsidR="00862FD7">
        <w:rPr>
          <w:rFonts w:ascii="Arial" w:hAnsi="Arial" w:cs="Arial"/>
        </w:rPr>
        <w:t>,</w:t>
      </w:r>
      <w:r w:rsidRPr="005E0BDB">
        <w:rPr>
          <w:rFonts w:ascii="Arial" w:hAnsi="Arial" w:cs="Arial"/>
        </w:rPr>
        <w:t xml:space="preserve"> B. </w:t>
      </w:r>
      <w:r w:rsidR="00862FD7">
        <w:rPr>
          <w:rFonts w:ascii="Arial" w:hAnsi="Arial" w:cs="Arial"/>
        </w:rPr>
        <w:t>(2021).</w:t>
      </w:r>
      <w:r w:rsidRPr="005E0BDB">
        <w:rPr>
          <w:rFonts w:ascii="Arial" w:hAnsi="Arial" w:cs="Arial"/>
        </w:rPr>
        <w:t xml:space="preserve"> Soil seedbank: Old methods for new challenges in agroecology? </w:t>
      </w:r>
      <w:r w:rsidR="00862FD7" w:rsidRPr="00862FD7">
        <w:rPr>
          <w:rFonts w:ascii="Arial" w:hAnsi="Arial" w:cs="Arial"/>
        </w:rPr>
        <w:t>Annals of Applied Biology, 178(1), 23-38. https://doi.org/10.1111/aab.12619</w:t>
      </w:r>
    </w:p>
    <w:sectPr w:rsidR="005E0BDB" w:rsidRPr="005E0BDB" w:rsidSect="0031564E">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EFEE" w14:textId="77777777" w:rsidR="00AE3121" w:rsidRDefault="00AE3121" w:rsidP="00C37E61">
      <w:r>
        <w:separator/>
      </w:r>
    </w:p>
  </w:endnote>
  <w:endnote w:type="continuationSeparator" w:id="0">
    <w:p w14:paraId="2E7DD464" w14:textId="77777777" w:rsidR="00AE3121" w:rsidRDefault="00AE31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900B" w14:textId="77777777" w:rsidR="0031564E" w:rsidRDefault="00315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5BBC" w14:textId="77777777" w:rsidR="0031564E" w:rsidRDefault="00315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B1BC" w14:textId="26089D8B" w:rsidR="00754C9A" w:rsidRPr="0031564E" w:rsidRDefault="00754C9A" w:rsidP="00315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65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3AFF" w14:textId="77777777" w:rsidR="00AE3121" w:rsidRDefault="00AE3121" w:rsidP="00C37E61">
      <w:r>
        <w:separator/>
      </w:r>
    </w:p>
  </w:footnote>
  <w:footnote w:type="continuationSeparator" w:id="0">
    <w:p w14:paraId="4D7DBA84" w14:textId="77777777" w:rsidR="00AE3121" w:rsidRDefault="00AE31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93B0" w14:textId="7FEF661B" w:rsidR="0031564E" w:rsidRDefault="00000000">
    <w:pPr>
      <w:pStyle w:val="Header"/>
    </w:pPr>
    <w:r>
      <w:rPr>
        <w:noProof/>
      </w:rPr>
      <w:pict w14:anchorId="107F5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9A5C" w14:textId="6D831431" w:rsidR="0031564E" w:rsidRDefault="00000000">
    <w:pPr>
      <w:pStyle w:val="Header"/>
    </w:pPr>
    <w:r>
      <w:rPr>
        <w:noProof/>
      </w:rPr>
      <w:pict w14:anchorId="4C4AD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67FA" w14:textId="24F7EF99" w:rsidR="00296529" w:rsidRPr="00296529" w:rsidRDefault="00000000" w:rsidP="00296529">
    <w:pPr>
      <w:ind w:left="2160"/>
      <w:jc w:val="center"/>
      <w:rPr>
        <w:rFonts w:ascii="Times New Roman" w:eastAsia="Calibri" w:hAnsi="Times New Roman"/>
        <w:i/>
        <w:sz w:val="18"/>
        <w:szCs w:val="22"/>
      </w:rPr>
    </w:pPr>
    <w:r>
      <w:rPr>
        <w:noProof/>
      </w:rPr>
      <w:pict w14:anchorId="6CC6E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229E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1987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5DB0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4E7E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450B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CED3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E50" w14:textId="758AC1D9" w:rsidR="0031564E" w:rsidRDefault="00000000">
    <w:pPr>
      <w:pStyle w:val="Header"/>
    </w:pPr>
    <w:r>
      <w:rPr>
        <w:noProof/>
      </w:rPr>
      <w:pict w14:anchorId="081A5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9B42" w14:textId="736DCF67" w:rsidR="0031564E" w:rsidRDefault="00000000">
    <w:pPr>
      <w:pStyle w:val="Header"/>
    </w:pPr>
    <w:r>
      <w:rPr>
        <w:noProof/>
      </w:rPr>
      <w:pict w14:anchorId="14D61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66FA" w14:textId="00BCF7DE" w:rsidR="0031564E" w:rsidRDefault="00000000">
    <w:pPr>
      <w:pStyle w:val="Header"/>
    </w:pPr>
    <w:r>
      <w:rPr>
        <w:noProof/>
      </w:rPr>
      <w:pict w14:anchorId="03737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8364D"/>
    <w:multiLevelType w:val="multilevel"/>
    <w:tmpl w:val="CABE731A"/>
    <w:lvl w:ilvl="0">
      <w:start w:val="1"/>
      <w:numFmt w:val="decimal"/>
      <w:pStyle w:val="demuclo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A27F90"/>
    <w:multiLevelType w:val="hybridMultilevel"/>
    <w:tmpl w:val="FB74191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70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4989608">
    <w:abstractNumId w:val="17"/>
  </w:num>
  <w:num w:numId="3" w16cid:durableId="1714117511">
    <w:abstractNumId w:val="25"/>
  </w:num>
  <w:num w:numId="4" w16cid:durableId="11935724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7361584">
    <w:abstractNumId w:val="9"/>
  </w:num>
  <w:num w:numId="6" w16cid:durableId="390426688">
    <w:abstractNumId w:val="7"/>
  </w:num>
  <w:num w:numId="7" w16cid:durableId="1121460835">
    <w:abstractNumId w:val="1"/>
  </w:num>
  <w:num w:numId="8" w16cid:durableId="2124761578">
    <w:abstractNumId w:val="14"/>
  </w:num>
  <w:num w:numId="9" w16cid:durableId="210767666">
    <w:abstractNumId w:val="27"/>
  </w:num>
  <w:num w:numId="10" w16cid:durableId="1355304855">
    <w:abstractNumId w:val="2"/>
  </w:num>
  <w:num w:numId="11" w16cid:durableId="1836996739">
    <w:abstractNumId w:val="20"/>
  </w:num>
  <w:num w:numId="12" w16cid:durableId="1601639586">
    <w:abstractNumId w:val="4"/>
  </w:num>
  <w:num w:numId="13" w16cid:durableId="1023047250">
    <w:abstractNumId w:val="19"/>
  </w:num>
  <w:num w:numId="14" w16cid:durableId="347409076">
    <w:abstractNumId w:val="10"/>
  </w:num>
  <w:num w:numId="15" w16cid:durableId="2011638930">
    <w:abstractNumId w:val="23"/>
  </w:num>
  <w:num w:numId="16" w16cid:durableId="1154224894">
    <w:abstractNumId w:val="6"/>
  </w:num>
  <w:num w:numId="17" w16cid:durableId="945036128">
    <w:abstractNumId w:val="24"/>
  </w:num>
  <w:num w:numId="18" w16cid:durableId="1398360238">
    <w:abstractNumId w:val="16"/>
  </w:num>
  <w:num w:numId="19" w16cid:durableId="578835256">
    <w:abstractNumId w:val="30"/>
  </w:num>
  <w:num w:numId="20" w16cid:durableId="1245798440">
    <w:abstractNumId w:val="13"/>
  </w:num>
  <w:num w:numId="21" w16cid:durableId="682704455">
    <w:abstractNumId w:val="11"/>
  </w:num>
  <w:num w:numId="22" w16cid:durableId="1196238488">
    <w:abstractNumId w:val="15"/>
  </w:num>
  <w:num w:numId="23" w16cid:durableId="772944679">
    <w:abstractNumId w:val="21"/>
  </w:num>
  <w:num w:numId="24" w16cid:durableId="1736974536">
    <w:abstractNumId w:val="28"/>
  </w:num>
  <w:num w:numId="25" w16cid:durableId="364018157">
    <w:abstractNumId w:val="5"/>
  </w:num>
  <w:num w:numId="26" w16cid:durableId="154881798">
    <w:abstractNumId w:val="18"/>
  </w:num>
  <w:num w:numId="27" w16cid:durableId="2011130957">
    <w:abstractNumId w:val="22"/>
  </w:num>
  <w:num w:numId="28" w16cid:durableId="227155302">
    <w:abstractNumId w:val="29"/>
  </w:num>
  <w:num w:numId="29" w16cid:durableId="959797566">
    <w:abstractNumId w:val="26"/>
  </w:num>
  <w:num w:numId="30" w16cid:durableId="567496175">
    <w:abstractNumId w:val="12"/>
  </w:num>
  <w:num w:numId="31" w16cid:durableId="931358495">
    <w:abstractNumId w:val="3"/>
  </w:num>
  <w:num w:numId="32" w16cid:durableId="923222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496"/>
    <w:rsid w:val="00030174"/>
    <w:rsid w:val="00034EAC"/>
    <w:rsid w:val="00035123"/>
    <w:rsid w:val="0004579C"/>
    <w:rsid w:val="0007401D"/>
    <w:rsid w:val="0007585B"/>
    <w:rsid w:val="000A47FA"/>
    <w:rsid w:val="000A65D3"/>
    <w:rsid w:val="000B1E33"/>
    <w:rsid w:val="000C47E4"/>
    <w:rsid w:val="000D1048"/>
    <w:rsid w:val="000D689F"/>
    <w:rsid w:val="000E7B7B"/>
    <w:rsid w:val="000E7D62"/>
    <w:rsid w:val="00103357"/>
    <w:rsid w:val="00123C9F"/>
    <w:rsid w:val="00126190"/>
    <w:rsid w:val="00130F17"/>
    <w:rsid w:val="001320BF"/>
    <w:rsid w:val="00160461"/>
    <w:rsid w:val="00163BC4"/>
    <w:rsid w:val="00191062"/>
    <w:rsid w:val="001922A6"/>
    <w:rsid w:val="00192B72"/>
    <w:rsid w:val="00195E18"/>
    <w:rsid w:val="001A29D8"/>
    <w:rsid w:val="001A5CAA"/>
    <w:rsid w:val="001B0427"/>
    <w:rsid w:val="001B6FD9"/>
    <w:rsid w:val="001D3A51"/>
    <w:rsid w:val="001E10D2"/>
    <w:rsid w:val="001E25B4"/>
    <w:rsid w:val="001E44FE"/>
    <w:rsid w:val="00200595"/>
    <w:rsid w:val="00204835"/>
    <w:rsid w:val="0022141A"/>
    <w:rsid w:val="00224C23"/>
    <w:rsid w:val="00231920"/>
    <w:rsid w:val="0023195C"/>
    <w:rsid w:val="00231B9C"/>
    <w:rsid w:val="0024282C"/>
    <w:rsid w:val="002460DC"/>
    <w:rsid w:val="00250985"/>
    <w:rsid w:val="002556F6"/>
    <w:rsid w:val="00283105"/>
    <w:rsid w:val="00284C4C"/>
    <w:rsid w:val="00286661"/>
    <w:rsid w:val="00287E68"/>
    <w:rsid w:val="00296529"/>
    <w:rsid w:val="002B27FB"/>
    <w:rsid w:val="002B685A"/>
    <w:rsid w:val="002C0C99"/>
    <w:rsid w:val="002C57D2"/>
    <w:rsid w:val="002E0D56"/>
    <w:rsid w:val="002E56EB"/>
    <w:rsid w:val="00311248"/>
    <w:rsid w:val="00315186"/>
    <w:rsid w:val="0031564E"/>
    <w:rsid w:val="0033343E"/>
    <w:rsid w:val="00337A26"/>
    <w:rsid w:val="0034145A"/>
    <w:rsid w:val="003512C2"/>
    <w:rsid w:val="00371FB6"/>
    <w:rsid w:val="003763C1"/>
    <w:rsid w:val="00376BBE"/>
    <w:rsid w:val="0039224F"/>
    <w:rsid w:val="003A43A4"/>
    <w:rsid w:val="003A7E18"/>
    <w:rsid w:val="003C4C86"/>
    <w:rsid w:val="003C6258"/>
    <w:rsid w:val="003E2904"/>
    <w:rsid w:val="00401927"/>
    <w:rsid w:val="0041027F"/>
    <w:rsid w:val="00412475"/>
    <w:rsid w:val="004205B4"/>
    <w:rsid w:val="00423789"/>
    <w:rsid w:val="00440F43"/>
    <w:rsid w:val="00441B6F"/>
    <w:rsid w:val="00446221"/>
    <w:rsid w:val="00450E62"/>
    <w:rsid w:val="004539DB"/>
    <w:rsid w:val="00471A80"/>
    <w:rsid w:val="00485B5D"/>
    <w:rsid w:val="00497A35"/>
    <w:rsid w:val="004B2221"/>
    <w:rsid w:val="004B710A"/>
    <w:rsid w:val="004D305E"/>
    <w:rsid w:val="004D4277"/>
    <w:rsid w:val="004E0CAD"/>
    <w:rsid w:val="00502516"/>
    <w:rsid w:val="00505F06"/>
    <w:rsid w:val="00506828"/>
    <w:rsid w:val="0053056E"/>
    <w:rsid w:val="00554FDA"/>
    <w:rsid w:val="00571A2B"/>
    <w:rsid w:val="005A15D4"/>
    <w:rsid w:val="005B5CDA"/>
    <w:rsid w:val="005C2844"/>
    <w:rsid w:val="005C784C"/>
    <w:rsid w:val="005D17F6"/>
    <w:rsid w:val="005E0BDB"/>
    <w:rsid w:val="005E5539"/>
    <w:rsid w:val="00602BF5"/>
    <w:rsid w:val="00617FDD"/>
    <w:rsid w:val="0062568F"/>
    <w:rsid w:val="00633614"/>
    <w:rsid w:val="00633F68"/>
    <w:rsid w:val="00636EB2"/>
    <w:rsid w:val="006375B8"/>
    <w:rsid w:val="00650A27"/>
    <w:rsid w:val="00662E6B"/>
    <w:rsid w:val="0066510A"/>
    <w:rsid w:val="00673F9F"/>
    <w:rsid w:val="006829FF"/>
    <w:rsid w:val="00686953"/>
    <w:rsid w:val="00687DEA"/>
    <w:rsid w:val="00687E67"/>
    <w:rsid w:val="006967F7"/>
    <w:rsid w:val="006A250C"/>
    <w:rsid w:val="006B21D3"/>
    <w:rsid w:val="006B57D0"/>
    <w:rsid w:val="006D30FF"/>
    <w:rsid w:val="006D6940"/>
    <w:rsid w:val="006F11EC"/>
    <w:rsid w:val="0070082C"/>
    <w:rsid w:val="00724F6B"/>
    <w:rsid w:val="007369E6"/>
    <w:rsid w:val="00746E59"/>
    <w:rsid w:val="00754C9A"/>
    <w:rsid w:val="0075599A"/>
    <w:rsid w:val="00761CFF"/>
    <w:rsid w:val="00761D52"/>
    <w:rsid w:val="0077749E"/>
    <w:rsid w:val="00777DDF"/>
    <w:rsid w:val="00790ADA"/>
    <w:rsid w:val="007D2288"/>
    <w:rsid w:val="007D56CA"/>
    <w:rsid w:val="007E088F"/>
    <w:rsid w:val="007E383D"/>
    <w:rsid w:val="007F6087"/>
    <w:rsid w:val="007F7B32"/>
    <w:rsid w:val="0080453B"/>
    <w:rsid w:val="00804BC2"/>
    <w:rsid w:val="0081431A"/>
    <w:rsid w:val="0083216F"/>
    <w:rsid w:val="00836A13"/>
    <w:rsid w:val="008545A0"/>
    <w:rsid w:val="00860000"/>
    <w:rsid w:val="00862FD7"/>
    <w:rsid w:val="00863BD3"/>
    <w:rsid w:val="008641ED"/>
    <w:rsid w:val="00866D66"/>
    <w:rsid w:val="008671C6"/>
    <w:rsid w:val="0087227D"/>
    <w:rsid w:val="00875803"/>
    <w:rsid w:val="008948CB"/>
    <w:rsid w:val="00895E4C"/>
    <w:rsid w:val="008A7905"/>
    <w:rsid w:val="008B459E"/>
    <w:rsid w:val="008E13AE"/>
    <w:rsid w:val="008E1506"/>
    <w:rsid w:val="008E710C"/>
    <w:rsid w:val="008F69D6"/>
    <w:rsid w:val="008F7AF7"/>
    <w:rsid w:val="00902593"/>
    <w:rsid w:val="00902823"/>
    <w:rsid w:val="00915CA6"/>
    <w:rsid w:val="00927834"/>
    <w:rsid w:val="009500A6"/>
    <w:rsid w:val="00957C18"/>
    <w:rsid w:val="009659BA"/>
    <w:rsid w:val="00983040"/>
    <w:rsid w:val="009908CF"/>
    <w:rsid w:val="0099635B"/>
    <w:rsid w:val="009B3FB9"/>
    <w:rsid w:val="009C2465"/>
    <w:rsid w:val="009D35A0"/>
    <w:rsid w:val="009D7EB7"/>
    <w:rsid w:val="009E048A"/>
    <w:rsid w:val="009E08E9"/>
    <w:rsid w:val="009E3DB9"/>
    <w:rsid w:val="009E6E35"/>
    <w:rsid w:val="009F0EDA"/>
    <w:rsid w:val="00A03B96"/>
    <w:rsid w:val="00A05B19"/>
    <w:rsid w:val="00A10DB8"/>
    <w:rsid w:val="00A1134E"/>
    <w:rsid w:val="00A24E7E"/>
    <w:rsid w:val="00A2576B"/>
    <w:rsid w:val="00A258C3"/>
    <w:rsid w:val="00A27C1C"/>
    <w:rsid w:val="00A3232F"/>
    <w:rsid w:val="00A347C0"/>
    <w:rsid w:val="00A368D6"/>
    <w:rsid w:val="00A51431"/>
    <w:rsid w:val="00A539AD"/>
    <w:rsid w:val="00A61DDD"/>
    <w:rsid w:val="00A62956"/>
    <w:rsid w:val="00A94063"/>
    <w:rsid w:val="00AA2A6A"/>
    <w:rsid w:val="00AA6219"/>
    <w:rsid w:val="00AA74E0"/>
    <w:rsid w:val="00AB4154"/>
    <w:rsid w:val="00AB703F"/>
    <w:rsid w:val="00AC46E3"/>
    <w:rsid w:val="00AC57FE"/>
    <w:rsid w:val="00AC6BB8"/>
    <w:rsid w:val="00AE008F"/>
    <w:rsid w:val="00AE3121"/>
    <w:rsid w:val="00AE76D3"/>
    <w:rsid w:val="00B01FCD"/>
    <w:rsid w:val="00B0256A"/>
    <w:rsid w:val="00B1776C"/>
    <w:rsid w:val="00B17C1B"/>
    <w:rsid w:val="00B42493"/>
    <w:rsid w:val="00B52583"/>
    <w:rsid w:val="00B52896"/>
    <w:rsid w:val="00B835EA"/>
    <w:rsid w:val="00B92093"/>
    <w:rsid w:val="00B95236"/>
    <w:rsid w:val="00B96BD9"/>
    <w:rsid w:val="00B96E6D"/>
    <w:rsid w:val="00BA1B01"/>
    <w:rsid w:val="00BA2641"/>
    <w:rsid w:val="00BA71FB"/>
    <w:rsid w:val="00BB37AA"/>
    <w:rsid w:val="00BB7DEB"/>
    <w:rsid w:val="00BC53A0"/>
    <w:rsid w:val="00BD44DE"/>
    <w:rsid w:val="00BE62AD"/>
    <w:rsid w:val="00BF121F"/>
    <w:rsid w:val="00BF1F80"/>
    <w:rsid w:val="00C166EF"/>
    <w:rsid w:val="00C17EB0"/>
    <w:rsid w:val="00C27F5F"/>
    <w:rsid w:val="00C30A0F"/>
    <w:rsid w:val="00C37E61"/>
    <w:rsid w:val="00C70F1B"/>
    <w:rsid w:val="00C71A47"/>
    <w:rsid w:val="00C7464C"/>
    <w:rsid w:val="00C83FC5"/>
    <w:rsid w:val="00C85588"/>
    <w:rsid w:val="00CA0CF6"/>
    <w:rsid w:val="00CD6755"/>
    <w:rsid w:val="00CD6856"/>
    <w:rsid w:val="00CE0089"/>
    <w:rsid w:val="00CE2475"/>
    <w:rsid w:val="00CE793C"/>
    <w:rsid w:val="00CF193C"/>
    <w:rsid w:val="00D173F1"/>
    <w:rsid w:val="00D42C6A"/>
    <w:rsid w:val="00D433F0"/>
    <w:rsid w:val="00D74CB0"/>
    <w:rsid w:val="00D8295D"/>
    <w:rsid w:val="00DB09BF"/>
    <w:rsid w:val="00DC2A65"/>
    <w:rsid w:val="00DD4FC4"/>
    <w:rsid w:val="00DE082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003"/>
    <w:rsid w:val="00EA012C"/>
    <w:rsid w:val="00EA585C"/>
    <w:rsid w:val="00EB4BF2"/>
    <w:rsid w:val="00EC6A55"/>
    <w:rsid w:val="00ED0288"/>
    <w:rsid w:val="00ED0859"/>
    <w:rsid w:val="00EE52CB"/>
    <w:rsid w:val="00EF581D"/>
    <w:rsid w:val="00EF7FD8"/>
    <w:rsid w:val="00F06F59"/>
    <w:rsid w:val="00F137A0"/>
    <w:rsid w:val="00F17988"/>
    <w:rsid w:val="00F23FEB"/>
    <w:rsid w:val="00F469F0"/>
    <w:rsid w:val="00F53273"/>
    <w:rsid w:val="00F74841"/>
    <w:rsid w:val="00F755E4"/>
    <w:rsid w:val="00F77D02"/>
    <w:rsid w:val="00FB3A86"/>
    <w:rsid w:val="00FD36C8"/>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0BD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muclon">
    <w:name w:val="de muc lon"/>
    <w:basedOn w:val="Normal"/>
    <w:qFormat/>
    <w:rsid w:val="00650A27"/>
    <w:pPr>
      <w:numPr>
        <w:numId w:val="31"/>
      </w:numPr>
      <w:spacing w:before="360" w:after="240"/>
      <w:jc w:val="center"/>
    </w:pPr>
    <w:rPr>
      <w:rFonts w:ascii="Times New Roman" w:eastAsia="Calibri" w:hAnsi="Times New Roman"/>
      <w:b/>
      <w:caps/>
      <w:sz w:val="22"/>
      <w:szCs w:val="22"/>
    </w:rPr>
  </w:style>
  <w:style w:type="paragraph" w:customStyle="1" w:styleId="demucnho">
    <w:name w:val="de muc nho"/>
    <w:basedOn w:val="Normal"/>
    <w:qFormat/>
    <w:rsid w:val="00650A27"/>
    <w:pPr>
      <w:autoSpaceDE w:val="0"/>
      <w:autoSpaceDN w:val="0"/>
      <w:adjustRightInd w:val="0"/>
      <w:spacing w:before="240" w:after="240"/>
      <w:ind w:firstLine="454"/>
      <w:jc w:val="both"/>
    </w:pPr>
    <w:rPr>
      <w:rFonts w:ascii="Times New Roman" w:eastAsia="Calibri" w:hAnsi="Times New Roman"/>
      <w:b/>
      <w:sz w:val="22"/>
      <w:szCs w:val="22"/>
    </w:rPr>
  </w:style>
  <w:style w:type="table" w:customStyle="1" w:styleId="PlainTable21">
    <w:name w:val="Plain Table 21"/>
    <w:basedOn w:val="TableNormal"/>
    <w:next w:val="PlainTable2"/>
    <w:uiPriority w:val="42"/>
    <w:rsid w:val="00A61DDD"/>
    <w:rPr>
      <w:rFonts w:ascii="Calibri" w:eastAsia="Calibri" w:hAnsi="Calibri"/>
      <w:sz w:val="22"/>
      <w:szCs w:val="22"/>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61D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895E4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0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F85E-0777-46EA-92B8-9D9F1824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TotalTime>
  <Pages>18</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Albino Taer</cp:lastModifiedBy>
  <cp:revision>75</cp:revision>
  <cp:lastPrinted>1999-07-06T11:00:00Z</cp:lastPrinted>
  <dcterms:created xsi:type="dcterms:W3CDTF">2025-03-26T03:40:00Z</dcterms:created>
  <dcterms:modified xsi:type="dcterms:W3CDTF">2025-04-25T00:44:00Z</dcterms:modified>
</cp:coreProperties>
</file>