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507CC" w14:textId="77777777" w:rsidR="00A52EB0" w:rsidRDefault="00A52EB0" w:rsidP="00FD464B">
      <w:pPr>
        <w:spacing w:line="276" w:lineRule="auto"/>
        <w:jc w:val="center"/>
        <w:rPr>
          <w:rFonts w:ascii="Times New Roman" w:hAnsi="Times New Roman" w:cs="Times New Roman"/>
          <w:b/>
          <w:bCs/>
          <w:sz w:val="28"/>
          <w:szCs w:val="28"/>
        </w:rPr>
      </w:pPr>
    </w:p>
    <w:p w14:paraId="499EEC75" w14:textId="086D1567" w:rsidR="00ED08F0" w:rsidRPr="00F8066F" w:rsidRDefault="00F8066F" w:rsidP="00FD464B">
      <w:pPr>
        <w:spacing w:line="276" w:lineRule="auto"/>
        <w:jc w:val="center"/>
        <w:rPr>
          <w:rFonts w:ascii="Times New Roman" w:hAnsi="Times New Roman" w:cs="Times New Roman"/>
          <w:b/>
          <w:bCs/>
          <w:sz w:val="28"/>
          <w:szCs w:val="28"/>
        </w:rPr>
      </w:pPr>
      <w:r w:rsidRPr="00D8279D">
        <w:rPr>
          <w:rFonts w:ascii="Times New Roman" w:hAnsi="Times New Roman" w:cs="Times New Roman"/>
          <w:b/>
          <w:bCs/>
          <w:sz w:val="28"/>
          <w:szCs w:val="28"/>
          <w:highlight w:val="yellow"/>
        </w:rPr>
        <w:t xml:space="preserve">Tenofovir-Induced </w:t>
      </w:r>
      <w:bookmarkStart w:id="0" w:name="_Hlk182868060"/>
      <w:r w:rsidRPr="00D8279D">
        <w:rPr>
          <w:rFonts w:ascii="Times New Roman" w:hAnsi="Times New Roman" w:cs="Times New Roman"/>
          <w:b/>
          <w:bCs/>
          <w:sz w:val="28"/>
          <w:szCs w:val="28"/>
          <w:highlight w:val="yellow"/>
        </w:rPr>
        <w:t xml:space="preserve">Pure Red Cell Aplasia </w:t>
      </w:r>
      <w:bookmarkEnd w:id="0"/>
      <w:r w:rsidRPr="00D8279D">
        <w:rPr>
          <w:rFonts w:ascii="Times New Roman" w:hAnsi="Times New Roman" w:cs="Times New Roman"/>
          <w:b/>
          <w:bCs/>
          <w:sz w:val="28"/>
          <w:szCs w:val="28"/>
          <w:highlight w:val="yellow"/>
        </w:rPr>
        <w:t>in a Known Patient with HIV/AIDS</w:t>
      </w:r>
      <w:r w:rsidR="00D8279D" w:rsidRPr="00D8279D">
        <w:rPr>
          <w:rFonts w:ascii="Times New Roman" w:hAnsi="Times New Roman" w:cs="Times New Roman"/>
          <w:b/>
          <w:bCs/>
          <w:sz w:val="28"/>
          <w:szCs w:val="28"/>
          <w:highlight w:val="yellow"/>
        </w:rPr>
        <w:t>: A Case Report</w:t>
      </w:r>
    </w:p>
    <w:p w14:paraId="1FBD142C" w14:textId="77777777" w:rsidR="00396B66" w:rsidRPr="0099237D" w:rsidRDefault="00396B66" w:rsidP="00FD464B">
      <w:pPr>
        <w:spacing w:line="276" w:lineRule="auto"/>
        <w:jc w:val="both"/>
        <w:rPr>
          <w:rFonts w:ascii="Times New Roman" w:hAnsi="Times New Roman" w:cs="Times New Roman"/>
          <w:sz w:val="24"/>
          <w:szCs w:val="24"/>
        </w:rPr>
      </w:pPr>
    </w:p>
    <w:p w14:paraId="7C37A248" w14:textId="77777777" w:rsidR="00396B66" w:rsidRDefault="00396B66" w:rsidP="00FD464B">
      <w:pPr>
        <w:spacing w:line="276" w:lineRule="auto"/>
        <w:jc w:val="both"/>
        <w:rPr>
          <w:rFonts w:ascii="Times New Roman" w:hAnsi="Times New Roman" w:cs="Times New Roman"/>
          <w:b/>
          <w:bCs/>
          <w:i/>
          <w:iCs/>
          <w:sz w:val="24"/>
          <w:szCs w:val="24"/>
          <w:vertAlign w:val="superscript"/>
        </w:rPr>
      </w:pPr>
    </w:p>
    <w:p w14:paraId="3EA96F96" w14:textId="41CD4E0A" w:rsidR="00F8066F" w:rsidRDefault="004915E7" w:rsidP="00FD464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699E5A6" w14:textId="739D0993" w:rsidR="00EE5943" w:rsidRPr="00EE5943" w:rsidRDefault="00EE5943" w:rsidP="00EE5943">
      <w:pPr>
        <w:spacing w:line="276" w:lineRule="auto"/>
        <w:jc w:val="both"/>
        <w:rPr>
          <w:rFonts w:ascii="Times New Roman" w:hAnsi="Times New Roman" w:cs="Times New Roman"/>
          <w:sz w:val="24"/>
          <w:szCs w:val="24"/>
        </w:rPr>
      </w:pPr>
      <w:r>
        <w:rPr>
          <w:rFonts w:ascii="Times New Roman" w:hAnsi="Times New Roman" w:cs="Times New Roman"/>
          <w:sz w:val="24"/>
          <w:szCs w:val="24"/>
        </w:rPr>
        <w:t>Anemia</w:t>
      </w:r>
      <w:r w:rsidRPr="00EE5943">
        <w:rPr>
          <w:rFonts w:ascii="Times New Roman" w:hAnsi="Times New Roman" w:cs="Times New Roman"/>
          <w:sz w:val="24"/>
          <w:szCs w:val="24"/>
        </w:rPr>
        <w:t xml:space="preserve"> in patients diagnosed with HIV/AIDS is attributed to generalized bone marrow failure or to autoimmune hemolytic processes. However, the two most frequent causes of </w:t>
      </w:r>
      <w:r>
        <w:rPr>
          <w:rFonts w:ascii="Times New Roman" w:hAnsi="Times New Roman" w:cs="Times New Roman"/>
          <w:sz w:val="24"/>
          <w:szCs w:val="24"/>
        </w:rPr>
        <w:t>anemia</w:t>
      </w:r>
      <w:r w:rsidRPr="00EE5943">
        <w:rPr>
          <w:rFonts w:ascii="Times New Roman" w:hAnsi="Times New Roman" w:cs="Times New Roman"/>
          <w:sz w:val="24"/>
          <w:szCs w:val="24"/>
        </w:rPr>
        <w:t xml:space="preserve"> in these groups of patients are related to either the cytopathic effect of HIV or the antiretroviral drugs. This report was of a rare case of Tenofovir-induced Pure Red Cell Aplasia in a known Human Immunodeficiency Virus (HIV) disease patient on highly active antiretroviral therapy HAART, who presented with recurrent generalized body weakness, skin rash, easy fatigability on exertion of four months duration with a history of dizziness and palpitation. Laboratory workups were consistent with persistent </w:t>
      </w:r>
      <w:r>
        <w:rPr>
          <w:rFonts w:ascii="Times New Roman" w:hAnsi="Times New Roman" w:cs="Times New Roman"/>
          <w:sz w:val="24"/>
          <w:szCs w:val="24"/>
        </w:rPr>
        <w:t>anemia</w:t>
      </w:r>
      <w:r w:rsidRPr="00EE5943">
        <w:rPr>
          <w:rFonts w:ascii="Times New Roman" w:hAnsi="Times New Roman" w:cs="Times New Roman"/>
          <w:sz w:val="24"/>
          <w:szCs w:val="24"/>
        </w:rPr>
        <w:t xml:space="preserve"> on account of which she was transfused with several units of blood since the commencement of Dolutegravir, Lamivudine and Tenofovir (DTG/3TC/TDF).  A change in HAART regimen with </w:t>
      </w:r>
      <w:r w:rsidR="00A752F1">
        <w:rPr>
          <w:rFonts w:ascii="Times New Roman" w:hAnsi="Times New Roman" w:cs="Times New Roman"/>
          <w:sz w:val="24"/>
          <w:szCs w:val="24"/>
        </w:rPr>
        <w:t xml:space="preserve">the </w:t>
      </w:r>
      <w:r w:rsidRPr="00EE5943">
        <w:rPr>
          <w:rFonts w:ascii="Times New Roman" w:hAnsi="Times New Roman" w:cs="Times New Roman"/>
          <w:sz w:val="24"/>
          <w:szCs w:val="24"/>
        </w:rPr>
        <w:t xml:space="preserve">removal of </w:t>
      </w:r>
      <w:r w:rsidR="00AE5D49" w:rsidRPr="00EE5943">
        <w:rPr>
          <w:rFonts w:ascii="Times New Roman" w:hAnsi="Times New Roman" w:cs="Times New Roman"/>
          <w:sz w:val="24"/>
          <w:szCs w:val="24"/>
        </w:rPr>
        <w:t>Tenofovir</w:t>
      </w:r>
      <w:r w:rsidRPr="00EE5943">
        <w:rPr>
          <w:rFonts w:ascii="Times New Roman" w:hAnsi="Times New Roman" w:cs="Times New Roman"/>
          <w:sz w:val="24"/>
          <w:szCs w:val="24"/>
        </w:rPr>
        <w:t xml:space="preserve"> was followed </w:t>
      </w:r>
      <w:r w:rsidR="00A752F1">
        <w:rPr>
          <w:rFonts w:ascii="Times New Roman" w:hAnsi="Times New Roman" w:cs="Times New Roman"/>
          <w:sz w:val="24"/>
          <w:szCs w:val="24"/>
        </w:rPr>
        <w:t>by</w:t>
      </w:r>
      <w:r w:rsidRPr="00EE5943">
        <w:rPr>
          <w:rFonts w:ascii="Times New Roman" w:hAnsi="Times New Roman" w:cs="Times New Roman"/>
          <w:sz w:val="24"/>
          <w:szCs w:val="24"/>
        </w:rPr>
        <w:t xml:space="preserve"> spontaneous gradual and remarkable improvement in packed Cell Volume (PCV).</w:t>
      </w:r>
    </w:p>
    <w:p w14:paraId="490BECDE" w14:textId="79B09C84" w:rsidR="00EE5943" w:rsidRPr="00EE5943" w:rsidRDefault="00EE5943" w:rsidP="00EE5943">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Conclusion: Although there was </w:t>
      </w:r>
      <w:r w:rsidR="00A752F1">
        <w:rPr>
          <w:rFonts w:ascii="Times New Roman" w:hAnsi="Times New Roman" w:cs="Times New Roman"/>
          <w:sz w:val="24"/>
          <w:szCs w:val="24"/>
        </w:rPr>
        <w:t xml:space="preserve">a </w:t>
      </w:r>
      <w:r w:rsidRPr="00EE5943">
        <w:rPr>
          <w:rFonts w:ascii="Times New Roman" w:hAnsi="Times New Roman" w:cs="Times New Roman"/>
          <w:sz w:val="24"/>
          <w:szCs w:val="24"/>
        </w:rPr>
        <w:t>paucity of data on Tenofovir-induced Pure Red Cell Aplasia, this report revealed that Tenofovir is a possible cause of Pure Red Cell Aplasia in patients receiving Tenofovir containing HAART regimen.</w:t>
      </w:r>
    </w:p>
    <w:p w14:paraId="18A72B05" w14:textId="77777777" w:rsidR="004551C7" w:rsidRDefault="004551C7" w:rsidP="00FD464B">
      <w:pPr>
        <w:spacing w:line="276" w:lineRule="auto"/>
        <w:jc w:val="both"/>
        <w:rPr>
          <w:rFonts w:ascii="Times New Roman" w:hAnsi="Times New Roman" w:cs="Times New Roman"/>
          <w:sz w:val="24"/>
          <w:szCs w:val="24"/>
        </w:rPr>
      </w:pPr>
    </w:p>
    <w:p w14:paraId="4CF4EBE9" w14:textId="50C49885" w:rsidR="004551C7" w:rsidRDefault="004551C7" w:rsidP="00FD464B">
      <w:pPr>
        <w:spacing w:line="276" w:lineRule="auto"/>
        <w:jc w:val="both"/>
        <w:rPr>
          <w:rFonts w:ascii="Times New Roman" w:hAnsi="Times New Roman" w:cs="Times New Roman"/>
          <w:sz w:val="24"/>
          <w:szCs w:val="24"/>
        </w:rPr>
      </w:pPr>
      <w:r w:rsidRPr="004551C7">
        <w:rPr>
          <w:rFonts w:ascii="Times New Roman" w:hAnsi="Times New Roman" w:cs="Times New Roman"/>
          <w:b/>
          <w:bCs/>
          <w:sz w:val="24"/>
          <w:szCs w:val="24"/>
        </w:rPr>
        <w:t>Keywords:</w:t>
      </w:r>
      <w:r>
        <w:rPr>
          <w:rFonts w:ascii="Times New Roman" w:hAnsi="Times New Roman" w:cs="Times New Roman"/>
          <w:sz w:val="24"/>
          <w:szCs w:val="24"/>
        </w:rPr>
        <w:t xml:space="preserve"> </w:t>
      </w:r>
      <w:r w:rsidRPr="004551C7">
        <w:rPr>
          <w:rFonts w:ascii="Times New Roman" w:hAnsi="Times New Roman" w:cs="Times New Roman"/>
          <w:sz w:val="24"/>
          <w:szCs w:val="24"/>
        </w:rPr>
        <w:t>Pure Red Cell Aplasia</w:t>
      </w:r>
      <w:r>
        <w:rPr>
          <w:rFonts w:ascii="Times New Roman" w:hAnsi="Times New Roman" w:cs="Times New Roman"/>
          <w:sz w:val="24"/>
          <w:szCs w:val="24"/>
        </w:rPr>
        <w:t xml:space="preserve">, </w:t>
      </w:r>
      <w:r w:rsidRPr="004551C7">
        <w:rPr>
          <w:rFonts w:ascii="Times New Roman" w:hAnsi="Times New Roman" w:cs="Times New Roman"/>
          <w:sz w:val="24"/>
          <w:szCs w:val="24"/>
        </w:rPr>
        <w:t>Tenofovir</w:t>
      </w:r>
      <w:r>
        <w:rPr>
          <w:rFonts w:ascii="Times New Roman" w:hAnsi="Times New Roman" w:cs="Times New Roman"/>
          <w:sz w:val="24"/>
          <w:szCs w:val="24"/>
        </w:rPr>
        <w:t>, HIV/AIDS, HAART, Nigeria</w:t>
      </w:r>
    </w:p>
    <w:p w14:paraId="575EFF2D" w14:textId="4CF74225"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B9E1CF7" w14:textId="0E145FBC" w:rsidR="00F8066F" w:rsidRPr="00F8066F" w:rsidRDefault="00F8066F" w:rsidP="00FD464B">
      <w:pPr>
        <w:spacing w:line="276" w:lineRule="auto"/>
        <w:jc w:val="both"/>
        <w:rPr>
          <w:rFonts w:ascii="Times New Roman" w:hAnsi="Times New Roman" w:cs="Times New Roman"/>
          <w:b/>
          <w:bCs/>
          <w:sz w:val="24"/>
          <w:szCs w:val="24"/>
        </w:rPr>
      </w:pPr>
      <w:r w:rsidRPr="00F8066F">
        <w:rPr>
          <w:rFonts w:ascii="Times New Roman" w:hAnsi="Times New Roman" w:cs="Times New Roman"/>
          <w:b/>
          <w:bCs/>
          <w:sz w:val="24"/>
          <w:szCs w:val="24"/>
        </w:rPr>
        <w:lastRenderedPageBreak/>
        <w:t>Introduction</w:t>
      </w:r>
    </w:p>
    <w:p w14:paraId="2ADA294F" w14:textId="1B1930C2" w:rsidR="00EF0CB5" w:rsidRDefault="00EE5943" w:rsidP="00FD464B">
      <w:pPr>
        <w:spacing w:line="276" w:lineRule="auto"/>
        <w:jc w:val="both"/>
        <w:rPr>
          <w:rFonts w:ascii="Times New Roman" w:hAnsi="Times New Roman" w:cs="Times New Roman"/>
          <w:sz w:val="24"/>
          <w:szCs w:val="24"/>
        </w:rPr>
      </w:pP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is the </w:t>
      </w:r>
      <w:r>
        <w:rPr>
          <w:rFonts w:ascii="Times New Roman" w:hAnsi="Times New Roman" w:cs="Times New Roman"/>
          <w:sz w:val="24"/>
          <w:szCs w:val="24"/>
        </w:rPr>
        <w:t>most common</w:t>
      </w:r>
      <w:r w:rsidR="00EF0CB5" w:rsidRPr="00EF0CB5">
        <w:rPr>
          <w:rFonts w:ascii="Times New Roman" w:hAnsi="Times New Roman" w:cs="Times New Roman"/>
          <w:sz w:val="24"/>
          <w:szCs w:val="24"/>
        </w:rPr>
        <w:t xml:space="preserve"> </w:t>
      </w:r>
      <w:r>
        <w:rPr>
          <w:rFonts w:ascii="Times New Roman" w:hAnsi="Times New Roman" w:cs="Times New Roman"/>
          <w:sz w:val="24"/>
          <w:szCs w:val="24"/>
        </w:rPr>
        <w:t>hematological</w:t>
      </w:r>
      <w:r w:rsidR="00EF0CB5" w:rsidRPr="00EF0CB5">
        <w:rPr>
          <w:rFonts w:ascii="Times New Roman" w:hAnsi="Times New Roman" w:cs="Times New Roman"/>
          <w:sz w:val="24"/>
          <w:szCs w:val="24"/>
        </w:rPr>
        <w:t xml:space="preserve"> disorder in people with HIV infection,</w:t>
      </w:r>
      <w:sdt>
        <w:sdtPr>
          <w:rPr>
            <w:rFonts w:ascii="Times New Roman" w:hAnsi="Times New Roman" w:cs="Times New Roman"/>
            <w:color w:val="000000"/>
            <w:sz w:val="24"/>
            <w:szCs w:val="24"/>
            <w:vertAlign w:val="superscript"/>
          </w:rPr>
          <w:tag w:val="MENDELEY_CITATION_v3_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"/>
          <w:id w:val="-937358482"/>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1</w:t>
          </w:r>
        </w:sdtContent>
      </w:sdt>
      <w:r w:rsidR="00EF0CB5" w:rsidRPr="00EF0CB5">
        <w:rPr>
          <w:rFonts w:ascii="Times New Roman" w:hAnsi="Times New Roman" w:cs="Times New Roman"/>
          <w:sz w:val="24"/>
          <w:szCs w:val="24"/>
        </w:rPr>
        <w:t xml:space="preserve"> it is almost a universal finding </w:t>
      </w:r>
      <w:r>
        <w:rPr>
          <w:rFonts w:ascii="Times New Roman" w:hAnsi="Times New Roman" w:cs="Times New Roman"/>
          <w:sz w:val="24"/>
          <w:szCs w:val="24"/>
        </w:rPr>
        <w:t xml:space="preserve">in </w:t>
      </w:r>
      <w:r w:rsidR="00EF0CB5" w:rsidRPr="00EF0CB5">
        <w:rPr>
          <w:rFonts w:ascii="Times New Roman" w:hAnsi="Times New Roman" w:cs="Times New Roman"/>
          <w:sz w:val="24"/>
          <w:szCs w:val="24"/>
        </w:rPr>
        <w:t>HIV/AIDS patients and may also be an indicator of disease progression</w:t>
      </w:r>
      <w:r w:rsidR="003C7E89">
        <w:rPr>
          <w:rFonts w:ascii="Times New Roman" w:hAnsi="Times New Roman" w:cs="Times New Roman"/>
          <w:sz w:val="24"/>
          <w:szCs w:val="24"/>
        </w:rPr>
        <w:t xml:space="preserve">. </w:t>
      </w:r>
      <w:r w:rsidR="003C7E89" w:rsidRPr="00F6318D">
        <w:rPr>
          <w:rFonts w:ascii="Times New Roman" w:hAnsi="Times New Roman" w:cs="Times New Roman"/>
          <w:sz w:val="24"/>
          <w:szCs w:val="24"/>
        </w:rPr>
        <w:t>Most of the time, it is attributed to generalized bone marrow failure or to autoimmune hemolytic processes</w:t>
      </w:r>
      <w:r w:rsidR="00EF0CB5" w:rsidRPr="00EF0CB5">
        <w:rPr>
          <w:rFonts w:ascii="Times New Roman" w:hAnsi="Times New Roman" w:cs="Times New Roman"/>
          <w:sz w:val="24"/>
          <w:szCs w:val="24"/>
        </w:rPr>
        <w:t xml:space="preserve">. There </w:t>
      </w:r>
      <w:r w:rsidR="003C7E89" w:rsidRPr="00EF0CB5">
        <w:rPr>
          <w:rFonts w:ascii="Times New Roman" w:hAnsi="Times New Roman" w:cs="Times New Roman"/>
          <w:sz w:val="24"/>
          <w:szCs w:val="24"/>
        </w:rPr>
        <w:t>is</w:t>
      </w:r>
      <w:r w:rsidR="00EF0CB5" w:rsidRPr="00EF0CB5">
        <w:rPr>
          <w:rFonts w:ascii="Times New Roman" w:hAnsi="Times New Roman" w:cs="Times New Roman"/>
          <w:sz w:val="24"/>
          <w:szCs w:val="24"/>
        </w:rPr>
        <w:t xml:space="preserve"> increased evidence of the risk of </w:t>
      </w: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00EF0CB5" w:rsidRPr="00EF0CB5">
        <w:rPr>
          <w:rFonts w:ascii="Times New Roman" w:hAnsi="Times New Roman" w:cs="Times New Roman"/>
          <w:sz w:val="24"/>
          <w:szCs w:val="24"/>
        </w:rPr>
        <w:t>use of anti-retroviral therapy</w:t>
      </w:r>
      <w:r>
        <w:rPr>
          <w:rFonts w:ascii="Times New Roman" w:hAnsi="Times New Roman" w:cs="Times New Roman"/>
          <w:sz w:val="24"/>
          <w:szCs w:val="24"/>
        </w:rPr>
        <w:t>,</w:t>
      </w:r>
      <w:r w:rsidR="00EF0CB5" w:rsidRPr="00EF0CB5">
        <w:rPr>
          <w:rFonts w:ascii="Times New Roman" w:hAnsi="Times New Roman" w:cs="Times New Roman"/>
          <w:sz w:val="24"/>
          <w:szCs w:val="24"/>
        </w:rPr>
        <w:t xml:space="preserve"> especially Zidovudine and lamivudine</w:t>
      </w:r>
      <w:r w:rsidR="00EF0CB5">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"/>
          <w:id w:val="685868060"/>
          <w:placeholder>
            <w:docPart w:val="DefaultPlaceholder_-1854013440"/>
          </w:placeholder>
        </w:sdtPr>
        <w:sdtEndPr/>
        <w:sdtContent>
          <w:r w:rsidR="00FA609A" w:rsidRPr="00FA609A">
            <w:rPr>
              <w:rFonts w:eastAsia="Times New Roman"/>
              <w:color w:val="000000"/>
              <w:sz w:val="24"/>
              <w:vertAlign w:val="superscript"/>
            </w:rPr>
            <w:t>2–4</w:t>
          </w:r>
        </w:sdtContent>
      </w:sdt>
      <w:r w:rsidR="00EF0CB5" w:rsidRPr="00EF0CB5">
        <w:rPr>
          <w:rFonts w:ascii="Times New Roman" w:hAnsi="Times New Roman" w:cs="Times New Roman"/>
          <w:sz w:val="24"/>
          <w:szCs w:val="24"/>
          <w:vertAlign w:val="superscript"/>
        </w:rPr>
        <w:t xml:space="preserve">   </w:t>
      </w:r>
      <w:r w:rsidR="00EF0CB5" w:rsidRPr="00EF0CB5">
        <w:rPr>
          <w:rFonts w:ascii="Times New Roman" w:hAnsi="Times New Roman" w:cs="Times New Roman"/>
          <w:sz w:val="24"/>
          <w:szCs w:val="24"/>
        </w:rPr>
        <w:t xml:space="preserve">However, </w:t>
      </w:r>
      <w:r>
        <w:rPr>
          <w:rFonts w:ascii="Times New Roman" w:hAnsi="Times New Roman" w:cs="Times New Roman"/>
          <w:sz w:val="24"/>
          <w:szCs w:val="24"/>
        </w:rPr>
        <w:t>Tenofovir-induced</w:t>
      </w:r>
      <w:r w:rsidR="00EF0CB5" w:rsidRPr="00EF0CB5">
        <w:rPr>
          <w:rFonts w:ascii="Times New Roman" w:hAnsi="Times New Roman" w:cs="Times New Roman"/>
          <w:sz w:val="24"/>
          <w:szCs w:val="24"/>
        </w:rPr>
        <w:t xml:space="preserve"> </w:t>
      </w:r>
      <w:r>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in </w:t>
      </w:r>
      <w:r>
        <w:rPr>
          <w:rFonts w:ascii="Times New Roman" w:hAnsi="Times New Roman" w:cs="Times New Roman"/>
          <w:sz w:val="24"/>
          <w:szCs w:val="24"/>
        </w:rPr>
        <w:t>patients</w:t>
      </w:r>
      <w:r w:rsidR="00EF0CB5" w:rsidRPr="00EF0CB5">
        <w:rPr>
          <w:rFonts w:ascii="Times New Roman" w:hAnsi="Times New Roman" w:cs="Times New Roman"/>
          <w:sz w:val="24"/>
          <w:szCs w:val="24"/>
        </w:rPr>
        <w:t xml:space="preserve"> on anti-retroviral therapy is rare.  </w:t>
      </w:r>
    </w:p>
    <w:p w14:paraId="25800A50" w14:textId="166F960A" w:rsidR="00FD464B" w:rsidRDefault="00AD3E2D"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 xml:space="preserve">Pure red cell aplasia is a rare clinical disorder characterized by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secondary to failure of erythropoiesis, it could be congenital as </w:t>
      </w:r>
      <w:r w:rsidR="00F6318D" w:rsidRPr="00F6318D">
        <w:rPr>
          <w:rFonts w:ascii="Times New Roman" w:hAnsi="Times New Roman" w:cs="Times New Roman"/>
          <w:sz w:val="24"/>
          <w:szCs w:val="24"/>
        </w:rPr>
        <w:t xml:space="preserve">in </w:t>
      </w:r>
      <w:r w:rsidRPr="00F6318D">
        <w:rPr>
          <w:rFonts w:ascii="Times New Roman" w:hAnsi="Times New Roman" w:cs="Times New Roman"/>
          <w:sz w:val="24"/>
          <w:szCs w:val="24"/>
        </w:rPr>
        <w:t xml:space="preserve">the case of Diamond </w:t>
      </w:r>
      <w:proofErr w:type="spellStart"/>
      <w:r w:rsidRPr="00F6318D">
        <w:rPr>
          <w:rFonts w:ascii="Times New Roman" w:hAnsi="Times New Roman" w:cs="Times New Roman"/>
          <w:sz w:val="24"/>
          <w:szCs w:val="24"/>
        </w:rPr>
        <w:t>Blackfan</w:t>
      </w:r>
      <w:proofErr w:type="spellEnd"/>
      <w:r w:rsidRPr="00F6318D">
        <w:rPr>
          <w:rFonts w:ascii="Times New Roman" w:hAnsi="Times New Roman" w:cs="Times New Roman"/>
          <w:sz w:val="24"/>
          <w:szCs w:val="24"/>
        </w:rPr>
        <w:t xml:space="preserve"> anemia</w:t>
      </w:r>
      <w:r w:rsidR="00EF0CB5">
        <w:rPr>
          <w:rFonts w:ascii="Times New Roman" w:hAnsi="Times New Roman" w:cs="Times New Roman"/>
          <w:sz w:val="24"/>
          <w:szCs w:val="24"/>
        </w:rPr>
        <w:t xml:space="preserve"> DBA</w:t>
      </w:r>
      <w:r w:rsidRPr="00F6318D">
        <w:rPr>
          <w:rFonts w:ascii="Times New Roman" w:hAnsi="Times New Roman" w:cs="Times New Roman"/>
          <w:sz w:val="24"/>
          <w:szCs w:val="24"/>
        </w:rPr>
        <w:t xml:space="preserve">; or acquired as in the case of post-infection and </w:t>
      </w:r>
      <w:r w:rsidR="00F6318D" w:rsidRPr="00F6318D">
        <w:rPr>
          <w:rFonts w:ascii="Times New Roman" w:hAnsi="Times New Roman" w:cs="Times New Roman"/>
          <w:sz w:val="24"/>
          <w:szCs w:val="24"/>
        </w:rPr>
        <w:t>drug-induced</w:t>
      </w:r>
      <w:r w:rsidRPr="00F6318D">
        <w:rPr>
          <w:rFonts w:ascii="Times New Roman" w:hAnsi="Times New Roman" w:cs="Times New Roman"/>
          <w:sz w:val="24"/>
          <w:szCs w:val="24"/>
        </w:rPr>
        <w:t xml:space="preserve"> pure red cell aplasia.</w:t>
      </w:r>
      <w:r w:rsidR="00EF0CB5">
        <w:rPr>
          <w:rFonts w:ascii="Times New Roman" w:hAnsi="Times New Roman" w:cs="Times New Roman"/>
          <w:sz w:val="24"/>
          <w:szCs w:val="24"/>
        </w:rPr>
        <w:t xml:space="preserve"> </w:t>
      </w:r>
      <w:r w:rsidR="00EF0CB5" w:rsidRPr="00EF0CB5">
        <w:rPr>
          <w:rFonts w:ascii="Times New Roman" w:hAnsi="Times New Roman" w:cs="Times New Roman"/>
          <w:sz w:val="24"/>
          <w:szCs w:val="24"/>
        </w:rPr>
        <w:t xml:space="preserve">DBA usually </w:t>
      </w:r>
      <w:r w:rsidR="00EE5943">
        <w:rPr>
          <w:rFonts w:ascii="Times New Roman" w:hAnsi="Times New Roman" w:cs="Times New Roman"/>
          <w:sz w:val="24"/>
          <w:szCs w:val="24"/>
        </w:rPr>
        <w:t>manifests</w:t>
      </w:r>
      <w:r w:rsidR="00EF0CB5" w:rsidRPr="00EF0CB5">
        <w:rPr>
          <w:rFonts w:ascii="Times New Roman" w:hAnsi="Times New Roman" w:cs="Times New Roman"/>
          <w:sz w:val="24"/>
          <w:szCs w:val="24"/>
        </w:rPr>
        <w:t xml:space="preserve"> with </w:t>
      </w:r>
      <w:r w:rsidR="00EE5943">
        <w:rPr>
          <w:rFonts w:ascii="Times New Roman" w:hAnsi="Times New Roman" w:cs="Times New Roman"/>
          <w:sz w:val="24"/>
          <w:szCs w:val="24"/>
        </w:rPr>
        <w:t>pallor</w:t>
      </w:r>
      <w:r w:rsidR="00EF0CB5" w:rsidRPr="00EF0CB5">
        <w:rPr>
          <w:rFonts w:ascii="Times New Roman" w:hAnsi="Times New Roman" w:cs="Times New Roman"/>
          <w:sz w:val="24"/>
          <w:szCs w:val="24"/>
        </w:rPr>
        <w:t>, lethargy, congenital bone deformities such as craniofacial and thumb defects, short stature, mental retardation, cancer predisposition</w:t>
      </w:r>
      <w:r w:rsidR="00EE5943">
        <w:rPr>
          <w:rFonts w:ascii="Times New Roman" w:hAnsi="Times New Roman" w:cs="Times New Roman"/>
          <w:sz w:val="24"/>
          <w:szCs w:val="24"/>
        </w:rPr>
        <w:t>,</w:t>
      </w:r>
      <w:r w:rsidR="00EF0CB5" w:rsidRPr="00EF0CB5">
        <w:rPr>
          <w:rFonts w:ascii="Times New Roman" w:hAnsi="Times New Roman" w:cs="Times New Roman"/>
          <w:sz w:val="24"/>
          <w:szCs w:val="24"/>
        </w:rPr>
        <w:t xml:space="preserve"> and normochromic, macrocytic/normocytic </w:t>
      </w:r>
      <w:r w:rsidR="00EE5943">
        <w:rPr>
          <w:rFonts w:ascii="Times New Roman" w:hAnsi="Times New Roman" w:cs="Times New Roman"/>
          <w:sz w:val="24"/>
          <w:szCs w:val="24"/>
        </w:rPr>
        <w:t>anemia</w:t>
      </w:r>
      <w:r w:rsidR="00EF0CB5" w:rsidRPr="00EF0CB5">
        <w:rPr>
          <w:rFonts w:ascii="Times New Roman" w:hAnsi="Times New Roman" w:cs="Times New Roman"/>
          <w:sz w:val="24"/>
          <w:szCs w:val="24"/>
        </w:rPr>
        <w:t xml:space="preserve"> with severe reticulocytopenia.</w:t>
      </w:r>
      <w:sdt>
        <w:sdtPr>
          <w:rPr>
            <w:rFonts w:ascii="Times New Roman" w:hAnsi="Times New Roman" w:cs="Times New Roman"/>
            <w:color w:val="000000"/>
            <w:sz w:val="24"/>
            <w:szCs w:val="24"/>
            <w:vertAlign w:val="superscript"/>
          </w:rPr>
          <w:tag w:val="MENDELEY_CITATION_v3_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"/>
          <w:id w:val="409121354"/>
          <w:placeholder>
            <w:docPart w:val="DefaultPlaceholder_-1854013440"/>
          </w:placeholder>
        </w:sdtPr>
        <w:sdtEndPr/>
        <w:sdtContent>
          <w:r w:rsidR="00FA609A" w:rsidRPr="00FA609A">
            <w:rPr>
              <w:rFonts w:eastAsia="Times New Roman"/>
              <w:color w:val="000000"/>
              <w:sz w:val="24"/>
              <w:vertAlign w:val="superscript"/>
            </w:rPr>
            <w:t>5,6</w:t>
          </w:r>
        </w:sdtContent>
      </w:sdt>
      <w:r w:rsidR="009A1A69" w:rsidRPr="00EF0CB5">
        <w:rPr>
          <w:rFonts w:ascii="Times New Roman" w:hAnsi="Times New Roman" w:cs="Times New Roman"/>
          <w:sz w:val="24"/>
          <w:szCs w:val="24"/>
        </w:rPr>
        <w:t xml:space="preserve"> </w:t>
      </w:r>
    </w:p>
    <w:p w14:paraId="63584BE5" w14:textId="755B9300" w:rsidR="00FD464B" w:rsidRDefault="009A1A69"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Acquired</w:t>
      </w:r>
      <w:r w:rsidR="00EF0CB5" w:rsidRPr="00EF0CB5">
        <w:rPr>
          <w:rFonts w:ascii="Times New Roman" w:hAnsi="Times New Roman" w:cs="Times New Roman"/>
          <w:sz w:val="24"/>
          <w:szCs w:val="24"/>
        </w:rPr>
        <w:t xml:space="preserve"> pure red cell aplasia </w:t>
      </w:r>
      <w:r w:rsidR="00EE5943">
        <w:rPr>
          <w:rFonts w:ascii="Times New Roman" w:hAnsi="Times New Roman" w:cs="Times New Roman"/>
          <w:sz w:val="24"/>
          <w:szCs w:val="24"/>
        </w:rPr>
        <w:t>is</w:t>
      </w:r>
      <w:r w:rsidR="00EF0CB5" w:rsidRPr="00EF0CB5">
        <w:rPr>
          <w:rFonts w:ascii="Times New Roman" w:hAnsi="Times New Roman" w:cs="Times New Roman"/>
          <w:sz w:val="24"/>
          <w:szCs w:val="24"/>
        </w:rPr>
        <w:t xml:space="preserve"> mostly due to infections such, may be </w:t>
      </w:r>
      <w:r w:rsidR="00EE5943">
        <w:rPr>
          <w:rFonts w:ascii="Times New Roman" w:hAnsi="Times New Roman" w:cs="Times New Roman"/>
          <w:sz w:val="24"/>
          <w:szCs w:val="24"/>
        </w:rPr>
        <w:t>drug-induced</w:t>
      </w:r>
      <w:r w:rsidR="00EF0CB5" w:rsidRPr="00EF0CB5">
        <w:rPr>
          <w:rFonts w:ascii="Times New Roman" w:hAnsi="Times New Roman" w:cs="Times New Roman"/>
          <w:sz w:val="24"/>
          <w:szCs w:val="24"/>
        </w:rPr>
        <w:t xml:space="preserve">, idiopathic or </w:t>
      </w:r>
      <w:r w:rsidR="00EE5943">
        <w:rPr>
          <w:rFonts w:ascii="Times New Roman" w:hAnsi="Times New Roman" w:cs="Times New Roman"/>
          <w:sz w:val="24"/>
          <w:szCs w:val="24"/>
        </w:rPr>
        <w:t>autoimmune-mediated</w:t>
      </w:r>
      <w:r w:rsidR="00EF0CB5" w:rsidRPr="00EF0CB5">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"/>
          <w:id w:val="-1571801705"/>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6,7</w:t>
          </w:r>
        </w:sdtContent>
      </w:sdt>
      <w:r w:rsidR="00EF0CB5" w:rsidRPr="00EF0CB5">
        <w:rPr>
          <w:rFonts w:ascii="Times New Roman" w:hAnsi="Times New Roman" w:cs="Times New Roman"/>
          <w:sz w:val="24"/>
          <w:szCs w:val="24"/>
        </w:rPr>
        <w:t xml:space="preserve"> </w:t>
      </w:r>
      <w:r w:rsidRPr="00F6318D">
        <w:rPr>
          <w:rFonts w:ascii="Times New Roman" w:hAnsi="Times New Roman" w:cs="Times New Roman"/>
          <w:sz w:val="24"/>
          <w:szCs w:val="24"/>
        </w:rPr>
        <w:t xml:space="preserve">While congenital is usually irreversible, acquired forms can sometimes be transient. It </w:t>
      </w:r>
      <w:r w:rsidR="00F8066F">
        <w:rPr>
          <w:rFonts w:ascii="Times New Roman" w:hAnsi="Times New Roman" w:cs="Times New Roman"/>
          <w:sz w:val="24"/>
          <w:szCs w:val="24"/>
        </w:rPr>
        <w:t>manifests</w:t>
      </w:r>
      <w:r w:rsidRPr="00F6318D">
        <w:rPr>
          <w:rFonts w:ascii="Times New Roman" w:hAnsi="Times New Roman" w:cs="Times New Roman"/>
          <w:sz w:val="24"/>
          <w:szCs w:val="24"/>
        </w:rPr>
        <w:t xml:space="preserve"> as severe anemia (usually normocytic, normochromic), </w:t>
      </w:r>
      <w:r w:rsidR="00F6318D" w:rsidRPr="00F6318D">
        <w:rPr>
          <w:rFonts w:ascii="Times New Roman" w:hAnsi="Times New Roman" w:cs="Times New Roman"/>
          <w:sz w:val="24"/>
          <w:szCs w:val="24"/>
        </w:rPr>
        <w:t xml:space="preserve">and </w:t>
      </w:r>
      <w:r w:rsidRPr="00F6318D">
        <w:rPr>
          <w:rFonts w:ascii="Times New Roman" w:hAnsi="Times New Roman" w:cs="Times New Roman"/>
          <w:sz w:val="24"/>
          <w:szCs w:val="24"/>
        </w:rPr>
        <w:t xml:space="preserve">reticulocytopenia (reticulocyte count of &lt;1%). Common causes of acquired pure red cell aplasia </w:t>
      </w:r>
      <w:r w:rsidR="00F6318D" w:rsidRPr="00F6318D">
        <w:rPr>
          <w:rFonts w:ascii="Times New Roman" w:hAnsi="Times New Roman" w:cs="Times New Roman"/>
          <w:sz w:val="24"/>
          <w:szCs w:val="24"/>
        </w:rPr>
        <w:t>include</w:t>
      </w:r>
      <w:r w:rsidRPr="00F6318D">
        <w:rPr>
          <w:rFonts w:ascii="Times New Roman" w:hAnsi="Times New Roman" w:cs="Times New Roman"/>
          <w:sz w:val="24"/>
          <w:szCs w:val="24"/>
        </w:rPr>
        <w:t xml:space="preserve"> diseases such as </w:t>
      </w:r>
      <w:r w:rsidR="00EE5943">
        <w:rPr>
          <w:rFonts w:ascii="Times New Roman" w:hAnsi="Times New Roman" w:cs="Times New Roman"/>
          <w:sz w:val="24"/>
          <w:szCs w:val="24"/>
        </w:rPr>
        <w:t>hematological</w:t>
      </w:r>
      <w:r w:rsidRPr="00F6318D">
        <w:rPr>
          <w:rFonts w:ascii="Times New Roman" w:hAnsi="Times New Roman" w:cs="Times New Roman"/>
          <w:sz w:val="24"/>
          <w:szCs w:val="24"/>
        </w:rPr>
        <w:t xml:space="preserve"> malignancies, </w:t>
      </w:r>
      <w:r w:rsidR="00F6318D" w:rsidRPr="00F6318D">
        <w:rPr>
          <w:rFonts w:ascii="Times New Roman" w:hAnsi="Times New Roman" w:cs="Times New Roman"/>
          <w:sz w:val="24"/>
          <w:szCs w:val="24"/>
        </w:rPr>
        <w:t>infections</w:t>
      </w:r>
      <w:r w:rsidRPr="00F6318D">
        <w:rPr>
          <w:rFonts w:ascii="Times New Roman" w:hAnsi="Times New Roman" w:cs="Times New Roman"/>
          <w:sz w:val="24"/>
          <w:szCs w:val="24"/>
        </w:rPr>
        <w:t xml:space="preserve"> such as HIV, mumps, viral infections, drugs such as antiepileptic drugs (phenytoin, carbamazepine, sodium valproate) sulfonamides and NRTI such as lamivudine</w:t>
      </w:r>
      <w:r w:rsidR="003C7E89">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zVkMGNjMmEtN2QzMi00YTA4LTk4ODMtM2ZlYTk5YTBmNWEz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
          <w:id w:val="-1015691928"/>
          <w:placeholder>
            <w:docPart w:val="DefaultPlaceholder_-1854013440"/>
          </w:placeholder>
        </w:sdtPr>
        <w:sdtEndPr/>
        <w:sdtContent>
          <w:r w:rsidR="00FA609A" w:rsidRPr="00FA609A">
            <w:rPr>
              <w:rFonts w:eastAsia="Times New Roman"/>
              <w:color w:val="000000"/>
              <w:sz w:val="24"/>
              <w:vertAlign w:val="superscript"/>
            </w:rPr>
            <w:t>8</w:t>
          </w:r>
        </w:sdtContent>
      </w:sdt>
      <w:r w:rsidR="003C7E89">
        <w:rPr>
          <w:rFonts w:ascii="Times New Roman" w:hAnsi="Times New Roman" w:cs="Times New Roman"/>
          <w:sz w:val="24"/>
          <w:szCs w:val="24"/>
          <w:vertAlign w:val="superscript"/>
        </w:rPr>
        <w:t xml:space="preserve"> </w:t>
      </w:r>
      <w:r w:rsidR="003C7E89">
        <w:rPr>
          <w:rFonts w:ascii="Times New Roman" w:hAnsi="Times New Roman" w:cs="Times New Roman"/>
          <w:sz w:val="24"/>
          <w:szCs w:val="24"/>
        </w:rPr>
        <w:t>others include</w:t>
      </w:r>
      <w:r w:rsidR="003C7E89" w:rsidRPr="003C7E89">
        <w:rPr>
          <w:rFonts w:ascii="Times New Roman" w:hAnsi="Times New Roman" w:cs="Times New Roman"/>
          <w:sz w:val="24"/>
          <w:szCs w:val="24"/>
        </w:rPr>
        <w:t xml:space="preserve"> rifampicin, </w:t>
      </w:r>
      <w:r w:rsidR="00EE5943">
        <w:rPr>
          <w:rFonts w:ascii="Times New Roman" w:hAnsi="Times New Roman" w:cs="Times New Roman"/>
          <w:sz w:val="24"/>
          <w:szCs w:val="24"/>
        </w:rPr>
        <w:t xml:space="preserve">and </w:t>
      </w:r>
      <w:r w:rsidR="003C7E89" w:rsidRPr="003C7E89">
        <w:rPr>
          <w:rFonts w:ascii="Times New Roman" w:hAnsi="Times New Roman" w:cs="Times New Roman"/>
          <w:sz w:val="24"/>
          <w:szCs w:val="24"/>
        </w:rPr>
        <w:t>allopurinol.</w:t>
      </w:r>
      <w:sdt>
        <w:sdtPr>
          <w:rPr>
            <w:rFonts w:ascii="Times New Roman" w:hAnsi="Times New Roman" w:cs="Times New Roman"/>
            <w:color w:val="000000"/>
            <w:sz w:val="24"/>
            <w:szCs w:val="24"/>
            <w:vertAlign w:val="superscript"/>
          </w:rPr>
          <w:tag w:val="MENDELEY_CITATION_v3_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"/>
          <w:id w:val="930627821"/>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9</w:t>
          </w:r>
        </w:sdtContent>
      </w:sdt>
      <w:r w:rsidR="003C7E89" w:rsidRPr="003C7E89">
        <w:rPr>
          <w:rFonts w:ascii="Times New Roman" w:hAnsi="Times New Roman" w:cs="Times New Roman"/>
          <w:sz w:val="24"/>
          <w:szCs w:val="24"/>
        </w:rPr>
        <w:t xml:space="preserve"> </w:t>
      </w:r>
      <w:r w:rsidR="00FD464B">
        <w:rPr>
          <w:rFonts w:ascii="Times New Roman" w:hAnsi="Times New Roman" w:cs="Times New Roman"/>
          <w:sz w:val="24"/>
          <w:szCs w:val="24"/>
        </w:rPr>
        <w:t xml:space="preserve"> </w:t>
      </w:r>
      <w:r w:rsidR="00FD464B" w:rsidRPr="00FD464B">
        <w:rPr>
          <w:rFonts w:ascii="Times New Roman" w:hAnsi="Times New Roman" w:cs="Times New Roman"/>
          <w:sz w:val="24"/>
          <w:szCs w:val="24"/>
        </w:rPr>
        <w:t xml:space="preserve">Lamivudine, a cytidine </w:t>
      </w:r>
      <w:r w:rsidR="00EE5943">
        <w:rPr>
          <w:rFonts w:ascii="Times New Roman" w:hAnsi="Times New Roman" w:cs="Times New Roman"/>
          <w:sz w:val="24"/>
          <w:szCs w:val="24"/>
        </w:rPr>
        <w:t>analog</w:t>
      </w:r>
      <w:r w:rsidR="00FD464B" w:rsidRPr="00FD464B">
        <w:rPr>
          <w:rFonts w:ascii="Times New Roman" w:hAnsi="Times New Roman" w:cs="Times New Roman"/>
          <w:sz w:val="24"/>
          <w:szCs w:val="24"/>
        </w:rPr>
        <w:t xml:space="preserve"> is an ant</w:t>
      </w:r>
      <w:r w:rsidR="00255421">
        <w:rPr>
          <w:rFonts w:ascii="Times New Roman" w:hAnsi="Times New Roman" w:cs="Times New Roman"/>
          <w:sz w:val="24"/>
          <w:szCs w:val="24"/>
        </w:rPr>
        <w:t>i</w:t>
      </w:r>
      <w:r w:rsidR="00FD464B" w:rsidRPr="00FD464B">
        <w:rPr>
          <w:rFonts w:ascii="Times New Roman" w:hAnsi="Times New Roman" w:cs="Times New Roman"/>
          <w:sz w:val="24"/>
          <w:szCs w:val="24"/>
        </w:rPr>
        <w:t>retroviral drug of the class nucleotide reverse transcriptase, that inhibits 1 &amp; 2 of HIV reverse transcriptase. It is phosphorylated to active metabolite that compete for incorporation into viral DNA. One of its documented side effects is red cell aplasia due to its suppressive effect in bone marrow cell precursors.</w:t>
      </w:r>
    </w:p>
    <w:p w14:paraId="2E42A12D" w14:textId="4289EF98" w:rsidR="00ED08F0" w:rsidRDefault="00F6318D" w:rsidP="00FD464B">
      <w:pPr>
        <w:spacing w:line="276" w:lineRule="auto"/>
        <w:jc w:val="both"/>
        <w:rPr>
          <w:rFonts w:ascii="Times New Roman" w:hAnsi="Times New Roman" w:cs="Times New Roman"/>
          <w:sz w:val="24"/>
          <w:szCs w:val="24"/>
        </w:rPr>
      </w:pPr>
      <w:r w:rsidRPr="00F6318D">
        <w:rPr>
          <w:rFonts w:ascii="Times New Roman" w:hAnsi="Times New Roman" w:cs="Times New Roman"/>
          <w:sz w:val="24"/>
          <w:szCs w:val="24"/>
        </w:rPr>
        <w:t xml:space="preserve">However, several other causes of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have been reported in patients with AIDS. The two most frequent causes of </w:t>
      </w:r>
      <w:r w:rsidR="00EE5943">
        <w:rPr>
          <w:rFonts w:ascii="Times New Roman" w:hAnsi="Times New Roman" w:cs="Times New Roman"/>
          <w:sz w:val="24"/>
          <w:szCs w:val="24"/>
        </w:rPr>
        <w:t>anemia</w:t>
      </w:r>
      <w:r w:rsidRPr="00F6318D">
        <w:rPr>
          <w:rFonts w:ascii="Times New Roman" w:hAnsi="Times New Roman" w:cs="Times New Roman"/>
          <w:sz w:val="24"/>
          <w:szCs w:val="24"/>
        </w:rPr>
        <w:t xml:space="preserve"> in AIDS patients are related to either the cytopathic effect of HIV or the antiretroviral drugs employed in the treatment of these patients. While lamivudine is the antiviral drug known for causing pure red cell aplasia, </w:t>
      </w:r>
      <w:r w:rsidR="003C7E89">
        <w:rPr>
          <w:rFonts w:ascii="Times New Roman" w:hAnsi="Times New Roman" w:cs="Times New Roman"/>
          <w:sz w:val="24"/>
          <w:szCs w:val="24"/>
        </w:rPr>
        <w:t xml:space="preserve">this study </w:t>
      </w:r>
      <w:r w:rsidR="00427B4E">
        <w:rPr>
          <w:rFonts w:ascii="Times New Roman" w:hAnsi="Times New Roman" w:cs="Times New Roman"/>
          <w:sz w:val="24"/>
          <w:szCs w:val="24"/>
        </w:rPr>
        <w:t>presents</w:t>
      </w:r>
      <w:r w:rsidRPr="00F6318D">
        <w:rPr>
          <w:rFonts w:ascii="Times New Roman" w:hAnsi="Times New Roman" w:cs="Times New Roman"/>
          <w:sz w:val="24"/>
          <w:szCs w:val="24"/>
        </w:rPr>
        <w:t xml:space="preserve"> a rare case of tenofovir-induced pure red cell aplasia in a known RVD patient on HAART</w:t>
      </w:r>
      <w:r w:rsidR="00FD464B">
        <w:rPr>
          <w:rFonts w:ascii="Times New Roman" w:hAnsi="Times New Roman" w:cs="Times New Roman"/>
          <w:sz w:val="24"/>
          <w:szCs w:val="24"/>
        </w:rPr>
        <w:t xml:space="preserve"> attending </w:t>
      </w:r>
      <w:r w:rsidR="00EE5943">
        <w:rPr>
          <w:rFonts w:ascii="Times New Roman" w:hAnsi="Times New Roman" w:cs="Times New Roman"/>
          <w:sz w:val="24"/>
          <w:szCs w:val="24"/>
        </w:rPr>
        <w:t xml:space="preserve">a </w:t>
      </w:r>
      <w:r w:rsidR="00FD464B">
        <w:rPr>
          <w:rFonts w:ascii="Times New Roman" w:hAnsi="Times New Roman" w:cs="Times New Roman"/>
          <w:sz w:val="24"/>
          <w:szCs w:val="24"/>
        </w:rPr>
        <w:t>clinic</w:t>
      </w:r>
      <w:r w:rsidR="00255421">
        <w:rPr>
          <w:rFonts w:ascii="Times New Roman" w:hAnsi="Times New Roman" w:cs="Times New Roman"/>
          <w:sz w:val="24"/>
          <w:szCs w:val="24"/>
        </w:rPr>
        <w:t xml:space="preserve"> </w:t>
      </w:r>
      <w:r w:rsidR="00FD464B">
        <w:rPr>
          <w:rFonts w:ascii="Times New Roman" w:hAnsi="Times New Roman" w:cs="Times New Roman"/>
          <w:sz w:val="24"/>
          <w:szCs w:val="24"/>
        </w:rPr>
        <w:t>in a tertiary health institute in Nigeria</w:t>
      </w:r>
      <w:r w:rsidRPr="00F6318D">
        <w:rPr>
          <w:rFonts w:ascii="Times New Roman" w:hAnsi="Times New Roman" w:cs="Times New Roman"/>
          <w:sz w:val="24"/>
          <w:szCs w:val="24"/>
        </w:rPr>
        <w:t>.</w:t>
      </w:r>
      <w:r w:rsidR="00B20DF2">
        <w:rPr>
          <w:rFonts w:ascii="Times New Roman" w:hAnsi="Times New Roman" w:cs="Times New Roman"/>
          <w:sz w:val="24"/>
          <w:szCs w:val="24"/>
        </w:rPr>
        <w:t xml:space="preserve"> </w:t>
      </w:r>
    </w:p>
    <w:p w14:paraId="48B0E15C" w14:textId="77777777" w:rsidR="00F6318D" w:rsidRPr="00F6318D" w:rsidRDefault="00F6318D" w:rsidP="00FD464B">
      <w:pPr>
        <w:spacing w:line="276" w:lineRule="auto"/>
        <w:jc w:val="both"/>
        <w:rPr>
          <w:rFonts w:ascii="Times New Roman" w:hAnsi="Times New Roman" w:cs="Times New Roman"/>
          <w:sz w:val="24"/>
          <w:szCs w:val="24"/>
        </w:rPr>
      </w:pPr>
    </w:p>
    <w:p w14:paraId="1F8C28D8" w14:textId="77777777"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727DCF7" w14:textId="77777777" w:rsidR="004915E7" w:rsidRDefault="004915E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Methods</w:t>
      </w:r>
    </w:p>
    <w:p w14:paraId="0F9B1C2F" w14:textId="77777777" w:rsidR="004915E7" w:rsidRDefault="004915E7" w:rsidP="00FD464B">
      <w:pPr>
        <w:spacing w:after="0" w:line="276" w:lineRule="auto"/>
        <w:rPr>
          <w:rFonts w:ascii="Times New Roman" w:hAnsi="Times New Roman" w:cs="Times New Roman"/>
          <w:b/>
          <w:bCs/>
          <w:sz w:val="24"/>
          <w:szCs w:val="24"/>
        </w:rPr>
      </w:pPr>
    </w:p>
    <w:p w14:paraId="16A85CD6" w14:textId="101843F4" w:rsidR="004915E7" w:rsidRDefault="004915E7"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a case report of a 15-year-old known </w:t>
      </w:r>
      <w:r w:rsidR="001B0E34">
        <w:rPr>
          <w:rFonts w:ascii="Times New Roman" w:hAnsi="Times New Roman" w:cs="Times New Roman"/>
          <w:sz w:val="24"/>
          <w:szCs w:val="24"/>
        </w:rPr>
        <w:t xml:space="preserve">female </w:t>
      </w:r>
      <w:r>
        <w:rPr>
          <w:rFonts w:ascii="Times New Roman" w:hAnsi="Times New Roman" w:cs="Times New Roman"/>
          <w:sz w:val="24"/>
          <w:szCs w:val="24"/>
        </w:rPr>
        <w:t xml:space="preserve">patient diagnosed with HIV and receiving treatment at the Department of </w:t>
      </w:r>
      <w:proofErr w:type="spellStart"/>
      <w:r>
        <w:rPr>
          <w:rFonts w:ascii="Times New Roman" w:hAnsi="Times New Roman" w:cs="Times New Roman"/>
          <w:sz w:val="24"/>
          <w:szCs w:val="24"/>
        </w:rPr>
        <w:t>Paediatrics</w:t>
      </w:r>
      <w:proofErr w:type="spellEnd"/>
      <w:r w:rsidR="001B0E34">
        <w:rPr>
          <w:rFonts w:ascii="Times New Roman" w:hAnsi="Times New Roman" w:cs="Times New Roman"/>
          <w:sz w:val="24"/>
          <w:szCs w:val="24"/>
        </w:rPr>
        <w:t xml:space="preserve"> and </w:t>
      </w:r>
      <w:r w:rsidR="00EE5943">
        <w:rPr>
          <w:rFonts w:ascii="Times New Roman" w:hAnsi="Times New Roman" w:cs="Times New Roman"/>
          <w:sz w:val="24"/>
          <w:szCs w:val="24"/>
        </w:rPr>
        <w:t>child health</w:t>
      </w:r>
      <w:r w:rsidR="001B0E34">
        <w:rPr>
          <w:rFonts w:ascii="Times New Roman" w:hAnsi="Times New Roman" w:cs="Times New Roman"/>
          <w:sz w:val="24"/>
          <w:szCs w:val="24"/>
        </w:rPr>
        <w:t xml:space="preserve"> of</w:t>
      </w:r>
      <w:r>
        <w:rPr>
          <w:rFonts w:ascii="Times New Roman" w:hAnsi="Times New Roman" w:cs="Times New Roman"/>
          <w:sz w:val="24"/>
          <w:szCs w:val="24"/>
        </w:rPr>
        <w:t xml:space="preserve"> LAUTECH Teaching Hospital, Oyo State Nigeria. </w:t>
      </w:r>
    </w:p>
    <w:p w14:paraId="233408A3" w14:textId="3BFE2E62"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patient case note folder was retrieved for </w:t>
      </w:r>
      <w:r w:rsidR="00EE5943">
        <w:rPr>
          <w:rFonts w:ascii="Times New Roman" w:hAnsi="Times New Roman" w:cs="Times New Roman"/>
          <w:sz w:val="24"/>
          <w:szCs w:val="24"/>
        </w:rPr>
        <w:t xml:space="preserve">a </w:t>
      </w:r>
      <w:r>
        <w:rPr>
          <w:rFonts w:ascii="Times New Roman" w:hAnsi="Times New Roman" w:cs="Times New Roman"/>
          <w:sz w:val="24"/>
          <w:szCs w:val="24"/>
        </w:rPr>
        <w:t>detailed retrospective assessment of the reports.</w:t>
      </w:r>
    </w:p>
    <w:p w14:paraId="02E2E2E3" w14:textId="450AB4FB"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Data obtained were summarized as case presented under utmost confidentiality.</w:t>
      </w:r>
    </w:p>
    <w:p w14:paraId="61E82BE5" w14:textId="639F865A" w:rsidR="001B0E34" w:rsidRDefault="001B0E34" w:rsidP="00FD46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Other information </w:t>
      </w:r>
      <w:r w:rsidR="004551C7">
        <w:rPr>
          <w:rFonts w:ascii="Times New Roman" w:hAnsi="Times New Roman" w:cs="Times New Roman"/>
          <w:sz w:val="24"/>
          <w:szCs w:val="24"/>
        </w:rPr>
        <w:t>was</w:t>
      </w:r>
      <w:r>
        <w:rPr>
          <w:rFonts w:ascii="Times New Roman" w:hAnsi="Times New Roman" w:cs="Times New Roman"/>
          <w:sz w:val="24"/>
          <w:szCs w:val="24"/>
        </w:rPr>
        <w:t xml:space="preserve"> obtained from online literature using the search such as Pure red cell aplasia,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in HIV/AIDS, Tenofovir, Lamivudine, and Causes of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in HIV/AIDS using articles from </w:t>
      </w:r>
      <w:r w:rsidR="00EE5943">
        <w:rPr>
          <w:rFonts w:ascii="Times New Roman" w:hAnsi="Times New Roman" w:cs="Times New Roman"/>
          <w:sz w:val="24"/>
          <w:szCs w:val="24"/>
        </w:rPr>
        <w:t>Google Scholar</w:t>
      </w:r>
      <w:r>
        <w:rPr>
          <w:rFonts w:ascii="Times New Roman" w:hAnsi="Times New Roman" w:cs="Times New Roman"/>
          <w:sz w:val="24"/>
          <w:szCs w:val="24"/>
        </w:rPr>
        <w:t xml:space="preserve">, National Library of Medicine and </w:t>
      </w:r>
      <w:proofErr w:type="spellStart"/>
      <w:r w:rsidR="00EE5943">
        <w:rPr>
          <w:rFonts w:ascii="Times New Roman" w:hAnsi="Times New Roman" w:cs="Times New Roman"/>
          <w:sz w:val="24"/>
          <w:szCs w:val="24"/>
        </w:rPr>
        <w:t>Researchgate</w:t>
      </w:r>
      <w:proofErr w:type="spellEnd"/>
      <w:r>
        <w:rPr>
          <w:rFonts w:ascii="Times New Roman" w:hAnsi="Times New Roman" w:cs="Times New Roman"/>
          <w:sz w:val="24"/>
          <w:szCs w:val="24"/>
        </w:rPr>
        <w:t>.</w:t>
      </w:r>
    </w:p>
    <w:p w14:paraId="269F9040" w14:textId="77777777" w:rsidR="001B0E34" w:rsidRDefault="001B0E34" w:rsidP="00FD464B">
      <w:pPr>
        <w:spacing w:after="0" w:line="276" w:lineRule="auto"/>
        <w:jc w:val="both"/>
        <w:rPr>
          <w:rFonts w:ascii="Times New Roman" w:hAnsi="Times New Roman" w:cs="Times New Roman"/>
          <w:sz w:val="24"/>
          <w:szCs w:val="24"/>
        </w:rPr>
      </w:pPr>
    </w:p>
    <w:p w14:paraId="0F9AC363" w14:textId="77777777" w:rsidR="004915E7" w:rsidRDefault="004915E7" w:rsidP="00FD464B">
      <w:pPr>
        <w:spacing w:after="0" w:line="276" w:lineRule="auto"/>
        <w:rPr>
          <w:rFonts w:ascii="Times New Roman" w:hAnsi="Times New Roman" w:cs="Times New Roman"/>
          <w:b/>
          <w:bCs/>
          <w:sz w:val="24"/>
          <w:szCs w:val="24"/>
        </w:rPr>
      </w:pPr>
    </w:p>
    <w:p w14:paraId="7578158D" w14:textId="77777777" w:rsidR="004915E7" w:rsidRDefault="004915E7" w:rsidP="00FD464B">
      <w:pPr>
        <w:spacing w:after="0" w:line="276" w:lineRule="auto"/>
        <w:rPr>
          <w:rFonts w:ascii="Times New Roman" w:hAnsi="Times New Roman" w:cs="Times New Roman"/>
          <w:b/>
          <w:bCs/>
          <w:sz w:val="24"/>
          <w:szCs w:val="24"/>
        </w:rPr>
      </w:pPr>
    </w:p>
    <w:p w14:paraId="7B0B63EF" w14:textId="77777777" w:rsidR="004551C7" w:rsidRDefault="004551C7" w:rsidP="00FD464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A32A86D" w14:textId="77777777" w:rsidR="00EE5943" w:rsidRDefault="00EE5943" w:rsidP="00EE5943">
      <w:pPr>
        <w:rPr>
          <w:rStyle w:val="fontstyle01"/>
          <w:rFonts w:ascii="Times New Roman" w:hAnsi="Times New Roman" w:cs="Times New Roman"/>
          <w:b/>
          <w:sz w:val="24"/>
          <w:szCs w:val="24"/>
        </w:rPr>
      </w:pPr>
      <w:r w:rsidRPr="001C0D99">
        <w:rPr>
          <w:rStyle w:val="fontstyle01"/>
          <w:rFonts w:ascii="Times New Roman" w:hAnsi="Times New Roman" w:cs="Times New Roman"/>
          <w:b/>
          <w:sz w:val="24"/>
          <w:szCs w:val="24"/>
        </w:rPr>
        <w:lastRenderedPageBreak/>
        <w:t>Case Presentation</w:t>
      </w:r>
    </w:p>
    <w:p w14:paraId="50F00A89" w14:textId="2F18BDA6" w:rsidR="00EE5943" w:rsidRDefault="00EE5943" w:rsidP="00EE5943">
      <w:pPr>
        <w:jc w:val="both"/>
        <w:rPr>
          <w:rStyle w:val="fontstyle01"/>
          <w:rFonts w:ascii="Times New Roman" w:hAnsi="Times New Roman" w:cs="Times New Roman"/>
          <w:sz w:val="24"/>
          <w:szCs w:val="24"/>
        </w:rPr>
      </w:pPr>
      <w:r w:rsidRPr="001C0D99">
        <w:rPr>
          <w:rFonts w:ascii="Times New Roman" w:hAnsi="Times New Roman" w:cs="Times New Roman"/>
          <w:b/>
          <w:color w:val="000000"/>
          <w:sz w:val="24"/>
          <w:szCs w:val="24"/>
        </w:rPr>
        <w:br/>
      </w:r>
      <w:r w:rsidRPr="006B7EEF">
        <w:rPr>
          <w:rStyle w:val="fontstyle01"/>
          <w:rFonts w:ascii="Times New Roman" w:hAnsi="Times New Roman" w:cs="Times New Roman"/>
          <w:sz w:val="24"/>
          <w:szCs w:val="24"/>
        </w:rPr>
        <w:t>A 15-year-old female patient diagnosed with retroviral disease (HIV) with a history of recurrent</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t>generalized body weakness, skin rash, easy fatigability on exertion of 4 months duration and a positive</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history of dizziness and increased awareness of heartbeats. Skin rash was noticed first on the legs but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spread progressively to the buttocks and the upper limbs, it was pruritic with hyperpigmentation of</w:t>
      </w:r>
      <w:r>
        <w:rPr>
          <w:rStyle w:val="fontstyle01"/>
          <w:rFonts w:ascii="Times New Roman" w:hAnsi="Times New Roman" w:cs="Times New Roman"/>
          <w:sz w:val="24"/>
          <w:szCs w:val="24"/>
        </w:rPr>
        <w:t xml:space="preserve"> affected skin. Productive c</w:t>
      </w:r>
      <w:r w:rsidRPr="006B7EEF">
        <w:rPr>
          <w:rStyle w:val="fontstyle01"/>
          <w:rFonts w:ascii="Times New Roman" w:hAnsi="Times New Roman" w:cs="Times New Roman"/>
          <w:sz w:val="24"/>
          <w:szCs w:val="24"/>
        </w:rPr>
        <w:t>ough and fever were noticed at presentation but denied any complaint of</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excessive sweating, loss of consciousness, fainting attacks, blood loss or blood in stool.</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The patient was </w:t>
      </w:r>
      <w:r w:rsidRPr="00D8279D">
        <w:rPr>
          <w:rStyle w:val="fontstyle01"/>
          <w:rFonts w:ascii="Times New Roman" w:hAnsi="Times New Roman" w:cs="Times New Roman"/>
          <w:sz w:val="24"/>
          <w:szCs w:val="24"/>
          <w:highlight w:val="yellow"/>
        </w:rPr>
        <w:t>diagnosed with HIV 5 years earlier when she presented with a dry cough and fast breathing. She was subsequently commenced on HAART (Dolutegravir, Tenofovir and Lamivudine) and has been regula</w:t>
      </w:r>
      <w:r w:rsidRPr="006B7EEF">
        <w:rPr>
          <w:rStyle w:val="fontstyle01"/>
          <w:rFonts w:ascii="Times New Roman" w:hAnsi="Times New Roman" w:cs="Times New Roman"/>
          <w:sz w:val="24"/>
          <w:szCs w:val="24"/>
        </w:rPr>
        <w:t>r with clinic appointments and medications. There was a history of sharing sharp objects</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her parents (both parents are known patients living with retroviral disease), however, none of her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siblings </w:t>
      </w:r>
      <w:r>
        <w:rPr>
          <w:rStyle w:val="fontstyle01"/>
          <w:rFonts w:ascii="Times New Roman" w:hAnsi="Times New Roman" w:cs="Times New Roman"/>
          <w:sz w:val="24"/>
          <w:szCs w:val="24"/>
        </w:rPr>
        <w:t>tested</w:t>
      </w:r>
      <w:r w:rsidRPr="006B7EEF">
        <w:rPr>
          <w:rStyle w:val="fontstyle01"/>
          <w:rFonts w:ascii="Times New Roman" w:hAnsi="Times New Roman" w:cs="Times New Roman"/>
          <w:sz w:val="24"/>
          <w:szCs w:val="24"/>
        </w:rPr>
        <w:t xml:space="preserve"> positive for HIV infection on testing. In the past 2 months, she had been admitted twice to</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the hospital and was transfused severally with whole blood </w:t>
      </w:r>
      <w:r>
        <w:rPr>
          <w:rStyle w:val="fontstyle01"/>
          <w:rFonts w:ascii="Times New Roman" w:hAnsi="Times New Roman" w:cs="Times New Roman"/>
          <w:sz w:val="24"/>
          <w:szCs w:val="24"/>
        </w:rPr>
        <w:t>on</w:t>
      </w:r>
      <w:r w:rsidRPr="006B7EEF">
        <w:rPr>
          <w:rStyle w:val="fontstyle01"/>
          <w:rFonts w:ascii="Times New Roman" w:hAnsi="Times New Roman" w:cs="Times New Roman"/>
          <w:sz w:val="24"/>
          <w:szCs w:val="24"/>
        </w:rPr>
        <w:t xml:space="preserve"> each occasion.</w:t>
      </w:r>
      <w:r w:rsidRPr="006B7EEF">
        <w:rPr>
          <w:rFonts w:ascii="Times New Roman" w:hAnsi="Times New Roman" w:cs="Times New Roman"/>
          <w:color w:val="000000"/>
          <w:sz w:val="24"/>
          <w:szCs w:val="24"/>
        </w:rPr>
        <w:br/>
      </w:r>
    </w:p>
    <w:p w14:paraId="26C60F5A" w14:textId="005FC63C"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On physical examination, she was acutely ill, febrile (38</w:t>
      </w:r>
      <w:r w:rsidRPr="004A00A7">
        <w:rPr>
          <w:rStyle w:val="fontstyle01"/>
          <w:rFonts w:ascii="Times New Roman" w:hAnsi="Times New Roman" w:cs="Times New Roman"/>
          <w:sz w:val="24"/>
          <w:szCs w:val="24"/>
          <w:vertAlign w:val="superscript"/>
        </w:rPr>
        <w:t>0</w:t>
      </w:r>
      <w:r w:rsidRPr="006B7EEF">
        <w:rPr>
          <w:rStyle w:val="fontstyle01"/>
          <w:rFonts w:ascii="Times New Roman" w:hAnsi="Times New Roman" w:cs="Times New Roman"/>
          <w:sz w:val="24"/>
          <w:szCs w:val="24"/>
        </w:rPr>
        <w:t>C), severely pale, with generalized</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t>hyperpigmented patches and maculopapular rash. Respiratory rate of 30 cycles/minute with reduced air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entry especially on the left hemithorax, breath sounds were vesicular. Her heart rate was 120</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bea</w:t>
      </w:r>
      <w:r>
        <w:rPr>
          <w:rStyle w:val="fontstyle01"/>
          <w:rFonts w:ascii="Times New Roman" w:hAnsi="Times New Roman" w:cs="Times New Roman"/>
          <w:sz w:val="24"/>
          <w:szCs w:val="24"/>
        </w:rPr>
        <w:t xml:space="preserve">ts/minute with a blood pressure of </w:t>
      </w:r>
      <w:r w:rsidRPr="006B7EEF">
        <w:rPr>
          <w:rStyle w:val="fontstyle01"/>
          <w:rFonts w:ascii="Times New Roman" w:hAnsi="Times New Roman" w:cs="Times New Roman"/>
          <w:sz w:val="24"/>
          <w:szCs w:val="24"/>
        </w:rPr>
        <w:t>99/60 mmHg</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supine). The abdomen was full </w:t>
      </w:r>
      <w:r>
        <w:rPr>
          <w:rStyle w:val="fontstyle01"/>
          <w:rFonts w:ascii="Times New Roman" w:hAnsi="Times New Roman" w:cs="Times New Roman"/>
          <w:sz w:val="24"/>
          <w:szCs w:val="24"/>
        </w:rPr>
        <w:t xml:space="preserve">and </w:t>
      </w:r>
      <w:r w:rsidRPr="006B7EEF">
        <w:rPr>
          <w:rStyle w:val="fontstyle01"/>
          <w:rFonts w:ascii="Times New Roman" w:hAnsi="Times New Roman" w:cs="Times New Roman"/>
          <w:sz w:val="24"/>
          <w:szCs w:val="24"/>
        </w:rPr>
        <w:t>moves regularly</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respiration.</w:t>
      </w:r>
      <w:r>
        <w:rPr>
          <w:rStyle w:val="fontstyle01"/>
          <w:rFonts w:ascii="Times New Roman" w:hAnsi="Times New Roman" w:cs="Times New Roman"/>
          <w:sz w:val="24"/>
          <w:szCs w:val="24"/>
        </w:rPr>
        <w:t xml:space="preserve"> </w:t>
      </w:r>
      <w:r w:rsidRPr="00D8279D">
        <w:rPr>
          <w:rStyle w:val="fontstyle01"/>
          <w:rFonts w:ascii="Times New Roman" w:hAnsi="Times New Roman" w:cs="Times New Roman"/>
          <w:sz w:val="24"/>
          <w:szCs w:val="24"/>
          <w:highlight w:val="yellow"/>
        </w:rPr>
        <w:t>The liver is palpably enlarged, 4cm below the right coastal margin, firm and tender. The spleen is 3cm palpable below the left costal margin, firm and not tender.</w:t>
      </w:r>
      <w:r w:rsidRPr="00D8279D">
        <w:rPr>
          <w:rFonts w:ascii="Times New Roman" w:hAnsi="Times New Roman" w:cs="Times New Roman"/>
          <w:color w:val="000000"/>
          <w:sz w:val="24"/>
          <w:szCs w:val="24"/>
          <w:highlight w:val="yellow"/>
        </w:rPr>
        <w:br/>
      </w:r>
    </w:p>
    <w:p w14:paraId="34932667" w14:textId="3F895A08"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 xml:space="preserve">Laboratory </w:t>
      </w:r>
      <w:r>
        <w:rPr>
          <w:rStyle w:val="fontstyle01"/>
          <w:rFonts w:ascii="Times New Roman" w:hAnsi="Times New Roman" w:cs="Times New Roman"/>
          <w:sz w:val="24"/>
          <w:szCs w:val="24"/>
        </w:rPr>
        <w:t>hematology</w:t>
      </w:r>
      <w:r w:rsidRPr="006B7EEF">
        <w:rPr>
          <w:rStyle w:val="fontstyle01"/>
          <w:rFonts w:ascii="Times New Roman" w:hAnsi="Times New Roman" w:cs="Times New Roman"/>
          <w:sz w:val="24"/>
          <w:szCs w:val="24"/>
        </w:rPr>
        <w:t xml:space="preserve"> workup showed a packed cell volume of PCV 9% (normal: 37-47%) and a</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reticulocyte count of 0.4% (normal: 0.5-3%) with some polychromasia, large and giant platelets which</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was normal in count, relative lymphocytosis,</w:t>
      </w:r>
      <w:r>
        <w:rPr>
          <w:rStyle w:val="fontstyle01"/>
          <w:rFonts w:ascii="Times New Roman" w:hAnsi="Times New Roman" w:cs="Times New Roman"/>
          <w:sz w:val="24"/>
          <w:szCs w:val="24"/>
        </w:rPr>
        <w:t xml:space="preserve"> which was </w:t>
      </w:r>
      <w:r w:rsidRPr="006B7EEF">
        <w:rPr>
          <w:rStyle w:val="fontstyle01"/>
          <w:rFonts w:ascii="Times New Roman" w:hAnsi="Times New Roman" w:cs="Times New Roman"/>
          <w:sz w:val="24"/>
          <w:szCs w:val="24"/>
        </w:rPr>
        <w:t>normal in size and form. Peripheral blood film revealed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normochromic, normocytic </w:t>
      </w:r>
      <w:proofErr w:type="spellStart"/>
      <w:r w:rsidRPr="006B7EEF">
        <w:rPr>
          <w:rStyle w:val="fontstyle01"/>
          <w:rFonts w:ascii="Times New Roman" w:hAnsi="Times New Roman" w:cs="Times New Roman"/>
          <w:sz w:val="24"/>
          <w:szCs w:val="24"/>
        </w:rPr>
        <w:t>anaemia</w:t>
      </w:r>
      <w:proofErr w:type="spellEnd"/>
      <w:r w:rsidRPr="006B7EEF">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Bone marrow aspirate revealed erythroid hyperplasia with </w:t>
      </w:r>
      <w:proofErr w:type="spellStart"/>
      <w:r w:rsidRPr="006B7EEF">
        <w:rPr>
          <w:rStyle w:val="fontstyle01"/>
          <w:rFonts w:ascii="Times New Roman" w:hAnsi="Times New Roman" w:cs="Times New Roman"/>
          <w:sz w:val="24"/>
          <w:szCs w:val="24"/>
        </w:rPr>
        <w:t>nucleo</w:t>
      </w:r>
      <w:proofErr w:type="spellEnd"/>
      <w:r w:rsidRPr="006B7EEF">
        <w:rPr>
          <w:rStyle w:val="fontstyle01"/>
          <w:rFonts w:ascii="Times New Roman" w:hAnsi="Times New Roman" w:cs="Times New Roman"/>
          <w:sz w:val="24"/>
          <w:szCs w:val="24"/>
        </w:rPr>
        <w:t>-cytoplasmic asynchrony, megaloblast</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with large nucleus having sieve-like chromatin and deep blue cytoplasm.</w:t>
      </w:r>
      <w:r w:rsidRPr="006B7EEF">
        <w:rPr>
          <w:rFonts w:ascii="Times New Roman" w:hAnsi="Times New Roman" w:cs="Times New Roman"/>
          <w:color w:val="000000"/>
          <w:sz w:val="24"/>
          <w:szCs w:val="24"/>
        </w:rPr>
        <w:br/>
      </w:r>
    </w:p>
    <w:p w14:paraId="6CD5649E" w14:textId="77777777" w:rsidR="00EE5943" w:rsidRDefault="00EE5943" w:rsidP="00EE5943">
      <w:pPr>
        <w:jc w:val="both"/>
        <w:rPr>
          <w:rStyle w:val="fontstyle01"/>
          <w:rFonts w:ascii="Times New Roman" w:hAnsi="Times New Roman" w:cs="Times New Roman"/>
          <w:sz w:val="24"/>
          <w:szCs w:val="24"/>
        </w:rPr>
      </w:pPr>
      <w:r w:rsidRPr="006B7EEF">
        <w:rPr>
          <w:rStyle w:val="fontstyle01"/>
          <w:rFonts w:ascii="Times New Roman" w:hAnsi="Times New Roman" w:cs="Times New Roman"/>
          <w:sz w:val="24"/>
          <w:szCs w:val="24"/>
        </w:rPr>
        <w:t>Chest x-ray showed a normal cardiothoracic ratio (50%), widespread reticular opacities in both lung</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fields, and the bony thorax and overlying soft tissue were preserved. Impression is that of pneumonic</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changes. </w:t>
      </w:r>
    </w:p>
    <w:p w14:paraId="038162E6" w14:textId="77777777" w:rsidR="00EE5943" w:rsidRPr="00D8279D" w:rsidRDefault="00EE5943" w:rsidP="00EE5943">
      <w:pPr>
        <w:jc w:val="both"/>
        <w:rPr>
          <w:rStyle w:val="fontstyle01"/>
          <w:rFonts w:ascii="Times New Roman" w:hAnsi="Times New Roman" w:cs="Times New Roman"/>
          <w:sz w:val="24"/>
          <w:szCs w:val="24"/>
          <w:highlight w:val="yellow"/>
        </w:rPr>
      </w:pPr>
      <w:r w:rsidRPr="006B7EEF">
        <w:rPr>
          <w:rStyle w:val="fontstyle01"/>
          <w:rFonts w:ascii="Times New Roman" w:hAnsi="Times New Roman" w:cs="Times New Roman"/>
          <w:sz w:val="24"/>
          <w:szCs w:val="24"/>
        </w:rPr>
        <w:t>Skin biopsy show</w:t>
      </w:r>
      <w:r>
        <w:rPr>
          <w:rStyle w:val="fontstyle01"/>
          <w:rFonts w:ascii="Times New Roman" w:hAnsi="Times New Roman" w:cs="Times New Roman"/>
          <w:sz w:val="24"/>
          <w:szCs w:val="24"/>
        </w:rPr>
        <w:t>ed</w:t>
      </w:r>
      <w:r w:rsidRPr="006B7EEF">
        <w:rPr>
          <w:rStyle w:val="fontstyle01"/>
          <w:rFonts w:ascii="Times New Roman" w:hAnsi="Times New Roman" w:cs="Times New Roman"/>
          <w:sz w:val="24"/>
          <w:szCs w:val="24"/>
        </w:rPr>
        <w:t xml:space="preserve"> Psoriasis form-like dermatitis and skin scrapping for fungal studies yielded mixed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growth of: </w:t>
      </w:r>
      <w:r w:rsidRPr="004A00A7">
        <w:rPr>
          <w:rStyle w:val="fontstyle01"/>
          <w:rFonts w:ascii="Times New Roman" w:hAnsi="Times New Roman" w:cs="Times New Roman"/>
          <w:i/>
          <w:sz w:val="24"/>
          <w:szCs w:val="24"/>
        </w:rPr>
        <w:t xml:space="preserve">Coccidioides </w:t>
      </w:r>
      <w:proofErr w:type="spellStart"/>
      <w:r w:rsidRPr="004A00A7">
        <w:rPr>
          <w:rStyle w:val="fontstyle01"/>
          <w:rFonts w:ascii="Times New Roman" w:hAnsi="Times New Roman" w:cs="Times New Roman"/>
          <w:i/>
          <w:sz w:val="24"/>
          <w:szCs w:val="24"/>
        </w:rPr>
        <w:t>immitis</w:t>
      </w:r>
      <w:proofErr w:type="spellEnd"/>
      <w:r w:rsidRPr="004A00A7">
        <w:rPr>
          <w:rStyle w:val="fontstyle01"/>
          <w:rFonts w:ascii="Times New Roman" w:hAnsi="Times New Roman" w:cs="Times New Roman"/>
          <w:i/>
          <w:sz w:val="24"/>
          <w:szCs w:val="24"/>
        </w:rPr>
        <w:t xml:space="preserve">, </w:t>
      </w:r>
      <w:proofErr w:type="spellStart"/>
      <w:r w:rsidRPr="004A00A7">
        <w:rPr>
          <w:rStyle w:val="fontstyle01"/>
          <w:rFonts w:ascii="Times New Roman" w:hAnsi="Times New Roman" w:cs="Times New Roman"/>
          <w:i/>
          <w:sz w:val="24"/>
          <w:szCs w:val="24"/>
        </w:rPr>
        <w:t>Trichoptyorrubrum</w:t>
      </w:r>
      <w:proofErr w:type="spellEnd"/>
      <w:r w:rsidRPr="004A00A7">
        <w:rPr>
          <w:rStyle w:val="fontstyle01"/>
          <w:rFonts w:ascii="Times New Roman" w:hAnsi="Times New Roman" w:cs="Times New Roman"/>
          <w:i/>
          <w:sz w:val="24"/>
          <w:szCs w:val="24"/>
        </w:rPr>
        <w:t>,</w:t>
      </w:r>
      <w:r>
        <w:rPr>
          <w:rStyle w:val="fontstyle01"/>
          <w:rFonts w:ascii="Times New Roman" w:hAnsi="Times New Roman" w:cs="Times New Roman"/>
          <w:sz w:val="24"/>
          <w:szCs w:val="24"/>
        </w:rPr>
        <w:t xml:space="preserve"> and </w:t>
      </w:r>
      <w:r w:rsidRPr="004A00A7">
        <w:rPr>
          <w:rStyle w:val="fontstyle01"/>
          <w:rFonts w:ascii="Times New Roman" w:hAnsi="Times New Roman" w:cs="Times New Roman"/>
          <w:i/>
          <w:sz w:val="24"/>
          <w:szCs w:val="24"/>
        </w:rPr>
        <w:t xml:space="preserve">Aspergillus </w:t>
      </w:r>
      <w:proofErr w:type="spellStart"/>
      <w:r w:rsidRPr="004A00A7">
        <w:rPr>
          <w:rStyle w:val="fontstyle01"/>
          <w:rFonts w:ascii="Times New Roman" w:hAnsi="Times New Roman" w:cs="Times New Roman"/>
          <w:i/>
          <w:sz w:val="24"/>
          <w:szCs w:val="24"/>
        </w:rPr>
        <w:t>niger</w:t>
      </w:r>
      <w:proofErr w:type="spellEnd"/>
      <w:r w:rsidRPr="006B7EEF">
        <w:rPr>
          <w:rStyle w:val="fontstyle01"/>
          <w:rFonts w:ascii="Times New Roman" w:hAnsi="Times New Roman" w:cs="Times New Roman"/>
          <w:sz w:val="24"/>
          <w:szCs w:val="24"/>
        </w:rPr>
        <w:t>. Rapid diagnostic test and</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microscopic for malaria was </w:t>
      </w:r>
      <w:r w:rsidRPr="00D8279D">
        <w:rPr>
          <w:rStyle w:val="fontstyle01"/>
          <w:rFonts w:ascii="Times New Roman" w:hAnsi="Times New Roman" w:cs="Times New Roman"/>
          <w:sz w:val="24"/>
          <w:szCs w:val="24"/>
          <w:highlight w:val="yellow"/>
        </w:rPr>
        <w:t>for malaria were positive.</w:t>
      </w:r>
      <w:r w:rsidRPr="00D8279D">
        <w:rPr>
          <w:rFonts w:ascii="Times New Roman" w:hAnsi="Times New Roman" w:cs="Times New Roman"/>
          <w:color w:val="000000"/>
          <w:sz w:val="24"/>
          <w:szCs w:val="24"/>
          <w:highlight w:val="yellow"/>
        </w:rPr>
        <w:br/>
      </w:r>
    </w:p>
    <w:p w14:paraId="315C96CE" w14:textId="6B1140F8" w:rsidR="00EE5943" w:rsidRDefault="00EE5943" w:rsidP="00EE5943">
      <w:pPr>
        <w:jc w:val="both"/>
        <w:rPr>
          <w:rStyle w:val="fontstyle01"/>
          <w:rFonts w:ascii="Times New Roman" w:hAnsi="Times New Roman" w:cs="Times New Roman"/>
          <w:sz w:val="24"/>
          <w:szCs w:val="24"/>
        </w:rPr>
      </w:pPr>
      <w:r w:rsidRPr="00D8279D">
        <w:rPr>
          <w:rStyle w:val="fontstyle01"/>
          <w:rFonts w:ascii="Times New Roman" w:hAnsi="Times New Roman" w:cs="Times New Roman"/>
          <w:sz w:val="24"/>
          <w:szCs w:val="24"/>
          <w:highlight w:val="yellow"/>
        </w:rPr>
        <w:t xml:space="preserve">The patient was given IV Cefuroxime and Gentamicin and also treated for malaria with oral </w:t>
      </w:r>
      <w:proofErr w:type="spellStart"/>
      <w:r w:rsidRPr="00D8279D">
        <w:rPr>
          <w:rStyle w:val="fontstyle01"/>
          <w:rFonts w:ascii="Times New Roman" w:hAnsi="Times New Roman" w:cs="Times New Roman"/>
          <w:sz w:val="24"/>
          <w:szCs w:val="24"/>
          <w:highlight w:val="yellow"/>
        </w:rPr>
        <w:t>Arthemeter</w:t>
      </w:r>
      <w:proofErr w:type="spellEnd"/>
      <w:r w:rsidRPr="00D8279D">
        <w:rPr>
          <w:rStyle w:val="fontstyle01"/>
          <w:rFonts w:ascii="Times New Roman" w:hAnsi="Times New Roman" w:cs="Times New Roman"/>
          <w:sz w:val="24"/>
          <w:szCs w:val="24"/>
          <w:highlight w:val="yellow"/>
        </w:rPr>
        <w:t xml:space="preserve"> Lumefantrine. She had several units of blood transfused</w:t>
      </w:r>
      <w:r>
        <w:rPr>
          <w:rStyle w:val="fontstyle01"/>
          <w:rFonts w:ascii="Times New Roman" w:hAnsi="Times New Roman" w:cs="Times New Roman"/>
          <w:sz w:val="24"/>
          <w:szCs w:val="24"/>
        </w:rPr>
        <w:t xml:space="preserve"> on account of severe anemia</w:t>
      </w:r>
      <w:r w:rsidRPr="006B7EEF">
        <w:rPr>
          <w:rStyle w:val="fontstyle01"/>
          <w:rFonts w:ascii="Times New Roman" w:hAnsi="Times New Roman" w:cs="Times New Roman"/>
          <w:sz w:val="24"/>
          <w:szCs w:val="24"/>
        </w:rPr>
        <w:t>.</w:t>
      </w:r>
      <w:r w:rsidRPr="006B7EEF">
        <w:rPr>
          <w:rFonts w:ascii="Times New Roman" w:hAnsi="Times New Roman" w:cs="Times New Roman"/>
          <w:color w:val="000000"/>
          <w:sz w:val="24"/>
          <w:szCs w:val="24"/>
        </w:rPr>
        <w:br/>
      </w:r>
      <w:r w:rsidRPr="006B7EEF">
        <w:rPr>
          <w:rStyle w:val="fontstyle01"/>
          <w:rFonts w:ascii="Times New Roman" w:hAnsi="Times New Roman" w:cs="Times New Roman"/>
          <w:sz w:val="24"/>
          <w:szCs w:val="24"/>
        </w:rPr>
        <w:lastRenderedPageBreak/>
        <w:t xml:space="preserve">Repeat chest </w:t>
      </w:r>
      <w:r>
        <w:rPr>
          <w:rStyle w:val="fontstyle01"/>
          <w:rFonts w:ascii="Times New Roman" w:hAnsi="Times New Roman" w:cs="Times New Roman"/>
          <w:sz w:val="24"/>
          <w:szCs w:val="24"/>
        </w:rPr>
        <w:t>X-ray</w:t>
      </w:r>
      <w:r w:rsidRPr="006B7EEF">
        <w:rPr>
          <w:rStyle w:val="fontstyle01"/>
          <w:rFonts w:ascii="Times New Roman" w:hAnsi="Times New Roman" w:cs="Times New Roman"/>
          <w:sz w:val="24"/>
          <w:szCs w:val="24"/>
        </w:rPr>
        <w:t xml:space="preserve"> after three weeks still shows</w:t>
      </w:r>
      <w:r>
        <w:rPr>
          <w:rStyle w:val="fontstyle01"/>
          <w:rFonts w:ascii="Times New Roman" w:hAnsi="Times New Roman" w:cs="Times New Roman"/>
          <w:sz w:val="24"/>
          <w:szCs w:val="24"/>
        </w:rPr>
        <w:t xml:space="preserve"> norm</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l costophrenic sulci, bony thor</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x </w:t>
      </w:r>
      <w:r w:rsidRPr="006B7EEF">
        <w:rPr>
          <w:rStyle w:val="fontstyle01"/>
          <w:rFonts w:ascii="Times New Roman" w:hAnsi="Times New Roman" w:cs="Times New Roman"/>
          <w:sz w:val="24"/>
          <w:szCs w:val="24"/>
        </w:rPr>
        <w:t>and overlying soft tissue</w:t>
      </w:r>
      <w:r>
        <w:rPr>
          <w:rStyle w:val="fontstyle01"/>
          <w:rFonts w:ascii="Times New Roman" w:hAnsi="Times New Roman" w:cs="Times New Roman"/>
          <w:sz w:val="24"/>
          <w:szCs w:val="24"/>
        </w:rPr>
        <w:t xml:space="preserve"> with persevered lung fields. No obvious </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ctive foc</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l lung lesion </w:t>
      </w:r>
      <w:r w:rsidRPr="006B7EEF">
        <w:rPr>
          <w:rStyle w:val="fontstyle01"/>
          <w:rFonts w:ascii="Times New Roman" w:hAnsi="Times New Roman" w:cs="Times New Roman"/>
          <w:sz w:val="24"/>
          <w:szCs w:val="24"/>
        </w:rPr>
        <w:t>a</w:t>
      </w:r>
      <w:r>
        <w:rPr>
          <w:rStyle w:val="fontstyle01"/>
          <w:rFonts w:ascii="Times New Roman" w:hAnsi="Times New Roman" w:cs="Times New Roman"/>
          <w:sz w:val="24"/>
          <w:szCs w:val="24"/>
        </w:rPr>
        <w:t xml:space="preserve">nd CTR </w:t>
      </w:r>
      <w:r w:rsidRPr="006B7EEF">
        <w:rPr>
          <w:rStyle w:val="fontstyle01"/>
          <w:rFonts w:ascii="Times New Roman" w:hAnsi="Times New Roman" w:cs="Times New Roman"/>
          <w:sz w:val="24"/>
          <w:szCs w:val="24"/>
        </w:rPr>
        <w:t>1</w:t>
      </w:r>
      <w:r>
        <w:rPr>
          <w:rStyle w:val="fontstyle01"/>
          <w:rFonts w:ascii="Times New Roman" w:hAnsi="Times New Roman" w:cs="Times New Roman"/>
          <w:sz w:val="24"/>
          <w:szCs w:val="24"/>
        </w:rPr>
        <w:t xml:space="preserve">2.5/26  </w:t>
      </w:r>
    </w:p>
    <w:p w14:paraId="4661F7FA" w14:textId="45123718" w:rsidR="00FF270F" w:rsidRDefault="00EE5943" w:rsidP="00EE5943">
      <w:pPr>
        <w:jc w:val="both"/>
        <w:rPr>
          <w:rStyle w:val="fontstyle01"/>
          <w:rFonts w:ascii="Times New Roman" w:hAnsi="Times New Roman" w:cs="Times New Roman"/>
          <w:b/>
          <w:sz w:val="24"/>
          <w:szCs w:val="24"/>
        </w:rPr>
      </w:pPr>
      <w:r w:rsidRPr="006B7EEF">
        <w:rPr>
          <w:rStyle w:val="fontstyle01"/>
          <w:rFonts w:ascii="Times New Roman" w:hAnsi="Times New Roman" w:cs="Times New Roman"/>
          <w:sz w:val="24"/>
          <w:szCs w:val="24"/>
        </w:rPr>
        <w:t xml:space="preserve">She was discharged after three weeks of admission with </w:t>
      </w:r>
      <w:r>
        <w:rPr>
          <w:rStyle w:val="fontstyle01"/>
          <w:rFonts w:ascii="Times New Roman" w:hAnsi="Times New Roman" w:cs="Times New Roman"/>
          <w:sz w:val="24"/>
          <w:szCs w:val="24"/>
        </w:rPr>
        <w:t xml:space="preserve">a </w:t>
      </w:r>
      <w:r w:rsidRPr="006B7EEF">
        <w:rPr>
          <w:rStyle w:val="fontstyle01"/>
          <w:rFonts w:ascii="Times New Roman" w:hAnsi="Times New Roman" w:cs="Times New Roman"/>
          <w:sz w:val="24"/>
          <w:szCs w:val="24"/>
        </w:rPr>
        <w:t>PCV of 24%. However</w:t>
      </w:r>
      <w:r>
        <w:rPr>
          <w:rStyle w:val="fontstyle01"/>
          <w:rFonts w:ascii="Times New Roman" w:hAnsi="Times New Roman" w:cs="Times New Roman"/>
          <w:sz w:val="24"/>
          <w:szCs w:val="24"/>
        </w:rPr>
        <w:t>,</w:t>
      </w:r>
      <w:r w:rsidRPr="006B7EEF">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on</w:t>
      </w:r>
      <w:r w:rsidRPr="006B7EEF">
        <w:rPr>
          <w:rStyle w:val="fontstyle01"/>
          <w:rFonts w:ascii="Times New Roman" w:hAnsi="Times New Roman" w:cs="Times New Roman"/>
          <w:sz w:val="24"/>
          <w:szCs w:val="24"/>
        </w:rPr>
        <w:t xml:space="preserve"> suspicion of</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Lamivudine induced Red Cell </w:t>
      </w:r>
      <w:r>
        <w:rPr>
          <w:rStyle w:val="fontstyle01"/>
          <w:rFonts w:ascii="Times New Roman" w:hAnsi="Times New Roman" w:cs="Times New Roman"/>
          <w:sz w:val="24"/>
          <w:szCs w:val="24"/>
        </w:rPr>
        <w:t xml:space="preserve">Aplasia. </w:t>
      </w:r>
      <w:r w:rsidRPr="006B7EEF">
        <w:rPr>
          <w:rStyle w:val="fontstyle01"/>
          <w:rFonts w:ascii="Times New Roman" w:hAnsi="Times New Roman" w:cs="Times New Roman"/>
          <w:sz w:val="24"/>
          <w:szCs w:val="24"/>
        </w:rPr>
        <w:t xml:space="preserve"> A new HAART regimen was constituted in which Lamivudine was</w:t>
      </w:r>
      <w:r>
        <w:rPr>
          <w:rStyle w:val="fontstyle01"/>
          <w:rFonts w:ascii="Times New Roman" w:hAnsi="Times New Roman" w:cs="Times New Roman"/>
          <w:sz w:val="24"/>
          <w:szCs w:val="24"/>
        </w:rPr>
        <w:t xml:space="preserve"> removed </w:t>
      </w:r>
      <w:r w:rsidRPr="006B7EEF">
        <w:rPr>
          <w:rStyle w:val="fontstyle01"/>
          <w:rFonts w:ascii="Times New Roman" w:hAnsi="Times New Roman" w:cs="Times New Roman"/>
          <w:sz w:val="24"/>
          <w:szCs w:val="24"/>
        </w:rPr>
        <w:t>while on this new HAART regimen (without Lamivud</w:t>
      </w:r>
      <w:r>
        <w:rPr>
          <w:rStyle w:val="fontstyle01"/>
          <w:rFonts w:ascii="Times New Roman" w:hAnsi="Times New Roman" w:cs="Times New Roman"/>
          <w:sz w:val="24"/>
          <w:szCs w:val="24"/>
        </w:rPr>
        <w:t xml:space="preserve">ine) the PCV declined from 24% to </w:t>
      </w:r>
      <w:r w:rsidRPr="00FF270F">
        <w:rPr>
          <w:rFonts w:ascii="Times New Roman" w:hAnsi="Times New Roman" w:cs="Times New Roman"/>
          <w:sz w:val="24"/>
          <w:szCs w:val="24"/>
        </w:rPr>
        <w:t>11</w:t>
      </w:r>
      <w:r w:rsidRPr="006B7EEF">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over 4 weeks, </w:t>
      </w:r>
      <w:r w:rsidRPr="005C3F61">
        <w:rPr>
          <w:rStyle w:val="fontstyle01"/>
          <w:rFonts w:ascii="Times New Roman" w:hAnsi="Times New Roman" w:cs="Times New Roman"/>
          <w:sz w:val="24"/>
          <w:szCs w:val="24"/>
        </w:rPr>
        <w:t xml:space="preserve">warranting transfusion. </w:t>
      </w:r>
      <w:r>
        <w:rPr>
          <w:rStyle w:val="fontstyle01"/>
          <w:rFonts w:ascii="Times New Roman" w:hAnsi="Times New Roman" w:cs="Times New Roman"/>
          <w:sz w:val="24"/>
          <w:szCs w:val="24"/>
        </w:rPr>
        <w:t xml:space="preserve"> This prompted a susp</w:t>
      </w:r>
      <w:r w:rsidRPr="006B7EEF">
        <w:rPr>
          <w:rStyle w:val="fontstyle01"/>
          <w:rFonts w:ascii="Times New Roman" w:hAnsi="Times New Roman" w:cs="Times New Roman"/>
          <w:sz w:val="24"/>
          <w:szCs w:val="24"/>
        </w:rPr>
        <w:t>icion of Tenofovir as a likely culprit. A</w:t>
      </w:r>
      <w:r>
        <w:rPr>
          <w:rStyle w:val="fontstyle01"/>
          <w:rFonts w:ascii="Times New Roman" w:hAnsi="Times New Roman" w:cs="Times New Roman"/>
          <w:sz w:val="24"/>
          <w:szCs w:val="24"/>
        </w:rPr>
        <w:t xml:space="preserve"> </w:t>
      </w:r>
      <w:r w:rsidRPr="00FD636B">
        <w:rPr>
          <w:rStyle w:val="fontstyle01"/>
          <w:rFonts w:ascii="Times New Roman" w:hAnsi="Times New Roman" w:cs="Times New Roman"/>
          <w:sz w:val="24"/>
          <w:szCs w:val="24"/>
          <w:highlight w:val="yellow"/>
        </w:rPr>
        <w:t>reconstitution of the HAART regimen in which Lamivudine was retained and Tenofovir was replaced with Abacavir was commenced. The PCV improved within two weeks of the commencement of this</w:t>
      </w:r>
      <w:r w:rsidRPr="006B7EEF">
        <w:rPr>
          <w:rStyle w:val="fontstyle01"/>
          <w:rFonts w:ascii="Times New Roman" w:hAnsi="Times New Roman" w:cs="Times New Roman"/>
          <w:sz w:val="24"/>
          <w:szCs w:val="24"/>
        </w:rPr>
        <w:t xml:space="preserve"> regimen and further</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improvements </w:t>
      </w:r>
      <w:r>
        <w:rPr>
          <w:rStyle w:val="fontstyle01"/>
          <w:rFonts w:ascii="Times New Roman" w:hAnsi="Times New Roman" w:cs="Times New Roman"/>
          <w:sz w:val="24"/>
          <w:szCs w:val="24"/>
        </w:rPr>
        <w:t>were</w:t>
      </w:r>
      <w:r w:rsidRPr="006B7EEF">
        <w:rPr>
          <w:rStyle w:val="fontstyle01"/>
          <w:rFonts w:ascii="Times New Roman" w:hAnsi="Times New Roman" w:cs="Times New Roman"/>
          <w:sz w:val="24"/>
          <w:szCs w:val="24"/>
        </w:rPr>
        <w:t xml:space="preserve"> observed over the subsequent </w:t>
      </w:r>
      <w:r>
        <w:rPr>
          <w:rStyle w:val="fontstyle01"/>
          <w:rFonts w:ascii="Times New Roman" w:hAnsi="Times New Roman" w:cs="Times New Roman"/>
          <w:sz w:val="24"/>
          <w:szCs w:val="24"/>
        </w:rPr>
        <w:t>6 months</w:t>
      </w:r>
      <w:r w:rsidRPr="006B7EEF">
        <w:rPr>
          <w:rStyle w:val="fontstyle01"/>
          <w:rFonts w:ascii="Times New Roman" w:hAnsi="Times New Roman" w:cs="Times New Roman"/>
          <w:sz w:val="24"/>
          <w:szCs w:val="24"/>
        </w:rPr>
        <w:t xml:space="preserve"> to a remarkable PCV of 42%, </w:t>
      </w:r>
      <w:r>
        <w:rPr>
          <w:rStyle w:val="fontstyle01"/>
          <w:rFonts w:ascii="Times New Roman" w:hAnsi="Times New Roman" w:cs="Times New Roman"/>
          <w:sz w:val="24"/>
          <w:szCs w:val="24"/>
        </w:rPr>
        <w:t xml:space="preserve">the </w:t>
      </w:r>
      <w:r w:rsidRPr="006B7EEF">
        <w:rPr>
          <w:rStyle w:val="fontstyle01"/>
          <w:rFonts w:ascii="Times New Roman" w:hAnsi="Times New Roman" w:cs="Times New Roman"/>
          <w:sz w:val="24"/>
          <w:szCs w:val="24"/>
        </w:rPr>
        <w:t>patient remains</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 xml:space="preserve">stable and was regular on the </w:t>
      </w:r>
      <w:r>
        <w:rPr>
          <w:rStyle w:val="fontstyle01"/>
          <w:rFonts w:ascii="Times New Roman" w:hAnsi="Times New Roman" w:cs="Times New Roman"/>
          <w:sz w:val="24"/>
          <w:szCs w:val="24"/>
        </w:rPr>
        <w:t>reconstituted</w:t>
      </w:r>
      <w:r w:rsidRPr="006B7EEF">
        <w:rPr>
          <w:rStyle w:val="fontstyle01"/>
          <w:rFonts w:ascii="Times New Roman" w:hAnsi="Times New Roman" w:cs="Times New Roman"/>
          <w:sz w:val="24"/>
          <w:szCs w:val="24"/>
        </w:rPr>
        <w:t xml:space="preserve"> HAART regimen. Detailed PCV pattern is </w:t>
      </w:r>
      <w:r>
        <w:rPr>
          <w:rStyle w:val="fontstyle01"/>
          <w:rFonts w:ascii="Times New Roman" w:hAnsi="Times New Roman" w:cs="Times New Roman"/>
          <w:sz w:val="24"/>
          <w:szCs w:val="24"/>
        </w:rPr>
        <w:t>shown</w:t>
      </w:r>
      <w:r w:rsidRPr="006B7EEF">
        <w:rPr>
          <w:rStyle w:val="fontstyle01"/>
          <w:rFonts w:ascii="Times New Roman" w:hAnsi="Times New Roman" w:cs="Times New Roman"/>
          <w:sz w:val="24"/>
          <w:szCs w:val="24"/>
        </w:rPr>
        <w:t xml:space="preserve"> on Table 1</w:t>
      </w:r>
      <w:r>
        <w:rPr>
          <w:rStyle w:val="fontstyle01"/>
          <w:rFonts w:ascii="Times New Roman" w:hAnsi="Times New Roman" w:cs="Times New Roman"/>
          <w:sz w:val="24"/>
          <w:szCs w:val="24"/>
        </w:rPr>
        <w:t xml:space="preserve"> </w:t>
      </w:r>
      <w:r w:rsidRPr="006B7EEF">
        <w:rPr>
          <w:rStyle w:val="fontstyle01"/>
          <w:rFonts w:ascii="Times New Roman" w:hAnsi="Times New Roman" w:cs="Times New Roman"/>
          <w:sz w:val="24"/>
          <w:szCs w:val="24"/>
        </w:rPr>
        <w:t>below.</w:t>
      </w:r>
      <w:r>
        <w:rPr>
          <w:rStyle w:val="fontstyle01"/>
          <w:rFonts w:ascii="Times New Roman" w:hAnsi="Times New Roman" w:cs="Times New Roman"/>
          <w:sz w:val="24"/>
          <w:szCs w:val="24"/>
        </w:rPr>
        <w:t xml:space="preserve"> </w:t>
      </w:r>
    </w:p>
    <w:p w14:paraId="416BF468" w14:textId="77777777" w:rsidR="00EE5943" w:rsidRPr="00EE5943" w:rsidRDefault="00EE5943" w:rsidP="00EE5943">
      <w:pPr>
        <w:jc w:val="both"/>
        <w:rPr>
          <w:rFonts w:ascii="Times New Roman" w:hAnsi="Times New Roman" w:cs="Times New Roman"/>
          <w:b/>
          <w:color w:val="000000"/>
          <w:sz w:val="24"/>
          <w:szCs w:val="24"/>
        </w:rPr>
      </w:pPr>
    </w:p>
    <w:p w14:paraId="3772FD6C"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1: Serial PCV while on HAART</w:t>
      </w:r>
    </w:p>
    <w:tbl>
      <w:tblPr>
        <w:tblStyle w:val="PlainTable3"/>
        <w:tblW w:w="9351" w:type="dxa"/>
        <w:tblLook w:val="04A0" w:firstRow="1" w:lastRow="0" w:firstColumn="1" w:lastColumn="0" w:noHBand="0" w:noVBand="1"/>
      </w:tblPr>
      <w:tblGrid>
        <w:gridCol w:w="1555"/>
        <w:gridCol w:w="1417"/>
        <w:gridCol w:w="2835"/>
        <w:gridCol w:w="3544"/>
      </w:tblGrid>
      <w:tr w:rsidR="00FF270F" w:rsidRPr="00FF270F" w14:paraId="496BF3FB" w14:textId="77777777" w:rsidTr="00941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hideMark/>
          </w:tcPr>
          <w:p w14:paraId="5170FCA3"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Day</w:t>
            </w:r>
          </w:p>
        </w:tc>
        <w:tc>
          <w:tcPr>
            <w:tcW w:w="1417" w:type="dxa"/>
            <w:hideMark/>
          </w:tcPr>
          <w:p w14:paraId="7698E256"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 xml:space="preserve">PCV </w:t>
            </w:r>
          </w:p>
        </w:tc>
        <w:tc>
          <w:tcPr>
            <w:tcW w:w="2835" w:type="dxa"/>
            <w:hideMark/>
          </w:tcPr>
          <w:p w14:paraId="622FF760" w14:textId="54EAB86B"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r w:rsidR="00941B1B">
              <w:rPr>
                <w:rFonts w:ascii="Times New Roman" w:hAnsi="Times New Roman" w:cs="Times New Roman"/>
                <w:sz w:val="24"/>
                <w:szCs w:val="24"/>
              </w:rPr>
              <w:t>/unit</w:t>
            </w:r>
          </w:p>
        </w:tc>
        <w:tc>
          <w:tcPr>
            <w:tcW w:w="3544" w:type="dxa"/>
            <w:hideMark/>
          </w:tcPr>
          <w:p w14:paraId="6531FAB6" w14:textId="055C99CB" w:rsidR="00FF270F" w:rsidRPr="00FF270F" w:rsidRDefault="00EE5943"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Post-transfusion</w:t>
            </w:r>
            <w:r w:rsidR="00FF270F" w:rsidRPr="00FF270F">
              <w:rPr>
                <w:rFonts w:ascii="Times New Roman" w:hAnsi="Times New Roman" w:cs="Times New Roman"/>
                <w:sz w:val="24"/>
                <w:szCs w:val="24"/>
              </w:rPr>
              <w:t xml:space="preserve"> PCV</w:t>
            </w:r>
          </w:p>
        </w:tc>
      </w:tr>
      <w:tr w:rsidR="00FF270F" w:rsidRPr="00FF270F" w14:paraId="6849EF4B"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D7BB22F"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1</w:t>
            </w:r>
          </w:p>
        </w:tc>
        <w:tc>
          <w:tcPr>
            <w:tcW w:w="1417" w:type="dxa"/>
            <w:hideMark/>
          </w:tcPr>
          <w:p w14:paraId="1D6F924A"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8%</w:t>
            </w:r>
          </w:p>
        </w:tc>
        <w:tc>
          <w:tcPr>
            <w:tcW w:w="2835" w:type="dxa"/>
            <w:hideMark/>
          </w:tcPr>
          <w:p w14:paraId="5C4BD2DC" w14:textId="7EA1EF46"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63E521AE"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12%</w:t>
            </w:r>
          </w:p>
        </w:tc>
      </w:tr>
      <w:tr w:rsidR="00FF270F" w:rsidRPr="00FF270F" w14:paraId="4DBDE461" w14:textId="77777777" w:rsidTr="00941B1B">
        <w:tc>
          <w:tcPr>
            <w:cnfStyle w:val="001000000000" w:firstRow="0" w:lastRow="0" w:firstColumn="1" w:lastColumn="0" w:oddVBand="0" w:evenVBand="0" w:oddHBand="0" w:evenHBand="0" w:firstRowFirstColumn="0" w:firstRowLastColumn="0" w:lastRowFirstColumn="0" w:lastRowLastColumn="0"/>
            <w:tcW w:w="1555" w:type="dxa"/>
            <w:hideMark/>
          </w:tcPr>
          <w:p w14:paraId="776DFD5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3</w:t>
            </w:r>
          </w:p>
        </w:tc>
        <w:tc>
          <w:tcPr>
            <w:tcW w:w="1417" w:type="dxa"/>
            <w:hideMark/>
          </w:tcPr>
          <w:p w14:paraId="519CDE6D"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12%</w:t>
            </w:r>
          </w:p>
        </w:tc>
        <w:tc>
          <w:tcPr>
            <w:tcW w:w="2835" w:type="dxa"/>
            <w:hideMark/>
          </w:tcPr>
          <w:p w14:paraId="0A0DE420" w14:textId="3AA24ADF"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51F56203"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17%</w:t>
            </w:r>
          </w:p>
        </w:tc>
      </w:tr>
      <w:tr w:rsidR="00FF270F" w:rsidRPr="00FF270F" w14:paraId="11F0A486"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08EF4E89"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5</w:t>
            </w:r>
          </w:p>
        </w:tc>
        <w:tc>
          <w:tcPr>
            <w:tcW w:w="1417" w:type="dxa"/>
            <w:hideMark/>
          </w:tcPr>
          <w:p w14:paraId="5FA48375"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17%</w:t>
            </w:r>
          </w:p>
        </w:tc>
        <w:tc>
          <w:tcPr>
            <w:tcW w:w="2835" w:type="dxa"/>
            <w:hideMark/>
          </w:tcPr>
          <w:p w14:paraId="4554075B" w14:textId="6F8D1D83"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/2</w:t>
            </w:r>
          </w:p>
        </w:tc>
        <w:tc>
          <w:tcPr>
            <w:tcW w:w="3544" w:type="dxa"/>
            <w:hideMark/>
          </w:tcPr>
          <w:p w14:paraId="43AAFE75"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27%</w:t>
            </w:r>
          </w:p>
        </w:tc>
      </w:tr>
      <w:tr w:rsidR="00FF270F" w:rsidRPr="00FF270F" w14:paraId="0C3BFA32" w14:textId="77777777" w:rsidTr="00941B1B">
        <w:tc>
          <w:tcPr>
            <w:cnfStyle w:val="001000000000" w:firstRow="0" w:lastRow="0" w:firstColumn="1" w:lastColumn="0" w:oddVBand="0" w:evenVBand="0" w:oddHBand="0" w:evenHBand="0" w:firstRowFirstColumn="0" w:firstRowLastColumn="0" w:lastRowFirstColumn="0" w:lastRowLastColumn="0"/>
            <w:tcW w:w="1555" w:type="dxa"/>
            <w:hideMark/>
          </w:tcPr>
          <w:p w14:paraId="57E4703C"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10</w:t>
            </w:r>
          </w:p>
        </w:tc>
        <w:tc>
          <w:tcPr>
            <w:tcW w:w="1417" w:type="dxa"/>
            <w:hideMark/>
          </w:tcPr>
          <w:p w14:paraId="71B2998B"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24%</w:t>
            </w:r>
          </w:p>
        </w:tc>
        <w:tc>
          <w:tcPr>
            <w:tcW w:w="2835" w:type="dxa"/>
            <w:hideMark/>
          </w:tcPr>
          <w:p w14:paraId="6BB94AFA"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c>
          <w:tcPr>
            <w:tcW w:w="3544" w:type="dxa"/>
            <w:hideMark/>
          </w:tcPr>
          <w:p w14:paraId="3E7E3ECC"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w:t>
            </w:r>
          </w:p>
        </w:tc>
      </w:tr>
      <w:tr w:rsidR="00FF270F" w:rsidRPr="00FF270F" w14:paraId="66EA9091"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73F9FAB8"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25</w:t>
            </w:r>
          </w:p>
        </w:tc>
        <w:tc>
          <w:tcPr>
            <w:tcW w:w="1417" w:type="dxa"/>
            <w:hideMark/>
          </w:tcPr>
          <w:p w14:paraId="58146BA3"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16%</w:t>
            </w:r>
          </w:p>
        </w:tc>
        <w:tc>
          <w:tcPr>
            <w:tcW w:w="2835" w:type="dxa"/>
            <w:hideMark/>
          </w:tcPr>
          <w:p w14:paraId="227243BA" w14:textId="327A1E04"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 xml:space="preserve"> /2</w:t>
            </w:r>
          </w:p>
        </w:tc>
        <w:tc>
          <w:tcPr>
            <w:tcW w:w="3544" w:type="dxa"/>
            <w:hideMark/>
          </w:tcPr>
          <w:p w14:paraId="149D058C"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24%</w:t>
            </w:r>
          </w:p>
        </w:tc>
      </w:tr>
    </w:tbl>
    <w:p w14:paraId="4FB8FA2B" w14:textId="77777777" w:rsidR="00FF270F" w:rsidRDefault="00FF270F" w:rsidP="00FD464B">
      <w:pPr>
        <w:spacing w:line="276" w:lineRule="auto"/>
        <w:jc w:val="both"/>
        <w:rPr>
          <w:rFonts w:ascii="Times New Roman" w:hAnsi="Times New Roman" w:cs="Times New Roman"/>
          <w:b/>
          <w:sz w:val="24"/>
          <w:szCs w:val="24"/>
        </w:rPr>
      </w:pPr>
    </w:p>
    <w:p w14:paraId="77B5E433" w14:textId="77777777" w:rsidR="00941B1B" w:rsidRDefault="00941B1B" w:rsidP="00FD464B">
      <w:pPr>
        <w:spacing w:line="276" w:lineRule="auto"/>
        <w:jc w:val="both"/>
        <w:rPr>
          <w:rFonts w:ascii="Times New Roman" w:hAnsi="Times New Roman" w:cs="Times New Roman"/>
          <w:b/>
          <w:sz w:val="24"/>
          <w:szCs w:val="24"/>
        </w:rPr>
      </w:pPr>
    </w:p>
    <w:p w14:paraId="6397C187" w14:textId="77777777" w:rsidR="00941B1B" w:rsidRPr="00FF270F" w:rsidRDefault="00941B1B" w:rsidP="00FD464B">
      <w:pPr>
        <w:spacing w:line="276" w:lineRule="auto"/>
        <w:jc w:val="both"/>
        <w:rPr>
          <w:rFonts w:ascii="Times New Roman" w:hAnsi="Times New Roman" w:cs="Times New Roman"/>
          <w:b/>
          <w:sz w:val="24"/>
          <w:szCs w:val="24"/>
        </w:rPr>
      </w:pPr>
    </w:p>
    <w:p w14:paraId="06622841"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2: Serial PCV after discontinuation of HAART</w:t>
      </w:r>
    </w:p>
    <w:tbl>
      <w:tblPr>
        <w:tblStyle w:val="PlainTable3"/>
        <w:tblW w:w="9351" w:type="dxa"/>
        <w:tblLook w:val="04A0" w:firstRow="1" w:lastRow="0" w:firstColumn="1" w:lastColumn="0" w:noHBand="0" w:noVBand="1"/>
      </w:tblPr>
      <w:tblGrid>
        <w:gridCol w:w="1658"/>
        <w:gridCol w:w="1422"/>
        <w:gridCol w:w="2775"/>
        <w:gridCol w:w="3496"/>
      </w:tblGrid>
      <w:tr w:rsidR="00FF270F" w:rsidRPr="00FF270F" w14:paraId="77D3EFA9" w14:textId="77777777" w:rsidTr="00941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2" w:type="dxa"/>
            <w:hideMark/>
          </w:tcPr>
          <w:p w14:paraId="7EAEF6EA" w14:textId="47163CA5" w:rsidR="00941B1B" w:rsidRPr="00FF270F" w:rsidRDefault="00FF270F" w:rsidP="00FD464B">
            <w:pPr>
              <w:spacing w:line="276" w:lineRule="auto"/>
              <w:jc w:val="both"/>
              <w:rPr>
                <w:rFonts w:ascii="Times New Roman" w:hAnsi="Times New Roman" w:cs="Times New Roman"/>
                <w:b w:val="0"/>
                <w:bCs w:val="0"/>
                <w:caps w:val="0"/>
                <w:sz w:val="24"/>
                <w:szCs w:val="24"/>
              </w:rPr>
            </w:pPr>
            <w:r w:rsidRPr="00FF270F">
              <w:rPr>
                <w:rFonts w:ascii="Times New Roman" w:hAnsi="Times New Roman" w:cs="Times New Roman"/>
                <w:sz w:val="24"/>
                <w:szCs w:val="24"/>
              </w:rPr>
              <w:t>D</w:t>
            </w:r>
            <w:r w:rsidR="00941B1B">
              <w:rPr>
                <w:rFonts w:ascii="Times New Roman" w:hAnsi="Times New Roman" w:cs="Times New Roman"/>
                <w:sz w:val="24"/>
                <w:szCs w:val="24"/>
              </w:rPr>
              <w:t>urations</w:t>
            </w:r>
          </w:p>
        </w:tc>
        <w:tc>
          <w:tcPr>
            <w:tcW w:w="1444" w:type="dxa"/>
            <w:hideMark/>
          </w:tcPr>
          <w:p w14:paraId="19435CC8"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 xml:space="preserve">PCV </w:t>
            </w:r>
          </w:p>
        </w:tc>
        <w:tc>
          <w:tcPr>
            <w:tcW w:w="2801" w:type="dxa"/>
            <w:hideMark/>
          </w:tcPr>
          <w:p w14:paraId="484B1C2E"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p>
        </w:tc>
        <w:tc>
          <w:tcPr>
            <w:tcW w:w="3544" w:type="dxa"/>
            <w:hideMark/>
          </w:tcPr>
          <w:p w14:paraId="0484DB0B"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Post -transfusion PCV</w:t>
            </w:r>
          </w:p>
        </w:tc>
      </w:tr>
      <w:tr w:rsidR="00FF270F" w:rsidRPr="00FF270F" w14:paraId="5372C072"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hideMark/>
          </w:tcPr>
          <w:p w14:paraId="189E2F3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2 weeks </w:t>
            </w:r>
          </w:p>
        </w:tc>
        <w:tc>
          <w:tcPr>
            <w:tcW w:w="1444" w:type="dxa"/>
            <w:hideMark/>
          </w:tcPr>
          <w:p w14:paraId="07861E89"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23%</w:t>
            </w:r>
          </w:p>
        </w:tc>
        <w:tc>
          <w:tcPr>
            <w:tcW w:w="2801" w:type="dxa"/>
            <w:hideMark/>
          </w:tcPr>
          <w:p w14:paraId="3F4E212C"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c>
          <w:tcPr>
            <w:tcW w:w="3544" w:type="dxa"/>
            <w:hideMark/>
          </w:tcPr>
          <w:p w14:paraId="335B5FB0"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w:t>
            </w:r>
          </w:p>
        </w:tc>
      </w:tr>
      <w:tr w:rsidR="00FF270F" w:rsidRPr="00FF270F" w14:paraId="6F987F6E" w14:textId="77777777" w:rsidTr="00941B1B">
        <w:tc>
          <w:tcPr>
            <w:cnfStyle w:val="001000000000" w:firstRow="0" w:lastRow="0" w:firstColumn="1" w:lastColumn="0" w:oddVBand="0" w:evenVBand="0" w:oddHBand="0" w:evenHBand="0" w:firstRowFirstColumn="0" w:firstRowLastColumn="0" w:lastRowFirstColumn="0" w:lastRowLastColumn="0"/>
            <w:tcW w:w="1562" w:type="dxa"/>
            <w:hideMark/>
          </w:tcPr>
          <w:p w14:paraId="744DC9A0"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4 weeks </w:t>
            </w:r>
          </w:p>
        </w:tc>
        <w:tc>
          <w:tcPr>
            <w:tcW w:w="1444" w:type="dxa"/>
            <w:hideMark/>
          </w:tcPr>
          <w:p w14:paraId="673CF4C3"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16%</w:t>
            </w:r>
          </w:p>
        </w:tc>
        <w:tc>
          <w:tcPr>
            <w:tcW w:w="2801" w:type="dxa"/>
            <w:hideMark/>
          </w:tcPr>
          <w:p w14:paraId="2886BD93" w14:textId="1754239B"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/2</w:t>
            </w:r>
          </w:p>
        </w:tc>
        <w:tc>
          <w:tcPr>
            <w:tcW w:w="3544" w:type="dxa"/>
            <w:hideMark/>
          </w:tcPr>
          <w:p w14:paraId="542376FC"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23%</w:t>
            </w:r>
          </w:p>
        </w:tc>
      </w:tr>
      <w:tr w:rsidR="00FF270F" w:rsidRPr="00FF270F" w14:paraId="6DFF009A" w14:textId="77777777" w:rsidTr="0094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dxa"/>
            <w:hideMark/>
          </w:tcPr>
          <w:p w14:paraId="485D8FA7"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5 weeks </w:t>
            </w:r>
          </w:p>
        </w:tc>
        <w:tc>
          <w:tcPr>
            <w:tcW w:w="1444" w:type="dxa"/>
            <w:hideMark/>
          </w:tcPr>
          <w:p w14:paraId="485CDAB3"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11%</w:t>
            </w:r>
          </w:p>
        </w:tc>
        <w:tc>
          <w:tcPr>
            <w:tcW w:w="2801" w:type="dxa"/>
            <w:hideMark/>
          </w:tcPr>
          <w:p w14:paraId="2D3EE77C" w14:textId="5A0FD063"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Yes</w:t>
            </w:r>
            <w:r w:rsidR="00941B1B">
              <w:rPr>
                <w:rFonts w:ascii="Times New Roman" w:hAnsi="Times New Roman" w:cs="Times New Roman"/>
                <w:sz w:val="24"/>
                <w:szCs w:val="24"/>
              </w:rPr>
              <w:t>/1</w:t>
            </w:r>
          </w:p>
        </w:tc>
        <w:tc>
          <w:tcPr>
            <w:tcW w:w="3544" w:type="dxa"/>
            <w:hideMark/>
          </w:tcPr>
          <w:p w14:paraId="61434D72"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20%</w:t>
            </w:r>
          </w:p>
        </w:tc>
      </w:tr>
    </w:tbl>
    <w:p w14:paraId="6AC70D40" w14:textId="77777777" w:rsidR="00FF270F" w:rsidRPr="00FF270F" w:rsidRDefault="00FF270F" w:rsidP="00FD464B">
      <w:pPr>
        <w:spacing w:line="276" w:lineRule="auto"/>
        <w:jc w:val="both"/>
        <w:rPr>
          <w:rFonts w:ascii="Times New Roman" w:hAnsi="Times New Roman" w:cs="Times New Roman"/>
          <w:b/>
          <w:sz w:val="24"/>
          <w:szCs w:val="24"/>
        </w:rPr>
      </w:pPr>
    </w:p>
    <w:p w14:paraId="71545372" w14:textId="77777777" w:rsidR="00FF270F" w:rsidRPr="00FF270F" w:rsidRDefault="00FF270F" w:rsidP="00FD464B">
      <w:pPr>
        <w:spacing w:line="276" w:lineRule="auto"/>
        <w:jc w:val="both"/>
        <w:rPr>
          <w:rFonts w:ascii="Times New Roman" w:hAnsi="Times New Roman" w:cs="Times New Roman"/>
          <w:b/>
          <w:sz w:val="24"/>
          <w:szCs w:val="24"/>
        </w:rPr>
      </w:pPr>
    </w:p>
    <w:p w14:paraId="4B123EB7" w14:textId="77777777" w:rsidR="00FF270F" w:rsidRPr="00FF270F" w:rsidRDefault="00FF270F" w:rsidP="00FD464B">
      <w:pPr>
        <w:spacing w:line="276" w:lineRule="auto"/>
        <w:jc w:val="both"/>
        <w:rPr>
          <w:rFonts w:ascii="Times New Roman" w:hAnsi="Times New Roman" w:cs="Times New Roman"/>
          <w:b/>
          <w:sz w:val="24"/>
          <w:szCs w:val="24"/>
        </w:rPr>
      </w:pPr>
      <w:r w:rsidRPr="00FF270F">
        <w:rPr>
          <w:rFonts w:ascii="Times New Roman" w:hAnsi="Times New Roman" w:cs="Times New Roman"/>
          <w:b/>
          <w:sz w:val="24"/>
          <w:szCs w:val="24"/>
        </w:rPr>
        <w:t>Table 3: Serial PCV after reconstitution of new HAART regimen</w:t>
      </w:r>
    </w:p>
    <w:tbl>
      <w:tblPr>
        <w:tblStyle w:val="PlainTable3"/>
        <w:tblW w:w="8247" w:type="dxa"/>
        <w:tblLook w:val="04A0" w:firstRow="1" w:lastRow="0" w:firstColumn="1" w:lastColumn="0" w:noHBand="0" w:noVBand="1"/>
      </w:tblPr>
      <w:tblGrid>
        <w:gridCol w:w="2353"/>
        <w:gridCol w:w="1957"/>
        <w:gridCol w:w="3937"/>
      </w:tblGrid>
      <w:tr w:rsidR="00FF270F" w:rsidRPr="00FF270F" w14:paraId="303F3C3A" w14:textId="77777777" w:rsidTr="00941B1B">
        <w:trPr>
          <w:cnfStyle w:val="100000000000" w:firstRow="1" w:lastRow="0" w:firstColumn="0" w:lastColumn="0" w:oddVBand="0" w:evenVBand="0" w:oddHBand="0" w:evenHBand="0" w:firstRowFirstColumn="0" w:firstRowLastColumn="0" w:lastRowFirstColumn="0" w:lastRowLastColumn="0"/>
          <w:trHeight w:val="554"/>
        </w:trPr>
        <w:tc>
          <w:tcPr>
            <w:cnfStyle w:val="001000000100" w:firstRow="0" w:lastRow="0" w:firstColumn="1" w:lastColumn="0" w:oddVBand="0" w:evenVBand="0" w:oddHBand="0" w:evenHBand="0" w:firstRowFirstColumn="1" w:firstRowLastColumn="0" w:lastRowFirstColumn="0" w:lastRowLastColumn="0"/>
            <w:tcW w:w="2353" w:type="dxa"/>
            <w:hideMark/>
          </w:tcPr>
          <w:p w14:paraId="15FCC787" w14:textId="04BF7A9B"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lastRenderedPageBreak/>
              <w:t>D</w:t>
            </w:r>
            <w:r w:rsidR="00941B1B">
              <w:rPr>
                <w:rFonts w:ascii="Times New Roman" w:hAnsi="Times New Roman" w:cs="Times New Roman"/>
                <w:sz w:val="24"/>
                <w:szCs w:val="24"/>
              </w:rPr>
              <w:t>urations</w:t>
            </w:r>
          </w:p>
        </w:tc>
        <w:tc>
          <w:tcPr>
            <w:tcW w:w="1957" w:type="dxa"/>
            <w:hideMark/>
          </w:tcPr>
          <w:p w14:paraId="1D7F3FBD"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PCV</w:t>
            </w:r>
          </w:p>
        </w:tc>
        <w:tc>
          <w:tcPr>
            <w:tcW w:w="3937" w:type="dxa"/>
            <w:hideMark/>
          </w:tcPr>
          <w:p w14:paraId="35BD0A41" w14:textId="77777777" w:rsidR="00FF270F" w:rsidRPr="00FF270F" w:rsidRDefault="00FF270F" w:rsidP="00FD464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Transfusion</w:t>
            </w:r>
          </w:p>
        </w:tc>
      </w:tr>
      <w:tr w:rsidR="00FF270F" w:rsidRPr="00FF270F" w14:paraId="31CF0321" w14:textId="77777777" w:rsidTr="00941B1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353" w:type="dxa"/>
            <w:hideMark/>
          </w:tcPr>
          <w:p w14:paraId="04F64408"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2 weeks </w:t>
            </w:r>
          </w:p>
        </w:tc>
        <w:tc>
          <w:tcPr>
            <w:tcW w:w="1957" w:type="dxa"/>
            <w:hideMark/>
          </w:tcPr>
          <w:p w14:paraId="769C9AE7"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28%</w:t>
            </w:r>
          </w:p>
        </w:tc>
        <w:tc>
          <w:tcPr>
            <w:tcW w:w="3937" w:type="dxa"/>
            <w:hideMark/>
          </w:tcPr>
          <w:p w14:paraId="70EF925E"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32F62478" w14:textId="77777777" w:rsidTr="00941B1B">
        <w:trPr>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6DB7E0E0"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4 weeks </w:t>
            </w:r>
          </w:p>
        </w:tc>
        <w:tc>
          <w:tcPr>
            <w:tcW w:w="1957" w:type="dxa"/>
            <w:hideMark/>
          </w:tcPr>
          <w:p w14:paraId="423AF40D"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40%</w:t>
            </w:r>
          </w:p>
        </w:tc>
        <w:tc>
          <w:tcPr>
            <w:tcW w:w="3937" w:type="dxa"/>
            <w:hideMark/>
          </w:tcPr>
          <w:p w14:paraId="6AB1682B"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576DA4CB" w14:textId="77777777" w:rsidTr="00941B1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27E1EA2F"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3 months </w:t>
            </w:r>
          </w:p>
        </w:tc>
        <w:tc>
          <w:tcPr>
            <w:tcW w:w="1957" w:type="dxa"/>
            <w:hideMark/>
          </w:tcPr>
          <w:p w14:paraId="20E1D7B4"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43%</w:t>
            </w:r>
          </w:p>
        </w:tc>
        <w:tc>
          <w:tcPr>
            <w:tcW w:w="3937" w:type="dxa"/>
            <w:hideMark/>
          </w:tcPr>
          <w:p w14:paraId="131CEAF0" w14:textId="77777777" w:rsidR="00FF270F" w:rsidRPr="00FF270F" w:rsidRDefault="00FF270F" w:rsidP="00FD464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r w:rsidR="00FF270F" w:rsidRPr="00FF270F" w14:paraId="439E55BE" w14:textId="77777777" w:rsidTr="00941B1B">
        <w:trPr>
          <w:trHeight w:val="554"/>
        </w:trPr>
        <w:tc>
          <w:tcPr>
            <w:cnfStyle w:val="001000000000" w:firstRow="0" w:lastRow="0" w:firstColumn="1" w:lastColumn="0" w:oddVBand="0" w:evenVBand="0" w:oddHBand="0" w:evenHBand="0" w:firstRowFirstColumn="0" w:firstRowLastColumn="0" w:lastRowFirstColumn="0" w:lastRowLastColumn="0"/>
            <w:tcW w:w="2353" w:type="dxa"/>
            <w:hideMark/>
          </w:tcPr>
          <w:p w14:paraId="2457F503" w14:textId="77777777" w:rsidR="00FF270F" w:rsidRPr="00FF270F" w:rsidRDefault="00FF270F" w:rsidP="00FD464B">
            <w:pPr>
              <w:spacing w:line="276" w:lineRule="auto"/>
              <w:jc w:val="both"/>
              <w:rPr>
                <w:rFonts w:ascii="Times New Roman" w:hAnsi="Times New Roman" w:cs="Times New Roman"/>
                <w:sz w:val="24"/>
                <w:szCs w:val="24"/>
              </w:rPr>
            </w:pPr>
            <w:r w:rsidRPr="00FF270F">
              <w:rPr>
                <w:rFonts w:ascii="Times New Roman" w:hAnsi="Times New Roman" w:cs="Times New Roman"/>
                <w:sz w:val="24"/>
                <w:szCs w:val="24"/>
              </w:rPr>
              <w:t xml:space="preserve">6 months </w:t>
            </w:r>
          </w:p>
        </w:tc>
        <w:tc>
          <w:tcPr>
            <w:tcW w:w="1957" w:type="dxa"/>
            <w:hideMark/>
          </w:tcPr>
          <w:p w14:paraId="5D5F31D4"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42%</w:t>
            </w:r>
          </w:p>
        </w:tc>
        <w:tc>
          <w:tcPr>
            <w:tcW w:w="3937" w:type="dxa"/>
            <w:hideMark/>
          </w:tcPr>
          <w:p w14:paraId="280785A2" w14:textId="77777777" w:rsidR="00FF270F" w:rsidRPr="00FF270F" w:rsidRDefault="00FF270F" w:rsidP="00FD464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270F">
              <w:rPr>
                <w:rFonts w:ascii="Times New Roman" w:hAnsi="Times New Roman" w:cs="Times New Roman"/>
                <w:sz w:val="24"/>
                <w:szCs w:val="24"/>
              </w:rPr>
              <w:t>No</w:t>
            </w:r>
          </w:p>
        </w:tc>
      </w:tr>
    </w:tbl>
    <w:p w14:paraId="0CFF3A6C" w14:textId="77777777" w:rsidR="00FF270F" w:rsidRDefault="00FF270F" w:rsidP="00FD464B">
      <w:pPr>
        <w:spacing w:line="276" w:lineRule="auto"/>
        <w:jc w:val="both"/>
        <w:rPr>
          <w:rFonts w:ascii="Times New Roman" w:hAnsi="Times New Roman" w:cs="Times New Roman"/>
          <w:sz w:val="24"/>
          <w:szCs w:val="24"/>
        </w:rPr>
      </w:pPr>
    </w:p>
    <w:p w14:paraId="2FE34BDD" w14:textId="60FD6F87" w:rsidR="00ED08F0" w:rsidRPr="00F6318D" w:rsidRDefault="00EE5943" w:rsidP="00EE5943">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While on Dolutegravir, Tenofovir and Lamivudine combination, she has received nine (9) units of whole blood transfusion on account of persistent </w:t>
      </w:r>
      <w:r>
        <w:rPr>
          <w:rFonts w:ascii="Times New Roman" w:hAnsi="Times New Roman" w:cs="Times New Roman"/>
          <w:sz w:val="24"/>
          <w:szCs w:val="24"/>
        </w:rPr>
        <w:t>anemia</w:t>
      </w:r>
      <w:r w:rsidRPr="00EE5943">
        <w:rPr>
          <w:rFonts w:ascii="Times New Roman" w:hAnsi="Times New Roman" w:cs="Times New Roman"/>
          <w:sz w:val="24"/>
          <w:szCs w:val="24"/>
        </w:rPr>
        <w:t xml:space="preserve">.  Consequently, a new HAART regimen of Abacavir, Lamivudine and </w:t>
      </w:r>
      <w:proofErr w:type="spellStart"/>
      <w:r w:rsidRPr="00EE5943">
        <w:rPr>
          <w:rFonts w:ascii="Times New Roman" w:hAnsi="Times New Roman" w:cs="Times New Roman"/>
          <w:sz w:val="24"/>
          <w:szCs w:val="24"/>
        </w:rPr>
        <w:t>Dolutelgravir</w:t>
      </w:r>
      <w:proofErr w:type="spellEnd"/>
      <w:r w:rsidRPr="00EE5943">
        <w:rPr>
          <w:rFonts w:ascii="Times New Roman" w:hAnsi="Times New Roman" w:cs="Times New Roman"/>
          <w:sz w:val="24"/>
          <w:szCs w:val="24"/>
        </w:rPr>
        <w:t xml:space="preserve"> was instituted to replace the earlier regimen. (Abacavir substituted for Tenofovir) There was a spontaneous gradual increase in the level of the </w:t>
      </w:r>
      <w:r>
        <w:rPr>
          <w:rFonts w:ascii="Times New Roman" w:hAnsi="Times New Roman" w:cs="Times New Roman"/>
          <w:sz w:val="24"/>
          <w:szCs w:val="24"/>
        </w:rPr>
        <w:t>hematocrit</w:t>
      </w:r>
      <w:r w:rsidRPr="00EE5943">
        <w:rPr>
          <w:rFonts w:ascii="Times New Roman" w:hAnsi="Times New Roman" w:cs="Times New Roman"/>
          <w:sz w:val="24"/>
          <w:szCs w:val="24"/>
        </w:rPr>
        <w:t xml:space="preserve"> and an optimal level of 40% was attained within 4 weeks of the commencement of the new regimen. The patient was monitored subsequently over six months with a sustained normal </w:t>
      </w:r>
      <w:r>
        <w:rPr>
          <w:rFonts w:ascii="Times New Roman" w:hAnsi="Times New Roman" w:cs="Times New Roman"/>
          <w:sz w:val="24"/>
          <w:szCs w:val="24"/>
        </w:rPr>
        <w:t>hematocrit</w:t>
      </w:r>
      <w:r w:rsidRPr="00EE5943">
        <w:rPr>
          <w:rFonts w:ascii="Times New Roman" w:hAnsi="Times New Roman" w:cs="Times New Roman"/>
          <w:sz w:val="24"/>
          <w:szCs w:val="24"/>
        </w:rPr>
        <w:t xml:space="preserve"> level ranging between 40 and 43% and there was a complete resolution of</w:t>
      </w:r>
      <w:r>
        <w:rPr>
          <w:rFonts w:ascii="Times New Roman" w:hAnsi="Times New Roman" w:cs="Times New Roman"/>
          <w:sz w:val="24"/>
          <w:szCs w:val="24"/>
        </w:rPr>
        <w:t xml:space="preserve"> </w:t>
      </w:r>
      <w:r w:rsidRPr="00EE5943">
        <w:rPr>
          <w:rFonts w:ascii="Times New Roman" w:hAnsi="Times New Roman" w:cs="Times New Roman"/>
          <w:sz w:val="24"/>
          <w:szCs w:val="24"/>
        </w:rPr>
        <w:t xml:space="preserve">initial symptoms of general body weakness, palpitations and easy fatigability. The patient was followed on </w:t>
      </w:r>
      <w:r>
        <w:rPr>
          <w:rFonts w:ascii="Times New Roman" w:hAnsi="Times New Roman" w:cs="Times New Roman"/>
          <w:sz w:val="24"/>
          <w:szCs w:val="24"/>
        </w:rPr>
        <w:t xml:space="preserve">the </w:t>
      </w:r>
      <w:r w:rsidRPr="00EE5943">
        <w:rPr>
          <w:rFonts w:ascii="Times New Roman" w:hAnsi="Times New Roman" w:cs="Times New Roman"/>
          <w:sz w:val="24"/>
          <w:szCs w:val="24"/>
        </w:rPr>
        <w:t>out-patient Haart clinic for 12 months with stable PCV values.</w:t>
      </w:r>
    </w:p>
    <w:p w14:paraId="0B7D16E8" w14:textId="0C853806" w:rsidR="00ED08F0" w:rsidRPr="00DC6DEC" w:rsidRDefault="00DC6DEC" w:rsidP="00FD464B">
      <w:pPr>
        <w:spacing w:after="0" w:line="276" w:lineRule="auto"/>
        <w:rPr>
          <w:rFonts w:ascii="Times New Roman" w:hAnsi="Times New Roman" w:cs="Times New Roman"/>
          <w:b/>
          <w:bCs/>
          <w:sz w:val="24"/>
          <w:szCs w:val="24"/>
        </w:rPr>
      </w:pPr>
      <w:r>
        <w:rPr>
          <w:rFonts w:ascii="Times New Roman" w:hAnsi="Times New Roman" w:cs="Times New Roman"/>
          <w:sz w:val="24"/>
          <w:szCs w:val="24"/>
        </w:rPr>
        <w:br w:type="page"/>
      </w:r>
      <w:r w:rsidRPr="00DC6DEC">
        <w:rPr>
          <w:rFonts w:ascii="Times New Roman" w:hAnsi="Times New Roman" w:cs="Times New Roman"/>
          <w:b/>
          <w:bCs/>
          <w:sz w:val="24"/>
          <w:szCs w:val="24"/>
        </w:rPr>
        <w:lastRenderedPageBreak/>
        <w:t>Discussion</w:t>
      </w:r>
    </w:p>
    <w:p w14:paraId="232ADFA7" w14:textId="3E1E04A2" w:rsidR="00ED08F0" w:rsidRPr="00F6318D" w:rsidRDefault="00EE5943" w:rsidP="00FD464B">
      <w:pPr>
        <w:spacing w:line="276" w:lineRule="auto"/>
        <w:jc w:val="both"/>
        <w:rPr>
          <w:rFonts w:ascii="Times New Roman" w:hAnsi="Times New Roman" w:cs="Times New Roman"/>
          <w:sz w:val="24"/>
          <w:szCs w:val="24"/>
        </w:rPr>
      </w:pPr>
      <w:r w:rsidRPr="00EE5943">
        <w:rPr>
          <w:rFonts w:ascii="Times New Roman" w:hAnsi="Times New Roman" w:cs="Times New Roman"/>
          <w:sz w:val="24"/>
          <w:szCs w:val="24"/>
        </w:rPr>
        <w:t xml:space="preserve">Pure Red Cell Aplasia is a rare syndrome characterized by normochromic, normocytic </w:t>
      </w:r>
      <w:r>
        <w:rPr>
          <w:rFonts w:ascii="Times New Roman" w:hAnsi="Times New Roman" w:cs="Times New Roman"/>
          <w:sz w:val="24"/>
          <w:szCs w:val="24"/>
        </w:rPr>
        <w:t>anemia</w:t>
      </w:r>
      <w:r w:rsidRPr="00EE5943">
        <w:rPr>
          <w:rFonts w:ascii="Times New Roman" w:hAnsi="Times New Roman" w:cs="Times New Roman"/>
          <w:sz w:val="24"/>
          <w:szCs w:val="24"/>
        </w:rPr>
        <w:t xml:space="preserve"> and severe </w:t>
      </w:r>
      <w:r>
        <w:rPr>
          <w:rFonts w:ascii="Times New Roman" w:hAnsi="Times New Roman" w:cs="Times New Roman"/>
          <w:sz w:val="24"/>
          <w:szCs w:val="24"/>
        </w:rPr>
        <w:t>reticulocytopenia</w:t>
      </w:r>
      <w:r w:rsidRPr="00EE5943">
        <w:rPr>
          <w:rFonts w:ascii="Times New Roman" w:hAnsi="Times New Roman" w:cs="Times New Roman"/>
          <w:sz w:val="24"/>
          <w:szCs w:val="24"/>
        </w:rPr>
        <w:t>, as well as marked reduction or absence of erythroid precursors from otherwise normal bone marrow</w:t>
      </w:r>
      <w:r w:rsidRPr="00F6318D">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zNhYzA1NDUtOGQ4Mi00ZmJhLTlkNzktNzQ4NDc3ZmQwNDBi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
          <w:id w:val="1551337992"/>
          <w:placeholder>
            <w:docPart w:val="DefaultPlaceholder_-1854013440"/>
          </w:placeholder>
        </w:sdtPr>
        <w:sdtEndPr/>
        <w:sdtContent>
          <w:r w:rsidR="00FA609A" w:rsidRPr="00FA609A">
            <w:rPr>
              <w:rFonts w:eastAsia="Times New Roman"/>
              <w:color w:val="000000"/>
              <w:sz w:val="24"/>
              <w:vertAlign w:val="superscript"/>
            </w:rPr>
            <w:t>8</w:t>
          </w:r>
        </w:sdtContent>
      </w:sdt>
      <w:r w:rsidRPr="00F6318D">
        <w:rPr>
          <w:rFonts w:ascii="Times New Roman" w:hAnsi="Times New Roman" w:cs="Times New Roman"/>
          <w:sz w:val="24"/>
          <w:szCs w:val="24"/>
        </w:rPr>
        <w:t xml:space="preserve"> </w:t>
      </w:r>
    </w:p>
    <w:p w14:paraId="70B91218" w14:textId="6AB53FCF" w:rsidR="00EE5943" w:rsidRPr="00FD636B" w:rsidRDefault="00EE5943" w:rsidP="00FD464B">
      <w:pPr>
        <w:spacing w:line="276" w:lineRule="auto"/>
        <w:jc w:val="both"/>
        <w:rPr>
          <w:rFonts w:ascii="Times New Roman" w:hAnsi="Times New Roman" w:cs="Times New Roman"/>
          <w:sz w:val="24"/>
          <w:szCs w:val="24"/>
          <w:highlight w:val="yellow"/>
        </w:rPr>
      </w:pPr>
      <w:r w:rsidRPr="00EE5943">
        <w:rPr>
          <w:rFonts w:ascii="Times New Roman" w:hAnsi="Times New Roman" w:cs="Times New Roman"/>
          <w:sz w:val="24"/>
          <w:szCs w:val="24"/>
        </w:rPr>
        <w:t xml:space="preserve">Treatment of patients with HIV/AIDS with Lamivudine monotherapy has not </w:t>
      </w:r>
      <w:r>
        <w:rPr>
          <w:rFonts w:ascii="Times New Roman" w:hAnsi="Times New Roman" w:cs="Times New Roman"/>
          <w:sz w:val="24"/>
          <w:szCs w:val="24"/>
        </w:rPr>
        <w:t>been</w:t>
      </w:r>
      <w:r w:rsidRPr="00EE5943">
        <w:rPr>
          <w:rFonts w:ascii="Times New Roman" w:hAnsi="Times New Roman" w:cs="Times New Roman"/>
          <w:sz w:val="24"/>
          <w:szCs w:val="24"/>
        </w:rPr>
        <w:t xml:space="preserve"> known to show </w:t>
      </w:r>
      <w:r>
        <w:rPr>
          <w:rFonts w:ascii="Times New Roman" w:hAnsi="Times New Roman" w:cs="Times New Roman"/>
          <w:sz w:val="24"/>
          <w:szCs w:val="24"/>
        </w:rPr>
        <w:t>anemia</w:t>
      </w:r>
      <w:r w:rsidRPr="00EE5943">
        <w:rPr>
          <w:rFonts w:ascii="Times New Roman" w:hAnsi="Times New Roman" w:cs="Times New Roman"/>
          <w:sz w:val="24"/>
          <w:szCs w:val="24"/>
        </w:rPr>
        <w:t xml:space="preserve"> to be a frequent side effect. However, a combination of Lamivudine and Zidovudine increases the likelihood of </w:t>
      </w:r>
      <w:r>
        <w:rPr>
          <w:rFonts w:ascii="Times New Roman" w:hAnsi="Times New Roman" w:cs="Times New Roman"/>
          <w:sz w:val="24"/>
          <w:szCs w:val="24"/>
        </w:rPr>
        <w:t xml:space="preserve">the </w:t>
      </w:r>
      <w:r w:rsidRPr="00EE5943">
        <w:rPr>
          <w:rFonts w:ascii="Times New Roman" w:hAnsi="Times New Roman" w:cs="Times New Roman"/>
          <w:sz w:val="24"/>
          <w:szCs w:val="24"/>
        </w:rPr>
        <w:t xml:space="preserve">development of </w:t>
      </w:r>
      <w:r>
        <w:rPr>
          <w:rFonts w:ascii="Times New Roman" w:hAnsi="Times New Roman" w:cs="Times New Roman"/>
          <w:sz w:val="24"/>
          <w:szCs w:val="24"/>
        </w:rPr>
        <w:t>Drug-induced</w:t>
      </w:r>
      <w:r w:rsidRPr="00EE5943">
        <w:rPr>
          <w:rFonts w:ascii="Times New Roman" w:hAnsi="Times New Roman" w:cs="Times New Roman"/>
          <w:sz w:val="24"/>
          <w:szCs w:val="24"/>
        </w:rPr>
        <w:t xml:space="preserve"> Pure Red Cell Aplasia. The patient in this index case report was on Lamivudine containing </w:t>
      </w:r>
      <w:r>
        <w:rPr>
          <w:rFonts w:ascii="Times New Roman" w:hAnsi="Times New Roman" w:cs="Times New Roman"/>
          <w:sz w:val="24"/>
          <w:szCs w:val="24"/>
        </w:rPr>
        <w:t xml:space="preserve">an </w:t>
      </w:r>
      <w:r w:rsidRPr="00EE5943">
        <w:rPr>
          <w:rFonts w:ascii="Times New Roman" w:hAnsi="Times New Roman" w:cs="Times New Roman"/>
          <w:sz w:val="24"/>
          <w:szCs w:val="24"/>
        </w:rPr>
        <w:t xml:space="preserve">anti-retroviral regimen, a drug that has been implicated in PRCA. It was a treatment modification replacing Tenofovir with Abacavir that resulted in the resolution of the </w:t>
      </w:r>
      <w:r>
        <w:rPr>
          <w:rFonts w:ascii="Times New Roman" w:hAnsi="Times New Roman" w:cs="Times New Roman"/>
          <w:sz w:val="24"/>
          <w:szCs w:val="24"/>
        </w:rPr>
        <w:t>anemia</w:t>
      </w:r>
      <w:r w:rsidRPr="00EE5943">
        <w:rPr>
          <w:rFonts w:ascii="Times New Roman" w:hAnsi="Times New Roman" w:cs="Times New Roman"/>
          <w:sz w:val="24"/>
          <w:szCs w:val="24"/>
        </w:rPr>
        <w:t xml:space="preserve"> over the following 4 weeks. Resolution of the refractory </w:t>
      </w:r>
      <w:r>
        <w:rPr>
          <w:rFonts w:ascii="Times New Roman" w:hAnsi="Times New Roman" w:cs="Times New Roman"/>
          <w:sz w:val="24"/>
          <w:szCs w:val="24"/>
        </w:rPr>
        <w:t>anemia</w:t>
      </w:r>
      <w:r w:rsidRPr="00EE5943">
        <w:rPr>
          <w:rFonts w:ascii="Times New Roman" w:hAnsi="Times New Roman" w:cs="Times New Roman"/>
          <w:sz w:val="24"/>
          <w:szCs w:val="24"/>
        </w:rPr>
        <w:t xml:space="preserve"> shortly after </w:t>
      </w:r>
      <w:r>
        <w:rPr>
          <w:rFonts w:ascii="Times New Roman" w:hAnsi="Times New Roman" w:cs="Times New Roman"/>
          <w:sz w:val="24"/>
          <w:szCs w:val="24"/>
        </w:rPr>
        <w:t xml:space="preserve">the </w:t>
      </w:r>
      <w:r w:rsidRPr="00EE5943">
        <w:rPr>
          <w:rFonts w:ascii="Times New Roman" w:hAnsi="Times New Roman" w:cs="Times New Roman"/>
          <w:sz w:val="24"/>
          <w:szCs w:val="24"/>
        </w:rPr>
        <w:t xml:space="preserve">withdrawal of Tenofovir while the patient was still on Lamivudine suggested that the </w:t>
      </w:r>
      <w:r>
        <w:rPr>
          <w:rFonts w:ascii="Times New Roman" w:hAnsi="Times New Roman" w:cs="Times New Roman"/>
          <w:sz w:val="24"/>
          <w:szCs w:val="24"/>
        </w:rPr>
        <w:t>anemia</w:t>
      </w:r>
      <w:r w:rsidRPr="00EE5943">
        <w:rPr>
          <w:rFonts w:ascii="Times New Roman" w:hAnsi="Times New Roman" w:cs="Times New Roman"/>
          <w:sz w:val="24"/>
          <w:szCs w:val="24"/>
        </w:rPr>
        <w:t xml:space="preserve"> was Tenofovir induced. Lamivudine in this case would have been a cause despite the </w:t>
      </w:r>
      <w:r w:rsidRPr="00FD636B">
        <w:rPr>
          <w:rFonts w:ascii="Times New Roman" w:hAnsi="Times New Roman" w:cs="Times New Roman"/>
          <w:sz w:val="24"/>
          <w:szCs w:val="24"/>
          <w:highlight w:val="yellow"/>
        </w:rPr>
        <w:t xml:space="preserve">withdrawal of Tenofovir, however, the patient showed a remarkable improvement with abacavir replacement. </w:t>
      </w:r>
    </w:p>
    <w:p w14:paraId="3ED2DD10" w14:textId="51146B66" w:rsidR="00ED08F0" w:rsidRPr="00F6318D" w:rsidRDefault="00EE5943" w:rsidP="00FD464B">
      <w:pPr>
        <w:spacing w:line="276" w:lineRule="auto"/>
        <w:jc w:val="both"/>
        <w:rPr>
          <w:rFonts w:ascii="Times New Roman" w:hAnsi="Times New Roman" w:cs="Times New Roman"/>
          <w:sz w:val="24"/>
          <w:szCs w:val="24"/>
        </w:rPr>
      </w:pPr>
      <w:r w:rsidRPr="00FD636B">
        <w:rPr>
          <w:rFonts w:ascii="Times New Roman" w:hAnsi="Times New Roman" w:cs="Times New Roman"/>
          <w:sz w:val="24"/>
          <w:szCs w:val="24"/>
          <w:highlight w:val="yellow"/>
        </w:rPr>
        <w:t>In comparison to our findings, several other antiretroviral regimens have been documented as drug-induced causes of PRCA. It has been reported that Lamivudine induced Pure Red Cell Aplasia in a study involving</w:t>
      </w:r>
      <w:r w:rsidRPr="00EE5943">
        <w:rPr>
          <w:rFonts w:ascii="Times New Roman" w:hAnsi="Times New Roman" w:cs="Times New Roman"/>
          <w:sz w:val="24"/>
          <w:szCs w:val="24"/>
        </w:rPr>
        <w:t xml:space="preserve"> five male patients on </w:t>
      </w:r>
      <w:r>
        <w:rPr>
          <w:rFonts w:ascii="Times New Roman" w:hAnsi="Times New Roman" w:cs="Times New Roman"/>
          <w:sz w:val="24"/>
          <w:szCs w:val="24"/>
        </w:rPr>
        <w:t>a lamivudine-containing</w:t>
      </w:r>
      <w:r w:rsidRPr="00EE5943">
        <w:rPr>
          <w:rFonts w:ascii="Times New Roman" w:hAnsi="Times New Roman" w:cs="Times New Roman"/>
          <w:sz w:val="24"/>
          <w:szCs w:val="24"/>
        </w:rPr>
        <w:t xml:space="preserve"> antiretroviral regimen who recovered five weeks after withdrawal of Lamivudine</w:t>
      </w:r>
      <w:r w:rsidR="00FB7F24" w:rsidRPr="00F6318D">
        <w:rPr>
          <w:rFonts w:ascii="Times New Roman" w:hAnsi="Times New Roman" w:cs="Times New Roman"/>
          <w:sz w:val="24"/>
          <w:szCs w:val="24"/>
        </w:rPr>
        <w:t>.</w:t>
      </w:r>
      <w:sdt>
        <w:sdtPr>
          <w:rPr>
            <w:rFonts w:ascii="Times New Roman" w:hAnsi="Times New Roman" w:cs="Times New Roman"/>
            <w:color w:val="000000"/>
            <w:sz w:val="24"/>
            <w:szCs w:val="24"/>
            <w:vertAlign w:val="superscript"/>
          </w:rPr>
          <w:tag w:val="MENDELEY_CITATION_v3_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"/>
          <w:id w:val="-1582057135"/>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10</w:t>
          </w:r>
        </w:sdtContent>
      </w:sdt>
      <w:r w:rsidR="00FB7F24" w:rsidRPr="00F6318D">
        <w:rPr>
          <w:rFonts w:ascii="Times New Roman" w:hAnsi="Times New Roman" w:cs="Times New Roman"/>
          <w:sz w:val="24"/>
          <w:szCs w:val="24"/>
        </w:rPr>
        <w:t xml:space="preserve"> Similarly, </w:t>
      </w:r>
      <w:proofErr w:type="spellStart"/>
      <w:r w:rsidR="00CE0C1A">
        <w:rPr>
          <w:rFonts w:ascii="Times New Roman" w:hAnsi="Times New Roman" w:cs="Times New Roman"/>
          <w:sz w:val="24"/>
          <w:szCs w:val="24"/>
        </w:rPr>
        <w:t>Kakubu</w:t>
      </w:r>
      <w:proofErr w:type="spellEnd"/>
      <w:r w:rsidR="00FB7F24" w:rsidRPr="00F6318D">
        <w:rPr>
          <w:rFonts w:ascii="Times New Roman" w:hAnsi="Times New Roman" w:cs="Times New Roman"/>
          <w:sz w:val="24"/>
          <w:szCs w:val="24"/>
        </w:rPr>
        <w:t xml:space="preserve"> et al</w:t>
      </w:r>
      <w:sdt>
        <w:sdtPr>
          <w:rPr>
            <w:rFonts w:ascii="Times New Roman" w:hAnsi="Times New Roman" w:cs="Times New Roman"/>
            <w:color w:val="000000"/>
            <w:sz w:val="24"/>
            <w:szCs w:val="24"/>
            <w:vertAlign w:val="superscript"/>
          </w:rPr>
          <w:tag w:val="MENDELEY_CITATION_v3_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"/>
          <w:id w:val="-130945376"/>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4</w:t>
          </w:r>
        </w:sdtContent>
      </w:sdt>
      <w:r w:rsidR="00FB7F24" w:rsidRPr="00F6318D">
        <w:rPr>
          <w:rFonts w:ascii="Times New Roman" w:hAnsi="Times New Roman" w:cs="Times New Roman"/>
          <w:sz w:val="24"/>
          <w:szCs w:val="24"/>
        </w:rPr>
        <w:t xml:space="preserve"> reported a case of </w:t>
      </w:r>
      <w:r w:rsidR="007732FC">
        <w:rPr>
          <w:rFonts w:ascii="Times New Roman" w:hAnsi="Times New Roman" w:cs="Times New Roman"/>
          <w:sz w:val="24"/>
          <w:szCs w:val="24"/>
        </w:rPr>
        <w:t>lamivudine-induced</w:t>
      </w:r>
      <w:r w:rsidR="00FB7F24" w:rsidRPr="00F6318D">
        <w:rPr>
          <w:rFonts w:ascii="Times New Roman" w:hAnsi="Times New Roman" w:cs="Times New Roman"/>
          <w:sz w:val="24"/>
          <w:szCs w:val="24"/>
        </w:rPr>
        <w:t xml:space="preserve"> pure red cell aplasia in </w:t>
      </w:r>
      <w:r w:rsidR="007732FC">
        <w:rPr>
          <w:rFonts w:ascii="Times New Roman" w:hAnsi="Times New Roman" w:cs="Times New Roman"/>
          <w:sz w:val="24"/>
          <w:szCs w:val="24"/>
        </w:rPr>
        <w:t xml:space="preserve">a </w:t>
      </w:r>
      <w:r w:rsidR="00A64319" w:rsidRPr="00F6318D">
        <w:rPr>
          <w:rFonts w:ascii="Times New Roman" w:hAnsi="Times New Roman" w:cs="Times New Roman"/>
          <w:sz w:val="24"/>
          <w:szCs w:val="24"/>
        </w:rPr>
        <w:t>44-year-old</w:t>
      </w:r>
      <w:r w:rsidR="00FB7F24" w:rsidRPr="00F6318D">
        <w:rPr>
          <w:rFonts w:ascii="Times New Roman" w:hAnsi="Times New Roman" w:cs="Times New Roman"/>
          <w:sz w:val="24"/>
          <w:szCs w:val="24"/>
        </w:rPr>
        <w:t xml:space="preserve"> female </w:t>
      </w:r>
      <w:r>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patient which resolved after withdrawal of lamivudine from the </w:t>
      </w:r>
      <w:r w:rsidR="00A64319" w:rsidRPr="00F6318D">
        <w:rPr>
          <w:rFonts w:ascii="Times New Roman" w:hAnsi="Times New Roman" w:cs="Times New Roman"/>
          <w:sz w:val="24"/>
          <w:szCs w:val="24"/>
        </w:rPr>
        <w:t>anti-retroviral</w:t>
      </w:r>
      <w:r w:rsidR="00FB7F24" w:rsidRPr="00F6318D">
        <w:rPr>
          <w:rFonts w:ascii="Times New Roman" w:hAnsi="Times New Roman" w:cs="Times New Roman"/>
          <w:sz w:val="24"/>
          <w:szCs w:val="24"/>
        </w:rPr>
        <w:t xml:space="preserve"> therapy. </w:t>
      </w:r>
      <w:proofErr w:type="spellStart"/>
      <w:r w:rsidR="00FB7F24" w:rsidRPr="00F6318D">
        <w:rPr>
          <w:rFonts w:ascii="Times New Roman" w:hAnsi="Times New Roman" w:cs="Times New Roman"/>
          <w:sz w:val="24"/>
          <w:szCs w:val="24"/>
        </w:rPr>
        <w:t>Nithendra</w:t>
      </w:r>
      <w:proofErr w:type="spellEnd"/>
      <w:r w:rsidR="00FB7F24" w:rsidRPr="00F6318D">
        <w:rPr>
          <w:rFonts w:ascii="Times New Roman" w:hAnsi="Times New Roman" w:cs="Times New Roman"/>
          <w:sz w:val="24"/>
          <w:szCs w:val="24"/>
        </w:rPr>
        <w:t xml:space="preserve"> et al</w:t>
      </w:r>
      <w:sdt>
        <w:sdtPr>
          <w:rPr>
            <w:rFonts w:ascii="Times New Roman" w:hAnsi="Times New Roman" w:cs="Times New Roman"/>
            <w:color w:val="000000"/>
            <w:sz w:val="24"/>
            <w:szCs w:val="24"/>
            <w:vertAlign w:val="superscript"/>
          </w:rPr>
          <w:tag w:val="MENDELEY_CITATION_v3_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"/>
          <w:id w:val="2059117303"/>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11</w:t>
          </w:r>
        </w:sdtContent>
      </w:sdt>
      <w:r w:rsidR="00FB7F24" w:rsidRPr="00F6318D">
        <w:rPr>
          <w:rFonts w:ascii="Times New Roman" w:hAnsi="Times New Roman" w:cs="Times New Roman"/>
          <w:sz w:val="24"/>
          <w:szCs w:val="24"/>
        </w:rPr>
        <w:t xml:space="preserve"> reported Emtricitabine-induced pure red cell aplasia in </w:t>
      </w:r>
      <w:r>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w:t>
      </w:r>
      <w:r w:rsidR="00A30897">
        <w:rPr>
          <w:rFonts w:ascii="Times New Roman" w:hAnsi="Times New Roman" w:cs="Times New Roman"/>
          <w:sz w:val="24"/>
          <w:szCs w:val="24"/>
        </w:rPr>
        <w:t>patients</w:t>
      </w:r>
      <w:r w:rsidR="00FB7F24" w:rsidRPr="00F6318D">
        <w:rPr>
          <w:rFonts w:ascii="Times New Roman" w:hAnsi="Times New Roman" w:cs="Times New Roman"/>
          <w:sz w:val="24"/>
          <w:szCs w:val="24"/>
        </w:rPr>
        <w:t xml:space="preserve"> on treatment with </w:t>
      </w:r>
      <w:r w:rsidR="00A30897">
        <w:rPr>
          <w:rFonts w:ascii="Times New Roman" w:hAnsi="Times New Roman" w:cs="Times New Roman"/>
          <w:sz w:val="24"/>
          <w:szCs w:val="24"/>
        </w:rPr>
        <w:t xml:space="preserve">a </w:t>
      </w:r>
      <w:r w:rsidR="00FB7F24" w:rsidRPr="00F6318D">
        <w:rPr>
          <w:rFonts w:ascii="Times New Roman" w:hAnsi="Times New Roman" w:cs="Times New Roman"/>
          <w:sz w:val="24"/>
          <w:szCs w:val="24"/>
        </w:rPr>
        <w:t xml:space="preserve">fixed drug combination consisting of Tenofovir, Emtricitabine and Efavirenz. Complete resolution of anemia was noticed with </w:t>
      </w:r>
      <w:r>
        <w:rPr>
          <w:rFonts w:ascii="Times New Roman" w:hAnsi="Times New Roman" w:cs="Times New Roman"/>
          <w:sz w:val="24"/>
          <w:szCs w:val="24"/>
        </w:rPr>
        <w:t xml:space="preserve">the </w:t>
      </w:r>
      <w:r w:rsidR="00FB7F24" w:rsidRPr="00F6318D">
        <w:rPr>
          <w:rFonts w:ascii="Times New Roman" w:hAnsi="Times New Roman" w:cs="Times New Roman"/>
          <w:sz w:val="24"/>
          <w:szCs w:val="24"/>
        </w:rPr>
        <w:t>replacement of Emtricitabine with Abacavir</w:t>
      </w:r>
      <w:r w:rsidR="00CE0C1A">
        <w:rPr>
          <w:rFonts w:ascii="Times New Roman" w:hAnsi="Times New Roman" w:cs="Times New Roman"/>
          <w:sz w:val="24"/>
          <w:szCs w:val="24"/>
        </w:rPr>
        <w:t>. Also,</w:t>
      </w:r>
      <w:r w:rsidR="00FB7F24" w:rsidRPr="00F6318D">
        <w:rPr>
          <w:rFonts w:ascii="Times New Roman" w:hAnsi="Times New Roman" w:cs="Times New Roman"/>
          <w:sz w:val="24"/>
          <w:szCs w:val="24"/>
        </w:rPr>
        <w:t xml:space="preserve"> Hassan et al</w:t>
      </w:r>
      <w:sdt>
        <w:sdtPr>
          <w:rPr>
            <w:rFonts w:ascii="Times New Roman" w:hAnsi="Times New Roman" w:cs="Times New Roman"/>
            <w:color w:val="000000"/>
            <w:sz w:val="24"/>
            <w:szCs w:val="24"/>
            <w:vertAlign w:val="superscript"/>
          </w:rPr>
          <w:tag w:val="MENDELEY_CITATION_v3_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"/>
          <w:id w:val="-229693169"/>
          <w:placeholder>
            <w:docPart w:val="DefaultPlaceholder_-1854013440"/>
          </w:placeholder>
        </w:sdtPr>
        <w:sdtEndPr/>
        <w:sdtContent>
          <w:r w:rsidR="00FA609A" w:rsidRPr="00FA609A">
            <w:rPr>
              <w:rFonts w:ascii="Times New Roman" w:hAnsi="Times New Roman" w:cs="Times New Roman"/>
              <w:color w:val="000000"/>
              <w:sz w:val="24"/>
              <w:szCs w:val="24"/>
              <w:vertAlign w:val="superscript"/>
            </w:rPr>
            <w:t>12</w:t>
          </w:r>
        </w:sdtContent>
      </w:sdt>
      <w:r w:rsidR="00FB7F24" w:rsidRPr="00F6318D">
        <w:rPr>
          <w:rFonts w:ascii="Times New Roman" w:hAnsi="Times New Roman" w:cs="Times New Roman"/>
          <w:sz w:val="24"/>
          <w:szCs w:val="24"/>
        </w:rPr>
        <w:t xml:space="preserve"> reported </w:t>
      </w:r>
      <w:r w:rsidR="00A30897">
        <w:rPr>
          <w:rFonts w:ascii="Times New Roman" w:hAnsi="Times New Roman" w:cs="Times New Roman"/>
          <w:sz w:val="24"/>
          <w:szCs w:val="24"/>
        </w:rPr>
        <w:t>Zidovudine-induced</w:t>
      </w:r>
      <w:r w:rsidR="00FB7F24" w:rsidRPr="00F6318D">
        <w:rPr>
          <w:rFonts w:ascii="Times New Roman" w:hAnsi="Times New Roman" w:cs="Times New Roman"/>
          <w:sz w:val="24"/>
          <w:szCs w:val="24"/>
        </w:rPr>
        <w:t xml:space="preserve"> pure red cell aplasia in a </w:t>
      </w:r>
      <w:r w:rsidR="00A64319" w:rsidRPr="00F6318D">
        <w:rPr>
          <w:rFonts w:ascii="Times New Roman" w:hAnsi="Times New Roman" w:cs="Times New Roman"/>
          <w:sz w:val="24"/>
          <w:szCs w:val="24"/>
        </w:rPr>
        <w:t>27-year-old</w:t>
      </w:r>
      <w:r w:rsidR="00FB7F24" w:rsidRPr="00F6318D">
        <w:rPr>
          <w:rFonts w:ascii="Times New Roman" w:hAnsi="Times New Roman" w:cs="Times New Roman"/>
          <w:sz w:val="24"/>
          <w:szCs w:val="24"/>
        </w:rPr>
        <w:t xml:space="preserve"> </w:t>
      </w:r>
      <w:r w:rsidR="00A30897">
        <w:rPr>
          <w:rFonts w:ascii="Times New Roman" w:hAnsi="Times New Roman" w:cs="Times New Roman"/>
          <w:sz w:val="24"/>
          <w:szCs w:val="24"/>
        </w:rPr>
        <w:t>HIV-positive</w:t>
      </w:r>
      <w:r w:rsidR="00FB7F24" w:rsidRPr="00F6318D">
        <w:rPr>
          <w:rFonts w:ascii="Times New Roman" w:hAnsi="Times New Roman" w:cs="Times New Roman"/>
          <w:sz w:val="24"/>
          <w:szCs w:val="24"/>
        </w:rPr>
        <w:t xml:space="preserve"> widow who has been on HAART (Zidovudine, Lamivudine and Nevirapine). She made remarkable improvement with </w:t>
      </w:r>
      <w:r w:rsidR="00A30897">
        <w:rPr>
          <w:rFonts w:ascii="Times New Roman" w:hAnsi="Times New Roman" w:cs="Times New Roman"/>
          <w:sz w:val="24"/>
          <w:szCs w:val="24"/>
        </w:rPr>
        <w:t xml:space="preserve">the </w:t>
      </w:r>
      <w:r w:rsidR="00FB7F24" w:rsidRPr="00F6318D">
        <w:rPr>
          <w:rFonts w:ascii="Times New Roman" w:hAnsi="Times New Roman" w:cs="Times New Roman"/>
          <w:sz w:val="24"/>
          <w:szCs w:val="24"/>
        </w:rPr>
        <w:t>replacement of Zidovudine with Stavudine.</w:t>
      </w:r>
    </w:p>
    <w:p w14:paraId="045E7A95" w14:textId="08BB34A5" w:rsidR="00680739" w:rsidRPr="00680739" w:rsidRDefault="00680739" w:rsidP="00FD464B">
      <w:pPr>
        <w:spacing w:line="276" w:lineRule="auto"/>
        <w:jc w:val="both"/>
        <w:rPr>
          <w:rFonts w:ascii="Times New Roman" w:hAnsi="Times New Roman" w:cs="Times New Roman"/>
          <w:b/>
          <w:bCs/>
          <w:sz w:val="24"/>
          <w:szCs w:val="24"/>
        </w:rPr>
      </w:pPr>
      <w:r w:rsidRPr="00680739">
        <w:rPr>
          <w:rFonts w:ascii="Times New Roman" w:hAnsi="Times New Roman" w:cs="Times New Roman"/>
          <w:b/>
          <w:bCs/>
          <w:sz w:val="24"/>
          <w:szCs w:val="24"/>
        </w:rPr>
        <w:t>Conclusion</w:t>
      </w:r>
    </w:p>
    <w:p w14:paraId="1FB1EC3C" w14:textId="52F9C711" w:rsidR="00EE5943" w:rsidRDefault="00EE5943" w:rsidP="00EE5943">
      <w:pPr>
        <w:jc w:val="both"/>
        <w:rPr>
          <w:rFonts w:ascii="Times New Roman" w:hAnsi="Times New Roman" w:cs="Times New Roman"/>
          <w:sz w:val="24"/>
          <w:szCs w:val="24"/>
        </w:rPr>
      </w:pPr>
      <w:r w:rsidRPr="00EE5943">
        <w:rPr>
          <w:rFonts w:ascii="Times New Roman" w:hAnsi="Times New Roman" w:cs="Times New Roman"/>
          <w:sz w:val="24"/>
          <w:szCs w:val="24"/>
        </w:rPr>
        <w:t xml:space="preserve">In this case report, there was </w:t>
      </w:r>
      <w:r w:rsidR="00A30897">
        <w:rPr>
          <w:rFonts w:ascii="Times New Roman" w:hAnsi="Times New Roman" w:cs="Times New Roman"/>
          <w:sz w:val="24"/>
          <w:szCs w:val="24"/>
        </w:rPr>
        <w:t xml:space="preserve">a </w:t>
      </w:r>
      <w:r w:rsidRPr="00EE5943">
        <w:rPr>
          <w:rFonts w:ascii="Times New Roman" w:hAnsi="Times New Roman" w:cs="Times New Roman"/>
          <w:sz w:val="24"/>
          <w:szCs w:val="24"/>
        </w:rPr>
        <w:t xml:space="preserve">significant decline in the PCV after </w:t>
      </w:r>
      <w:r w:rsidR="00A30897">
        <w:rPr>
          <w:rFonts w:ascii="Times New Roman" w:hAnsi="Times New Roman" w:cs="Times New Roman"/>
          <w:sz w:val="24"/>
          <w:szCs w:val="24"/>
        </w:rPr>
        <w:t xml:space="preserve">the </w:t>
      </w:r>
      <w:r w:rsidRPr="00EE5943">
        <w:rPr>
          <w:rFonts w:ascii="Times New Roman" w:hAnsi="Times New Roman" w:cs="Times New Roman"/>
          <w:sz w:val="24"/>
          <w:szCs w:val="24"/>
        </w:rPr>
        <w:t xml:space="preserve">removal of lamivudine from HAART. The subsequent substitution of Tenofovir with Abacavir and restoring Lamivudine in the regimen was followed with remarkable clinical improvement and spontaneous gradual and progressive improved PCV to </w:t>
      </w:r>
      <w:r w:rsidR="00A30897">
        <w:rPr>
          <w:rFonts w:ascii="Times New Roman" w:hAnsi="Times New Roman" w:cs="Times New Roman"/>
          <w:sz w:val="24"/>
          <w:szCs w:val="24"/>
        </w:rPr>
        <w:t xml:space="preserve">a </w:t>
      </w:r>
      <w:r w:rsidRPr="00EE5943">
        <w:rPr>
          <w:rFonts w:ascii="Times New Roman" w:hAnsi="Times New Roman" w:cs="Times New Roman"/>
          <w:sz w:val="24"/>
          <w:szCs w:val="24"/>
        </w:rPr>
        <w:t xml:space="preserve">stable value of 42%. This made us implicate Tenofovir to be likely </w:t>
      </w:r>
      <w:r w:rsidR="00A30897">
        <w:rPr>
          <w:rFonts w:ascii="Times New Roman" w:hAnsi="Times New Roman" w:cs="Times New Roman"/>
          <w:sz w:val="24"/>
          <w:szCs w:val="24"/>
        </w:rPr>
        <w:t xml:space="preserve">an </w:t>
      </w:r>
      <w:r w:rsidRPr="00EE5943">
        <w:rPr>
          <w:rFonts w:ascii="Times New Roman" w:hAnsi="Times New Roman" w:cs="Times New Roman"/>
          <w:sz w:val="24"/>
          <w:szCs w:val="24"/>
        </w:rPr>
        <w:t xml:space="preserve">Antiretroviral drug responsible for this persistent </w:t>
      </w:r>
      <w:r w:rsidR="00A30897">
        <w:rPr>
          <w:rFonts w:ascii="Times New Roman" w:hAnsi="Times New Roman" w:cs="Times New Roman"/>
          <w:sz w:val="24"/>
          <w:szCs w:val="24"/>
        </w:rPr>
        <w:t>anemia</w:t>
      </w:r>
      <w:r w:rsidRPr="00EE5943">
        <w:rPr>
          <w:rFonts w:ascii="Times New Roman" w:hAnsi="Times New Roman" w:cs="Times New Roman"/>
          <w:sz w:val="24"/>
          <w:szCs w:val="24"/>
        </w:rPr>
        <w:t xml:space="preserve"> in this reported index patient.</w:t>
      </w:r>
    </w:p>
    <w:p w14:paraId="709C8B1F" w14:textId="77777777" w:rsidR="00F63A48" w:rsidRPr="00F63A48" w:rsidRDefault="00F63A48" w:rsidP="00F63A48">
      <w:pPr>
        <w:jc w:val="both"/>
        <w:rPr>
          <w:rFonts w:ascii="Times New Roman" w:hAnsi="Times New Roman" w:cs="Times New Roman"/>
          <w:b/>
          <w:sz w:val="24"/>
          <w:szCs w:val="24"/>
        </w:rPr>
      </w:pPr>
      <w:r w:rsidRPr="00F63A48">
        <w:rPr>
          <w:rFonts w:ascii="Times New Roman" w:hAnsi="Times New Roman" w:cs="Times New Roman"/>
          <w:b/>
          <w:sz w:val="24"/>
          <w:szCs w:val="24"/>
        </w:rPr>
        <w:t>COMPETING INTERESTS</w:t>
      </w:r>
    </w:p>
    <w:p w14:paraId="5356BA01" w14:textId="40921567" w:rsidR="00F63A48" w:rsidRPr="00EE5943" w:rsidRDefault="00F63A48" w:rsidP="00F63A48">
      <w:pPr>
        <w:jc w:val="both"/>
        <w:rPr>
          <w:rFonts w:ascii="Times New Roman" w:hAnsi="Times New Roman" w:cs="Times New Roman"/>
          <w:sz w:val="24"/>
          <w:szCs w:val="24"/>
        </w:rPr>
      </w:pPr>
      <w:r w:rsidRPr="00F63A48">
        <w:rPr>
          <w:rFonts w:ascii="Times New Roman" w:hAnsi="Times New Roman" w:cs="Times New Roman"/>
          <w:sz w:val="24"/>
          <w:szCs w:val="24"/>
        </w:rPr>
        <w:t>Authors have declared that they have no known competing financial interests OR non-financial interests OR perso</w:t>
      </w:r>
      <w:bookmarkStart w:id="1" w:name="_GoBack"/>
      <w:bookmarkEnd w:id="1"/>
      <w:r w:rsidRPr="00F63A48">
        <w:rPr>
          <w:rFonts w:ascii="Times New Roman" w:hAnsi="Times New Roman" w:cs="Times New Roman"/>
          <w:sz w:val="24"/>
          <w:szCs w:val="24"/>
        </w:rPr>
        <w:t>nal relationships that could have appeared to influence the work reported in this paper.</w:t>
      </w:r>
    </w:p>
    <w:p w14:paraId="21BF4381" w14:textId="77777777" w:rsidR="00A30897" w:rsidRDefault="00A30897" w:rsidP="00FD464B">
      <w:pPr>
        <w:spacing w:line="276" w:lineRule="auto"/>
        <w:jc w:val="both"/>
        <w:rPr>
          <w:rFonts w:ascii="Times New Roman" w:hAnsi="Times New Roman" w:cs="Times New Roman"/>
          <w:b/>
          <w:bCs/>
          <w:sz w:val="24"/>
          <w:szCs w:val="24"/>
        </w:rPr>
      </w:pPr>
    </w:p>
    <w:p w14:paraId="1100FC2A" w14:textId="3D5EC2DD" w:rsidR="0079160E" w:rsidRDefault="004915E7" w:rsidP="00FD46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br w:type="page"/>
      </w:r>
    </w:p>
    <w:p w14:paraId="77666768" w14:textId="2E99F9CB" w:rsidR="00001D17" w:rsidRDefault="00001D17" w:rsidP="00FD464B">
      <w:pPr>
        <w:spacing w:line="276" w:lineRule="auto"/>
        <w:jc w:val="both"/>
        <w:rPr>
          <w:rFonts w:ascii="Times New Roman" w:hAnsi="Times New Roman" w:cs="Times New Roman"/>
          <w:sz w:val="24"/>
          <w:szCs w:val="24"/>
        </w:rPr>
      </w:pPr>
    </w:p>
    <w:p w14:paraId="2AF139B5" w14:textId="77777777" w:rsidR="00001D17" w:rsidRPr="00FB03BD" w:rsidRDefault="00001D17" w:rsidP="00001D17">
      <w:pPr>
        <w:rPr>
          <w:b/>
          <w:highlight w:val="yellow"/>
        </w:rPr>
      </w:pPr>
      <w:r w:rsidRPr="00FB03BD">
        <w:rPr>
          <w:b/>
          <w:highlight w:val="yellow"/>
        </w:rPr>
        <w:t>Disclaimer (Artificial intelligence)</w:t>
      </w:r>
    </w:p>
    <w:p w14:paraId="033FA66E" w14:textId="77777777" w:rsidR="00001D17" w:rsidRDefault="00001D17" w:rsidP="00001D17">
      <w:pPr>
        <w:rPr>
          <w:highlight w:val="yellow"/>
        </w:rPr>
      </w:pPr>
      <w:r>
        <w:rPr>
          <w:highlight w:val="yellow"/>
        </w:rPr>
        <w:t xml:space="preserve">Option 1: </w:t>
      </w:r>
    </w:p>
    <w:p w14:paraId="3BE07CFD" w14:textId="77777777" w:rsidR="00001D17" w:rsidRDefault="00001D17" w:rsidP="00001D17">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E27C424" w14:textId="77777777" w:rsidR="00001D17" w:rsidRDefault="00001D17" w:rsidP="00001D17">
      <w:pPr>
        <w:rPr>
          <w:highlight w:val="yellow"/>
        </w:rPr>
      </w:pPr>
      <w:r>
        <w:rPr>
          <w:highlight w:val="yellow"/>
        </w:rPr>
        <w:t xml:space="preserve">Option 2: </w:t>
      </w:r>
    </w:p>
    <w:p w14:paraId="469C5578" w14:textId="77777777" w:rsidR="00001D17" w:rsidRDefault="00001D17" w:rsidP="00001D1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87C5DD" w14:textId="77777777" w:rsidR="00001D17" w:rsidRDefault="00001D17" w:rsidP="00001D17">
      <w:pPr>
        <w:rPr>
          <w:highlight w:val="yellow"/>
        </w:rPr>
      </w:pPr>
      <w:r>
        <w:rPr>
          <w:highlight w:val="yellow"/>
        </w:rPr>
        <w:t>Details of the AI usage are given below:</w:t>
      </w:r>
    </w:p>
    <w:p w14:paraId="51BEB75B" w14:textId="77777777" w:rsidR="00001D17" w:rsidRDefault="00001D17" w:rsidP="00001D17">
      <w:pPr>
        <w:rPr>
          <w:highlight w:val="yellow"/>
        </w:rPr>
      </w:pPr>
      <w:r>
        <w:rPr>
          <w:highlight w:val="yellow"/>
        </w:rPr>
        <w:t>1.</w:t>
      </w:r>
    </w:p>
    <w:p w14:paraId="1C8CF281" w14:textId="77777777" w:rsidR="00001D17" w:rsidRDefault="00001D17" w:rsidP="00001D17">
      <w:pPr>
        <w:rPr>
          <w:highlight w:val="yellow"/>
        </w:rPr>
      </w:pPr>
      <w:r>
        <w:rPr>
          <w:highlight w:val="yellow"/>
        </w:rPr>
        <w:t>2.</w:t>
      </w:r>
    </w:p>
    <w:p w14:paraId="66400D89" w14:textId="77777777" w:rsidR="00001D17" w:rsidRDefault="00001D17" w:rsidP="00001D17">
      <w:r>
        <w:rPr>
          <w:highlight w:val="yellow"/>
        </w:rPr>
        <w:t>3.</w:t>
      </w:r>
    </w:p>
    <w:p w14:paraId="6410A1B5" w14:textId="77777777" w:rsidR="00001D17" w:rsidRDefault="00001D17" w:rsidP="00FD464B">
      <w:pPr>
        <w:spacing w:line="276" w:lineRule="auto"/>
        <w:jc w:val="both"/>
        <w:rPr>
          <w:rFonts w:ascii="Times New Roman" w:hAnsi="Times New Roman" w:cs="Times New Roman"/>
          <w:sz w:val="24"/>
          <w:szCs w:val="24"/>
        </w:rPr>
      </w:pPr>
    </w:p>
    <w:p w14:paraId="720015C9" w14:textId="32A9C271" w:rsidR="00ED08F0" w:rsidRPr="004915E7" w:rsidRDefault="004915E7" w:rsidP="00FD464B">
      <w:pPr>
        <w:spacing w:line="276" w:lineRule="auto"/>
        <w:jc w:val="both"/>
        <w:rPr>
          <w:rFonts w:ascii="Times New Roman" w:hAnsi="Times New Roman" w:cs="Times New Roman"/>
          <w:b/>
          <w:bCs/>
          <w:sz w:val="24"/>
          <w:szCs w:val="24"/>
        </w:rPr>
      </w:pPr>
      <w:r w:rsidRPr="004915E7">
        <w:rPr>
          <w:rFonts w:ascii="Times New Roman" w:hAnsi="Times New Roman" w:cs="Times New Roman"/>
          <w:b/>
          <w:bCs/>
          <w:sz w:val="24"/>
          <w:szCs w:val="24"/>
        </w:rPr>
        <w:t>Reference</w:t>
      </w:r>
    </w:p>
    <w:sdt>
      <w:sdtPr>
        <w:rPr>
          <w:rFonts w:ascii="Times New Roman" w:hAnsi="Times New Roman" w:cs="Times New Roman"/>
          <w:color w:val="000000"/>
          <w:sz w:val="24"/>
          <w:szCs w:val="24"/>
        </w:rPr>
        <w:tag w:val="MENDELEY_BIBLIOGRAPHY"/>
        <w:id w:val="-1907370210"/>
        <w:placeholder>
          <w:docPart w:val="DefaultPlaceholder_-1854013440"/>
        </w:placeholder>
      </w:sdtPr>
      <w:sdtEndPr/>
      <w:sdtContent>
        <w:p w14:paraId="2D14D939" w14:textId="77777777" w:rsidR="00FA609A" w:rsidRDefault="00FA609A">
          <w:pPr>
            <w:autoSpaceDE w:val="0"/>
            <w:autoSpaceDN w:val="0"/>
            <w:ind w:hanging="640"/>
            <w:divId w:val="614756978"/>
            <w:rPr>
              <w:rFonts w:eastAsia="Times New Roman"/>
              <w:sz w:val="24"/>
              <w:szCs w:val="24"/>
            </w:rPr>
          </w:pPr>
          <w:r>
            <w:rPr>
              <w:rFonts w:eastAsia="Times New Roman"/>
            </w:rPr>
            <w:t xml:space="preserve">1. </w:t>
          </w:r>
          <w:r>
            <w:rPr>
              <w:rFonts w:eastAsia="Times New Roman"/>
            </w:rPr>
            <w:tab/>
            <w:t>Xu F, Wang Y, Fan L, He Y, Chen X, Ye P, et al. Pure Red Cell Aplasia Caused by Parvovirus B19 in Patients with Human Immunodeficiency Virus Infection: A Series of Four Cases. Medicine [Internet]. 2023 Jul 1 [cited 2024 Nov 23];3(3):132. Available from: https://pmc.ncbi.nlm.nih.gov/articles/PMC10368220/</w:t>
          </w:r>
        </w:p>
        <w:p w14:paraId="13DE3906" w14:textId="77777777" w:rsidR="00FA609A" w:rsidRDefault="00FA609A">
          <w:pPr>
            <w:autoSpaceDE w:val="0"/>
            <w:autoSpaceDN w:val="0"/>
            <w:ind w:hanging="640"/>
            <w:divId w:val="460542195"/>
            <w:rPr>
              <w:rFonts w:eastAsia="Times New Roman"/>
            </w:rPr>
          </w:pPr>
          <w:r>
            <w:rPr>
              <w:rFonts w:eastAsia="Times New Roman"/>
            </w:rPr>
            <w:t xml:space="preserve">2. </w:t>
          </w:r>
          <w:r>
            <w:rPr>
              <w:rFonts w:eastAsia="Times New Roman"/>
            </w:rPr>
            <w:tab/>
          </w:r>
          <w:proofErr w:type="spellStart"/>
          <w:r>
            <w:rPr>
              <w:rFonts w:eastAsia="Times New Roman"/>
            </w:rPr>
            <w:t>Marchionatti</w:t>
          </w:r>
          <w:proofErr w:type="spellEnd"/>
          <w:r>
            <w:rPr>
              <w:rFonts w:eastAsia="Times New Roman"/>
            </w:rPr>
            <w:t xml:space="preserve"> A, </w:t>
          </w:r>
          <w:proofErr w:type="spellStart"/>
          <w:r>
            <w:rPr>
              <w:rFonts w:eastAsia="Times New Roman"/>
            </w:rPr>
            <w:t>Parisi</w:t>
          </w:r>
          <w:proofErr w:type="spellEnd"/>
          <w:r>
            <w:rPr>
              <w:rFonts w:eastAsia="Times New Roman"/>
            </w:rPr>
            <w:t xml:space="preserve"> MM. Anemia and thrombocytopenia in people living with HIV/AIDS: a narrative literature review. Int Health [Internet]. 2021 Mar 1 [cited 2024 Nov 23];13(2):98–109. Available from: https://pubmed.ncbi.nlm.nih.gov/32623456/</w:t>
          </w:r>
        </w:p>
        <w:p w14:paraId="4F3E6270" w14:textId="77777777" w:rsidR="00FA609A" w:rsidRDefault="00FA609A">
          <w:pPr>
            <w:autoSpaceDE w:val="0"/>
            <w:autoSpaceDN w:val="0"/>
            <w:ind w:hanging="640"/>
            <w:divId w:val="269554683"/>
            <w:rPr>
              <w:rFonts w:eastAsia="Times New Roman"/>
            </w:rPr>
          </w:pPr>
          <w:r>
            <w:rPr>
              <w:rFonts w:eastAsia="Times New Roman"/>
            </w:rPr>
            <w:t xml:space="preserve">3. </w:t>
          </w:r>
          <w:r>
            <w:rPr>
              <w:rFonts w:eastAsia="Times New Roman"/>
            </w:rPr>
            <w:tab/>
            <w:t xml:space="preserve">Volberding PA, Levine AM, Dieterich D, </w:t>
          </w:r>
          <w:proofErr w:type="spellStart"/>
          <w:r>
            <w:rPr>
              <w:rFonts w:eastAsia="Times New Roman"/>
            </w:rPr>
            <w:t>Mildvan</w:t>
          </w:r>
          <w:proofErr w:type="spellEnd"/>
          <w:r>
            <w:rPr>
              <w:rFonts w:eastAsia="Times New Roman"/>
            </w:rPr>
            <w:t xml:space="preserve"> D, </w:t>
          </w:r>
          <w:proofErr w:type="spellStart"/>
          <w:r>
            <w:rPr>
              <w:rFonts w:eastAsia="Times New Roman"/>
            </w:rPr>
            <w:t>Mitsuyasu</w:t>
          </w:r>
          <w:proofErr w:type="spellEnd"/>
          <w:r>
            <w:rPr>
              <w:rFonts w:eastAsia="Times New Roman"/>
            </w:rPr>
            <w:t xml:space="preserve"> R, Saag M. Anemia in HIV infection: clinical impact and evidence-based management strategies. Clin Infect Dis [Internet]. 2004 May 15 [cited 2024 Nov 23];38(10):1454–63. Available from: https://pubmed.ncbi.nlm.nih.gov/15156485/</w:t>
          </w:r>
        </w:p>
        <w:p w14:paraId="27533290" w14:textId="77777777" w:rsidR="00FA609A" w:rsidRDefault="00FA609A">
          <w:pPr>
            <w:autoSpaceDE w:val="0"/>
            <w:autoSpaceDN w:val="0"/>
            <w:ind w:hanging="640"/>
            <w:divId w:val="2141259966"/>
            <w:rPr>
              <w:rFonts w:eastAsia="Times New Roman"/>
            </w:rPr>
          </w:pPr>
          <w:r w:rsidRPr="00460E1D">
            <w:rPr>
              <w:rFonts w:eastAsia="Times New Roman"/>
              <w:lang w:val="de-DE"/>
            </w:rPr>
            <w:t xml:space="preserve">4. </w:t>
          </w:r>
          <w:r w:rsidRPr="00460E1D">
            <w:rPr>
              <w:rFonts w:eastAsia="Times New Roman"/>
              <w:lang w:val="de-DE"/>
            </w:rPr>
            <w:tab/>
            <w:t xml:space="preserve">Kakubu MAM, Bikinesi T, Katoto PDMC. </w:t>
          </w:r>
          <w:r>
            <w:rPr>
              <w:rFonts w:eastAsia="Times New Roman"/>
            </w:rPr>
            <w:t xml:space="preserve">Lamivudine induced pure red cell aplasia and HIV-1 drug resistance-associated mutations: a case report. </w:t>
          </w:r>
          <w:proofErr w:type="spellStart"/>
          <w:r>
            <w:rPr>
              <w:rFonts w:eastAsia="Times New Roman"/>
            </w:rPr>
            <w:t>Oxf</w:t>
          </w:r>
          <w:proofErr w:type="spellEnd"/>
          <w:r>
            <w:rPr>
              <w:rFonts w:eastAsia="Times New Roman"/>
            </w:rPr>
            <w:t xml:space="preserve"> Med Case Reports [Internet]. 2023 Mar 1 [cited 2024 Nov 23];2023(3):106–9. Available from: https://pubmed.ncbi.nlm.nih.gov/36993835/</w:t>
          </w:r>
        </w:p>
        <w:p w14:paraId="3DC789EA" w14:textId="77777777" w:rsidR="00FA609A" w:rsidRDefault="00FA609A">
          <w:pPr>
            <w:autoSpaceDE w:val="0"/>
            <w:autoSpaceDN w:val="0"/>
            <w:ind w:hanging="640"/>
            <w:divId w:val="970129597"/>
            <w:rPr>
              <w:rFonts w:eastAsia="Times New Roman"/>
            </w:rPr>
          </w:pPr>
          <w:r>
            <w:rPr>
              <w:rFonts w:eastAsia="Times New Roman"/>
            </w:rPr>
            <w:t xml:space="preserve">5. </w:t>
          </w:r>
          <w:r>
            <w:rPr>
              <w:rFonts w:eastAsia="Times New Roman"/>
            </w:rPr>
            <w:tab/>
            <w:t>Liu Y, Karlsson S. Perspectives of current understanding and therapeutics of Diamond-</w:t>
          </w:r>
          <w:proofErr w:type="spellStart"/>
          <w:r>
            <w:rPr>
              <w:rFonts w:eastAsia="Times New Roman"/>
            </w:rPr>
            <w:t>Blackfan</w:t>
          </w:r>
          <w:proofErr w:type="spellEnd"/>
          <w:r>
            <w:rPr>
              <w:rFonts w:eastAsia="Times New Roman"/>
            </w:rPr>
            <w:t xml:space="preserve"> anemia. Leukemia [Internet]. 2024 [cited 2024 Nov 23];38(1). Available from: https://pubmed.ncbi.nlm.nih.gov/37973818/</w:t>
          </w:r>
        </w:p>
        <w:p w14:paraId="2B02BA6A" w14:textId="77777777" w:rsidR="00FA609A" w:rsidRDefault="00FA609A">
          <w:pPr>
            <w:autoSpaceDE w:val="0"/>
            <w:autoSpaceDN w:val="0"/>
            <w:ind w:hanging="640"/>
            <w:divId w:val="146017754"/>
            <w:rPr>
              <w:rFonts w:eastAsia="Times New Roman"/>
            </w:rPr>
          </w:pPr>
          <w:r>
            <w:rPr>
              <w:rFonts w:eastAsia="Times New Roman"/>
            </w:rPr>
            <w:lastRenderedPageBreak/>
            <w:t xml:space="preserve">6. </w:t>
          </w:r>
          <w:r>
            <w:rPr>
              <w:rFonts w:eastAsia="Times New Roman"/>
            </w:rPr>
            <w:tab/>
            <w:t>Means RT. Pure red cell aplasia. Blood [Internet]. 2016 Nov 24 [cited 2024 Nov 23];128(21):2504–9. Available from: https://dx.doi.org/10.1182/blood-2016-05-717140</w:t>
          </w:r>
        </w:p>
        <w:p w14:paraId="22B63745" w14:textId="77777777" w:rsidR="00FA609A" w:rsidRDefault="00FA609A">
          <w:pPr>
            <w:autoSpaceDE w:val="0"/>
            <w:autoSpaceDN w:val="0"/>
            <w:ind w:hanging="640"/>
            <w:divId w:val="338893869"/>
            <w:rPr>
              <w:rFonts w:eastAsia="Times New Roman"/>
            </w:rPr>
          </w:pPr>
          <w:r>
            <w:rPr>
              <w:rFonts w:eastAsia="Times New Roman"/>
            </w:rPr>
            <w:t xml:space="preserve">7. </w:t>
          </w:r>
          <w:r>
            <w:rPr>
              <w:rFonts w:eastAsia="Times New Roman"/>
            </w:rPr>
            <w:tab/>
            <w:t xml:space="preserve">Balasubramanian SK, </w:t>
          </w:r>
          <w:proofErr w:type="spellStart"/>
          <w:r>
            <w:rPr>
              <w:rFonts w:eastAsia="Times New Roman"/>
            </w:rPr>
            <w:t>Sadaps</w:t>
          </w:r>
          <w:proofErr w:type="spellEnd"/>
          <w:r>
            <w:rPr>
              <w:rFonts w:eastAsia="Times New Roman"/>
            </w:rPr>
            <w:t xml:space="preserve"> M, Thota S, Aly M, </w:t>
          </w:r>
          <w:proofErr w:type="spellStart"/>
          <w:r>
            <w:rPr>
              <w:rFonts w:eastAsia="Times New Roman"/>
            </w:rPr>
            <w:t>Przychodzen</w:t>
          </w:r>
          <w:proofErr w:type="spellEnd"/>
          <w:r>
            <w:rPr>
              <w:rFonts w:eastAsia="Times New Roman"/>
            </w:rPr>
            <w:t xml:space="preserve"> BP, Hirsch CM, et al. Rational management approach to pure red cell aplasia. </w:t>
          </w:r>
          <w:proofErr w:type="spellStart"/>
          <w:r>
            <w:rPr>
              <w:rFonts w:eastAsia="Times New Roman"/>
            </w:rPr>
            <w:t>Haematologica</w:t>
          </w:r>
          <w:proofErr w:type="spellEnd"/>
          <w:r>
            <w:rPr>
              <w:rFonts w:eastAsia="Times New Roman"/>
            </w:rPr>
            <w:t xml:space="preserve"> [Internet]. 2018 Jan 31 [cited 2024 Nov 23];103(2):221–30. Available from: https://pubmed.ncbi.nlm.nih.gov/29217782/</w:t>
          </w:r>
        </w:p>
        <w:p w14:paraId="437325D6" w14:textId="77777777" w:rsidR="00FA609A" w:rsidRDefault="00FA609A">
          <w:pPr>
            <w:autoSpaceDE w:val="0"/>
            <w:autoSpaceDN w:val="0"/>
            <w:ind w:hanging="640"/>
            <w:divId w:val="1415936967"/>
            <w:rPr>
              <w:rFonts w:eastAsia="Times New Roman"/>
            </w:rPr>
          </w:pPr>
          <w:r>
            <w:rPr>
              <w:rFonts w:eastAsia="Times New Roman"/>
            </w:rPr>
            <w:t xml:space="preserve">8. </w:t>
          </w:r>
          <w:r>
            <w:rPr>
              <w:rFonts w:eastAsia="Times New Roman"/>
            </w:rPr>
            <w:tab/>
          </w:r>
          <w:proofErr w:type="spellStart"/>
          <w:r>
            <w:rPr>
              <w:rFonts w:eastAsia="Times New Roman"/>
            </w:rPr>
            <w:t>Karrat</w:t>
          </w:r>
          <w:proofErr w:type="spellEnd"/>
          <w:r>
            <w:rPr>
              <w:rFonts w:eastAsia="Times New Roman"/>
            </w:rPr>
            <w:t xml:space="preserve"> I, </w:t>
          </w:r>
          <w:proofErr w:type="spellStart"/>
          <w:r>
            <w:rPr>
              <w:rFonts w:eastAsia="Times New Roman"/>
            </w:rPr>
            <w:t>Eddou</w:t>
          </w:r>
          <w:proofErr w:type="spellEnd"/>
          <w:r>
            <w:rPr>
              <w:rFonts w:eastAsia="Times New Roman"/>
            </w:rPr>
            <w:t xml:space="preserve"> H. Acquired pure red cell aplasia after severe acute respiratory syndrome corona virus 2 infection: a case report. J Med Case Rep [Internet]. 2022 Dec 1 [cited 2024 Nov 23];16(1). Available from: https://pubmed.ncbi.nlm.nih.gov/36258221/</w:t>
          </w:r>
        </w:p>
        <w:p w14:paraId="337F5F6E" w14:textId="77777777" w:rsidR="00FA609A" w:rsidRDefault="00FA609A">
          <w:pPr>
            <w:autoSpaceDE w:val="0"/>
            <w:autoSpaceDN w:val="0"/>
            <w:ind w:hanging="640"/>
            <w:divId w:val="1882355680"/>
            <w:rPr>
              <w:rFonts w:eastAsia="Times New Roman"/>
            </w:rPr>
          </w:pPr>
          <w:r>
            <w:rPr>
              <w:rFonts w:eastAsia="Times New Roman"/>
            </w:rPr>
            <w:t xml:space="preserve">9. </w:t>
          </w:r>
          <w:r>
            <w:rPr>
              <w:rFonts w:eastAsia="Times New Roman"/>
            </w:rPr>
            <w:tab/>
            <w:t>Mari E. Agranulocytosis: an adverse effect of allopurinol treatment. Italian Journal of Medicine [Internet]. 2013 Jan 1 [cited 2024 Nov 23]; Available from: https://www.academia.edu/32908212/Agranulocytosis_an_adverse_effect_of_allopurinol_treatment</w:t>
          </w:r>
        </w:p>
        <w:p w14:paraId="387CCCE3" w14:textId="77777777" w:rsidR="00FA609A" w:rsidRDefault="00FA609A">
          <w:pPr>
            <w:autoSpaceDE w:val="0"/>
            <w:autoSpaceDN w:val="0"/>
            <w:ind w:hanging="640"/>
            <w:divId w:val="857084085"/>
            <w:rPr>
              <w:rFonts w:eastAsia="Times New Roman"/>
            </w:rPr>
          </w:pPr>
          <w:r>
            <w:rPr>
              <w:rFonts w:eastAsia="Times New Roman"/>
            </w:rPr>
            <w:t xml:space="preserve">10. </w:t>
          </w:r>
          <w:r>
            <w:rPr>
              <w:rFonts w:eastAsia="Times New Roman"/>
            </w:rPr>
            <w:tab/>
          </w:r>
          <w:proofErr w:type="spellStart"/>
          <w:r>
            <w:rPr>
              <w:rFonts w:eastAsia="Times New Roman"/>
            </w:rPr>
            <w:t>Majluf</w:t>
          </w:r>
          <w:proofErr w:type="spellEnd"/>
          <w:r>
            <w:rPr>
              <w:rFonts w:eastAsia="Times New Roman"/>
            </w:rPr>
            <w:t>-Cruz A, Luna-</w:t>
          </w:r>
          <w:proofErr w:type="spellStart"/>
          <w:r>
            <w:rPr>
              <w:rFonts w:eastAsia="Times New Roman"/>
            </w:rPr>
            <w:t>Castaos</w:t>
          </w:r>
          <w:proofErr w:type="spellEnd"/>
          <w:r>
            <w:rPr>
              <w:rFonts w:eastAsia="Times New Roman"/>
            </w:rPr>
            <w:t xml:space="preserve"> G, </w:t>
          </w:r>
          <w:proofErr w:type="spellStart"/>
          <w:r>
            <w:rPr>
              <w:rFonts w:eastAsia="Times New Roman"/>
            </w:rPr>
            <w:t>Trevio-Prez</w:t>
          </w:r>
          <w:proofErr w:type="spellEnd"/>
          <w:r>
            <w:rPr>
              <w:rFonts w:eastAsia="Times New Roman"/>
            </w:rPr>
            <w:t xml:space="preserve"> S, </w:t>
          </w:r>
          <w:proofErr w:type="spellStart"/>
          <w:r>
            <w:rPr>
              <w:rFonts w:eastAsia="Times New Roman"/>
            </w:rPr>
            <w:t>Santoscoy</w:t>
          </w:r>
          <w:proofErr w:type="spellEnd"/>
          <w:r>
            <w:rPr>
              <w:rFonts w:eastAsia="Times New Roman"/>
            </w:rPr>
            <w:t xml:space="preserve"> M, Nieto-Cisneros L. Lamivudine-induced pure red cell aplasia. Am J </w:t>
          </w:r>
          <w:proofErr w:type="spellStart"/>
          <w:r>
            <w:rPr>
              <w:rFonts w:eastAsia="Times New Roman"/>
            </w:rPr>
            <w:t>Hematol</w:t>
          </w:r>
          <w:proofErr w:type="spellEnd"/>
          <w:r>
            <w:rPr>
              <w:rFonts w:eastAsia="Times New Roman"/>
            </w:rPr>
            <w:t xml:space="preserve">. 2000;65(3):189–91. </w:t>
          </w:r>
        </w:p>
        <w:p w14:paraId="26CCF6B6" w14:textId="77777777" w:rsidR="00FA609A" w:rsidRDefault="00FA609A">
          <w:pPr>
            <w:autoSpaceDE w:val="0"/>
            <w:autoSpaceDN w:val="0"/>
            <w:ind w:hanging="640"/>
            <w:divId w:val="1884979196"/>
            <w:rPr>
              <w:rFonts w:eastAsia="Times New Roman"/>
            </w:rPr>
          </w:pPr>
          <w:r>
            <w:rPr>
              <w:rFonts w:eastAsia="Times New Roman"/>
            </w:rPr>
            <w:t xml:space="preserve">11. </w:t>
          </w:r>
          <w:r>
            <w:rPr>
              <w:rFonts w:eastAsia="Times New Roman"/>
            </w:rPr>
            <w:tab/>
          </w:r>
          <w:proofErr w:type="spellStart"/>
          <w:r>
            <w:rPr>
              <w:rFonts w:eastAsia="Times New Roman"/>
            </w:rPr>
            <w:t>Manickchund</w:t>
          </w:r>
          <w:proofErr w:type="spellEnd"/>
          <w:r>
            <w:rPr>
              <w:rFonts w:eastAsia="Times New Roman"/>
            </w:rPr>
            <w:t xml:space="preserve"> N, du Plessis C, John MAA, Manzini TC, Gosnell BI, </w:t>
          </w:r>
          <w:proofErr w:type="spellStart"/>
          <w:r>
            <w:rPr>
              <w:rFonts w:eastAsia="Times New Roman"/>
            </w:rPr>
            <w:t>Lessells</w:t>
          </w:r>
          <w:proofErr w:type="spellEnd"/>
          <w:r>
            <w:rPr>
              <w:rFonts w:eastAsia="Times New Roman"/>
            </w:rPr>
            <w:t xml:space="preserve"> RJ, et al. Emtricitabine-induced pure red cell aplasia. South </w:t>
          </w:r>
          <w:proofErr w:type="spellStart"/>
          <w:r>
            <w:rPr>
              <w:rFonts w:eastAsia="Times New Roman"/>
            </w:rPr>
            <w:t>Afr</w:t>
          </w:r>
          <w:proofErr w:type="spellEnd"/>
          <w:r>
            <w:rPr>
              <w:rFonts w:eastAsia="Times New Roman"/>
            </w:rPr>
            <w:t xml:space="preserve"> J HIV Med [Internet]. 2019 [cited 2024 Nov 23];20(1):983. Available from: https://pmc.ncbi.nlm.nih.gov/articles/PMC6779991/</w:t>
          </w:r>
        </w:p>
        <w:p w14:paraId="20215A38" w14:textId="77777777" w:rsidR="00FA609A" w:rsidRDefault="00FA609A">
          <w:pPr>
            <w:autoSpaceDE w:val="0"/>
            <w:autoSpaceDN w:val="0"/>
            <w:ind w:hanging="640"/>
            <w:divId w:val="1061321608"/>
            <w:rPr>
              <w:rFonts w:eastAsia="Times New Roman"/>
            </w:rPr>
          </w:pPr>
          <w:r w:rsidRPr="00396B66">
            <w:rPr>
              <w:rFonts w:eastAsia="Times New Roman"/>
              <w:lang w:val="sv-SE"/>
            </w:rPr>
            <w:t xml:space="preserve">12. </w:t>
          </w:r>
          <w:r w:rsidRPr="00396B66">
            <w:rPr>
              <w:rFonts w:eastAsia="Times New Roman"/>
              <w:lang w:val="sv-SE"/>
            </w:rPr>
            <w:tab/>
            <w:t xml:space="preserve">Hassan A, Babadoko AA, Mamman AI, Ahmed SA. </w:t>
          </w:r>
          <w:r>
            <w:rPr>
              <w:rFonts w:eastAsia="Times New Roman"/>
            </w:rPr>
            <w:t>Zidovudine induced pure red cell aplasia: a case report. Niger J Med [Internet]. 2009 [cited 2024 Nov 23];18(3):332–3. Available from: https://pubmed.ncbi.nlm.nih.gov/20120657/</w:t>
          </w:r>
        </w:p>
        <w:p w14:paraId="39BB3BEF" w14:textId="3A8ECF5D" w:rsidR="004915E7" w:rsidRPr="00F6318D" w:rsidRDefault="00FA609A" w:rsidP="00FD464B">
          <w:pPr>
            <w:spacing w:line="276" w:lineRule="auto"/>
            <w:jc w:val="both"/>
            <w:rPr>
              <w:rFonts w:ascii="Times New Roman" w:hAnsi="Times New Roman" w:cs="Times New Roman"/>
              <w:sz w:val="24"/>
              <w:szCs w:val="24"/>
            </w:rPr>
          </w:pPr>
          <w:r>
            <w:rPr>
              <w:rFonts w:eastAsia="Times New Roman"/>
            </w:rPr>
            <w:t> </w:t>
          </w:r>
        </w:p>
      </w:sdtContent>
    </w:sdt>
    <w:sectPr w:rsidR="004915E7" w:rsidRPr="00F631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16712" w14:textId="77777777" w:rsidR="00476B0D" w:rsidRDefault="00476B0D">
      <w:pPr>
        <w:spacing w:line="240" w:lineRule="auto"/>
      </w:pPr>
      <w:r>
        <w:separator/>
      </w:r>
    </w:p>
  </w:endnote>
  <w:endnote w:type="continuationSeparator" w:id="0">
    <w:p w14:paraId="3325CD52" w14:textId="77777777" w:rsidR="00476B0D" w:rsidRDefault="00476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42D9" w14:textId="77777777" w:rsidR="00460E1D" w:rsidRDefault="0046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3599"/>
      <w:docPartObj>
        <w:docPartGallery w:val="Page Numbers (Bottom of Page)"/>
        <w:docPartUnique/>
      </w:docPartObj>
    </w:sdtPr>
    <w:sdtEndPr>
      <w:rPr>
        <w:noProof/>
      </w:rPr>
    </w:sdtEndPr>
    <w:sdtContent>
      <w:p w14:paraId="53CF723B" w14:textId="2E2F13C2" w:rsidR="00A64319" w:rsidRDefault="00A643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ECFFD" w14:textId="77777777" w:rsidR="00A64319" w:rsidRDefault="00A64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A8C0" w14:textId="77777777" w:rsidR="00460E1D" w:rsidRDefault="0046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89EF0" w14:textId="77777777" w:rsidR="00476B0D" w:rsidRDefault="00476B0D">
      <w:pPr>
        <w:spacing w:after="0" w:line="240" w:lineRule="auto"/>
      </w:pPr>
      <w:r>
        <w:separator/>
      </w:r>
    </w:p>
  </w:footnote>
  <w:footnote w:type="continuationSeparator" w:id="0">
    <w:p w14:paraId="6DA6EAB0" w14:textId="77777777" w:rsidR="00476B0D" w:rsidRDefault="0047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BB37" w14:textId="5C6396BD" w:rsidR="00460E1D" w:rsidRDefault="00476B0D">
    <w:pPr>
      <w:pStyle w:val="Header"/>
    </w:pPr>
    <w:r>
      <w:rPr>
        <w:noProof/>
      </w:rPr>
      <w:pict w14:anchorId="527E8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FD98" w14:textId="72222F34" w:rsidR="00460E1D" w:rsidRDefault="00476B0D">
    <w:pPr>
      <w:pStyle w:val="Header"/>
    </w:pPr>
    <w:r>
      <w:rPr>
        <w:noProof/>
      </w:rPr>
      <w:pict w14:anchorId="69B22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36E" w14:textId="5159DC76" w:rsidR="00460E1D" w:rsidRDefault="00476B0D">
    <w:pPr>
      <w:pStyle w:val="Header"/>
    </w:pPr>
    <w:r>
      <w:rPr>
        <w:noProof/>
      </w:rPr>
      <w:pict w14:anchorId="0BA19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35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7AE0"/>
    <w:multiLevelType w:val="hybridMultilevel"/>
    <w:tmpl w:val="55005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5F"/>
    <w:rsid w:val="00001D17"/>
    <w:rsid w:val="0004706F"/>
    <w:rsid w:val="000479C2"/>
    <w:rsid w:val="000E3720"/>
    <w:rsid w:val="000F3B7C"/>
    <w:rsid w:val="00131CC9"/>
    <w:rsid w:val="001515C3"/>
    <w:rsid w:val="00160983"/>
    <w:rsid w:val="001718CE"/>
    <w:rsid w:val="00196317"/>
    <w:rsid w:val="001A3684"/>
    <w:rsid w:val="001B0E34"/>
    <w:rsid w:val="001D3921"/>
    <w:rsid w:val="001F32CF"/>
    <w:rsid w:val="002221A4"/>
    <w:rsid w:val="0024565B"/>
    <w:rsid w:val="00255421"/>
    <w:rsid w:val="002640CB"/>
    <w:rsid w:val="002A15CF"/>
    <w:rsid w:val="002A5CAF"/>
    <w:rsid w:val="002C62A9"/>
    <w:rsid w:val="002D69F2"/>
    <w:rsid w:val="00316F83"/>
    <w:rsid w:val="00324A1F"/>
    <w:rsid w:val="00333D8A"/>
    <w:rsid w:val="00375AD2"/>
    <w:rsid w:val="00385740"/>
    <w:rsid w:val="00387CEE"/>
    <w:rsid w:val="0039057E"/>
    <w:rsid w:val="003910B8"/>
    <w:rsid w:val="00396B66"/>
    <w:rsid w:val="003C41B2"/>
    <w:rsid w:val="003C7E89"/>
    <w:rsid w:val="003D00CB"/>
    <w:rsid w:val="003E3D84"/>
    <w:rsid w:val="00407FE8"/>
    <w:rsid w:val="00412265"/>
    <w:rsid w:val="00412478"/>
    <w:rsid w:val="004202BA"/>
    <w:rsid w:val="00427B4E"/>
    <w:rsid w:val="004551C7"/>
    <w:rsid w:val="00460E1D"/>
    <w:rsid w:val="00476B0D"/>
    <w:rsid w:val="004915E7"/>
    <w:rsid w:val="004A40BD"/>
    <w:rsid w:val="004C0847"/>
    <w:rsid w:val="004C33E3"/>
    <w:rsid w:val="00503CF6"/>
    <w:rsid w:val="005227E9"/>
    <w:rsid w:val="00557C09"/>
    <w:rsid w:val="005B1733"/>
    <w:rsid w:val="005C2E7C"/>
    <w:rsid w:val="005E5357"/>
    <w:rsid w:val="00613DA0"/>
    <w:rsid w:val="00631CD5"/>
    <w:rsid w:val="00677992"/>
    <w:rsid w:val="00680739"/>
    <w:rsid w:val="006A1768"/>
    <w:rsid w:val="006C3C69"/>
    <w:rsid w:val="006C6196"/>
    <w:rsid w:val="006D2933"/>
    <w:rsid w:val="007732FC"/>
    <w:rsid w:val="0079160E"/>
    <w:rsid w:val="00791928"/>
    <w:rsid w:val="008172F5"/>
    <w:rsid w:val="008556B1"/>
    <w:rsid w:val="008872C4"/>
    <w:rsid w:val="008A0921"/>
    <w:rsid w:val="008B7C32"/>
    <w:rsid w:val="008D183D"/>
    <w:rsid w:val="008D6CE3"/>
    <w:rsid w:val="00900AC5"/>
    <w:rsid w:val="0090493E"/>
    <w:rsid w:val="00941B1B"/>
    <w:rsid w:val="00957701"/>
    <w:rsid w:val="0097365F"/>
    <w:rsid w:val="0099237D"/>
    <w:rsid w:val="009A1A69"/>
    <w:rsid w:val="009D29B2"/>
    <w:rsid w:val="00A30897"/>
    <w:rsid w:val="00A44002"/>
    <w:rsid w:val="00A440F6"/>
    <w:rsid w:val="00A52EB0"/>
    <w:rsid w:val="00A64319"/>
    <w:rsid w:val="00A724CE"/>
    <w:rsid w:val="00A752F1"/>
    <w:rsid w:val="00A81EC7"/>
    <w:rsid w:val="00A83705"/>
    <w:rsid w:val="00A83A02"/>
    <w:rsid w:val="00A95E97"/>
    <w:rsid w:val="00AB767C"/>
    <w:rsid w:val="00AD3E2D"/>
    <w:rsid w:val="00AE5D49"/>
    <w:rsid w:val="00AF0496"/>
    <w:rsid w:val="00AF54E0"/>
    <w:rsid w:val="00B20615"/>
    <w:rsid w:val="00B20DF2"/>
    <w:rsid w:val="00B31719"/>
    <w:rsid w:val="00B41382"/>
    <w:rsid w:val="00B419D3"/>
    <w:rsid w:val="00B53DE5"/>
    <w:rsid w:val="00B67CF1"/>
    <w:rsid w:val="00B75A31"/>
    <w:rsid w:val="00BB5AFC"/>
    <w:rsid w:val="00BD0A94"/>
    <w:rsid w:val="00BE7046"/>
    <w:rsid w:val="00C00DB2"/>
    <w:rsid w:val="00C1046F"/>
    <w:rsid w:val="00C15C54"/>
    <w:rsid w:val="00C305D4"/>
    <w:rsid w:val="00C36534"/>
    <w:rsid w:val="00C51C7A"/>
    <w:rsid w:val="00C5693F"/>
    <w:rsid w:val="00CA52A1"/>
    <w:rsid w:val="00CE0C1A"/>
    <w:rsid w:val="00CE1C8D"/>
    <w:rsid w:val="00D13F44"/>
    <w:rsid w:val="00D426EF"/>
    <w:rsid w:val="00D50C53"/>
    <w:rsid w:val="00D640E9"/>
    <w:rsid w:val="00D75411"/>
    <w:rsid w:val="00D8279D"/>
    <w:rsid w:val="00DB28BF"/>
    <w:rsid w:val="00DC6DEC"/>
    <w:rsid w:val="00DF1318"/>
    <w:rsid w:val="00DF1FBC"/>
    <w:rsid w:val="00E1276E"/>
    <w:rsid w:val="00E13F89"/>
    <w:rsid w:val="00E5107D"/>
    <w:rsid w:val="00E72BBC"/>
    <w:rsid w:val="00EB166E"/>
    <w:rsid w:val="00ED08F0"/>
    <w:rsid w:val="00EE5943"/>
    <w:rsid w:val="00EF0CB5"/>
    <w:rsid w:val="00EF22D0"/>
    <w:rsid w:val="00EF5802"/>
    <w:rsid w:val="00F00655"/>
    <w:rsid w:val="00F129A3"/>
    <w:rsid w:val="00F231F4"/>
    <w:rsid w:val="00F41825"/>
    <w:rsid w:val="00F432FE"/>
    <w:rsid w:val="00F46B12"/>
    <w:rsid w:val="00F6318D"/>
    <w:rsid w:val="00F63A48"/>
    <w:rsid w:val="00F708C3"/>
    <w:rsid w:val="00F8066F"/>
    <w:rsid w:val="00F827E6"/>
    <w:rsid w:val="00F912DF"/>
    <w:rsid w:val="00F9212A"/>
    <w:rsid w:val="00FA28AD"/>
    <w:rsid w:val="00FA609A"/>
    <w:rsid w:val="00FB03BD"/>
    <w:rsid w:val="00FB0E9B"/>
    <w:rsid w:val="00FB4EC0"/>
    <w:rsid w:val="00FB7F24"/>
    <w:rsid w:val="00FC36DE"/>
    <w:rsid w:val="00FD464B"/>
    <w:rsid w:val="00FD636B"/>
    <w:rsid w:val="00FF270F"/>
    <w:rsid w:val="61AF3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59CFCD"/>
  <w15:docId w15:val="{A5ED1521-976F-444A-8A07-147A93AB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2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19"/>
    <w:rPr>
      <w:sz w:val="22"/>
      <w:szCs w:val="22"/>
    </w:rPr>
  </w:style>
  <w:style w:type="paragraph" w:styleId="Footer">
    <w:name w:val="footer"/>
    <w:basedOn w:val="Normal"/>
    <w:link w:val="FooterChar"/>
    <w:uiPriority w:val="99"/>
    <w:unhideWhenUsed/>
    <w:rsid w:val="00A64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19"/>
    <w:rPr>
      <w:sz w:val="22"/>
      <w:szCs w:val="22"/>
    </w:rPr>
  </w:style>
  <w:style w:type="table" w:styleId="TableGrid">
    <w:name w:val="Table Grid"/>
    <w:basedOn w:val="TableNormal"/>
    <w:uiPriority w:val="39"/>
    <w:rsid w:val="00FF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41B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99"/>
    <w:unhideWhenUsed/>
    <w:rsid w:val="005C2E7C"/>
    <w:pPr>
      <w:ind w:left="720"/>
      <w:contextualSpacing/>
    </w:pPr>
  </w:style>
  <w:style w:type="character" w:styleId="PlaceholderText">
    <w:name w:val="Placeholder Text"/>
    <w:basedOn w:val="DefaultParagraphFont"/>
    <w:uiPriority w:val="99"/>
    <w:unhideWhenUsed/>
    <w:rsid w:val="00F231F4"/>
    <w:rPr>
      <w:color w:val="666666"/>
    </w:rPr>
  </w:style>
  <w:style w:type="character" w:styleId="Hyperlink">
    <w:name w:val="Hyperlink"/>
    <w:basedOn w:val="DefaultParagraphFont"/>
    <w:uiPriority w:val="99"/>
    <w:unhideWhenUsed/>
    <w:rsid w:val="00E72BBC"/>
    <w:rPr>
      <w:color w:val="0563C1" w:themeColor="hyperlink"/>
      <w:u w:val="single"/>
    </w:rPr>
  </w:style>
  <w:style w:type="character" w:customStyle="1" w:styleId="fontstyle01">
    <w:name w:val="fontstyle01"/>
    <w:basedOn w:val="DefaultParagraphFont"/>
    <w:rsid w:val="00EE5943"/>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99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630">
      <w:bodyDiv w:val="1"/>
      <w:marLeft w:val="0"/>
      <w:marRight w:val="0"/>
      <w:marTop w:val="0"/>
      <w:marBottom w:val="0"/>
      <w:divBdr>
        <w:top w:val="none" w:sz="0" w:space="0" w:color="auto"/>
        <w:left w:val="none" w:sz="0" w:space="0" w:color="auto"/>
        <w:bottom w:val="none" w:sz="0" w:space="0" w:color="auto"/>
        <w:right w:val="none" w:sz="0" w:space="0" w:color="auto"/>
      </w:divBdr>
    </w:div>
    <w:div w:id="138739863">
      <w:bodyDiv w:val="1"/>
      <w:marLeft w:val="0"/>
      <w:marRight w:val="0"/>
      <w:marTop w:val="0"/>
      <w:marBottom w:val="0"/>
      <w:divBdr>
        <w:top w:val="none" w:sz="0" w:space="0" w:color="auto"/>
        <w:left w:val="none" w:sz="0" w:space="0" w:color="auto"/>
        <w:bottom w:val="none" w:sz="0" w:space="0" w:color="auto"/>
        <w:right w:val="none" w:sz="0" w:space="0" w:color="auto"/>
      </w:divBdr>
    </w:div>
    <w:div w:id="140537762">
      <w:bodyDiv w:val="1"/>
      <w:marLeft w:val="0"/>
      <w:marRight w:val="0"/>
      <w:marTop w:val="0"/>
      <w:marBottom w:val="0"/>
      <w:divBdr>
        <w:top w:val="none" w:sz="0" w:space="0" w:color="auto"/>
        <w:left w:val="none" w:sz="0" w:space="0" w:color="auto"/>
        <w:bottom w:val="none" w:sz="0" w:space="0" w:color="auto"/>
        <w:right w:val="none" w:sz="0" w:space="0" w:color="auto"/>
      </w:divBdr>
      <w:divsChild>
        <w:div w:id="1162695289">
          <w:marLeft w:val="480"/>
          <w:marRight w:val="0"/>
          <w:marTop w:val="0"/>
          <w:marBottom w:val="0"/>
          <w:divBdr>
            <w:top w:val="none" w:sz="0" w:space="0" w:color="auto"/>
            <w:left w:val="none" w:sz="0" w:space="0" w:color="auto"/>
            <w:bottom w:val="none" w:sz="0" w:space="0" w:color="auto"/>
            <w:right w:val="none" w:sz="0" w:space="0" w:color="auto"/>
          </w:divBdr>
        </w:div>
        <w:div w:id="467086593">
          <w:marLeft w:val="480"/>
          <w:marRight w:val="0"/>
          <w:marTop w:val="0"/>
          <w:marBottom w:val="0"/>
          <w:divBdr>
            <w:top w:val="none" w:sz="0" w:space="0" w:color="auto"/>
            <w:left w:val="none" w:sz="0" w:space="0" w:color="auto"/>
            <w:bottom w:val="none" w:sz="0" w:space="0" w:color="auto"/>
            <w:right w:val="none" w:sz="0" w:space="0" w:color="auto"/>
          </w:divBdr>
        </w:div>
        <w:div w:id="1678458568">
          <w:marLeft w:val="480"/>
          <w:marRight w:val="0"/>
          <w:marTop w:val="0"/>
          <w:marBottom w:val="0"/>
          <w:divBdr>
            <w:top w:val="none" w:sz="0" w:space="0" w:color="auto"/>
            <w:left w:val="none" w:sz="0" w:space="0" w:color="auto"/>
            <w:bottom w:val="none" w:sz="0" w:space="0" w:color="auto"/>
            <w:right w:val="none" w:sz="0" w:space="0" w:color="auto"/>
          </w:divBdr>
        </w:div>
        <w:div w:id="397896788">
          <w:marLeft w:val="480"/>
          <w:marRight w:val="0"/>
          <w:marTop w:val="0"/>
          <w:marBottom w:val="0"/>
          <w:divBdr>
            <w:top w:val="none" w:sz="0" w:space="0" w:color="auto"/>
            <w:left w:val="none" w:sz="0" w:space="0" w:color="auto"/>
            <w:bottom w:val="none" w:sz="0" w:space="0" w:color="auto"/>
            <w:right w:val="none" w:sz="0" w:space="0" w:color="auto"/>
          </w:divBdr>
        </w:div>
        <w:div w:id="78184550">
          <w:marLeft w:val="480"/>
          <w:marRight w:val="0"/>
          <w:marTop w:val="0"/>
          <w:marBottom w:val="0"/>
          <w:divBdr>
            <w:top w:val="none" w:sz="0" w:space="0" w:color="auto"/>
            <w:left w:val="none" w:sz="0" w:space="0" w:color="auto"/>
            <w:bottom w:val="none" w:sz="0" w:space="0" w:color="auto"/>
            <w:right w:val="none" w:sz="0" w:space="0" w:color="auto"/>
          </w:divBdr>
        </w:div>
        <w:div w:id="1170943672">
          <w:marLeft w:val="480"/>
          <w:marRight w:val="0"/>
          <w:marTop w:val="0"/>
          <w:marBottom w:val="0"/>
          <w:divBdr>
            <w:top w:val="none" w:sz="0" w:space="0" w:color="auto"/>
            <w:left w:val="none" w:sz="0" w:space="0" w:color="auto"/>
            <w:bottom w:val="none" w:sz="0" w:space="0" w:color="auto"/>
            <w:right w:val="none" w:sz="0" w:space="0" w:color="auto"/>
          </w:divBdr>
        </w:div>
        <w:div w:id="1261179852">
          <w:marLeft w:val="480"/>
          <w:marRight w:val="0"/>
          <w:marTop w:val="0"/>
          <w:marBottom w:val="0"/>
          <w:divBdr>
            <w:top w:val="none" w:sz="0" w:space="0" w:color="auto"/>
            <w:left w:val="none" w:sz="0" w:space="0" w:color="auto"/>
            <w:bottom w:val="none" w:sz="0" w:space="0" w:color="auto"/>
            <w:right w:val="none" w:sz="0" w:space="0" w:color="auto"/>
          </w:divBdr>
        </w:div>
        <w:div w:id="1463882494">
          <w:marLeft w:val="480"/>
          <w:marRight w:val="0"/>
          <w:marTop w:val="0"/>
          <w:marBottom w:val="0"/>
          <w:divBdr>
            <w:top w:val="none" w:sz="0" w:space="0" w:color="auto"/>
            <w:left w:val="none" w:sz="0" w:space="0" w:color="auto"/>
            <w:bottom w:val="none" w:sz="0" w:space="0" w:color="auto"/>
            <w:right w:val="none" w:sz="0" w:space="0" w:color="auto"/>
          </w:divBdr>
        </w:div>
        <w:div w:id="1994529469">
          <w:marLeft w:val="480"/>
          <w:marRight w:val="0"/>
          <w:marTop w:val="0"/>
          <w:marBottom w:val="0"/>
          <w:divBdr>
            <w:top w:val="none" w:sz="0" w:space="0" w:color="auto"/>
            <w:left w:val="none" w:sz="0" w:space="0" w:color="auto"/>
            <w:bottom w:val="none" w:sz="0" w:space="0" w:color="auto"/>
            <w:right w:val="none" w:sz="0" w:space="0" w:color="auto"/>
          </w:divBdr>
        </w:div>
        <w:div w:id="279265824">
          <w:marLeft w:val="480"/>
          <w:marRight w:val="0"/>
          <w:marTop w:val="0"/>
          <w:marBottom w:val="0"/>
          <w:divBdr>
            <w:top w:val="none" w:sz="0" w:space="0" w:color="auto"/>
            <w:left w:val="none" w:sz="0" w:space="0" w:color="auto"/>
            <w:bottom w:val="none" w:sz="0" w:space="0" w:color="auto"/>
            <w:right w:val="none" w:sz="0" w:space="0" w:color="auto"/>
          </w:divBdr>
        </w:div>
        <w:div w:id="1753697707">
          <w:marLeft w:val="480"/>
          <w:marRight w:val="0"/>
          <w:marTop w:val="0"/>
          <w:marBottom w:val="0"/>
          <w:divBdr>
            <w:top w:val="none" w:sz="0" w:space="0" w:color="auto"/>
            <w:left w:val="none" w:sz="0" w:space="0" w:color="auto"/>
            <w:bottom w:val="none" w:sz="0" w:space="0" w:color="auto"/>
            <w:right w:val="none" w:sz="0" w:space="0" w:color="auto"/>
          </w:divBdr>
        </w:div>
        <w:div w:id="176845423">
          <w:marLeft w:val="480"/>
          <w:marRight w:val="0"/>
          <w:marTop w:val="0"/>
          <w:marBottom w:val="0"/>
          <w:divBdr>
            <w:top w:val="none" w:sz="0" w:space="0" w:color="auto"/>
            <w:left w:val="none" w:sz="0" w:space="0" w:color="auto"/>
            <w:bottom w:val="none" w:sz="0" w:space="0" w:color="auto"/>
            <w:right w:val="none" w:sz="0" w:space="0" w:color="auto"/>
          </w:divBdr>
        </w:div>
      </w:divsChild>
    </w:div>
    <w:div w:id="191235748">
      <w:bodyDiv w:val="1"/>
      <w:marLeft w:val="0"/>
      <w:marRight w:val="0"/>
      <w:marTop w:val="0"/>
      <w:marBottom w:val="0"/>
      <w:divBdr>
        <w:top w:val="none" w:sz="0" w:space="0" w:color="auto"/>
        <w:left w:val="none" w:sz="0" w:space="0" w:color="auto"/>
        <w:bottom w:val="none" w:sz="0" w:space="0" w:color="auto"/>
        <w:right w:val="none" w:sz="0" w:space="0" w:color="auto"/>
      </w:divBdr>
    </w:div>
    <w:div w:id="231627853">
      <w:bodyDiv w:val="1"/>
      <w:marLeft w:val="0"/>
      <w:marRight w:val="0"/>
      <w:marTop w:val="0"/>
      <w:marBottom w:val="0"/>
      <w:divBdr>
        <w:top w:val="none" w:sz="0" w:space="0" w:color="auto"/>
        <w:left w:val="none" w:sz="0" w:space="0" w:color="auto"/>
        <w:bottom w:val="none" w:sz="0" w:space="0" w:color="auto"/>
        <w:right w:val="none" w:sz="0" w:space="0" w:color="auto"/>
      </w:divBdr>
    </w:div>
    <w:div w:id="254023916">
      <w:bodyDiv w:val="1"/>
      <w:marLeft w:val="0"/>
      <w:marRight w:val="0"/>
      <w:marTop w:val="0"/>
      <w:marBottom w:val="0"/>
      <w:divBdr>
        <w:top w:val="none" w:sz="0" w:space="0" w:color="auto"/>
        <w:left w:val="none" w:sz="0" w:space="0" w:color="auto"/>
        <w:bottom w:val="none" w:sz="0" w:space="0" w:color="auto"/>
        <w:right w:val="none" w:sz="0" w:space="0" w:color="auto"/>
      </w:divBdr>
    </w:div>
    <w:div w:id="262229139">
      <w:bodyDiv w:val="1"/>
      <w:marLeft w:val="0"/>
      <w:marRight w:val="0"/>
      <w:marTop w:val="0"/>
      <w:marBottom w:val="0"/>
      <w:divBdr>
        <w:top w:val="none" w:sz="0" w:space="0" w:color="auto"/>
        <w:left w:val="none" w:sz="0" w:space="0" w:color="auto"/>
        <w:bottom w:val="none" w:sz="0" w:space="0" w:color="auto"/>
        <w:right w:val="none" w:sz="0" w:space="0" w:color="auto"/>
      </w:divBdr>
    </w:div>
    <w:div w:id="340360040">
      <w:bodyDiv w:val="1"/>
      <w:marLeft w:val="0"/>
      <w:marRight w:val="0"/>
      <w:marTop w:val="0"/>
      <w:marBottom w:val="0"/>
      <w:divBdr>
        <w:top w:val="none" w:sz="0" w:space="0" w:color="auto"/>
        <w:left w:val="none" w:sz="0" w:space="0" w:color="auto"/>
        <w:bottom w:val="none" w:sz="0" w:space="0" w:color="auto"/>
        <w:right w:val="none" w:sz="0" w:space="0" w:color="auto"/>
      </w:divBdr>
    </w:div>
    <w:div w:id="512184241">
      <w:bodyDiv w:val="1"/>
      <w:marLeft w:val="0"/>
      <w:marRight w:val="0"/>
      <w:marTop w:val="0"/>
      <w:marBottom w:val="0"/>
      <w:divBdr>
        <w:top w:val="none" w:sz="0" w:space="0" w:color="auto"/>
        <w:left w:val="none" w:sz="0" w:space="0" w:color="auto"/>
        <w:bottom w:val="none" w:sz="0" w:space="0" w:color="auto"/>
        <w:right w:val="none" w:sz="0" w:space="0" w:color="auto"/>
      </w:divBdr>
    </w:div>
    <w:div w:id="631055970">
      <w:bodyDiv w:val="1"/>
      <w:marLeft w:val="0"/>
      <w:marRight w:val="0"/>
      <w:marTop w:val="0"/>
      <w:marBottom w:val="0"/>
      <w:divBdr>
        <w:top w:val="none" w:sz="0" w:space="0" w:color="auto"/>
        <w:left w:val="none" w:sz="0" w:space="0" w:color="auto"/>
        <w:bottom w:val="none" w:sz="0" w:space="0" w:color="auto"/>
        <w:right w:val="none" w:sz="0" w:space="0" w:color="auto"/>
      </w:divBdr>
    </w:div>
    <w:div w:id="686098026">
      <w:bodyDiv w:val="1"/>
      <w:marLeft w:val="0"/>
      <w:marRight w:val="0"/>
      <w:marTop w:val="0"/>
      <w:marBottom w:val="0"/>
      <w:divBdr>
        <w:top w:val="none" w:sz="0" w:space="0" w:color="auto"/>
        <w:left w:val="none" w:sz="0" w:space="0" w:color="auto"/>
        <w:bottom w:val="none" w:sz="0" w:space="0" w:color="auto"/>
        <w:right w:val="none" w:sz="0" w:space="0" w:color="auto"/>
      </w:divBdr>
    </w:div>
    <w:div w:id="784931722">
      <w:bodyDiv w:val="1"/>
      <w:marLeft w:val="0"/>
      <w:marRight w:val="0"/>
      <w:marTop w:val="0"/>
      <w:marBottom w:val="0"/>
      <w:divBdr>
        <w:top w:val="none" w:sz="0" w:space="0" w:color="auto"/>
        <w:left w:val="none" w:sz="0" w:space="0" w:color="auto"/>
        <w:bottom w:val="none" w:sz="0" w:space="0" w:color="auto"/>
        <w:right w:val="none" w:sz="0" w:space="0" w:color="auto"/>
      </w:divBdr>
    </w:div>
    <w:div w:id="837841572">
      <w:bodyDiv w:val="1"/>
      <w:marLeft w:val="0"/>
      <w:marRight w:val="0"/>
      <w:marTop w:val="0"/>
      <w:marBottom w:val="0"/>
      <w:divBdr>
        <w:top w:val="none" w:sz="0" w:space="0" w:color="auto"/>
        <w:left w:val="none" w:sz="0" w:space="0" w:color="auto"/>
        <w:bottom w:val="none" w:sz="0" w:space="0" w:color="auto"/>
        <w:right w:val="none" w:sz="0" w:space="0" w:color="auto"/>
      </w:divBdr>
    </w:div>
    <w:div w:id="951018309">
      <w:bodyDiv w:val="1"/>
      <w:marLeft w:val="0"/>
      <w:marRight w:val="0"/>
      <w:marTop w:val="0"/>
      <w:marBottom w:val="0"/>
      <w:divBdr>
        <w:top w:val="none" w:sz="0" w:space="0" w:color="auto"/>
        <w:left w:val="none" w:sz="0" w:space="0" w:color="auto"/>
        <w:bottom w:val="none" w:sz="0" w:space="0" w:color="auto"/>
        <w:right w:val="none" w:sz="0" w:space="0" w:color="auto"/>
      </w:divBdr>
    </w:div>
    <w:div w:id="997877088">
      <w:bodyDiv w:val="1"/>
      <w:marLeft w:val="0"/>
      <w:marRight w:val="0"/>
      <w:marTop w:val="0"/>
      <w:marBottom w:val="0"/>
      <w:divBdr>
        <w:top w:val="none" w:sz="0" w:space="0" w:color="auto"/>
        <w:left w:val="none" w:sz="0" w:space="0" w:color="auto"/>
        <w:bottom w:val="none" w:sz="0" w:space="0" w:color="auto"/>
        <w:right w:val="none" w:sz="0" w:space="0" w:color="auto"/>
      </w:divBdr>
    </w:div>
    <w:div w:id="1085111888">
      <w:bodyDiv w:val="1"/>
      <w:marLeft w:val="0"/>
      <w:marRight w:val="0"/>
      <w:marTop w:val="0"/>
      <w:marBottom w:val="0"/>
      <w:divBdr>
        <w:top w:val="none" w:sz="0" w:space="0" w:color="auto"/>
        <w:left w:val="none" w:sz="0" w:space="0" w:color="auto"/>
        <w:bottom w:val="none" w:sz="0" w:space="0" w:color="auto"/>
        <w:right w:val="none" w:sz="0" w:space="0" w:color="auto"/>
      </w:divBdr>
    </w:div>
    <w:div w:id="1098333337">
      <w:bodyDiv w:val="1"/>
      <w:marLeft w:val="0"/>
      <w:marRight w:val="0"/>
      <w:marTop w:val="0"/>
      <w:marBottom w:val="0"/>
      <w:divBdr>
        <w:top w:val="none" w:sz="0" w:space="0" w:color="auto"/>
        <w:left w:val="none" w:sz="0" w:space="0" w:color="auto"/>
        <w:bottom w:val="none" w:sz="0" w:space="0" w:color="auto"/>
        <w:right w:val="none" w:sz="0" w:space="0" w:color="auto"/>
      </w:divBdr>
    </w:div>
    <w:div w:id="1121724229">
      <w:bodyDiv w:val="1"/>
      <w:marLeft w:val="0"/>
      <w:marRight w:val="0"/>
      <w:marTop w:val="0"/>
      <w:marBottom w:val="0"/>
      <w:divBdr>
        <w:top w:val="none" w:sz="0" w:space="0" w:color="auto"/>
        <w:left w:val="none" w:sz="0" w:space="0" w:color="auto"/>
        <w:bottom w:val="none" w:sz="0" w:space="0" w:color="auto"/>
        <w:right w:val="none" w:sz="0" w:space="0" w:color="auto"/>
      </w:divBdr>
    </w:div>
    <w:div w:id="1152480346">
      <w:bodyDiv w:val="1"/>
      <w:marLeft w:val="0"/>
      <w:marRight w:val="0"/>
      <w:marTop w:val="0"/>
      <w:marBottom w:val="0"/>
      <w:divBdr>
        <w:top w:val="none" w:sz="0" w:space="0" w:color="auto"/>
        <w:left w:val="none" w:sz="0" w:space="0" w:color="auto"/>
        <w:bottom w:val="none" w:sz="0" w:space="0" w:color="auto"/>
        <w:right w:val="none" w:sz="0" w:space="0" w:color="auto"/>
      </w:divBdr>
    </w:div>
    <w:div w:id="1215853467">
      <w:bodyDiv w:val="1"/>
      <w:marLeft w:val="0"/>
      <w:marRight w:val="0"/>
      <w:marTop w:val="0"/>
      <w:marBottom w:val="0"/>
      <w:divBdr>
        <w:top w:val="none" w:sz="0" w:space="0" w:color="auto"/>
        <w:left w:val="none" w:sz="0" w:space="0" w:color="auto"/>
        <w:bottom w:val="none" w:sz="0" w:space="0" w:color="auto"/>
        <w:right w:val="none" w:sz="0" w:space="0" w:color="auto"/>
      </w:divBdr>
      <w:divsChild>
        <w:div w:id="614756978">
          <w:marLeft w:val="640"/>
          <w:marRight w:val="0"/>
          <w:marTop w:val="0"/>
          <w:marBottom w:val="0"/>
          <w:divBdr>
            <w:top w:val="none" w:sz="0" w:space="0" w:color="auto"/>
            <w:left w:val="none" w:sz="0" w:space="0" w:color="auto"/>
            <w:bottom w:val="none" w:sz="0" w:space="0" w:color="auto"/>
            <w:right w:val="none" w:sz="0" w:space="0" w:color="auto"/>
          </w:divBdr>
        </w:div>
        <w:div w:id="460542195">
          <w:marLeft w:val="640"/>
          <w:marRight w:val="0"/>
          <w:marTop w:val="0"/>
          <w:marBottom w:val="0"/>
          <w:divBdr>
            <w:top w:val="none" w:sz="0" w:space="0" w:color="auto"/>
            <w:left w:val="none" w:sz="0" w:space="0" w:color="auto"/>
            <w:bottom w:val="none" w:sz="0" w:space="0" w:color="auto"/>
            <w:right w:val="none" w:sz="0" w:space="0" w:color="auto"/>
          </w:divBdr>
        </w:div>
        <w:div w:id="269554683">
          <w:marLeft w:val="640"/>
          <w:marRight w:val="0"/>
          <w:marTop w:val="0"/>
          <w:marBottom w:val="0"/>
          <w:divBdr>
            <w:top w:val="none" w:sz="0" w:space="0" w:color="auto"/>
            <w:left w:val="none" w:sz="0" w:space="0" w:color="auto"/>
            <w:bottom w:val="none" w:sz="0" w:space="0" w:color="auto"/>
            <w:right w:val="none" w:sz="0" w:space="0" w:color="auto"/>
          </w:divBdr>
        </w:div>
        <w:div w:id="2141259966">
          <w:marLeft w:val="640"/>
          <w:marRight w:val="0"/>
          <w:marTop w:val="0"/>
          <w:marBottom w:val="0"/>
          <w:divBdr>
            <w:top w:val="none" w:sz="0" w:space="0" w:color="auto"/>
            <w:left w:val="none" w:sz="0" w:space="0" w:color="auto"/>
            <w:bottom w:val="none" w:sz="0" w:space="0" w:color="auto"/>
            <w:right w:val="none" w:sz="0" w:space="0" w:color="auto"/>
          </w:divBdr>
        </w:div>
        <w:div w:id="970129597">
          <w:marLeft w:val="640"/>
          <w:marRight w:val="0"/>
          <w:marTop w:val="0"/>
          <w:marBottom w:val="0"/>
          <w:divBdr>
            <w:top w:val="none" w:sz="0" w:space="0" w:color="auto"/>
            <w:left w:val="none" w:sz="0" w:space="0" w:color="auto"/>
            <w:bottom w:val="none" w:sz="0" w:space="0" w:color="auto"/>
            <w:right w:val="none" w:sz="0" w:space="0" w:color="auto"/>
          </w:divBdr>
        </w:div>
        <w:div w:id="146017754">
          <w:marLeft w:val="640"/>
          <w:marRight w:val="0"/>
          <w:marTop w:val="0"/>
          <w:marBottom w:val="0"/>
          <w:divBdr>
            <w:top w:val="none" w:sz="0" w:space="0" w:color="auto"/>
            <w:left w:val="none" w:sz="0" w:space="0" w:color="auto"/>
            <w:bottom w:val="none" w:sz="0" w:space="0" w:color="auto"/>
            <w:right w:val="none" w:sz="0" w:space="0" w:color="auto"/>
          </w:divBdr>
        </w:div>
        <w:div w:id="338893869">
          <w:marLeft w:val="640"/>
          <w:marRight w:val="0"/>
          <w:marTop w:val="0"/>
          <w:marBottom w:val="0"/>
          <w:divBdr>
            <w:top w:val="none" w:sz="0" w:space="0" w:color="auto"/>
            <w:left w:val="none" w:sz="0" w:space="0" w:color="auto"/>
            <w:bottom w:val="none" w:sz="0" w:space="0" w:color="auto"/>
            <w:right w:val="none" w:sz="0" w:space="0" w:color="auto"/>
          </w:divBdr>
        </w:div>
        <w:div w:id="1415936967">
          <w:marLeft w:val="640"/>
          <w:marRight w:val="0"/>
          <w:marTop w:val="0"/>
          <w:marBottom w:val="0"/>
          <w:divBdr>
            <w:top w:val="none" w:sz="0" w:space="0" w:color="auto"/>
            <w:left w:val="none" w:sz="0" w:space="0" w:color="auto"/>
            <w:bottom w:val="none" w:sz="0" w:space="0" w:color="auto"/>
            <w:right w:val="none" w:sz="0" w:space="0" w:color="auto"/>
          </w:divBdr>
        </w:div>
        <w:div w:id="1882355680">
          <w:marLeft w:val="640"/>
          <w:marRight w:val="0"/>
          <w:marTop w:val="0"/>
          <w:marBottom w:val="0"/>
          <w:divBdr>
            <w:top w:val="none" w:sz="0" w:space="0" w:color="auto"/>
            <w:left w:val="none" w:sz="0" w:space="0" w:color="auto"/>
            <w:bottom w:val="none" w:sz="0" w:space="0" w:color="auto"/>
            <w:right w:val="none" w:sz="0" w:space="0" w:color="auto"/>
          </w:divBdr>
        </w:div>
        <w:div w:id="857084085">
          <w:marLeft w:val="640"/>
          <w:marRight w:val="0"/>
          <w:marTop w:val="0"/>
          <w:marBottom w:val="0"/>
          <w:divBdr>
            <w:top w:val="none" w:sz="0" w:space="0" w:color="auto"/>
            <w:left w:val="none" w:sz="0" w:space="0" w:color="auto"/>
            <w:bottom w:val="none" w:sz="0" w:space="0" w:color="auto"/>
            <w:right w:val="none" w:sz="0" w:space="0" w:color="auto"/>
          </w:divBdr>
        </w:div>
        <w:div w:id="1884979196">
          <w:marLeft w:val="640"/>
          <w:marRight w:val="0"/>
          <w:marTop w:val="0"/>
          <w:marBottom w:val="0"/>
          <w:divBdr>
            <w:top w:val="none" w:sz="0" w:space="0" w:color="auto"/>
            <w:left w:val="none" w:sz="0" w:space="0" w:color="auto"/>
            <w:bottom w:val="none" w:sz="0" w:space="0" w:color="auto"/>
            <w:right w:val="none" w:sz="0" w:space="0" w:color="auto"/>
          </w:divBdr>
        </w:div>
        <w:div w:id="1061321608">
          <w:marLeft w:val="640"/>
          <w:marRight w:val="0"/>
          <w:marTop w:val="0"/>
          <w:marBottom w:val="0"/>
          <w:divBdr>
            <w:top w:val="none" w:sz="0" w:space="0" w:color="auto"/>
            <w:left w:val="none" w:sz="0" w:space="0" w:color="auto"/>
            <w:bottom w:val="none" w:sz="0" w:space="0" w:color="auto"/>
            <w:right w:val="none" w:sz="0" w:space="0" w:color="auto"/>
          </w:divBdr>
        </w:div>
      </w:divsChild>
    </w:div>
    <w:div w:id="1286697745">
      <w:bodyDiv w:val="1"/>
      <w:marLeft w:val="0"/>
      <w:marRight w:val="0"/>
      <w:marTop w:val="0"/>
      <w:marBottom w:val="0"/>
      <w:divBdr>
        <w:top w:val="none" w:sz="0" w:space="0" w:color="auto"/>
        <w:left w:val="none" w:sz="0" w:space="0" w:color="auto"/>
        <w:bottom w:val="none" w:sz="0" w:space="0" w:color="auto"/>
        <w:right w:val="none" w:sz="0" w:space="0" w:color="auto"/>
      </w:divBdr>
    </w:div>
    <w:div w:id="1387988045">
      <w:bodyDiv w:val="1"/>
      <w:marLeft w:val="0"/>
      <w:marRight w:val="0"/>
      <w:marTop w:val="0"/>
      <w:marBottom w:val="0"/>
      <w:divBdr>
        <w:top w:val="none" w:sz="0" w:space="0" w:color="auto"/>
        <w:left w:val="none" w:sz="0" w:space="0" w:color="auto"/>
        <w:bottom w:val="none" w:sz="0" w:space="0" w:color="auto"/>
        <w:right w:val="none" w:sz="0" w:space="0" w:color="auto"/>
      </w:divBdr>
    </w:div>
    <w:div w:id="1441489037">
      <w:bodyDiv w:val="1"/>
      <w:marLeft w:val="0"/>
      <w:marRight w:val="0"/>
      <w:marTop w:val="0"/>
      <w:marBottom w:val="0"/>
      <w:divBdr>
        <w:top w:val="none" w:sz="0" w:space="0" w:color="auto"/>
        <w:left w:val="none" w:sz="0" w:space="0" w:color="auto"/>
        <w:bottom w:val="none" w:sz="0" w:space="0" w:color="auto"/>
        <w:right w:val="none" w:sz="0" w:space="0" w:color="auto"/>
      </w:divBdr>
    </w:div>
    <w:div w:id="1502741248">
      <w:bodyDiv w:val="1"/>
      <w:marLeft w:val="0"/>
      <w:marRight w:val="0"/>
      <w:marTop w:val="0"/>
      <w:marBottom w:val="0"/>
      <w:divBdr>
        <w:top w:val="none" w:sz="0" w:space="0" w:color="auto"/>
        <w:left w:val="none" w:sz="0" w:space="0" w:color="auto"/>
        <w:bottom w:val="none" w:sz="0" w:space="0" w:color="auto"/>
        <w:right w:val="none" w:sz="0" w:space="0" w:color="auto"/>
      </w:divBdr>
    </w:div>
    <w:div w:id="1570143844">
      <w:bodyDiv w:val="1"/>
      <w:marLeft w:val="0"/>
      <w:marRight w:val="0"/>
      <w:marTop w:val="0"/>
      <w:marBottom w:val="0"/>
      <w:divBdr>
        <w:top w:val="none" w:sz="0" w:space="0" w:color="auto"/>
        <w:left w:val="none" w:sz="0" w:space="0" w:color="auto"/>
        <w:bottom w:val="none" w:sz="0" w:space="0" w:color="auto"/>
        <w:right w:val="none" w:sz="0" w:space="0" w:color="auto"/>
      </w:divBdr>
    </w:div>
    <w:div w:id="1773092182">
      <w:bodyDiv w:val="1"/>
      <w:marLeft w:val="0"/>
      <w:marRight w:val="0"/>
      <w:marTop w:val="0"/>
      <w:marBottom w:val="0"/>
      <w:divBdr>
        <w:top w:val="none" w:sz="0" w:space="0" w:color="auto"/>
        <w:left w:val="none" w:sz="0" w:space="0" w:color="auto"/>
        <w:bottom w:val="none" w:sz="0" w:space="0" w:color="auto"/>
        <w:right w:val="none" w:sz="0" w:space="0" w:color="auto"/>
      </w:divBdr>
    </w:div>
    <w:div w:id="1970620558">
      <w:bodyDiv w:val="1"/>
      <w:marLeft w:val="0"/>
      <w:marRight w:val="0"/>
      <w:marTop w:val="0"/>
      <w:marBottom w:val="0"/>
      <w:divBdr>
        <w:top w:val="none" w:sz="0" w:space="0" w:color="auto"/>
        <w:left w:val="none" w:sz="0" w:space="0" w:color="auto"/>
        <w:bottom w:val="none" w:sz="0" w:space="0" w:color="auto"/>
        <w:right w:val="none" w:sz="0" w:space="0" w:color="auto"/>
      </w:divBdr>
    </w:div>
    <w:div w:id="1987127014">
      <w:bodyDiv w:val="1"/>
      <w:marLeft w:val="0"/>
      <w:marRight w:val="0"/>
      <w:marTop w:val="0"/>
      <w:marBottom w:val="0"/>
      <w:divBdr>
        <w:top w:val="none" w:sz="0" w:space="0" w:color="auto"/>
        <w:left w:val="none" w:sz="0" w:space="0" w:color="auto"/>
        <w:bottom w:val="none" w:sz="0" w:space="0" w:color="auto"/>
        <w:right w:val="none" w:sz="0" w:space="0" w:color="auto"/>
      </w:divBdr>
    </w:div>
    <w:div w:id="203870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0E9D5C-F74C-4770-A689-922755419D82}"/>
      </w:docPartPr>
      <w:docPartBody>
        <w:p w:rsidR="00F178CC" w:rsidRDefault="004479FA">
          <w:r w:rsidRPr="001D34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FA"/>
    <w:rsid w:val="00034227"/>
    <w:rsid w:val="000479C2"/>
    <w:rsid w:val="000B77BE"/>
    <w:rsid w:val="00407FE8"/>
    <w:rsid w:val="00412F3D"/>
    <w:rsid w:val="00415DA7"/>
    <w:rsid w:val="004479FA"/>
    <w:rsid w:val="00556EEC"/>
    <w:rsid w:val="00557C09"/>
    <w:rsid w:val="005C25D0"/>
    <w:rsid w:val="0075379B"/>
    <w:rsid w:val="00910E1E"/>
    <w:rsid w:val="00986BAB"/>
    <w:rsid w:val="00A440F6"/>
    <w:rsid w:val="00C13D0E"/>
    <w:rsid w:val="00DA433C"/>
    <w:rsid w:val="00DC7474"/>
    <w:rsid w:val="00E33A86"/>
    <w:rsid w:val="00EF5802"/>
    <w:rsid w:val="00F178CC"/>
    <w:rsid w:val="00FB72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479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959B07-4D1F-4D02-82F4-93491C92E448}">
  <we:reference id="wa104382081" version="1.55.1.0" store="en-US" storeType="OMEX"/>
  <we:alternateReferences>
    <we:reference id="wa104382081" version="1.55.1.0" store="" storeType="OMEX"/>
  </we:alternateReferences>
  <we:properties>
    <we:property name="MENDELEY_CITATIONS" value="[{&quot;citationID&quot;:&quot;MENDELEY_CITATION_50d34263-d617-4d7e-8293-352a8b0e5e9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&quot;,&quot;citationItems&quot;:[{&quot;id&quot;:&quot;58e1b318-a490-3748-8a9b-56893fe7c619&quot;,&quot;itemData&quot;:{&quot;type&quot;:&quot;article-journal&quot;,&quot;id&quot;:&quot;58e1b318-a490-3748-8a9b-56893fe7c619&quot;,&quot;title&quot;:&quot;Pure Red Cell Aplasia Caused by Parvovirus B19 in Patients with Human Immunodeficiency Virus Infection: A Series of Four Cases&quot;,&quot;author&quot;:[{&quot;family&quot;:&quot;Xu&quot;,&quot;given&quot;:&quot;Feilong&quot;,&quot;parse-names&quot;:false,&quot;dropping-particle&quot;:&quot;&quot;,&quot;non-dropping-particle&quot;:&quot;&quot;},{&quot;family&quot;:&quot;Wang&quot;,&quot;given&quot;:&quot;Yulong&quot;,&quot;parse-names&quot;:false,&quot;dropping-particle&quot;:&quot;&quot;,&quot;non-dropping-particle&quot;:&quot;&quot;},{&quot;family&quot;:&quot;Fan&quot;,&quot;given&quot;:&quot;Linjin&quot;,&quot;parse-names&quot;:false,&quot;dropping-particle&quot;:&quot;&quot;,&quot;non-dropping-particle&quot;:&quot;&quot;},{&quot;family&quot;:&quot;He&quot;,&quot;given&quot;:&quot;Yaozu&quot;,&quot;parse-names&quot;:false,&quot;dropping-particle&quot;:&quot;&quot;,&quot;non-dropping-particle&quot;:&quot;&quot;},{&quot;family&quot;:&quot;Chen&quot;,&quot;given&quot;:&quot;Xiejie&quot;,&quot;parse-names&quot;:false,&quot;dropping-particle&quot;:&quot;&quot;,&quot;non-dropping-particle&quot;:&quot;&quot;},{&quot;family&quot;:&quot;Ye&quot;,&quot;given&quot;:&quot;Pengfei&quot;,&quot;parse-names&quot;:false,&quot;dropping-particle&quot;:&quot;&quot;,&quot;non-dropping-particle&quot;:&quot;&quot;},{&quot;family&quot;:&quot;Liu&quot;,&quot;given&quot;:&quot;Linna&quot;,&quot;parse-names&quot;:false,&quot;dropping-particle&quot;:&quot;&quot;,&quot;non-dropping-particle&quot;:&quot;&quot;},{&quot;family&quot;:&quot;Qian&quot;,&quot;given&quot;:&quot;Jun&quot;,&quot;parse-names&quot;:false,&quot;dropping-particle&quot;:&quot;&quot;,&quot;non-dropping-particle&quot;:&quot;&quot;},{&quot;family&quot;:&quot;Li&quot;,&quot;given&quot;:&quot;Linghua&quot;,&quot;parse-names&quot;:false,&quot;dropping-particle&quot;:&quot;&quot;,&quot;non-dropping-particle&quot;:&quot;&quot;}],&quot;container-title&quot;:&quot;Medicine&quot;,&quot;container-title-short&quot;:&quot;Medicine&quot;,&quot;accessed&quot;:{&quot;date-parts&quot;:[[2024,11,23]]},&quot;DOI&quot;:&quot;10.1097/ID9.0000000000000091&quot;,&quot;ISSN&quot;:&quot;15365964&quot;,&quot;URL&quot;:&quot;https://pmc.ncbi.nlm.nih.gov/articles/PMC10368220/&quot;,&quot;issued&quot;:{&quot;date-parts&quot;:[[2023,7,1]]},&quot;page&quot;:&quot;132&quot;,&quot;abstract&quot;:&quot;Parvovirus B19 (B19V) infection can cause pure red cell aplasia (PRCA) in patients with human immunodeficiency virus (HIV) infection. Intravenous immunoglobulin (IVIG) is a preferred treatment option. From July 2019 to March 2022, four patients with HIV infection were admitted to Guangzhou Eighth People's Hospital with dizziness and fatigue and were diagnosed with PRCA. Blood investigations revealed severe anemia and the B19V genome. Therefore, the four patients were diagnosed with B19V-induced PRCA. All four patients received red blood cell transfusion in the setting of antiretroviral therapy, and two of the four patients received intravenous immunoglobulin (IVIG). After 3-7 months of treatment, all four patients recovered, although two did not receive IVIG. This suggests that IVIG is not always necessary for the treatment of PRCA in patients with HIV infection and that effective antiretroviral therapy and immunological reconstitution play an important role in the eradication of parvovirus.&quot;,&quot;publisher&quot;:&quot;Lippincott Williams and Wilkins&quot;,&quot;issue&quot;:&quot;3&quot;,&quot;volume&quot;:&quot;3&quot;},&quot;isTemporary&quot;:false,&quot;suppress-author&quot;:false,&quot;composite&quot;:false,&quot;author-only&quot;:false}]},{&quot;citationID&quot;:&quot;MENDELEY_CITATION_b86383af-679f-4716-8ed9-27b7c990ffc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&quot;,&quot;citationItems&quot;:[{&quot;id&quot;:&quot;97124430-f18c-3813-ad12-7b64aba9e45b&quot;,&quot;itemData&quot;:{&quot;type&quot;:&quot;article-journal&quot;,&quot;id&quot;:&quot;97124430-f18c-3813-ad12-7b64aba9e45b&quot;,&quot;title&quot;:&quot;Anemia and thrombocytopenia in people living with HIV/AIDS: a narrative literature review&quot;,&quot;author&quot;:[{&quot;family&quot;:&quot;Marchionatti&quot;,&quot;given&quot;:&quot;Amanda&quot;,&quot;parse-names&quot;:false,&quot;dropping-particle&quot;:&quot;&quot;,&quot;non-dropping-particle&quot;:&quot;&quot;},{&quot;family&quot;:&quot;Parisi&quot;,&quot;given&quot;:&quot;Mariana Migliorini&quot;,&quot;parse-names&quot;:false,&quot;dropping-particle&quot;:&quot;&quot;,&quot;non-dropping-particle&quot;:&quot;&quot;}],&quot;container-title&quot;:&quot;International health&quot;,&quot;container-title-short&quot;:&quot;Int Health&quot;,&quot;accessed&quot;:{&quot;date-parts&quot;:[[2024,11,23]]},&quot;DOI&quot;:&quot;10.1093/INTHEALTH/IHAA036&quot;,&quot;ISSN&quot;:&quot;1876-3405&quot;,&quot;PMID&quot;:&quot;32623456&quot;,&quot;URL&quot;:&quot;https://pubmed.ncbi.nlm.nih.gov/32623456/&quot;,&quot;issued&quot;:{&quot;date-parts&quot;:[[2021,3,1]]},&quot;page&quot;:&quot;98-109&quot;,&quot;abstract&quot;:&quot;Hematologic changes are frequent complications in people living with HIV/AIDS (PLWHA). Anemia and thrombocytopenia are the most frequent multifactorial hematologic abnormalities and are associated with a low quality of life and high death rates. This study aims to describe the prevalence of anemia and thrombocytopenia in PLWHA and to identify the main clinical characteristics that aggravate these conditions in studies published in the last 10 y. A comprehensive search was performed on the PUBMED database, using the terms 'HIV infection and anemia' and 'HIV infection and thrombocytopenia'. Additional searches were made in the reference lists of articles covering the theme. The selected studies reported an overall prevalence of anemia from 7.2% to 84% and of thrombocytopenia from 4.5% to 26.2%. The prevalence of thrombocytopenia and anemia were aggravated by a CD4+ T lymphocyte count of &lt;200 cells/μL, increased viral load and coinfections or opportunistic infections. Antiviral therapy (ART) shows a beneficial effect, reducing the frequencies of thrombocytopenia and anemia, except in a zidovudine-based ART regimen, which worsens the anemic condition. Because anemia and thrombocytopenia are treatable comorbidities associated with increased mortality among PLWHA, physicians should monitor these risk factors in order to establish better interventions and reduce morbidity and mortality in PLWHA.&quot;,&quot;publisher&quot;:&quot;Int Health&quot;,&quot;issue&quot;:&quot;2&quot;,&quot;volume&quot;:&quot;13&quot;},&quot;isTemporary&quot;:false},{&quot;id&quot;:&quot;3fa0cad3-76f9-35a9-bd39-aa6fe58bfeeb&quot;,&quot;itemData&quot;:{&quot;type&quot;:&quot;article-journal&quot;,&quot;id&quot;:&quot;3fa0cad3-76f9-35a9-bd39-aa6fe58bfeeb&quot;,&quot;title&quot;:&quot;Anemia in HIV infection: clinical impact and evidence-based management strategies&quot;,&quot;author&quot;:[{&quot;family&quot;:&quot;Volberding&quot;,&quot;given&quot;:&quot;Paul A.&quot;,&quot;parse-names&quot;:false,&quot;dropping-particle&quot;:&quot;&quot;,&quot;non-dropping-particle&quot;:&quot;&quot;},{&quot;family&quot;:&quot;Levine&quot;,&quot;given&quot;:&quot;Alexandra M.&quot;,&quot;parse-names&quot;:false,&quot;dropping-particle&quot;:&quot;&quot;,&quot;non-dropping-particle&quot;:&quot;&quot;},{&quot;family&quot;:&quot;Dieterich&quot;,&quot;given&quot;:&quot;Douglas&quot;,&quot;parse-names&quot;:false,&quot;dropping-particle&quot;:&quot;&quot;,&quot;non-dropping-particle&quot;:&quot;&quot;},{&quot;family&quot;:&quot;Mildvan&quot;,&quot;given&quot;:&quot;Donna&quot;,&quot;parse-names&quot;:false,&quot;dropping-particle&quot;:&quot;&quot;,&quot;non-dropping-particle&quot;:&quot;&quot;},{&quot;family&quot;:&quot;Mitsuyasu&quot;,&quot;given&quot;:&quot;Ronald&quot;,&quot;parse-names&quot;:false,&quot;dropping-particle&quot;:&quot;&quot;,&quot;non-dropping-particle&quot;:&quot;&quot;},{&quot;family&quot;:&quot;Saag&quot;,&quot;given&quot;:&quot;Michael&quot;,&quot;parse-names&quot;:false,&quot;dropping-particle&quot;:&quot;&quot;,&quot;non-dropping-particle&quot;:&quot;&quot;}],&quot;container-title&quot;:&quot;Clinical infectious diseases : an official publication of the Infectious Diseases Society of America&quot;,&quot;container-title-short&quot;:&quot;Clin Infect Dis&quot;,&quot;accessed&quot;:{&quot;date-parts&quot;:[[2024,11,23]]},&quot;DOI&quot;:&quot;10.1086/383031&quot;,&quot;ISSN&quot;:&quot;1537-6591&quot;,&quot;PMID&quot;:&quot;15156485&quot;,&quot;URL&quot;:&quot;https://pubmed.ncbi.nlm.nih.gov/15156485/&quot;,&quot;issued&quot;:{&quot;date-parts&quot;:[[2004,5,15]]},&quot;page&quot;:&quot;1454-1463&quot;,&quot;abstract&quot;:&quot;Anemia in human immunodeficiency virus (HIV)-infected patients can have serious implications, which vary from functional and quality-of-life decrements to an association with disease progression and decreased survival. In 2002, 16 members of the Anemia in HIV Working Group, an expert panel of physicians involved in the care of HIV-infected patients that met first in 1998, reconvened to assess new data and to translate these data into evidence-based treatment guidelines. The group reached consensus on the prevalence of anemia in the highly active antiretroviral therapy era; the risk factors that are independently associated with the development of anemia; the impact of anemia on quality of life, physical functioning, and survival; the impact of the treatment of hepatitis C virus coinfection on anemia in HIV-infected patients; evidence-based guidelines for treatment of anemia in HIV-infected patients, including the therapeutic role of epoetin alfa; and directions for future research.&quot;,&quot;publisher&quot;:&quot;Clin Infect Dis&quot;,&quot;issue&quot;:&quot;10&quot;,&quot;volume&quot;:&quot;38&quot;},&quot;isTemporary&quot;:false},{&quot;id&quot;:&quot;20021941-619a-3ee5-877f-6ceab1395f99&quot;,&quot;itemData&quot;:{&quot;type&quot;:&quot;article-journal&quot;,&quot;id&quot;:&quot;20021941-619a-3ee5-877f-6ceab1395f99&quot;,&quot;title&quot;:&quot;Lamivudine induced pure red cell aplasia and HIV-1 drug resistance-associated mutations: a case report&quot;,&quot;author&quot;:[{&quot;family&quot;:&quot;Kakubu&quot;,&quot;given&quot;:&quot;Mireille A.M.&quot;,&quot;parse-names&quot;:false,&quot;dropping-particle&quot;:&quot;&quot;,&quot;non-dropping-particle&quot;:&quot;&quot;},{&quot;family&quot;:&quot;Bikinesi&quot;,&quot;given&quot;:&quot;Tarisai&quot;,&quot;parse-names&quot;:false,&quot;dropping-particle&quot;:&quot;&quot;,&quot;non-dropping-particle&quot;:&quot;&quot;},{&quot;family&quot;:&quot;Katoto&quot;,&quot;given&quot;:&quot;Patrick D.M.C.&quot;,&quot;parse-names&quot;:false,&quot;dropping-particle&quot;:&quot;&quot;,&quot;non-dropping-particle&quot;:&quot;&quot;}],&quot;container-title&quot;:&quot;Oxford medical case reports&quot;,&quot;container-title-short&quot;:&quot;Oxf Med Case Reports&quot;,&quot;accessed&quot;:{&quot;date-parts&quot;:[[2024,11,23]]},&quot;DOI&quot;:&quot;10.1093/OMCR/OMAD022&quot;,&quot;ISSN&quot;:&quot;2053-8855&quot;,&quot;PMID&quot;:&quot;36993835&quot;,&quot;URL&quot;:&quot;https://pubmed.ncbi.nlm.nih.gov/36993835/&quot;,&quot;issued&quot;:{&quot;date-parts&quot;:[[2023,3,1]]},&quot;page&quot;:&quot;106-109&quot;,&quot;abstract&quot;:&quot;Adverse effects linked to antiretroviral therapy (ART) may contribute to poor adherence on the patient's side. Consequently, human immunodeficiency virus (HIV) drug resistance mutations could emerge, negatively impacting the body's immune system. Meanwhile, severe immunosuppression can lead to several conditions, including anemia. The cause of anemia in HIV infection is multifactorial, and can be mainly explained by deleterious direct effects of the virus on the bone marrow, and opportunistic infections such as Parvovirus B19. Other causes include blood loss resulting from neoplasms and gastrointestinal lesions. Moreover, anemia can also be caused by antiretroviral drugs. We report a case of persistent anemia after ART initiation, kidney injury and treatment failure following a lengthy period of non-adherence to ART. The anemia was classified as Pure Red Cell Aplasia (PRCA). With treatment modification, the anemia resolved and the patient attained virologic suppression. Lamivudine (3TC) was pointed out as the cause of PRCA, which resolved after its withdrawal from the ART regimen. This rare side effect should be investigated in patients on 3TC who present with recurrent anemia.&quot;,&quot;publisher&quot;:&quot;Oxf Med Case Reports&quot;,&quot;issue&quot;:&quot;3&quot;,&quot;volume&quot;:&quot;2023&quot;},&quot;isTemporary&quot;:false}]},{&quot;citationID&quot;:&quot;MENDELEY_CITATION_31ddc99c-8a0d-4a6c-a886-7cadc74f4e48&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&quot;,&quot;citationItems&quot;:[{&quot;id&quot;:&quot;2a3b62e1-6577-3bbc-be0a-85f9fd9bca6f&quot;,&quot;itemData&quot;:{&quot;type&quot;:&quot;article-journal&quot;,&quot;id&quot;:&quot;2a3b62e1-6577-3bbc-be0a-85f9fd9bca6f&quot;,&quot;title&quot;:&quot;Perspectives of current understanding and therapeutics of Diamond-Blackfan anemia&quot;,&quot;author&quot;:[{&quot;family&quot;:&quot;Liu&quot;,&quot;given&quot;:&quot;Yang&quot;,&quot;parse-names&quot;:false,&quot;dropping-particle&quot;:&quot;&quot;,&quot;non-dropping-particle&quot;:&quot;&quot;},{&quot;family&quot;:&quot;Karlsson&quot;,&quot;given&quot;:&quot;Stefan&quot;,&quot;parse-names&quot;:false,&quot;dropping-particle&quot;:&quot;&quot;,&quot;non-dropping-particle&quot;:&quot;&quot;}],&quot;container-title&quot;:&quot;Leukemia&quot;,&quot;container-title-short&quot;:&quot;Leukemia&quot;,&quot;accessed&quot;:{&quot;date-parts&quot;:[[2024,11,23]]},&quot;DOI&quot;:&quot;10.1038/S41375-023-02082-W&quot;,&quot;ISSN&quot;:&quot;1476-5551&quot;,&quot;PMID&quot;:&quot;37973818&quot;,&quot;URL&quot;:&quot;https://pubmed.ncbi.nlm.nih.gov/37973818/&quot;,&quot;issued&quot;:{&quot;date-parts&quot;:[[2024]]},&quot;abstract&quot;:&quot;Diamond-Blackfan anemia (DBA) is a rare congenital bone marrow failure disorder characterized by erythroid hypoplasia. It primarily affects infants and is often caused by heterozygous allelic variations in ribosomal protein (RP) genes. Recent studies also indicated that non-RP genes like GATA1, TSR2, are associated with DBA. P53 activation, translational dysfunction, inflammation, imbalanced globin/heme synthesis, and autophagy dysregulation were shown to contribute to disrupted erythropoiesis and impaired red blood cell production. The main therapeutic option for DBA patients is corticosteroids. However, half of these patients become non-responsive to corticosteroid therapy over prolonged treatment and have to be given blood transfusions. Hematopoietic stem cell transplantation is currently the sole curative option, however, the treatment is limited by the availability of suitable donors and the potential for serious immunological complications. Recent advances in gene therapy using lentiviral vectors have shown promise in treating RPS19-deficient DBA by promoting normal hematopoiesis. With deepening insights into the molecular framework of DBA, emerging therapies like gene therapy hold promise for providing curative solutions and advancing comprehension of the underlying disease mechanisms.&quot;,&quot;publisher&quot;:&quot;Leukemia&quot;,&quot;issue&quot;:&quot;1&quot;,&quot;volume&quot;:&quot;38&quot;},&quot;isTemporary&quot;:false},{&quot;id&quot;:&quot;68dcf325-ce00-3b5d-9832-20c3a3314f10&quot;,&quot;itemData&quot;:{&quot;type&quot;:&quot;article-journal&quot;,&quot;id&quot;:&quot;68dcf325-ce00-3b5d-9832-20c3a3314f10&quot;,&quot;title&quot;:&quot;Pure red cell aplasia&quot;,&quot;author&quot;:[{&quot;family&quot;:&quot;Means&quot;,&quot;given&quot;:&quot;Robert T.&quot;,&quot;parse-names&quot;:false,&quot;dropping-particle&quot;:&quot;&quot;,&quot;non-dropping-particle&quot;:&quot;&quot;}],&quot;container-title&quot;:&quot;Blood&quot;,&quot;container-title-short&quot;:&quot;Blood&quot;,&quot;accessed&quot;:{&quot;date-parts&quot;:[[2024,11,23]]},&quot;DOI&quot;:&quot;10.1182/BLOOD-2016-05-717140&quot;,&quot;ISSN&quot;:&quot;0006-4971&quot;,&quot;PMID&quot;:&quot;27881371&quot;,&quot;URL&quot;:&quot;https://dx.doi.org/10.1182/blood-2016-05-717140&quot;,&quot;issued&quot;:{&quot;date-parts&quot;:[[2016,11,24]]},&quot;page&quot;:&quot;2504-2509&quot;,&quot;abstract&quot;:&quot;Pure red cell aplasia (PRCA) is a syndrome defined by a normocytic normochromic anemia with severe reticulocytopenia and marked reduction or absence of erythroid precursors from the bone marrow. Diamond-Blackfan anemia is a congenital form of PRCA. Acquired PRCA may be either a primary disorder or secondary to some other disorder or agent. Primary acquired PRCA is an autoimmune disorder that is frequently antibody-mediated. Myelodys-plastic syndromes may also present with the morphologic appearance of PRCA. Secondary acquired PRCA may be associated with collagen vascular/autoimmune disorders such as systemic lupus erythematosus; lymphoproliferative disorders such as chronic lymphocytic leukemia or large granular lymphocyte leukemia; infections, particularly B19 parvovirus; thymoma and other solid tumors; or a variety of other disorders, drugs, or toxic agents. The therapeutic approach to PRCA typically involves immunosuppression, but specific pathogenic subtypes are associated with specific therapeutic approaches. Cyclosporine A, with or without concurrent corticosteroids, appears to be the single most effective immunosuppressive agent.&quot;,&quot;publisher&quot;:&quot;American Society of Hematology&quot;,&quot;issue&quot;:&quot;21&quot;,&quot;volume&quot;:&quot;128&quot;},&quot;isTemporary&quot;:false}]},{&quot;citationID&quot;:&quot;MENDELEY_CITATION_de1eddd7-c929-440c-8bac-17b4a95ed236&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&quot;,&quot;citationItems&quot;:[{&quot;id&quot;:&quot;68dcf325-ce00-3b5d-9832-20c3a3314f10&quot;,&quot;itemData&quot;:{&quot;type&quot;:&quot;article-journal&quot;,&quot;id&quot;:&quot;68dcf325-ce00-3b5d-9832-20c3a3314f10&quot;,&quot;title&quot;:&quot;Pure red cell aplasia&quot;,&quot;author&quot;:[{&quot;family&quot;:&quot;Means&quot;,&quot;given&quot;:&quot;Robert T.&quot;,&quot;parse-names&quot;:false,&quot;dropping-particle&quot;:&quot;&quot;,&quot;non-dropping-particle&quot;:&quot;&quot;}],&quot;container-title&quot;:&quot;Blood&quot;,&quot;container-title-short&quot;:&quot;Blood&quot;,&quot;accessed&quot;:{&quot;date-parts&quot;:[[2024,11,23]]},&quot;DOI&quot;:&quot;10.1182/BLOOD-2016-05-717140&quot;,&quot;ISSN&quot;:&quot;0006-4971&quot;,&quot;PMID&quot;:&quot;27881371&quot;,&quot;URL&quot;:&quot;https://dx.doi.org/10.1182/blood-2016-05-717140&quot;,&quot;issued&quot;:{&quot;date-parts&quot;:[[2016,11,24]]},&quot;page&quot;:&quot;2504-2509&quot;,&quot;abstract&quot;:&quot;Pure red cell aplasia (PRCA) is a syndrome defined by a normocytic normochromic anemia with severe reticulocytopenia and marked reduction or absence of erythroid precursors from the bone marrow. Diamond-Blackfan anemia is a congenital form of PRCA. Acquired PRCA may be either a primary disorder or secondary to some other disorder or agent. Primary acquired PRCA is an autoimmune disorder that is frequently antibody-mediated. Myelodys-plastic syndromes may also present with the morphologic appearance of PRCA. Secondary acquired PRCA may be associated with collagen vascular/autoimmune disorders such as systemic lupus erythematosus; lymphoproliferative disorders such as chronic lymphocytic leukemia or large granular lymphocyte leukemia; infections, particularly B19 parvovirus; thymoma and other solid tumors; or a variety of other disorders, drugs, or toxic agents. The therapeutic approach to PRCA typically involves immunosuppression, but specific pathogenic subtypes are associated with specific therapeutic approaches. Cyclosporine A, with or without concurrent corticosteroids, appears to be the single most effective immunosuppressive agent.&quot;,&quot;publisher&quot;:&quot;American Society of Hematology&quot;,&quot;issue&quot;:&quot;21&quot;,&quot;volume&quot;:&quot;128&quot;},&quot;isTemporary&quot;:false},{&quot;id&quot;:&quot;cb2a8942-dc99-305a-bc6a-3a3e6adb25aa&quot;,&quot;itemData&quot;:{&quot;type&quot;:&quot;article-journal&quot;,&quot;id&quot;:&quot;cb2a8942-dc99-305a-bc6a-3a3e6adb25aa&quot;,&quot;title&quot;:&quot;Rational management approach to pure red cell aplasia&quot;,&quot;author&quot;:[{&quot;family&quot;:&quot;Balasubramanian&quot;,&quot;given&quot;:&quot;Suresh Kumar&quot;,&quot;parse-names&quot;:false,&quot;dropping-particle&quot;:&quot;&quot;,&quot;non-dropping-particle&quot;:&quot;&quot;},{&quot;family&quot;:&quot;Sadaps&quot;,&quot;given&quot;:&quot;Meena&quot;,&quot;parse-names&quot;:false,&quot;dropping-particle&quot;:&quot;&quot;,&quot;non-dropping-particle&quot;:&quot;&quot;},{&quot;family&quot;:&quot;Thota&quot;,&quot;given&quot;:&quot;Swapna&quot;,&quot;parse-names&quot;:false,&quot;dropping-particle&quot;:&quot;&quot;,&quot;non-dropping-particle&quot;:&quot;&quot;},{&quot;family&quot;:&quot;Aly&quot;,&quot;given&quot;:&quot;Mai&quot;,&quot;parse-names&quot;:false,&quot;dropping-particle&quot;:&quot;&quot;,&quot;non-dropping-particle&quot;:&quot;&quot;},{&quot;family&quot;:&quot;Przychodzen&quot;,&quot;given&quot;:&quot;Bartlomiej P.&quot;,&quot;parse-names&quot;:false,&quot;dropping-particle&quot;:&quot;&quot;,&quot;non-dropping-particle&quot;:&quot;&quot;},{&quot;family&quot;:&quot;Hirsch&quot;,&quot;given&quot;:&quot;Cassandra M.&quot;,&quot;parse-names&quot;:false,&quot;dropping-particle&quot;:&quot;&quot;,&quot;non-dropping-particle&quot;:&quot;&quot;},{&quot;family&quot;:&quot;Visconte&quot;,&quot;given&quot;:&quot;Valeria&quot;,&quot;parse-names&quot;:false,&quot;dropping-particle&quot;:&quot;&quot;,&quot;non-dropping-particle&quot;:&quot;&quot;},{&quot;family&quot;:&quot;Radivoyevitch&quot;,&quot;given&quot;:&quot;Tomas&quot;,&quot;parse-names&quot;:false,&quot;dropping-particle&quot;:&quot;&quot;,&quot;non-dropping-particle&quot;:&quot;&quot;},{&quot;family&quot;:&quot;Maciejewski&quot;,&quot;given&quot;:&quot;Jaroslaw P.&quot;,&quot;parse-names&quot;:false,&quot;dropping-particle&quot;:&quot;&quot;,&quot;non-dropping-particle&quot;:&quot;&quot;}],&quot;container-title&quot;:&quot;Haematologica&quot;,&quot;container-title-short&quot;:&quot;Haematologica&quot;,&quot;accessed&quot;:{&quot;date-parts&quot;:[[2024,11,23]]},&quot;DOI&quot;:&quot;10.3324/HAEMATOL.2017.175810&quot;,&quot;ISSN&quot;:&quot;1592-8721&quot;,&quot;PMID&quot;:&quot;29217782&quot;,&quot;URL&quot;:&quot;https://pubmed.ncbi.nlm.nih.gov/29217782/&quot;,&quot;issued&quot;:{&quot;date-parts&quot;:[[2018,1,31]]},&quot;page&quot;:&quot;221-230&quot;,&quot;abstract&quot;:&quot;Pure red cell aplasia is an orphan disease, and as such lacks rationally established standard therapies. Most cases are idiopathic; a subset is antibody-mediated. There is overlap between idiopathic cases and those with T-cell large granular lymphocytic leukemia, hypogammaglobulinemia, and low-grade lymphomas. In each of the aforementioned, the pathogenetic mechanisms may involve autoreactive cytotoxic responses. We selected 62 uniformly diagnosed pure red cell aplasia patients and analyzed their pathophysiologic features and responsiveness to rationally applied first-line and salvage therapies in order to propose diagnostic and therapeutic algorithms that may be helpful in guiding the management of prospective patients, 52% of whom were idiopathic, while the others involved large granular lymphocytic leukemia, thymoma, and B-cell dyscrasia. T-cell-mediated responses ranged between a continuum from polyclonal to monoclonal (as seen in large granular lymphocytic leukemia). During a median observation period of 40 months, patients received a median of two different therapies to achieve remission. Frequently used therapy included calcine urininhibitors with a steroid taper yielding a first-line overall response rate of 76% (53/70). Oral cyclophosphamide showed activity, albeit lower than that produced by cyclosporine. Intravenous immunoglobulins were effective both in parvovirus patients and in hypogammaglobulinemia cases. In salvage settings, alemtuzumab is active, particularly in large granular lymphocytic leukemia-associated cases. Other potentially useful salvage options include rituximab, anti-thymocyte globulin and bortezomib. The workup of acquired pure red cell aplasia should include investigations of common pathological associations. Most effective therapies are directed against T-cell-mediated immunity, and therapeutic choices need to account for associated conditions that may help in choosing alternative salvage agents, such as intravenous immunoglobulin, alemtuzumab and bortezomib.&quot;,&quot;publisher&quot;:&quot;Haematologica&quot;,&quot;issue&quot;:&quot;2&quot;,&quot;volume&quot;:&quot;103&quot;},&quot;isTemporary&quot;:false}]},{&quot;citationID&quot;:&quot;MENDELEY_CITATION_35d0cc2a-7d32-4a08-9883-3fea99a0f5a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zVkMGNjMmEtN2QzMi00YTA4LTk4ODMtM2ZlYTk5YTBmNWEz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quot;,&quot;citationItems&quot;:[{&quot;id&quot;:&quot;7babfe36-ac57-399c-9f80-f7beffcaa171&quot;,&quot;itemData&quot;:{&quot;type&quot;:&quot;article-journal&quot;,&quot;id&quot;:&quot;7babfe36-ac57-399c-9f80-f7beffcaa171&quot;,&quot;title&quot;:&quot;Acquired pure red cell aplasia after severe acute respiratory syndrome corona virus 2 infection: a case report&quot;,&quot;author&quot;:[{&quot;family&quot;:&quot;Karrat&quot;,&quot;given&quot;:&quot;Imane&quot;,&quot;parse-names&quot;:false,&quot;dropping-particle&quot;:&quot;&quot;,&quot;non-dropping-particle&quot;:&quot;&quot;},{&quot;family&quot;:&quot;Eddou&quot;,&quot;given&quot;:&quot;Hicham&quot;,&quot;parse-names&quot;:false,&quot;dropping-particle&quot;:&quot;&quot;,&quot;non-dropping-particle&quot;:&quot;&quot;}],&quot;container-title&quot;:&quot;Journal of medical case reports&quot;,&quot;container-title-short&quot;:&quot;J Med Case Rep&quot;,&quot;accessed&quot;:{&quot;date-parts&quot;:[[2024,11,23]]},&quot;DOI&quot;:&quot;10.1186/S13256-022-03545-X&quot;,&quot;ISSN&quot;:&quot;1752-1947&quot;,&quot;PMID&quot;:&quot;36258221&quot;,&quot;URL&quot;:&quot;https://pubmed.ncbi.nlm.nih.gov/36258221/&quot;,&quot;issued&quot;:{&quot;date-parts&quot;:[[2022,12,1]]},&quot;abstract&quot;:&quot;Background: Coronavirus disease 2019, caused by severe acute respiratory coronavirus 2, has been responsible, since December 2019, for a severe pandemic resulting in millions of deaths worldwide, and the number is still increasing. Although coronavirus disease 2019 is mostly a respiratory syndrome, it is considered a multisystemic disease and shows clinical diversity with a wide range of manifestations including hematological features. Case presentation: We present the case of an Arab male, 77 years old, who developed severe anemia 8 weeks after acute infection with severe acute respiratory coronavirus 2. The investigations revealed acquired pure red cell aplasia. Workup for an associated underlying disorder was negative, ruling out secondary causes. The patient received corticosteroids as the standard treatment of primary acquired pure red cell aplasia, and he had a good response to treatment. Conclusion: This case illustrates that acquired pure red cell aplasia might occur weeks after severe acute respiratory coronavirus 2 infection, suggesting that it might be considered a delayed complication of coronavirus disease 2019. The most relevant hypothesis of the pathogenesis of acquired pure red cell aplasia, in this case, is an immune mechanism triggered by infection with severe acute respiratory coronavirus 2 resulting in interruption of normal erythroid differentiation. We highlight the importance of follow-up care after the acute phase of coronavirus disease 2019 to spot late complications in order to successfully manage the secondary burden of the pandemic.&quot;,&quot;publisher&quot;:&quot;J Med Case Rep&quot;,&quot;issue&quot;:&quot;1&quot;,&quot;volume&quot;:&quot;16&quot;},&quot;isTemporary&quot;:false,&quot;suppress-author&quot;:false,&quot;composite&quot;:false,&quot;author-only&quot;:false}]},{&quot;citationID&quot;:&quot;MENDELEY_CITATION_ab7ec1a5-e714-44ce-9c1c-a3ff3286986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&quot;,&quot;citationItems&quot;:[{&quot;id&quot;:&quot;ee57bac2-77a0-31f6-85a8-05280044e899&quot;,&quot;itemData&quot;:{&quot;type&quot;:&quot;article-journal&quot;,&quot;id&quot;:&quot;ee57bac2-77a0-31f6-85a8-05280044e899&quot;,&quot;title&quot;:&quot;Agranulocytosis: an adverse effect of allopurinol treatment&quot;,&quot;author&quot;:[{&quot;family&quot;:&quot;Mari&quot;,&quot;given&quot;:&quot;Elisa&quot;,&quot;parse-names&quot;:false,&quot;dropping-particle&quot;:&quot;&quot;,&quot;non-dropping-particle&quot;:&quot;&quot;}],&quot;container-title&quot;:&quot;Italian Journal of Medicine&quot;,&quot;accessed&quot;:{&quot;date-parts&quot;:[[2024,11,23]]},&quot;URL&quot;:&quot;https://www.academia.edu/32908212/Agranulocytosis_an_adverse_effect_of_allopurinol_treatment&quot;,&quot;issued&quot;:{&quot;date-parts&quot;:[[2013,1,1]]},&quot;container-title-short&quot;:&quot;&quot;},&quot;isTemporary&quot;:false,&quot;suppress-author&quot;:false,&quot;composite&quot;:false,&quot;author-only&quot;:false}]},{&quot;citationID&quot;:&quot;MENDELEY_CITATION_33ac0545-8d82-4fba-9d79-748477fd040b&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&quot;,&quot;citationItems&quot;:[{&quot;id&quot;:&quot;7babfe36-ac57-399c-9f80-f7beffcaa171&quot;,&quot;itemData&quot;:{&quot;type&quot;:&quot;article-journal&quot;,&quot;id&quot;:&quot;7babfe36-ac57-399c-9f80-f7beffcaa171&quot;,&quot;title&quot;:&quot;Acquired pure red cell aplasia after severe acute respiratory syndrome corona virus 2 infection: a case report&quot;,&quot;author&quot;:[{&quot;family&quot;:&quot;Karrat&quot;,&quot;given&quot;:&quot;Imane&quot;,&quot;parse-names&quot;:false,&quot;dropping-particle&quot;:&quot;&quot;,&quot;non-dropping-particle&quot;:&quot;&quot;},{&quot;family&quot;:&quot;Eddou&quot;,&quot;given&quot;:&quot;Hicham&quot;,&quot;parse-names&quot;:false,&quot;dropping-particle&quot;:&quot;&quot;,&quot;non-dropping-particle&quot;:&quot;&quot;}],&quot;container-title&quot;:&quot;Journal of medical case reports&quot;,&quot;container-title-short&quot;:&quot;J Med Case Rep&quot;,&quot;accessed&quot;:{&quot;date-parts&quot;:[[2024,11,23]]},&quot;DOI&quot;:&quot;10.1186/S13256-022-03545-X&quot;,&quot;ISSN&quot;:&quot;1752-1947&quot;,&quot;PMID&quot;:&quot;36258221&quot;,&quot;URL&quot;:&quot;https://pubmed.ncbi.nlm.nih.gov/36258221/&quot;,&quot;issued&quot;:{&quot;date-parts&quot;:[[2022,12,1]]},&quot;abstract&quot;:&quot;Background: Coronavirus disease 2019, caused by severe acute respiratory coronavirus 2, has been responsible, since December 2019, for a severe pandemic resulting in millions of deaths worldwide, and the number is still increasing. Although coronavirus disease 2019 is mostly a respiratory syndrome, it is considered a multisystemic disease and shows clinical diversity with a wide range of manifestations including hematological features. Case presentation: We present the case of an Arab male, 77 years old, who developed severe anemia 8 weeks after acute infection with severe acute respiratory coronavirus 2. The investigations revealed acquired pure red cell aplasia. Workup for an associated underlying disorder was negative, ruling out secondary causes. The patient received corticosteroids as the standard treatment of primary acquired pure red cell aplasia, and he had a good response to treatment. Conclusion: This case illustrates that acquired pure red cell aplasia might occur weeks after severe acute respiratory coronavirus 2 infection, suggesting that it might be considered a delayed complication of coronavirus disease 2019. The most relevant hypothesis of the pathogenesis of acquired pure red cell aplasia, in this case, is an immune mechanism triggered by infection with severe acute respiratory coronavirus 2 resulting in interruption of normal erythroid differentiation. We highlight the importance of follow-up care after the acute phase of coronavirus disease 2019 to spot late complications in order to successfully manage the secondary burden of the pandemic.&quot;,&quot;publisher&quot;:&quot;J Med Case Rep&quot;,&quot;issue&quot;:&quot;1&quot;,&quot;volume&quot;:&quot;16&quot;},&quot;isTemporary&quot;:false,&quot;suppress-author&quot;:false,&quot;composite&quot;:false,&quot;author-only&quot;:false}]},{&quot;citationID&quot;:&quot;MENDELEY_CITATION_04c2e2dd-bbc8-45a9-be7b-be84958d62f7&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&quot;,&quot;citationItems&quot;:[{&quot;id&quot;:&quot;5ee784c2-4535-39b9-b330-5d91c775df0b&quot;,&quot;itemData&quot;:{&quot;type&quot;:&quot;article-journal&quot;,&quot;id&quot;:&quot;5ee784c2-4535-39b9-b330-5d91c775df0b&quot;,&quot;title&quot;:&quot;Lamivudine-induced pure red cell aplasia&quot;,&quot;author&quot;:[{&quot;family&quot;:&quot;Majluf-Cruz&quot;,&quot;given&quot;:&quot;Abraham&quot;,&quot;parse-names&quot;:false,&quot;dropping-particle&quot;:&quot;&quot;,&quot;non-dropping-particle&quot;:&quot;&quot;},{&quot;family&quot;:&quot;Luna-Castaos&quot;,&quot;given&quot;:&quot;Germn&quot;,&quot;parse-names&quot;:false,&quot;dropping-particle&quot;:&quot;&quot;,&quot;non-dropping-particle&quot;:&quot;&quot;},{&quot;family&quot;:&quot;Trevio-Prez&quot;,&quot;given&quot;:&quot;Sandra&quot;,&quot;parse-names&quot;:false,&quot;dropping-particle&quot;:&quot;&quot;,&quot;non-dropping-particle&quot;:&quot;&quot;},{&quot;family&quot;:&quot;Santoscoy&quot;,&quot;given&quot;:&quot;Mario&quot;,&quot;parse-names&quot;:false,&quot;dropping-particle&quot;:&quot;&quot;,&quot;non-dropping-particle&quot;:&quot;&quot;},{&quot;family&quot;:&quot;Nieto-Cisneros&quot;,&quot;given&quot;:&quot;Leopoldo&quot;,&quot;parse-names&quot;:false,&quot;dropping-particle&quot;:&quot;&quot;,&quot;non-dropping-particle&quot;:&quot;&quot;}],&quot;container-title&quot;:&quot;American Journal of Hematology&quot;,&quot;container-title-short&quot;:&quot;Am J Hematol&quot;,&quot;DOI&quot;:&quot;10.1002/1096-8652(200011)65:3&lt;189::AID-AJH2&gt;3.0.CO;2-6&quot;,&quot;ISSN&quot;:&quot;03618609&quot;,&quot;PMID&quot;:&quot;11074533&quot;,&quot;issued&quot;:{&quot;date-parts&quot;:[[2000]]},&quot;page&quot;:&quot;189-191&quot;,&quot;abstract&quot;:&quot;The aim of this report is to describe five patients with lamivudine-induced pure red cell aplasia, an association not previously described. We describe patients with unresponsive anemia in whom a complete study including blood cell counts, reticulocyte counts, hemolysis tests, and bone marrow aspiration was performed. Pure red cell aplasia was considered when anemia was associated with normal leukocyte and platelet counts with a corrected reticulocyte count below 1% and less than 5% bone marrow erythroid progenitors in the absence of positive hemolysis tests. Complete remission was considered when bone marrow erythroid progenitors were at least 16%. Five male patients had pure red cell aplasia with a median age of 32 years (range 29 to 37 years). Before lamivudine, they had hemoglobin &gt;11.8 g/dl without transfusion requirements. After receiving the drug, hemoglobin dropped to 5.2 g/dl (4.3 to 6.1 g/dl) with high transfusion requirements and mean bone marrow erythroid progenitors of 1.84% (0 to 4%). Withdrawal of lamivudine was attempted to confirm the diagnosis. Seven weeks after stopping lamivudine, hemoglobin rose up to 12.8 g/dl (11.3 to 13.8 g/dl) and bone marrow erythroid progenitors increased up to 25.6% (21 to 40%) without transfusion requirements. Lamivudine-induced pure red cell aplasia may be a cause of anemia unresponsive to conventional treatment in AIDS. Since lamivudine use in Mexico has been relatively short, we expect more cases to appear in the future. (C) 2000 Wiley-Liss, Inc.&quot;,&quot;issue&quot;:&quot;3&quot;,&quot;volume&quot;:&quot;65&quot;},&quot;isTemporary&quot;:false,&quot;suppress-author&quot;:false,&quot;composite&quot;:false,&quot;author-only&quot;:false}]},{&quot;citationID&quot;:&quot;MENDELEY_CITATION_0e303fbd-4623-4658-bf91-d7c9bd636da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&quot;,&quot;citationItems&quot;:[{&quot;id&quot;:&quot;20021941-619a-3ee5-877f-6ceab1395f99&quot;,&quot;itemData&quot;:{&quot;type&quot;:&quot;article-journal&quot;,&quot;id&quot;:&quot;20021941-619a-3ee5-877f-6ceab1395f99&quot;,&quot;title&quot;:&quot;Lamivudine induced pure red cell aplasia and HIV-1 drug resistance-associated mutations: a case report&quot;,&quot;author&quot;:[{&quot;family&quot;:&quot;Kakubu&quot;,&quot;given&quot;:&quot;Mireille A.M.&quot;,&quot;parse-names&quot;:false,&quot;dropping-particle&quot;:&quot;&quot;,&quot;non-dropping-particle&quot;:&quot;&quot;},{&quot;family&quot;:&quot;Bikinesi&quot;,&quot;given&quot;:&quot;Tarisai&quot;,&quot;parse-names&quot;:false,&quot;dropping-particle&quot;:&quot;&quot;,&quot;non-dropping-particle&quot;:&quot;&quot;},{&quot;family&quot;:&quot;Katoto&quot;,&quot;given&quot;:&quot;Patrick D.M.C.&quot;,&quot;parse-names&quot;:false,&quot;dropping-particle&quot;:&quot;&quot;,&quot;non-dropping-particle&quot;:&quot;&quot;}],&quot;container-title&quot;:&quot;Oxford medical case reports&quot;,&quot;container-title-short&quot;:&quot;Oxf Med Case Reports&quot;,&quot;accessed&quot;:{&quot;date-parts&quot;:[[2024,11,23]]},&quot;DOI&quot;:&quot;10.1093/OMCR/OMAD022&quot;,&quot;ISSN&quot;:&quot;2053-8855&quot;,&quot;PMID&quot;:&quot;36993835&quot;,&quot;URL&quot;:&quot;https://pubmed.ncbi.nlm.nih.gov/36993835/&quot;,&quot;issued&quot;:{&quot;date-parts&quot;:[[2023,3,1]]},&quot;page&quot;:&quot;106-109&quot;,&quot;abstract&quot;:&quot;Adverse effects linked to antiretroviral therapy (ART) may contribute to poor adherence on the patient's side. Consequently, human immunodeficiency virus (HIV) drug resistance mutations could emerge, negatively impacting the body's immune system. Meanwhile, severe immunosuppression can lead to several conditions, including anemia. The cause of anemia in HIV infection is multifactorial, and can be mainly explained by deleterious direct effects of the virus on the bone marrow, and opportunistic infections such as Parvovirus B19. Other causes include blood loss resulting from neoplasms and gastrointestinal lesions. Moreover, anemia can also be caused by antiretroviral drugs. We report a case of persistent anemia after ART initiation, kidney injury and treatment failure following a lengthy period of non-adherence to ART. The anemia was classified as Pure Red Cell Aplasia (PRCA). With treatment modification, the anemia resolved and the patient attained virologic suppression. Lamivudine (3TC) was pointed out as the cause of PRCA, which resolved after its withdrawal from the ART regimen. This rare side effect should be investigated in patients on 3TC who present with recurrent anemia.&quot;,&quot;publisher&quot;:&quot;Oxf Med Case Reports&quot;,&quot;issue&quot;:&quot;3&quot;,&quot;volume&quot;:&quot;2023&quot;},&quot;isTemporary&quot;:false,&quot;suppress-author&quot;:false,&quot;composite&quot;:false,&quot;author-only&quot;:false}]},{&quot;citationID&quot;:&quot;MENDELEY_CITATION_630489c5-fc45-4a91-99af-aa0c4f87ed3f&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&quot;,&quot;citationItems&quot;:[{&quot;id&quot;:&quot;8a78813d-d75c-3abd-b968-769ea01a81bc&quot;,&quot;itemData&quot;:{&quot;type&quot;:&quot;article-journal&quot;,&quot;id&quot;:&quot;8a78813d-d75c-3abd-b968-769ea01a81bc&quot;,&quot;title&quot;:&quot;Emtricitabine-induced pure red cell aplasia&quot;,&quot;author&quot;:[{&quot;family&quot;:&quot;Manickchund&quot;,&quot;given&quot;:&quot;Nithendra&quot;,&quot;parse-names&quot;:false,&quot;dropping-particle&quot;:&quot;&quot;,&quot;non-dropping-particle&quot;:&quot;&quot;},{&quot;family&quot;:&quot;Plessis&quot;,&quot;given&quot;:&quot;Camille&quot;,&quot;parse-names&quot;:false,&quot;dropping-particle&quot;:&quot;&quot;,&quot;non-dropping-particle&quot;:&quot;du&quot;},{&quot;family&quot;:&quot;John&quot;,&quot;given&quot;:&quot;Melanie Anne A.&quot;,&quot;parse-names&quot;:false,&quot;dropping-particle&quot;:&quot;&quot;,&quot;non-dropping-particle&quot;:&quot;&quot;},{&quot;family&quot;:&quot;Manzini&quot;,&quot;given&quot;:&quot;Thandekile C.&quot;,&quot;parse-names&quot;:false,&quot;dropping-particle&quot;:&quot;&quot;,&quot;non-dropping-particle&quot;:&quot;&quot;},{&quot;family&quot;:&quot;Gosnell&quot;,&quot;given&quot;:&quot;Bernadett I.&quot;,&quot;parse-names&quot;:false,&quot;dropping-particle&quot;:&quot;&quot;,&quot;non-dropping-particle&quot;:&quot;&quot;},{&quot;family&quot;:&quot;Lessells&quot;,&quot;given&quot;:&quot;Richard J.&quot;,&quot;parse-names&quot;:false,&quot;dropping-particle&quot;:&quot;&quot;,&quot;non-dropping-particle&quot;:&quot;&quot;},{&quot;family&quot;:&quot;Moosa&quot;,&quot;given&quot;:&quot;Yunus S.&quot;,&quot;parse-names&quot;:false,&quot;dropping-particle&quot;:&quot;&quot;,&quot;non-dropping-particle&quot;:&quot;&quot;}],&quot;container-title&quot;:&quot;Southern African Journal of HIV Medicine&quot;,&quot;container-title-short&quot;:&quot;South Afr J HIV Med&quot;,&quot;accessed&quot;:{&quot;date-parts&quot;:[[2024,11,23]]},&quot;DOI&quot;:&quot;10.4102/SAJHIVMED.V20I1.983&quot;,&quot;ISSN&quot;:&quot;20786751&quot;,&quot;PMID&quot;:&quot;31616574&quot;,&quot;URL&quot;:&quot;https://pmc.ncbi.nlm.nih.gov/articles/PMC6779991/&quot;,&quot;issued&quot;:{&quot;date-parts&quot;:[[2019]]},&quot;page&quot;:&quot;983&quot;,&quot;abstract&quot;:&quot;Introduction: Anemia is common in HIV. Parvo B19 infection is a well-recognised cause of red cell aplasia. Other causes of persistent pure red cell aplasia (PRCA) include anti-retroviral drugs such as zidovudine and lamivudine. We describe a case of PRCA that strongly implicates emtricitabine as the probable cause. Patient presentation: Patient was HIV positive and on treatment with a fixed drug combination consisting of tenofovir, emtricitabine and efavirenz for 3 months when she developed severe transfusion dependent anemia. The anemia, attributed to PRCA, was persistent and transfusion dependent for about one year. Management and outcome: Replacement of emtricitabine with abacavir resulted in a prompt, complete and lasting resolution of the anaemia, suggesting an etiologic role of emtricitabine in the PRCA. Conclusion: Emtricitibine is a rare cause of pure red cell aplasia.&quot;,&quot;publisher&quot;:&quot;AOSIS (pty) Ltd&quot;,&quot;issue&quot;:&quot;1&quot;,&quot;volume&quot;:&quot;20&quot;},&quot;isTemporary&quot;:false,&quot;suppress-author&quot;:false,&quot;composite&quot;:false,&quot;author-only&quot;:false}]},{&quot;citationID&quot;:&quot;MENDELEY_CITATION_71bc8dd1-1e5d-4612-9833-64704d2b09c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&quot;,&quot;citationItems&quot;:[{&quot;id&quot;:&quot;2a8e69b8-e796-3cbd-9c91-85d280176a76&quot;,&quot;itemData&quot;:{&quot;type&quot;:&quot;article-journal&quot;,&quot;id&quot;:&quot;2a8e69b8-e796-3cbd-9c91-85d280176a76&quot;,&quot;title&quot;:&quot;Zidovudine induced pure red cell aplasia: a case report&quot;,&quot;author&quot;:[{&quot;family&quot;:&quot;Hassan&quot;,&quot;given&quot;:&quot;A.&quot;,&quot;parse-names&quot;:false,&quot;dropping-particle&quot;:&quot;&quot;,&quot;non-dropping-particle&quot;:&quot;&quot;},{&quot;family&quot;:&quot;Babadoko&quot;,&quot;given&quot;:&quot;A. A.&quot;,&quot;parse-names&quot;:false,&quot;dropping-particle&quot;:&quot;&quot;,&quot;non-dropping-particle&quot;:&quot;&quot;},{&quot;family&quot;:&quot;Mamman&quot;,&quot;given&quot;:&quot;A. I.&quot;,&quot;parse-names&quot;:false,&quot;dropping-particle&quot;:&quot;&quot;,&quot;non-dropping-particle&quot;:&quot;&quot;},{&quot;family&quot;:&quot;Ahmed&quot;,&quot;given&quot;:&quot;S. A.&quot;,&quot;parse-names&quot;:false,&quot;dropping-particle&quot;:&quot;&quot;,&quot;non-dropping-particle&quot;:&quot;&quot;}],&quot;container-title&quot;:&quot;Nigerian journal of medicine : journal of the National Association of Resident Doctors of Nigeria&quot;,&quot;container-title-short&quot;:&quot;Niger J Med&quot;,&quot;accessed&quot;:{&quot;date-parts&quot;:[[2024,11,23]]},&quot;DOI&quot;:&quot;10.4314/NJM.V18I3.51210&quot;,&quot;ISSN&quot;:&quot;1115-2613&quot;,&quot;PMID&quot;:&quot;20120657&quot;,&quot;URL&quot;:&quot;https://pubmed.ncbi.nlm.nih.gov/20120657/&quot;,&quot;issued&quot;:{&quot;date-parts&quot;:[[2009]]},&quot;page&quot;:&quot;332-333&quot;,&quot;abstract&quot;:&quot;BACKGROUND: Zidovudine, a Nucleoside Reverse Transcriptase Inhibitor (NRTI) is one of the earliest antiretroviral agents used as a combination in the Highly Active Antiretroviral Therapy (HAART) for the treatment of HIV infection. Its use is however not without adverse effect particularly bone marrow aplasia leading to varying degrees of cytopenias predominantly anaemia. This calls for adequate evaluation and monitoring of patients on this drug. Its major side effect of anaemia limits its use in some patients. We report a case of Zidovudine induced anaemia and bone marrow aplasia in a patient infected with HIV. METHOD: The Hospital case note of a 27 year old widow with HIV infection and anaemia, who has been on HAART (Zidovudine, Lamivudine and Nevirapine) for one year, was reviewed. RESULT: She presented with severe anaemia (PCV of 0.05), White cell and platelet counts were within normal limits and reticulocyte count of 0.001%. Bone marrow aspiration and biopsy were diagnostic of pure red cell aplasia on a background hypocellular marrow. She was transfused with four (4) units of packed cells and Zidovudine was replaced with Stavudine. She made remarkable improvement and remains transfusion independent afterwards. CONCLUSION: Zidovudine is well a known cause of anaemia and thus should be used with caution in the initiation of antiretroviral therapy.&quot;,&quot;publisher&quot;:&quot;Niger J Med&quot;,&quot;issue&quot;:&quot;3&quot;,&quot;volume&quot;:&quot;18&quot;},&quot;isTemporary&quot;:false,&quot;suppress-author&quot;:false,&quot;composite&quot;:false,&quot;author-onl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FE2B8-2D7B-4EE7-A1EC-A64314B3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Afoloyan Odunayo</dc:creator>
  <cp:lastModifiedBy>Editor-14</cp:lastModifiedBy>
  <cp:revision>21</cp:revision>
  <dcterms:created xsi:type="dcterms:W3CDTF">2024-12-12T17:47:00Z</dcterms:created>
  <dcterms:modified xsi:type="dcterms:W3CDTF">2025-01-30T10:08:00Z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GrammarlyDocumentId">
    <vt:lpwstr>a5132f44bdc3303bad2484f52cebcbc291724af9c3901c6585fa6be9d31fbcdf</vt:lpwstr>
  </property>
</Properties>
</file>