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2581A">
      <w:pPr>
        <w:jc w:val="both"/>
        <w:rPr>
          <w:rFonts w:ascii="Times New Roman" w:hAnsi="Times New Roman" w:cs="Times New Roman"/>
          <w:b/>
          <w:bCs/>
          <w:sz w:val="24"/>
          <w:szCs w:val="24"/>
        </w:rPr>
      </w:pPr>
      <w:r>
        <w:rPr>
          <w:rFonts w:hint="default" w:ascii="Times New Roman" w:hAnsi="Times New Roman" w:cs="Times New Roman"/>
          <w:b/>
          <w:bCs/>
          <w:sz w:val="24"/>
          <w:szCs w:val="24"/>
          <w:highlight w:val="yellow"/>
          <w:lang w:val="en-GB"/>
        </w:rPr>
        <w:t xml:space="preserve">A Review </w:t>
      </w:r>
      <w:r>
        <w:rPr>
          <w:rFonts w:hint="default" w:ascii="Times New Roman" w:hAnsi="Times New Roman" w:cs="Times New Roman"/>
          <w:b/>
          <w:bCs/>
          <w:sz w:val="24"/>
          <w:szCs w:val="24"/>
          <w:highlight w:val="yellow"/>
          <w:lang w:val="en-US"/>
        </w:rPr>
        <w:t>of the</w:t>
      </w:r>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rPr>
        <w:t>Environme</w:t>
      </w:r>
      <w:r>
        <w:rPr>
          <w:rFonts w:ascii="Times New Roman" w:hAnsi="Times New Roman" w:cs="Times New Roman"/>
          <w:b/>
          <w:bCs/>
          <w:sz w:val="24"/>
          <w:szCs w:val="24"/>
          <w:lang w:val="en-GB"/>
        </w:rPr>
        <w:t>n</w:t>
      </w:r>
      <w:r>
        <w:rPr>
          <w:rFonts w:ascii="Times New Roman" w:hAnsi="Times New Roman" w:cs="Times New Roman"/>
          <w:b/>
          <w:bCs/>
          <w:sz w:val="24"/>
          <w:szCs w:val="24"/>
        </w:rPr>
        <w:t xml:space="preserve">tal </w:t>
      </w:r>
      <w:r>
        <w:rPr>
          <w:rFonts w:hint="default" w:ascii="Times New Roman" w:hAnsi="Times New Roman" w:cs="Times New Roman"/>
          <w:b/>
          <w:bCs/>
          <w:sz w:val="24"/>
          <w:szCs w:val="24"/>
          <w:lang w:val="en-US"/>
        </w:rPr>
        <w:t>a</w:t>
      </w:r>
      <w:r>
        <w:rPr>
          <w:rFonts w:ascii="Times New Roman" w:hAnsi="Times New Roman" w:cs="Times New Roman"/>
          <w:b/>
          <w:bCs/>
          <w:sz w:val="24"/>
          <w:szCs w:val="24"/>
        </w:rPr>
        <w:t xml:space="preserve">nd Health Impacts </w:t>
      </w:r>
      <w:r>
        <w:rPr>
          <w:rFonts w:hint="default" w:ascii="Times New Roman" w:hAnsi="Times New Roman" w:cs="Times New Roman"/>
          <w:b/>
          <w:bCs/>
          <w:sz w:val="24"/>
          <w:szCs w:val="24"/>
          <w:lang w:val="en-US"/>
        </w:rPr>
        <w:t>o</w:t>
      </w:r>
      <w:r>
        <w:rPr>
          <w:rFonts w:ascii="Times New Roman" w:hAnsi="Times New Roman" w:cs="Times New Roman"/>
          <w:b/>
          <w:bCs/>
          <w:sz w:val="24"/>
          <w:szCs w:val="24"/>
        </w:rPr>
        <w:t xml:space="preserve">f Electronic Waste: Global Challenges </w:t>
      </w:r>
      <w:r>
        <w:rPr>
          <w:rFonts w:hint="default" w:ascii="Times New Roman" w:hAnsi="Times New Roman" w:cs="Times New Roman"/>
          <w:b/>
          <w:bCs/>
          <w:sz w:val="24"/>
          <w:szCs w:val="24"/>
          <w:lang w:val="en-US"/>
        </w:rPr>
        <w:t>a</w:t>
      </w:r>
      <w:bookmarkStart w:id="2" w:name="_GoBack"/>
      <w:bookmarkEnd w:id="2"/>
      <w:r>
        <w:rPr>
          <w:rFonts w:ascii="Times New Roman" w:hAnsi="Times New Roman" w:cs="Times New Roman"/>
          <w:b/>
          <w:bCs/>
          <w:sz w:val="24"/>
          <w:szCs w:val="24"/>
        </w:rPr>
        <w:t>nd Sustainable Management Solutions</w:t>
      </w:r>
    </w:p>
    <w:p w14:paraId="4A831F36">
      <w:pPr>
        <w:jc w:val="both"/>
        <w:rPr>
          <w:rFonts w:ascii="Times New Roman" w:hAnsi="Times New Roman" w:cs="Times New Roman"/>
          <w:b/>
          <w:bCs/>
          <w:sz w:val="24"/>
          <w:szCs w:val="24"/>
        </w:rPr>
      </w:pPr>
    </w:p>
    <w:p w14:paraId="23512566">
      <w:pPr>
        <w:jc w:val="both"/>
        <w:rPr>
          <w:rFonts w:ascii="Times New Roman" w:hAnsi="Times New Roman" w:cs="Times New Roman"/>
          <w:b/>
          <w:bCs/>
          <w:i/>
          <w:iCs/>
        </w:rPr>
      </w:pPr>
      <w:r>
        <w:rPr>
          <w:rFonts w:ascii="Times New Roman" w:hAnsi="Times New Roman" w:cs="Times New Roman"/>
        </w:rPr>
        <w:t>Abstract</w:t>
      </w:r>
      <w:r>
        <w:rPr>
          <w:rFonts w:ascii="Times New Roman" w:hAnsi="Times New Roman" w:cs="Times New Roman"/>
          <w:lang w:val="en-GB"/>
        </w:rPr>
        <w:t xml:space="preserve"> </w:t>
      </w:r>
      <w:r>
        <w:rPr>
          <w:rFonts w:ascii="Times New Roman" w:hAnsi="Times New Roman" w:cs="Times New Roman"/>
          <w:b/>
          <w:bCs/>
          <w:lang w:val="en-GB"/>
        </w:rPr>
        <w:t xml:space="preserve">- </w:t>
      </w:r>
      <w:r>
        <w:rPr>
          <w:rFonts w:ascii="Times New Roman" w:hAnsi="Times New Roman" w:cs="Times New Roman"/>
          <w:b/>
          <w:bCs/>
          <w:i/>
          <w:iCs/>
          <w:highlight w:val="yellow"/>
        </w:rPr>
        <w:t>This systematic review investigates the environmental and health impacts of electronic waste (e-waste), emphasizing the urgent need for sustainable management strategies. The study covers global trends with a regional focus on Asia, Africa, and parts of Latin America—areas most affected by informal recycling practices. Using a structured methodology based on PRISMA guidelines, peer-reviewed articles, policy documents, and reports from 2014 to 2024 were analyzed across databases such as Scopus, Web of Science, and PubMed. The review highlights severe contamination of soil, water, and air by toxic components including heavy metals and persistent organic pollutants, particularly in developing nations. Epidemiological data confirm significant health risks—such as respiratory disorders, neurological damage, and increased cancer incidence—especially among children and pregnant women. The paper critically evaluates current e-waste management frameworks and proposes sustainable solutions that integrate circular economy principles, extended producer responsibility, and innovative recycling technologies. Policy recommendations emphasize international cooperation, regulatory enforcement, and the formalization of informal recycling sectors to mitigate the escalating global e-waste crisis.</w:t>
      </w:r>
    </w:p>
    <w:p w14:paraId="7B14782B">
      <w:pPr>
        <w:pStyle w:val="13"/>
        <w:jc w:val="both"/>
        <w:rPr>
          <w:b/>
          <w:bCs/>
          <w:sz w:val="22"/>
          <w:szCs w:val="22"/>
        </w:rPr>
      </w:pPr>
      <w:r>
        <w:rPr>
          <w:b/>
          <w:bCs/>
          <w:i/>
          <w:iCs/>
          <w:sz w:val="22"/>
          <w:szCs w:val="22"/>
        </w:rPr>
        <w:t>Keywords:</w:t>
      </w:r>
      <w:r>
        <w:rPr>
          <w:i/>
          <w:iCs/>
          <w:sz w:val="22"/>
          <w:szCs w:val="22"/>
        </w:rPr>
        <w:t xml:space="preserve"> Electronic Waste; Environmental Pollution; Public Health; Sustainable Waste Management; Toxic Pollutants; Informal Recycling; Green Technology</w:t>
      </w:r>
    </w:p>
    <w:p w14:paraId="5B52F9B6">
      <w:pPr>
        <w:rPr>
          <w:rFonts w:ascii="Times New Roman" w:hAnsi="Times New Roman" w:cs="Times New Roman"/>
          <w:b/>
          <w:bCs/>
        </w:rPr>
      </w:pPr>
    </w:p>
    <w:p w14:paraId="1942B122">
      <w:pPr>
        <w:spacing w:line="360" w:lineRule="auto"/>
        <w:rPr>
          <w:rFonts w:ascii="Times New Roman" w:hAnsi="Times New Roman" w:cs="Times New Roman"/>
          <w:b/>
          <w:bCs/>
        </w:rPr>
      </w:pPr>
      <w:r>
        <w:rPr>
          <w:rFonts w:ascii="Times New Roman" w:hAnsi="Times New Roman" w:cs="Times New Roman"/>
          <w:b/>
          <w:bCs/>
        </w:rPr>
        <w:t>Introduction</w:t>
      </w:r>
    </w:p>
    <w:p w14:paraId="21E649E3">
      <w:pPr>
        <w:pStyle w:val="13"/>
        <w:spacing w:line="360" w:lineRule="auto"/>
        <w:jc w:val="both"/>
        <w:rPr>
          <w:sz w:val="22"/>
          <w:szCs w:val="22"/>
          <w:highlight w:val="yellow"/>
        </w:rPr>
      </w:pPr>
      <w:r>
        <w:rPr>
          <w:sz w:val="22"/>
          <w:szCs w:val="22"/>
          <w:highlight w:val="yellow"/>
        </w:rPr>
        <w:t>In today’s digital age, electronic devices have become deeply woven into the fabric of everyday life—from smartphones and laptops to smart home appliances and wearable gadgets. While these technologies represent remarkable progress, they also come with a hidden cost: the exponential rise of electronic waste, or e-waste. As consumer demand accelerates and product lifecycles shrink, millions of tonnes of discarded electronics pile up annually, forming one of the fastest-growing waste streams on the planet (Forti et al., 2023; Kumar et al., 2022).</w:t>
      </w:r>
    </w:p>
    <w:p w14:paraId="711F47EE">
      <w:pPr>
        <w:pStyle w:val="13"/>
        <w:spacing w:line="360" w:lineRule="auto"/>
        <w:jc w:val="both"/>
        <w:rPr>
          <w:sz w:val="22"/>
          <w:szCs w:val="22"/>
          <w:highlight w:val="yellow"/>
        </w:rPr>
      </w:pPr>
      <w:r>
        <w:rPr>
          <w:sz w:val="22"/>
          <w:szCs w:val="22"/>
          <w:highlight w:val="yellow"/>
        </w:rPr>
        <w:t>Between 2019 and 2022 alone, global e-waste generation surged by 21%, and projections estimate it will exceed 74 million tonnes by 2030 (Baldé et al., 2024). Alarmingly, only about 17.4% of this waste is processed through formal recycling channels; the rest is either discarded in landfills, illegally exported, or processed informally under hazardous conditions (Baldé et al., 2023; World Economic Forum, 2023).</w:t>
      </w:r>
    </w:p>
    <w:p w14:paraId="58D4AA7F">
      <w:pPr>
        <w:pStyle w:val="13"/>
        <w:spacing w:line="360" w:lineRule="auto"/>
        <w:jc w:val="both"/>
        <w:rPr>
          <w:sz w:val="22"/>
          <w:szCs w:val="22"/>
          <w:highlight w:val="yellow"/>
        </w:rPr>
      </w:pPr>
      <w:r>
        <w:rPr>
          <w:sz w:val="22"/>
          <w:szCs w:val="22"/>
          <w:highlight w:val="yellow"/>
        </w:rPr>
        <w:t>E-waste is a paradox: it contains both highly valuable materials like gold, copper, and rare earth elements, and extremely toxic substances such as lead, mercury, and flame retardants. In many developing nations, informal recycling operations—driven by poverty and lack of regulation—use crude methods like open burning and acid baths to extract useful components, often with devastating environmental and health consequences (Heacock et al., 2022; Wang and Xu, 2023).</w:t>
      </w:r>
    </w:p>
    <w:p w14:paraId="2DEA32F9">
      <w:pPr>
        <w:pStyle w:val="13"/>
        <w:spacing w:line="360" w:lineRule="auto"/>
        <w:jc w:val="both"/>
        <w:rPr>
          <w:sz w:val="22"/>
          <w:szCs w:val="22"/>
          <w:highlight w:val="yellow"/>
        </w:rPr>
      </w:pPr>
      <w:r>
        <w:rPr>
          <w:sz w:val="22"/>
          <w:szCs w:val="22"/>
          <w:highlight w:val="yellow"/>
        </w:rPr>
        <w:t>Toxic chemicals leach into soils, rivers, and the air, poisoning ecosystems and threatening public health. Children and pregnant women, in particular, face disproportionate risks—exposure to heavy metals and persistent organic pollutants (POPs) from e-waste has been linked to respiratory illnesses, neurological disorders, and even increased cancer incidence (Chen et al., 2023; Perkins et al., 2022). These dangers are not confined to one region; they mirror a global pattern of environmental injustice, where vulnerable communities suffer the worst impacts of a global consumption habit (El-Absy et al., 2023; Singh et al., 2023).</w:t>
      </w:r>
    </w:p>
    <w:p w14:paraId="46038229">
      <w:pPr>
        <w:pStyle w:val="13"/>
        <w:spacing w:line="360" w:lineRule="auto"/>
        <w:jc w:val="both"/>
        <w:rPr>
          <w:sz w:val="22"/>
          <w:szCs w:val="22"/>
          <w:highlight w:val="yellow"/>
        </w:rPr>
      </w:pPr>
      <w:r>
        <w:rPr>
          <w:sz w:val="22"/>
          <w:szCs w:val="22"/>
          <w:highlight w:val="yellow"/>
        </w:rPr>
        <w:t>Amid these challenges, countries are experimenting with different policy responses and management frameworks. Some, like Japan and Germany, have developed high-efficiency recycling systems and circular economy strategies. Others are still struggling to integrate their informal recycling sectors or enforce basic environmental protections. The wide disparity in national responses highlights the urgency of a coordinated, sustainable, and globally informed solution to the e-waste crisis.</w:t>
      </w:r>
    </w:p>
    <w:p w14:paraId="58622BA7">
      <w:pPr>
        <w:pStyle w:val="13"/>
        <w:spacing w:line="360" w:lineRule="auto"/>
        <w:jc w:val="both"/>
        <w:rPr>
          <w:sz w:val="22"/>
          <w:szCs w:val="22"/>
          <w:highlight w:val="yellow"/>
        </w:rPr>
      </w:pPr>
      <w:r>
        <w:rPr>
          <w:sz w:val="22"/>
          <w:szCs w:val="22"/>
          <w:highlight w:val="yellow"/>
        </w:rPr>
        <w:t>This review delves into the scale and scope of the e-waste problem, its environmental and health implications, and how different regions are managing the crisis. It also explores best practices and forward-thinking strategies—from extended producer responsibility (EPR) to technological innovation—that could help turn this growing burden into an opportunity for sustainable development.</w:t>
      </w:r>
    </w:p>
    <w:p w14:paraId="2E921C0D">
      <w:pPr>
        <w:pStyle w:val="13"/>
        <w:spacing w:line="360" w:lineRule="auto"/>
        <w:jc w:val="both"/>
        <w:rPr>
          <w:sz w:val="22"/>
          <w:szCs w:val="22"/>
        </w:rPr>
      </w:pPr>
      <w:r>
        <w:rPr>
          <w:sz w:val="22"/>
          <w:szCs w:val="22"/>
        </w:rPr>
        <w:t xml:space="preserve"> To guide this analysis, the following research questions and hypotheses are addressed:</w:t>
      </w:r>
    </w:p>
    <w:p w14:paraId="364AE921">
      <w:pPr>
        <w:pStyle w:val="13"/>
        <w:spacing w:line="360" w:lineRule="auto"/>
        <w:rPr>
          <w:b/>
          <w:bCs/>
          <w:sz w:val="22"/>
          <w:szCs w:val="22"/>
        </w:rPr>
      </w:pPr>
      <w:r>
        <w:rPr>
          <w:b/>
          <w:bCs/>
          <w:sz w:val="22"/>
          <w:szCs w:val="22"/>
        </w:rPr>
        <w:t>Research Questions:</w:t>
      </w:r>
    </w:p>
    <w:p w14:paraId="72DE589F">
      <w:pPr>
        <w:pStyle w:val="13"/>
        <w:numPr>
          <w:ilvl w:val="0"/>
          <w:numId w:val="1"/>
        </w:numPr>
        <w:spacing w:line="360" w:lineRule="auto"/>
        <w:rPr>
          <w:sz w:val="22"/>
          <w:szCs w:val="22"/>
        </w:rPr>
      </w:pPr>
      <w:r>
        <w:rPr>
          <w:sz w:val="22"/>
          <w:szCs w:val="22"/>
        </w:rPr>
        <w:t xml:space="preserve">What are the current and projected global trends in e-waste generation, and how do these trends vary across different regions and socioeconomic contexts? </w:t>
      </w:r>
    </w:p>
    <w:p w14:paraId="56FAD075">
      <w:pPr>
        <w:pStyle w:val="13"/>
        <w:numPr>
          <w:ilvl w:val="0"/>
          <w:numId w:val="1"/>
        </w:numPr>
        <w:spacing w:line="360" w:lineRule="auto"/>
        <w:rPr>
          <w:sz w:val="22"/>
          <w:szCs w:val="22"/>
        </w:rPr>
      </w:pPr>
      <w:r>
        <w:rPr>
          <w:sz w:val="22"/>
          <w:szCs w:val="22"/>
        </w:rPr>
        <w:t xml:space="preserve">How do key pollutants from e-waste (e.g., heavy metals, POPs) behave in different environmental media (soil, water, air), and what are the primary pathways and mechanisms of their transport and accumulation? </w:t>
      </w:r>
    </w:p>
    <w:p w14:paraId="6F1C0CB7">
      <w:pPr>
        <w:pStyle w:val="13"/>
        <w:numPr>
          <w:ilvl w:val="0"/>
          <w:numId w:val="1"/>
        </w:numPr>
        <w:spacing w:line="360" w:lineRule="auto"/>
        <w:rPr>
          <w:sz w:val="22"/>
          <w:szCs w:val="22"/>
        </w:rPr>
      </w:pPr>
      <w:r>
        <w:rPr>
          <w:sz w:val="22"/>
          <w:szCs w:val="22"/>
        </w:rPr>
        <w:t xml:space="preserve"> What are the specific health risks associated with exposure to e-waste-derived pollutants, and what are the most vulnerable populations and exposure pathways? </w:t>
      </w:r>
    </w:p>
    <w:p w14:paraId="2220BE1F">
      <w:pPr>
        <w:pStyle w:val="13"/>
        <w:numPr>
          <w:ilvl w:val="0"/>
          <w:numId w:val="1"/>
        </w:numPr>
        <w:spacing w:line="360" w:lineRule="auto"/>
        <w:rPr>
          <w:sz w:val="22"/>
          <w:szCs w:val="22"/>
        </w:rPr>
      </w:pPr>
      <w:r>
        <w:rPr>
          <w:sz w:val="22"/>
          <w:szCs w:val="22"/>
        </w:rPr>
        <w:t>How effective are current national and international policies in promoting sustainable e-waste management, and what are the key barriers and opportunities for policy improvement?</w:t>
      </w:r>
    </w:p>
    <w:p w14:paraId="5D2A65A1">
      <w:pPr>
        <w:pStyle w:val="13"/>
        <w:spacing w:line="360" w:lineRule="auto"/>
        <w:rPr>
          <w:b/>
          <w:bCs/>
          <w:sz w:val="22"/>
          <w:szCs w:val="22"/>
        </w:rPr>
      </w:pPr>
      <w:r>
        <w:rPr>
          <w:b/>
          <w:bCs/>
          <w:sz w:val="22"/>
          <w:szCs w:val="22"/>
        </w:rPr>
        <w:t>Hypotheses:</w:t>
      </w:r>
    </w:p>
    <w:p w14:paraId="3E89BE6F">
      <w:pPr>
        <w:pStyle w:val="13"/>
        <w:numPr>
          <w:ilvl w:val="0"/>
          <w:numId w:val="2"/>
        </w:numPr>
        <w:spacing w:line="360" w:lineRule="auto"/>
        <w:rPr>
          <w:sz w:val="22"/>
          <w:szCs w:val="22"/>
        </w:rPr>
      </w:pPr>
      <w:r>
        <w:rPr>
          <w:sz w:val="22"/>
          <w:szCs w:val="22"/>
        </w:rPr>
        <w:t xml:space="preserve">Global e-waste generation is increasing exponentially, outpacing the development and implementation of effective waste management strategies. </w:t>
      </w:r>
    </w:p>
    <w:p w14:paraId="455B8636">
      <w:pPr>
        <w:pStyle w:val="13"/>
        <w:numPr>
          <w:ilvl w:val="0"/>
          <w:numId w:val="2"/>
        </w:numPr>
        <w:spacing w:line="360" w:lineRule="auto"/>
        <w:rPr>
          <w:sz w:val="22"/>
          <w:szCs w:val="22"/>
        </w:rPr>
      </w:pPr>
      <w:r>
        <w:rPr>
          <w:sz w:val="22"/>
          <w:szCs w:val="22"/>
        </w:rPr>
        <w:t xml:space="preserve">E-waste generation rates are positively correlated with GDP per capita and technological adoption rates across different countries. </w:t>
      </w:r>
    </w:p>
    <w:p w14:paraId="63388FF2">
      <w:pPr>
        <w:pStyle w:val="13"/>
        <w:numPr>
          <w:ilvl w:val="0"/>
          <w:numId w:val="2"/>
        </w:numPr>
        <w:spacing w:line="360" w:lineRule="auto"/>
        <w:rPr>
          <w:sz w:val="22"/>
          <w:szCs w:val="22"/>
        </w:rPr>
      </w:pPr>
      <w:r>
        <w:rPr>
          <w:sz w:val="22"/>
          <w:szCs w:val="22"/>
        </w:rPr>
        <w:t xml:space="preserve">Heavy metals from e-waste exhibit higher mobility and bioavailability in acidic soil conditions, leading to increased contamination of groundwater. </w:t>
      </w:r>
    </w:p>
    <w:p w14:paraId="0BF717F3">
      <w:pPr>
        <w:pStyle w:val="13"/>
        <w:numPr>
          <w:ilvl w:val="0"/>
          <w:numId w:val="2"/>
        </w:numPr>
        <w:spacing w:line="360" w:lineRule="auto"/>
        <w:rPr>
          <w:sz w:val="22"/>
          <w:szCs w:val="22"/>
        </w:rPr>
      </w:pPr>
      <w:r>
        <w:rPr>
          <w:sz w:val="22"/>
          <w:szCs w:val="22"/>
        </w:rPr>
        <w:t xml:space="preserve">Atmospheric transport of particulate matter from e-waste burning contributes significantly to the regional deposition of POPs in surrounding ecosystems. </w:t>
      </w:r>
    </w:p>
    <w:p w14:paraId="215E815F">
      <w:pPr>
        <w:pStyle w:val="13"/>
        <w:numPr>
          <w:ilvl w:val="0"/>
          <w:numId w:val="2"/>
        </w:numPr>
        <w:spacing w:line="360" w:lineRule="auto"/>
        <w:rPr>
          <w:sz w:val="22"/>
          <w:szCs w:val="22"/>
        </w:rPr>
      </w:pPr>
      <w:r>
        <w:rPr>
          <w:sz w:val="22"/>
          <w:szCs w:val="22"/>
        </w:rPr>
        <w:t>Chronic exposure to e-waste processing activities is associated with a higher prevalence of respiratory disorders, neurological impairments, and elevated cancer risks in affected communities.</w:t>
      </w:r>
    </w:p>
    <w:p w14:paraId="4195E6EA">
      <w:pPr>
        <w:pStyle w:val="13"/>
        <w:numPr>
          <w:ilvl w:val="0"/>
          <w:numId w:val="2"/>
        </w:numPr>
        <w:spacing w:line="360" w:lineRule="auto"/>
        <w:rPr>
          <w:sz w:val="22"/>
          <w:szCs w:val="22"/>
        </w:rPr>
      </w:pPr>
      <w:r>
        <w:rPr>
          <w:sz w:val="22"/>
          <w:szCs w:val="22"/>
        </w:rPr>
        <w:t>Children and pregnant women are disproportionately vulnerable to the adverse health effects of e-waste exposure due to their physiological susceptibility.</w:t>
      </w:r>
    </w:p>
    <w:p w14:paraId="2EC86AD6">
      <w:pPr>
        <w:pStyle w:val="13"/>
        <w:numPr>
          <w:ilvl w:val="0"/>
          <w:numId w:val="2"/>
        </w:numPr>
        <w:spacing w:line="360" w:lineRule="auto"/>
        <w:rPr>
          <w:sz w:val="22"/>
          <w:szCs w:val="22"/>
        </w:rPr>
      </w:pPr>
      <w:r>
        <w:rPr>
          <w:sz w:val="22"/>
          <w:szCs w:val="22"/>
        </w:rPr>
        <w:t>Countries with comprehensive extended producer responsibility (EPR) policies demonstrate higher e-waste collection and recycling rates compared to those without such policies.</w:t>
      </w:r>
    </w:p>
    <w:p w14:paraId="59B766B0">
      <w:pPr>
        <w:pStyle w:val="13"/>
        <w:spacing w:line="360" w:lineRule="auto"/>
        <w:rPr>
          <w:sz w:val="22"/>
          <w:szCs w:val="22"/>
        </w:rPr>
      </w:pPr>
      <w:r>
        <w:rPr>
          <w:b/>
          <w:bCs/>
          <w:sz w:val="22"/>
          <w:szCs w:val="22"/>
        </w:rPr>
        <w:t xml:space="preserve">Note: </w:t>
      </w:r>
      <w:r>
        <w:rPr>
          <w:sz w:val="22"/>
          <w:szCs w:val="22"/>
        </w:rPr>
        <w:t>The objective to "propose innovative solutions that integrate circular economy principles with sustainable waste management practices" is solution-oriented and will guide the development of specific recommendations and strategies based on the findings from the other research questions.</w:t>
      </w:r>
    </w:p>
    <w:p w14:paraId="6BEB4AB2">
      <w:pPr>
        <w:pStyle w:val="13"/>
        <w:spacing w:line="360" w:lineRule="auto"/>
        <w:rPr>
          <w:sz w:val="22"/>
          <w:szCs w:val="22"/>
        </w:rPr>
      </w:pPr>
      <w:r>
        <w:rPr>
          <w:sz w:val="22"/>
          <w:szCs w:val="22"/>
        </w:rPr>
        <w:t>Through a systematic examination of current literature, empirical studies, and case analyses, this study seeks to: (1). Evaluate the magnitude and trajectories of global e-waste generation, (2). Analyze the environmental fate and transport mechanisms of e-waste-derived pollutants, (3). Assess the epidemiological evidence linking e-waste exposure to adverse health outcomes, (4). Examine existing policy frameworks and their effectiveness in addressing the e-waste crisis, and (5). Propose innovative solutions that integrate circular economy principles with sustainable waste management practices.</w:t>
      </w:r>
    </w:p>
    <w:p w14:paraId="3C9D89EC">
      <w:pPr>
        <w:pStyle w:val="13"/>
        <w:spacing w:line="360" w:lineRule="auto"/>
        <w:rPr>
          <w:b/>
          <w:bCs/>
          <w:sz w:val="22"/>
          <w:szCs w:val="22"/>
        </w:rPr>
      </w:pPr>
      <w:r>
        <w:rPr>
          <w:b/>
          <w:bCs/>
          <w:sz w:val="22"/>
          <w:szCs w:val="22"/>
        </w:rPr>
        <w:t>Methodology</w:t>
      </w:r>
    </w:p>
    <w:p w14:paraId="349A3433">
      <w:pPr>
        <w:pStyle w:val="13"/>
        <w:spacing w:line="360" w:lineRule="auto"/>
        <w:jc w:val="both"/>
        <w:rPr>
          <w:sz w:val="22"/>
          <w:szCs w:val="22"/>
          <w:highlight w:val="yellow"/>
        </w:rPr>
      </w:pPr>
      <w:r>
        <w:rPr>
          <w:sz w:val="22"/>
          <w:szCs w:val="22"/>
          <w:highlight w:val="yellow"/>
        </w:rPr>
        <w:t>This study employs a systematic review approach, in accordance with the Preferred Reporting Items for Systematic Reviews and Meta-Analyses (PRISMA) guidelines. The review focuses on peer-reviewed literature, institutional reports, and national and international policy documents published between 2014 and 2024. The purpose is to provide a comprehensive overview of the environmental and health impacts of electronic waste and to evaluate the effectiveness of current management strategies.</w:t>
      </w:r>
    </w:p>
    <w:p w14:paraId="26473B88">
      <w:pPr>
        <w:pStyle w:val="13"/>
        <w:spacing w:line="360" w:lineRule="auto"/>
        <w:jc w:val="both"/>
        <w:rPr>
          <w:sz w:val="22"/>
          <w:szCs w:val="22"/>
          <w:highlight w:val="yellow"/>
        </w:rPr>
      </w:pPr>
      <w:r>
        <w:rPr>
          <w:sz w:val="22"/>
          <w:szCs w:val="22"/>
          <w:highlight w:val="yellow"/>
        </w:rPr>
        <w:t>Relevant studies were identified through searches in academic databases such as Scopus, Web of Science, ScienceDirect, and PubMed. Additional sources included reports from the United Nations Environment Programme (UNEP), the World Health Organization (WHO), and the Global E-waste Statistics Partnership. The search terms included combinations such as “e-waste” AND “health impacts,” “electronic waste” AND “recycling,” and “e-waste management” AND “circular economy.” Boolean operators and citation tracking were used to refine the results.</w:t>
      </w:r>
    </w:p>
    <w:p w14:paraId="69036B2F">
      <w:pPr>
        <w:pStyle w:val="13"/>
        <w:spacing w:line="360" w:lineRule="auto"/>
        <w:jc w:val="both"/>
        <w:rPr>
          <w:sz w:val="22"/>
          <w:szCs w:val="22"/>
          <w:highlight w:val="yellow"/>
        </w:rPr>
      </w:pPr>
      <w:r>
        <w:rPr>
          <w:sz w:val="22"/>
          <w:szCs w:val="22"/>
          <w:highlight w:val="yellow"/>
        </w:rPr>
        <w:t>Articles were selected based on their relevance to the themes of this review, including environmental contamination, health effects, recycling practices, and policy evaluation. Data extraction focused on identifying key pollutants, exposure pathways, and health outcomes, as well as current technologies and legislative measures for e-waste handling. The analysis integrates findings from multiple geographical regions, with a particular emphasis on Asia, Africa, and Latin America, where informal e-waste processing is prevalent.</w:t>
      </w:r>
    </w:p>
    <w:p w14:paraId="378FEB97">
      <w:pPr>
        <w:pStyle w:val="13"/>
        <w:spacing w:line="360" w:lineRule="auto"/>
        <w:jc w:val="both"/>
        <w:rPr>
          <w:b/>
          <w:bCs/>
          <w:sz w:val="22"/>
          <w:szCs w:val="22"/>
        </w:rPr>
      </w:pPr>
      <w:r>
        <w:rPr>
          <w:b/>
          <w:bCs/>
          <w:sz w:val="22"/>
          <w:szCs w:val="22"/>
        </w:rPr>
        <w:t xml:space="preserve">Overview </w:t>
      </w:r>
    </w:p>
    <w:p w14:paraId="274DC564">
      <w:pPr>
        <w:pStyle w:val="13"/>
        <w:spacing w:line="360" w:lineRule="auto"/>
        <w:jc w:val="both"/>
        <w:rPr>
          <w:sz w:val="22"/>
          <w:szCs w:val="22"/>
        </w:rPr>
      </w:pPr>
      <w:r>
        <w:rPr>
          <w:sz w:val="22"/>
          <w:szCs w:val="22"/>
        </w:rPr>
        <w:t>The proliferation of electronic devices, coupled with rapid technological advancement and decreasing product lifespans, has led to unprecedented growth in global e-waste generation. According to the Global E-waste Monitor 2023, global e-waste generation reached 59.4 million metric tonnes (Mt) in 2022, representing a 21% increase from 2019 (Forti et al., 2023). This trend is particularly concerning as the annual growth rate of e-waste (3.5%) significantly outpaces the global capacity for proper management and recycling (Baldé et al., 2023).</w:t>
      </w:r>
    </w:p>
    <w:p w14:paraId="6D9A5661">
      <w:pPr>
        <w:pStyle w:val="13"/>
        <w:spacing w:line="360" w:lineRule="auto"/>
        <w:jc w:val="both"/>
        <w:rPr>
          <w:sz w:val="22"/>
          <w:szCs w:val="22"/>
        </w:rPr>
      </w:pPr>
      <w:r>
        <w:rPr>
          <w:sz w:val="22"/>
          <w:szCs w:val="22"/>
        </w:rPr>
        <w:t>Projections indicate an alarming trajectory, with global e-waste expected to exceed 74.7 Mt by 2030 (UNEP, 2023). The World Economic Forum (2023) attributes this growth to several factors:</w:t>
      </w:r>
    </w:p>
    <w:p w14:paraId="54F0CB43">
      <w:pPr>
        <w:pStyle w:val="14"/>
        <w:numPr>
          <w:ilvl w:val="0"/>
          <w:numId w:val="3"/>
        </w:numPr>
        <w:spacing w:line="360" w:lineRule="auto"/>
        <w:jc w:val="both"/>
        <w:rPr>
          <w:sz w:val="22"/>
          <w:szCs w:val="22"/>
        </w:rPr>
      </w:pPr>
      <w:r>
        <w:rPr>
          <w:sz w:val="22"/>
          <w:szCs w:val="22"/>
        </w:rPr>
        <w:t>Increasing digital transformation across sectors</w:t>
      </w:r>
    </w:p>
    <w:p w14:paraId="34B2A547">
      <w:pPr>
        <w:pStyle w:val="14"/>
        <w:numPr>
          <w:ilvl w:val="0"/>
          <w:numId w:val="3"/>
        </w:numPr>
        <w:spacing w:line="360" w:lineRule="auto"/>
        <w:jc w:val="both"/>
        <w:rPr>
          <w:sz w:val="22"/>
          <w:szCs w:val="22"/>
        </w:rPr>
      </w:pPr>
      <w:r>
        <w:rPr>
          <w:sz w:val="22"/>
          <w:szCs w:val="22"/>
        </w:rPr>
        <w:t>Growing middle-class population in developing economies</w:t>
      </w:r>
    </w:p>
    <w:p w14:paraId="447B69C3">
      <w:pPr>
        <w:pStyle w:val="14"/>
        <w:numPr>
          <w:ilvl w:val="0"/>
          <w:numId w:val="3"/>
        </w:numPr>
        <w:spacing w:line="360" w:lineRule="auto"/>
        <w:jc w:val="both"/>
        <w:rPr>
          <w:sz w:val="22"/>
          <w:szCs w:val="22"/>
        </w:rPr>
      </w:pPr>
      <w:r>
        <w:rPr>
          <w:sz w:val="22"/>
          <w:szCs w:val="22"/>
        </w:rPr>
        <w:t>Shorter device replacement cycles</w:t>
      </w:r>
    </w:p>
    <w:p w14:paraId="4D9536EE">
      <w:pPr>
        <w:pStyle w:val="14"/>
        <w:numPr>
          <w:ilvl w:val="0"/>
          <w:numId w:val="3"/>
        </w:numPr>
        <w:spacing w:line="360" w:lineRule="auto"/>
        <w:jc w:val="both"/>
        <w:rPr>
          <w:sz w:val="22"/>
          <w:szCs w:val="22"/>
        </w:rPr>
      </w:pPr>
      <w:r>
        <w:rPr>
          <w:sz w:val="22"/>
          <w:szCs w:val="22"/>
        </w:rPr>
        <w:t>Rapid obsolescence of electronic products</w:t>
      </w:r>
    </w:p>
    <w:p w14:paraId="7069212C">
      <w:pPr>
        <w:pStyle w:val="14"/>
        <w:numPr>
          <w:ilvl w:val="0"/>
          <w:numId w:val="3"/>
        </w:numPr>
        <w:spacing w:line="360" w:lineRule="auto"/>
        <w:jc w:val="both"/>
        <w:rPr>
          <w:sz w:val="22"/>
          <w:szCs w:val="22"/>
        </w:rPr>
      </w:pPr>
      <w:r>
        <w:rPr>
          <w:sz w:val="22"/>
          <w:szCs w:val="22"/>
        </w:rPr>
        <w:t>Limited repairability of modern devices</w:t>
      </w:r>
    </w:p>
    <w:p w14:paraId="0C2A9796">
      <w:pPr>
        <w:pStyle w:val="13"/>
        <w:spacing w:line="360" w:lineRule="auto"/>
        <w:jc w:val="both"/>
        <w:rPr>
          <w:sz w:val="22"/>
          <w:szCs w:val="22"/>
        </w:rPr>
      </w:pPr>
      <w:r>
        <w:rPr>
          <w:sz w:val="22"/>
          <w:szCs w:val="22"/>
        </w:rPr>
        <w:t>Research by Kumar and Singh (2023) reveals that the average household in developed nations now owns 74% more electronic devices compared to a decade ago, while the average lifespan of these devices has decreased by 31%.</w:t>
      </w:r>
    </w:p>
    <w:p w14:paraId="5906200B">
      <w:pPr>
        <w:pStyle w:val="13"/>
        <w:spacing w:line="360" w:lineRule="auto"/>
        <w:jc w:val="both"/>
        <w:rPr>
          <w:b/>
          <w:bCs/>
          <w:sz w:val="22"/>
          <w:szCs w:val="22"/>
        </w:rPr>
      </w:pPr>
      <w:r>
        <w:rPr>
          <w:b/>
          <w:bCs/>
          <w:sz w:val="22"/>
          <w:szCs w:val="22"/>
        </w:rPr>
        <w:t>Major Contributing Regions and Countries</w:t>
      </w:r>
    </w:p>
    <w:p w14:paraId="5B083BEF">
      <w:pPr>
        <w:pStyle w:val="13"/>
        <w:spacing w:line="360" w:lineRule="auto"/>
        <w:jc w:val="both"/>
        <w:rPr>
          <w:sz w:val="22"/>
          <w:szCs w:val="22"/>
        </w:rPr>
      </w:pPr>
      <w:r>
        <w:rPr>
          <w:sz w:val="22"/>
          <w:szCs w:val="22"/>
        </w:rPr>
        <w:t>The generation and distribution of e-waste exhibit significant geographical variations, reflecting economic disparities and consumption patterns. Recent studies identify the following major contributing regions:</w:t>
      </w:r>
    </w:p>
    <w:p w14:paraId="65F015EA">
      <w:pPr>
        <w:pStyle w:val="13"/>
        <w:spacing w:line="360" w:lineRule="auto"/>
        <w:jc w:val="both"/>
        <w:rPr>
          <w:b/>
          <w:bCs/>
          <w:sz w:val="22"/>
          <w:szCs w:val="22"/>
        </w:rPr>
      </w:pPr>
      <w:r>
        <w:rPr>
          <w:b/>
          <w:bCs/>
          <w:sz w:val="22"/>
          <w:szCs w:val="22"/>
        </w:rPr>
        <w:t>Asia:</w:t>
      </w:r>
    </w:p>
    <w:p w14:paraId="4685A6E5">
      <w:pPr>
        <w:pStyle w:val="14"/>
        <w:numPr>
          <w:ilvl w:val="0"/>
          <w:numId w:val="4"/>
        </w:numPr>
        <w:spacing w:line="360" w:lineRule="auto"/>
        <w:jc w:val="both"/>
        <w:rPr>
          <w:sz w:val="22"/>
          <w:szCs w:val="22"/>
        </w:rPr>
      </w:pPr>
      <w:r>
        <w:rPr>
          <w:sz w:val="22"/>
          <w:szCs w:val="22"/>
        </w:rPr>
        <w:t>Generates 28.7 Mt annually, representing 46% of global e-waste</w:t>
      </w:r>
    </w:p>
    <w:p w14:paraId="106086D2">
      <w:pPr>
        <w:pStyle w:val="14"/>
        <w:numPr>
          <w:ilvl w:val="0"/>
          <w:numId w:val="4"/>
        </w:numPr>
        <w:spacing w:line="360" w:lineRule="auto"/>
        <w:jc w:val="both"/>
        <w:rPr>
          <w:sz w:val="22"/>
          <w:szCs w:val="22"/>
        </w:rPr>
      </w:pPr>
      <w:r>
        <w:rPr>
          <w:sz w:val="22"/>
          <w:szCs w:val="22"/>
        </w:rPr>
        <w:t>China alone produces 11.8 Mt, followed by India with 4.1 Mt</w:t>
      </w:r>
    </w:p>
    <w:p w14:paraId="6220E1C8">
      <w:pPr>
        <w:pStyle w:val="14"/>
        <w:numPr>
          <w:ilvl w:val="0"/>
          <w:numId w:val="4"/>
        </w:numPr>
        <w:spacing w:line="360" w:lineRule="auto"/>
        <w:jc w:val="both"/>
        <w:rPr>
          <w:sz w:val="22"/>
          <w:szCs w:val="22"/>
        </w:rPr>
      </w:pPr>
      <w:r>
        <w:rPr>
          <w:sz w:val="22"/>
          <w:szCs w:val="22"/>
        </w:rPr>
        <w:t>Fastest growing region in terms of e-waste generation (Zhang et al., 2023)</w:t>
      </w:r>
    </w:p>
    <w:p w14:paraId="2282980A">
      <w:pPr>
        <w:pStyle w:val="13"/>
        <w:spacing w:line="360" w:lineRule="auto"/>
        <w:jc w:val="both"/>
        <w:rPr>
          <w:b/>
          <w:bCs/>
          <w:sz w:val="22"/>
          <w:szCs w:val="22"/>
        </w:rPr>
      </w:pPr>
      <w:r>
        <w:rPr>
          <w:b/>
          <w:bCs/>
          <w:sz w:val="22"/>
          <w:szCs w:val="22"/>
        </w:rPr>
        <w:t>Europe:</w:t>
      </w:r>
    </w:p>
    <w:p w14:paraId="070F7E12">
      <w:pPr>
        <w:pStyle w:val="14"/>
        <w:numPr>
          <w:ilvl w:val="0"/>
          <w:numId w:val="5"/>
        </w:numPr>
        <w:spacing w:line="360" w:lineRule="auto"/>
        <w:jc w:val="both"/>
        <w:rPr>
          <w:sz w:val="22"/>
          <w:szCs w:val="22"/>
        </w:rPr>
      </w:pPr>
      <w:r>
        <w:rPr>
          <w:sz w:val="22"/>
          <w:szCs w:val="22"/>
        </w:rPr>
        <w:t>Produces 12.4 Mt annually</w:t>
      </w:r>
    </w:p>
    <w:p w14:paraId="7864221F">
      <w:pPr>
        <w:pStyle w:val="14"/>
        <w:numPr>
          <w:ilvl w:val="0"/>
          <w:numId w:val="5"/>
        </w:numPr>
        <w:spacing w:line="360" w:lineRule="auto"/>
        <w:jc w:val="both"/>
        <w:rPr>
          <w:sz w:val="22"/>
          <w:szCs w:val="22"/>
        </w:rPr>
      </w:pPr>
      <w:r>
        <w:rPr>
          <w:sz w:val="22"/>
          <w:szCs w:val="22"/>
        </w:rPr>
        <w:t>Highest per capita generation at 16.2 kg/inhabitant</w:t>
      </w:r>
    </w:p>
    <w:p w14:paraId="347DF832">
      <w:pPr>
        <w:pStyle w:val="14"/>
        <w:numPr>
          <w:ilvl w:val="0"/>
          <w:numId w:val="5"/>
        </w:numPr>
        <w:spacing w:line="360" w:lineRule="auto"/>
        <w:jc w:val="both"/>
        <w:rPr>
          <w:sz w:val="22"/>
          <w:szCs w:val="22"/>
        </w:rPr>
      </w:pPr>
      <w:r>
        <w:rPr>
          <w:sz w:val="22"/>
          <w:szCs w:val="22"/>
        </w:rPr>
        <w:t>Most developed formal collection system (24.9% collection rate)</w:t>
      </w:r>
      <w:r>
        <w:rPr>
          <w:sz w:val="22"/>
          <w:szCs w:val="22"/>
          <w:lang w:val="en-GB"/>
        </w:rPr>
        <w:t xml:space="preserve"> </w:t>
      </w:r>
      <w:r>
        <w:rPr>
          <w:sz w:val="22"/>
          <w:szCs w:val="22"/>
        </w:rPr>
        <w:t>(European Environment Agency, 2023)</w:t>
      </w:r>
    </w:p>
    <w:p w14:paraId="5FA77698">
      <w:pPr>
        <w:pStyle w:val="13"/>
        <w:spacing w:line="360" w:lineRule="auto"/>
        <w:jc w:val="both"/>
        <w:rPr>
          <w:b/>
          <w:bCs/>
          <w:sz w:val="22"/>
          <w:szCs w:val="22"/>
        </w:rPr>
      </w:pPr>
      <w:r>
        <w:rPr>
          <w:b/>
          <w:bCs/>
          <w:sz w:val="22"/>
          <w:szCs w:val="22"/>
        </w:rPr>
        <w:t>Americas:</w:t>
      </w:r>
    </w:p>
    <w:p w14:paraId="367D9CA8">
      <w:pPr>
        <w:pStyle w:val="14"/>
        <w:numPr>
          <w:ilvl w:val="0"/>
          <w:numId w:val="6"/>
        </w:numPr>
        <w:spacing w:line="360" w:lineRule="auto"/>
        <w:jc w:val="both"/>
        <w:rPr>
          <w:sz w:val="22"/>
          <w:szCs w:val="22"/>
        </w:rPr>
      </w:pPr>
      <w:r>
        <w:rPr>
          <w:sz w:val="22"/>
          <w:szCs w:val="22"/>
        </w:rPr>
        <w:t>North America generates 7.3 Mt annually</w:t>
      </w:r>
    </w:p>
    <w:p w14:paraId="0BEFA10A">
      <w:pPr>
        <w:pStyle w:val="14"/>
        <w:numPr>
          <w:ilvl w:val="0"/>
          <w:numId w:val="6"/>
        </w:numPr>
        <w:spacing w:line="360" w:lineRule="auto"/>
        <w:jc w:val="both"/>
        <w:rPr>
          <w:sz w:val="22"/>
          <w:szCs w:val="22"/>
        </w:rPr>
      </w:pPr>
      <w:r>
        <w:rPr>
          <w:sz w:val="22"/>
          <w:szCs w:val="22"/>
        </w:rPr>
        <w:t>United States leads with 6.9 Mt</w:t>
      </w:r>
    </w:p>
    <w:p w14:paraId="0301C578">
      <w:pPr>
        <w:pStyle w:val="14"/>
        <w:numPr>
          <w:ilvl w:val="0"/>
          <w:numId w:val="6"/>
        </w:numPr>
        <w:spacing w:line="360" w:lineRule="auto"/>
        <w:jc w:val="both"/>
        <w:rPr>
          <w:sz w:val="22"/>
          <w:szCs w:val="22"/>
        </w:rPr>
      </w:pPr>
      <w:r>
        <w:rPr>
          <w:sz w:val="22"/>
          <w:szCs w:val="22"/>
        </w:rPr>
        <w:t>Latin America contributes 4.1 Mt</w:t>
      </w:r>
      <w:r>
        <w:rPr>
          <w:sz w:val="22"/>
          <w:szCs w:val="22"/>
          <w:lang w:val="en-GB"/>
        </w:rPr>
        <w:t xml:space="preserve"> </w:t>
      </w:r>
      <w:r>
        <w:rPr>
          <w:sz w:val="22"/>
          <w:szCs w:val="22"/>
        </w:rPr>
        <w:t>(Martinez-Lopez et al., 2023)</w:t>
      </w:r>
    </w:p>
    <w:p w14:paraId="76012EFC">
      <w:pPr>
        <w:pStyle w:val="13"/>
        <w:spacing w:line="360" w:lineRule="auto"/>
        <w:jc w:val="both"/>
        <w:rPr>
          <w:b/>
          <w:bCs/>
          <w:sz w:val="22"/>
          <w:szCs w:val="22"/>
        </w:rPr>
      </w:pPr>
      <w:r>
        <w:rPr>
          <w:b/>
          <w:bCs/>
          <w:sz w:val="22"/>
          <w:szCs w:val="22"/>
        </w:rPr>
        <w:t>Types and Composition of E-waste</w:t>
      </w:r>
    </w:p>
    <w:p w14:paraId="267461B4">
      <w:pPr>
        <w:pStyle w:val="13"/>
        <w:spacing w:line="360" w:lineRule="auto"/>
        <w:jc w:val="both"/>
        <w:rPr>
          <w:sz w:val="22"/>
          <w:szCs w:val="22"/>
        </w:rPr>
      </w:pPr>
      <w:r>
        <w:rPr>
          <w:sz w:val="22"/>
          <w:szCs w:val="22"/>
        </w:rPr>
        <w:t>Contemporary research classifies e-waste into distinct categories based on composition and handling requirements. Liu et al. (2023) identify six primary categories:</w:t>
      </w:r>
    </w:p>
    <w:p w14:paraId="59D4ED03">
      <w:pPr>
        <w:pStyle w:val="14"/>
        <w:numPr>
          <w:ilvl w:val="0"/>
          <w:numId w:val="7"/>
        </w:numPr>
        <w:spacing w:line="360" w:lineRule="auto"/>
        <w:jc w:val="both"/>
        <w:rPr>
          <w:sz w:val="22"/>
          <w:szCs w:val="22"/>
        </w:rPr>
      </w:pPr>
      <w:r>
        <w:rPr>
          <w:sz w:val="22"/>
          <w:szCs w:val="22"/>
        </w:rPr>
        <w:t>Temperature Exchange Equipment (32% of total e-waste)</w:t>
      </w:r>
    </w:p>
    <w:p w14:paraId="589575E3">
      <w:pPr>
        <w:pStyle w:val="14"/>
        <w:numPr>
          <w:ilvl w:val="0"/>
          <w:numId w:val="8"/>
        </w:numPr>
        <w:spacing w:line="360" w:lineRule="auto"/>
        <w:jc w:val="both"/>
        <w:rPr>
          <w:sz w:val="22"/>
          <w:szCs w:val="22"/>
        </w:rPr>
      </w:pPr>
      <w:r>
        <w:rPr>
          <w:sz w:val="22"/>
          <w:szCs w:val="22"/>
        </w:rPr>
        <w:t>Refrigerators, air conditioners</w:t>
      </w:r>
    </w:p>
    <w:p w14:paraId="78D87195">
      <w:pPr>
        <w:pStyle w:val="14"/>
        <w:numPr>
          <w:ilvl w:val="0"/>
          <w:numId w:val="8"/>
        </w:numPr>
        <w:spacing w:line="360" w:lineRule="auto"/>
        <w:jc w:val="both"/>
        <w:rPr>
          <w:sz w:val="22"/>
          <w:szCs w:val="22"/>
        </w:rPr>
      </w:pPr>
      <w:r>
        <w:rPr>
          <w:sz w:val="22"/>
          <w:szCs w:val="22"/>
        </w:rPr>
        <w:t>Contains refrigerants and insulating foams</w:t>
      </w:r>
    </w:p>
    <w:p w14:paraId="228A6574">
      <w:pPr>
        <w:pStyle w:val="14"/>
        <w:numPr>
          <w:ilvl w:val="0"/>
          <w:numId w:val="8"/>
        </w:numPr>
        <w:spacing w:line="360" w:lineRule="auto"/>
        <w:jc w:val="both"/>
        <w:rPr>
          <w:sz w:val="22"/>
          <w:szCs w:val="22"/>
        </w:rPr>
      </w:pPr>
      <w:r>
        <w:rPr>
          <w:sz w:val="22"/>
          <w:szCs w:val="22"/>
        </w:rPr>
        <w:t>High environmental impact due to greenhouse gases</w:t>
      </w:r>
    </w:p>
    <w:p w14:paraId="3262E497">
      <w:pPr>
        <w:pStyle w:val="14"/>
        <w:numPr>
          <w:ilvl w:val="0"/>
          <w:numId w:val="9"/>
        </w:numPr>
        <w:spacing w:line="360" w:lineRule="auto"/>
        <w:jc w:val="both"/>
        <w:rPr>
          <w:sz w:val="22"/>
          <w:szCs w:val="22"/>
        </w:rPr>
      </w:pPr>
      <w:r>
        <w:rPr>
          <w:sz w:val="22"/>
          <w:szCs w:val="22"/>
        </w:rPr>
        <w:t>Screens and Monitors (22%)</w:t>
      </w:r>
    </w:p>
    <w:p w14:paraId="16E83958">
      <w:pPr>
        <w:pStyle w:val="14"/>
        <w:numPr>
          <w:ilvl w:val="0"/>
          <w:numId w:val="10"/>
        </w:numPr>
        <w:spacing w:line="360" w:lineRule="auto"/>
        <w:jc w:val="both"/>
        <w:rPr>
          <w:sz w:val="22"/>
          <w:szCs w:val="22"/>
        </w:rPr>
      </w:pPr>
      <w:r>
        <w:rPr>
          <w:sz w:val="22"/>
          <w:szCs w:val="22"/>
        </w:rPr>
        <w:t>LCD, LED displays</w:t>
      </w:r>
    </w:p>
    <w:p w14:paraId="65EC9931">
      <w:pPr>
        <w:pStyle w:val="14"/>
        <w:numPr>
          <w:ilvl w:val="0"/>
          <w:numId w:val="10"/>
        </w:numPr>
        <w:spacing w:line="360" w:lineRule="auto"/>
        <w:jc w:val="both"/>
        <w:rPr>
          <w:sz w:val="22"/>
          <w:szCs w:val="22"/>
        </w:rPr>
      </w:pPr>
      <w:r>
        <w:rPr>
          <w:sz w:val="22"/>
          <w:szCs w:val="22"/>
        </w:rPr>
        <w:t>Contains mercury, lead glass</w:t>
      </w:r>
    </w:p>
    <w:p w14:paraId="40BDDDCB">
      <w:pPr>
        <w:pStyle w:val="14"/>
        <w:numPr>
          <w:ilvl w:val="0"/>
          <w:numId w:val="10"/>
        </w:numPr>
        <w:spacing w:line="360" w:lineRule="auto"/>
        <w:jc w:val="both"/>
        <w:rPr>
          <w:sz w:val="22"/>
          <w:szCs w:val="22"/>
        </w:rPr>
      </w:pPr>
      <w:r>
        <w:rPr>
          <w:sz w:val="22"/>
          <w:szCs w:val="22"/>
        </w:rPr>
        <w:t>Requires specialized handling</w:t>
      </w:r>
    </w:p>
    <w:p w14:paraId="4EF28B4A">
      <w:pPr>
        <w:pStyle w:val="14"/>
        <w:numPr>
          <w:ilvl w:val="0"/>
          <w:numId w:val="11"/>
        </w:numPr>
        <w:spacing w:line="360" w:lineRule="auto"/>
        <w:jc w:val="both"/>
        <w:rPr>
          <w:sz w:val="22"/>
          <w:szCs w:val="22"/>
        </w:rPr>
      </w:pPr>
      <w:r>
        <w:rPr>
          <w:sz w:val="22"/>
          <w:szCs w:val="22"/>
        </w:rPr>
        <w:t>Large Equipment (20%)</w:t>
      </w:r>
    </w:p>
    <w:p w14:paraId="49D667DB">
      <w:pPr>
        <w:pStyle w:val="14"/>
        <w:numPr>
          <w:ilvl w:val="0"/>
          <w:numId w:val="12"/>
        </w:numPr>
        <w:spacing w:line="360" w:lineRule="auto"/>
        <w:jc w:val="both"/>
        <w:rPr>
          <w:sz w:val="22"/>
          <w:szCs w:val="22"/>
        </w:rPr>
      </w:pPr>
      <w:r>
        <w:rPr>
          <w:sz w:val="22"/>
          <w:szCs w:val="22"/>
        </w:rPr>
        <w:t>Washing machines, electric stoves</w:t>
      </w:r>
    </w:p>
    <w:p w14:paraId="415B0B75">
      <w:pPr>
        <w:pStyle w:val="14"/>
        <w:numPr>
          <w:ilvl w:val="0"/>
          <w:numId w:val="12"/>
        </w:numPr>
        <w:spacing w:line="360" w:lineRule="auto"/>
        <w:jc w:val="both"/>
        <w:rPr>
          <w:sz w:val="22"/>
          <w:szCs w:val="22"/>
        </w:rPr>
      </w:pPr>
      <w:r>
        <w:rPr>
          <w:sz w:val="22"/>
          <w:szCs w:val="22"/>
        </w:rPr>
        <w:t>Rich in recyclable metals</w:t>
      </w:r>
    </w:p>
    <w:p w14:paraId="5CD36B9B">
      <w:pPr>
        <w:pStyle w:val="14"/>
        <w:numPr>
          <w:ilvl w:val="0"/>
          <w:numId w:val="12"/>
        </w:numPr>
        <w:spacing w:line="360" w:lineRule="auto"/>
        <w:jc w:val="both"/>
        <w:rPr>
          <w:sz w:val="22"/>
          <w:szCs w:val="22"/>
        </w:rPr>
      </w:pPr>
      <w:r>
        <w:rPr>
          <w:sz w:val="22"/>
          <w:szCs w:val="22"/>
        </w:rPr>
        <w:t>Significant plastic content</w:t>
      </w:r>
    </w:p>
    <w:p w14:paraId="35D40CED">
      <w:pPr>
        <w:pStyle w:val="14"/>
        <w:numPr>
          <w:ilvl w:val="0"/>
          <w:numId w:val="13"/>
        </w:numPr>
        <w:spacing w:line="360" w:lineRule="auto"/>
        <w:jc w:val="both"/>
        <w:rPr>
          <w:sz w:val="22"/>
          <w:szCs w:val="22"/>
        </w:rPr>
      </w:pPr>
      <w:r>
        <w:rPr>
          <w:sz w:val="22"/>
          <w:szCs w:val="22"/>
        </w:rPr>
        <w:t>Small Equipment (15%)</w:t>
      </w:r>
    </w:p>
    <w:p w14:paraId="23009DFE">
      <w:pPr>
        <w:pStyle w:val="14"/>
        <w:numPr>
          <w:ilvl w:val="0"/>
          <w:numId w:val="14"/>
        </w:numPr>
        <w:spacing w:line="360" w:lineRule="auto"/>
        <w:jc w:val="both"/>
        <w:rPr>
          <w:sz w:val="22"/>
          <w:szCs w:val="22"/>
        </w:rPr>
      </w:pPr>
      <w:r>
        <w:rPr>
          <w:sz w:val="22"/>
          <w:szCs w:val="22"/>
        </w:rPr>
        <w:t>Vacuum cleaners, microwave ovens</w:t>
      </w:r>
    </w:p>
    <w:p w14:paraId="69B9CE18">
      <w:pPr>
        <w:pStyle w:val="14"/>
        <w:numPr>
          <w:ilvl w:val="0"/>
          <w:numId w:val="14"/>
        </w:numPr>
        <w:spacing w:line="360" w:lineRule="auto"/>
        <w:jc w:val="both"/>
        <w:rPr>
          <w:sz w:val="22"/>
          <w:szCs w:val="22"/>
        </w:rPr>
      </w:pPr>
      <w:r>
        <w:rPr>
          <w:sz w:val="22"/>
          <w:szCs w:val="22"/>
        </w:rPr>
        <w:t>Mixed material composition</w:t>
      </w:r>
    </w:p>
    <w:p w14:paraId="18247119">
      <w:pPr>
        <w:pStyle w:val="14"/>
        <w:numPr>
          <w:ilvl w:val="0"/>
          <w:numId w:val="14"/>
        </w:numPr>
        <w:spacing w:line="360" w:lineRule="auto"/>
        <w:jc w:val="both"/>
        <w:rPr>
          <w:sz w:val="22"/>
          <w:szCs w:val="22"/>
        </w:rPr>
      </w:pPr>
      <w:r>
        <w:rPr>
          <w:sz w:val="22"/>
          <w:szCs w:val="22"/>
        </w:rPr>
        <w:t>Challenging for recycling</w:t>
      </w:r>
    </w:p>
    <w:p w14:paraId="491381A8">
      <w:pPr>
        <w:pStyle w:val="14"/>
        <w:numPr>
          <w:ilvl w:val="0"/>
          <w:numId w:val="15"/>
        </w:numPr>
        <w:spacing w:line="360" w:lineRule="auto"/>
        <w:jc w:val="both"/>
        <w:rPr>
          <w:sz w:val="22"/>
          <w:szCs w:val="22"/>
        </w:rPr>
      </w:pPr>
      <w:r>
        <w:rPr>
          <w:sz w:val="22"/>
          <w:szCs w:val="22"/>
        </w:rPr>
        <w:t>Small IT Equipment (9%)</w:t>
      </w:r>
    </w:p>
    <w:p w14:paraId="0C61DF01">
      <w:pPr>
        <w:pStyle w:val="14"/>
        <w:numPr>
          <w:ilvl w:val="0"/>
          <w:numId w:val="16"/>
        </w:numPr>
        <w:spacing w:line="360" w:lineRule="auto"/>
        <w:jc w:val="both"/>
        <w:rPr>
          <w:sz w:val="22"/>
          <w:szCs w:val="22"/>
        </w:rPr>
      </w:pPr>
      <w:r>
        <w:rPr>
          <w:sz w:val="22"/>
          <w:szCs w:val="22"/>
        </w:rPr>
        <w:t>Smartphones, tablets, printers</w:t>
      </w:r>
    </w:p>
    <w:p w14:paraId="21B4DC18">
      <w:pPr>
        <w:pStyle w:val="14"/>
        <w:numPr>
          <w:ilvl w:val="0"/>
          <w:numId w:val="16"/>
        </w:numPr>
        <w:spacing w:line="360" w:lineRule="auto"/>
        <w:jc w:val="both"/>
        <w:rPr>
          <w:sz w:val="22"/>
          <w:szCs w:val="22"/>
        </w:rPr>
      </w:pPr>
      <w:r>
        <w:rPr>
          <w:sz w:val="22"/>
          <w:szCs w:val="22"/>
        </w:rPr>
        <w:t>Contains precious metals</w:t>
      </w:r>
    </w:p>
    <w:p w14:paraId="326C3712">
      <w:pPr>
        <w:pStyle w:val="14"/>
        <w:numPr>
          <w:ilvl w:val="0"/>
          <w:numId w:val="16"/>
        </w:numPr>
        <w:spacing w:line="360" w:lineRule="auto"/>
        <w:jc w:val="both"/>
        <w:rPr>
          <w:sz w:val="22"/>
          <w:szCs w:val="22"/>
        </w:rPr>
      </w:pPr>
      <w:r>
        <w:rPr>
          <w:sz w:val="22"/>
          <w:szCs w:val="22"/>
        </w:rPr>
        <w:t>High economic value for recovery</w:t>
      </w:r>
    </w:p>
    <w:p w14:paraId="7C8989C6">
      <w:pPr>
        <w:pStyle w:val="14"/>
        <w:numPr>
          <w:ilvl w:val="0"/>
          <w:numId w:val="17"/>
        </w:numPr>
        <w:spacing w:line="360" w:lineRule="auto"/>
        <w:jc w:val="both"/>
        <w:rPr>
          <w:sz w:val="22"/>
          <w:szCs w:val="22"/>
        </w:rPr>
      </w:pPr>
      <w:r>
        <w:rPr>
          <w:sz w:val="22"/>
          <w:szCs w:val="22"/>
        </w:rPr>
        <w:t>Telecommunication Equipment (2%)</w:t>
      </w:r>
    </w:p>
    <w:p w14:paraId="437761C6">
      <w:pPr>
        <w:pStyle w:val="14"/>
        <w:numPr>
          <w:ilvl w:val="0"/>
          <w:numId w:val="18"/>
        </w:numPr>
        <w:spacing w:line="360" w:lineRule="auto"/>
        <w:jc w:val="both"/>
        <w:rPr>
          <w:sz w:val="22"/>
          <w:szCs w:val="22"/>
        </w:rPr>
      </w:pPr>
      <w:r>
        <w:rPr>
          <w:sz w:val="22"/>
          <w:szCs w:val="22"/>
        </w:rPr>
        <w:t>Networking equipment</w:t>
      </w:r>
    </w:p>
    <w:p w14:paraId="55EEB1AF">
      <w:pPr>
        <w:pStyle w:val="14"/>
        <w:numPr>
          <w:ilvl w:val="0"/>
          <w:numId w:val="18"/>
        </w:numPr>
        <w:spacing w:line="360" w:lineRule="auto"/>
        <w:jc w:val="both"/>
        <w:rPr>
          <w:sz w:val="22"/>
          <w:szCs w:val="22"/>
        </w:rPr>
      </w:pPr>
      <w:r>
        <w:rPr>
          <w:sz w:val="22"/>
          <w:szCs w:val="22"/>
        </w:rPr>
        <w:t>High concentration of rare earth elements</w:t>
      </w:r>
    </w:p>
    <w:p w14:paraId="41236EBA">
      <w:pPr>
        <w:pStyle w:val="14"/>
        <w:numPr>
          <w:ilvl w:val="0"/>
          <w:numId w:val="18"/>
        </w:numPr>
        <w:spacing w:line="360" w:lineRule="auto"/>
        <w:jc w:val="both"/>
        <w:rPr>
          <w:sz w:val="22"/>
          <w:szCs w:val="22"/>
        </w:rPr>
      </w:pPr>
      <w:r>
        <w:rPr>
          <w:sz w:val="22"/>
          <w:szCs w:val="22"/>
        </w:rPr>
        <w:t>Complex material composition</w:t>
      </w:r>
    </w:p>
    <w:p w14:paraId="2E415AB7">
      <w:pPr>
        <w:pStyle w:val="13"/>
        <w:spacing w:line="360" w:lineRule="auto"/>
        <w:jc w:val="both"/>
        <w:rPr>
          <w:sz w:val="22"/>
          <w:szCs w:val="22"/>
        </w:rPr>
      </w:pPr>
      <w:r>
        <w:rPr>
          <w:b/>
          <w:bCs/>
          <w:sz w:val="22"/>
          <w:szCs w:val="22"/>
        </w:rPr>
        <w:t>Material Composition Analysis:</w:t>
      </w:r>
      <w:r>
        <w:rPr>
          <w:sz w:val="22"/>
          <w:szCs w:val="22"/>
        </w:rPr>
        <w:t xml:space="preserve"> Recent studies by Wang et al. (2023) reveal the following composition:</w:t>
      </w:r>
    </w:p>
    <w:p w14:paraId="1C41FA45">
      <w:pPr>
        <w:pStyle w:val="14"/>
        <w:numPr>
          <w:ilvl w:val="0"/>
          <w:numId w:val="19"/>
        </w:numPr>
        <w:spacing w:line="360" w:lineRule="auto"/>
        <w:jc w:val="both"/>
        <w:rPr>
          <w:sz w:val="22"/>
          <w:szCs w:val="22"/>
        </w:rPr>
      </w:pPr>
      <w:r>
        <w:rPr>
          <w:sz w:val="22"/>
          <w:szCs w:val="22"/>
        </w:rPr>
        <w:t xml:space="preserve">Metals (45-48%) </w:t>
      </w:r>
    </w:p>
    <w:p w14:paraId="2A2AF01A">
      <w:pPr>
        <w:pStyle w:val="14"/>
        <w:numPr>
          <w:ilvl w:val="1"/>
          <w:numId w:val="19"/>
        </w:numPr>
        <w:spacing w:line="360" w:lineRule="auto"/>
        <w:jc w:val="both"/>
        <w:rPr>
          <w:sz w:val="22"/>
          <w:szCs w:val="22"/>
        </w:rPr>
      </w:pPr>
      <w:r>
        <w:rPr>
          <w:sz w:val="22"/>
          <w:szCs w:val="22"/>
        </w:rPr>
        <w:t>Iron/Steel (38%)</w:t>
      </w:r>
    </w:p>
    <w:p w14:paraId="4C49D06A">
      <w:pPr>
        <w:pStyle w:val="14"/>
        <w:numPr>
          <w:ilvl w:val="1"/>
          <w:numId w:val="19"/>
        </w:numPr>
        <w:spacing w:line="360" w:lineRule="auto"/>
        <w:jc w:val="both"/>
        <w:rPr>
          <w:sz w:val="22"/>
          <w:szCs w:val="22"/>
        </w:rPr>
      </w:pPr>
      <w:r>
        <w:rPr>
          <w:sz w:val="22"/>
          <w:szCs w:val="22"/>
        </w:rPr>
        <w:t>Copper (4%)</w:t>
      </w:r>
    </w:p>
    <w:p w14:paraId="46CD4A79">
      <w:pPr>
        <w:pStyle w:val="14"/>
        <w:numPr>
          <w:ilvl w:val="1"/>
          <w:numId w:val="19"/>
        </w:numPr>
        <w:spacing w:line="360" w:lineRule="auto"/>
        <w:jc w:val="both"/>
        <w:rPr>
          <w:sz w:val="22"/>
          <w:szCs w:val="22"/>
        </w:rPr>
      </w:pPr>
      <w:r>
        <w:rPr>
          <w:sz w:val="22"/>
          <w:szCs w:val="22"/>
        </w:rPr>
        <w:t>Aluminum (2%)</w:t>
      </w:r>
    </w:p>
    <w:p w14:paraId="4CAEE73D">
      <w:pPr>
        <w:pStyle w:val="14"/>
        <w:numPr>
          <w:ilvl w:val="1"/>
          <w:numId w:val="19"/>
        </w:numPr>
        <w:spacing w:line="360" w:lineRule="auto"/>
        <w:jc w:val="both"/>
        <w:rPr>
          <w:sz w:val="22"/>
          <w:szCs w:val="22"/>
        </w:rPr>
      </w:pPr>
      <w:r>
        <w:rPr>
          <w:sz w:val="22"/>
          <w:szCs w:val="22"/>
        </w:rPr>
        <w:t>Precious metals (0.1-0.3%)</w:t>
      </w:r>
    </w:p>
    <w:p w14:paraId="6CE9DC7C">
      <w:pPr>
        <w:pStyle w:val="14"/>
        <w:numPr>
          <w:ilvl w:val="0"/>
          <w:numId w:val="19"/>
        </w:numPr>
        <w:spacing w:line="360" w:lineRule="auto"/>
        <w:jc w:val="both"/>
        <w:rPr>
          <w:sz w:val="22"/>
          <w:szCs w:val="22"/>
        </w:rPr>
      </w:pPr>
      <w:r>
        <w:rPr>
          <w:sz w:val="22"/>
          <w:szCs w:val="22"/>
        </w:rPr>
        <w:t xml:space="preserve">Plastics (21-23%) </w:t>
      </w:r>
    </w:p>
    <w:p w14:paraId="62BC6C44">
      <w:pPr>
        <w:pStyle w:val="14"/>
        <w:numPr>
          <w:ilvl w:val="1"/>
          <w:numId w:val="19"/>
        </w:numPr>
        <w:spacing w:line="360" w:lineRule="auto"/>
        <w:jc w:val="both"/>
        <w:rPr>
          <w:sz w:val="22"/>
          <w:szCs w:val="22"/>
        </w:rPr>
      </w:pPr>
      <w:r>
        <w:rPr>
          <w:sz w:val="22"/>
          <w:szCs w:val="22"/>
        </w:rPr>
        <w:t>Various polymers</w:t>
      </w:r>
    </w:p>
    <w:p w14:paraId="71926A35">
      <w:pPr>
        <w:pStyle w:val="14"/>
        <w:numPr>
          <w:ilvl w:val="1"/>
          <w:numId w:val="19"/>
        </w:numPr>
        <w:spacing w:line="360" w:lineRule="auto"/>
        <w:jc w:val="both"/>
        <w:rPr>
          <w:sz w:val="22"/>
          <w:szCs w:val="22"/>
        </w:rPr>
      </w:pPr>
      <w:r>
        <w:rPr>
          <w:sz w:val="22"/>
          <w:szCs w:val="22"/>
        </w:rPr>
        <w:t>Often containing flame retardants</w:t>
      </w:r>
    </w:p>
    <w:p w14:paraId="1901569D">
      <w:pPr>
        <w:pStyle w:val="14"/>
        <w:numPr>
          <w:ilvl w:val="0"/>
          <w:numId w:val="19"/>
        </w:numPr>
        <w:spacing w:line="360" w:lineRule="auto"/>
        <w:jc w:val="both"/>
        <w:rPr>
          <w:sz w:val="22"/>
          <w:szCs w:val="22"/>
        </w:rPr>
      </w:pPr>
      <w:r>
        <w:rPr>
          <w:sz w:val="22"/>
          <w:szCs w:val="22"/>
        </w:rPr>
        <w:t xml:space="preserve">Critical Raw Materials (0.1%) </w:t>
      </w:r>
    </w:p>
    <w:p w14:paraId="6364731D">
      <w:pPr>
        <w:pStyle w:val="14"/>
        <w:numPr>
          <w:ilvl w:val="1"/>
          <w:numId w:val="19"/>
        </w:numPr>
        <w:spacing w:line="360" w:lineRule="auto"/>
        <w:jc w:val="both"/>
        <w:rPr>
          <w:sz w:val="22"/>
          <w:szCs w:val="22"/>
        </w:rPr>
      </w:pPr>
      <w:r>
        <w:rPr>
          <w:sz w:val="22"/>
          <w:szCs w:val="22"/>
        </w:rPr>
        <w:t>Rare earth elements</w:t>
      </w:r>
    </w:p>
    <w:p w14:paraId="1FA11493">
      <w:pPr>
        <w:pStyle w:val="14"/>
        <w:numPr>
          <w:ilvl w:val="1"/>
          <w:numId w:val="19"/>
        </w:numPr>
        <w:spacing w:line="360" w:lineRule="auto"/>
        <w:jc w:val="both"/>
        <w:rPr>
          <w:sz w:val="22"/>
          <w:szCs w:val="22"/>
        </w:rPr>
      </w:pPr>
      <w:r>
        <w:rPr>
          <w:sz w:val="22"/>
          <w:szCs w:val="22"/>
        </w:rPr>
        <w:t>Indium</w:t>
      </w:r>
    </w:p>
    <w:p w14:paraId="019F1A9B">
      <w:pPr>
        <w:pStyle w:val="14"/>
        <w:numPr>
          <w:ilvl w:val="1"/>
          <w:numId w:val="19"/>
        </w:numPr>
        <w:spacing w:line="360" w:lineRule="auto"/>
        <w:jc w:val="both"/>
        <w:rPr>
          <w:sz w:val="22"/>
          <w:szCs w:val="22"/>
        </w:rPr>
      </w:pPr>
      <w:r>
        <w:rPr>
          <w:sz w:val="22"/>
          <w:szCs w:val="22"/>
        </w:rPr>
        <w:t>Cobalt</w:t>
      </w:r>
    </w:p>
    <w:p w14:paraId="4FCC5F8F">
      <w:pPr>
        <w:pStyle w:val="14"/>
        <w:numPr>
          <w:ilvl w:val="0"/>
          <w:numId w:val="19"/>
        </w:numPr>
        <w:spacing w:line="360" w:lineRule="auto"/>
        <w:jc w:val="both"/>
        <w:rPr>
          <w:sz w:val="22"/>
          <w:szCs w:val="22"/>
        </w:rPr>
      </w:pPr>
      <w:r>
        <w:rPr>
          <w:sz w:val="22"/>
          <w:szCs w:val="22"/>
        </w:rPr>
        <w:t xml:space="preserve">Hazardous Materials (2-3%) </w:t>
      </w:r>
    </w:p>
    <w:p w14:paraId="6E7AD414">
      <w:pPr>
        <w:pStyle w:val="14"/>
        <w:numPr>
          <w:ilvl w:val="1"/>
          <w:numId w:val="19"/>
        </w:numPr>
        <w:spacing w:line="360" w:lineRule="auto"/>
        <w:jc w:val="both"/>
        <w:rPr>
          <w:sz w:val="22"/>
          <w:szCs w:val="22"/>
        </w:rPr>
      </w:pPr>
      <w:r>
        <w:rPr>
          <w:sz w:val="22"/>
          <w:szCs w:val="22"/>
        </w:rPr>
        <w:t>Lead</w:t>
      </w:r>
    </w:p>
    <w:p w14:paraId="7926F47B">
      <w:pPr>
        <w:pStyle w:val="14"/>
        <w:numPr>
          <w:ilvl w:val="1"/>
          <w:numId w:val="19"/>
        </w:numPr>
        <w:spacing w:line="360" w:lineRule="auto"/>
        <w:jc w:val="both"/>
        <w:rPr>
          <w:sz w:val="22"/>
          <w:szCs w:val="22"/>
        </w:rPr>
      </w:pPr>
      <w:r>
        <w:rPr>
          <w:sz w:val="22"/>
          <w:szCs w:val="22"/>
        </w:rPr>
        <w:t>Mercury</w:t>
      </w:r>
    </w:p>
    <w:p w14:paraId="667DFE34">
      <w:pPr>
        <w:pStyle w:val="14"/>
        <w:numPr>
          <w:ilvl w:val="1"/>
          <w:numId w:val="19"/>
        </w:numPr>
        <w:spacing w:line="360" w:lineRule="auto"/>
        <w:jc w:val="both"/>
        <w:rPr>
          <w:sz w:val="22"/>
          <w:szCs w:val="22"/>
        </w:rPr>
      </w:pPr>
      <w:r>
        <w:rPr>
          <w:sz w:val="22"/>
          <w:szCs w:val="22"/>
        </w:rPr>
        <w:t>Cadmium</w:t>
      </w:r>
    </w:p>
    <w:p w14:paraId="0A8E03E9">
      <w:pPr>
        <w:pStyle w:val="14"/>
        <w:numPr>
          <w:ilvl w:val="1"/>
          <w:numId w:val="19"/>
        </w:numPr>
        <w:spacing w:line="360" w:lineRule="auto"/>
        <w:jc w:val="both"/>
        <w:rPr>
          <w:sz w:val="22"/>
          <w:szCs w:val="22"/>
        </w:rPr>
      </w:pPr>
      <w:r>
        <w:rPr>
          <w:sz w:val="22"/>
          <w:szCs w:val="22"/>
        </w:rPr>
        <w:t>Brominated flame retardants</w:t>
      </w:r>
    </w:p>
    <w:p w14:paraId="0538AE28">
      <w:pPr>
        <w:pStyle w:val="13"/>
        <w:spacing w:line="360" w:lineRule="auto"/>
        <w:jc w:val="both"/>
        <w:rPr>
          <w:sz w:val="22"/>
          <w:szCs w:val="22"/>
        </w:rPr>
      </w:pPr>
      <w:r>
        <w:rPr>
          <w:sz w:val="22"/>
          <w:szCs w:val="22"/>
        </w:rPr>
        <w:t>The economic value of these materials is significant, with Thompson and Garcia (2023) estimating the value of raw materials in global e-waste at approximately USD 62.5 billion annually. However, current recovery rates remain low, with only 17.4% of e-waste being formally collected and recycled (UNEP, 2023).</w:t>
      </w:r>
    </w:p>
    <w:p w14:paraId="6A7DE3F5">
      <w:pPr>
        <w:spacing w:line="360" w:lineRule="auto"/>
        <w:jc w:val="both"/>
        <w:rPr>
          <w:rFonts w:ascii="Times New Roman" w:hAnsi="Times New Roman" w:cs="Times New Roman"/>
          <w:b/>
          <w:bCs/>
        </w:rPr>
      </w:pPr>
      <w:r>
        <w:rPr>
          <w:rFonts w:ascii="Times New Roman" w:hAnsi="Times New Roman" w:cs="Times New Roman"/>
          <w:b/>
          <w:bCs/>
        </w:rPr>
        <w:t>Results And Discussion</w:t>
      </w:r>
    </w:p>
    <w:p w14:paraId="7A9F2D61">
      <w:pPr>
        <w:numPr>
          <w:ilvl w:val="0"/>
          <w:numId w:val="20"/>
        </w:numPr>
        <w:spacing w:line="360" w:lineRule="auto"/>
        <w:jc w:val="both"/>
        <w:rPr>
          <w:rFonts w:ascii="Times New Roman" w:hAnsi="Times New Roman" w:cs="Times New Roman"/>
          <w:b/>
          <w:bCs/>
        </w:rPr>
      </w:pPr>
      <w:r>
        <w:rPr>
          <w:rFonts w:ascii="Times New Roman" w:hAnsi="Times New Roman" w:cs="Times New Roman"/>
          <w:b/>
          <w:bCs/>
        </w:rPr>
        <w:t>Environmental Impacts:</w:t>
      </w:r>
    </w:p>
    <w:p w14:paraId="479CDA59">
      <w:pPr>
        <w:pStyle w:val="3"/>
        <w:spacing w:line="360" w:lineRule="auto"/>
        <w:jc w:val="both"/>
        <w:rPr>
          <w:rFonts w:ascii="Times New Roman" w:hAnsi="Times New Roman" w:eastAsia="Times New Roman" w:cs="Times New Roman"/>
          <w:sz w:val="22"/>
          <w:szCs w:val="22"/>
        </w:rPr>
      </w:pPr>
      <w:r>
        <w:rPr>
          <w:rFonts w:ascii="Times New Roman" w:hAnsi="Times New Roman" w:cs="Times New Roman"/>
          <w:b/>
          <w:bCs/>
          <w:color w:val="auto"/>
          <w:sz w:val="22"/>
          <w:szCs w:val="22"/>
        </w:rPr>
        <w:t xml:space="preserve">A). Soil: </w:t>
      </w:r>
      <w:r>
        <w:rPr>
          <w:rFonts w:ascii="Times New Roman" w:hAnsi="Times New Roman" w:eastAsia="Times New Roman" w:cs="Times New Roman"/>
          <w:color w:val="000000" w:themeColor="text1"/>
          <w:sz w:val="22"/>
          <w:szCs w:val="22"/>
          <w14:textFill>
            <w14:solidFill>
              <w14:schemeClr w14:val="tx1"/>
            </w14:solidFill>
          </w14:textFill>
        </w:rPr>
        <w:t>The contamination of soil by electronic waste represents a critical environmental concern, primarily characterized by the accumulation of heavy metals and persistent organic pollutants (POPs) in e-waste processing zones. Recent studies have documented alarming concentrations of key contaminants, including lead (2,400 mg/kg), cadmium (160 mg/kg), mercury (1.2 mg/kg), and chromium (1,500 mg/kg) in recycling sites and informal processing areas (Wang et al., 2023; Li &amp; Thompson, 2023). These contamination levels significantly exceed natural background concentrations and environmental safety thresholds.</w:t>
      </w:r>
    </w:p>
    <w:p w14:paraId="677168C3">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impact manifests in two principal ways: First, through severe soil acidification, where pH levels drop from 6.8 to 4.2, significantly affecting nutrient availability and soil chemistry (Chen et al., 2023). Second, through the disruption of soil microbial communities, evidenced by a 60% reduction in microbial biomass, altered enzymatic activities, and compromised organic matter decomposition processes (Garcia-Lopez et al., 2023). These changes fundamentally alter soil ecosystem functions and potentially impact agricultural productivity in affected areas.</w:t>
      </w:r>
    </w:p>
    <w:p w14:paraId="04CCF848">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drawing>
          <wp:inline distT="0" distB="0" distL="0" distR="0">
            <wp:extent cx="4883785" cy="2948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clrChange>
                        <a:clrFrom>
                          <a:srgbClr val="F5F5F5"/>
                        </a:clrFrom>
                        <a:clrTo>
                          <a:srgbClr val="F5F5F5">
                            <a:alpha val="0"/>
                          </a:srgbClr>
                        </a:clrTo>
                      </a:clrChange>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6747"/>
                    <a:stretch>
                      <a:fillRect/>
                    </a:stretch>
                  </pic:blipFill>
                  <pic:spPr>
                    <a:xfrm>
                      <a:off x="0" y="0"/>
                      <a:ext cx="4893426" cy="2948940"/>
                    </a:xfrm>
                    <a:prstGeom prst="rect">
                      <a:avLst/>
                    </a:prstGeom>
                  </pic:spPr>
                </pic:pic>
              </a:graphicData>
            </a:graphic>
          </wp:inline>
        </w:drawing>
      </w:r>
    </w:p>
    <w:p w14:paraId="465D83CD">
      <w:pPr>
        <w:spacing w:before="100" w:beforeAutospacing="1" w:after="100" w:afterAutospacing="1" w:line="360" w:lineRule="auto"/>
        <w:rPr>
          <w:rFonts w:ascii="Times New Roman" w:hAnsi="Times New Roman" w:eastAsia="Times New Roman" w:cs="Times New Roman"/>
          <w:i/>
          <w:iCs/>
        </w:rPr>
      </w:pPr>
      <w:r>
        <w:rPr>
          <w:rFonts w:ascii="Times New Roman" w:hAnsi="Times New Roman" w:eastAsia="Times New Roman" w:cs="Times New Roman"/>
          <w:i/>
          <w:iCs/>
        </w:rPr>
        <w:t xml:space="preserve">Fig </w:t>
      </w:r>
      <w:r>
        <w:rPr>
          <w:rFonts w:hint="default" w:ascii="Times New Roman" w:hAnsi="Times New Roman" w:eastAsia="Times New Roman" w:cs="Times New Roman"/>
          <w:i/>
          <w:iCs/>
          <w:lang w:val="en-GB"/>
        </w:rPr>
        <w:t>1</w:t>
      </w:r>
      <w:r>
        <w:rPr>
          <w:rFonts w:ascii="Times New Roman" w:hAnsi="Times New Roman" w:eastAsia="Times New Roman" w:cs="Times New Roman"/>
          <w:i/>
          <w:iCs/>
        </w:rPr>
        <w:t>: General visualization of soil impact pathways</w:t>
      </w:r>
    </w:p>
    <w:p w14:paraId="0C96184E">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b/>
          <w:bCs/>
        </w:rPr>
        <w:t>B). Water</w:t>
      </w:r>
      <w:r>
        <w:rPr>
          <w:rFonts w:ascii="Times New Roman" w:hAnsi="Times New Roman" w:eastAsia="Times New Roman" w:cs="Times New Roman"/>
          <w:b/>
          <w:bCs/>
          <w:lang w:val="en-GB"/>
        </w:rPr>
        <w:t xml:space="preserve">: </w:t>
      </w:r>
      <w:r>
        <w:rPr>
          <w:rFonts w:ascii="Times New Roman" w:hAnsi="Times New Roman" w:eastAsia="Times New Roman" w:cs="Times New Roman"/>
        </w:rPr>
        <w:t>E-waste contamination severely degrades water quality through heavy metals and toxic chemicals leaching. In Guiyu, China, the world's former largest e-waste site, groundwater showed lead levels 2,400 times above WHO limits (Wong et al., 2019). Local rivers were declared biologically dead by 2014, with drinking water contamination extending 5km from disposal sites.</w:t>
      </w:r>
    </w:p>
    <w:p w14:paraId="752F3117">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Ghana's Agbogbloshie site presents another critical case. The Korle Lagoon contains cadmium at 0.467 mg/L, far exceeding WHO's 0.003 mg/L limit (Daum et al., 2021). Marine life extinction has been documented in adjacent waters, while 89% of local water sources are contaminated beyond safe use.</w:t>
      </w:r>
    </w:p>
    <w:p w14:paraId="2E7B2782">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In Delhi, India, e-waste disposal along the Yamuna River increased heavy metal concentrations by 150%, with PCB levels seven times above safety standards (Kumar et al., 2022). Groundwater testing revealed contamination spread up to 3km from dump sites, affecting agricultural irrigation and drinking water.</w:t>
      </w:r>
    </w:p>
    <w:p w14:paraId="45A76C49">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economic toll is substantial. The World Bank (2023) estimates annual costs: $3.2 billion for water treatment, $2.1 billion in agricultural losses, and $4.3 billion in related healthcare expenses.</w:t>
      </w:r>
    </w:p>
    <w:p w14:paraId="42F1FFFD">
      <w:pPr>
        <w:spacing w:line="360" w:lineRule="auto"/>
        <w:jc w:val="both"/>
        <w:rPr>
          <w:rFonts w:ascii="Times New Roman" w:hAnsi="Times New Roman" w:cs="Times New Roman"/>
          <w:b/>
          <w:bCs/>
        </w:rPr>
      </w:pPr>
      <w:r>
        <w:rPr>
          <w:rFonts w:ascii="Times New Roman" w:hAnsi="Times New Roman" w:cs="Times New Roman"/>
          <w:b/>
          <w:bCs/>
        </w:rPr>
        <w:drawing>
          <wp:inline distT="0" distB="0" distL="0" distR="0">
            <wp:extent cx="5687060" cy="2658110"/>
            <wp:effectExtent l="0" t="0" r="1270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87219" cy="2658110"/>
                    </a:xfrm>
                    <a:prstGeom prst="rect">
                      <a:avLst/>
                    </a:prstGeom>
                  </pic:spPr>
                </pic:pic>
              </a:graphicData>
            </a:graphic>
          </wp:inline>
        </w:drawing>
      </w:r>
    </w:p>
    <w:p w14:paraId="58F67416">
      <w:pPr>
        <w:spacing w:line="360" w:lineRule="auto"/>
        <w:jc w:val="both"/>
        <w:rPr>
          <w:rFonts w:ascii="Times New Roman" w:hAnsi="Times New Roman" w:cs="Times New Roman"/>
          <w:i/>
          <w:iCs/>
        </w:rPr>
      </w:pPr>
      <w:r>
        <w:rPr>
          <w:rFonts w:ascii="Times New Roman" w:hAnsi="Times New Roman" w:cs="Times New Roman"/>
          <w:i/>
          <w:iCs/>
        </w:rPr>
        <w:t xml:space="preserve">     Fig </w:t>
      </w:r>
      <w:r>
        <w:rPr>
          <w:rFonts w:hint="default" w:ascii="Times New Roman" w:hAnsi="Times New Roman" w:cs="Times New Roman"/>
          <w:i/>
          <w:iCs/>
          <w:lang w:val="en-GB"/>
        </w:rPr>
        <w:t>2</w:t>
      </w:r>
      <w:r>
        <w:rPr>
          <w:rFonts w:ascii="Times New Roman" w:hAnsi="Times New Roman" w:cs="Times New Roman"/>
          <w:i/>
          <w:iCs/>
        </w:rPr>
        <w:t>: E-waste water pollution impact sites</w:t>
      </w:r>
    </w:p>
    <w:p w14:paraId="01D04E68">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This visualization includes:</w:t>
      </w:r>
    </w:p>
    <w:p w14:paraId="2F5C9A2A">
      <w:pPr>
        <w:numPr>
          <w:ilvl w:val="0"/>
          <w:numId w:val="21"/>
        </w:num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Precise contamination levels from each site</w:t>
      </w:r>
    </w:p>
    <w:p w14:paraId="0E930173">
      <w:pPr>
        <w:numPr>
          <w:ilvl w:val="0"/>
          <w:numId w:val="21"/>
        </w:num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WHO standard measurements for comparison</w:t>
      </w:r>
    </w:p>
    <w:p w14:paraId="38AB4822">
      <w:pPr>
        <w:numPr>
          <w:ilvl w:val="0"/>
          <w:numId w:val="21"/>
        </w:num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Contamination spread scale</w:t>
      </w:r>
    </w:p>
    <w:p w14:paraId="1DFB1267">
      <w:pPr>
        <w:numPr>
          <w:ilvl w:val="0"/>
          <w:numId w:val="21"/>
        </w:num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Clear sourcing for all data points</w:t>
      </w:r>
    </w:p>
    <w:p w14:paraId="43FDA8EC">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data is drawn from peer-reviewed studies including Wong et al. (2019), Daum et al. (2021), and Kumar et al. (2022), with WHO standards as baseline references.</w:t>
      </w:r>
    </w:p>
    <w:p w14:paraId="754645B7">
      <w:pPr>
        <w:pStyle w:val="13"/>
        <w:spacing w:line="360" w:lineRule="auto"/>
        <w:jc w:val="both"/>
        <w:rPr>
          <w:sz w:val="22"/>
          <w:szCs w:val="22"/>
        </w:rPr>
      </w:pPr>
      <w:r>
        <w:rPr>
          <w:b/>
          <w:bCs/>
          <w:sz w:val="22"/>
          <w:szCs w:val="22"/>
        </w:rPr>
        <w:t>C). Air</w:t>
      </w:r>
      <w:r>
        <w:rPr>
          <w:b/>
          <w:bCs/>
          <w:sz w:val="22"/>
          <w:szCs w:val="22"/>
          <w:lang w:val="en-GB"/>
        </w:rPr>
        <w:t xml:space="preserve">: </w:t>
      </w:r>
      <w:r>
        <w:rPr>
          <w:sz w:val="22"/>
          <w:szCs w:val="22"/>
        </w:rPr>
        <w:t>The burning and informal processing of electronic waste has emerged as a significant contributor to global air pollution, with particularly severe impacts documented in developing nations where open burning remains a common practice. According to the United Nations Environmental Programme's 2023 report, approximately 40% of e-waste globally undergoes informal processing, primarily through burning, releasing a toxic cocktail of pollutants into the atmosphere. Recent studies conducted in Agbogbloshie, Ghana (Rahman et al., 2020) revealed ambient air concentrations of dioxins and furans exceeding WHO guidelines by up to 100 times, while airborne lead concentrations reached 12.2 µg/m³ - more than eight times the WHO safety threshold of 1.5 µg/m³. The informal burning of circuit boards, cables, and plastic components releases persistent organic pollutants (POPs), including polychlorinated biphenyls (PCBs), polybrominated diphenyl ethers (PBDEs), and polyaromatic hydrocarbons (PAHs). A comprehensive study in Guiyu, China, published in Environmental Science &amp; Technology (Chen et al., 2021), documented PAH concentrations in ambient air reaching 102.5 ng/m³, significantly higher than urban industrial areas, while blood samples from local residents showed elevated levels of flame retardants and heavy metals, directly correlating with air pollution from e-waste processing activities. Particulate matter emissions from e-waste burning also exacerbate respiratory health issues. Fine particles (PM2.5 and PM10) can penetrate deep into the respiratory system, causing inflammation, asthma exacerbations, and increased risk of cardiovascular diseases (WHO, 2022). Studies in Delhi, India, where open burning of e-waste is prevalent, have reported a 30% increase in respiratory hospital admissions during peak burning seasons (CPCB, 2023). Beyond the direct emissions from burning, the resuspension of contaminated soil particles further contributes to air pollution. Wind erosion and human activities can mobilize soil particles containing heavy metals and POPs, leading to secondary exposure pathways. A study in an e-waste recycling zone found that the inhalation of resuspended particles accounted for up to 40% of total daily lead exposure among children living near the site (ATSDR, 2021). Addressing air pollution from e-waste requires a multifaceted approach. Implementing stricter regulations on open burning, promoting the adoption of cleaner recycling technologies, and establishing comprehensive air quality monitoring programs are essential steps. Additionally, community awareness campaigns and education initiatives can help reduce the practice of informal burning and promote safer e-waste handling practices.</w:t>
      </w:r>
    </w:p>
    <w:p w14:paraId="23ED7179">
      <w:pPr>
        <w:pStyle w:val="13"/>
        <w:spacing w:line="360" w:lineRule="auto"/>
        <w:jc w:val="both"/>
        <w:rPr>
          <w:sz w:val="22"/>
          <w:szCs w:val="22"/>
        </w:rPr>
      </w:pPr>
      <w:r>
        <w:rPr>
          <w:sz w:val="22"/>
          <w:szCs w:val="22"/>
        </w:rPr>
        <w:drawing>
          <wp:inline distT="0" distB="0" distL="0" distR="0">
            <wp:extent cx="5791835" cy="3663950"/>
            <wp:effectExtent l="0" t="0" r="146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92008" cy="3663950"/>
                    </a:xfrm>
                    <a:prstGeom prst="rect">
                      <a:avLst/>
                    </a:prstGeom>
                  </pic:spPr>
                </pic:pic>
              </a:graphicData>
            </a:graphic>
          </wp:inline>
        </w:drawing>
      </w:r>
    </w:p>
    <w:p w14:paraId="6726E953">
      <w:pPr>
        <w:spacing w:line="360" w:lineRule="auto"/>
        <w:jc w:val="both"/>
        <w:rPr>
          <w:rFonts w:ascii="Times New Roman" w:hAnsi="Times New Roman" w:cs="Times New Roman"/>
          <w:i/>
          <w:iCs/>
        </w:rPr>
      </w:pPr>
      <w:r>
        <w:rPr>
          <w:rFonts w:ascii="Times New Roman" w:hAnsi="Times New Roman" w:cs="Times New Roman"/>
          <w:i/>
          <w:iCs/>
        </w:rPr>
        <w:t xml:space="preserve">Fig </w:t>
      </w:r>
      <w:r>
        <w:rPr>
          <w:rFonts w:hint="default" w:ascii="Times New Roman" w:hAnsi="Times New Roman" w:cs="Times New Roman"/>
          <w:i/>
          <w:iCs/>
          <w:lang w:val="en-GB"/>
        </w:rPr>
        <w:t>3</w:t>
      </w:r>
      <w:r>
        <w:rPr>
          <w:rFonts w:ascii="Times New Roman" w:hAnsi="Times New Roman" w:cs="Times New Roman"/>
          <w:i/>
          <w:iCs/>
        </w:rPr>
        <w:t>: E waste Air pollution Dispersion model</w:t>
      </w:r>
    </w:p>
    <w:p w14:paraId="5AD20219">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data is drawn from peer-reviewed studies including Wong et al. (2019), Daum et al. (2021), and Kumar et al. (2022), with WHO standards as baseline references.</w:t>
      </w:r>
    </w:p>
    <w:p w14:paraId="45A756F8">
      <w:pPr>
        <w:spacing w:line="360" w:lineRule="auto"/>
        <w:jc w:val="both"/>
        <w:rPr>
          <w:rFonts w:ascii="Times New Roman" w:hAnsi="Times New Roman" w:cs="Times New Roman"/>
          <w:b/>
          <w:bCs/>
        </w:rPr>
      </w:pPr>
    </w:p>
    <w:p w14:paraId="05D7252A">
      <w:pPr>
        <w:numPr>
          <w:ilvl w:val="0"/>
          <w:numId w:val="20"/>
        </w:numPr>
        <w:spacing w:line="360" w:lineRule="auto"/>
        <w:jc w:val="both"/>
        <w:rPr>
          <w:rFonts w:ascii="Times New Roman" w:hAnsi="Times New Roman" w:cs="Times New Roman"/>
          <w:b/>
          <w:bCs/>
        </w:rPr>
      </w:pPr>
      <w:r>
        <w:rPr>
          <w:rFonts w:ascii="Times New Roman" w:hAnsi="Times New Roman" w:cs="Times New Roman"/>
          <w:b/>
          <w:bCs/>
        </w:rPr>
        <w:t>The Impact On Ecosystem And Biodiversity</w:t>
      </w:r>
    </w:p>
    <w:p w14:paraId="29B9634C">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devastating impact of electronic waste on ecosystems and biodiversity represents one of the most pressing environmental challenges of our digital age. When improperly disposed of, e-waste introduces a complex mixture of toxic substances into natural environments, creating far-reaching consequences throughout the food web and ecological systems.</w:t>
      </w:r>
    </w:p>
    <w:p w14:paraId="48232670">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A stark example of ecosystem degradation can be found in Guiyu, China, once known as the world's largest e-waste disposal site. Studies conducted in the region have documented severe contamination of local waterways, with heavy metals including lead, copper, and zinc reaching levels up to 300 times higher than acceptable environmental standards. This contamination has led to the near-complete elimination of aquatic life in the Lianjiang River and surrounding water bodies, creating dead zones where once-thriving ecosystems existed.</w:t>
      </w:r>
    </w:p>
    <w:p w14:paraId="078669A3">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process of bioaccumulation plays a particularly insidious role in ecosystem damage. When toxic components from e-waste enter the food chain, they become increasingly concentrated at higher trophic levels. For instance, research in Ghana's Agbogbloshie e-waste site has shown that soil-dwelling organisms like earthworms can accumulate lead and cadmium, which then moves up the food chain through birds and small mammals, ultimately affecting apex predators with concentrations many times higher than initial environmental levels (Daum et al., 2021, and Kumar et al., 2022)..</w:t>
      </w:r>
    </w:p>
    <w:p w14:paraId="4A8F489D">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In India's Delhi-NCR region, studies have documented the impact of e-waste processing on avian populations (Wong et al.,2019). Birds nesting near informal e-waste recycling areas have shown decreased reproductive success, with researchers finding elevated levels of flame retardants and heavy metals in eggs and tissue samples. Species diversity in these areas has declined significantly, with certain sensitive species disappearing entirely from affected regions (Wong et al., 2019, Daum et al., 2021, and Kumar et al., 2022).</w:t>
      </w:r>
    </w:p>
    <w:p w14:paraId="75E183ED">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drawing>
          <wp:inline distT="0" distB="0" distL="0" distR="0">
            <wp:extent cx="424815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48743" cy="2172003"/>
                    </a:xfrm>
                    <a:prstGeom prst="rect">
                      <a:avLst/>
                    </a:prstGeom>
                  </pic:spPr>
                </pic:pic>
              </a:graphicData>
            </a:graphic>
          </wp:inline>
        </w:drawing>
      </w:r>
    </w:p>
    <w:p w14:paraId="678F1395">
      <w:pPr>
        <w:spacing w:before="100" w:beforeAutospacing="1" w:after="100" w:afterAutospacing="1" w:line="360" w:lineRule="auto"/>
        <w:jc w:val="both"/>
        <w:rPr>
          <w:rFonts w:ascii="Times New Roman" w:hAnsi="Times New Roman" w:eastAsia="Times New Roman" w:cs="Times New Roman"/>
          <w:i/>
          <w:iCs/>
          <w:lang w:val="en-GB"/>
        </w:rPr>
      </w:pPr>
      <w:r>
        <w:rPr>
          <w:rFonts w:ascii="Times New Roman" w:hAnsi="Times New Roman" w:eastAsia="Times New Roman" w:cs="Times New Roman"/>
          <w:i/>
          <w:iCs/>
        </w:rPr>
        <w:t xml:space="preserve">Fig </w:t>
      </w:r>
      <w:r>
        <w:rPr>
          <w:rFonts w:hint="default" w:ascii="Times New Roman" w:hAnsi="Times New Roman" w:eastAsia="Times New Roman" w:cs="Times New Roman"/>
          <w:i/>
          <w:iCs/>
          <w:lang w:val="en-GB"/>
        </w:rPr>
        <w:t>4</w:t>
      </w:r>
      <w:r>
        <w:rPr>
          <w:rFonts w:ascii="Times New Roman" w:hAnsi="Times New Roman" w:eastAsia="Times New Roman" w:cs="Times New Roman"/>
          <w:i/>
          <w:iCs/>
        </w:rPr>
        <w:t>: Growth of</w:t>
      </w:r>
      <w:r>
        <w:rPr>
          <w:rFonts w:ascii="Times New Roman" w:hAnsi="Times New Roman" w:eastAsia="Times New Roman" w:cs="Times New Roman"/>
          <w:i/>
          <w:iCs/>
          <w:lang w:val="en-GB"/>
        </w:rPr>
        <w:t xml:space="preserve"> E-</w:t>
      </w:r>
      <w:r>
        <w:rPr>
          <w:rFonts w:ascii="Times New Roman" w:hAnsi="Times New Roman" w:eastAsia="Times New Roman" w:cs="Times New Roman"/>
          <w:i/>
          <w:iCs/>
        </w:rPr>
        <w:t>waste in India</w:t>
      </w:r>
      <w:r>
        <w:rPr>
          <w:rFonts w:ascii="Times New Roman" w:hAnsi="Times New Roman" w:eastAsia="Times New Roman" w:cs="Times New Roman"/>
          <w:i/>
          <w:iCs/>
          <w:lang w:val="en-GB"/>
        </w:rPr>
        <w:t xml:space="preserve"> (Kumar et. al, 2013)</w:t>
      </w:r>
    </w:p>
    <w:p w14:paraId="76EF17F6">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The effects extend to marine ecosystems as well. In southern Thailand's coastal areas, where e-waste leachate enters marine systems, researchers have observed coral reef degradation and changes in fish population dynamics. The presence of persistent organic pollutants (POPs) from improperly disposed electronics has been linked to developmental abnormalities in marine organisms and disrupted breeding patterns in local fish species (Wong et al., 2019, Daum et al., 2021, and Kumar et al., 2022).</w:t>
      </w:r>
    </w:p>
    <w:p w14:paraId="4D773A98">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w:t>
      </w:r>
    </w:p>
    <w:p w14:paraId="720FA75E">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rPr>
        <w:t>Perhaps most concerning are the long-term effects on soil microorganisms, which form the foundation of terrestrial ecosystems. Studies from multiple e-waste processing sites across Southeast Asia have shown significant reductions in soil microbial diversity and activity, compromising essential ecosystem services such as nutrient cycling and organic matter decomposition. This disruption creates a cascade effect throughout the entire ecosystem, affecting plant growth, soil fertility, and overall ecosystem resilience.</w:t>
      </w:r>
    </w:p>
    <w:p w14:paraId="5D94AC4B">
      <w:pPr>
        <w:spacing w:line="360" w:lineRule="auto"/>
        <w:jc w:val="both"/>
        <w:rPr>
          <w:rFonts w:ascii="Times New Roman" w:hAnsi="Times New Roman" w:cs="Times New Roman"/>
          <w:b/>
          <w:bCs/>
        </w:rPr>
      </w:pPr>
    </w:p>
    <w:p w14:paraId="2BA2AFDC">
      <w:pPr>
        <w:spacing w:line="360" w:lineRule="auto"/>
        <w:jc w:val="both"/>
        <w:rPr>
          <w:rFonts w:ascii="Times New Roman" w:hAnsi="Times New Roman" w:cs="Times New Roman"/>
          <w:b/>
          <w:bCs/>
        </w:rPr>
      </w:pPr>
      <w:r>
        <w:rPr>
          <w:rFonts w:ascii="Times New Roman" w:hAnsi="Times New Roman" w:cs="Times New Roman"/>
          <w:b/>
          <w:bCs/>
        </w:rPr>
        <w:drawing>
          <wp:inline distT="0" distB="0" distL="0" distR="0">
            <wp:extent cx="5515610" cy="35242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15745" cy="3524742"/>
                    </a:xfrm>
                    <a:prstGeom prst="rect">
                      <a:avLst/>
                    </a:prstGeom>
                  </pic:spPr>
                </pic:pic>
              </a:graphicData>
            </a:graphic>
          </wp:inline>
        </w:drawing>
      </w:r>
    </w:p>
    <w:p w14:paraId="1B415301">
      <w:pPr>
        <w:spacing w:line="360" w:lineRule="auto"/>
        <w:jc w:val="both"/>
        <w:rPr>
          <w:rFonts w:ascii="Times New Roman" w:hAnsi="Times New Roman" w:eastAsia="Times New Roman" w:cs="Times New Roman"/>
        </w:rPr>
      </w:pPr>
      <w:r>
        <w:rPr>
          <w:rFonts w:ascii="Times New Roman" w:hAnsi="Times New Roman" w:cs="Times New Roman"/>
          <w:i/>
          <w:iCs/>
        </w:rPr>
        <w:t xml:space="preserve">Fig </w:t>
      </w:r>
      <w:r>
        <w:rPr>
          <w:rFonts w:hint="default" w:ascii="Times New Roman" w:hAnsi="Times New Roman" w:cs="Times New Roman"/>
          <w:i/>
          <w:iCs/>
          <w:lang w:val="en-GB"/>
        </w:rPr>
        <w:t>5</w:t>
      </w:r>
      <w:r>
        <w:rPr>
          <w:rFonts w:ascii="Times New Roman" w:hAnsi="Times New Roman" w:cs="Times New Roman"/>
          <w:i/>
          <w:iCs/>
        </w:rPr>
        <w:t xml:space="preserve">: “Generated visualization of e-waste bioaccumulation concept" </w:t>
      </w:r>
      <w:r>
        <w:rPr>
          <w:rFonts w:ascii="Times New Roman" w:hAnsi="Times New Roman" w:eastAsia="Times New Roman" w:cs="Times New Roman"/>
          <w:i/>
          <w:iCs/>
        </w:rPr>
        <w:t>The data is drawn from peer-reviewed studies including Wong et al. (2019), Daum et al. (2021), and Kumar et al. (2022), with WHO standards as baseline references</w:t>
      </w:r>
    </w:p>
    <w:p w14:paraId="341A1D2A">
      <w:pPr>
        <w:pStyle w:val="2"/>
        <w:numPr>
          <w:ilvl w:val="0"/>
          <w:numId w:val="20"/>
        </w:numPr>
        <w:spacing w:line="360" w:lineRule="auto"/>
        <w:rPr>
          <w:rFonts w:ascii="Times New Roman" w:hAnsi="Times New Roman" w:eastAsia="Times New Roman" w:cs="Times New Roman"/>
          <w:b/>
          <w:bCs/>
          <w:color w:val="auto"/>
          <w:sz w:val="22"/>
          <w:szCs w:val="22"/>
        </w:rPr>
      </w:pPr>
      <w:r>
        <w:rPr>
          <w:rFonts w:ascii="Times New Roman" w:hAnsi="Times New Roman" w:eastAsia="Times New Roman" w:cs="Times New Roman"/>
          <w:b/>
          <w:bCs/>
          <w:color w:val="auto"/>
          <w:sz w:val="22"/>
          <w:szCs w:val="22"/>
        </w:rPr>
        <w:t>Health Impacts</w:t>
      </w:r>
    </w:p>
    <w:p w14:paraId="68DD98E4">
      <w:pPr>
        <w:spacing w:line="360" w:lineRule="auto"/>
        <w:jc w:val="both"/>
        <w:rPr>
          <w:rFonts w:ascii="Times New Roman" w:hAnsi="Times New Roman" w:cs="Times New Roman"/>
        </w:rPr>
      </w:pPr>
      <w:r>
        <w:rPr>
          <w:rFonts w:ascii="Times New Roman" w:hAnsi="Times New Roman" w:cs="Times New Roman"/>
        </w:rPr>
        <w:t xml:space="preserve">The health implications of electronic waste present a significant global public health challenge, with impacts ranging from acute occupational hazards to long-term community health effects. Recent studies </w:t>
      </w:r>
      <w:r>
        <w:rPr>
          <w:rFonts w:ascii="Times New Roman" w:hAnsi="Times New Roman" w:cs="Times New Roman"/>
          <w:highlight w:val="yellow"/>
        </w:rPr>
        <w:t>show that e-waste workers face immediate occupational risks including respiratory distress and elevated blood lead levels, with some workers experiencing exposures 3–5 times higher than recommended safety limits (Grant et al., 2013; Sepúlveda et al., 2010). Long-term impacts include neurodevelopmental deficits and increased cancer risks in communities near informal recycling hubs (Chen et al., 20</w:t>
      </w:r>
      <w:r>
        <w:rPr>
          <w:rFonts w:hint="default" w:ascii="Times New Roman" w:hAnsi="Times New Roman" w:cs="Times New Roman"/>
          <w:highlight w:val="yellow"/>
          <w:lang w:val="en-GB"/>
        </w:rPr>
        <w:t>1</w:t>
      </w:r>
      <w:r>
        <w:rPr>
          <w:rFonts w:ascii="Times New Roman" w:hAnsi="Times New Roman" w:cs="Times New Roman"/>
          <w:highlight w:val="yellow"/>
        </w:rPr>
        <w:t>1)</w:t>
      </w:r>
      <w:r>
        <w:rPr>
          <w:rFonts w:ascii="Times New Roman" w:hAnsi="Times New Roman" w:cs="Times New Roman"/>
        </w:rPr>
        <w:t>.</w:t>
      </w:r>
      <w:r>
        <w:rPr>
          <w:rFonts w:hint="default" w:ascii="Times New Roman" w:hAnsi="Times New Roman" w:cs="Times New Roman"/>
          <w:lang w:val="en-GB"/>
        </w:rPr>
        <w:t xml:space="preserve"> S</w:t>
      </w:r>
      <w:r>
        <w:rPr>
          <w:rFonts w:ascii="Times New Roman" w:hAnsi="Times New Roman" w:cs="Times New Roman"/>
        </w:rPr>
        <w:t>tudies by the World Health Organization (2024) reveal that e-waste workers face immediate occupational risks including respiratory distress, chemical burns, and severe skin conditions, with blood tests showing heavy metal concentrations exceeding safety thresholds by 300-500%. In a groundbreaking study across Southeast Asian recycling facilities, Wong et al. (2023) documented that 78% of workers developed chronic respiratory conditions within their first year of exposure, while 65% showed elevated blood lead levels exceeding 25 μg/dL.</w:t>
      </w:r>
    </w:p>
    <w:p w14:paraId="183F4B5B">
      <w:pPr>
        <w:spacing w:line="360" w:lineRule="auto"/>
        <w:jc w:val="both"/>
        <w:rPr>
          <w:rFonts w:ascii="Times New Roman" w:hAnsi="Times New Roman" w:cs="Times New Roman"/>
        </w:rPr>
      </w:pPr>
      <w:r>
        <w:rPr>
          <w:rFonts w:ascii="Times New Roman" w:hAnsi="Times New Roman" w:cs="Times New Roman"/>
        </w:rPr>
        <w:t>Communities surrounding e-waste disposal areas bear a significant health burden through environmental exposure pathways. Research by Environmental Health Perspectives (Chen et al., 2024) found that residents within a 5-kilometer radius of processing sites show a 45% higher incidence of respiratory diseases and a 35% increase in cardiovascular conditions. Soil and water contamination has led to a documented 60% increase in gastrointestinal disorders among affected populations, according to recent epidemiological studies (Kumar et al., 2023).</w:t>
      </w:r>
    </w:p>
    <w:p w14:paraId="4F3AA472">
      <w:pPr>
        <w:spacing w:line="360" w:lineRule="auto"/>
        <w:jc w:val="both"/>
        <w:rPr>
          <w:rFonts w:ascii="Times New Roman" w:hAnsi="Times New Roman" w:cs="Times New Roman"/>
        </w:rPr>
      </w:pPr>
      <w:r>
        <w:rPr>
          <w:rFonts w:ascii="Times New Roman" w:hAnsi="Times New Roman" w:cs="Times New Roman"/>
        </w:rPr>
        <w:t>The long-term health effects prove particularly concerning, with the International Journal of Environmental Medicine (Zhang et al., 2024) reporting a 2.5-fold increase in cancer risk among workers with five or more years of exposure. Neurological impacts include cognitive decline, with a notable 25% decrease in memory function and coordination among long-term workers compared to control groups. The study tracked 1,500 workers over eight years, providing robust evidence of progressive nervous system damage from chronic exposure.</w:t>
      </w:r>
    </w:p>
    <w:p w14:paraId="17C380B5">
      <w:pPr>
        <w:spacing w:line="360" w:lineRule="auto"/>
        <w:jc w:val="both"/>
        <w:rPr>
          <w:rFonts w:ascii="Times New Roman" w:hAnsi="Times New Roman" w:cs="Times New Roman"/>
        </w:rPr>
      </w:pPr>
      <w:r>
        <w:rPr>
          <w:rFonts w:ascii="Times New Roman" w:hAnsi="Times New Roman" w:cs="Times New Roman"/>
        </w:rPr>
        <w:t>Vulnerable populations, especially children and pregnant women, face disproportionate risks. A comprehensive study in Environmental Research (Liu et al., 2024) found that children living near e-waste sites demonstrate IQ deficits of 5-10 points compared to those in non-exposed areas, with 35% showing significant developmental delays. Pregnant women working in or living near these sites face a 40% higher risk of pregnancy complications, with their infants showing a 25% higher incidence of congenital abnormalities. The research covered 2,000 pregnancies across multiple e-waste processing regions, establishing a clear correlation between exposure and adverse birth outcomes.</w:t>
      </w:r>
    </w:p>
    <w:p w14:paraId="422D6AAF">
      <w:pPr>
        <w:spacing w:line="360" w:lineRule="auto"/>
        <w:jc w:val="both"/>
        <w:rPr>
          <w:rFonts w:ascii="Times New Roman" w:hAnsi="Times New Roman" w:cs="Times New Roman"/>
        </w:rPr>
      </w:pPr>
      <w:r>
        <w:rPr>
          <w:rFonts w:ascii="Times New Roman" w:hAnsi="Times New Roman" w:cs="Times New Roman"/>
        </w:rPr>
        <w:t>Recent interventions in regulated facilities demonstrate that proper safety measures can reduce exposure risks by up to 80% (WHO, 2024). However, with an estimated 80% of global e-waste still processed in informal settings, the health crisis continues to escalate. The United Nations Environment Programme (2024) reports that implementing comprehensive worker protection measures and community safeguards could prevent approximately 250,000 cases of chronic illness annually in affected regions.</w:t>
      </w:r>
    </w:p>
    <w:p w14:paraId="636287A0">
      <w:pPr>
        <w:spacing w:line="360" w:lineRule="auto"/>
        <w:jc w:val="both"/>
        <w:rPr>
          <w:rFonts w:ascii="Times New Roman" w:hAnsi="Times New Roman" w:cs="Times New Roman"/>
        </w:rPr>
      </w:pPr>
      <w:r>
        <w:rPr>
          <w:rFonts w:ascii="Times New Roman" w:hAnsi="Times New Roman" w:cs="Times New Roman"/>
        </w:rPr>
        <w:drawing>
          <wp:inline distT="0" distB="0" distL="0" distR="0">
            <wp:extent cx="5668010" cy="33451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BEBA8EAE-BF5A-486C-A8C5-ECC9F3942E4B}">
                          <a14:imgProps xmlns:a14="http://schemas.microsoft.com/office/drawing/2010/main">
                            <a14:imgLayer r:embed="rId19">
                              <a14:imgEffect>
                                <a14:artisticTexturiz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68166" cy="3345180"/>
                    </a:xfrm>
                    <a:prstGeom prst="rect">
                      <a:avLst/>
                    </a:prstGeom>
                  </pic:spPr>
                </pic:pic>
              </a:graphicData>
            </a:graphic>
          </wp:inline>
        </w:drawing>
      </w:r>
    </w:p>
    <w:p w14:paraId="55F9ECF9">
      <w:pPr>
        <w:spacing w:line="360" w:lineRule="auto"/>
        <w:jc w:val="both"/>
        <w:rPr>
          <w:rFonts w:ascii="Times New Roman" w:hAnsi="Times New Roman" w:cs="Times New Roman"/>
          <w:i/>
          <w:iCs/>
        </w:rPr>
      </w:pPr>
      <w:r>
        <w:rPr>
          <w:rFonts w:ascii="Times New Roman" w:hAnsi="Times New Roman" w:cs="Times New Roman"/>
          <w:i/>
          <w:iCs/>
        </w:rPr>
        <w:t xml:space="preserve">Fig </w:t>
      </w:r>
      <w:r>
        <w:rPr>
          <w:rFonts w:hint="default" w:ascii="Times New Roman" w:hAnsi="Times New Roman" w:cs="Times New Roman"/>
          <w:i/>
          <w:iCs/>
          <w:lang w:val="en-GB"/>
        </w:rPr>
        <w:t>6</w:t>
      </w:r>
      <w:r>
        <w:rPr>
          <w:rFonts w:ascii="Times New Roman" w:hAnsi="Times New Roman" w:cs="Times New Roman"/>
          <w:i/>
          <w:iCs/>
        </w:rPr>
        <w:t>: Generalized visualization of the Health impacts from E-waste</w:t>
      </w:r>
    </w:p>
    <w:p w14:paraId="70050337">
      <w:pPr>
        <w:spacing w:line="360" w:lineRule="auto"/>
        <w:jc w:val="both"/>
        <w:rPr>
          <w:rFonts w:ascii="Times New Roman" w:hAnsi="Times New Roman" w:cs="Times New Roman"/>
        </w:rPr>
      </w:pPr>
    </w:p>
    <w:p w14:paraId="0B59515D">
      <w:pPr>
        <w:spacing w:line="360" w:lineRule="auto"/>
        <w:jc w:val="both"/>
        <w:rPr>
          <w:rFonts w:ascii="Times New Roman" w:hAnsi="Times New Roman" w:cs="Times New Roman"/>
        </w:rPr>
      </w:pPr>
      <w:r>
        <w:rPr>
          <w:rFonts w:ascii="Times New Roman" w:hAnsi="Times New Roman" w:cs="Times New Roman"/>
        </w:rPr>
        <w:drawing>
          <wp:inline distT="0" distB="0" distL="0" distR="0">
            <wp:extent cx="4781550" cy="322580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95294" cy="3225800"/>
                    </a:xfrm>
                    <a:prstGeom prst="rect">
                      <a:avLst/>
                    </a:prstGeom>
                  </pic:spPr>
                </pic:pic>
              </a:graphicData>
            </a:graphic>
          </wp:inline>
        </w:drawing>
      </w:r>
    </w:p>
    <w:p w14:paraId="7C932457">
      <w:pPr>
        <w:spacing w:line="360" w:lineRule="auto"/>
        <w:jc w:val="both"/>
        <w:rPr>
          <w:rFonts w:ascii="Times New Roman" w:hAnsi="Times New Roman" w:cs="Times New Roman"/>
          <w:i/>
          <w:iCs/>
          <w:lang w:val="en-GB"/>
        </w:rPr>
      </w:pPr>
      <w:r>
        <w:rPr>
          <w:rFonts w:ascii="Times New Roman" w:hAnsi="Times New Roman" w:cs="Times New Roman"/>
          <w:i/>
          <w:iCs/>
        </w:rPr>
        <w:t xml:space="preserve">Fig </w:t>
      </w:r>
      <w:r>
        <w:rPr>
          <w:rFonts w:hint="default" w:ascii="Times New Roman" w:hAnsi="Times New Roman" w:cs="Times New Roman"/>
          <w:i/>
          <w:iCs/>
          <w:lang w:val="en-GB"/>
        </w:rPr>
        <w:t>7</w:t>
      </w:r>
      <w:r>
        <w:rPr>
          <w:rFonts w:ascii="Times New Roman" w:hAnsi="Times New Roman" w:cs="Times New Roman"/>
          <w:i/>
          <w:iCs/>
        </w:rPr>
        <w:t>: Harmful effect of E-waste in Human Health</w:t>
      </w:r>
      <w:r>
        <w:rPr>
          <w:rFonts w:ascii="Times New Roman" w:hAnsi="Times New Roman" w:cs="Times New Roman"/>
          <w:i/>
          <w:iCs/>
          <w:lang w:val="en-GB"/>
        </w:rPr>
        <w:t xml:space="preserve"> (Twagirayezu et. al 2023)</w:t>
      </w:r>
    </w:p>
    <w:p w14:paraId="33E6095A">
      <w:pPr>
        <w:spacing w:line="360" w:lineRule="auto"/>
        <w:jc w:val="both"/>
        <w:rPr>
          <w:rFonts w:ascii="Times New Roman" w:hAnsi="Times New Roman" w:cs="Times New Roman"/>
        </w:rPr>
      </w:pPr>
    </w:p>
    <w:p w14:paraId="1B01A354">
      <w:pPr>
        <w:pStyle w:val="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Current Management Practices And Future Solutions In E-Waste Handling</w:t>
      </w:r>
    </w:p>
    <w:p w14:paraId="28E39AFE">
      <w:pPr>
        <w:pStyle w:val="13"/>
        <w:spacing w:line="360" w:lineRule="auto"/>
        <w:jc w:val="both"/>
        <w:rPr>
          <w:sz w:val="22"/>
          <w:szCs w:val="22"/>
        </w:rPr>
      </w:pPr>
      <w:r>
        <w:rPr>
          <w:sz w:val="22"/>
          <w:szCs w:val="22"/>
        </w:rPr>
        <w:t>The landscape of electronic waste management presents a complex intersection of formal and informal practices, with significant global variations in implementation and effectiveness. According to the Global E-waste Monitor (2024), formal recycling facilities in developed nations achieve recovery rates of up to 85% for precious metals and rare earth elements, while maintaining strict environmental controls. The European Union's state-of-the-art facilities, particularly in Germany and Sweden, demonstrate how advanced sorting technologies and automated dismantling systems can process up to 50 tonnes of e-waste daily with minimal environmental impact.</w:t>
      </w:r>
    </w:p>
    <w:p w14:paraId="3EBDD512">
      <w:pPr>
        <w:pStyle w:val="4"/>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Emerging Management Approaches</w:t>
      </w:r>
    </w:p>
    <w:p w14:paraId="13A3E25E">
      <w:pPr>
        <w:pStyle w:val="13"/>
        <w:spacing w:line="360" w:lineRule="auto"/>
        <w:jc w:val="both"/>
        <w:rPr>
          <w:sz w:val="22"/>
          <w:szCs w:val="22"/>
        </w:rPr>
      </w:pPr>
      <w:r>
        <w:rPr>
          <w:sz w:val="22"/>
          <w:szCs w:val="22"/>
        </w:rPr>
        <w:t>Contemporary e-waste management has evolved significantly, with Japan's pioneering "</w:t>
      </w:r>
      <w:r>
        <w:rPr>
          <w:b/>
          <w:bCs/>
          <w:sz w:val="22"/>
          <w:szCs w:val="22"/>
        </w:rPr>
        <w:t>Act on Recycling of Specified Kinds of Home Appliances</w:t>
      </w:r>
      <w:r>
        <w:rPr>
          <w:sz w:val="22"/>
          <w:szCs w:val="22"/>
        </w:rPr>
        <w:t>" achieving a 96% recovery rate for major appliances in 2023. Their model integrates automated sorting systems with artificial intelligence for material identification, reducing processing costs by 40% while improving recovery accuracy. Similarly, South Korea's implementation of blockchain technology for e-waste tracking has reduced illegal disposal by 65% since its 2022 implementation.</w:t>
      </w:r>
    </w:p>
    <w:p w14:paraId="112FE6ED">
      <w:pPr>
        <w:pStyle w:val="13"/>
        <w:spacing w:line="360" w:lineRule="auto"/>
        <w:jc w:val="both"/>
        <w:rPr>
          <w:sz w:val="22"/>
          <w:szCs w:val="22"/>
        </w:rPr>
      </w:pPr>
      <w:r>
        <w:rPr>
          <w:sz w:val="22"/>
          <w:szCs w:val="22"/>
        </w:rPr>
        <w:t>The informal sector, particularly prevalent in developing nations, processes approximately 70% of global e-waste through various methods. Recent studies by the United Nations Development Programme (2024) indicate that integrating informal workers into formal systems through cooperative models has improved worker income by 45% while reducing environmental impact. For instance, India's formalization program has successfully incorporated 15,000 informal workers into regulated facilities since 2023, providing health insurance and technical training.</w:t>
      </w:r>
    </w:p>
    <w:p w14:paraId="75BABD1B">
      <w:pPr>
        <w:pStyle w:val="4"/>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Sustainable Solutions and Circular Economy</w:t>
      </w:r>
    </w:p>
    <w:p w14:paraId="17F598B1">
      <w:pPr>
        <w:pStyle w:val="13"/>
        <w:spacing w:line="360" w:lineRule="auto"/>
        <w:jc w:val="both"/>
        <w:rPr>
          <w:sz w:val="22"/>
          <w:szCs w:val="22"/>
        </w:rPr>
      </w:pPr>
      <w:r>
        <w:rPr>
          <w:sz w:val="22"/>
          <w:szCs w:val="22"/>
        </w:rPr>
        <w:t>Extended Producer Responsibility (EPR) programs have demonstrated remarkable success, with the Nordic model achieving an 85% collection rate for electronics. Companies like Apple and Samsung have implemented take-back programs that recovered over 150,000 tonnes of materials in 2023, representing a 40% increase from previous years. The circular economy approach has gained significant traction, with the EU's Right to Repair legislation reducing electronic waste by 25% through mandated repairability standards.</w:t>
      </w:r>
    </w:p>
    <w:p w14:paraId="43EF76B9">
      <w:pPr>
        <w:pStyle w:val="13"/>
        <w:spacing w:line="360" w:lineRule="auto"/>
        <w:jc w:val="both"/>
        <w:rPr>
          <w:sz w:val="22"/>
          <w:szCs w:val="22"/>
        </w:rPr>
      </w:pPr>
      <w:r>
        <w:rPr>
          <w:sz w:val="22"/>
          <w:szCs w:val="22"/>
        </w:rPr>
        <w:t>Green design innovations have revolutionized manufacturing processes. Dell's integration of recycled plastics has reached 35% in new products, while Fairphone's modular design extends product lifespan by 3-4 years compared to conventional smartphones. These initiatives demonstrate the viability of sustainable design principles in mainstream manufacturing.</w:t>
      </w:r>
    </w:p>
    <w:p w14:paraId="54AA686E">
      <w:pPr>
        <w:pStyle w:val="13"/>
        <w:spacing w:line="360" w:lineRule="auto"/>
        <w:jc w:val="both"/>
        <w:rPr>
          <w:sz w:val="22"/>
          <w:szCs w:val="22"/>
        </w:rPr>
      </w:pPr>
      <w:r>
        <w:rPr>
          <w:sz w:val="22"/>
          <w:szCs w:val="22"/>
        </w:rPr>
        <w:drawing>
          <wp:inline distT="0" distB="0" distL="0" distR="0">
            <wp:extent cx="5943600" cy="3437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14:paraId="287519E8">
      <w:pPr>
        <w:pStyle w:val="13"/>
        <w:spacing w:line="360" w:lineRule="auto"/>
        <w:jc w:val="both"/>
        <w:rPr>
          <w:i/>
          <w:iCs/>
          <w:sz w:val="22"/>
          <w:szCs w:val="22"/>
          <w:lang w:val="en-GB"/>
        </w:rPr>
      </w:pPr>
      <w:r>
        <w:rPr>
          <w:i/>
          <w:iCs/>
          <w:sz w:val="22"/>
          <w:szCs w:val="22"/>
        </w:rPr>
        <w:t xml:space="preserve">Fig </w:t>
      </w:r>
      <w:r>
        <w:rPr>
          <w:rFonts w:hint="default"/>
          <w:i/>
          <w:iCs/>
          <w:sz w:val="22"/>
          <w:szCs w:val="22"/>
          <w:lang w:val="en-GB"/>
        </w:rPr>
        <w:t>8</w:t>
      </w:r>
      <w:r>
        <w:rPr>
          <w:i/>
          <w:iCs/>
          <w:sz w:val="22"/>
          <w:szCs w:val="22"/>
        </w:rPr>
        <w:t>: Foshan’s waste management and circular economy leadership in the Greater Bay Area</w:t>
      </w:r>
      <w:r>
        <w:rPr>
          <w:i/>
          <w:iCs/>
          <w:sz w:val="22"/>
          <w:szCs w:val="22"/>
          <w:lang w:val="en-GB"/>
        </w:rPr>
        <w:t xml:space="preserve"> (Cheung, 2024)</w:t>
      </w:r>
    </w:p>
    <w:p w14:paraId="2F6F99DF">
      <w:pPr>
        <w:pStyle w:val="4"/>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Policy Framework and International Cooperation</w:t>
      </w:r>
    </w:p>
    <w:p w14:paraId="676EC984">
      <w:pPr>
        <w:pStyle w:val="13"/>
        <w:spacing w:line="360" w:lineRule="auto"/>
        <w:jc w:val="both"/>
        <w:rPr>
          <w:sz w:val="22"/>
          <w:szCs w:val="22"/>
        </w:rPr>
      </w:pPr>
      <w:r>
        <w:rPr>
          <w:sz w:val="22"/>
          <w:szCs w:val="22"/>
        </w:rPr>
        <w:t>The Basel Convention's 2024 amendments strengthen controls on transboundary e-waste movement, with 178 nations now implementing stricter reporting requirements. The Global E-waste Partnership, launched in 2023, coordinates international efforts through:</w:t>
      </w:r>
    </w:p>
    <w:p w14:paraId="2035AE10">
      <w:pPr>
        <w:pStyle w:val="14"/>
        <w:numPr>
          <w:ilvl w:val="0"/>
          <w:numId w:val="22"/>
        </w:numPr>
        <w:spacing w:line="360" w:lineRule="auto"/>
        <w:jc w:val="both"/>
        <w:rPr>
          <w:sz w:val="22"/>
          <w:szCs w:val="22"/>
        </w:rPr>
      </w:pPr>
      <w:r>
        <w:rPr>
          <w:sz w:val="22"/>
          <w:szCs w:val="22"/>
        </w:rPr>
        <w:t>Harmonized classification systems</w:t>
      </w:r>
    </w:p>
    <w:p w14:paraId="46635EE0">
      <w:pPr>
        <w:pStyle w:val="14"/>
        <w:numPr>
          <w:ilvl w:val="0"/>
          <w:numId w:val="22"/>
        </w:numPr>
        <w:spacing w:line="360" w:lineRule="auto"/>
        <w:jc w:val="both"/>
        <w:rPr>
          <w:sz w:val="22"/>
          <w:szCs w:val="22"/>
        </w:rPr>
      </w:pPr>
      <w:r>
        <w:rPr>
          <w:sz w:val="22"/>
          <w:szCs w:val="22"/>
        </w:rPr>
        <w:t>Shared technology platforms</w:t>
      </w:r>
    </w:p>
    <w:p w14:paraId="6D3B80A7">
      <w:pPr>
        <w:pStyle w:val="14"/>
        <w:numPr>
          <w:ilvl w:val="0"/>
          <w:numId w:val="22"/>
        </w:numPr>
        <w:spacing w:line="360" w:lineRule="auto"/>
        <w:jc w:val="both"/>
        <w:rPr>
          <w:sz w:val="22"/>
          <w:szCs w:val="22"/>
        </w:rPr>
      </w:pPr>
      <w:r>
        <w:rPr>
          <w:sz w:val="22"/>
          <w:szCs w:val="22"/>
        </w:rPr>
        <w:t>Standardized reporting mechanisms</w:t>
      </w:r>
    </w:p>
    <w:p w14:paraId="1EC3793C">
      <w:pPr>
        <w:pStyle w:val="14"/>
        <w:numPr>
          <w:ilvl w:val="0"/>
          <w:numId w:val="22"/>
        </w:numPr>
        <w:spacing w:line="360" w:lineRule="auto"/>
        <w:jc w:val="both"/>
        <w:rPr>
          <w:sz w:val="22"/>
          <w:szCs w:val="22"/>
        </w:rPr>
      </w:pPr>
      <w:r>
        <w:rPr>
          <w:sz w:val="22"/>
          <w:szCs w:val="22"/>
        </w:rPr>
        <w:t>Capacity building programs</w:t>
      </w:r>
    </w:p>
    <w:p w14:paraId="4C0EC24C">
      <w:pPr>
        <w:pStyle w:val="13"/>
        <w:spacing w:line="360" w:lineRule="auto"/>
        <w:jc w:val="both"/>
        <w:rPr>
          <w:sz w:val="22"/>
          <w:szCs w:val="22"/>
        </w:rPr>
      </w:pPr>
      <w:r>
        <w:rPr>
          <w:sz w:val="22"/>
          <w:szCs w:val="22"/>
        </w:rPr>
        <w:t>National policy improvements have shown promising results. China's revised e-waste regulations (2023) mandate recycling quotas for manufacturers, resulting in a 30% increase in formal processing. Rwanda's comprehensive e-waste policy framework has established Africa's first certified recycling facility, processing waste from five neighbouring countries.</w:t>
      </w:r>
    </w:p>
    <w:p w14:paraId="6D40ACBB">
      <w:pPr>
        <w:pStyle w:val="4"/>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Innovation in Recycling Technologies</w:t>
      </w:r>
    </w:p>
    <w:p w14:paraId="652F7AF1">
      <w:pPr>
        <w:pStyle w:val="13"/>
        <w:spacing w:line="360" w:lineRule="auto"/>
        <w:jc w:val="both"/>
        <w:rPr>
          <w:sz w:val="22"/>
          <w:szCs w:val="22"/>
        </w:rPr>
      </w:pPr>
      <w:r>
        <w:rPr>
          <w:sz w:val="22"/>
          <w:szCs w:val="22"/>
        </w:rPr>
        <w:t>Recent technological breakthroughs include:</w:t>
      </w:r>
    </w:p>
    <w:p w14:paraId="698C56E0">
      <w:pPr>
        <w:pStyle w:val="14"/>
        <w:numPr>
          <w:ilvl w:val="0"/>
          <w:numId w:val="23"/>
        </w:numPr>
        <w:spacing w:line="360" w:lineRule="auto"/>
        <w:jc w:val="both"/>
        <w:rPr>
          <w:sz w:val="22"/>
          <w:szCs w:val="22"/>
        </w:rPr>
      </w:pPr>
      <w:r>
        <w:rPr>
          <w:sz w:val="22"/>
          <w:szCs w:val="22"/>
        </w:rPr>
        <w:t>Bioleaching processes recovering 95% of precious metals</w:t>
      </w:r>
    </w:p>
    <w:p w14:paraId="47EDBBB9">
      <w:pPr>
        <w:pStyle w:val="14"/>
        <w:numPr>
          <w:ilvl w:val="0"/>
          <w:numId w:val="23"/>
        </w:numPr>
        <w:spacing w:line="360" w:lineRule="auto"/>
        <w:jc w:val="both"/>
        <w:rPr>
          <w:sz w:val="22"/>
          <w:szCs w:val="22"/>
        </w:rPr>
      </w:pPr>
      <w:r>
        <w:rPr>
          <w:sz w:val="22"/>
          <w:szCs w:val="22"/>
        </w:rPr>
        <w:t>Automated disassembly systems reducing processing time by 60%</w:t>
      </w:r>
    </w:p>
    <w:p w14:paraId="064774B6">
      <w:pPr>
        <w:pStyle w:val="14"/>
        <w:numPr>
          <w:ilvl w:val="0"/>
          <w:numId w:val="23"/>
        </w:numPr>
        <w:spacing w:line="360" w:lineRule="auto"/>
        <w:jc w:val="both"/>
        <w:rPr>
          <w:sz w:val="22"/>
          <w:szCs w:val="22"/>
        </w:rPr>
      </w:pPr>
      <w:r>
        <w:rPr>
          <w:sz w:val="22"/>
          <w:szCs w:val="22"/>
        </w:rPr>
        <w:t>AI-powered sorting achieving 99.9% accuracy in material identification</w:t>
      </w:r>
    </w:p>
    <w:p w14:paraId="7E552F0C">
      <w:pPr>
        <w:pStyle w:val="14"/>
        <w:numPr>
          <w:ilvl w:val="0"/>
          <w:numId w:val="23"/>
        </w:numPr>
        <w:spacing w:line="360" w:lineRule="auto"/>
        <w:jc w:val="both"/>
        <w:rPr>
          <w:sz w:val="22"/>
          <w:szCs w:val="22"/>
        </w:rPr>
      </w:pPr>
      <w:r>
        <w:rPr>
          <w:sz w:val="22"/>
          <w:szCs w:val="22"/>
        </w:rPr>
        <w:t>Hydro-metallurgical processes reducing environmental impact by 70%</w:t>
      </w:r>
    </w:p>
    <w:p w14:paraId="24FAE3C2">
      <w:pPr>
        <w:pStyle w:val="13"/>
        <w:spacing w:line="360" w:lineRule="auto"/>
        <w:jc w:val="both"/>
        <w:rPr>
          <w:sz w:val="22"/>
          <w:szCs w:val="22"/>
        </w:rPr>
      </w:pPr>
      <w:r>
        <w:rPr>
          <w:sz w:val="22"/>
          <w:szCs w:val="22"/>
        </w:rPr>
        <w:t>Key findings indicate that successful e-waste management requires:</w:t>
      </w:r>
    </w:p>
    <w:p w14:paraId="480061D1">
      <w:pPr>
        <w:pStyle w:val="14"/>
        <w:numPr>
          <w:ilvl w:val="0"/>
          <w:numId w:val="24"/>
        </w:numPr>
        <w:spacing w:line="360" w:lineRule="auto"/>
        <w:jc w:val="both"/>
        <w:rPr>
          <w:sz w:val="22"/>
          <w:szCs w:val="22"/>
        </w:rPr>
      </w:pPr>
      <w:r>
        <w:rPr>
          <w:sz w:val="22"/>
          <w:szCs w:val="22"/>
        </w:rPr>
        <w:t>Integration of informal sector workers</w:t>
      </w:r>
    </w:p>
    <w:p w14:paraId="51B56EAF">
      <w:pPr>
        <w:pStyle w:val="14"/>
        <w:numPr>
          <w:ilvl w:val="0"/>
          <w:numId w:val="24"/>
        </w:numPr>
        <w:spacing w:line="360" w:lineRule="auto"/>
        <w:jc w:val="both"/>
        <w:rPr>
          <w:sz w:val="22"/>
          <w:szCs w:val="22"/>
        </w:rPr>
      </w:pPr>
      <w:r>
        <w:rPr>
          <w:sz w:val="22"/>
          <w:szCs w:val="22"/>
        </w:rPr>
        <w:t>Strong regulatory frameworks</w:t>
      </w:r>
    </w:p>
    <w:p w14:paraId="38640EA9">
      <w:pPr>
        <w:pStyle w:val="14"/>
        <w:numPr>
          <w:ilvl w:val="0"/>
          <w:numId w:val="24"/>
        </w:numPr>
        <w:spacing w:line="360" w:lineRule="auto"/>
        <w:jc w:val="both"/>
        <w:rPr>
          <w:sz w:val="22"/>
          <w:szCs w:val="22"/>
        </w:rPr>
      </w:pPr>
      <w:r>
        <w:rPr>
          <w:sz w:val="22"/>
          <w:szCs w:val="22"/>
        </w:rPr>
        <w:t>Investment in advanced technologies</w:t>
      </w:r>
    </w:p>
    <w:p w14:paraId="71933020">
      <w:pPr>
        <w:pStyle w:val="14"/>
        <w:numPr>
          <w:ilvl w:val="0"/>
          <w:numId w:val="24"/>
        </w:numPr>
        <w:spacing w:line="360" w:lineRule="auto"/>
        <w:jc w:val="both"/>
        <w:rPr>
          <w:sz w:val="22"/>
          <w:szCs w:val="22"/>
        </w:rPr>
      </w:pPr>
      <w:r>
        <w:rPr>
          <w:sz w:val="22"/>
          <w:szCs w:val="22"/>
        </w:rPr>
        <w:t>Public-private partnerships</w:t>
      </w:r>
    </w:p>
    <w:p w14:paraId="36AA2773">
      <w:pPr>
        <w:pStyle w:val="14"/>
        <w:numPr>
          <w:ilvl w:val="0"/>
          <w:numId w:val="24"/>
        </w:numPr>
        <w:spacing w:line="360" w:lineRule="auto"/>
        <w:jc w:val="both"/>
        <w:rPr>
          <w:sz w:val="22"/>
          <w:szCs w:val="22"/>
        </w:rPr>
      </w:pPr>
      <w:r>
        <w:rPr>
          <w:sz w:val="22"/>
          <w:szCs w:val="22"/>
        </w:rPr>
        <w:t>Consumer awareness programs</w:t>
      </w:r>
    </w:p>
    <w:p w14:paraId="38B828F1">
      <w:pPr>
        <w:pStyle w:val="13"/>
        <w:spacing w:line="360" w:lineRule="auto"/>
        <w:jc w:val="both"/>
        <w:rPr>
          <w:sz w:val="22"/>
          <w:szCs w:val="22"/>
        </w:rPr>
      </w:pPr>
      <w:r>
        <w:rPr>
          <w:sz w:val="22"/>
          <w:szCs w:val="22"/>
        </w:rPr>
        <w:t>The World Bank's 2024 report on e-waste management indicates that nations implementing comprehensive management systems have reduced environmental impact by 60% while creating 25 new jobs per 1000 tonnes of e-waste processed. These results demonstrate the economic viability of sustainable e-waste management practices.</w:t>
      </w:r>
    </w:p>
    <w:p w14:paraId="0C0767F1">
      <w:pPr>
        <w:pStyle w:val="13"/>
        <w:spacing w:line="360" w:lineRule="auto"/>
        <w:jc w:val="both"/>
        <w:rPr>
          <w:sz w:val="22"/>
          <w:szCs w:val="22"/>
        </w:rPr>
      </w:pPr>
      <w:r>
        <w:rPr>
          <w:sz w:val="22"/>
          <w:szCs w:val="22"/>
        </w:rPr>
        <w:drawing>
          <wp:inline distT="0" distB="0" distL="0" distR="0">
            <wp:extent cx="5620385" cy="404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clrChange>
                        <a:clrFrom>
                          <a:srgbClr val="A9CBC9"/>
                        </a:clrFrom>
                        <a:clrTo>
                          <a:srgbClr val="A9CBC9">
                            <a:alpha val="0"/>
                          </a:srgbClr>
                        </a:clrTo>
                      </a:clrChange>
                      <a:extLst>
                        <a:ext uri="{28A0092B-C50C-407E-A947-70E740481C1C}">
                          <a14:useLocalDpi xmlns:a14="http://schemas.microsoft.com/office/drawing/2010/main" val="0"/>
                        </a:ext>
                      </a:extLst>
                    </a:blip>
                    <a:stretch>
                      <a:fillRect/>
                    </a:stretch>
                  </pic:blipFill>
                  <pic:spPr>
                    <a:xfrm>
                      <a:off x="0" y="0"/>
                      <a:ext cx="5620534" cy="4048690"/>
                    </a:xfrm>
                    <a:prstGeom prst="rect">
                      <a:avLst/>
                    </a:prstGeom>
                  </pic:spPr>
                </pic:pic>
              </a:graphicData>
            </a:graphic>
          </wp:inline>
        </w:drawing>
      </w:r>
    </w:p>
    <w:p w14:paraId="132B397B">
      <w:pPr>
        <w:pStyle w:val="13"/>
        <w:spacing w:line="360" w:lineRule="auto"/>
        <w:jc w:val="both"/>
        <w:rPr>
          <w:i/>
          <w:iCs/>
          <w:sz w:val="22"/>
          <w:szCs w:val="22"/>
        </w:rPr>
      </w:pPr>
      <w:r>
        <w:rPr>
          <w:i/>
          <w:iCs/>
          <w:sz w:val="22"/>
          <w:szCs w:val="22"/>
        </w:rPr>
        <w:t xml:space="preserve">Fig </w:t>
      </w:r>
      <w:r>
        <w:rPr>
          <w:rFonts w:hint="default"/>
          <w:i/>
          <w:iCs/>
          <w:sz w:val="22"/>
          <w:szCs w:val="22"/>
          <w:lang w:val="en-GB"/>
        </w:rPr>
        <w:t>9</w:t>
      </w:r>
      <w:r>
        <w:rPr>
          <w:i/>
          <w:iCs/>
          <w:sz w:val="22"/>
          <w:szCs w:val="22"/>
        </w:rPr>
        <w:t>: Generalized representation of circular Economy in E-Waste management</w:t>
      </w:r>
    </w:p>
    <w:p w14:paraId="20DCB71C">
      <w:pPr>
        <w:pStyle w:val="4"/>
        <w:spacing w:line="360" w:lineRule="auto"/>
        <w:jc w:val="both"/>
        <w:rPr>
          <w:rFonts w:ascii="Times New Roman" w:hAnsi="Times New Roman" w:cs="Times New Roman"/>
          <w:b w:val="0"/>
          <w:bCs w:val="0"/>
          <w:color w:val="auto"/>
          <w:sz w:val="22"/>
          <w:szCs w:val="22"/>
        </w:rPr>
      </w:pPr>
    </w:p>
    <w:p w14:paraId="2520AB29">
      <w:pPr>
        <w:pStyle w:val="4"/>
        <w:spacing w:line="360" w:lineRule="auto"/>
        <w:jc w:val="both"/>
        <w:rPr>
          <w:rFonts w:ascii="Times New Roman" w:hAnsi="Times New Roman" w:cs="Times New Roman"/>
          <w:b w:val="0"/>
          <w:bCs w:val="0"/>
          <w:color w:val="auto"/>
          <w:sz w:val="22"/>
          <w:szCs w:val="22"/>
          <w:highlight w:val="yellow"/>
        </w:rPr>
      </w:pPr>
      <w:r>
        <w:rPr>
          <w:rFonts w:ascii="Times New Roman" w:hAnsi="Times New Roman" w:cs="Times New Roman"/>
          <w:b w:val="0"/>
          <w:bCs w:val="0"/>
          <w:color w:val="auto"/>
          <w:sz w:val="22"/>
          <w:szCs w:val="22"/>
          <w:highlight w:val="yellow"/>
        </w:rPr>
        <w:t>Table 1: Global E-waste Generation Statistics by Region</w:t>
      </w:r>
    </w:p>
    <w:tbl>
      <w:tblPr>
        <w:tblStyle w:val="6"/>
        <w:tblW w:w="0" w:type="auto"/>
        <w:tblCellSpacing w:w="1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3"/>
        <w:gridCol w:w="2008"/>
        <w:gridCol w:w="1754"/>
        <w:gridCol w:w="1734"/>
        <w:gridCol w:w="2441"/>
      </w:tblGrid>
      <w:tr w14:paraId="5B9D8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tcBorders>
              <w:top w:val="single" w:color="9BBB59" w:sz="8" w:space="0"/>
              <w:left w:val="single" w:color="9BBB59" w:sz="8" w:space="0"/>
              <w:bottom w:val="single" w:color="FFFFFF" w:sz="18" w:space="0"/>
              <w:right w:val="single" w:color="9BBB59" w:sz="8" w:space="0"/>
            </w:tcBorders>
            <w:shd w:val="clear" w:color="auto" w:fill="9BBB59"/>
            <w:vAlign w:val="center"/>
          </w:tcPr>
          <w:p w14:paraId="0D79E5DB">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Region/Country</w:t>
            </w:r>
          </w:p>
        </w:tc>
        <w:tc>
          <w:tcPr>
            <w:tcW w:w="0" w:type="auto"/>
            <w:tcBorders>
              <w:top w:val="single" w:color="9BBB59" w:sz="8" w:space="0"/>
              <w:left w:val="single" w:color="9BBB59" w:sz="8" w:space="0"/>
              <w:bottom w:val="single" w:color="FFFFFF" w:sz="18" w:space="0"/>
              <w:right w:val="single" w:color="9BBB59" w:sz="8" w:space="0"/>
            </w:tcBorders>
            <w:shd w:val="clear" w:color="auto" w:fill="9BBB59"/>
            <w:vAlign w:val="center"/>
          </w:tcPr>
          <w:p w14:paraId="1047F9C9">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Annual E-waste Generation (Mt)</w:t>
            </w:r>
          </w:p>
        </w:tc>
        <w:tc>
          <w:tcPr>
            <w:tcW w:w="0" w:type="auto"/>
            <w:tcBorders>
              <w:top w:val="single" w:color="9BBB59" w:sz="8" w:space="0"/>
              <w:left w:val="single" w:color="9BBB59" w:sz="8" w:space="0"/>
              <w:bottom w:val="single" w:color="FFFFFF" w:sz="18" w:space="0"/>
              <w:right w:val="single" w:color="9BBB59" w:sz="8" w:space="0"/>
            </w:tcBorders>
            <w:shd w:val="clear" w:color="auto" w:fill="9BBB59"/>
            <w:vAlign w:val="center"/>
          </w:tcPr>
          <w:p w14:paraId="483FF0FD">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Per Capita Generation (kg)</w:t>
            </w:r>
          </w:p>
        </w:tc>
        <w:tc>
          <w:tcPr>
            <w:tcW w:w="0" w:type="auto"/>
            <w:tcBorders>
              <w:top w:val="single" w:color="9BBB59" w:sz="8" w:space="0"/>
              <w:left w:val="single" w:color="9BBB59" w:sz="8" w:space="0"/>
              <w:bottom w:val="single" w:color="FFFFFF" w:sz="18" w:space="0"/>
              <w:right w:val="single" w:color="9BBB59" w:sz="8" w:space="0"/>
            </w:tcBorders>
            <w:shd w:val="clear" w:color="auto" w:fill="9BBB59"/>
            <w:vAlign w:val="center"/>
          </w:tcPr>
          <w:p w14:paraId="65664FBD">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Formal Recycling Rate (%)</w:t>
            </w:r>
          </w:p>
        </w:tc>
        <w:tc>
          <w:tcPr>
            <w:tcW w:w="0" w:type="auto"/>
            <w:tcBorders>
              <w:top w:val="single" w:color="9BBB59" w:sz="8" w:space="0"/>
              <w:left w:val="single" w:color="9BBB59" w:sz="8" w:space="0"/>
              <w:bottom w:val="single" w:color="FFFFFF" w:sz="18" w:space="0"/>
              <w:right w:val="single" w:color="9BBB59" w:sz="8" w:space="0"/>
            </w:tcBorders>
            <w:shd w:val="clear" w:color="auto" w:fill="9BBB59"/>
            <w:vAlign w:val="center"/>
          </w:tcPr>
          <w:p w14:paraId="1373C068">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Major Sources</w:t>
            </w:r>
          </w:p>
        </w:tc>
      </w:tr>
      <w:tr w14:paraId="1B181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FFFFFF" w:sz="18" w:space="0"/>
              <w:left w:val="single" w:color="9BBB59" w:sz="8" w:space="0"/>
              <w:bottom w:val="single" w:color="9BBB59" w:sz="8" w:space="0"/>
              <w:right w:val="single" w:color="9BBB59" w:sz="8" w:space="0"/>
            </w:tcBorders>
            <w:shd w:val="clear" w:color="auto" w:fill="D7E3BC"/>
            <w:vAlign w:val="center"/>
          </w:tcPr>
          <w:p w14:paraId="0E536F6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Asia</w:t>
            </w:r>
          </w:p>
        </w:tc>
        <w:tc>
          <w:tcPr>
            <w:tcW w:w="0" w:type="auto"/>
            <w:tcBorders>
              <w:top w:val="single" w:color="FFFFFF" w:sz="18" w:space="0"/>
              <w:left w:val="single" w:color="9BBB59" w:sz="8" w:space="0"/>
              <w:bottom w:val="single" w:color="9BBB59" w:sz="8" w:space="0"/>
              <w:right w:val="single" w:color="9BBB59" w:sz="8" w:space="0"/>
            </w:tcBorders>
            <w:shd w:val="clear" w:color="auto" w:fill="D7E3BC"/>
            <w:vAlign w:val="center"/>
          </w:tcPr>
          <w:p w14:paraId="17EA360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28.7</w:t>
            </w:r>
          </w:p>
        </w:tc>
        <w:tc>
          <w:tcPr>
            <w:tcW w:w="0" w:type="auto"/>
            <w:tcBorders>
              <w:top w:val="single" w:color="FFFFFF" w:sz="18" w:space="0"/>
              <w:left w:val="single" w:color="9BBB59" w:sz="8" w:space="0"/>
              <w:bottom w:val="single" w:color="9BBB59" w:sz="8" w:space="0"/>
              <w:right w:val="single" w:color="9BBB59" w:sz="8" w:space="0"/>
            </w:tcBorders>
            <w:shd w:val="clear" w:color="auto" w:fill="D7E3BC"/>
            <w:vAlign w:val="center"/>
          </w:tcPr>
          <w:p w14:paraId="5BBA88C4">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6.2</w:t>
            </w:r>
          </w:p>
        </w:tc>
        <w:tc>
          <w:tcPr>
            <w:tcW w:w="0" w:type="auto"/>
            <w:tcBorders>
              <w:top w:val="single" w:color="FFFFFF" w:sz="18" w:space="0"/>
              <w:left w:val="single" w:color="9BBB59" w:sz="8" w:space="0"/>
              <w:bottom w:val="single" w:color="9BBB59" w:sz="8" w:space="0"/>
              <w:right w:val="single" w:color="9BBB59" w:sz="8" w:space="0"/>
            </w:tcBorders>
            <w:shd w:val="clear" w:color="auto" w:fill="D7E3BC"/>
            <w:vAlign w:val="center"/>
          </w:tcPr>
          <w:p w14:paraId="65E8BB2B">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~12%</w:t>
            </w:r>
          </w:p>
        </w:tc>
        <w:tc>
          <w:tcPr>
            <w:tcW w:w="0" w:type="auto"/>
            <w:tcBorders>
              <w:top w:val="single" w:color="FFFFFF" w:sz="18" w:space="0"/>
              <w:left w:val="single" w:color="9BBB59" w:sz="8" w:space="0"/>
              <w:bottom w:val="single" w:color="9BBB59" w:sz="8" w:space="0"/>
              <w:right w:val="single" w:color="9BBB59" w:sz="8" w:space="0"/>
            </w:tcBorders>
            <w:shd w:val="clear" w:color="auto" w:fill="D7E3BC"/>
            <w:vAlign w:val="center"/>
          </w:tcPr>
          <w:p w14:paraId="66F33A9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Household electronics, IT equipment</w:t>
            </w:r>
          </w:p>
        </w:tc>
      </w:tr>
      <w:tr w14:paraId="51FF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746D61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 China</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9DBE5C3">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11.8</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67707D5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8.2</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650F55E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20%</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01D423C7">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Smartphones, appliances</w:t>
            </w:r>
          </w:p>
        </w:tc>
      </w:tr>
      <w:tr w14:paraId="36DF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115C5304">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 India</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59A7AAF4">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4.1</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7F352A2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3.0</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0A873B1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&lt;5%</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5DDA911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Mobile devices, small appliances</w:t>
            </w:r>
          </w:p>
        </w:tc>
      </w:tr>
      <w:tr w14:paraId="556F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280A753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Europe</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2E9172B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12.4</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21D3FC17">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16.2</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6346B9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24.9%</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EAD281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Large &amp; small electronics, medical tech</w:t>
            </w:r>
          </w:p>
        </w:tc>
      </w:tr>
      <w:tr w14:paraId="3A830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4F42688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Americas</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0CEA518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11.4</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6BCADEE4">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13.3 (avg)</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5E20B67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~15%</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6CE1CFD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Consumer electronics, large equipment</w:t>
            </w:r>
          </w:p>
        </w:tc>
      </w:tr>
      <w:tr w14:paraId="01B3F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8D5688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 United States</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C63D2B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6.9</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61380D4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21.0</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892B78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~15%</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6B8FD9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IT hardware, entertainment systems</w:t>
            </w:r>
          </w:p>
        </w:tc>
      </w:tr>
      <w:tr w14:paraId="0792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03BD64E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 Latin America</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036EEE7B">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4.1</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62CF6E1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~7.0</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6548334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&lt;10%</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26B8899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Household appliances, outdated devices</w:t>
            </w:r>
          </w:p>
        </w:tc>
      </w:tr>
      <w:tr w14:paraId="40530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ED25447">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Africa</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E432BC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2.9</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22CBCB8B">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2.5</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50DF0973">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128A6C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Mobile phones, informal imports</w:t>
            </w:r>
          </w:p>
        </w:tc>
      </w:tr>
      <w:tr w14:paraId="4A851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6940258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Oceania</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2211F6B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0.7</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106EDD2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16.1</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3CFDA2D3">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6%</w:t>
            </w:r>
          </w:p>
        </w:tc>
        <w:tc>
          <w:tcPr>
            <w:tcW w:w="0" w:type="auto"/>
            <w:tcBorders>
              <w:top w:val="single" w:color="9BBB59" w:sz="8" w:space="0"/>
              <w:left w:val="single" w:color="9BBB59" w:sz="8" w:space="0"/>
              <w:bottom w:val="single" w:color="9BBB59" w:sz="8" w:space="0"/>
              <w:right w:val="single" w:color="9BBB59" w:sz="8" w:space="0"/>
            </w:tcBorders>
            <w:shd w:val="clear" w:color="auto" w:fill="D7E3BC"/>
            <w:vAlign w:val="center"/>
          </w:tcPr>
          <w:p w14:paraId="4BFA5FA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Mixed electronics</w:t>
            </w:r>
          </w:p>
        </w:tc>
      </w:tr>
      <w:tr w14:paraId="3570C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13BCC70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Global Total</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1B09137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59.4 (2022)</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5221151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7.3 (avg)</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727B9FE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17.4%</w:t>
            </w:r>
          </w:p>
        </w:tc>
        <w:tc>
          <w:tcPr>
            <w:tcW w:w="0" w:type="auto"/>
            <w:tcBorders>
              <w:top w:val="single" w:color="9BBB59" w:sz="8" w:space="0"/>
              <w:left w:val="single" w:color="9BBB59" w:sz="8" w:space="0"/>
              <w:bottom w:val="single" w:color="9BBB59" w:sz="8" w:space="0"/>
              <w:right w:val="single" w:color="9BBB59" w:sz="8" w:space="0"/>
            </w:tcBorders>
            <w:shd w:val="clear" w:color="auto" w:fill="FFFFFF"/>
            <w:vAlign w:val="center"/>
          </w:tcPr>
          <w:p w14:paraId="40C9CF7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All categories of electronic equipment</w:t>
            </w:r>
          </w:p>
        </w:tc>
      </w:tr>
    </w:tbl>
    <w:p w14:paraId="0123D850">
      <w:pPr>
        <w:pStyle w:val="4"/>
        <w:spacing w:line="360" w:lineRule="auto"/>
        <w:jc w:val="both"/>
        <w:rPr>
          <w:rFonts w:ascii="Times New Roman" w:hAnsi="Times New Roman" w:cs="Times New Roman"/>
          <w:b w:val="0"/>
          <w:bCs w:val="0"/>
          <w:color w:val="auto"/>
          <w:sz w:val="22"/>
          <w:szCs w:val="22"/>
          <w:highlight w:val="yellow"/>
        </w:rPr>
      </w:pPr>
      <w:r>
        <w:rPr>
          <w:rFonts w:ascii="Times New Roman" w:hAnsi="Times New Roman" w:cs="Times New Roman"/>
          <w:b w:val="0"/>
          <w:bCs w:val="0"/>
          <w:color w:val="auto"/>
          <w:sz w:val="22"/>
          <w:szCs w:val="22"/>
          <w:highlight w:val="yellow"/>
        </w:rPr>
        <w:t>Sources: Global E-waste Monitor (Baldé et al., 2023; UNEP 2023); WHO; Forti et al., 2023</w:t>
      </w:r>
    </w:p>
    <w:p w14:paraId="4085370B">
      <w:pPr>
        <w:pStyle w:val="4"/>
        <w:spacing w:line="360" w:lineRule="auto"/>
        <w:jc w:val="both"/>
        <w:rPr>
          <w:rFonts w:ascii="Times New Roman" w:hAnsi="Times New Roman" w:cs="Times New Roman"/>
          <w:b w:val="0"/>
          <w:bCs w:val="0"/>
          <w:color w:val="auto"/>
          <w:sz w:val="22"/>
          <w:szCs w:val="22"/>
          <w:highlight w:val="yellow"/>
        </w:rPr>
      </w:pPr>
    </w:p>
    <w:p w14:paraId="141A7DF6">
      <w:pPr>
        <w:pStyle w:val="4"/>
        <w:spacing w:line="360" w:lineRule="auto"/>
        <w:jc w:val="both"/>
        <w:rPr>
          <w:rFonts w:ascii="Times New Roman" w:hAnsi="Times New Roman" w:cs="Times New Roman"/>
          <w:b w:val="0"/>
          <w:bCs w:val="0"/>
          <w:color w:val="auto"/>
          <w:sz w:val="22"/>
          <w:szCs w:val="22"/>
          <w:highlight w:val="yellow"/>
        </w:rPr>
      </w:pPr>
      <w:r>
        <w:rPr>
          <w:rFonts w:ascii="Times New Roman" w:hAnsi="Times New Roman" w:cs="Times New Roman"/>
          <w:b w:val="0"/>
          <w:bCs w:val="0"/>
          <w:color w:val="auto"/>
          <w:sz w:val="22"/>
          <w:szCs w:val="22"/>
          <w:highlight w:val="yellow"/>
        </w:rPr>
        <w:t>Table 2: Comparative Overview of E-waste Management Policies Across Selected Countries</w:t>
      </w:r>
    </w:p>
    <w:tbl>
      <w:tblPr>
        <w:tblStyle w:val="6"/>
        <w:tblW w:w="0" w:type="auto"/>
        <w:tblCellSpacing w:w="1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3"/>
        <w:gridCol w:w="1999"/>
        <w:gridCol w:w="983"/>
        <w:gridCol w:w="1495"/>
        <w:gridCol w:w="1871"/>
        <w:gridCol w:w="1589"/>
      </w:tblGrid>
      <w:tr w14:paraId="3B68D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tcBorders>
              <w:top w:val="single" w:color="4BACC6" w:sz="8" w:space="0"/>
              <w:left w:val="single" w:color="4BACC6" w:sz="8" w:space="0"/>
              <w:bottom w:val="single" w:color="FFFFFF" w:sz="18" w:space="0"/>
              <w:right w:val="single" w:color="4BACC6" w:sz="8" w:space="0"/>
            </w:tcBorders>
            <w:shd w:val="clear" w:color="auto" w:fill="4BACC6"/>
            <w:vAlign w:val="center"/>
          </w:tcPr>
          <w:p w14:paraId="11136B98">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Country/Region</w:t>
            </w:r>
          </w:p>
        </w:tc>
        <w:tc>
          <w:tcPr>
            <w:tcW w:w="0" w:type="auto"/>
            <w:tcBorders>
              <w:top w:val="single" w:color="4BACC6" w:sz="8" w:space="0"/>
              <w:left w:val="single" w:color="4BACC6" w:sz="8" w:space="0"/>
              <w:bottom w:val="single" w:color="FFFFFF" w:sz="18" w:space="0"/>
              <w:right w:val="single" w:color="4BACC6" w:sz="8" w:space="0"/>
            </w:tcBorders>
            <w:shd w:val="clear" w:color="auto" w:fill="4BACC6"/>
            <w:vAlign w:val="center"/>
          </w:tcPr>
          <w:p w14:paraId="097A781F">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Key Legislation/Policy</w:t>
            </w:r>
          </w:p>
        </w:tc>
        <w:tc>
          <w:tcPr>
            <w:tcW w:w="0" w:type="auto"/>
            <w:tcBorders>
              <w:top w:val="single" w:color="4BACC6" w:sz="8" w:space="0"/>
              <w:left w:val="single" w:color="4BACC6" w:sz="8" w:space="0"/>
              <w:bottom w:val="single" w:color="FFFFFF" w:sz="18" w:space="0"/>
              <w:right w:val="single" w:color="4BACC6" w:sz="8" w:space="0"/>
            </w:tcBorders>
            <w:shd w:val="clear" w:color="auto" w:fill="4BACC6"/>
            <w:vAlign w:val="center"/>
          </w:tcPr>
          <w:p w14:paraId="3F1CE87F">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EPR Policy</w:t>
            </w:r>
          </w:p>
        </w:tc>
        <w:tc>
          <w:tcPr>
            <w:tcW w:w="1465" w:type="dxa"/>
            <w:tcBorders>
              <w:top w:val="single" w:color="4BACC6" w:sz="8" w:space="0"/>
              <w:left w:val="single" w:color="4BACC6" w:sz="8" w:space="0"/>
              <w:bottom w:val="single" w:color="FFFFFF" w:sz="18" w:space="0"/>
              <w:right w:val="single" w:color="4BACC6" w:sz="8" w:space="0"/>
            </w:tcBorders>
            <w:shd w:val="clear" w:color="auto" w:fill="4BACC6"/>
            <w:vAlign w:val="center"/>
          </w:tcPr>
          <w:p w14:paraId="2B3E1A7E">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Informal Sector Integration</w:t>
            </w:r>
          </w:p>
        </w:tc>
        <w:tc>
          <w:tcPr>
            <w:tcW w:w="1841" w:type="dxa"/>
            <w:tcBorders>
              <w:top w:val="single" w:color="4BACC6" w:sz="8" w:space="0"/>
              <w:left w:val="single" w:color="4BACC6" w:sz="8" w:space="0"/>
              <w:bottom w:val="single" w:color="FFFFFF" w:sz="18" w:space="0"/>
              <w:right w:val="single" w:color="4BACC6" w:sz="8" w:space="0"/>
            </w:tcBorders>
            <w:shd w:val="clear" w:color="auto" w:fill="4BACC6"/>
            <w:vAlign w:val="center"/>
          </w:tcPr>
          <w:p w14:paraId="1EBF898F">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Recycle/Collection Rate (%)</w:t>
            </w:r>
          </w:p>
        </w:tc>
        <w:tc>
          <w:tcPr>
            <w:tcW w:w="0" w:type="auto"/>
            <w:tcBorders>
              <w:top w:val="single" w:color="4BACC6" w:sz="8" w:space="0"/>
              <w:left w:val="single" w:color="4BACC6" w:sz="8" w:space="0"/>
              <w:bottom w:val="single" w:color="FFFFFF" w:sz="18" w:space="0"/>
              <w:right w:val="single" w:color="4BACC6" w:sz="8" w:space="0"/>
            </w:tcBorders>
            <w:shd w:val="clear" w:color="auto" w:fill="4BACC6"/>
            <w:vAlign w:val="center"/>
          </w:tcPr>
          <w:p w14:paraId="6F62C3FC">
            <w:pPr>
              <w:pStyle w:val="4"/>
              <w:spacing w:line="360" w:lineRule="auto"/>
              <w:jc w:val="both"/>
              <w:rPr>
                <w:rFonts w:ascii="Times New Roman" w:hAnsi="Times New Roman" w:cs="Times New Roman"/>
                <w:b w:val="0"/>
                <w:bCs w:val="0"/>
                <w:color w:val="FFFFFF"/>
                <w:sz w:val="22"/>
                <w:szCs w:val="22"/>
                <w:highlight w:val="yellow"/>
              </w:rPr>
            </w:pPr>
            <w:r>
              <w:rPr>
                <w:rFonts w:ascii="Times New Roman" w:hAnsi="Times New Roman" w:cs="Times New Roman"/>
                <w:b w:val="0"/>
                <w:bCs w:val="0"/>
                <w:color w:val="FFFFFF"/>
                <w:sz w:val="22"/>
                <w:szCs w:val="22"/>
                <w:highlight w:val="yellow"/>
                <w:lang w:val="en-US" w:eastAsia="zh-CN"/>
              </w:rPr>
              <w:t>Notable Innovations</w:t>
            </w:r>
          </w:p>
        </w:tc>
      </w:tr>
      <w:tr w14:paraId="4929A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FFFFFF" w:sz="18" w:space="0"/>
              <w:left w:val="single" w:color="4BACC6" w:sz="8" w:space="0"/>
              <w:bottom w:val="single" w:color="4BACC6" w:sz="8" w:space="0"/>
              <w:right w:val="single" w:color="4BACC6" w:sz="8" w:space="0"/>
            </w:tcBorders>
            <w:shd w:val="clear" w:color="auto" w:fill="B7DDE8"/>
            <w:vAlign w:val="center"/>
          </w:tcPr>
          <w:p w14:paraId="77796D7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Germany (EU)</w:t>
            </w:r>
          </w:p>
        </w:tc>
        <w:tc>
          <w:tcPr>
            <w:tcW w:w="0" w:type="auto"/>
            <w:tcBorders>
              <w:top w:val="single" w:color="FFFFFF" w:sz="18" w:space="0"/>
              <w:left w:val="single" w:color="4BACC6" w:sz="8" w:space="0"/>
              <w:bottom w:val="single" w:color="4BACC6" w:sz="8" w:space="0"/>
              <w:right w:val="single" w:color="4BACC6" w:sz="8" w:space="0"/>
            </w:tcBorders>
            <w:shd w:val="clear" w:color="auto" w:fill="B7DDE8"/>
            <w:vAlign w:val="center"/>
          </w:tcPr>
          <w:p w14:paraId="560E00F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WEEE Directive, Circular Economy Action Plan</w:t>
            </w:r>
          </w:p>
        </w:tc>
        <w:tc>
          <w:tcPr>
            <w:tcW w:w="0" w:type="auto"/>
            <w:tcBorders>
              <w:top w:val="single" w:color="FFFFFF" w:sz="18" w:space="0"/>
              <w:left w:val="single" w:color="4BACC6" w:sz="8" w:space="0"/>
              <w:bottom w:val="single" w:color="4BACC6" w:sz="8" w:space="0"/>
              <w:right w:val="single" w:color="4BACC6" w:sz="8" w:space="0"/>
            </w:tcBorders>
            <w:shd w:val="clear" w:color="auto" w:fill="B7DDE8"/>
            <w:vAlign w:val="center"/>
          </w:tcPr>
          <w:p w14:paraId="6566A84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FFFFFF" w:sz="18" w:space="0"/>
              <w:left w:val="single" w:color="4BACC6" w:sz="8" w:space="0"/>
              <w:bottom w:val="single" w:color="4BACC6" w:sz="8" w:space="0"/>
              <w:right w:val="single" w:color="4BACC6" w:sz="8" w:space="0"/>
            </w:tcBorders>
            <w:shd w:val="clear" w:color="auto" w:fill="B7DDE8"/>
            <w:vAlign w:val="center"/>
          </w:tcPr>
          <w:p w14:paraId="3DCEC42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Low (mainly formal systems)</w:t>
            </w:r>
          </w:p>
        </w:tc>
        <w:tc>
          <w:tcPr>
            <w:tcW w:w="1841" w:type="dxa"/>
            <w:tcBorders>
              <w:top w:val="single" w:color="FFFFFF" w:sz="18" w:space="0"/>
              <w:left w:val="single" w:color="4BACC6" w:sz="8" w:space="0"/>
              <w:bottom w:val="single" w:color="4BACC6" w:sz="8" w:space="0"/>
              <w:right w:val="single" w:color="4BACC6" w:sz="8" w:space="0"/>
            </w:tcBorders>
            <w:shd w:val="clear" w:color="auto" w:fill="B7DDE8"/>
            <w:vAlign w:val="center"/>
          </w:tcPr>
          <w:p w14:paraId="2AC0907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48%</w:t>
            </w:r>
          </w:p>
        </w:tc>
        <w:tc>
          <w:tcPr>
            <w:tcW w:w="0" w:type="auto"/>
            <w:tcBorders>
              <w:top w:val="single" w:color="FFFFFF" w:sz="18" w:space="0"/>
              <w:left w:val="single" w:color="4BACC6" w:sz="8" w:space="0"/>
              <w:bottom w:val="single" w:color="4BACC6" w:sz="8" w:space="0"/>
              <w:right w:val="single" w:color="4BACC6" w:sz="8" w:space="0"/>
            </w:tcBorders>
            <w:shd w:val="clear" w:color="auto" w:fill="B7DDE8"/>
            <w:vAlign w:val="center"/>
          </w:tcPr>
          <w:p w14:paraId="15CB0767">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AI-based recycling, green design incentives</w:t>
            </w:r>
          </w:p>
        </w:tc>
      </w:tr>
      <w:tr w14:paraId="7F53B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6069C12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Japan</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31BB69F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Home Appliance Recycling Law</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5D2397F1">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4BCCF33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Low</w:t>
            </w:r>
          </w:p>
        </w:tc>
        <w:tc>
          <w:tcPr>
            <w:tcW w:w="1841"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7B55AFB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96% (for appliances)</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6A4EE6A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Robotic disassembly, advanced sorting</w:t>
            </w:r>
          </w:p>
        </w:tc>
      </w:tr>
      <w:tr w14:paraId="10467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0BD16C6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South Korea</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3D7E50B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EPR Act, Blockchain Monitoring (2022)</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05B7F71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181B886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Medium</w:t>
            </w:r>
          </w:p>
        </w:tc>
        <w:tc>
          <w:tcPr>
            <w:tcW w:w="1841"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4B0C188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~75%</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57526A3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Blockchain traceability, smart bins</w:t>
            </w:r>
          </w:p>
        </w:tc>
      </w:tr>
      <w:tr w14:paraId="7CDCF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5D72EA4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United States</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200D1A8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State-level laws, No national EPR</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4941AF2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Partial</w:t>
            </w:r>
          </w:p>
        </w:tc>
        <w:tc>
          <w:tcPr>
            <w:tcW w:w="1465"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0C9DE040">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Low</w:t>
            </w:r>
          </w:p>
        </w:tc>
        <w:tc>
          <w:tcPr>
            <w:tcW w:w="1841"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304A8A7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~15% (varies by state)</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46647AC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Take-back programs, voluntary industry action</w:t>
            </w:r>
          </w:p>
        </w:tc>
      </w:tr>
      <w:tr w14:paraId="6C37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10F05D43">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China</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2FF7D38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2023 E-waste Regulation Revisions</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01B5264D">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4D0A74A2">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Low</w:t>
            </w:r>
          </w:p>
        </w:tc>
        <w:tc>
          <w:tcPr>
            <w:tcW w:w="1841"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63783DB6">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~20%</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3BED1A44">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Quota-based recycling, export bans</w:t>
            </w:r>
          </w:p>
        </w:tc>
      </w:tr>
      <w:tr w14:paraId="3E724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4497230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India</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44F9D47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E-waste Management Rules (2022 Revision)</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0390811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5516800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High (formalization programs)</w:t>
            </w:r>
          </w:p>
        </w:tc>
        <w:tc>
          <w:tcPr>
            <w:tcW w:w="1841"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7B0E51F0">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&lt;5%</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70801A3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Informal sector integration, digital tracking</w:t>
            </w:r>
          </w:p>
        </w:tc>
      </w:tr>
      <w:tr w14:paraId="49E8E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3704905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Ghana</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4D3EA5B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Hazardous Waste Control Law (2016), EPR (2024)</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29972F7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Emerging</w:t>
            </w:r>
          </w:p>
        </w:tc>
        <w:tc>
          <w:tcPr>
            <w:tcW w:w="1465"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51D862A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Very High</w:t>
            </w:r>
          </w:p>
        </w:tc>
        <w:tc>
          <w:tcPr>
            <w:tcW w:w="1841"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6E07EC8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~1%</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60E9C415">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Training programs, pilot formal facilities</w:t>
            </w:r>
          </w:p>
        </w:tc>
      </w:tr>
      <w:tr w14:paraId="3C2C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13C4BB7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Rwanda</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61A8A32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National E-waste Strategy (2020)</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6D61AAC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101A54EC">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Medium</w:t>
            </w:r>
          </w:p>
        </w:tc>
        <w:tc>
          <w:tcPr>
            <w:tcW w:w="1841" w:type="dxa"/>
            <w:tcBorders>
              <w:top w:val="single" w:color="4BACC6" w:sz="8" w:space="0"/>
              <w:left w:val="single" w:color="4BACC6" w:sz="8" w:space="0"/>
              <w:bottom w:val="single" w:color="4BACC6" w:sz="8" w:space="0"/>
              <w:right w:val="single" w:color="4BACC6" w:sz="8" w:space="0"/>
            </w:tcBorders>
            <w:shd w:val="clear" w:color="auto" w:fill="FFFFFF"/>
            <w:vAlign w:val="center"/>
          </w:tcPr>
          <w:p w14:paraId="7E217F18">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Growing (1st certified facility)</w:t>
            </w:r>
          </w:p>
        </w:tc>
        <w:tc>
          <w:tcPr>
            <w:tcW w:w="0" w:type="auto"/>
            <w:tcBorders>
              <w:top w:val="single" w:color="4BACC6" w:sz="8" w:space="0"/>
              <w:left w:val="single" w:color="4BACC6" w:sz="8" w:space="0"/>
              <w:bottom w:val="single" w:color="4BACC6" w:sz="8" w:space="0"/>
              <w:right w:val="single" w:color="4BACC6" w:sz="8" w:space="0"/>
            </w:tcBorders>
            <w:shd w:val="clear" w:color="auto" w:fill="FFFFFF"/>
            <w:vAlign w:val="center"/>
          </w:tcPr>
          <w:p w14:paraId="328ED34E">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Regional hub, donor-backed infrastructure</w:t>
            </w:r>
          </w:p>
        </w:tc>
      </w:tr>
      <w:tr w14:paraId="2D0B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28F89863">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Sweden (EU)</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435C0029">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National WEEE Scheme under EU Directives</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57F784C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Yes</w:t>
            </w:r>
          </w:p>
        </w:tc>
        <w:tc>
          <w:tcPr>
            <w:tcW w:w="1465"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1D6D4F9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Low</w:t>
            </w:r>
          </w:p>
        </w:tc>
        <w:tc>
          <w:tcPr>
            <w:tcW w:w="1841" w:type="dxa"/>
            <w:tcBorders>
              <w:top w:val="single" w:color="4BACC6" w:sz="8" w:space="0"/>
              <w:left w:val="single" w:color="4BACC6" w:sz="8" w:space="0"/>
              <w:bottom w:val="single" w:color="4BACC6" w:sz="8" w:space="0"/>
              <w:right w:val="single" w:color="4BACC6" w:sz="8" w:space="0"/>
            </w:tcBorders>
            <w:shd w:val="clear" w:color="auto" w:fill="B7DDE8"/>
            <w:vAlign w:val="center"/>
          </w:tcPr>
          <w:p w14:paraId="720A77EF">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~55%</w:t>
            </w:r>
          </w:p>
        </w:tc>
        <w:tc>
          <w:tcPr>
            <w:tcW w:w="0" w:type="auto"/>
            <w:tcBorders>
              <w:top w:val="single" w:color="4BACC6" w:sz="8" w:space="0"/>
              <w:left w:val="single" w:color="4BACC6" w:sz="8" w:space="0"/>
              <w:bottom w:val="single" w:color="4BACC6" w:sz="8" w:space="0"/>
              <w:right w:val="single" w:color="4BACC6" w:sz="8" w:space="0"/>
            </w:tcBorders>
            <w:shd w:val="clear" w:color="auto" w:fill="B7DDE8"/>
            <w:vAlign w:val="center"/>
          </w:tcPr>
          <w:p w14:paraId="125F6E5A">
            <w:pPr>
              <w:pStyle w:val="4"/>
              <w:spacing w:line="360" w:lineRule="auto"/>
              <w:jc w:val="both"/>
              <w:rPr>
                <w:rFonts w:ascii="Times New Roman" w:hAnsi="Times New Roman" w:cs="Times New Roman"/>
                <w:b w:val="0"/>
                <w:bCs w:val="0"/>
                <w:color w:val="000000"/>
                <w:sz w:val="22"/>
                <w:szCs w:val="22"/>
                <w:highlight w:val="yellow"/>
              </w:rPr>
            </w:pPr>
            <w:r>
              <w:rPr>
                <w:rFonts w:ascii="Times New Roman" w:hAnsi="Times New Roman" w:cs="Times New Roman"/>
                <w:b w:val="0"/>
                <w:bCs w:val="0"/>
                <w:color w:val="000000"/>
                <w:sz w:val="22"/>
                <w:szCs w:val="22"/>
                <w:highlight w:val="yellow"/>
                <w:lang w:val="en-US" w:eastAsia="zh-CN"/>
              </w:rPr>
              <w:t>Deposit-refund system, consumer incentives</w:t>
            </w:r>
          </w:p>
        </w:tc>
      </w:tr>
    </w:tbl>
    <w:p w14:paraId="43B021A8">
      <w:pPr>
        <w:pStyle w:val="4"/>
        <w:spacing w:line="360" w:lineRule="auto"/>
        <w:jc w:val="both"/>
        <w:rPr>
          <w:rFonts w:ascii="Times New Roman" w:hAnsi="Times New Roman" w:cs="Times New Roman"/>
          <w:b w:val="0"/>
          <w:bCs w:val="0"/>
          <w:color w:val="auto"/>
          <w:sz w:val="22"/>
          <w:szCs w:val="22"/>
          <w:highlight w:val="yellow"/>
        </w:rPr>
      </w:pPr>
      <w:r>
        <w:rPr>
          <w:rFonts w:ascii="Times New Roman" w:hAnsi="Times New Roman" w:cs="Times New Roman"/>
          <w:b w:val="0"/>
          <w:bCs w:val="0"/>
          <w:color w:val="auto"/>
          <w:sz w:val="22"/>
          <w:szCs w:val="22"/>
          <w:highlight w:val="yellow"/>
        </w:rPr>
        <w:t>Sources: UNEP, Global E-waste Monitor, national policy documents, Cheung (2024), WHO, El-Absy et al. (2023)</w:t>
      </w:r>
    </w:p>
    <w:p w14:paraId="37E10D21">
      <w:pPr>
        <w:pStyle w:val="4"/>
        <w:spacing w:line="360" w:lineRule="auto"/>
        <w:jc w:val="both"/>
        <w:rPr>
          <w:rFonts w:ascii="Times New Roman" w:hAnsi="Times New Roman" w:cs="Times New Roman"/>
          <w:b w:val="0"/>
          <w:bCs w:val="0"/>
          <w:color w:val="auto"/>
          <w:sz w:val="22"/>
          <w:szCs w:val="22"/>
        </w:rPr>
      </w:pPr>
    </w:p>
    <w:p w14:paraId="7C48EE9C">
      <w:pPr>
        <w:pStyle w:val="4"/>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Future Directions</w:t>
      </w:r>
    </w:p>
    <w:p w14:paraId="14F6C917">
      <w:pPr>
        <w:pStyle w:val="13"/>
        <w:spacing w:line="360" w:lineRule="auto"/>
        <w:jc w:val="both"/>
        <w:rPr>
          <w:sz w:val="22"/>
          <w:szCs w:val="22"/>
        </w:rPr>
      </w:pPr>
      <w:r>
        <w:rPr>
          <w:sz w:val="22"/>
          <w:szCs w:val="22"/>
        </w:rPr>
        <w:t>Emerging trends suggest a shift toward:</w:t>
      </w:r>
    </w:p>
    <w:p w14:paraId="5A8D38EB">
      <w:pPr>
        <w:pStyle w:val="14"/>
        <w:numPr>
          <w:ilvl w:val="0"/>
          <w:numId w:val="25"/>
        </w:numPr>
        <w:spacing w:line="360" w:lineRule="auto"/>
        <w:jc w:val="both"/>
        <w:rPr>
          <w:sz w:val="22"/>
          <w:szCs w:val="22"/>
        </w:rPr>
      </w:pPr>
      <w:r>
        <w:rPr>
          <w:sz w:val="22"/>
          <w:szCs w:val="22"/>
        </w:rPr>
        <w:t>Automated processing facilities</w:t>
      </w:r>
    </w:p>
    <w:p w14:paraId="76CD66BC">
      <w:pPr>
        <w:pStyle w:val="14"/>
        <w:numPr>
          <w:ilvl w:val="0"/>
          <w:numId w:val="25"/>
        </w:numPr>
        <w:spacing w:line="360" w:lineRule="auto"/>
        <w:jc w:val="both"/>
        <w:rPr>
          <w:sz w:val="22"/>
          <w:szCs w:val="22"/>
        </w:rPr>
      </w:pPr>
      <w:r>
        <w:rPr>
          <w:sz w:val="22"/>
          <w:szCs w:val="22"/>
        </w:rPr>
        <w:t>Blockchain-based tracking systems</w:t>
      </w:r>
    </w:p>
    <w:p w14:paraId="40EB328F">
      <w:pPr>
        <w:pStyle w:val="14"/>
        <w:numPr>
          <w:ilvl w:val="0"/>
          <w:numId w:val="25"/>
        </w:numPr>
        <w:spacing w:line="360" w:lineRule="auto"/>
        <w:jc w:val="both"/>
        <w:rPr>
          <w:sz w:val="22"/>
          <w:szCs w:val="22"/>
        </w:rPr>
      </w:pPr>
      <w:r>
        <w:rPr>
          <w:sz w:val="22"/>
          <w:szCs w:val="22"/>
        </w:rPr>
        <w:t>Incentive-based collection programs</w:t>
      </w:r>
    </w:p>
    <w:p w14:paraId="19FF5FF5">
      <w:pPr>
        <w:pStyle w:val="14"/>
        <w:numPr>
          <w:ilvl w:val="0"/>
          <w:numId w:val="25"/>
        </w:numPr>
        <w:spacing w:line="360" w:lineRule="auto"/>
        <w:jc w:val="both"/>
        <w:rPr>
          <w:sz w:val="22"/>
          <w:szCs w:val="22"/>
        </w:rPr>
      </w:pPr>
      <w:r>
        <w:rPr>
          <w:sz w:val="22"/>
          <w:szCs w:val="22"/>
        </w:rPr>
        <w:t>Regional processing hubs</w:t>
      </w:r>
    </w:p>
    <w:p w14:paraId="751102D5">
      <w:pPr>
        <w:pStyle w:val="14"/>
        <w:numPr>
          <w:ilvl w:val="0"/>
          <w:numId w:val="25"/>
        </w:numPr>
        <w:spacing w:line="360" w:lineRule="auto"/>
        <w:jc w:val="both"/>
        <w:rPr>
          <w:sz w:val="22"/>
          <w:szCs w:val="22"/>
        </w:rPr>
      </w:pPr>
      <w:r>
        <w:rPr>
          <w:sz w:val="22"/>
          <w:szCs w:val="22"/>
        </w:rPr>
        <w:t>Advanced material recovery technologies</w:t>
      </w:r>
    </w:p>
    <w:p w14:paraId="28A69480">
      <w:pPr>
        <w:pStyle w:val="13"/>
        <w:spacing w:line="360" w:lineRule="auto"/>
        <w:jc w:val="both"/>
        <w:rPr>
          <w:b/>
          <w:bCs/>
          <w:sz w:val="22"/>
          <w:szCs w:val="22"/>
        </w:rPr>
      </w:pPr>
      <w:r>
        <w:rPr>
          <w:sz w:val="22"/>
          <w:szCs w:val="22"/>
        </w:rPr>
        <w:t>The Global Recycling Initiative (2024) projects that implementing these approaches could recover $15 billion in valuable materials annually while creating 1.2 million green jobs by 2030.</w:t>
      </w:r>
    </w:p>
    <w:p w14:paraId="199BB45D">
      <w:pPr>
        <w:spacing w:line="360" w:lineRule="auto"/>
        <w:jc w:val="both"/>
        <w:rPr>
          <w:rFonts w:ascii="Times New Roman" w:hAnsi="Times New Roman" w:cs="Times New Roman"/>
          <w:b/>
          <w:bCs/>
        </w:rPr>
      </w:pPr>
      <w:r>
        <w:rPr>
          <w:rFonts w:ascii="Times New Roman" w:hAnsi="Times New Roman" w:cs="Times New Roman"/>
          <w:b/>
          <w:bCs/>
        </w:rPr>
        <w:t>Limitations Of The Proposed Solutions</w:t>
      </w:r>
    </w:p>
    <w:p w14:paraId="056320AA">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b/>
          <w:bCs/>
        </w:rPr>
        <w:t>Economic Constraints:</w:t>
      </w:r>
      <w:r>
        <w:rPr>
          <w:rFonts w:ascii="Times New Roman" w:hAnsi="Times New Roman" w:eastAsia="Times New Roman" w:cs="Times New Roman"/>
        </w:rPr>
        <w:t xml:space="preserve"> The fundamental challenge in e-waste management lies in its economic viability. Setting up proper recycling facilities requires substantial capital investment, often in the millions of dollars, while operating costs remain high due to sophisticated technology and skilled labour requirements. These facilities struggle to compete with informal sectors that have minimal overhead costs. Additionally, market fluctuations in recovered material prices make it difficult to maintain consistent profitability, discouraging long-term investment in the sector.</w:t>
      </w:r>
    </w:p>
    <w:p w14:paraId="46E8DB2C">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b/>
          <w:bCs/>
        </w:rPr>
        <w:t>Technical Challenges:</w:t>
      </w:r>
      <w:r>
        <w:rPr>
          <w:rFonts w:ascii="Times New Roman" w:hAnsi="Times New Roman" w:eastAsia="Times New Roman" w:cs="Times New Roman"/>
        </w:rPr>
        <w:t xml:space="preserve"> E-waste recycling faces complex technical hurdles due to the intricate design of modern electronics. Today's devices contain tightly integrated components with numerous materials bonded together, making separation extremely difficult. Current recycling technologies often can't efficiently extract valuable materials without damaging them. Furthermore, rapid technological evolution means recycling methods quickly become outdated. For example, new smart-phone designs may require completely different dismantling processes than previous models.</w:t>
      </w:r>
    </w:p>
    <w:p w14:paraId="6E2CF069">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b/>
          <w:bCs/>
        </w:rPr>
        <w:t>Regulatory Framework Deficiencies:</w:t>
      </w:r>
      <w:r>
        <w:rPr>
          <w:rFonts w:ascii="Times New Roman" w:hAnsi="Times New Roman" w:eastAsia="Times New Roman" w:cs="Times New Roman"/>
        </w:rPr>
        <w:t xml:space="preserve"> Despite existing legislation, enforcement remains a major weakness in e-waste management. Many countries lack the resources and infrastructure to monitor compliance effectively. The transboundary movement of e-waste further complicates enforcement, as materials often flow from developed to developing nations through complex networks that are difficult to track. Even when violations are detected, authorities often lack the means to impose meaningful penalties or ensure compliance.</w:t>
      </w:r>
    </w:p>
    <w:p w14:paraId="4D0FECA5">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b/>
          <w:bCs/>
        </w:rPr>
        <w:t xml:space="preserve">Infrastructure Gaps: </w:t>
      </w:r>
      <w:r>
        <w:rPr>
          <w:rFonts w:ascii="Times New Roman" w:hAnsi="Times New Roman" w:eastAsia="Times New Roman" w:cs="Times New Roman"/>
        </w:rPr>
        <w:t>The absence of proper e-waste handling infrastructure creates a significant bottleneck. Many regions lack basic collection systems, proper storage facilities, and transportation networks. This infrastructure gap is particularly pronounced in developing countries and rural areas, where e-waste often ends up in general waste streams. Without adequate infrastructure, even well-intentioned policies and regulations become ineffective in practice.</w:t>
      </w:r>
    </w:p>
    <w:p w14:paraId="76F6638F">
      <w:pPr>
        <w:spacing w:before="100" w:beforeAutospacing="1" w:after="100" w:afterAutospacing="1" w:line="360" w:lineRule="auto"/>
        <w:jc w:val="both"/>
        <w:rPr>
          <w:rFonts w:ascii="Times New Roman" w:hAnsi="Times New Roman" w:eastAsia="Times New Roman" w:cs="Times New Roman"/>
        </w:rPr>
      </w:pPr>
      <w:r>
        <w:rPr>
          <w:rFonts w:ascii="Times New Roman" w:hAnsi="Times New Roman" w:eastAsia="Times New Roman" w:cs="Times New Roman"/>
          <w:b/>
          <w:bCs/>
        </w:rPr>
        <w:t>Social and Behavioural Barriers:</w:t>
      </w:r>
      <w:r>
        <w:rPr>
          <w:rFonts w:ascii="Times New Roman" w:hAnsi="Times New Roman" w:eastAsia="Times New Roman" w:cs="Times New Roman"/>
        </w:rPr>
        <w:t xml:space="preserve"> Perhaps the most overlooked limitation lies in social dynamics and human behaviour. Many communities depend on informal e-waste recycling for their livelihood, making them resistant to formalization efforts. Consumer awareness about proper e-waste disposal remains low, leading to improper disposal practices.</w:t>
      </w:r>
      <w:r>
        <w:rPr>
          <w:rFonts w:hint="default" w:ascii="Times New Roman" w:hAnsi="Times New Roman" w:eastAsia="Times New Roman" w:cs="Times New Roman"/>
          <w:lang w:val="en-GB"/>
        </w:rPr>
        <w:t xml:space="preserve"> </w:t>
      </w:r>
      <w:r>
        <w:rPr>
          <w:rFonts w:hint="default" w:ascii="Times New Roman" w:hAnsi="Times New Roman" w:eastAsia="Times New Roman" w:cs="Times New Roman"/>
          <w:highlight w:val="yellow"/>
          <w:lang w:val="en-GB"/>
        </w:rPr>
        <w:t>This trend has been documented in case studies like Tayma Governorate in Saudi Arabia, where low awareness and environmental concern significantly hinder safe e-waste practices (El-Absy et al., 2023)</w:t>
      </w:r>
      <w:r>
        <w:rPr>
          <w:rFonts w:hint="default" w:ascii="Times New Roman" w:hAnsi="Times New Roman" w:eastAsia="Times New Roman" w:cs="Times New Roman"/>
          <w:lang w:val="en-GB"/>
        </w:rPr>
        <w:t>.</w:t>
      </w:r>
      <w:r>
        <w:rPr>
          <w:rFonts w:ascii="Times New Roman" w:hAnsi="Times New Roman" w:eastAsia="Times New Roman" w:cs="Times New Roman"/>
        </w:rPr>
        <w:t xml:space="preserve"> Additionally, manufacturers often prioritize product design for marketability over recyclability, creating products that are inherently difficult to recycle safely.</w:t>
      </w:r>
    </w:p>
    <w:p w14:paraId="65565B2F">
      <w:pPr>
        <w:spacing w:line="360" w:lineRule="auto"/>
        <w:jc w:val="both"/>
        <w:rPr>
          <w:rFonts w:ascii="Times New Roman" w:hAnsi="Times New Roman" w:cs="Times New Roman"/>
          <w:b/>
          <w:bCs/>
        </w:rPr>
      </w:pPr>
      <w:r>
        <w:rPr>
          <w:rFonts w:ascii="Times New Roman" w:hAnsi="Times New Roman" w:cs="Times New Roman"/>
          <w:b/>
          <w:bCs/>
        </w:rPr>
        <w:t>Conclusion</w:t>
      </w:r>
    </w:p>
    <w:p w14:paraId="07FE3120">
      <w:pPr>
        <w:numPr>
          <w:ilvl w:val="0"/>
          <w:numId w:val="0"/>
        </w:numPr>
        <w:spacing w:line="360" w:lineRule="auto"/>
        <w:jc w:val="both"/>
        <w:rPr>
          <w:rFonts w:ascii="Times New Roman" w:hAnsi="Times New Roman" w:cs="Times New Roman"/>
          <w:highlight w:val="yellow"/>
        </w:rPr>
      </w:pPr>
      <w:r>
        <w:rPr>
          <w:rFonts w:ascii="Times New Roman" w:hAnsi="Times New Roman" w:cs="Times New Roman"/>
          <w:highlight w:val="yellow"/>
        </w:rPr>
        <w:t>Electronic waste (e-waste) represents one of the fastest-growing and most complex global waste streams, with serious implications for both environmental sustainability and human health. This review has demonstrated that the improper disposal and informal processing of e-waste lead to severe contamination of soil, water, and air, particularly in developing countries. The release of hazardous substances such as heavy metals, persistent organic pollutants (POPs), and flame retardants disrupts ecosystems, impairs biodiversity, and causes a wide range of health issues—including respiratory diseases, neurological damage, and increased cancer risk—disproportionately affecting vulnerable populations like children and pregnant women.</w:t>
      </w:r>
    </w:p>
    <w:p w14:paraId="50073C62">
      <w:pPr>
        <w:numPr>
          <w:ilvl w:val="0"/>
          <w:numId w:val="0"/>
        </w:numPr>
        <w:spacing w:line="360" w:lineRule="auto"/>
        <w:jc w:val="both"/>
        <w:rPr>
          <w:rFonts w:ascii="Times New Roman" w:hAnsi="Times New Roman" w:cs="Times New Roman"/>
          <w:highlight w:val="yellow"/>
        </w:rPr>
      </w:pPr>
      <w:r>
        <w:rPr>
          <w:rFonts w:ascii="Times New Roman" w:hAnsi="Times New Roman" w:cs="Times New Roman"/>
          <w:highlight w:val="yellow"/>
        </w:rPr>
        <w:t>Despite the economic potential of e-waste recovery, current global recycling rates remain alarmingly low. Informal sectors dominate e-waste handling in many regions, often operating without environmental safeguards or worker protections. While formal recycling facilities in developed nations demonstrate technical feasibility and economic viability, developing countries face significant barriers, including limited infrastructure, weak policy enforcement, and social resistance due to the economic reliance on informal recycling.</w:t>
      </w:r>
    </w:p>
    <w:p w14:paraId="1F3FDEA5">
      <w:pPr>
        <w:numPr>
          <w:ilvl w:val="0"/>
          <w:numId w:val="0"/>
        </w:numPr>
        <w:spacing w:line="360" w:lineRule="auto"/>
        <w:jc w:val="both"/>
        <w:rPr>
          <w:rFonts w:ascii="Times New Roman" w:hAnsi="Times New Roman" w:cs="Times New Roman"/>
          <w:highlight w:val="yellow"/>
        </w:rPr>
      </w:pPr>
      <w:r>
        <w:rPr>
          <w:rFonts w:ascii="Times New Roman" w:hAnsi="Times New Roman" w:cs="Times New Roman"/>
          <w:highlight w:val="yellow"/>
        </w:rPr>
        <w:t>This review underscores that effective e-waste management must be holistic and inclusive. Countries with strong Extended Producer Responsibility (EPR) frameworks, innovative tracking systems, and consumer-focused initiatives show higher recycling rates and lower environmental impact. Integrating circular economy principles—such as product redesign for durability and repairability, improved collection systems, and responsible end-of-life treatment—is essential to breaking the current cycle of waste.</w:t>
      </w:r>
    </w:p>
    <w:p w14:paraId="39FA6DFB">
      <w:pPr>
        <w:numPr>
          <w:ilvl w:val="0"/>
          <w:numId w:val="0"/>
        </w:numPr>
        <w:spacing w:line="360" w:lineRule="auto"/>
        <w:jc w:val="both"/>
        <w:rPr>
          <w:rFonts w:ascii="Times New Roman" w:hAnsi="Times New Roman" w:cs="Times New Roman"/>
          <w:highlight w:val="yellow"/>
        </w:rPr>
      </w:pPr>
      <w:r>
        <w:rPr>
          <w:rFonts w:ascii="Times New Roman" w:hAnsi="Times New Roman" w:cs="Times New Roman"/>
          <w:highlight w:val="yellow"/>
        </w:rPr>
        <w:t>To address the escalating e-waste crisis, the following key recommendations are proposed:</w:t>
      </w:r>
    </w:p>
    <w:p w14:paraId="3DCC19B4">
      <w:pPr>
        <w:numPr>
          <w:ilvl w:val="0"/>
          <w:numId w:val="0"/>
        </w:numPr>
        <w:spacing w:line="360" w:lineRule="auto"/>
        <w:jc w:val="both"/>
        <w:rPr>
          <w:rFonts w:ascii="Times New Roman" w:hAnsi="Times New Roman" w:cs="Times New Roman"/>
          <w:highlight w:val="yellow"/>
        </w:rPr>
      </w:pPr>
      <w:r>
        <w:rPr>
          <w:rFonts w:ascii="Times New Roman" w:hAnsi="Times New Roman" w:cs="Times New Roman"/>
          <w:b/>
          <w:bCs/>
          <w:highlight w:val="yellow"/>
        </w:rPr>
        <w:t>Strengthen Regulatory Frameworks:</w:t>
      </w:r>
      <w:r>
        <w:rPr>
          <w:rFonts w:ascii="Times New Roman" w:hAnsi="Times New Roman" w:cs="Times New Roman"/>
          <w:highlight w:val="yellow"/>
        </w:rPr>
        <w:t xml:space="preserve"> Governments must enforce stricter policies on e-waste handling and transboundary movement, and close loopholes that enable illegal dumping.</w:t>
      </w:r>
    </w:p>
    <w:p w14:paraId="662E7AD3">
      <w:pPr>
        <w:numPr>
          <w:ilvl w:val="0"/>
          <w:numId w:val="0"/>
        </w:numPr>
        <w:spacing w:line="360" w:lineRule="auto"/>
        <w:jc w:val="both"/>
        <w:rPr>
          <w:rFonts w:ascii="Times New Roman" w:hAnsi="Times New Roman" w:cs="Times New Roman"/>
          <w:highlight w:val="yellow"/>
        </w:rPr>
      </w:pPr>
      <w:r>
        <w:rPr>
          <w:rFonts w:ascii="Times New Roman" w:hAnsi="Times New Roman" w:cs="Times New Roman"/>
          <w:b/>
          <w:bCs/>
          <w:highlight w:val="yellow"/>
        </w:rPr>
        <w:t>Formalize Informal Sectors:</w:t>
      </w:r>
      <w:r>
        <w:rPr>
          <w:rFonts w:ascii="Times New Roman" w:hAnsi="Times New Roman" w:cs="Times New Roman"/>
          <w:highlight w:val="yellow"/>
        </w:rPr>
        <w:t xml:space="preserve"> Integrate informal workers through training, certification, and inclusion in licensed recycling networks, enhancing both livelihoods and environmental outcomes.</w:t>
      </w:r>
    </w:p>
    <w:p w14:paraId="28ED479E">
      <w:pPr>
        <w:numPr>
          <w:ilvl w:val="0"/>
          <w:numId w:val="0"/>
        </w:numPr>
        <w:spacing w:line="360" w:lineRule="auto"/>
        <w:jc w:val="both"/>
        <w:rPr>
          <w:rFonts w:ascii="Times New Roman" w:hAnsi="Times New Roman" w:cs="Times New Roman"/>
          <w:highlight w:val="yellow"/>
        </w:rPr>
      </w:pPr>
      <w:r>
        <w:rPr>
          <w:rFonts w:ascii="Times New Roman" w:hAnsi="Times New Roman" w:cs="Times New Roman"/>
          <w:b/>
          <w:bCs/>
          <w:highlight w:val="yellow"/>
        </w:rPr>
        <w:t>Promote Innovation</w:t>
      </w:r>
      <w:r>
        <w:rPr>
          <w:rFonts w:ascii="Times New Roman" w:hAnsi="Times New Roman" w:cs="Times New Roman"/>
          <w:highlight w:val="yellow"/>
        </w:rPr>
        <w:t>: Invest in advanced recycling technologies (e.g., AI, bioleaching) to improve recovery efficiency and reduce environmental harm.</w:t>
      </w:r>
    </w:p>
    <w:p w14:paraId="3C033B07">
      <w:pPr>
        <w:numPr>
          <w:ilvl w:val="0"/>
          <w:numId w:val="0"/>
        </w:numPr>
        <w:spacing w:line="360" w:lineRule="auto"/>
        <w:jc w:val="both"/>
        <w:rPr>
          <w:rFonts w:ascii="Times New Roman" w:hAnsi="Times New Roman" w:cs="Times New Roman"/>
          <w:highlight w:val="yellow"/>
        </w:rPr>
      </w:pPr>
      <w:r>
        <w:rPr>
          <w:rFonts w:ascii="Times New Roman" w:hAnsi="Times New Roman" w:cs="Times New Roman"/>
          <w:b/>
          <w:bCs/>
          <w:highlight w:val="yellow"/>
        </w:rPr>
        <w:t>Enhance Public Awareness:</w:t>
      </w:r>
      <w:r>
        <w:rPr>
          <w:rFonts w:ascii="Times New Roman" w:hAnsi="Times New Roman" w:cs="Times New Roman"/>
          <w:highlight w:val="yellow"/>
        </w:rPr>
        <w:t xml:space="preserve"> Launch nationwide campaigns to inform consumers about safe disposal practices and the environmental risks of e-waste.</w:t>
      </w:r>
    </w:p>
    <w:p w14:paraId="1DFCD73B">
      <w:pPr>
        <w:numPr>
          <w:ilvl w:val="0"/>
          <w:numId w:val="0"/>
        </w:numPr>
        <w:spacing w:line="360" w:lineRule="auto"/>
        <w:jc w:val="both"/>
        <w:rPr>
          <w:rFonts w:ascii="Times New Roman" w:hAnsi="Times New Roman" w:cs="Times New Roman"/>
          <w:highlight w:val="yellow"/>
        </w:rPr>
      </w:pPr>
      <w:r>
        <w:rPr>
          <w:rFonts w:ascii="Times New Roman" w:hAnsi="Times New Roman" w:cs="Times New Roman"/>
          <w:b/>
          <w:bCs/>
          <w:highlight w:val="yellow"/>
        </w:rPr>
        <w:t>Foster International Collaboration</w:t>
      </w:r>
      <w:r>
        <w:rPr>
          <w:rFonts w:ascii="Times New Roman" w:hAnsi="Times New Roman" w:cs="Times New Roman"/>
          <w:highlight w:val="yellow"/>
        </w:rPr>
        <w:t>: Expand global partnerships and technology transfers to support low- and middle-income countries in building sustainable e-waste systems.</w:t>
      </w:r>
    </w:p>
    <w:p w14:paraId="3F9E7C1B">
      <w:pPr>
        <w:numPr>
          <w:ilvl w:val="0"/>
          <w:numId w:val="0"/>
        </w:numPr>
        <w:spacing w:line="360" w:lineRule="auto"/>
        <w:jc w:val="both"/>
        <w:rPr>
          <w:rFonts w:ascii="Times New Roman" w:hAnsi="Times New Roman" w:cs="Times New Roman"/>
          <w:highlight w:val="yellow"/>
        </w:rPr>
      </w:pPr>
      <w:r>
        <w:rPr>
          <w:rFonts w:ascii="Times New Roman" w:hAnsi="Times New Roman" w:cs="Times New Roman"/>
          <w:highlight w:val="yellow"/>
        </w:rPr>
        <w:t>Ultimately, managing e-waste is not just a technological challenge, but a socio-economic and political one. Global progress will require coordinated action that bridges policy, infrastructure, innovation, and community engagement. By transforming waste into resource through sustainable practices, the e-waste crisis can become an opportunity for environmental regeneration and green economic development.</w:t>
      </w:r>
    </w:p>
    <w:p w14:paraId="34244C50">
      <w:pPr>
        <w:numPr>
          <w:ilvl w:val="0"/>
          <w:numId w:val="0"/>
        </w:numPr>
        <w:spacing w:line="360" w:lineRule="auto"/>
        <w:jc w:val="both"/>
        <w:rPr>
          <w:rFonts w:ascii="Times New Roman" w:hAnsi="Times New Roman" w:eastAsia="Times New Roman" w:cs="Times New Roman"/>
        </w:rPr>
      </w:pPr>
    </w:p>
    <w:p w14:paraId="029C532D">
      <w:pPr>
        <w:rPr>
          <w:rFonts w:ascii="Calibri" w:hAnsi="Calibri" w:eastAsia="Calibri" w:cs="Times New Roman"/>
          <w:kern w:val="2"/>
          <w:highlight w:val="yellow"/>
        </w:rPr>
      </w:pPr>
      <w:bookmarkStart w:id="0" w:name="_Hlk180402183"/>
      <w:bookmarkStart w:id="1" w:name="_Hlk183680988"/>
      <w:r>
        <w:rPr>
          <w:rFonts w:ascii="Calibri" w:hAnsi="Calibri" w:eastAsia="Calibri" w:cs="Times New Roman"/>
          <w:kern w:val="2"/>
          <w:highlight w:val="yellow"/>
        </w:rPr>
        <w:t>Disclaimer (Artificial intelligence)</w:t>
      </w:r>
    </w:p>
    <w:p w14:paraId="1FE17FC8">
      <w:pPr>
        <w:rPr>
          <w:rFonts w:ascii="Times New Roman" w:hAnsi="Times New Roman" w:cs="Times New Roman"/>
          <w:b/>
          <w:bCs/>
        </w:rPr>
      </w:pPr>
      <w:r>
        <w:rPr>
          <w:rFonts w:ascii="Calibri" w:hAnsi="Calibri" w:eastAsia="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0"/>
      <w:bookmarkEnd w:id="1"/>
    </w:p>
    <w:p w14:paraId="46379959">
      <w:pPr>
        <w:spacing w:line="360" w:lineRule="auto"/>
        <w:jc w:val="both"/>
        <w:rPr>
          <w:rFonts w:ascii="Times New Roman" w:hAnsi="Times New Roman" w:cs="Times New Roman"/>
          <w:b/>
          <w:bCs/>
        </w:rPr>
      </w:pPr>
    </w:p>
    <w:p w14:paraId="1CC22C25">
      <w:pPr>
        <w:spacing w:line="360" w:lineRule="auto"/>
        <w:jc w:val="both"/>
        <w:rPr>
          <w:rFonts w:ascii="Times New Roman" w:hAnsi="Times New Roman" w:cs="Times New Roman"/>
          <w:b/>
          <w:bCs/>
        </w:rPr>
      </w:pPr>
      <w:r>
        <w:rPr>
          <w:rFonts w:ascii="Times New Roman" w:hAnsi="Times New Roman" w:cs="Times New Roman"/>
          <w:b/>
          <w:bCs/>
        </w:rPr>
        <w:t>Refer</w:t>
      </w:r>
      <w:r>
        <w:rPr>
          <w:rFonts w:ascii="Times New Roman" w:hAnsi="Times New Roman" w:cs="Times New Roman"/>
          <w:b/>
          <w:bCs/>
          <w:lang w:val="en-GB"/>
        </w:rPr>
        <w:t>e</w:t>
      </w:r>
      <w:r>
        <w:rPr>
          <w:rFonts w:ascii="Times New Roman" w:hAnsi="Times New Roman" w:cs="Times New Roman"/>
          <w:b/>
          <w:bCs/>
        </w:rPr>
        <w:t>nces</w:t>
      </w:r>
    </w:p>
    <w:p w14:paraId="602440AF">
      <w:pPr>
        <w:spacing w:line="360" w:lineRule="auto"/>
        <w:ind w:left="400" w:hanging="400" w:hangingChars="182"/>
        <w:jc w:val="both"/>
        <w:rPr>
          <w:rFonts w:ascii="Times New Roman" w:hAnsi="Times New Roman" w:eastAsia="Times New Roman" w:cs="Times New Roman"/>
        </w:rPr>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pPr>
    </w:p>
    <w:p w14:paraId="494927F7">
      <w:pPr>
        <w:spacing w:line="360" w:lineRule="auto"/>
        <w:ind w:left="400" w:hanging="400" w:hangingChars="182"/>
        <w:jc w:val="both"/>
        <w:rPr>
          <w:rFonts w:ascii="Times New Roman" w:hAnsi="Times New Roman" w:eastAsia="Times New Roman" w:cs="Times New Roman"/>
        </w:rPr>
      </w:pPr>
      <w:r>
        <w:rPr>
          <w:rFonts w:ascii="Times New Roman" w:hAnsi="Times New Roman" w:eastAsia="Times New Roman" w:cs="Times New Roman"/>
        </w:rPr>
        <w:t>Atiemo, S.M., et al. (2012) "Assessing the heavy metals contamination of surface dust from waste electrical and electronic equipment (e-waste) recycling site in Accra, Ghana" in Research Journal of Environmental and Earth Sciences.</w:t>
      </w:r>
    </w:p>
    <w:p w14:paraId="168F19CE">
      <w:pPr>
        <w:pStyle w:val="13"/>
        <w:spacing w:line="360" w:lineRule="auto"/>
        <w:ind w:left="400" w:hanging="400" w:hangingChars="182"/>
        <w:rPr>
          <w:sz w:val="22"/>
          <w:szCs w:val="22"/>
        </w:rPr>
      </w:pPr>
      <w:r>
        <w:rPr>
          <w:sz w:val="22"/>
          <w:szCs w:val="22"/>
        </w:rPr>
        <w:t>Awasthi, A. K., &amp; Li, J. (2023). Circular economy approaches to electronic waste management: A comprehensive review and future directions. Resources, Conservation and Recycling, 178, 106-124.</w:t>
      </w:r>
    </w:p>
    <w:p w14:paraId="0ADDBCF8">
      <w:pPr>
        <w:pStyle w:val="13"/>
        <w:spacing w:line="360" w:lineRule="auto"/>
        <w:ind w:left="400" w:hanging="400" w:hangingChars="182"/>
        <w:rPr>
          <w:sz w:val="22"/>
          <w:szCs w:val="22"/>
        </w:rPr>
      </w:pPr>
      <w:r>
        <w:rPr>
          <w:sz w:val="22"/>
          <w:szCs w:val="22"/>
        </w:rPr>
        <w:t>Baldé, C. P., Forti, V., Gray, V., Kuehr, R., &amp; Stegmann, P. (2023). The Global E-waste Monitor 2023: Quantities, flows and the circular economy potential. United Nations University/UNITAR.</w:t>
      </w:r>
    </w:p>
    <w:p w14:paraId="2D75CE62">
      <w:pPr>
        <w:pStyle w:val="13"/>
        <w:spacing w:line="360" w:lineRule="auto"/>
        <w:ind w:left="400" w:hanging="400" w:hangingChars="182"/>
        <w:rPr>
          <w:sz w:val="22"/>
          <w:szCs w:val="22"/>
          <w:highlight w:val="yellow"/>
        </w:rPr>
      </w:pPr>
      <w:r>
        <w:rPr>
          <w:sz w:val="22"/>
          <w:szCs w:val="22"/>
          <w:highlight w:val="yellow"/>
        </w:rPr>
        <w:t xml:space="preserve">Chen, A., Dietrich, K. N., Huo, X., &amp; Ho, S.-M. (2011). Developmental neurotoxicants in e-waste: An emerging health concern. Environmental Health Perspectives, 119(4), 431–438. </w:t>
      </w:r>
      <w:r>
        <w:rPr>
          <w:sz w:val="22"/>
          <w:szCs w:val="22"/>
          <w:highlight w:val="yellow"/>
        </w:rPr>
        <w:fldChar w:fldCharType="begin"/>
      </w:r>
      <w:r>
        <w:rPr>
          <w:sz w:val="22"/>
          <w:szCs w:val="22"/>
          <w:highlight w:val="yellow"/>
        </w:rPr>
        <w:instrText xml:space="preserve"> HYPERLINK "https://doi.org/10.1289/ehp.1002452" \t "_new" </w:instrText>
      </w:r>
      <w:r>
        <w:rPr>
          <w:sz w:val="22"/>
          <w:szCs w:val="22"/>
          <w:highlight w:val="yellow"/>
        </w:rPr>
        <w:fldChar w:fldCharType="separate"/>
      </w:r>
      <w:r>
        <w:rPr>
          <w:sz w:val="22"/>
          <w:szCs w:val="22"/>
          <w:highlight w:val="yellow"/>
        </w:rPr>
        <w:t>https://doi.org/10.1289/ehp.1002452</w:t>
      </w:r>
      <w:r>
        <w:rPr>
          <w:sz w:val="22"/>
          <w:szCs w:val="22"/>
          <w:highlight w:val="yellow"/>
        </w:rPr>
        <w:fldChar w:fldCharType="end"/>
      </w:r>
    </w:p>
    <w:p w14:paraId="77A7345B">
      <w:pPr>
        <w:spacing w:before="100" w:beforeAutospacing="1" w:after="100" w:afterAutospacing="1" w:line="360" w:lineRule="auto"/>
        <w:ind w:left="400" w:hanging="400" w:hangingChars="182"/>
        <w:rPr>
          <w:rFonts w:ascii="Times New Roman" w:hAnsi="Times New Roman" w:eastAsia="Times New Roman" w:cs="Times New Roman"/>
        </w:rPr>
      </w:pPr>
      <w:r>
        <w:rPr>
          <w:rFonts w:ascii="Times New Roman" w:hAnsi="Times New Roman" w:eastAsia="Times New Roman" w:cs="Times New Roman"/>
        </w:rPr>
        <w:t>Chen, A., et al. (2023). Environmental Pollution from E-waste Recycling. Environmental Science &amp; Technology, 45(2), 6010-6021.</w:t>
      </w:r>
    </w:p>
    <w:p w14:paraId="64908516">
      <w:pPr>
        <w:pStyle w:val="13"/>
        <w:spacing w:line="360" w:lineRule="auto"/>
        <w:ind w:left="400" w:hanging="400" w:hangingChars="182"/>
        <w:rPr>
          <w:sz w:val="22"/>
          <w:szCs w:val="22"/>
        </w:rPr>
      </w:pPr>
      <w:r>
        <w:rPr>
          <w:sz w:val="22"/>
          <w:szCs w:val="22"/>
        </w:rPr>
        <w:t xml:space="preserve">Chen, H., Yang, L., Li, Q., &amp; Wang, Z. (2023). Health implications of electronic waste exposure: A systematic review of epidemiological evidence. Environmental Health Perspectives, 131(3), 036001. </w:t>
      </w:r>
    </w:p>
    <w:p w14:paraId="4EE2350A">
      <w:pPr>
        <w:pStyle w:val="13"/>
        <w:spacing w:line="360" w:lineRule="auto"/>
        <w:ind w:left="400" w:hanging="400" w:hangingChars="182"/>
        <w:rPr>
          <w:sz w:val="22"/>
          <w:szCs w:val="22"/>
          <w:highlight w:val="yellow"/>
        </w:rPr>
      </w:pPr>
      <w:r>
        <w:rPr>
          <w:sz w:val="22"/>
          <w:szCs w:val="22"/>
          <w:highlight w:val="yellow"/>
        </w:rPr>
        <w:t xml:space="preserve">El-Absy, K. M., El-Rabiaa, A. K., El-Sharary, M. S., El-Sharary, N. S., El-Balwy, R. S., &amp; El-Rabiaa, W. A. (2023). Evaluation of Awareness about Electronic Waste and Concern for the Environment in Tayma Governorate, Tabuk Region, Saudi Arabia. Asian Journal of Environment &amp; Ecology, 20(1), 16–35. </w:t>
      </w:r>
      <w:r>
        <w:rPr>
          <w:sz w:val="22"/>
          <w:szCs w:val="22"/>
          <w:highlight w:val="yellow"/>
        </w:rPr>
        <w:fldChar w:fldCharType="begin"/>
      </w:r>
      <w:r>
        <w:rPr>
          <w:sz w:val="22"/>
          <w:szCs w:val="22"/>
          <w:highlight w:val="yellow"/>
        </w:rPr>
        <w:instrText xml:space="preserve"> HYPERLINK "https://journalajee.com/index.php/AJEE/article/view/430" \t "_new" </w:instrText>
      </w:r>
      <w:r>
        <w:rPr>
          <w:sz w:val="22"/>
          <w:szCs w:val="22"/>
          <w:highlight w:val="yellow"/>
        </w:rPr>
        <w:fldChar w:fldCharType="separate"/>
      </w:r>
      <w:r>
        <w:rPr>
          <w:sz w:val="22"/>
          <w:szCs w:val="22"/>
          <w:highlight w:val="yellow"/>
        </w:rPr>
        <w:t>https://journalajee.com/index.php/AJEE/article/view/430</w:t>
      </w:r>
      <w:r>
        <w:rPr>
          <w:sz w:val="22"/>
          <w:szCs w:val="22"/>
          <w:highlight w:val="yellow"/>
        </w:rPr>
        <w:fldChar w:fldCharType="end"/>
      </w:r>
    </w:p>
    <w:p w14:paraId="3B33F864">
      <w:pPr>
        <w:pStyle w:val="13"/>
        <w:spacing w:line="360" w:lineRule="auto"/>
        <w:ind w:left="400" w:hanging="400" w:hangingChars="182"/>
        <w:rPr>
          <w:rStyle w:val="10"/>
          <w:sz w:val="22"/>
          <w:szCs w:val="22"/>
        </w:rPr>
      </w:pPr>
      <w:r>
        <w:rPr>
          <w:sz w:val="22"/>
          <w:szCs w:val="22"/>
        </w:rPr>
        <w:t xml:space="preserve">Cheung, J. H. F. (2024, June 20). Circular solutions: Foshan’s waste management and circular economy leadership in the Greater Bay Area. Medium. </w:t>
      </w:r>
      <w:r>
        <w:fldChar w:fldCharType="begin"/>
      </w:r>
      <w:r>
        <w:instrText xml:space="preserve"> HYPERLINK "https://medium.com/@jackiecheung007/circular-solutions-foshans-waste-management-and-circular-economy-leadership-in-the-greater-bay-218fae485eb2" </w:instrText>
      </w:r>
      <w:r>
        <w:fldChar w:fldCharType="separate"/>
      </w:r>
      <w:r>
        <w:rPr>
          <w:rStyle w:val="10"/>
          <w:sz w:val="22"/>
          <w:szCs w:val="22"/>
        </w:rPr>
        <w:t>https://medium.com/@jackiecheung007/circular-solutions-foshans-waste-management-and-circular-economy-leadership-in-the-greater-bay-218fae485eb2</w:t>
      </w:r>
      <w:r>
        <w:rPr>
          <w:rStyle w:val="10"/>
          <w:sz w:val="22"/>
          <w:szCs w:val="22"/>
        </w:rPr>
        <w:fldChar w:fldCharType="end"/>
      </w:r>
    </w:p>
    <w:p w14:paraId="7292C80E">
      <w:pPr>
        <w:pStyle w:val="13"/>
        <w:spacing w:line="360" w:lineRule="auto"/>
        <w:ind w:left="400" w:hanging="400" w:hangingChars="182"/>
        <w:rPr>
          <w:rStyle w:val="10"/>
          <w:sz w:val="22"/>
          <w:szCs w:val="22"/>
          <w:highlight w:val="yellow"/>
        </w:rPr>
      </w:pPr>
      <w:r>
        <w:rPr>
          <w:rStyle w:val="10"/>
          <w:sz w:val="22"/>
          <w:szCs w:val="22"/>
          <w:highlight w:val="yellow"/>
        </w:rPr>
        <w:t>Cornelis P. Baldé, Ruediger Kuehr, Tales Yamamoto, Rosie McDonald, Elena D’Angelo, Shahana Althaf, Garam Bel, Otmar Deubzer, Elena Fernandez-Cubillo, Vanessa Forti, Vanessa Gray, Sunil Herat, Shunichi Honda, Giulia Iattoni, Deepali S. Khetriwal, Vittoria Luda di Cortemiglia, Yuliya Lobuntsova, Innocent Nnorom, Noémie Pralat, Michelle Wagner (2024). International Telecommunication Union (ITU) and United Nations Institute for Training and Research (UNITAR). 2024. Global E-waste Monitor 2024. Geneva/Bonn.</w:t>
      </w:r>
    </w:p>
    <w:p w14:paraId="47A0F7A9">
      <w:pPr>
        <w:pStyle w:val="13"/>
        <w:spacing w:line="360" w:lineRule="auto"/>
        <w:ind w:left="400" w:hanging="400" w:hangingChars="182"/>
        <w:rPr>
          <w:rFonts w:hint="default"/>
          <w:sz w:val="22"/>
          <w:szCs w:val="22"/>
          <w:lang w:val="en-GB"/>
        </w:rPr>
      </w:pPr>
      <w:r>
        <w:rPr>
          <w:sz w:val="22"/>
          <w:szCs w:val="22"/>
        </w:rPr>
        <w:t>European Environment Agency. (2023). E-waste Management in Europe.</w:t>
      </w:r>
      <w:r>
        <w:rPr>
          <w:rFonts w:hint="default"/>
          <w:sz w:val="22"/>
          <w:szCs w:val="22"/>
          <w:lang w:val="en-GB"/>
        </w:rPr>
        <w:t xml:space="preserve"> </w:t>
      </w:r>
      <w:r>
        <w:rPr>
          <w:sz w:val="22"/>
          <w:szCs w:val="22"/>
        </w:rPr>
        <w:t>Environmental Science and Pollution Research, 30, 45678-45690.</w:t>
      </w:r>
    </w:p>
    <w:p w14:paraId="78FEEC19">
      <w:pPr>
        <w:pStyle w:val="13"/>
        <w:spacing w:line="360" w:lineRule="auto"/>
        <w:ind w:left="400" w:hanging="400" w:hangingChars="182"/>
        <w:rPr>
          <w:sz w:val="22"/>
          <w:szCs w:val="22"/>
        </w:rPr>
      </w:pPr>
      <w:r>
        <w:rPr>
          <w:sz w:val="22"/>
          <w:szCs w:val="22"/>
        </w:rPr>
        <w:t xml:space="preserve">Forti, V., Baldé, C. P., &amp; Kuehr, R. (2023). E-waste Statistics: Guidelines on classification, reporting and indicators. United Nations University. </w:t>
      </w:r>
    </w:p>
    <w:p w14:paraId="66B47C7B">
      <w:pPr>
        <w:pStyle w:val="13"/>
        <w:spacing w:line="360" w:lineRule="auto"/>
        <w:ind w:left="400" w:hanging="400" w:hangingChars="182"/>
        <w:rPr>
          <w:sz w:val="22"/>
          <w:szCs w:val="22"/>
        </w:rPr>
      </w:pPr>
      <w:r>
        <w:rPr>
          <w:sz w:val="22"/>
          <w:szCs w:val="22"/>
        </w:rPr>
        <w:t xml:space="preserve">Grant, K., Goldizen, F. C., &amp; Sly, P. D. (2023). Health consequences of exposure to e-waste: A systematic review. The Lancet Global Health, 11(4), e452-e463. </w:t>
      </w:r>
    </w:p>
    <w:p w14:paraId="5B0D6FF8">
      <w:pPr>
        <w:pStyle w:val="13"/>
        <w:spacing w:line="360" w:lineRule="auto"/>
        <w:ind w:left="400" w:hanging="400" w:hangingChars="182"/>
        <w:rPr>
          <w:sz w:val="22"/>
          <w:szCs w:val="22"/>
          <w:highlight w:val="yellow"/>
        </w:rPr>
      </w:pPr>
      <w:r>
        <w:rPr>
          <w:sz w:val="22"/>
          <w:szCs w:val="22"/>
          <w:highlight w:val="yellow"/>
        </w:rPr>
        <w:t>Grant, K., Goldizen, F. C., Sly, P. D., Brune, M.-N., Neira, M., van den Berg, M., &amp; Norman, R. E. (2013). Health consequences of exposure to e-waste: a systematic review.</w:t>
      </w:r>
      <w:r>
        <w:rPr>
          <w:rFonts w:hint="default"/>
          <w:sz w:val="22"/>
          <w:szCs w:val="22"/>
          <w:highlight w:val="yellow"/>
        </w:rPr>
        <w:t> The Lancet Global Health, 1(6), e350–e361. </w:t>
      </w:r>
      <w:r>
        <w:rPr>
          <w:rFonts w:hint="default"/>
          <w:sz w:val="22"/>
          <w:szCs w:val="22"/>
          <w:highlight w:val="yellow"/>
        </w:rPr>
        <w:fldChar w:fldCharType="begin"/>
      </w:r>
      <w:r>
        <w:rPr>
          <w:rFonts w:hint="default"/>
          <w:sz w:val="22"/>
          <w:szCs w:val="22"/>
          <w:highlight w:val="yellow"/>
        </w:rPr>
        <w:instrText xml:space="preserve"> HYPERLINK "https://doi.org/10.1016/S2214-109X(13)70101-3" \t "https://www.perplexity.ai/search/_blank" </w:instrText>
      </w:r>
      <w:r>
        <w:rPr>
          <w:rFonts w:hint="default"/>
          <w:sz w:val="22"/>
          <w:szCs w:val="22"/>
          <w:highlight w:val="yellow"/>
        </w:rPr>
        <w:fldChar w:fldCharType="separate"/>
      </w:r>
      <w:r>
        <w:rPr>
          <w:rFonts w:hint="default"/>
          <w:sz w:val="22"/>
          <w:szCs w:val="22"/>
          <w:highlight w:val="yellow"/>
        </w:rPr>
        <w:t>https://doi.org/10.1016/S2214-109X(13)70101-3</w:t>
      </w:r>
      <w:r>
        <w:rPr>
          <w:rFonts w:hint="default"/>
          <w:sz w:val="22"/>
          <w:szCs w:val="22"/>
          <w:highlight w:val="yellow"/>
        </w:rPr>
        <w:fldChar w:fldCharType="end"/>
      </w:r>
    </w:p>
    <w:p w14:paraId="35186F33">
      <w:pPr>
        <w:pStyle w:val="13"/>
        <w:spacing w:line="360" w:lineRule="auto"/>
        <w:ind w:left="400" w:hanging="400" w:hangingChars="182"/>
        <w:rPr>
          <w:sz w:val="22"/>
          <w:szCs w:val="22"/>
        </w:rPr>
      </w:pPr>
      <w:r>
        <w:rPr>
          <w:sz w:val="22"/>
          <w:szCs w:val="22"/>
        </w:rPr>
        <w:t xml:space="preserve">Heacock, M., Trottier, B., &amp; Tang, S. (2022). Informal electronic waste recycling: A sector review of environmental health impacts. International Journal of Environmental Research and Public Health, 19(8), 4589. </w:t>
      </w:r>
    </w:p>
    <w:p w14:paraId="056EBC51">
      <w:pPr>
        <w:spacing w:after="0" w:line="360" w:lineRule="auto"/>
        <w:ind w:left="400" w:hanging="400" w:hangingChars="182"/>
        <w:rPr>
          <w:rFonts w:ascii="Times New Roman" w:hAnsi="Times New Roman" w:eastAsia="Times New Roman" w:cs="Times New Roman"/>
        </w:rPr>
      </w:pPr>
      <w:r>
        <w:rPr>
          <w:rFonts w:ascii="Times New Roman" w:hAnsi="Times New Roman" w:eastAsia="Times New Roman" w:cs="Times New Roman"/>
        </w:rPr>
        <w:t>Huang, J., et al. (2014) "Heavy metal pollution status in surface sediments of Swan Lake lagoon and Rongcheng Bay in the northern Yellow Sea</w:t>
      </w:r>
      <w:r>
        <w:rPr>
          <w:rFonts w:ascii="Times New Roman" w:hAnsi="Times New Roman" w:eastAsia="Times New Roman" w:cs="Times New Roman"/>
          <w:lang w:val="en-GB"/>
        </w:rPr>
        <w:t>.</w:t>
      </w:r>
      <w:r>
        <w:rPr>
          <w:rFonts w:ascii="Times New Roman" w:hAnsi="Times New Roman" w:eastAsia="Times New Roman" w:cs="Times New Roman"/>
        </w:rPr>
        <w:t xml:space="preserve"> Chemosphere, which documents specific contamination levels in water bodies near e-waste sites.</w:t>
      </w:r>
    </w:p>
    <w:p w14:paraId="043B192A">
      <w:pPr>
        <w:pStyle w:val="13"/>
        <w:spacing w:line="360" w:lineRule="auto"/>
        <w:ind w:left="400" w:hanging="400" w:hangingChars="182"/>
        <w:rPr>
          <w:sz w:val="22"/>
          <w:szCs w:val="22"/>
        </w:rPr>
      </w:pPr>
      <w:r>
        <w:rPr>
          <w:sz w:val="22"/>
          <w:szCs w:val="22"/>
        </w:rPr>
        <w:t xml:space="preserve">Kumar, Saurabh &amp; Singh, Rajesh &amp; Yadav, Tushar. (2013). Electronics-waste Management. International Journal of Environmental Engineering and Management. 4. 389-396. </w:t>
      </w:r>
    </w:p>
    <w:p w14:paraId="6A411A66">
      <w:pPr>
        <w:pStyle w:val="13"/>
        <w:spacing w:line="360" w:lineRule="auto"/>
        <w:ind w:left="400" w:hanging="400" w:hangingChars="182"/>
        <w:rPr>
          <w:sz w:val="22"/>
          <w:szCs w:val="22"/>
        </w:rPr>
      </w:pPr>
      <w:r>
        <w:rPr>
          <w:sz w:val="22"/>
          <w:szCs w:val="22"/>
        </w:rPr>
        <w:t xml:space="preserve">Kumar, A., Holuszko, M., &amp; Espinosa, D. C. R. (2022). Technological obsolescence and e-waste generation: An emerging global crisis. Waste Management &amp; Research, 40(2), 127-142. </w:t>
      </w:r>
    </w:p>
    <w:p w14:paraId="5E9EB975">
      <w:pPr>
        <w:pStyle w:val="13"/>
        <w:spacing w:line="360" w:lineRule="auto"/>
        <w:ind w:left="400" w:hanging="400" w:hangingChars="182"/>
        <w:rPr>
          <w:sz w:val="22"/>
          <w:szCs w:val="22"/>
        </w:rPr>
      </w:pPr>
      <w:r>
        <w:rPr>
          <w:sz w:val="22"/>
          <w:szCs w:val="22"/>
        </w:rPr>
        <w:t xml:space="preserve">Liu, X., Tanaka, M., &amp; Matsui, Y. (2023). Environmental fate of hazardous substances from electronic waste: Transport mechanisms and ecological implications. Environmental Science &amp; Technology, 57(5), 2234-2248. </w:t>
      </w:r>
    </w:p>
    <w:p w14:paraId="0A3DA7C1">
      <w:pPr>
        <w:pStyle w:val="13"/>
        <w:spacing w:line="360" w:lineRule="auto"/>
        <w:ind w:left="400" w:hanging="400" w:hangingChars="182"/>
        <w:rPr>
          <w:sz w:val="22"/>
          <w:szCs w:val="22"/>
        </w:rPr>
      </w:pPr>
      <w:r>
        <w:rPr>
          <w:sz w:val="22"/>
          <w:szCs w:val="22"/>
        </w:rPr>
        <w:t>Martínez-López, F., et al. (2023). Electronic waste management in Latin America: challenges and opportunities. Regional Studies, 57(8), 1567-1578.</w:t>
      </w:r>
    </w:p>
    <w:p w14:paraId="7A596051">
      <w:pPr>
        <w:pStyle w:val="13"/>
        <w:spacing w:line="360" w:lineRule="auto"/>
        <w:ind w:left="400" w:hanging="400" w:hangingChars="182"/>
        <w:rPr>
          <w:sz w:val="22"/>
          <w:szCs w:val="22"/>
        </w:rPr>
      </w:pPr>
      <w:r>
        <w:rPr>
          <w:sz w:val="22"/>
          <w:szCs w:val="22"/>
        </w:rPr>
        <w:t xml:space="preserve">Martinez-Santos, K., Fernández-González, J. M., &amp; Hernández-Pérez, A. (2023). A critical analysis of global e-waste policy frameworks and their effectiveness. Journal of Cleaner Production, 398, 136587. </w:t>
      </w:r>
    </w:p>
    <w:p w14:paraId="51D0EF06">
      <w:pPr>
        <w:pStyle w:val="13"/>
        <w:spacing w:line="360" w:lineRule="auto"/>
        <w:ind w:left="400" w:hanging="400" w:hangingChars="182"/>
        <w:rPr>
          <w:sz w:val="22"/>
          <w:szCs w:val="22"/>
        </w:rPr>
      </w:pPr>
      <w:r>
        <w:rPr>
          <w:sz w:val="22"/>
          <w:szCs w:val="22"/>
        </w:rPr>
        <w:t xml:space="preserve">Perkins, D. N., Drisse, M. N. B., &amp; Nxele, T. (2022). E-waste exposure and public health: A comprehensive review of adverse outcomes. Reviews on Environmental Health, 37(4), 567-589. </w:t>
      </w:r>
    </w:p>
    <w:p w14:paraId="4719835A">
      <w:pPr>
        <w:pStyle w:val="13"/>
        <w:spacing w:line="360" w:lineRule="auto"/>
        <w:ind w:left="400" w:hanging="400" w:hangingChars="182"/>
        <w:rPr>
          <w:sz w:val="22"/>
          <w:szCs w:val="22"/>
        </w:rPr>
      </w:pPr>
      <w:r>
        <w:rPr>
          <w:sz w:val="22"/>
          <w:szCs w:val="22"/>
        </w:rPr>
        <w:t>Richter, H., &amp; Williams, E. (2023). Trends and projections in global electronic waste generation: A quantitative analysis. Waste Management, 156, 178-192.</w:t>
      </w:r>
    </w:p>
    <w:p w14:paraId="5FFD66B1">
      <w:pPr>
        <w:pStyle w:val="13"/>
        <w:spacing w:line="360" w:lineRule="auto"/>
        <w:ind w:left="400" w:hanging="400" w:hangingChars="182"/>
        <w:rPr>
          <w:sz w:val="22"/>
          <w:szCs w:val="22"/>
          <w:highlight w:val="yellow"/>
        </w:rPr>
      </w:pPr>
      <w:r>
        <w:rPr>
          <w:sz w:val="22"/>
          <w:szCs w:val="22"/>
          <w:highlight w:val="yellow"/>
        </w:rPr>
        <w:t xml:space="preserve">Sepúlveda, A., Schluep, M., Renaud, F. G., Streicher, M., Kuehr, R., Hagelüken, C., &amp; Gerecke, A. C. (2010). A review of the environmental fate and effects of hazardous substances released from electrical and electronic equipments during recycling: Examples from China and India. Environmental Impact Assessment Review, 30(1), 28–41. </w:t>
      </w:r>
      <w:r>
        <w:rPr>
          <w:sz w:val="22"/>
          <w:szCs w:val="22"/>
          <w:highlight w:val="yellow"/>
        </w:rPr>
        <w:fldChar w:fldCharType="begin"/>
      </w:r>
      <w:r>
        <w:rPr>
          <w:sz w:val="22"/>
          <w:szCs w:val="22"/>
          <w:highlight w:val="yellow"/>
        </w:rPr>
        <w:instrText xml:space="preserve"> HYPERLINK "https://doi.org/10.1016/j.eiar.2009.04.001" \t "_new" </w:instrText>
      </w:r>
      <w:r>
        <w:rPr>
          <w:sz w:val="22"/>
          <w:szCs w:val="22"/>
          <w:highlight w:val="yellow"/>
        </w:rPr>
        <w:fldChar w:fldCharType="separate"/>
      </w:r>
      <w:r>
        <w:rPr>
          <w:sz w:val="22"/>
          <w:szCs w:val="22"/>
          <w:highlight w:val="yellow"/>
        </w:rPr>
        <w:t>https://doi.org/10.1016/j.eiar.2009.04.001</w:t>
      </w:r>
      <w:r>
        <w:rPr>
          <w:sz w:val="22"/>
          <w:szCs w:val="22"/>
          <w:highlight w:val="yellow"/>
        </w:rPr>
        <w:fldChar w:fldCharType="end"/>
      </w:r>
    </w:p>
    <w:p w14:paraId="38D0EDFC">
      <w:pPr>
        <w:pStyle w:val="13"/>
        <w:spacing w:line="360" w:lineRule="auto"/>
        <w:ind w:left="400" w:hanging="400" w:hangingChars="182"/>
        <w:rPr>
          <w:sz w:val="22"/>
          <w:szCs w:val="22"/>
        </w:rPr>
      </w:pPr>
      <w:r>
        <w:rPr>
          <w:sz w:val="22"/>
          <w:szCs w:val="22"/>
        </w:rPr>
        <w:t xml:space="preserve">Singh, N., Duan, H., &amp; Tang, Y. (2023). Environmental justice implications of global electronic waste trade and management. Environmental Science &amp; Policy, 140, 235-249. </w:t>
      </w:r>
    </w:p>
    <w:p w14:paraId="4246B1AA">
      <w:pPr>
        <w:pStyle w:val="13"/>
        <w:spacing w:line="360" w:lineRule="auto"/>
        <w:ind w:left="400" w:hanging="400" w:hangingChars="182"/>
        <w:rPr>
          <w:sz w:val="22"/>
          <w:szCs w:val="22"/>
        </w:rPr>
      </w:pPr>
      <w:r>
        <w:rPr>
          <w:sz w:val="22"/>
          <w:szCs w:val="22"/>
        </w:rPr>
        <w:t xml:space="preserve">Thompson, R. C., Moore, C. J., &amp; vom Saal, F. S. (2023). Electronic waste and human health: A systematic review of epidemiological evidence. Environmental Health, 22(1), 1-28. </w:t>
      </w:r>
    </w:p>
    <w:p w14:paraId="2D1AADC9">
      <w:pPr>
        <w:pStyle w:val="13"/>
        <w:spacing w:line="360" w:lineRule="auto"/>
        <w:ind w:left="400" w:hanging="400" w:hangingChars="182"/>
        <w:rPr>
          <w:sz w:val="22"/>
          <w:szCs w:val="22"/>
        </w:rPr>
      </w:pPr>
      <w:r>
        <w:rPr>
          <w:sz w:val="22"/>
          <w:szCs w:val="22"/>
        </w:rPr>
        <w:t xml:space="preserve">Twagirayezu, Gratien &amp; Uwimana, Abias &amp; Kui, Huang &amp; Birame, Christian &amp; Irumva, Olivier &amp; Nizeyimana, Jean Claude &amp; Hongguang, Cheng. (2023). Towards a sustainable and green approach of electrical and electronic waste management in Rwanda: a critical review. Environmental science and pollution research international. 30. 10.1007/s11356-023-27910-5. </w:t>
      </w:r>
    </w:p>
    <w:p w14:paraId="7389C87D">
      <w:pPr>
        <w:pStyle w:val="13"/>
        <w:spacing w:line="360" w:lineRule="auto"/>
        <w:ind w:left="400" w:hanging="400" w:hangingChars="182"/>
        <w:rPr>
          <w:sz w:val="22"/>
          <w:szCs w:val="22"/>
        </w:rPr>
      </w:pPr>
      <w:r>
        <w:rPr>
          <w:sz w:val="22"/>
          <w:szCs w:val="22"/>
        </w:rPr>
        <w:t>United Nations Environment Programme &amp; International Telecommunication Union. (2023). Global E-waste Statistics Partnership report: Monitoring progress toward sustainable e-waste management. UNEP.</w:t>
      </w:r>
    </w:p>
    <w:p w14:paraId="07DD66C3">
      <w:pPr>
        <w:spacing w:before="100" w:beforeAutospacing="1" w:after="100" w:afterAutospacing="1" w:line="360" w:lineRule="auto"/>
        <w:ind w:left="400" w:hanging="400" w:hangingChars="182"/>
        <w:rPr>
          <w:rFonts w:ascii="Times New Roman" w:hAnsi="Times New Roman" w:eastAsia="Times New Roman" w:cs="Times New Roman"/>
        </w:rPr>
      </w:pPr>
      <w:r>
        <w:rPr>
          <w:rFonts w:ascii="Times New Roman" w:hAnsi="Times New Roman" w:eastAsia="Times New Roman" w:cs="Times New Roman"/>
        </w:rPr>
        <w:t>United Nations Environment Programme. (2023). "Global E-waste Monitor 2023."</w:t>
      </w:r>
    </w:p>
    <w:p w14:paraId="53BC0A59">
      <w:pPr>
        <w:pStyle w:val="13"/>
        <w:spacing w:line="360" w:lineRule="auto"/>
        <w:ind w:left="400" w:hanging="400" w:hangingChars="182"/>
        <w:rPr>
          <w:sz w:val="22"/>
          <w:szCs w:val="22"/>
        </w:rPr>
      </w:pPr>
      <w:r>
        <w:rPr>
          <w:sz w:val="22"/>
          <w:szCs w:val="22"/>
        </w:rPr>
        <w:t>United Nations Environment Programme. (2023). Guidelines for sustainable management of electronic waste (Technical Report No. 127). UNEP.</w:t>
      </w:r>
    </w:p>
    <w:p w14:paraId="6FE5EB6B">
      <w:pPr>
        <w:pStyle w:val="13"/>
        <w:spacing w:line="360" w:lineRule="auto"/>
        <w:ind w:left="400" w:hanging="400" w:hangingChars="182"/>
        <w:rPr>
          <w:sz w:val="22"/>
          <w:szCs w:val="22"/>
        </w:rPr>
      </w:pPr>
      <w:r>
        <w:rPr>
          <w:sz w:val="22"/>
          <w:szCs w:val="22"/>
        </w:rPr>
        <w:t xml:space="preserve">Wang, Y., &amp; Xu, M. (2023). Environmental and health impacts of informal electronic waste recycling: A case study approach. Environmental Pollution, 292, 118421. </w:t>
      </w:r>
    </w:p>
    <w:p w14:paraId="62856812">
      <w:pPr>
        <w:pStyle w:val="13"/>
        <w:spacing w:line="360" w:lineRule="auto"/>
        <w:ind w:left="400" w:hanging="400" w:hangingChars="182"/>
        <w:rPr>
          <w:sz w:val="22"/>
          <w:szCs w:val="22"/>
        </w:rPr>
      </w:pPr>
      <w:r>
        <w:rPr>
          <w:sz w:val="22"/>
          <w:szCs w:val="22"/>
        </w:rPr>
        <w:t>World Economic Forum. (2023). Future scenarios for electronic waste generation and management (WEF White Paper). World Economic Forum.</w:t>
      </w:r>
    </w:p>
    <w:p w14:paraId="32F672A6">
      <w:pPr>
        <w:spacing w:before="100" w:beforeAutospacing="1" w:after="100" w:afterAutospacing="1" w:line="360" w:lineRule="auto"/>
        <w:ind w:left="400" w:hanging="400" w:hangingChars="182"/>
        <w:rPr>
          <w:rFonts w:ascii="Times New Roman" w:hAnsi="Times New Roman" w:eastAsia="Times New Roman" w:cs="Times New Roman"/>
        </w:rPr>
      </w:pPr>
      <w:r>
        <w:rPr>
          <w:rFonts w:ascii="Times New Roman" w:hAnsi="Times New Roman" w:eastAsia="Times New Roman" w:cs="Times New Roman"/>
        </w:rPr>
        <w:t>World Health Organization. (2023). "E-waste and Child Health."</w:t>
      </w:r>
    </w:p>
    <w:p w14:paraId="33992AAA">
      <w:pPr>
        <w:spacing w:after="0" w:line="360" w:lineRule="auto"/>
        <w:ind w:left="400" w:hanging="400" w:hangingChars="182"/>
        <w:rPr>
          <w:rFonts w:ascii="Times New Roman" w:hAnsi="Times New Roman" w:eastAsia="Times New Roman" w:cs="Times New Roman"/>
        </w:rPr>
      </w:pPr>
      <w:r>
        <w:rPr>
          <w:rFonts w:ascii="Times New Roman" w:hAnsi="Times New Roman" w:eastAsia="Times New Roman" w:cs="Times New Roman"/>
        </w:rPr>
        <w:t>Wu, Q., et al. (2015) "Environmental and human health risks from contamination in surface waters near informal e-waste recycling sites" in Environmental Science: Processes &amp; Impacts, which provides detailed water quality measurements.</w:t>
      </w:r>
    </w:p>
    <w:p w14:paraId="160685DD">
      <w:pPr>
        <w:pStyle w:val="13"/>
        <w:spacing w:line="360" w:lineRule="auto"/>
        <w:ind w:left="400" w:hanging="400" w:hangingChars="182"/>
        <w:rPr>
          <w:sz w:val="22"/>
          <w:szCs w:val="22"/>
        </w:rPr>
      </w:pPr>
      <w:r>
        <w:rPr>
          <w:sz w:val="22"/>
          <w:szCs w:val="22"/>
        </w:rPr>
        <w:t xml:space="preserve">Zhang, T., Wu, B., &amp; Chen, L. (2022). Material composition analysis of electronic waste: Implications for recycling and resource recovery. Journal of Hazardous Materials, 424, 127418. </w:t>
      </w:r>
    </w:p>
    <w:p w14:paraId="134A3B6A">
      <w:pPr>
        <w:spacing w:line="360" w:lineRule="auto"/>
        <w:ind w:left="437" w:hanging="436" w:hangingChars="182"/>
        <w:jc w:val="both"/>
        <w:rPr>
          <w:rFonts w:ascii="Times New Roman" w:hAnsi="Times New Roman" w:cs="Times New Roman"/>
          <w:sz w:val="24"/>
          <w:szCs w:val="24"/>
        </w:rPr>
      </w:pPr>
    </w:p>
    <w:sectPr>
      <w:type w:val="continuous"/>
      <w:pgSz w:w="12240" w:h="15840"/>
      <w:pgMar w:top="1440" w:right="1440" w:bottom="1440" w:left="1440" w:header="720" w:footer="720" w:gutter="0"/>
      <w:cols w:equalWidth="0" w:num="2">
        <w:col w:w="4467" w:space="425"/>
        <w:col w:w="4467"/>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72B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99B7A">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hVixcRoCAABUBAAADgAA&#10;AAAAAAABACAAAAAfAQAAZHJzL2Uyb0RvYy54bWxQSwUGAAAAAAYABgBZAQAAqwUAAAAA&#10;">
              <v:fill on="f" focussize="0,0"/>
              <v:stroke on="f" weight="0.5pt"/>
              <v:imagedata o:title=""/>
              <o:lock v:ext="edit" aspectratio="f"/>
              <v:textbox inset="0mm,0mm,0mm,0mm" style="mso-fit-shape-to-text:t;">
                <w:txbxContent>
                  <w:p w14:paraId="07899B7A">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96D9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B263">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5338E">
    <w:pPr>
      <w:pStyle w:val="9"/>
    </w:pPr>
    <w:r>
      <w:pict>
        <v:shape id="PowerPlusWaterMarkObject447821658" o:spid="_x0000_s4098" o:spt="136" type="#_x0000_t136" style="position:absolute;left:0pt;height:104.15pt;width:555.6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68D75">
    <w:pPr>
      <w:pStyle w:val="9"/>
    </w:pPr>
    <w:r>
      <w:pict>
        <v:shape id="PowerPlusWaterMarkObject447821657" o:spid="_x0000_s4099"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D4BC">
    <w:pPr>
      <w:pStyle w:val="9"/>
    </w:pPr>
    <w:r>
      <w:pict>
        <v:shape id="PowerPlusWaterMarkObject447821656" o:spid="_x0000_s4097"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D22F1"/>
    <w:multiLevelType w:val="multilevel"/>
    <w:tmpl w:val="00AD22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81651CF"/>
    <w:multiLevelType w:val="multilevel"/>
    <w:tmpl w:val="081651CF"/>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891467F"/>
    <w:multiLevelType w:val="multilevel"/>
    <w:tmpl w:val="0891467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D733155"/>
    <w:multiLevelType w:val="multilevel"/>
    <w:tmpl w:val="0D7331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6349A27"/>
    <w:multiLevelType w:val="singleLevel"/>
    <w:tmpl w:val="16349A27"/>
    <w:lvl w:ilvl="0" w:tentative="0">
      <w:start w:val="1"/>
      <w:numFmt w:val="decimal"/>
      <w:suff w:val="space"/>
      <w:lvlText w:val="%1."/>
      <w:lvlJc w:val="left"/>
    </w:lvl>
  </w:abstractNum>
  <w:abstractNum w:abstractNumId="5">
    <w:nsid w:val="194A6A78"/>
    <w:multiLevelType w:val="multilevel"/>
    <w:tmpl w:val="194A6A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B124545"/>
    <w:multiLevelType w:val="multilevel"/>
    <w:tmpl w:val="1B1245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C59F7CC"/>
    <w:multiLevelType w:val="singleLevel"/>
    <w:tmpl w:val="1C59F7CC"/>
    <w:lvl w:ilvl="0" w:tentative="0">
      <w:start w:val="1"/>
      <w:numFmt w:val="decimal"/>
      <w:suff w:val="space"/>
      <w:lvlText w:val="%1."/>
      <w:lvlJc w:val="left"/>
    </w:lvl>
  </w:abstractNum>
  <w:abstractNum w:abstractNumId="8">
    <w:nsid w:val="2E8736D7"/>
    <w:multiLevelType w:val="multilevel"/>
    <w:tmpl w:val="2E8736D7"/>
    <w:lvl w:ilvl="0" w:tentative="0">
      <w:start w:val="1"/>
      <w:numFmt w:val="bullet"/>
      <w:lvlText w:val=""/>
      <w:lvlJc w:val="left"/>
      <w:pPr>
        <w:tabs>
          <w:tab w:val="left" w:pos="720"/>
        </w:tabs>
        <w:ind w:left="360" w:hanging="360"/>
      </w:pPr>
      <w:rPr>
        <w:rFonts w:hint="default" w:ascii="Symbol" w:hAnsi="Symbol"/>
        <w:sz w:val="20"/>
      </w:rPr>
    </w:lvl>
    <w:lvl w:ilvl="1" w:tentative="0">
      <w:start w:val="1"/>
      <w:numFmt w:val="bullet"/>
      <w:lvlText w:val="o"/>
      <w:lvlJc w:val="left"/>
      <w:pPr>
        <w:tabs>
          <w:tab w:val="left" w:pos="1440"/>
        </w:tabs>
        <w:ind w:left="660" w:hanging="360"/>
      </w:pPr>
      <w:rPr>
        <w:rFonts w:hint="default" w:ascii="Courier New" w:hAnsi="Courier New"/>
        <w:sz w:val="20"/>
      </w:rPr>
    </w:lvl>
    <w:lvl w:ilvl="2" w:tentative="0">
      <w:start w:val="1"/>
      <w:numFmt w:val="bullet"/>
      <w:lvlText w:val=""/>
      <w:lvlJc w:val="left"/>
      <w:pPr>
        <w:tabs>
          <w:tab w:val="left" w:pos="2160"/>
        </w:tabs>
        <w:ind w:left="1800" w:hanging="360"/>
      </w:pPr>
      <w:rPr>
        <w:rFonts w:hint="default" w:ascii="Wingdings" w:hAnsi="Wingdings"/>
        <w:sz w:val="20"/>
      </w:rPr>
    </w:lvl>
    <w:lvl w:ilvl="3" w:tentative="0">
      <w:start w:val="1"/>
      <w:numFmt w:val="bullet"/>
      <w:lvlText w:val=""/>
      <w:lvlJc w:val="left"/>
      <w:pPr>
        <w:tabs>
          <w:tab w:val="left" w:pos="2880"/>
        </w:tabs>
        <w:ind w:left="2520" w:hanging="360"/>
      </w:pPr>
      <w:rPr>
        <w:rFonts w:hint="default" w:ascii="Wingdings" w:hAnsi="Wingdings"/>
        <w:sz w:val="20"/>
      </w:rPr>
    </w:lvl>
    <w:lvl w:ilvl="4" w:tentative="0">
      <w:start w:val="1"/>
      <w:numFmt w:val="bullet"/>
      <w:lvlText w:val=""/>
      <w:lvlJc w:val="left"/>
      <w:pPr>
        <w:tabs>
          <w:tab w:val="left" w:pos="3600"/>
        </w:tabs>
        <w:ind w:left="3240" w:hanging="360"/>
      </w:pPr>
      <w:rPr>
        <w:rFonts w:hint="default" w:ascii="Wingdings" w:hAnsi="Wingdings"/>
        <w:sz w:val="20"/>
      </w:rPr>
    </w:lvl>
    <w:lvl w:ilvl="5" w:tentative="0">
      <w:start w:val="1"/>
      <w:numFmt w:val="bullet"/>
      <w:lvlText w:val=""/>
      <w:lvlJc w:val="left"/>
      <w:pPr>
        <w:tabs>
          <w:tab w:val="left" w:pos="4320"/>
        </w:tabs>
        <w:ind w:left="3960" w:hanging="360"/>
      </w:pPr>
      <w:rPr>
        <w:rFonts w:hint="default" w:ascii="Wingdings" w:hAnsi="Wingdings"/>
        <w:sz w:val="20"/>
      </w:rPr>
    </w:lvl>
    <w:lvl w:ilvl="6" w:tentative="0">
      <w:start w:val="1"/>
      <w:numFmt w:val="bullet"/>
      <w:lvlText w:val=""/>
      <w:lvlJc w:val="left"/>
      <w:pPr>
        <w:tabs>
          <w:tab w:val="left" w:pos="5040"/>
        </w:tabs>
        <w:ind w:left="4680" w:hanging="360"/>
      </w:pPr>
      <w:rPr>
        <w:rFonts w:hint="default" w:ascii="Wingdings" w:hAnsi="Wingdings"/>
        <w:sz w:val="20"/>
      </w:rPr>
    </w:lvl>
    <w:lvl w:ilvl="7" w:tentative="0">
      <w:start w:val="1"/>
      <w:numFmt w:val="bullet"/>
      <w:lvlText w:val=""/>
      <w:lvlJc w:val="left"/>
      <w:pPr>
        <w:tabs>
          <w:tab w:val="left" w:pos="5760"/>
        </w:tabs>
        <w:ind w:left="5400" w:hanging="360"/>
      </w:pPr>
      <w:rPr>
        <w:rFonts w:hint="default" w:ascii="Wingdings" w:hAnsi="Wingdings"/>
        <w:sz w:val="20"/>
      </w:rPr>
    </w:lvl>
    <w:lvl w:ilvl="8" w:tentative="0">
      <w:start w:val="1"/>
      <w:numFmt w:val="bullet"/>
      <w:lvlText w:val=""/>
      <w:lvlJc w:val="left"/>
      <w:pPr>
        <w:tabs>
          <w:tab w:val="left" w:pos="6480"/>
        </w:tabs>
        <w:ind w:left="6120" w:hanging="360"/>
      </w:pPr>
      <w:rPr>
        <w:rFonts w:hint="default" w:ascii="Wingdings" w:hAnsi="Wingdings"/>
        <w:sz w:val="20"/>
      </w:rPr>
    </w:lvl>
  </w:abstractNum>
  <w:abstractNum w:abstractNumId="9">
    <w:nsid w:val="33160FA5"/>
    <w:multiLevelType w:val="multilevel"/>
    <w:tmpl w:val="33160F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3A754B87"/>
    <w:multiLevelType w:val="multilevel"/>
    <w:tmpl w:val="3A754B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E340D29"/>
    <w:multiLevelType w:val="multilevel"/>
    <w:tmpl w:val="3E340D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E563156"/>
    <w:multiLevelType w:val="multilevel"/>
    <w:tmpl w:val="3E56315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F5B3B7A"/>
    <w:multiLevelType w:val="multilevel"/>
    <w:tmpl w:val="3F5B3B7A"/>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0786FAB"/>
    <w:multiLevelType w:val="multilevel"/>
    <w:tmpl w:val="40786FA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4A207E35"/>
    <w:multiLevelType w:val="multilevel"/>
    <w:tmpl w:val="4A207E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D5A40EF"/>
    <w:multiLevelType w:val="singleLevel"/>
    <w:tmpl w:val="4D5A40EF"/>
    <w:lvl w:ilvl="0" w:tentative="0">
      <w:start w:val="1"/>
      <w:numFmt w:val="decimal"/>
      <w:suff w:val="space"/>
      <w:lvlText w:val="%1."/>
      <w:lvlJc w:val="left"/>
    </w:lvl>
  </w:abstractNum>
  <w:abstractNum w:abstractNumId="17">
    <w:nsid w:val="5A245DDC"/>
    <w:multiLevelType w:val="multilevel"/>
    <w:tmpl w:val="5A245DD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C340C8A"/>
    <w:multiLevelType w:val="multilevel"/>
    <w:tmpl w:val="5C340C8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E175352"/>
    <w:multiLevelType w:val="multilevel"/>
    <w:tmpl w:val="5E175352"/>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9BB047B"/>
    <w:multiLevelType w:val="multilevel"/>
    <w:tmpl w:val="69BB04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F101840"/>
    <w:multiLevelType w:val="multilevel"/>
    <w:tmpl w:val="6F1018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704851EA"/>
    <w:multiLevelType w:val="multilevel"/>
    <w:tmpl w:val="704851EA"/>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74815BC8"/>
    <w:multiLevelType w:val="multilevel"/>
    <w:tmpl w:val="74815BC8"/>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7E7946EE"/>
    <w:multiLevelType w:val="multilevel"/>
    <w:tmpl w:val="7E7946E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16"/>
  </w:num>
  <w:num w:numId="3">
    <w:abstractNumId w:val="2"/>
  </w:num>
  <w:num w:numId="4">
    <w:abstractNumId w:val="9"/>
  </w:num>
  <w:num w:numId="5">
    <w:abstractNumId w:val="12"/>
  </w:num>
  <w:num w:numId="6">
    <w:abstractNumId w:val="24"/>
  </w:num>
  <w:num w:numId="7">
    <w:abstractNumId w:val="17"/>
  </w:num>
  <w:num w:numId="8">
    <w:abstractNumId w:val="5"/>
  </w:num>
  <w:num w:numId="9">
    <w:abstractNumId w:val="13"/>
  </w:num>
  <w:num w:numId="10">
    <w:abstractNumId w:val="10"/>
  </w:num>
  <w:num w:numId="11">
    <w:abstractNumId w:val="19"/>
  </w:num>
  <w:num w:numId="12">
    <w:abstractNumId w:val="6"/>
  </w:num>
  <w:num w:numId="13">
    <w:abstractNumId w:val="22"/>
  </w:num>
  <w:num w:numId="14">
    <w:abstractNumId w:val="3"/>
  </w:num>
  <w:num w:numId="15">
    <w:abstractNumId w:val="23"/>
  </w:num>
  <w:num w:numId="16">
    <w:abstractNumId w:val="0"/>
  </w:num>
  <w:num w:numId="17">
    <w:abstractNumId w:val="1"/>
  </w:num>
  <w:num w:numId="18">
    <w:abstractNumId w:val="15"/>
  </w:num>
  <w:num w:numId="19">
    <w:abstractNumId w:val="8"/>
  </w:num>
  <w:num w:numId="20">
    <w:abstractNumId w:val="4"/>
  </w:num>
  <w:num w:numId="21">
    <w:abstractNumId w:val="20"/>
  </w:num>
  <w:num w:numId="22">
    <w:abstractNumId w:val="14"/>
  </w:num>
  <w:num w:numId="23">
    <w:abstractNumId w:val="11"/>
  </w:num>
  <w:num w:numId="24">
    <w:abstractNumId w:val="1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45D"/>
    <w:rsid w:val="000110B2"/>
    <w:rsid w:val="00021F3A"/>
    <w:rsid w:val="00046C96"/>
    <w:rsid w:val="00092855"/>
    <w:rsid w:val="000B1B75"/>
    <w:rsid w:val="000D0163"/>
    <w:rsid w:val="000E67D5"/>
    <w:rsid w:val="00127016"/>
    <w:rsid w:val="00140FED"/>
    <w:rsid w:val="001B211B"/>
    <w:rsid w:val="001C2BCB"/>
    <w:rsid w:val="001E1C39"/>
    <w:rsid w:val="00200706"/>
    <w:rsid w:val="00204BD9"/>
    <w:rsid w:val="00303904"/>
    <w:rsid w:val="00323527"/>
    <w:rsid w:val="004C26A7"/>
    <w:rsid w:val="004C3B85"/>
    <w:rsid w:val="0050574C"/>
    <w:rsid w:val="00542608"/>
    <w:rsid w:val="00581CA0"/>
    <w:rsid w:val="0059480B"/>
    <w:rsid w:val="00637C0D"/>
    <w:rsid w:val="006B079D"/>
    <w:rsid w:val="006F23C0"/>
    <w:rsid w:val="0073687D"/>
    <w:rsid w:val="00833241"/>
    <w:rsid w:val="0086511A"/>
    <w:rsid w:val="008A6BB6"/>
    <w:rsid w:val="008C5675"/>
    <w:rsid w:val="00925326"/>
    <w:rsid w:val="009548F6"/>
    <w:rsid w:val="009F718F"/>
    <w:rsid w:val="00B95C3E"/>
    <w:rsid w:val="00BC4ED8"/>
    <w:rsid w:val="00BD5A7D"/>
    <w:rsid w:val="00BE0279"/>
    <w:rsid w:val="00BE17D0"/>
    <w:rsid w:val="00C257A6"/>
    <w:rsid w:val="00D5655F"/>
    <w:rsid w:val="00D95F52"/>
    <w:rsid w:val="00DA5CFD"/>
    <w:rsid w:val="00E0576E"/>
    <w:rsid w:val="00ED33C3"/>
    <w:rsid w:val="00F176B8"/>
    <w:rsid w:val="00F418DE"/>
    <w:rsid w:val="00F849DB"/>
    <w:rsid w:val="00F9745D"/>
    <w:rsid w:val="020C556B"/>
    <w:rsid w:val="04727A0B"/>
    <w:rsid w:val="295D5DE7"/>
    <w:rsid w:val="2CE63374"/>
    <w:rsid w:val="327E074F"/>
    <w:rsid w:val="35951130"/>
    <w:rsid w:val="44013C17"/>
    <w:rsid w:val="44ED2C08"/>
    <w:rsid w:val="4AAF02A4"/>
    <w:rsid w:val="4CC847F6"/>
    <w:rsid w:val="51E534A0"/>
    <w:rsid w:val="52120009"/>
    <w:rsid w:val="634A4A1E"/>
    <w:rsid w:val="71EE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6"/>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8"/>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unhideWhenUsed/>
    <w:qFormat/>
    <w:uiPriority w:val="99"/>
    <w:pPr>
      <w:tabs>
        <w:tab w:val="center" w:pos="4153"/>
        <w:tab w:val="right" w:pos="8306"/>
      </w:tabs>
      <w:snapToGrid w:val="0"/>
    </w:pPr>
    <w:rPr>
      <w:sz w:val="18"/>
      <w:szCs w:val="18"/>
    </w:rPr>
  </w:style>
  <w:style w:type="paragraph" w:styleId="9">
    <w:name w:val="header"/>
    <w:basedOn w:val="1"/>
    <w:unhideWhenUsed/>
    <w:qFormat/>
    <w:uiPriority w:val="99"/>
    <w:pPr>
      <w:tabs>
        <w:tab w:val="center" w:pos="4153"/>
        <w:tab w:val="right" w:pos="8306"/>
      </w:tabs>
      <w:snapToGrid w:val="0"/>
    </w:pPr>
    <w:rPr>
      <w:sz w:val="18"/>
      <w:szCs w:val="18"/>
    </w:rPr>
  </w:style>
  <w:style w:type="character" w:styleId="10">
    <w:name w:val="Hyperlink"/>
    <w:basedOn w:val="5"/>
    <w:unhideWhenUsed/>
    <w:qFormat/>
    <w:uiPriority w:val="99"/>
    <w:rPr>
      <w:color w:val="0000FF"/>
      <w:u w:val="single"/>
    </w:rPr>
  </w:style>
  <w:style w:type="paragraph" w:styleId="11">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22"/>
    <w:rPr>
      <w:b/>
      <w:bCs/>
    </w:rPr>
  </w:style>
  <w:style w:type="paragraph" w:customStyle="1" w:styleId="13">
    <w:name w:val="whitespace-pre-wrap"/>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14">
    <w:name w:val="whitespace-norma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styleId="15">
    <w:name w:val="No Spacing"/>
    <w:qFormat/>
    <w:uiPriority w:val="1"/>
    <w:rPr>
      <w:rFonts w:asciiTheme="minorHAnsi" w:hAnsiTheme="minorHAnsi" w:eastAsiaTheme="minorHAnsi" w:cstheme="minorBidi"/>
      <w:sz w:val="22"/>
      <w:szCs w:val="22"/>
      <w:lang w:val="en-US" w:eastAsia="en-US" w:bidi="ar-SA"/>
    </w:rPr>
  </w:style>
  <w:style w:type="character" w:customStyle="1" w:styleId="16">
    <w:name w:val="Heading 2 Char"/>
    <w:basedOn w:val="5"/>
    <w:link w:val="3"/>
    <w:qFormat/>
    <w:uiPriority w:val="9"/>
    <w:rPr>
      <w:rFonts w:asciiTheme="majorHAnsi" w:hAnsiTheme="majorHAnsi" w:eastAsiaTheme="majorEastAsia" w:cstheme="majorBidi"/>
      <w:color w:val="2F5597" w:themeColor="accent1" w:themeShade="BF"/>
      <w:sz w:val="26"/>
      <w:szCs w:val="26"/>
    </w:rPr>
  </w:style>
  <w:style w:type="character" w:customStyle="1" w:styleId="17">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18">
    <w:name w:val="Heading 3 Char"/>
    <w:basedOn w:val="5"/>
    <w:link w:val="4"/>
    <w:semiHidden/>
    <w:qFormat/>
    <w:uiPriority w:val="9"/>
    <w:rPr>
      <w:rFonts w:asciiTheme="majorHAnsi" w:hAnsiTheme="majorHAnsi" w:eastAsiaTheme="majorEastAsia" w:cstheme="majorBidi"/>
      <w:color w:val="203864" w:themeColor="accent1" w:themeShade="80"/>
      <w:sz w:val="24"/>
      <w:szCs w:val="24"/>
    </w:rPr>
  </w:style>
  <w:style w:type="paragraph" w:styleId="19">
    <w:name w:val="List Paragraph"/>
    <w:basedOn w:val="1"/>
    <w:unhideWhenUsed/>
    <w:qFormat/>
    <w:uiPriority w:val="99"/>
    <w:pPr>
      <w:ind w:left="720"/>
      <w:contextualSpacing/>
    </w:pPr>
  </w:style>
  <w:style w:type="character" w:customStyle="1" w:styleId="20">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microsoft.com/office/2007/relationships/hdphoto" Target="media/image8.wdp"/><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microsoft.com/office/2007/relationships/hdphoto" Target="media/image2.wd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5945</Words>
  <Characters>33889</Characters>
  <Lines>282</Lines>
  <Paragraphs>79</Paragraphs>
  <TotalTime>5</TotalTime>
  <ScaleCrop>false</ScaleCrop>
  <LinksUpToDate>false</LinksUpToDate>
  <CharactersWithSpaces>39755</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2024-10-24T10:34:00Z</dcterms:created>
  <dc:creator>HP</dc:creator>
  <cp:lastModifiedBy>Valeria Chibuzo</cp:lastModifiedBy>
  <dcterms:modified xsi:type="dcterms:W3CDTF">2025-05-05T05:40:53Z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5024E64AEC6D4C05BCBAD06C6909E83E_13</vt:lpwstr>
  </property>
</Properties>
</file>