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700A8" w14:textId="77777777" w:rsidR="00B6568E" w:rsidRDefault="00000000">
      <w:pPr>
        <w:rPr>
          <w:rFonts w:ascii="Times New Roman" w:eastAsia="SimSun" w:hAnsi="Times New Roman" w:cs="Times New Roman"/>
          <w:b/>
          <w:bCs/>
          <w:sz w:val="28"/>
          <w:szCs w:val="28"/>
        </w:rPr>
      </w:pPr>
      <w:r>
        <w:rPr>
          <w:rFonts w:ascii="Times New Roman" w:eastAsia="SimSun" w:hAnsi="Times New Roman" w:cs="Times New Roman"/>
          <w:b/>
          <w:bCs/>
          <w:sz w:val="28"/>
          <w:szCs w:val="28"/>
        </w:rPr>
        <w:t>Understanding Climate Vulnerability and Adaptation among Farmers: A Micro-Level Study from the North Western Himalayas"</w:t>
      </w:r>
    </w:p>
    <w:p w14:paraId="302DE080" w14:textId="77777777" w:rsidR="00B6568E" w:rsidRDefault="00000000">
      <w:pPr>
        <w:spacing w:beforeAutospacing="1" w:after="0" w:afterAutospacing="1" w:line="360" w:lineRule="auto"/>
        <w:ind w:firstLineChars="1550" w:firstLine="3735"/>
        <w:jc w:val="both"/>
        <w:rPr>
          <w:rFonts w:ascii="Times New Roman" w:hAnsi="Times New Roman" w:cs="Times New Roman"/>
          <w:b/>
          <w:color w:val="000000" w:themeColor="text1"/>
          <w:sz w:val="24"/>
          <w:szCs w:val="20"/>
        </w:rPr>
      </w:pPr>
      <w:r>
        <w:rPr>
          <w:rFonts w:ascii="Times New Roman" w:hAnsi="Times New Roman" w:cs="Times New Roman"/>
          <w:b/>
          <w:color w:val="000000" w:themeColor="text1"/>
          <w:sz w:val="24"/>
          <w:szCs w:val="20"/>
        </w:rPr>
        <w:t>Abstract</w:t>
      </w:r>
    </w:p>
    <w:p w14:paraId="6B0A62F1" w14:textId="77777777" w:rsidR="00B6568E" w:rsidRDefault="00000000">
      <w:pPr>
        <w:spacing w:beforeAutospacing="1" w:after="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bidi="ar"/>
        </w:rPr>
        <w:t xml:space="preserve">Climate change poses serious threats to agriculture and horticulture, particularly in ecologically fragile and climate-sensitive regions such as the North Western Himalayas of Jammu and Kashmir. This study investigates farmers’ perceptions of climate change and the adaptation strategies they employ in response. The region, marked by limited livelihood opportunities and high vulnerability to climatic extremes, remains underexplored with respect to localized climate resilience. To address this gap, an empirical study was conducted using primary data from 150 randomly selected respondents via a structured questionnaire, supplemented with secondary sources. Statistical tools such as ANOVA, chi-square tests, Spearman’s correlation, the Weighted Average Index (WAI), and the Adaptation Strategies Index (ASI) were </w:t>
      </w:r>
      <w:proofErr w:type="spellStart"/>
      <w:proofErr w:type="gramStart"/>
      <w:r>
        <w:rPr>
          <w:rFonts w:ascii="Times New Roman" w:eastAsia="Times New Roman" w:hAnsi="Times New Roman" w:cs="Times New Roman"/>
          <w:sz w:val="24"/>
          <w:szCs w:val="24"/>
          <w:lang w:bidi="ar"/>
        </w:rPr>
        <w:t>employed.The</w:t>
      </w:r>
      <w:proofErr w:type="spellEnd"/>
      <w:proofErr w:type="gramEnd"/>
      <w:r>
        <w:rPr>
          <w:rFonts w:ascii="Times New Roman" w:eastAsia="Times New Roman" w:hAnsi="Times New Roman" w:cs="Times New Roman"/>
          <w:sz w:val="24"/>
          <w:szCs w:val="24"/>
          <w:lang w:bidi="ar"/>
        </w:rPr>
        <w:t xml:space="preserve"> results reveal a significant association between climate variability and farmers’ livelihoods. Major climatic stressors include erratic rainfall (WAI = 4.6), reduced snowfall (WAI = 4.1), and rising temperatures (WAI = 3.8), all of which have negatively affected agricultural productivity and farming calendars. In response, farmers are adopting adaptation practices such as mixed cropping (WAI = 4.6), crop diversification (WAI = 4.5), improved irrigation (WAI = 4.1), and enhanced post-harvest management (WAI = 4.5). However, several barriers—including limited financial resources, poor infrastructure, and weak institutional support—continue to constrain adaptive capacity. The study also identifies a strong positive correlation between deteriorating climatic conditions and rising poverty levels (ρ = 0.773, p = 0.000). Furthermore, farmers’ projections of future climate scenarios were significantly associated with their choice of adaptation strategies (Chi-square = 300.000, p = 0.000), underscoring the critical role of perception in shaping responses. These findings highlight the urgent need for policy interventions that integrate farmers’ insights into adaptation planning. Strategies such as climate-resilient crops, efficient irrigation systems, agricultural insurance, and strengthened institutional support are essential for building climate-resilient farming communities in the Himalayan region.</w:t>
      </w:r>
    </w:p>
    <w:p w14:paraId="0882AC98" w14:textId="77777777" w:rsidR="00B6568E" w:rsidRDefault="00B6568E">
      <w:pPr>
        <w:pStyle w:val="NormalWeb"/>
        <w:spacing w:line="360" w:lineRule="auto"/>
        <w:jc w:val="both"/>
        <w:rPr>
          <w:lang w:val="en-US"/>
        </w:rPr>
      </w:pPr>
    </w:p>
    <w:p w14:paraId="1823EC35" w14:textId="77777777" w:rsidR="00B6568E" w:rsidRDefault="00B6568E">
      <w:pPr>
        <w:ind w:firstLineChars="1600" w:firstLine="3855"/>
        <w:rPr>
          <w:rFonts w:ascii="Times New Roman" w:hAnsi="Times New Roman" w:cs="Times New Roman"/>
          <w:b/>
          <w:color w:val="000000" w:themeColor="text1"/>
          <w:sz w:val="24"/>
          <w:szCs w:val="20"/>
        </w:rPr>
      </w:pPr>
    </w:p>
    <w:p w14:paraId="35296E71" w14:textId="77777777" w:rsidR="00B6568E" w:rsidRDefault="00000000">
      <w:pPr>
        <w:autoSpaceDE w:val="0"/>
        <w:autoSpaceDN w:val="0"/>
        <w:adjustRightInd w:val="0"/>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Key words: </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Adaptaion</w:t>
      </w:r>
      <w:proofErr w:type="spellEnd"/>
      <w:r>
        <w:rPr>
          <w:rFonts w:ascii="Times New Roman" w:hAnsi="Times New Roman" w:cs="Times New Roman"/>
          <w:color w:val="000000" w:themeColor="text1"/>
          <w:sz w:val="24"/>
          <w:szCs w:val="24"/>
        </w:rPr>
        <w:t xml:space="preserve"> practices, </w:t>
      </w:r>
      <w:proofErr w:type="spellStart"/>
      <w:proofErr w:type="gramStart"/>
      <w:r>
        <w:rPr>
          <w:rFonts w:ascii="Times New Roman" w:hAnsi="Times New Roman" w:cs="Times New Roman"/>
          <w:color w:val="000000" w:themeColor="text1"/>
          <w:sz w:val="24"/>
          <w:szCs w:val="24"/>
        </w:rPr>
        <w:t>Agriculture,Climatic</w:t>
      </w:r>
      <w:proofErr w:type="spellEnd"/>
      <w:proofErr w:type="gramEnd"/>
      <w:r>
        <w:rPr>
          <w:rFonts w:ascii="Times New Roman" w:hAnsi="Times New Roman" w:cs="Times New Roman"/>
          <w:color w:val="000000" w:themeColor="text1"/>
          <w:sz w:val="24"/>
          <w:szCs w:val="24"/>
        </w:rPr>
        <w:t xml:space="preserve"> change, Livelihood, North West Himalayas, </w:t>
      </w:r>
    </w:p>
    <w:p w14:paraId="117EBFF1" w14:textId="77777777" w:rsidR="00B6568E" w:rsidRDefault="00000000">
      <w:pPr>
        <w:pStyle w:val="ListParagraph"/>
        <w:spacing w:line="360" w:lineRule="auto"/>
        <w:ind w:left="0"/>
        <w:jc w:val="both"/>
        <w:rPr>
          <w:rFonts w:ascii="Times New Roman" w:hAnsi="Times New Roman" w:cs="Times New Roman"/>
          <w:b/>
          <w:sz w:val="28"/>
          <w:szCs w:val="28"/>
        </w:rPr>
      </w:pPr>
      <w:r>
        <w:rPr>
          <w:rFonts w:ascii="Times New Roman" w:hAnsi="Times New Roman" w:cs="Times New Roman"/>
          <w:b/>
          <w:sz w:val="24"/>
          <w:szCs w:val="24"/>
        </w:rPr>
        <w:t xml:space="preserve">  </w:t>
      </w:r>
    </w:p>
    <w:p w14:paraId="469640B0" w14:textId="77777777" w:rsidR="00B6568E" w:rsidRDefault="00000000">
      <w:pPr>
        <w:pStyle w:val="ListParagraph"/>
        <w:spacing w:line="360" w:lineRule="auto"/>
        <w:ind w:left="0"/>
        <w:jc w:val="both"/>
        <w:rPr>
          <w:rFonts w:ascii="Times New Roman" w:hAnsi="Times New Roman" w:cs="Times New Roman"/>
          <w:b/>
          <w:sz w:val="28"/>
          <w:szCs w:val="28"/>
        </w:rPr>
      </w:pPr>
      <w:r>
        <w:rPr>
          <w:rFonts w:ascii="Times New Roman" w:hAnsi="Times New Roman" w:cs="Times New Roman"/>
          <w:b/>
          <w:sz w:val="28"/>
          <w:szCs w:val="28"/>
        </w:rPr>
        <w:t>1.Introduction</w:t>
      </w:r>
    </w:p>
    <w:p w14:paraId="0D3C8C5D" w14:textId="77777777" w:rsidR="00B6568E" w:rsidRDefault="00000000">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Climate change is a multifaceted challenge arising from the dynamic interactions between natural environments, societal developments, and human preferences for material and non-material benefits </w:t>
      </w:r>
      <w:r>
        <w:rPr>
          <w:rFonts w:ascii="Times New Roman" w:hAnsi="Times New Roman" w:cs="Times New Roman"/>
          <w:color w:val="0000FF"/>
          <w:sz w:val="24"/>
          <w:szCs w:val="24"/>
        </w:rPr>
        <w:t>(</w:t>
      </w:r>
      <w:proofErr w:type="spellStart"/>
      <w:r>
        <w:rPr>
          <w:rFonts w:ascii="Times New Roman" w:hAnsi="Times New Roman" w:cs="Times New Roman"/>
          <w:color w:val="0000FF"/>
          <w:sz w:val="24"/>
          <w:szCs w:val="24"/>
        </w:rPr>
        <w:t>Parrey</w:t>
      </w:r>
      <w:proofErr w:type="spellEnd"/>
      <w:r>
        <w:rPr>
          <w:rFonts w:ascii="Times New Roman" w:hAnsi="Times New Roman" w:cs="Times New Roman"/>
          <w:color w:val="0000FF"/>
          <w:sz w:val="24"/>
          <w:szCs w:val="24"/>
        </w:rPr>
        <w:t xml:space="preserve"> et al.,2024</w:t>
      </w:r>
      <w:proofErr w:type="gramStart"/>
      <w:r>
        <w:rPr>
          <w:rFonts w:ascii="Times New Roman" w:hAnsi="Times New Roman" w:cs="Times New Roman"/>
          <w:color w:val="0000FF"/>
          <w:sz w:val="24"/>
          <w:szCs w:val="24"/>
        </w:rPr>
        <w:t>)</w:t>
      </w:r>
      <w:r>
        <w:rPr>
          <w:rFonts w:ascii="Times New Roman" w:hAnsi="Times New Roman" w:cs="Times New Roman"/>
          <w:color w:val="000000" w:themeColor="text1"/>
          <w:sz w:val="24"/>
          <w:szCs w:val="24"/>
        </w:rPr>
        <w:t>.Changes</w:t>
      </w:r>
      <w:proofErr w:type="gramEnd"/>
      <w:r>
        <w:rPr>
          <w:rFonts w:ascii="Times New Roman" w:hAnsi="Times New Roman" w:cs="Times New Roman"/>
          <w:color w:val="000000" w:themeColor="text1"/>
          <w:sz w:val="24"/>
          <w:szCs w:val="24"/>
        </w:rPr>
        <w:t xml:space="preserve"> in the global climate have garnered attention from experts across all fields, with potential far-reaching impacts on human civilization </w:t>
      </w:r>
      <w:r>
        <w:rPr>
          <w:rFonts w:ascii="Times New Roman" w:hAnsi="Times New Roman" w:cs="Times New Roman"/>
          <w:color w:val="0000FF"/>
          <w:sz w:val="24"/>
          <w:szCs w:val="24"/>
        </w:rPr>
        <w:t>(Singh, 2020)</w:t>
      </w:r>
      <w:r>
        <w:rPr>
          <w:rFonts w:ascii="Times New Roman" w:hAnsi="Times New Roman" w:cs="Times New Roman"/>
          <w:color w:val="000000" w:themeColor="text1"/>
          <w:sz w:val="24"/>
          <w:szCs w:val="24"/>
        </w:rPr>
        <w:t xml:space="preserve">. The effects vary worldwide </w:t>
      </w:r>
      <w:r>
        <w:rPr>
          <w:rFonts w:ascii="Times New Roman" w:hAnsi="Times New Roman" w:cs="Times New Roman"/>
          <w:color w:val="0000FF"/>
          <w:sz w:val="24"/>
          <w:szCs w:val="24"/>
        </w:rPr>
        <w:t>(Masson-Delmotte et al., 2022)</w:t>
      </w:r>
      <w:r>
        <w:rPr>
          <w:rFonts w:ascii="Times New Roman" w:hAnsi="Times New Roman" w:cs="Times New Roman"/>
          <w:color w:val="000000" w:themeColor="text1"/>
          <w:sz w:val="24"/>
          <w:szCs w:val="24"/>
        </w:rPr>
        <w:t xml:space="preserve">, but the negative impacts are expected to be more severe in tropical and subtropical regions, particularly in developing countries like India </w:t>
      </w:r>
      <w:r>
        <w:rPr>
          <w:rFonts w:ascii="Times New Roman" w:hAnsi="Times New Roman" w:cs="Times New Roman"/>
          <w:color w:val="0000FF"/>
          <w:sz w:val="24"/>
          <w:szCs w:val="24"/>
        </w:rPr>
        <w:t>(Singh et al., 2019)</w:t>
      </w:r>
      <w:r>
        <w:rPr>
          <w:rFonts w:ascii="Times New Roman" w:hAnsi="Times New Roman" w:cs="Times New Roman"/>
          <w:color w:val="000000" w:themeColor="text1"/>
          <w:sz w:val="24"/>
          <w:szCs w:val="24"/>
        </w:rPr>
        <w:t xml:space="preserve">. In 2022, the global average temperature was approximately 1.5°C higher than the average temperature recorded between 1850 and 1900 </w:t>
      </w:r>
      <w:r>
        <w:rPr>
          <w:rFonts w:ascii="Times New Roman" w:hAnsi="Times New Roman" w:cs="Times New Roman"/>
          <w:color w:val="0000FF"/>
          <w:sz w:val="24"/>
          <w:szCs w:val="24"/>
        </w:rPr>
        <w:t>(WMO, 2023)</w:t>
      </w:r>
      <w:r>
        <w:rPr>
          <w:rFonts w:ascii="Times New Roman" w:hAnsi="Times New Roman" w:cs="Times New Roman"/>
          <w:color w:val="000000" w:themeColor="text1"/>
          <w:sz w:val="24"/>
          <w:szCs w:val="24"/>
        </w:rPr>
        <w:t xml:space="preserve">. Furthermore, the World Meteorological Organization predicts that the annual global near-surface temperature between 2023 and 2027 will be between 1.0°C and 1.8°C higher than the 1850–1900 baseline, with human activities being the main cause of this warming. The Intergovernmental Panel on Climate Change </w:t>
      </w:r>
      <w:r>
        <w:rPr>
          <w:rFonts w:ascii="Times New Roman" w:hAnsi="Times New Roman" w:cs="Times New Roman"/>
          <w:color w:val="0000FF"/>
          <w:sz w:val="24"/>
          <w:szCs w:val="24"/>
        </w:rPr>
        <w:t>(IPCC, 2014)</w:t>
      </w:r>
      <w:r>
        <w:rPr>
          <w:rFonts w:ascii="Times New Roman" w:hAnsi="Times New Roman" w:cs="Times New Roman"/>
          <w:color w:val="000000" w:themeColor="text1"/>
          <w:sz w:val="24"/>
          <w:szCs w:val="24"/>
        </w:rPr>
        <w:t xml:space="preserve"> estimates that 20 to 40% of the global population has already experienced regional warming of over 1.5°C, which is significantly affecting agricultural productivity. The impact of climate change and its associated risks is particularly severe in developing countries like India. Studies by </w:t>
      </w:r>
      <w:r>
        <w:rPr>
          <w:rFonts w:ascii="Times New Roman" w:hAnsi="Times New Roman" w:cs="Times New Roman"/>
          <w:color w:val="0000FF"/>
          <w:sz w:val="24"/>
          <w:szCs w:val="24"/>
        </w:rPr>
        <w:t>(Jatav and Naik,2023; Singh and Nayak,2014)</w:t>
      </w:r>
      <w:r>
        <w:rPr>
          <w:rFonts w:ascii="Times New Roman" w:hAnsi="Times New Roman" w:cs="Times New Roman"/>
          <w:color w:val="000000" w:themeColor="text1"/>
          <w:sz w:val="24"/>
          <w:szCs w:val="24"/>
        </w:rPr>
        <w:t xml:space="preserve"> indicate that a large majority of Indian farmers (around 85%) lack the financial capacity to cope with the effects of climate change. Additionally, there is a notable socio-economic disparity in how vulnerable farmers are to changes in monsoon patterns </w:t>
      </w:r>
      <w:r>
        <w:rPr>
          <w:rFonts w:ascii="Times New Roman" w:hAnsi="Times New Roman" w:cs="Times New Roman"/>
          <w:color w:val="0000FF"/>
          <w:sz w:val="24"/>
          <w:szCs w:val="24"/>
        </w:rPr>
        <w:t>(Singh,2020).</w:t>
      </w:r>
      <w:r>
        <w:rPr>
          <w:rFonts w:ascii="Times New Roman" w:hAnsi="Times New Roman" w:cs="Times New Roman"/>
          <w:color w:val="000000" w:themeColor="text1"/>
          <w:sz w:val="24"/>
          <w:szCs w:val="24"/>
        </w:rPr>
        <w:t xml:space="preserve"> Those with poor soil quality, fields in less </w:t>
      </w:r>
      <w:proofErr w:type="spellStart"/>
      <w:r>
        <w:rPr>
          <w:rFonts w:ascii="Times New Roman" w:hAnsi="Times New Roman" w:cs="Times New Roman"/>
          <w:color w:val="000000" w:themeColor="text1"/>
          <w:sz w:val="24"/>
          <w:szCs w:val="24"/>
        </w:rPr>
        <w:t>favourable</w:t>
      </w:r>
      <w:proofErr w:type="spellEnd"/>
      <w:r>
        <w:rPr>
          <w:rFonts w:ascii="Times New Roman" w:hAnsi="Times New Roman" w:cs="Times New Roman"/>
          <w:color w:val="000000" w:themeColor="text1"/>
          <w:sz w:val="24"/>
          <w:szCs w:val="24"/>
        </w:rPr>
        <w:t xml:space="preserve"> locations, or limited access to irrigation are especially prone to crop failures during droughts </w:t>
      </w:r>
      <w:r>
        <w:rPr>
          <w:rFonts w:ascii="Times New Roman" w:hAnsi="Times New Roman" w:cs="Times New Roman"/>
          <w:color w:val="0000FF"/>
          <w:sz w:val="24"/>
          <w:szCs w:val="24"/>
        </w:rPr>
        <w:t>(Nayak and Singh,2020)</w:t>
      </w:r>
      <w:r>
        <w:rPr>
          <w:rFonts w:ascii="Times New Roman" w:hAnsi="Times New Roman" w:cs="Times New Roman"/>
          <w:color w:val="000000" w:themeColor="text1"/>
          <w:sz w:val="24"/>
          <w:szCs w:val="24"/>
        </w:rPr>
        <w:t xml:space="preserve">. Declines in agricultural productivity have been linked to dry spells occurring during key stages of plant growth </w:t>
      </w:r>
      <w:r>
        <w:rPr>
          <w:rFonts w:ascii="Times New Roman" w:hAnsi="Times New Roman" w:cs="Times New Roman"/>
          <w:color w:val="0000FF"/>
          <w:sz w:val="24"/>
          <w:szCs w:val="24"/>
        </w:rPr>
        <w:t>(Singh et al.,2019)</w:t>
      </w:r>
      <w:r>
        <w:rPr>
          <w:rFonts w:ascii="Times New Roman" w:hAnsi="Times New Roman" w:cs="Times New Roman"/>
          <w:color w:val="000000" w:themeColor="text1"/>
          <w:sz w:val="24"/>
          <w:szCs w:val="24"/>
        </w:rPr>
        <w:t>. To address the production losses caused by these dry spells,</w:t>
      </w:r>
      <w:r>
        <w:rPr>
          <w:rFonts w:ascii="Times New Roman" w:hAnsi="Times New Roman" w:cs="Times New Roman"/>
          <w:color w:val="0000FF"/>
          <w:sz w:val="24"/>
          <w:szCs w:val="24"/>
        </w:rPr>
        <w:t xml:space="preserve"> (Kumar et al., 2018)</w:t>
      </w:r>
      <w:r>
        <w:rPr>
          <w:rFonts w:ascii="Times New Roman" w:hAnsi="Times New Roman" w:cs="Times New Roman"/>
          <w:color w:val="000000" w:themeColor="text1"/>
          <w:sz w:val="24"/>
          <w:szCs w:val="24"/>
        </w:rPr>
        <w:t xml:space="preserve"> emphasized the importance of ensuring irrigation availability and preserving soil moisture. Even with significant reductions in greenhouse gas emissions as part of climate mitigation efforts, it is expected that the negative effects of climate change will continue and intensify in the coming decades. This highlights the need for adaptation measures to be </w:t>
      </w:r>
      <w:r>
        <w:rPr>
          <w:rFonts w:ascii="Times New Roman" w:hAnsi="Times New Roman" w:cs="Times New Roman"/>
          <w:color w:val="000000" w:themeColor="text1"/>
          <w:sz w:val="24"/>
          <w:szCs w:val="24"/>
        </w:rPr>
        <w:lastRenderedPageBreak/>
        <w:t xml:space="preserve">implemented </w:t>
      </w:r>
      <w:r>
        <w:rPr>
          <w:rFonts w:ascii="Times New Roman" w:hAnsi="Times New Roman" w:cs="Times New Roman"/>
          <w:color w:val="0000FF"/>
          <w:sz w:val="24"/>
          <w:szCs w:val="24"/>
        </w:rPr>
        <w:t>(Sikka et al.,2018; Singh and Nayak,2018a).</w:t>
      </w:r>
      <w:r>
        <w:rPr>
          <w:rFonts w:ascii="Times New Roman" w:hAnsi="Times New Roman" w:cs="Times New Roman"/>
          <w:color w:val="000000" w:themeColor="text1"/>
          <w:sz w:val="24"/>
          <w:szCs w:val="24"/>
        </w:rPr>
        <w:t xml:space="preserve"> Moreover, the objectives, scope, and practical application of findings from climate vulnerability assessments can vary significantly across studies </w:t>
      </w:r>
      <w:r>
        <w:rPr>
          <w:rFonts w:ascii="Times New Roman" w:hAnsi="Times New Roman" w:cs="Times New Roman"/>
          <w:color w:val="0000FF"/>
          <w:sz w:val="24"/>
          <w:szCs w:val="24"/>
        </w:rPr>
        <w:t xml:space="preserve">(Singh and Nayak,2018b; </w:t>
      </w:r>
      <w:proofErr w:type="spellStart"/>
      <w:r>
        <w:rPr>
          <w:rFonts w:ascii="Times New Roman" w:hAnsi="Times New Roman" w:cs="Times New Roman"/>
          <w:color w:val="0000FF"/>
          <w:sz w:val="24"/>
          <w:szCs w:val="24"/>
        </w:rPr>
        <w:t>Kuchimanchi</w:t>
      </w:r>
      <w:proofErr w:type="spellEnd"/>
      <w:r>
        <w:rPr>
          <w:rFonts w:ascii="Times New Roman" w:hAnsi="Times New Roman" w:cs="Times New Roman"/>
          <w:color w:val="0000FF"/>
          <w:sz w:val="24"/>
          <w:szCs w:val="24"/>
        </w:rPr>
        <w:t xml:space="preserve"> et al.,2019).</w:t>
      </w:r>
      <w:r>
        <w:rPr>
          <w:rFonts w:ascii="Times New Roman" w:hAnsi="Times New Roman" w:cs="Times New Roman"/>
          <w:color w:val="000000" w:themeColor="text1"/>
          <w:sz w:val="24"/>
          <w:szCs w:val="24"/>
        </w:rPr>
        <w:t xml:space="preserve"> These assessments may be conducted to track changes in vulnerability or to identify current or potential hotspots as focal points for climate adaptation actions</w:t>
      </w:r>
      <w:r>
        <w:rPr>
          <w:rFonts w:ascii="Times New Roman" w:hAnsi="Times New Roman" w:cs="Times New Roman"/>
          <w:color w:val="0000FF"/>
          <w:sz w:val="24"/>
          <w:szCs w:val="24"/>
        </w:rPr>
        <w:t xml:space="preserve"> (Singh,2020)</w:t>
      </w:r>
      <w:r>
        <w:rPr>
          <w:rFonts w:ascii="Times New Roman" w:hAnsi="Times New Roman" w:cs="Times New Roman"/>
          <w:color w:val="000000" w:themeColor="text1"/>
          <w:sz w:val="24"/>
          <w:szCs w:val="24"/>
        </w:rPr>
        <w:t xml:space="preserve">, with mapping done at scales ranging from national to local village </w:t>
      </w:r>
      <w:proofErr w:type="spellStart"/>
      <w:proofErr w:type="gramStart"/>
      <w:r>
        <w:rPr>
          <w:rFonts w:ascii="Times New Roman" w:hAnsi="Times New Roman" w:cs="Times New Roman"/>
          <w:color w:val="000000" w:themeColor="text1"/>
          <w:sz w:val="24"/>
          <w:szCs w:val="24"/>
        </w:rPr>
        <w:t>levels.There</w:t>
      </w:r>
      <w:proofErr w:type="spellEnd"/>
      <w:proofErr w:type="gramEnd"/>
      <w:r>
        <w:rPr>
          <w:rFonts w:ascii="Times New Roman" w:hAnsi="Times New Roman" w:cs="Times New Roman"/>
          <w:color w:val="000000" w:themeColor="text1"/>
          <w:sz w:val="24"/>
          <w:szCs w:val="24"/>
        </w:rPr>
        <w:t xml:space="preserve"> is a circular, rather than linear, relationship between vulnerability, adaptive capacity, and adaptation </w:t>
      </w:r>
      <w:r>
        <w:rPr>
          <w:rFonts w:ascii="Times New Roman" w:hAnsi="Times New Roman" w:cs="Times New Roman"/>
          <w:color w:val="0000FF"/>
          <w:sz w:val="24"/>
          <w:szCs w:val="24"/>
        </w:rPr>
        <w:t>(</w:t>
      </w:r>
      <w:proofErr w:type="spellStart"/>
      <w:r>
        <w:rPr>
          <w:rFonts w:ascii="Times New Roman" w:hAnsi="Times New Roman" w:cs="Times New Roman"/>
          <w:color w:val="0000FF"/>
          <w:sz w:val="24"/>
          <w:szCs w:val="24"/>
        </w:rPr>
        <w:t>Kuchimanchi</w:t>
      </w:r>
      <w:proofErr w:type="spellEnd"/>
      <w:r>
        <w:rPr>
          <w:rFonts w:ascii="Times New Roman" w:hAnsi="Times New Roman" w:cs="Times New Roman"/>
          <w:color w:val="0000FF"/>
          <w:sz w:val="24"/>
          <w:szCs w:val="24"/>
        </w:rPr>
        <w:t xml:space="preserve"> et al., 2019)</w:t>
      </w:r>
      <w:r>
        <w:rPr>
          <w:rFonts w:ascii="Times New Roman" w:hAnsi="Times New Roman" w:cs="Times New Roman"/>
          <w:color w:val="000000" w:themeColor="text1"/>
          <w:sz w:val="24"/>
          <w:szCs w:val="24"/>
        </w:rPr>
        <w:t xml:space="preserve">. It has been proposed that vulnerability and adaptability are interconnected, with the former being influenced by the latter </w:t>
      </w:r>
      <w:r>
        <w:rPr>
          <w:rFonts w:ascii="Times New Roman" w:hAnsi="Times New Roman" w:cs="Times New Roman"/>
          <w:color w:val="0000FF"/>
          <w:sz w:val="24"/>
          <w:szCs w:val="24"/>
        </w:rPr>
        <w:t>(Mertz et al., 2009)</w:t>
      </w:r>
      <w:r>
        <w:rPr>
          <w:rFonts w:ascii="Times New Roman" w:hAnsi="Times New Roman" w:cs="Times New Roman"/>
          <w:color w:val="000000" w:themeColor="text1"/>
          <w:sz w:val="24"/>
          <w:szCs w:val="24"/>
        </w:rPr>
        <w:t xml:space="preserve">. For instance, individuals who have access to stable income and a diverse diet are less likely to face poverty and hunger. This enhances their ability to respond to challenges by reallocating resources or migrating to safer areas based on the level of threats they encounter. For example, when people rely on credit schemes to purchase drought-resistant crops and crop varieties as part of adaptive strategies to counter the effects of drought, a total crop failure would not only result in food insecurity but also leave them burdened with overwhelming debt. Therefore, implementing credit schemes and introducing new crops might require the provision of "weather insurance," which has been experimentally tested in various developing countries </w:t>
      </w:r>
      <w:r>
        <w:rPr>
          <w:rFonts w:ascii="Times New Roman" w:hAnsi="Times New Roman" w:cs="Times New Roman"/>
          <w:color w:val="0000FF"/>
          <w:sz w:val="24"/>
          <w:szCs w:val="24"/>
        </w:rPr>
        <w:t>(Kelly and Adger, 2000)</w:t>
      </w:r>
      <w:r>
        <w:rPr>
          <w:rFonts w:ascii="Times New Roman" w:hAnsi="Times New Roman" w:cs="Times New Roman"/>
          <w:color w:val="000000" w:themeColor="text1"/>
          <w:sz w:val="24"/>
          <w:szCs w:val="24"/>
        </w:rPr>
        <w:t xml:space="preserve">. Additionally, </w:t>
      </w:r>
      <w:r>
        <w:rPr>
          <w:rFonts w:ascii="Times New Roman" w:hAnsi="Times New Roman" w:cs="Times New Roman"/>
          <w:color w:val="0000FF"/>
          <w:sz w:val="24"/>
          <w:szCs w:val="24"/>
        </w:rPr>
        <w:t>(Kelly and Adger,</w:t>
      </w:r>
      <w:proofErr w:type="gramStart"/>
      <w:r>
        <w:rPr>
          <w:rFonts w:ascii="Times New Roman" w:hAnsi="Times New Roman" w:cs="Times New Roman"/>
          <w:color w:val="0000FF"/>
          <w:sz w:val="24"/>
          <w:szCs w:val="24"/>
        </w:rPr>
        <w:t>2000;Mertz</w:t>
      </w:r>
      <w:proofErr w:type="gramEnd"/>
      <w:r>
        <w:rPr>
          <w:rFonts w:ascii="Times New Roman" w:hAnsi="Times New Roman" w:cs="Times New Roman"/>
          <w:color w:val="0000FF"/>
          <w:sz w:val="24"/>
          <w:szCs w:val="24"/>
        </w:rPr>
        <w:t xml:space="preserve"> et al., 2009)</w:t>
      </w:r>
      <w:r>
        <w:rPr>
          <w:rFonts w:ascii="Times New Roman" w:hAnsi="Times New Roman" w:cs="Times New Roman"/>
          <w:color w:val="000000" w:themeColor="text1"/>
          <w:sz w:val="24"/>
          <w:szCs w:val="24"/>
        </w:rPr>
        <w:t xml:space="preserve"> argued that an accurate assessment of individuals’ true vulnerability is not possible until adaptation measures are put in place. Farmers play a key role in combating climate change and are uniquely positioned to implement adaptation strategies to reduce its impact on their agricultural </w:t>
      </w:r>
      <w:proofErr w:type="spellStart"/>
      <w:proofErr w:type="gramStart"/>
      <w:r>
        <w:rPr>
          <w:rFonts w:ascii="Times New Roman" w:hAnsi="Times New Roman" w:cs="Times New Roman"/>
          <w:color w:val="000000" w:themeColor="text1"/>
          <w:sz w:val="24"/>
          <w:szCs w:val="24"/>
        </w:rPr>
        <w:t>systems.Recognizing</w:t>
      </w:r>
      <w:proofErr w:type="spellEnd"/>
      <w:proofErr w:type="gramEnd"/>
      <w:r>
        <w:rPr>
          <w:rFonts w:ascii="Times New Roman" w:hAnsi="Times New Roman" w:cs="Times New Roman"/>
          <w:color w:val="000000" w:themeColor="text1"/>
          <w:sz w:val="24"/>
          <w:szCs w:val="24"/>
        </w:rPr>
        <w:t xml:space="preserve"> climate change is essential for implementing any form of adaptation measures. According to </w:t>
      </w:r>
      <w:r>
        <w:rPr>
          <w:rFonts w:ascii="Times New Roman" w:hAnsi="Times New Roman" w:cs="Times New Roman"/>
          <w:color w:val="0000FF"/>
          <w:sz w:val="24"/>
          <w:szCs w:val="24"/>
        </w:rPr>
        <w:t>(Barnett and Mahul, 2007),</w:t>
      </w:r>
      <w:r>
        <w:rPr>
          <w:rFonts w:ascii="Times New Roman" w:hAnsi="Times New Roman" w:cs="Times New Roman"/>
          <w:color w:val="000000" w:themeColor="text1"/>
          <w:sz w:val="24"/>
          <w:szCs w:val="24"/>
        </w:rPr>
        <w:t xml:space="preserve"> farmers who understand the realities of climate change and its impacts are more likely to support government initiatives. To assess farmers' vulnerability to climate change and their adaptation strategies, it is crucial to first examine their perceptions of the issue. The challenge of making decisions is further complicated for farmers by the delay between gathering information and taking action. Several researchers, including </w:t>
      </w:r>
      <w:r>
        <w:rPr>
          <w:rFonts w:ascii="Times New Roman" w:hAnsi="Times New Roman" w:cs="Times New Roman"/>
          <w:color w:val="0000FF"/>
          <w:sz w:val="24"/>
          <w:szCs w:val="24"/>
        </w:rPr>
        <w:t>(Alam et al. 2017; Maddison,2007; Bryan et al., 2009)</w:t>
      </w:r>
      <w:r>
        <w:rPr>
          <w:rFonts w:ascii="Times New Roman" w:hAnsi="Times New Roman" w:cs="Times New Roman"/>
          <w:color w:val="000000" w:themeColor="text1"/>
          <w:sz w:val="24"/>
          <w:szCs w:val="24"/>
        </w:rPr>
        <w:t>, have emphasized the importance of understanding farmers' perceptions of climate change in relation to farm-level adaptation. Climatic factors encompass various phenomena, such as local climate extremes like floods and droughts, as well as shifts in average temperatures and rainfall patterns across different regions.</w:t>
      </w:r>
      <w:r>
        <w:rPr>
          <w:rFonts w:ascii="Times New Roman" w:hAnsi="Times New Roman" w:cs="Times New Roman"/>
          <w:color w:val="0000FF"/>
          <w:sz w:val="24"/>
          <w:szCs w:val="24"/>
        </w:rPr>
        <w:t xml:space="preserve"> (Jatav, 2024)</w:t>
      </w:r>
      <w:r>
        <w:rPr>
          <w:rFonts w:ascii="Times New Roman" w:hAnsi="Times New Roman" w:cs="Times New Roman"/>
          <w:color w:val="000000" w:themeColor="text1"/>
          <w:sz w:val="24"/>
          <w:szCs w:val="24"/>
        </w:rPr>
        <w:t xml:space="preserve"> noted that farmers’ views on climate change are shaped by </w:t>
      </w:r>
      <w:r>
        <w:rPr>
          <w:rFonts w:ascii="Times New Roman" w:hAnsi="Times New Roman" w:cs="Times New Roman"/>
          <w:color w:val="000000" w:themeColor="text1"/>
          <w:sz w:val="24"/>
          <w:szCs w:val="24"/>
        </w:rPr>
        <w:lastRenderedPageBreak/>
        <w:t xml:space="preserve">current weather conditions, making it vital to investigate the specific climatic elements they consider in their assessments. Given the uncertainty of the climate, farmers tend to prioritize recent climate events when making decisions </w:t>
      </w:r>
      <w:r>
        <w:rPr>
          <w:rFonts w:ascii="Times New Roman" w:hAnsi="Times New Roman" w:cs="Times New Roman"/>
          <w:color w:val="0000FF"/>
          <w:sz w:val="24"/>
          <w:szCs w:val="24"/>
        </w:rPr>
        <w:t>(Singh and Nayak, 2018a)</w:t>
      </w:r>
      <w:r>
        <w:rPr>
          <w:rFonts w:ascii="Times New Roman" w:hAnsi="Times New Roman" w:cs="Times New Roman"/>
          <w:color w:val="000000" w:themeColor="text1"/>
          <w:sz w:val="24"/>
          <w:szCs w:val="24"/>
        </w:rPr>
        <w:t xml:space="preserve">. Short-term trends reveal increasingly erratic and unpredictable year-to-year variations in temperatures and extreme weather events. Historically, farmers have focused on seasonal climate forecasts due to the limited response time and narrow window for decision-making provided by such changes. Previous research also suggests that while farmers may perceive climatic events, this does not necessarily lead to adaptation strategies </w:t>
      </w:r>
      <w:r>
        <w:rPr>
          <w:rFonts w:ascii="Times New Roman" w:hAnsi="Times New Roman" w:cs="Times New Roman"/>
          <w:color w:val="0000FF"/>
          <w:sz w:val="24"/>
          <w:szCs w:val="24"/>
        </w:rPr>
        <w:t>(Maddison, 2007),</w:t>
      </w:r>
      <w:r>
        <w:rPr>
          <w:rFonts w:ascii="Times New Roman" w:hAnsi="Times New Roman" w:cs="Times New Roman"/>
          <w:color w:val="000000" w:themeColor="text1"/>
          <w:sz w:val="24"/>
          <w:szCs w:val="24"/>
        </w:rPr>
        <w:t xml:space="preserve"> as various factors can hinder their ability to adapt. Farmers' cognitive capacities vary depending on factors like age, education, gender, and location </w:t>
      </w:r>
      <w:r>
        <w:rPr>
          <w:rFonts w:ascii="Times New Roman" w:hAnsi="Times New Roman" w:cs="Times New Roman"/>
          <w:color w:val="0000FF"/>
          <w:sz w:val="24"/>
          <w:szCs w:val="24"/>
        </w:rPr>
        <w:t>(Singh and Nayak, 2018a; Tripathi and Mishra, 2017; Deressa et al., 2009).</w:t>
      </w:r>
    </w:p>
    <w:p w14:paraId="66E178E4" w14:textId="77777777" w:rsidR="00B6568E" w:rsidRDefault="00000000">
      <w:pPr>
        <w:pStyle w:val="ListParagraph"/>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Literature review</w:t>
      </w:r>
    </w:p>
    <w:p w14:paraId="72E7AA00" w14:textId="77777777" w:rsidR="00B6568E" w:rsidRDefault="00000000">
      <w:pPr>
        <w:spacing w:line="360" w:lineRule="auto"/>
        <w:jc w:val="both"/>
        <w:rPr>
          <w:rFonts w:ascii="Times New Roman" w:hAnsi="Times New Roman" w:cs="Times New Roman"/>
          <w:color w:val="0000FF"/>
          <w:sz w:val="24"/>
          <w:szCs w:val="24"/>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The rising emissions of greenhouse gases from various sources have contributed to severe climate changes, most notably the phenomenon of global warming. Serge Planton et al. provide a comprehensive overview of the anticipated shifts in climate extremes throughout this century as a result of greenhouse gas and anthropogenic aerosol emissions. These changes include fewer frost days, longer growing seasons, extended drought periods, and alterations in wind-related extremes </w:t>
      </w:r>
      <w:r>
        <w:rPr>
          <w:rFonts w:ascii="Times New Roman" w:hAnsi="Times New Roman" w:cs="Times New Roman"/>
          <w:color w:val="0000FF"/>
          <w:sz w:val="24"/>
          <w:szCs w:val="24"/>
        </w:rPr>
        <w:t>(Serge et al., 2008).</w:t>
      </w:r>
      <w:r>
        <w:rPr>
          <w:rFonts w:ascii="Times New Roman" w:hAnsi="Times New Roman" w:cs="Times New Roman"/>
          <w:color w:val="000000" w:themeColor="text1"/>
          <w:sz w:val="24"/>
          <w:szCs w:val="24"/>
        </w:rPr>
        <w:t xml:space="preserve"> Global climate data from the IPCC, utilizing the first version of the Canadian Global Coupled Model (CGCMI) and the GIS-based EPIC model, was employed by </w:t>
      </w:r>
      <w:proofErr w:type="spellStart"/>
      <w:r>
        <w:rPr>
          <w:rFonts w:ascii="Times New Roman" w:hAnsi="Times New Roman" w:cs="Times New Roman"/>
          <w:color w:val="000000" w:themeColor="text1"/>
          <w:sz w:val="24"/>
          <w:szCs w:val="24"/>
        </w:rPr>
        <w:t>Guoxin</w:t>
      </w:r>
      <w:proofErr w:type="spellEnd"/>
      <w:r>
        <w:rPr>
          <w:rFonts w:ascii="Times New Roman" w:hAnsi="Times New Roman" w:cs="Times New Roman"/>
          <w:color w:val="000000" w:themeColor="text1"/>
          <w:sz w:val="24"/>
          <w:szCs w:val="24"/>
        </w:rPr>
        <w:t xml:space="preserve"> Tan and Ryosuke Shibasaki to simulate future climate scenarios for the years 2010, 2020, 2030, 2040, and 2050. Their findings indicated that global warming would negatively impact crop yields in most countries, although efficient adaptation strategies could mitigate some of these adverse effects</w:t>
      </w:r>
      <w:r>
        <w:rPr>
          <w:rFonts w:ascii="Times New Roman" w:hAnsi="Times New Roman" w:cs="Times New Roman"/>
          <w:color w:val="0000FF"/>
          <w:sz w:val="24"/>
          <w:szCs w:val="24"/>
        </w:rPr>
        <w:t xml:space="preserve"> (</w:t>
      </w:r>
      <w:proofErr w:type="spellStart"/>
      <w:r>
        <w:rPr>
          <w:rFonts w:ascii="Times New Roman" w:hAnsi="Times New Roman" w:cs="Times New Roman"/>
          <w:color w:val="0000FF"/>
          <w:sz w:val="24"/>
          <w:szCs w:val="24"/>
        </w:rPr>
        <w:t>Guoxin</w:t>
      </w:r>
      <w:proofErr w:type="spellEnd"/>
      <w:r>
        <w:rPr>
          <w:rFonts w:ascii="Times New Roman" w:hAnsi="Times New Roman" w:cs="Times New Roman"/>
          <w:color w:val="0000FF"/>
          <w:sz w:val="24"/>
          <w:szCs w:val="24"/>
        </w:rPr>
        <w:t xml:space="preserve"> and Shibasaki, 2003)</w:t>
      </w:r>
      <w:r>
        <w:rPr>
          <w:rFonts w:ascii="Times New Roman" w:hAnsi="Times New Roman" w:cs="Times New Roman"/>
          <w:color w:val="000000" w:themeColor="text1"/>
          <w:sz w:val="24"/>
          <w:szCs w:val="24"/>
        </w:rPr>
        <w:t xml:space="preserve">. Additionally, climate change is expected to significantly influence the hydrological cycle, particularly factors such as precipitation, evapotranspiration, and soil moisture. As evapotranspiration (ET) is a key element of the hydrological cycle, it will have critical implications for crop water requirements and future water resource planning and management </w:t>
      </w:r>
      <w:r>
        <w:rPr>
          <w:rFonts w:ascii="Times New Roman" w:hAnsi="Times New Roman" w:cs="Times New Roman"/>
          <w:color w:val="0000FF"/>
          <w:sz w:val="24"/>
          <w:szCs w:val="24"/>
        </w:rPr>
        <w:t>(Ramana et al., 2012)</w:t>
      </w:r>
      <w:r>
        <w:rPr>
          <w:rFonts w:ascii="Times New Roman" w:hAnsi="Times New Roman" w:cs="Times New Roman"/>
          <w:color w:val="000000" w:themeColor="text1"/>
          <w:sz w:val="24"/>
          <w:szCs w:val="24"/>
        </w:rPr>
        <w:t xml:space="preserve">.There is widespread consensus that agriculture is highly vulnerable to climate change, necessitating the adoption of adaptation strategies to mitigate its adverse effects </w:t>
      </w:r>
      <w:r>
        <w:rPr>
          <w:rFonts w:ascii="Times New Roman" w:hAnsi="Times New Roman" w:cs="Times New Roman"/>
          <w:color w:val="0000FF"/>
          <w:sz w:val="24"/>
          <w:szCs w:val="24"/>
        </w:rPr>
        <w:t xml:space="preserve">(Smit and </w:t>
      </w:r>
      <w:proofErr w:type="spellStart"/>
      <w:r>
        <w:rPr>
          <w:rFonts w:ascii="Times New Roman" w:hAnsi="Times New Roman" w:cs="Times New Roman"/>
          <w:color w:val="0000FF"/>
          <w:sz w:val="24"/>
          <w:szCs w:val="24"/>
        </w:rPr>
        <w:t>Menabb</w:t>
      </w:r>
      <w:proofErr w:type="spellEnd"/>
      <w:r>
        <w:rPr>
          <w:rFonts w:ascii="Times New Roman" w:hAnsi="Times New Roman" w:cs="Times New Roman"/>
          <w:color w:val="0000FF"/>
          <w:sz w:val="24"/>
          <w:szCs w:val="24"/>
        </w:rPr>
        <w:t xml:space="preserve">, 1997; Rosenzweig et al., 2013; Adger et al., 2003; </w:t>
      </w:r>
      <w:proofErr w:type="spellStart"/>
      <w:r>
        <w:rPr>
          <w:rFonts w:ascii="Times New Roman" w:hAnsi="Times New Roman" w:cs="Times New Roman"/>
          <w:color w:val="0000FF"/>
          <w:sz w:val="24"/>
          <w:szCs w:val="24"/>
        </w:rPr>
        <w:t>Kandlinkar</w:t>
      </w:r>
      <w:proofErr w:type="spellEnd"/>
      <w:r>
        <w:rPr>
          <w:rFonts w:ascii="Times New Roman" w:hAnsi="Times New Roman" w:cs="Times New Roman"/>
          <w:color w:val="0000FF"/>
          <w:sz w:val="24"/>
          <w:szCs w:val="24"/>
        </w:rPr>
        <w:t xml:space="preserve"> and </w:t>
      </w:r>
      <w:proofErr w:type="spellStart"/>
      <w:r>
        <w:rPr>
          <w:rFonts w:ascii="Times New Roman" w:hAnsi="Times New Roman" w:cs="Times New Roman"/>
          <w:color w:val="0000FF"/>
          <w:sz w:val="24"/>
          <w:szCs w:val="24"/>
        </w:rPr>
        <w:t>Risbey</w:t>
      </w:r>
      <w:proofErr w:type="spellEnd"/>
      <w:r>
        <w:rPr>
          <w:rFonts w:ascii="Times New Roman" w:hAnsi="Times New Roman" w:cs="Times New Roman"/>
          <w:color w:val="0000FF"/>
          <w:sz w:val="24"/>
          <w:szCs w:val="24"/>
        </w:rPr>
        <w:t>, 2000; Toros et al., 2019; Islam et al., 2020;Bhat et al.,2023 ).</w:t>
      </w:r>
      <w:r>
        <w:rPr>
          <w:rFonts w:ascii="Times New Roman" w:hAnsi="Times New Roman" w:cs="Times New Roman"/>
          <w:color w:val="000000" w:themeColor="text1"/>
          <w:sz w:val="24"/>
          <w:szCs w:val="24"/>
        </w:rPr>
        <w:t xml:space="preserve"> In this context, adapting to climate change and modifying agricultural practices to </w:t>
      </w:r>
      <w:r>
        <w:rPr>
          <w:rFonts w:ascii="Times New Roman" w:hAnsi="Times New Roman" w:cs="Times New Roman"/>
          <w:color w:val="000000" w:themeColor="text1"/>
          <w:sz w:val="24"/>
          <w:szCs w:val="24"/>
        </w:rPr>
        <w:lastRenderedPageBreak/>
        <w:t>reduce its negative impacts has become essential. Understanding farmers' perceptions, beliefs, and concerns regarding climate change is crucial for formulating effective policies and communication strategies</w:t>
      </w:r>
      <w:r>
        <w:rPr>
          <w:rFonts w:ascii="Times New Roman" w:hAnsi="Times New Roman" w:cs="Times New Roman"/>
          <w:color w:val="0000FF"/>
          <w:sz w:val="24"/>
          <w:szCs w:val="24"/>
        </w:rPr>
        <w:t xml:space="preserve"> (Abid et al., 2015; Nhemachena and Hassan, 2007; Islam et al., 2020)</w:t>
      </w:r>
      <w:r>
        <w:rPr>
          <w:rFonts w:ascii="Times New Roman" w:hAnsi="Times New Roman" w:cs="Times New Roman"/>
          <w:color w:val="000000" w:themeColor="text1"/>
          <w:sz w:val="24"/>
          <w:szCs w:val="24"/>
        </w:rPr>
        <w:t xml:space="preserve">. Adaptation involves the strategies adopted in response to actual or anticipated climate stimuli </w:t>
      </w:r>
      <w:r>
        <w:rPr>
          <w:rFonts w:ascii="Times New Roman" w:hAnsi="Times New Roman" w:cs="Times New Roman"/>
          <w:color w:val="0000FF"/>
          <w:sz w:val="24"/>
          <w:szCs w:val="24"/>
        </w:rPr>
        <w:t>(Pan and Zheng, 2010)</w:t>
      </w:r>
      <w:r>
        <w:rPr>
          <w:rFonts w:ascii="Times New Roman" w:hAnsi="Times New Roman" w:cs="Times New Roman"/>
          <w:color w:val="000000" w:themeColor="text1"/>
          <w:sz w:val="24"/>
          <w:szCs w:val="24"/>
        </w:rPr>
        <w:t xml:space="preserve"> and aims to reduce the impacts of climate change while enhancing adaptive capacity. The successful implementation of these measures can lower regional vulnerabilities and create potential growth opportunities. Although interest in adaptation has grown in recent years, it remains relatively under-researched compared to mitigation, particularly in developing countries </w:t>
      </w:r>
      <w:r>
        <w:rPr>
          <w:rFonts w:ascii="Times New Roman" w:hAnsi="Times New Roman" w:cs="Times New Roman"/>
          <w:color w:val="0000FF"/>
          <w:sz w:val="24"/>
          <w:szCs w:val="24"/>
        </w:rPr>
        <w:t xml:space="preserve">(Zhao et al., </w:t>
      </w:r>
      <w:proofErr w:type="gramStart"/>
      <w:r>
        <w:rPr>
          <w:rFonts w:ascii="Times New Roman" w:hAnsi="Times New Roman" w:cs="Times New Roman"/>
          <w:color w:val="0000FF"/>
          <w:sz w:val="24"/>
          <w:szCs w:val="24"/>
        </w:rPr>
        <w:t>2018;Maripe</w:t>
      </w:r>
      <w:proofErr w:type="gramEnd"/>
      <w:r>
        <w:rPr>
          <w:rFonts w:ascii="Times New Roman" w:hAnsi="Times New Roman" w:cs="Times New Roman"/>
          <w:color w:val="0000FF"/>
          <w:sz w:val="24"/>
          <w:szCs w:val="24"/>
        </w:rPr>
        <w:t xml:space="preserve"> and Rankopo,2018).</w:t>
      </w:r>
      <w:r>
        <w:rPr>
          <w:rFonts w:ascii="Times New Roman" w:hAnsi="Times New Roman" w:cs="Times New Roman"/>
          <w:color w:val="000000" w:themeColor="text1"/>
          <w:sz w:val="24"/>
          <w:szCs w:val="24"/>
        </w:rPr>
        <w:t xml:space="preserve"> The inability to implement effective adaptation measures to improve agricultural performance at the local level can be attributed to various constraints faced by farmers, including inadequate infrastructure, limited resources, restricted market access, low levels of education, lack of access to extension services, limited information on climate change, adaptive options, and production cycles, as well as other demographic challenges</w:t>
      </w:r>
      <w:r>
        <w:rPr>
          <w:rFonts w:ascii="Times New Roman" w:hAnsi="Times New Roman" w:cs="Times New Roman"/>
          <w:color w:val="0000FF"/>
          <w:sz w:val="24"/>
          <w:szCs w:val="24"/>
        </w:rPr>
        <w:t xml:space="preserve"> (Jawahar and </w:t>
      </w:r>
      <w:proofErr w:type="spellStart"/>
      <w:r>
        <w:rPr>
          <w:rFonts w:ascii="Times New Roman" w:hAnsi="Times New Roman" w:cs="Times New Roman"/>
          <w:color w:val="0000FF"/>
          <w:sz w:val="24"/>
          <w:szCs w:val="24"/>
        </w:rPr>
        <w:t>Msangi</w:t>
      </w:r>
      <w:proofErr w:type="spellEnd"/>
      <w:r>
        <w:rPr>
          <w:rFonts w:ascii="Times New Roman" w:hAnsi="Times New Roman" w:cs="Times New Roman"/>
          <w:color w:val="0000FF"/>
          <w:sz w:val="24"/>
          <w:szCs w:val="24"/>
        </w:rPr>
        <w:t xml:space="preserve">, 2006; </w:t>
      </w:r>
      <w:proofErr w:type="spellStart"/>
      <w:r>
        <w:rPr>
          <w:rFonts w:ascii="Times New Roman" w:hAnsi="Times New Roman" w:cs="Times New Roman"/>
          <w:color w:val="0000FF"/>
          <w:sz w:val="24"/>
          <w:szCs w:val="24"/>
        </w:rPr>
        <w:t>Kandlinkar</w:t>
      </w:r>
      <w:proofErr w:type="spellEnd"/>
      <w:r>
        <w:rPr>
          <w:rFonts w:ascii="Times New Roman" w:hAnsi="Times New Roman" w:cs="Times New Roman"/>
          <w:color w:val="0000FF"/>
          <w:sz w:val="24"/>
          <w:szCs w:val="24"/>
        </w:rPr>
        <w:t xml:space="preserve"> and </w:t>
      </w:r>
      <w:proofErr w:type="spellStart"/>
      <w:r>
        <w:rPr>
          <w:rFonts w:ascii="Times New Roman" w:hAnsi="Times New Roman" w:cs="Times New Roman"/>
          <w:color w:val="0000FF"/>
          <w:sz w:val="24"/>
          <w:szCs w:val="24"/>
        </w:rPr>
        <w:t>Risbey</w:t>
      </w:r>
      <w:proofErr w:type="spellEnd"/>
      <w:r>
        <w:rPr>
          <w:rFonts w:ascii="Times New Roman" w:hAnsi="Times New Roman" w:cs="Times New Roman"/>
          <w:color w:val="0000FF"/>
          <w:sz w:val="24"/>
          <w:szCs w:val="24"/>
        </w:rPr>
        <w:t xml:space="preserve">, 2000; Jones, 2003; Archer et al., 2005; Hassan and Omran, 2017). </w:t>
      </w:r>
      <w:r>
        <w:rPr>
          <w:rFonts w:ascii="Times New Roman" w:hAnsi="Times New Roman" w:cs="Times New Roman"/>
          <w:color w:val="000000" w:themeColor="text1"/>
          <w:sz w:val="24"/>
          <w:szCs w:val="24"/>
        </w:rPr>
        <w:t xml:space="preserve">Numerous studies </w:t>
      </w:r>
      <w:r>
        <w:rPr>
          <w:rFonts w:ascii="Times New Roman" w:hAnsi="Times New Roman" w:cs="Times New Roman"/>
          <w:color w:val="0000FF"/>
          <w:sz w:val="24"/>
          <w:szCs w:val="24"/>
        </w:rPr>
        <w:t>(Nicholls and Leatherman, 1995; Mendelsohn et al., 1996; Rosenzweig and Parry, 1994; Bradshaw et al., 2004; Nhemachena and Hassan, 2007; Kurukulasuriya and Mendelsohn, 2006; Mendelsohn and Dinar, 2003; Downing, 1993)</w:t>
      </w:r>
      <w:r>
        <w:rPr>
          <w:rFonts w:ascii="Times New Roman" w:hAnsi="Times New Roman" w:cs="Times New Roman"/>
          <w:color w:val="000000" w:themeColor="text1"/>
          <w:sz w:val="24"/>
          <w:szCs w:val="24"/>
        </w:rPr>
        <w:t xml:space="preserve"> have shown that adaptation measures can significantly reduce the negative impacts of climate change and take advantage of the opportunities it presents. The primary goal of adaptation is to protect the most vulnerable parts of the agricultural sector and communities with the least capacity to cope </w:t>
      </w:r>
      <w:r>
        <w:rPr>
          <w:rFonts w:ascii="Times New Roman" w:hAnsi="Times New Roman" w:cs="Times New Roman"/>
          <w:color w:val="0000FF"/>
          <w:sz w:val="24"/>
          <w:szCs w:val="24"/>
        </w:rPr>
        <w:t xml:space="preserve">(Wreford et al., </w:t>
      </w:r>
      <w:proofErr w:type="gramStart"/>
      <w:r>
        <w:rPr>
          <w:rFonts w:ascii="Times New Roman" w:hAnsi="Times New Roman" w:cs="Times New Roman"/>
          <w:color w:val="0000FF"/>
          <w:sz w:val="24"/>
          <w:szCs w:val="24"/>
        </w:rPr>
        <w:t>2001;Naik</w:t>
      </w:r>
      <w:proofErr w:type="gramEnd"/>
      <w:r>
        <w:rPr>
          <w:rFonts w:ascii="Times New Roman" w:hAnsi="Times New Roman" w:cs="Times New Roman"/>
          <w:color w:val="0000FF"/>
          <w:sz w:val="24"/>
          <w:szCs w:val="24"/>
        </w:rPr>
        <w:t xml:space="preserve"> et al.,2024)</w:t>
      </w:r>
      <w:r>
        <w:rPr>
          <w:rFonts w:ascii="Times New Roman" w:hAnsi="Times New Roman" w:cs="Times New Roman"/>
          <w:color w:val="000000" w:themeColor="text1"/>
          <w:sz w:val="24"/>
          <w:szCs w:val="24"/>
        </w:rPr>
        <w:t xml:space="preserve">. Therefore, understanding local perceptions and adaptive behaviors is critical to supporting policy initiatives </w:t>
      </w:r>
      <w:r>
        <w:rPr>
          <w:rFonts w:ascii="Times New Roman" w:hAnsi="Times New Roman" w:cs="Times New Roman"/>
          <w:color w:val="0000FF"/>
          <w:sz w:val="24"/>
          <w:szCs w:val="24"/>
        </w:rPr>
        <w:t>(Asrat, 2018)</w:t>
      </w:r>
      <w:r>
        <w:rPr>
          <w:rFonts w:ascii="Times New Roman" w:hAnsi="Times New Roman" w:cs="Times New Roman"/>
          <w:color w:val="000000" w:themeColor="text1"/>
          <w:sz w:val="24"/>
          <w:szCs w:val="24"/>
        </w:rPr>
        <w:t xml:space="preserve"> that address the challenge of sustainable agricultural development in the face of a changing environment</w:t>
      </w:r>
      <w:r>
        <w:rPr>
          <w:rFonts w:ascii="Times New Roman" w:hAnsi="Times New Roman" w:cs="Times New Roman"/>
          <w:color w:val="0000FF"/>
          <w:sz w:val="24"/>
          <w:szCs w:val="24"/>
        </w:rPr>
        <w:t xml:space="preserve"> (Adger et al., 2003; </w:t>
      </w:r>
      <w:proofErr w:type="spellStart"/>
      <w:r>
        <w:rPr>
          <w:rFonts w:ascii="Times New Roman" w:hAnsi="Times New Roman" w:cs="Times New Roman"/>
          <w:color w:val="0000FF"/>
          <w:sz w:val="24"/>
          <w:szCs w:val="24"/>
        </w:rPr>
        <w:t>Simane</w:t>
      </w:r>
      <w:proofErr w:type="spellEnd"/>
      <w:r>
        <w:rPr>
          <w:rFonts w:ascii="Times New Roman" w:hAnsi="Times New Roman" w:cs="Times New Roman"/>
          <w:color w:val="0000FF"/>
          <w:sz w:val="24"/>
          <w:szCs w:val="24"/>
        </w:rPr>
        <w:t xml:space="preserve"> et al., 2016; </w:t>
      </w:r>
      <w:proofErr w:type="spellStart"/>
      <w:r>
        <w:rPr>
          <w:rFonts w:ascii="Times New Roman" w:hAnsi="Times New Roman" w:cs="Times New Roman"/>
          <w:color w:val="0000FF"/>
          <w:sz w:val="24"/>
          <w:szCs w:val="24"/>
        </w:rPr>
        <w:t>Kandlinkar</w:t>
      </w:r>
      <w:proofErr w:type="spellEnd"/>
      <w:r>
        <w:rPr>
          <w:rFonts w:ascii="Times New Roman" w:hAnsi="Times New Roman" w:cs="Times New Roman"/>
          <w:color w:val="0000FF"/>
          <w:sz w:val="24"/>
          <w:szCs w:val="24"/>
        </w:rPr>
        <w:t xml:space="preserve"> and </w:t>
      </w:r>
      <w:proofErr w:type="spellStart"/>
      <w:r>
        <w:rPr>
          <w:rFonts w:ascii="Times New Roman" w:hAnsi="Times New Roman" w:cs="Times New Roman"/>
          <w:color w:val="0000FF"/>
          <w:sz w:val="24"/>
          <w:szCs w:val="24"/>
        </w:rPr>
        <w:t>Risbey</w:t>
      </w:r>
      <w:proofErr w:type="spellEnd"/>
      <w:r>
        <w:rPr>
          <w:rFonts w:ascii="Times New Roman" w:hAnsi="Times New Roman" w:cs="Times New Roman"/>
          <w:color w:val="0000FF"/>
          <w:sz w:val="24"/>
          <w:szCs w:val="24"/>
        </w:rPr>
        <w:t xml:space="preserve">, 2000). </w:t>
      </w:r>
    </w:p>
    <w:p w14:paraId="3C71C6C6" w14:textId="77777777" w:rsidR="00B6568E" w:rsidRDefault="00B6568E">
      <w:pPr>
        <w:spacing w:line="360" w:lineRule="auto"/>
        <w:jc w:val="both"/>
        <w:rPr>
          <w:rFonts w:ascii="Times New Roman" w:hAnsi="Times New Roman" w:cs="Times New Roman"/>
          <w:color w:val="0000FF"/>
          <w:sz w:val="24"/>
          <w:szCs w:val="24"/>
        </w:rPr>
      </w:pPr>
    </w:p>
    <w:p w14:paraId="73E36EAC" w14:textId="77777777" w:rsidR="00B6568E" w:rsidRDefault="00000000">
      <w:pPr>
        <w:numPr>
          <w:ilvl w:val="2"/>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Climate variability and climatic changes in north western Himalaya (NWH)</w:t>
      </w:r>
    </w:p>
    <w:p w14:paraId="7719A708" w14:textId="77777777" w:rsidR="00B6568E" w:rsidRDefault="00000000">
      <w:pPr>
        <w:spacing w:beforeAutospacing="1" w:after="0" w:afterAutospacing="1" w:line="360" w:lineRule="auto"/>
        <w:jc w:val="both"/>
        <w:rPr>
          <w:rFonts w:ascii="Times New Roman" w:hAnsi="Times New Roman" w:cs="Times New Roman"/>
          <w:i/>
          <w:iCs/>
          <w:sz w:val="24"/>
          <w:szCs w:val="24"/>
        </w:rPr>
      </w:pPr>
      <w:r>
        <w:rPr>
          <w:rFonts w:ascii="Times New Roman" w:eastAsia="Times New Roman" w:hAnsi="Times New Roman" w:cs="Times New Roman"/>
          <w:sz w:val="24"/>
          <w:szCs w:val="24"/>
          <w:lang w:bidi="ar"/>
        </w:rPr>
        <w:t xml:space="preserve">In recent years, the Himalayan regions have experienced significantly higher warming compared to previous centuries. Between 1971 and 2005, the temperature increased by about 0.5°C compared to 1901–2003. In the North Western Himalayan states, the temperature rose from </w:t>
      </w:r>
      <w:r>
        <w:rPr>
          <w:rFonts w:ascii="Times New Roman" w:eastAsia="Times New Roman" w:hAnsi="Times New Roman" w:cs="Times New Roman"/>
          <w:sz w:val="24"/>
          <w:szCs w:val="24"/>
          <w:lang w:bidi="ar"/>
        </w:rPr>
        <w:lastRenderedPageBreak/>
        <w:t xml:space="preserve">0.9°C to 1.6°C between 1901 and 2003, with a marked increase after 1972. During 1975–2006, maximum winter temperatures rose by 1.1°C to 2.5°C </w:t>
      </w:r>
      <w:r>
        <w:rPr>
          <w:rFonts w:ascii="Times New Roman" w:eastAsia="Times New Roman" w:hAnsi="Times New Roman" w:cs="Times New Roman"/>
          <w:color w:val="0000FF"/>
          <w:sz w:val="24"/>
          <w:szCs w:val="24"/>
          <w:lang w:bidi="ar"/>
        </w:rPr>
        <w:t>(Raghuvanshi et al.,2020)</w:t>
      </w:r>
      <w:r>
        <w:rPr>
          <w:rFonts w:ascii="Times New Roman" w:eastAsia="Times New Roman" w:hAnsi="Times New Roman" w:cs="Times New Roman"/>
          <w:sz w:val="24"/>
          <w:szCs w:val="24"/>
          <w:lang w:bidi="ar"/>
        </w:rPr>
        <w:t xml:space="preserve">. Global warming in the North Western Himalayas increased by 1.6°C over the last century, and a rising trend across all seasons was observed. The rise in maximum and minimum temperatures has resulted in warmer winters. The increase in winter temperatures in the region exceeds the Indian annual mean rate of 0.51°C/100 years (1901–2007), when the global mean was 0.74°C/100 years </w:t>
      </w:r>
      <w:r>
        <w:rPr>
          <w:rFonts w:ascii="Times New Roman" w:eastAsia="Times New Roman" w:hAnsi="Times New Roman" w:cs="Times New Roman"/>
          <w:color w:val="0000FF"/>
          <w:sz w:val="24"/>
          <w:szCs w:val="24"/>
          <w:lang w:bidi="ar"/>
        </w:rPr>
        <w:t xml:space="preserve">(Raina </w:t>
      </w:r>
      <w:proofErr w:type="gramStart"/>
      <w:r>
        <w:rPr>
          <w:rFonts w:ascii="Times New Roman" w:eastAsia="Times New Roman" w:hAnsi="Times New Roman" w:cs="Times New Roman"/>
          <w:color w:val="0000FF"/>
          <w:sz w:val="24"/>
          <w:szCs w:val="24"/>
          <w:lang w:bidi="ar"/>
        </w:rPr>
        <w:t>and  Sharma</w:t>
      </w:r>
      <w:proofErr w:type="gramEnd"/>
      <w:r>
        <w:rPr>
          <w:rFonts w:ascii="Times New Roman" w:eastAsia="Times New Roman" w:hAnsi="Times New Roman" w:cs="Times New Roman"/>
          <w:color w:val="0000FF"/>
          <w:sz w:val="24"/>
          <w:szCs w:val="24"/>
          <w:lang w:bidi="ar"/>
        </w:rPr>
        <w:t>, 2021</w:t>
      </w:r>
      <w:proofErr w:type="gramStart"/>
      <w:r>
        <w:rPr>
          <w:rFonts w:ascii="Times New Roman" w:eastAsia="Times New Roman" w:hAnsi="Times New Roman" w:cs="Times New Roman"/>
          <w:color w:val="0000FF"/>
          <w:sz w:val="24"/>
          <w:szCs w:val="24"/>
          <w:lang w:bidi="ar"/>
        </w:rPr>
        <w:t>)</w:t>
      </w:r>
      <w:r>
        <w:rPr>
          <w:rFonts w:ascii="Times New Roman" w:eastAsia="Times New Roman" w:hAnsi="Times New Roman" w:cs="Times New Roman"/>
          <w:sz w:val="24"/>
          <w:szCs w:val="24"/>
          <w:lang w:bidi="ar"/>
        </w:rPr>
        <w:t>.Climate</w:t>
      </w:r>
      <w:proofErr w:type="gramEnd"/>
      <w:r>
        <w:rPr>
          <w:rFonts w:ascii="Times New Roman" w:eastAsia="Times New Roman" w:hAnsi="Times New Roman" w:cs="Times New Roman"/>
          <w:sz w:val="24"/>
          <w:szCs w:val="24"/>
          <w:lang w:bidi="ar"/>
        </w:rPr>
        <w:t xml:space="preserve"> change in the North Western Himalayas is largely driven by rising temperatures and global warming. A decline in monsoon and annual rainfall from 1866 to 2006 mirrors trends from 1960 to 2006 </w:t>
      </w:r>
      <w:proofErr w:type="gramStart"/>
      <w:r>
        <w:rPr>
          <w:rFonts w:ascii="Times New Roman" w:eastAsia="Times New Roman" w:hAnsi="Times New Roman" w:cs="Times New Roman"/>
          <w:sz w:val="24"/>
          <w:szCs w:val="24"/>
          <w:lang w:bidi="ar"/>
        </w:rPr>
        <w:t>( Kumar</w:t>
      </w:r>
      <w:proofErr w:type="gramEnd"/>
      <w:r>
        <w:rPr>
          <w:rFonts w:ascii="Times New Roman" w:eastAsia="Times New Roman" w:hAnsi="Times New Roman" w:cs="Times New Roman"/>
          <w:sz w:val="24"/>
          <w:szCs w:val="24"/>
          <w:lang w:bidi="ar"/>
        </w:rPr>
        <w:t xml:space="preserve">,2015). Intra-regional changes in winter rainfall show a decreasing trend in Uttarakhand and Jammu and Kashmir between 1901 and 2003, but an increasing trend from 1961 to 1999. Monsoon remains the major contributor to annual rainfall, accounting for about 75%, except in Srinagar, Jammu and </w:t>
      </w:r>
      <w:proofErr w:type="spellStart"/>
      <w:r>
        <w:rPr>
          <w:rFonts w:ascii="Times New Roman" w:eastAsia="Times New Roman" w:hAnsi="Times New Roman" w:cs="Times New Roman"/>
          <w:sz w:val="24"/>
          <w:szCs w:val="24"/>
          <w:lang w:bidi="ar"/>
        </w:rPr>
        <w:t>Kashmir.While</w:t>
      </w:r>
      <w:proofErr w:type="spellEnd"/>
      <w:r>
        <w:rPr>
          <w:rFonts w:ascii="Times New Roman" w:eastAsia="Times New Roman" w:hAnsi="Times New Roman" w:cs="Times New Roman"/>
          <w:sz w:val="24"/>
          <w:szCs w:val="24"/>
          <w:lang w:bidi="ar"/>
        </w:rPr>
        <w:t xml:space="preserve"> climatic changes in high-altitude regions have been reviewed in various studies, very few focus specifically on Jammu and Kashmir due to limited data availability</w:t>
      </w:r>
      <w:r>
        <w:rPr>
          <w:rFonts w:ascii="Times New Roman" w:eastAsia="Times New Roman" w:hAnsi="Times New Roman" w:cs="Times New Roman"/>
          <w:color w:val="0000FF"/>
          <w:sz w:val="24"/>
          <w:szCs w:val="24"/>
          <w:lang w:bidi="ar"/>
        </w:rPr>
        <w:t xml:space="preserve"> (Kumar, 2019)</w:t>
      </w:r>
      <w:r>
        <w:rPr>
          <w:rFonts w:ascii="Times New Roman" w:eastAsia="Times New Roman" w:hAnsi="Times New Roman" w:cs="Times New Roman"/>
          <w:sz w:val="24"/>
          <w:szCs w:val="24"/>
          <w:lang w:bidi="ar"/>
        </w:rPr>
        <w:t xml:space="preserve">. Additionally, hydroelectric exploration has weakened ecosystems and altered the glacio-hydrological features of Western Himalayan Rivers. Overall, studies confirm significant variations in temperature and precipitation, and an unusual rise in global warming in the North Western Himalayas over the last century. </w:t>
      </w:r>
      <w:r>
        <w:rPr>
          <w:rFonts w:ascii="Times New Roman" w:hAnsi="Times New Roman" w:cs="Times New Roman"/>
          <w:color w:val="000000"/>
          <w:sz w:val="24"/>
          <w:szCs w:val="24"/>
        </w:rPr>
        <w:t xml:space="preserve"> </w:t>
      </w:r>
    </w:p>
    <w:p w14:paraId="2E29C323" w14:textId="77777777" w:rsidR="00B6568E" w:rsidRDefault="00000000">
      <w:pPr>
        <w:pStyle w:val="ListParagraph"/>
        <w:numPr>
          <w:ilvl w:val="2"/>
          <w:numId w:val="2"/>
        </w:num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Projections on future climatic changes</w:t>
      </w:r>
    </w:p>
    <w:p w14:paraId="132FD87B" w14:textId="77777777" w:rsidR="00B6568E" w:rsidRDefault="00000000">
      <w:pPr>
        <w:pStyle w:val="NormalWeb"/>
        <w:spacing w:line="360" w:lineRule="auto"/>
        <w:jc w:val="both"/>
        <w:rPr>
          <w:b/>
          <w:color w:val="000000" w:themeColor="text1"/>
          <w:sz w:val="20"/>
          <w:szCs w:val="20"/>
        </w:rPr>
      </w:pPr>
      <w:bookmarkStart w:id="0" w:name="_Hlk101994360"/>
      <w:r>
        <w:rPr>
          <w:lang w:val="en-US" w:eastAsia="en-US" w:bidi="ar"/>
        </w:rPr>
        <w:t xml:space="preserve">A rise of 3.5–5.5˚C in temperature for the Indian subcontinent has been observed. The WCRP (World Climate Research Program) initiated the Coordinated Regional Downscaling Experiment (CORDEX), providing regional climate change projections for South Asia through high spatial resolution models. </w:t>
      </w:r>
      <w:r>
        <w:rPr>
          <w:color w:val="0000FF"/>
          <w:lang w:val="en-US" w:eastAsia="en-US" w:bidi="ar"/>
        </w:rPr>
        <w:t>(Sanjay et al., 2017)</w:t>
      </w:r>
      <w:r>
        <w:rPr>
          <w:lang w:val="en-US" w:eastAsia="en-US" w:bidi="ar"/>
        </w:rPr>
        <w:t xml:space="preserve"> evaluated CORDEX's efficiency using multiple regional climate models, analyzing root mean square error, spatial variability, and pattern correlation through the Taylor model. Their study revealed that the geographical distribution of surface warming and seasonal precipitation is strongly influenced by the choice of regional climate models and boundary conditions. The use of multi-RCMs enhanced understanding of sub-regional climate behavior in the North Western </w:t>
      </w:r>
      <w:proofErr w:type="gramStart"/>
      <w:r>
        <w:rPr>
          <w:lang w:val="en-US" w:eastAsia="en-US" w:bidi="ar"/>
        </w:rPr>
        <w:t>Himalayas.</w:t>
      </w:r>
      <w:r>
        <w:rPr>
          <w:color w:val="0000FF"/>
          <w:lang w:val="en-US" w:eastAsia="en-US" w:bidi="ar"/>
        </w:rPr>
        <w:t>(</w:t>
      </w:r>
      <w:proofErr w:type="gramEnd"/>
      <w:r>
        <w:rPr>
          <w:color w:val="0000FF"/>
          <w:lang w:val="en-US" w:eastAsia="en-US" w:bidi="ar"/>
        </w:rPr>
        <w:t>Sharma et al., 2017)</w:t>
      </w:r>
      <w:r>
        <w:rPr>
          <w:lang w:val="en-US" w:eastAsia="en-US" w:bidi="ar"/>
        </w:rPr>
        <w:t xml:space="preserve"> studied the long-term impact of climate parameters in </w:t>
      </w:r>
      <w:proofErr w:type="spellStart"/>
      <w:r>
        <w:rPr>
          <w:lang w:val="en-US" w:eastAsia="en-US" w:bidi="ar"/>
        </w:rPr>
        <w:t>Kullu</w:t>
      </w:r>
      <w:proofErr w:type="spellEnd"/>
      <w:r>
        <w:rPr>
          <w:lang w:val="en-US" w:eastAsia="en-US" w:bidi="ar"/>
        </w:rPr>
        <w:t xml:space="preserve"> Valley based on minimum and maximum temperatures and annual rainfall records during the 21st century. Data from March to April were </w:t>
      </w:r>
      <w:r>
        <w:rPr>
          <w:lang w:val="en-US" w:eastAsia="en-US" w:bidi="ar"/>
        </w:rPr>
        <w:lastRenderedPageBreak/>
        <w:t xml:space="preserve">analyzed, showing an average May temperature of 1.58°C and a minimum August temperature of 2.165°C. Their study concluded that rainfall will increase, while seed production is expected to </w:t>
      </w:r>
      <w:proofErr w:type="gramStart"/>
      <w:r>
        <w:rPr>
          <w:lang w:val="en-US" w:eastAsia="en-US" w:bidi="ar"/>
        </w:rPr>
        <w:t>decline.</w:t>
      </w:r>
      <w:r>
        <w:rPr>
          <w:color w:val="0000FF"/>
          <w:lang w:val="en-US" w:eastAsia="en-US" w:bidi="ar"/>
        </w:rPr>
        <w:t>(</w:t>
      </w:r>
      <w:proofErr w:type="gramEnd"/>
      <w:r>
        <w:rPr>
          <w:color w:val="0000FF"/>
          <w:lang w:val="en-US" w:eastAsia="en-US" w:bidi="ar"/>
        </w:rPr>
        <w:t>Liang et al., 2021)</w:t>
      </w:r>
      <w:r>
        <w:rPr>
          <w:lang w:val="en-US" w:eastAsia="en-US" w:bidi="ar"/>
        </w:rPr>
        <w:t xml:space="preserve"> reported that regional climate models have gained credibility as their projections align closely with observed 20th-century climate </w:t>
      </w:r>
      <w:proofErr w:type="gramStart"/>
      <w:r>
        <w:rPr>
          <w:lang w:val="en-US" w:eastAsia="en-US" w:bidi="ar"/>
        </w:rPr>
        <w:t>changes.</w:t>
      </w:r>
      <w:r>
        <w:t>The</w:t>
      </w:r>
      <w:proofErr w:type="gramEnd"/>
      <w:r>
        <w:t xml:space="preserve"> projections for </w:t>
      </w:r>
      <w:r>
        <w:rPr>
          <w:lang w:val="en-US" w:eastAsia="en-US" w:bidi="ar"/>
        </w:rPr>
        <w:t xml:space="preserve">2030 regarding </w:t>
      </w:r>
      <w:r>
        <w:t>the North Western Himalayan region indicate significant climatic changes in the coming years. The annual temperature is expected to rise between 0.9±0.6°C and 2.6±0.7°C, with a net increase ranging from 1.7°C to 2.3°C. Air temperature is projected to rise across all seasons, reflecting a consistent warming trend. In terms of precipitation, annual rainfall in the region is expected to vary between 1368±225.2 mm. Additionally, an increase in annual rainfall by 5–13% is anticipated. The maximum increase in rainfall during the monsoon season is estimated to be around 12 mm, while winter rainfall is expected to rise by approximately 5 mm. These projections underscore the urgent need for adaptive measures to address the impacts of climate change in the North Western Himalayas.</w:t>
      </w:r>
      <w:r>
        <w:rPr>
          <w:lang w:val="en-US"/>
        </w:rPr>
        <w:t xml:space="preserve"> </w:t>
      </w:r>
      <w:r>
        <w:rPr>
          <w:lang w:val="en-US" w:eastAsia="en-US" w:bidi="ar"/>
        </w:rPr>
        <w:t>These projections highlight the urgent need for detailed regional studies to prepare for and adapt to climate variability in the North Western Himalayas.</w:t>
      </w:r>
    </w:p>
    <w:p w14:paraId="2D909417" w14:textId="77777777" w:rsidR="00B6568E" w:rsidRDefault="00000000">
      <w:pPr>
        <w:numPr>
          <w:ilvl w:val="2"/>
          <w:numId w:val="2"/>
        </w:numPr>
        <w:spacing w:before="240"/>
        <w:jc w:val="both"/>
        <w:rPr>
          <w:rFonts w:ascii="Times New Roman" w:hAnsi="Times New Roman" w:cs="Times New Roman"/>
          <w:b/>
          <w:color w:val="000000" w:themeColor="text1"/>
          <w:sz w:val="24"/>
          <w:szCs w:val="20"/>
        </w:rPr>
      </w:pPr>
      <w:r>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4"/>
          <w:szCs w:val="20"/>
        </w:rPr>
        <w:t>Impact of climate change on agriculture and livelihood of north western Himalayan regions</w:t>
      </w:r>
    </w:p>
    <w:p w14:paraId="1E8E130B" w14:textId="77777777" w:rsidR="00B6568E" w:rsidRDefault="00000000">
      <w:pPr>
        <w:pStyle w:val="NormalWeb"/>
        <w:spacing w:line="360" w:lineRule="auto"/>
        <w:jc w:val="both"/>
        <w:rPr>
          <w:b/>
          <w:color w:val="000000" w:themeColor="text1"/>
          <w:szCs w:val="20"/>
        </w:rPr>
      </w:pPr>
      <w:r>
        <w:t>In the North West Himalayan region, most mountain agricultural land is rainfed, offering limited income opportunities to farmers. Due to climatic changes, agriculture has become increasingly vulnerable and adverse for farmers. Several scenarios highlight this impact: (1) traditional agricultural crops have declined; (2) rising temperatures and water scarcity have reduced apple farming in Jammu and Kashmir; (3) erratic rainfall has converted nearly 11,909 canals of paddy land into rainfed dryland across several districts; (4) deficits in food grain (44%), vegetable (33%), and oilseed (69%) production in Kashmir present growing risks. (</w:t>
      </w:r>
      <w:proofErr w:type="spellStart"/>
      <w:r>
        <w:t>Nüsser</w:t>
      </w:r>
      <w:proofErr w:type="spellEnd"/>
      <w:r>
        <w:t xml:space="preserve"> et al., 2019) also stated that erratic rainfall has severely affected agricultural production in the region.</w:t>
      </w:r>
      <w:r>
        <w:rPr>
          <w:lang w:val="en-US"/>
        </w:rPr>
        <w:t xml:space="preserve"> </w:t>
      </w:r>
      <w:r>
        <w:t xml:space="preserve">Climatic changes have reduced farming activities across Jammu and Kashmir, Himachal Pradesh, and Uttarakhand. Minimal or no winter rains have hampered the cultivation of food crops like wheat, lentil, and mustard, leading to food insufficiency and rising poverty. Horticulture, particularly apple cultivation—critical to Jammu and Kashmir and Himachal Pradesh—has also declined due to temperature increases and water scarcity. Diverse fruit cultivation and marginal horticultural </w:t>
      </w:r>
      <w:r>
        <w:lastRenderedPageBreak/>
        <w:t xml:space="preserve">farming rates have reduced steadily over the past </w:t>
      </w:r>
      <w:proofErr w:type="spellStart"/>
      <w:proofErr w:type="gramStart"/>
      <w:r>
        <w:t>years.Tea</w:t>
      </w:r>
      <w:proofErr w:type="spellEnd"/>
      <w:proofErr w:type="gramEnd"/>
      <w:r>
        <w:t xml:space="preserve"> cultivation in Himachal Pradesh has also declined sharply due to fluctuations in temperature and rainfall. Approximately 84% of agricultural land in Himachal Pradesh, used for off-season vegetable and fruit cultivation, has seen declines due to climatic changes. Average farming income remains stagnant, although off-season cultivation contributes a 17% increase in income.</w:t>
      </w:r>
      <w:r>
        <w:rPr>
          <w:lang w:val="en-US"/>
        </w:rPr>
        <w:t xml:space="preserve"> </w:t>
      </w:r>
      <w:r>
        <w:t>Additionally, crop diseases and pest infestations, driven by changing climates, further destroy annual yields. Hot summers and winter droughts continue to impact rabi crop production, causing significant losses in food security and agricultural sustainability in the North West Himalayan region.</w:t>
      </w:r>
    </w:p>
    <w:bookmarkEnd w:id="0"/>
    <w:p w14:paraId="4B7D5AEC" w14:textId="77777777" w:rsidR="00B6568E" w:rsidRDefault="00000000">
      <w:pPr>
        <w:pStyle w:val="ListParagraph"/>
        <w:numPr>
          <w:ilvl w:val="1"/>
          <w:numId w:val="2"/>
        </w:numPr>
        <w:spacing w:before="240"/>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4"/>
          <w:szCs w:val="20"/>
        </w:rPr>
        <w:t xml:space="preserve">Rationale of the study                             </w:t>
      </w:r>
    </w:p>
    <w:p w14:paraId="2315E5FB" w14:textId="77777777" w:rsidR="00B6568E" w:rsidRDefault="00000000">
      <w:pPr>
        <w:pStyle w:val="NormalWeb"/>
        <w:spacing w:line="360" w:lineRule="auto"/>
        <w:jc w:val="both"/>
        <w:rPr>
          <w:lang w:val="en-US"/>
        </w:rPr>
      </w:pPr>
      <w:bookmarkStart w:id="1" w:name="_Hlk101995014"/>
      <w:r>
        <w:t xml:space="preserve">The present study aims to </w:t>
      </w:r>
      <w:proofErr w:type="spellStart"/>
      <w:r>
        <w:t>analyze</w:t>
      </w:r>
      <w:proofErr w:type="spellEnd"/>
      <w:r>
        <w:t xml:space="preserve"> farmers’ perceptions of climate change, their self-reported adaptation practices at the farm level, and to identify strategies to improve agricultural activities in the North Western Himalayan Region of Jammu and Kashmir. Few studies have focused on farmers’ perceptions and farm-level adaptation practices in this region </w:t>
      </w:r>
      <w:r>
        <w:rPr>
          <w:color w:val="0000FF"/>
        </w:rPr>
        <w:t>(Hussain et al., 2020).</w:t>
      </w:r>
      <w:r>
        <w:t xml:space="preserve"> Jammu and Kashmir was chosen due to its extensive agricultural lands and high vulnerability to climatic changes, which have severely impacted horticulture and agriculture. The region has experienced significant climatic shifts and extreme weather events over the past decades, adversely affecting agricultural productivity and farmers’ livelihoods due to limited adaptive capacity </w:t>
      </w:r>
      <w:r>
        <w:rPr>
          <w:color w:val="0000FF"/>
        </w:rPr>
        <w:t>(Bhatta et al., 2019)</w:t>
      </w:r>
      <w:r>
        <w:t>. To address these research gaps, the study focuses on two main objectives:</w:t>
      </w:r>
      <w:r>
        <w:br/>
        <w:t>(1) To investigate farmers’ perceptions of climate change, their adaptation practices</w:t>
      </w:r>
      <w:r>
        <w:rPr>
          <w:lang w:val="en-US"/>
        </w:rPr>
        <w:t>.</w:t>
      </w:r>
    </w:p>
    <w:p w14:paraId="1A248449" w14:textId="77777777" w:rsidR="00B6568E" w:rsidRDefault="00000000">
      <w:pPr>
        <w:pStyle w:val="NormalWeb"/>
        <w:spacing w:line="360" w:lineRule="auto"/>
        <w:jc w:val="both"/>
        <w:rPr>
          <w:b/>
          <w:color w:val="000000" w:themeColor="text1"/>
          <w:szCs w:val="20"/>
        </w:rPr>
      </w:pPr>
      <w:r>
        <w:t>(2) To examine the impact of climate change on agriculture and livelihoods in the North Western Himalayas, influencing farmers’ adaptive decisions</w:t>
      </w:r>
      <w:r>
        <w:rPr>
          <w:lang w:val="en-US"/>
        </w:rPr>
        <w:t>.</w:t>
      </w:r>
      <w:r>
        <w:t xml:space="preserve"> </w:t>
      </w:r>
    </w:p>
    <w:p w14:paraId="05F39D8B" w14:textId="77777777" w:rsidR="00B6568E" w:rsidRDefault="00B6568E">
      <w:pPr>
        <w:spacing w:before="240"/>
        <w:jc w:val="both"/>
        <w:rPr>
          <w:rFonts w:ascii="Times New Roman" w:hAnsi="Times New Roman" w:cs="Times New Roman"/>
          <w:b/>
          <w:color w:val="000000" w:themeColor="text1"/>
          <w:sz w:val="28"/>
          <w:szCs w:val="28"/>
        </w:rPr>
      </w:pPr>
    </w:p>
    <w:p w14:paraId="6DEF99BC" w14:textId="77777777" w:rsidR="00B6568E" w:rsidRDefault="00B6568E">
      <w:pPr>
        <w:spacing w:before="240"/>
        <w:jc w:val="both"/>
        <w:rPr>
          <w:rFonts w:ascii="Times New Roman" w:hAnsi="Times New Roman" w:cs="Times New Roman"/>
          <w:b/>
          <w:color w:val="000000" w:themeColor="text1"/>
          <w:sz w:val="28"/>
          <w:szCs w:val="28"/>
        </w:rPr>
      </w:pPr>
    </w:p>
    <w:p w14:paraId="1BE9C300" w14:textId="77777777" w:rsidR="00B6568E" w:rsidRDefault="00000000">
      <w:pPr>
        <w:spacing w:before="24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  Study area</w:t>
      </w:r>
    </w:p>
    <w:p w14:paraId="71EA9AA8" w14:textId="77777777" w:rsidR="00B6568E"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Kashmir Himalaya is a distinct biospheric region within the Northwestern Himalayas, primarily due to its strategic biogeographical positioning </w:t>
      </w:r>
      <w:r>
        <w:rPr>
          <w:rFonts w:ascii="Times New Roman" w:hAnsi="Times New Roman" w:cs="Times New Roman"/>
          <w:color w:val="4F81BD" w:themeColor="accent1"/>
          <w:sz w:val="24"/>
          <w:szCs w:val="24"/>
        </w:rPr>
        <w:t>(Rodgers and Panwar, 1988).</w:t>
      </w:r>
      <w:r>
        <w:rPr>
          <w:rFonts w:ascii="Times New Roman" w:hAnsi="Times New Roman" w:cs="Times New Roman"/>
          <w:sz w:val="24"/>
          <w:szCs w:val="24"/>
        </w:rPr>
        <w:t xml:space="preserve"> This </w:t>
      </w:r>
      <w:r>
        <w:rPr>
          <w:rFonts w:ascii="Times New Roman" w:hAnsi="Times New Roman" w:cs="Times New Roman"/>
          <w:sz w:val="24"/>
          <w:szCs w:val="24"/>
        </w:rPr>
        <w:lastRenderedPageBreak/>
        <w:t xml:space="preserve">research focuses on the Kashmir Valley, located between 32° 22′ to 34° 43′ N latitude and 73° 52′ to 75° 42′ E longitude </w:t>
      </w:r>
      <w:r>
        <w:rPr>
          <w:rFonts w:ascii="Times New Roman" w:hAnsi="Times New Roman" w:cs="Times New Roman"/>
          <w:color w:val="4F81BD" w:themeColor="accent1"/>
          <w:sz w:val="24"/>
          <w:szCs w:val="24"/>
        </w:rPr>
        <w:t>(Hussain, 2002)</w:t>
      </w:r>
      <w:r>
        <w:rPr>
          <w:rFonts w:ascii="Times New Roman" w:hAnsi="Times New Roman" w:cs="Times New Roman"/>
          <w:sz w:val="24"/>
          <w:szCs w:val="24"/>
        </w:rPr>
        <w:t xml:space="preserve"> (see Figure 2). The Kashmir Valley is situated within the northwestern region of the Himalayas. The surrounding mountain ranges reach elevations of approximately 5,550 meters in the northeast, gradually descending to around 2,770 meters in the south </w:t>
      </w:r>
      <w:r>
        <w:rPr>
          <w:rFonts w:ascii="Times New Roman" w:hAnsi="Times New Roman" w:cs="Times New Roman"/>
          <w:color w:val="4F81BD" w:themeColor="accent1"/>
          <w:sz w:val="24"/>
          <w:szCs w:val="24"/>
        </w:rPr>
        <w:t>(Bhat and Rather, 2018).</w:t>
      </w:r>
      <w:r>
        <w:rPr>
          <w:rFonts w:ascii="Times New Roman" w:hAnsi="Times New Roman" w:cs="Times New Roman"/>
          <w:sz w:val="24"/>
          <w:szCs w:val="24"/>
        </w:rPr>
        <w:t xml:space="preserve"> Covering 15,948 km2, the area is predominantly mountainous, with mountains comprising 64% of the total land. Based on the 2021 projected census, the region has a population of 8,920,603, resulting in a population density of 559.36 individuals per km2. The Kashmir Valley, shaped like an oval or bowl, is encircled by high mountain ranges. To the north and east, the Great Himalayan Range acts as a natural boundary between the valley and Ladakh, while to the south and southwest, the Pir </w:t>
      </w:r>
      <w:proofErr w:type="spellStart"/>
      <w:r>
        <w:rPr>
          <w:rFonts w:ascii="Times New Roman" w:hAnsi="Times New Roman" w:cs="Times New Roman"/>
          <w:sz w:val="24"/>
          <w:szCs w:val="24"/>
        </w:rPr>
        <w:t>Panjal</w:t>
      </w:r>
      <w:proofErr w:type="spellEnd"/>
      <w:r>
        <w:rPr>
          <w:rFonts w:ascii="Times New Roman" w:hAnsi="Times New Roman" w:cs="Times New Roman"/>
          <w:sz w:val="24"/>
          <w:szCs w:val="24"/>
        </w:rPr>
        <w:t xml:space="preserve"> Range (also referred to as the Middle or Lesser Himalaya) separates it from the Jammu region. The valley sits at an elevation of 1,500 to 1,800 meters, with surrounding peaks reaching altitudes between 3,000 and 4,000 meters and </w:t>
      </w:r>
      <w:proofErr w:type="spellStart"/>
      <w:r>
        <w:rPr>
          <w:rFonts w:ascii="Times New Roman" w:hAnsi="Times New Roman" w:cs="Times New Roman"/>
          <w:sz w:val="24"/>
          <w:szCs w:val="24"/>
        </w:rPr>
        <w:t>Kolahoi</w:t>
      </w:r>
      <w:proofErr w:type="spellEnd"/>
      <w:r>
        <w:rPr>
          <w:rFonts w:ascii="Times New Roman" w:hAnsi="Times New Roman" w:cs="Times New Roman"/>
          <w:sz w:val="24"/>
          <w:szCs w:val="24"/>
        </w:rPr>
        <w:t xml:space="preserve"> Peak rising to 5,420 meters. The valley's unique landscape was shaped by the folding and faulting associated with the uplift of the Himalayas during the collision of the Indian subcontinent with the Asian landmass </w:t>
      </w:r>
      <w:r>
        <w:rPr>
          <w:rFonts w:ascii="Times New Roman" w:hAnsi="Times New Roman" w:cs="Times New Roman"/>
          <w:color w:val="4F81BD" w:themeColor="accent1"/>
          <w:sz w:val="24"/>
          <w:szCs w:val="24"/>
        </w:rPr>
        <w:t xml:space="preserve">(Hussain, 2002). </w:t>
      </w:r>
      <w:r>
        <w:rPr>
          <w:rFonts w:ascii="Times New Roman" w:hAnsi="Times New Roman" w:cs="Times New Roman"/>
          <w:sz w:val="24"/>
          <w:szCs w:val="24"/>
        </w:rPr>
        <w:t>A notable feature of the Kashmir Valley is the "</w:t>
      </w:r>
      <w:proofErr w:type="spellStart"/>
      <w:r>
        <w:rPr>
          <w:rFonts w:ascii="Times New Roman" w:hAnsi="Times New Roman" w:cs="Times New Roman"/>
          <w:sz w:val="24"/>
          <w:szCs w:val="24"/>
        </w:rPr>
        <w:t>Karewas</w:t>
      </w:r>
      <w:proofErr w:type="spellEnd"/>
      <w:r>
        <w:rPr>
          <w:rFonts w:ascii="Times New Roman" w:hAnsi="Times New Roman" w:cs="Times New Roman"/>
          <w:sz w:val="24"/>
          <w:szCs w:val="24"/>
        </w:rPr>
        <w:t xml:space="preserve">," plateau-like formations composed of clay, sand, and silt from ancient lake sediments, which date back to the Pleistocene Ice Age </w:t>
      </w:r>
      <w:r>
        <w:rPr>
          <w:rFonts w:ascii="Times New Roman" w:hAnsi="Times New Roman" w:cs="Times New Roman"/>
          <w:color w:val="4F81BD" w:themeColor="accent1"/>
          <w:sz w:val="24"/>
          <w:szCs w:val="24"/>
        </w:rPr>
        <w:t xml:space="preserve">(De Terra, 1934). </w:t>
      </w:r>
      <w:r>
        <w:rPr>
          <w:rFonts w:ascii="Times New Roman" w:hAnsi="Times New Roman" w:cs="Times New Roman"/>
          <w:sz w:val="24"/>
          <w:szCs w:val="24"/>
        </w:rPr>
        <w:t>The region's climate exhibits significant seasonal variation, characteristic of temperate mountainous zones. Summer temperatures range from an average high of 31°C to a low of 15°C, while winter temperatures drop considerably.</w:t>
      </w:r>
    </w:p>
    <w:p w14:paraId="503C200F" w14:textId="77777777" w:rsidR="00B6568E" w:rsidRDefault="00000000">
      <w:pPr>
        <w:spacing w:line="360" w:lineRule="auto"/>
        <w:jc w:val="both"/>
        <w:rPr>
          <w:rFonts w:ascii="Times New Roman" w:hAnsi="Times New Roman" w:cs="Times New Roman"/>
          <w:sz w:val="24"/>
          <w:szCs w:val="24"/>
          <w:lang w:eastAsia="en-IN"/>
        </w:rPr>
      </w:pPr>
      <w:r>
        <w:rPr>
          <w:rFonts w:ascii="Times New Roman" w:hAnsi="Times New Roman" w:cs="Times New Roman"/>
          <w:noProof/>
          <w:sz w:val="24"/>
          <w:szCs w:val="24"/>
          <w:lang w:eastAsia="en-IN"/>
        </w:rPr>
        <w:lastRenderedPageBreak/>
        <w:drawing>
          <wp:inline distT="0" distB="0" distL="114300" distR="114300" wp14:anchorId="675FF014" wp14:editId="668A1265">
            <wp:extent cx="6078855" cy="4585970"/>
            <wp:effectExtent l="0" t="0" r="1905" b="1270"/>
            <wp:docPr id="7" name="Picture 7" descr="LOCATION MA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CATION MAP3"/>
                    <pic:cNvPicPr>
                      <a:picLocks noChangeAspect="1"/>
                    </pic:cNvPicPr>
                  </pic:nvPicPr>
                  <pic:blipFill>
                    <a:blip r:embed="rId8"/>
                    <a:stretch>
                      <a:fillRect/>
                    </a:stretch>
                  </pic:blipFill>
                  <pic:spPr>
                    <a:xfrm>
                      <a:off x="0" y="0"/>
                      <a:ext cx="6078855" cy="4585970"/>
                    </a:xfrm>
                    <a:prstGeom prst="rect">
                      <a:avLst/>
                    </a:prstGeom>
                  </pic:spPr>
                </pic:pic>
              </a:graphicData>
            </a:graphic>
          </wp:inline>
        </w:drawing>
      </w:r>
    </w:p>
    <w:p w14:paraId="2DA6B133" w14:textId="77777777" w:rsidR="00B6568E" w:rsidRDefault="00000000">
      <w:pPr>
        <w:spacing w:line="360" w:lineRule="auto"/>
        <w:jc w:val="both"/>
        <w:rPr>
          <w:rFonts w:ascii="Times New Roman" w:hAnsi="Times New Roman" w:cs="Times New Roman"/>
          <w:b/>
          <w:bCs/>
          <w:kern w:val="2"/>
          <w:sz w:val="24"/>
          <w:szCs w:val="24"/>
          <w:lang w:val="en-IN"/>
          <w14:ligatures w14:val="standardContextual"/>
        </w:rPr>
      </w:pPr>
      <w:r>
        <w:rPr>
          <w:rFonts w:ascii="Times New Roman" w:hAnsi="Times New Roman" w:cs="Times New Roman"/>
          <w:b/>
          <w:bCs/>
          <w:kern w:val="2"/>
          <w:sz w:val="24"/>
          <w:szCs w:val="24"/>
          <w:lang w:val="en-IN"/>
          <w14:ligatures w14:val="standardContextual"/>
        </w:rPr>
        <w:t>Figure 1. Location of the Study Area.</w:t>
      </w:r>
    </w:p>
    <w:p w14:paraId="6EE8AB85" w14:textId="77777777" w:rsidR="00B6568E" w:rsidRDefault="00000000">
      <w:pPr>
        <w:spacing w:line="360" w:lineRule="auto"/>
        <w:jc w:val="both"/>
        <w:rPr>
          <w:rFonts w:ascii="Times New Roman" w:hAnsi="Times New Roman" w:cs="Times New Roman"/>
          <w:color w:val="4F81BD" w:themeColor="accent1"/>
          <w:sz w:val="24"/>
          <w:szCs w:val="24"/>
        </w:rPr>
      </w:pPr>
      <w:r>
        <w:rPr>
          <w:rFonts w:ascii="Times New Roman" w:hAnsi="Times New Roman" w:cs="Times New Roman"/>
          <w:sz w:val="24"/>
          <w:szCs w:val="24"/>
        </w:rPr>
        <w:t xml:space="preserve">During winter, the Kashmir Valley experiences average high temperatures of 4°C and lows of -4°C. The region receives approximately 1,050 mm of annual precipitation, with the majority falling as snow in the winter months </w:t>
      </w:r>
      <w:r>
        <w:rPr>
          <w:rFonts w:ascii="Times New Roman" w:hAnsi="Times New Roman" w:cs="Times New Roman"/>
          <w:color w:val="4F81BD" w:themeColor="accent1"/>
          <w:sz w:val="24"/>
          <w:szCs w:val="24"/>
        </w:rPr>
        <w:t xml:space="preserve">(Husain, 2006; Qazi, 2005). </w:t>
      </w:r>
      <w:r>
        <w:rPr>
          <w:rFonts w:ascii="Times New Roman" w:hAnsi="Times New Roman" w:cs="Times New Roman"/>
          <w:sz w:val="24"/>
          <w:szCs w:val="24"/>
        </w:rPr>
        <w:t xml:space="preserve">The Jhelum River, which serves as the valley's primary water source, runs through the central area, supporting irrigation via a network of smaller rivers. The Kashmir Valley’s diverse altitudinal, topographic, and climatic features create a rich mosaic of habitats. These range from springs, lakes, rivers, and marshes to floating gardens, orchards, cultivated fields, Karewa lands, wastelands, gravel and rocky slopes, forests, sub-alpine and alpine meadows, and permanent glaciers </w:t>
      </w:r>
      <w:r>
        <w:rPr>
          <w:rFonts w:ascii="Times New Roman" w:hAnsi="Times New Roman" w:cs="Times New Roman"/>
          <w:color w:val="4F81BD" w:themeColor="accent1"/>
          <w:sz w:val="24"/>
          <w:szCs w:val="24"/>
        </w:rPr>
        <w:t xml:space="preserve">(Singh &amp; </w:t>
      </w:r>
      <w:proofErr w:type="spellStart"/>
      <w:r>
        <w:rPr>
          <w:rFonts w:ascii="Times New Roman" w:hAnsi="Times New Roman" w:cs="Times New Roman"/>
          <w:color w:val="4F81BD" w:themeColor="accent1"/>
          <w:sz w:val="24"/>
          <w:szCs w:val="24"/>
        </w:rPr>
        <w:t>Pusakar</w:t>
      </w:r>
      <w:proofErr w:type="spellEnd"/>
      <w:r>
        <w:rPr>
          <w:rFonts w:ascii="Times New Roman" w:hAnsi="Times New Roman" w:cs="Times New Roman"/>
          <w:color w:val="4F81BD" w:themeColor="accent1"/>
          <w:sz w:val="24"/>
          <w:szCs w:val="24"/>
        </w:rPr>
        <w:t>, 2020).</w:t>
      </w:r>
    </w:p>
    <w:p w14:paraId="6F08FDC8" w14:textId="77777777" w:rsidR="00B6568E" w:rsidRDefault="00B6568E">
      <w:pPr>
        <w:spacing w:line="360" w:lineRule="auto"/>
        <w:jc w:val="both"/>
        <w:rPr>
          <w:rFonts w:ascii="Times New Roman" w:hAnsi="Times New Roman" w:cs="Times New Roman"/>
          <w:b/>
          <w:color w:val="000000" w:themeColor="text1"/>
          <w:sz w:val="24"/>
          <w:szCs w:val="20"/>
        </w:rPr>
      </w:pPr>
    </w:p>
    <w:p w14:paraId="46FCD439" w14:textId="77777777" w:rsidR="00B6568E" w:rsidRDefault="00B6568E">
      <w:pPr>
        <w:spacing w:line="360" w:lineRule="auto"/>
        <w:jc w:val="both"/>
        <w:rPr>
          <w:rFonts w:ascii="Times New Roman" w:hAnsi="Times New Roman" w:cs="Times New Roman"/>
          <w:b/>
          <w:color w:val="000000" w:themeColor="text1"/>
          <w:sz w:val="24"/>
          <w:szCs w:val="20"/>
        </w:rPr>
      </w:pPr>
    </w:p>
    <w:p w14:paraId="6C665E34" w14:textId="77777777" w:rsidR="00B6568E" w:rsidRDefault="00000000">
      <w:pPr>
        <w:spacing w:line="360" w:lineRule="auto"/>
        <w:jc w:val="both"/>
        <w:rPr>
          <w:rFonts w:ascii="Times New Roman" w:hAnsi="Times New Roman" w:cs="Times New Roman"/>
          <w:b/>
          <w:bCs/>
          <w:sz w:val="28"/>
          <w:szCs w:val="28"/>
        </w:rPr>
      </w:pPr>
      <w:proofErr w:type="gramStart"/>
      <w:r>
        <w:rPr>
          <w:rFonts w:ascii="Times New Roman" w:hAnsi="Times New Roman" w:cs="Times New Roman"/>
          <w:b/>
          <w:color w:val="000000" w:themeColor="text1"/>
          <w:sz w:val="28"/>
          <w:szCs w:val="28"/>
        </w:rPr>
        <w:t xml:space="preserve">3 </w:t>
      </w:r>
      <w:r>
        <w:rPr>
          <w:rFonts w:ascii="Times New Roman" w:hAnsi="Times New Roman" w:cs="Times New Roman"/>
          <w:b/>
          <w:i/>
          <w:iCs/>
          <w:color w:val="000000" w:themeColor="text1"/>
          <w:sz w:val="28"/>
          <w:szCs w:val="28"/>
        </w:rPr>
        <w:t>.</w:t>
      </w:r>
      <w:proofErr w:type="gramEnd"/>
      <w:r>
        <w:rPr>
          <w:rFonts w:ascii="Times New Roman" w:hAnsi="Times New Roman" w:cs="Times New Roman"/>
          <w:b/>
          <w:i/>
          <w:iCs/>
          <w:color w:val="000000" w:themeColor="text1"/>
          <w:sz w:val="28"/>
          <w:szCs w:val="28"/>
        </w:rPr>
        <w:t xml:space="preserve"> </w:t>
      </w:r>
      <w:r>
        <w:rPr>
          <w:rFonts w:ascii="Times New Roman" w:hAnsi="Times New Roman" w:cs="Times New Roman"/>
          <w:b/>
          <w:iCs/>
          <w:color w:val="000000" w:themeColor="text1"/>
          <w:sz w:val="28"/>
          <w:szCs w:val="28"/>
        </w:rPr>
        <w:t xml:space="preserve"> </w:t>
      </w:r>
      <w:r>
        <w:rPr>
          <w:rFonts w:ascii="Times New Roman" w:hAnsi="Times New Roman" w:cs="Times New Roman"/>
          <w:b/>
          <w:bCs/>
          <w:sz w:val="28"/>
          <w:szCs w:val="28"/>
        </w:rPr>
        <w:t>Material and Methods</w:t>
      </w:r>
      <w:bookmarkStart w:id="2" w:name="_Hlk101995227"/>
    </w:p>
    <w:p w14:paraId="2E38E661" w14:textId="77777777" w:rsidR="00B6568E" w:rsidRDefault="00000000">
      <w:pPr>
        <w:autoSpaceDE w:val="0"/>
        <w:autoSpaceDN w:val="0"/>
        <w:adjustRightInd w:val="0"/>
        <w:spacing w:before="240" w:after="0" w:line="360" w:lineRule="auto"/>
        <w:jc w:val="both"/>
        <w:rPr>
          <w:rFonts w:ascii="Times New Roman" w:hAnsi="Times New Roman" w:cs="Times New Roman"/>
          <w:b/>
          <w:color w:val="000000" w:themeColor="text1"/>
          <w:sz w:val="24"/>
          <w:szCs w:val="20"/>
        </w:rPr>
      </w:pPr>
      <w:r>
        <w:rPr>
          <w:rFonts w:ascii="Times New Roman" w:hAnsi="Times New Roman" w:cs="Times New Roman"/>
          <w:b/>
          <w:color w:val="000000" w:themeColor="text1"/>
          <w:sz w:val="24"/>
          <w:szCs w:val="20"/>
        </w:rPr>
        <w:t>3.1.   Research design</w:t>
      </w:r>
      <w:bookmarkEnd w:id="2"/>
    </w:p>
    <w:p w14:paraId="57EAE9E2" w14:textId="77777777" w:rsidR="00B6568E" w:rsidRDefault="00000000">
      <w:pPr>
        <w:spacing w:before="240" w:line="360" w:lineRule="auto"/>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 xml:space="preserve">This descriptive and empirical research study collected data randomly from respondents using simple random sampling techniques. The primary data was gathered </w:t>
      </w:r>
      <w:proofErr w:type="gramStart"/>
      <w:r>
        <w:rPr>
          <w:rFonts w:ascii="Times New Roman" w:hAnsi="Times New Roman" w:cs="Times New Roman"/>
          <w:color w:val="000000" w:themeColor="text1"/>
          <w:sz w:val="24"/>
          <w:szCs w:val="20"/>
        </w:rPr>
        <w:t>from  farmers</w:t>
      </w:r>
      <w:proofErr w:type="gramEnd"/>
      <w:r>
        <w:rPr>
          <w:rFonts w:ascii="Times New Roman" w:hAnsi="Times New Roman" w:cs="Times New Roman"/>
          <w:color w:val="000000" w:themeColor="text1"/>
          <w:sz w:val="24"/>
          <w:szCs w:val="20"/>
        </w:rPr>
        <w:t xml:space="preserve"> living in the North West Himalayan region, specifically in Jammu and Kashmir, through a questionnaire. The sample size was determined using a formula based on the population size of the selected region, with a 10% margin of error, 90% significance level, a standard deviation of 0.89, and a Z-score value of 1.65. Secondary data was collected from various published sources, including journals, magazines, newspapers, and articles, from 2017 to the present. The data was analyzed using Excel and IBM SPSS software, where ANOVA, chi-square, and correlation analyses were conducted to test the hypotheses and examine the relationships between selected variables. The sample size was calculated by using the following </w:t>
      </w:r>
      <w:proofErr w:type="spellStart"/>
      <w:proofErr w:type="gramStart"/>
      <w:r>
        <w:rPr>
          <w:rFonts w:ascii="Times New Roman" w:hAnsi="Times New Roman" w:cs="Times New Roman"/>
          <w:color w:val="000000" w:themeColor="text1"/>
          <w:sz w:val="24"/>
          <w:szCs w:val="20"/>
        </w:rPr>
        <w:t>yamane,s</w:t>
      </w:r>
      <w:proofErr w:type="spellEnd"/>
      <w:proofErr w:type="gramEnd"/>
      <w:r>
        <w:rPr>
          <w:rFonts w:ascii="Times New Roman" w:hAnsi="Times New Roman" w:cs="Times New Roman"/>
          <w:color w:val="000000" w:themeColor="text1"/>
          <w:sz w:val="24"/>
          <w:szCs w:val="20"/>
        </w:rPr>
        <w:t xml:space="preserve"> formula:</w:t>
      </w:r>
    </w:p>
    <w:p w14:paraId="6A1B6A5A" w14:textId="77777777" w:rsidR="00B6568E" w:rsidRDefault="00000000">
      <w:pPr>
        <w:spacing w:before="240" w:line="360" w:lineRule="auto"/>
        <w:jc w:val="both"/>
        <w:rPr>
          <w:rFonts w:ascii="Times New Roman" w:hAnsi="Times New Roman" w:cs="Times New Roman"/>
          <w:sz w:val="28"/>
          <w:szCs w:val="28"/>
        </w:rPr>
      </w:pPr>
      <w:r>
        <w:rPr>
          <w:rFonts w:ascii="Times New Roman" w:hAnsi="Times New Roman" w:cs="Times New Roman"/>
          <w:color w:val="000000" w:themeColor="text1"/>
          <w:sz w:val="24"/>
          <w:szCs w:val="20"/>
        </w:rPr>
        <w:t xml:space="preserve">                                                           </w:t>
      </w:r>
      <w:r>
        <w:rPr>
          <w:rFonts w:ascii="Times New Roman" w:hAnsi="Times New Roman" w:cs="Times New Roman"/>
          <w:color w:val="000000" w:themeColor="text1"/>
          <w:sz w:val="32"/>
          <w:szCs w:val="32"/>
        </w:rPr>
        <w:t xml:space="preserve"> </w:t>
      </w:r>
      <w:r>
        <w:rPr>
          <w:rFonts w:ascii="Times New Roman" w:hAnsi="Times New Roman" w:cs="Times New Roman"/>
          <w:sz w:val="32"/>
          <w:szCs w:val="32"/>
        </w:rPr>
        <w:t xml:space="preserve">n =  </w:t>
      </w:r>
      <m:oMath>
        <m:f>
          <m:fPr>
            <m:ctrlPr>
              <w:rPr>
                <w:rFonts w:ascii="Cambria Math" w:hAnsi="Cambria Math" w:cs="Times New Roman"/>
                <w:i/>
                <w:sz w:val="32"/>
                <w:szCs w:val="32"/>
              </w:rPr>
            </m:ctrlPr>
          </m:fPr>
          <m:num>
            <m:r>
              <w:rPr>
                <w:rFonts w:ascii="Cambria Math" w:hAnsi="Cambria Math" w:cs="Times New Roman"/>
                <w:sz w:val="32"/>
                <w:szCs w:val="32"/>
              </w:rPr>
              <m:t>N</m:t>
            </m:r>
          </m:num>
          <m:den>
            <m:r>
              <w:rPr>
                <w:rFonts w:ascii="Cambria Math" w:hAnsi="Cambria Math" w:cs="Times New Roman"/>
                <w:sz w:val="32"/>
                <w:szCs w:val="32"/>
              </w:rPr>
              <m:t>1+N</m:t>
            </m:r>
            <m:sSup>
              <m:sSupPr>
                <m:ctrlPr>
                  <w:rPr>
                    <w:rFonts w:ascii="Cambria Math" w:hAnsi="Cambria Math" w:cs="Times New Roman"/>
                    <w:i/>
                    <w:sz w:val="32"/>
                    <w:szCs w:val="32"/>
                  </w:rPr>
                </m:ctrlPr>
              </m:sSupPr>
              <m:e>
                <m:r>
                  <w:rPr>
                    <w:rFonts w:ascii="Cambria Math" w:hAnsi="Cambria Math" w:cs="Times New Roman"/>
                    <w:sz w:val="32"/>
                    <w:szCs w:val="32"/>
                  </w:rPr>
                  <m:t>e</m:t>
                </m:r>
              </m:e>
              <m:sup>
                <m:r>
                  <w:rPr>
                    <w:rFonts w:ascii="Cambria Math" w:hAnsi="Cambria Math" w:cs="Times New Roman"/>
                    <w:sz w:val="32"/>
                    <w:szCs w:val="32"/>
                  </w:rPr>
                  <m:t>2</m:t>
                </m:r>
              </m:sup>
            </m:sSup>
          </m:den>
        </m:f>
      </m:oMath>
    </w:p>
    <w:p w14:paraId="38CBE413" w14:textId="77777777" w:rsidR="00B6568E" w:rsidRDefault="00000000">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Where ‘n’ is the sample </w:t>
      </w:r>
      <w:proofErr w:type="spellStart"/>
      <w:r>
        <w:rPr>
          <w:rFonts w:ascii="Times New Roman" w:hAnsi="Times New Roman" w:cs="Times New Roman"/>
          <w:sz w:val="28"/>
          <w:szCs w:val="28"/>
        </w:rPr>
        <w:t>size,’N</w:t>
      </w:r>
      <w:proofErr w:type="spellEnd"/>
      <w:r>
        <w:rPr>
          <w:rFonts w:ascii="Times New Roman" w:hAnsi="Times New Roman" w:cs="Times New Roman"/>
          <w:sz w:val="28"/>
          <w:szCs w:val="28"/>
        </w:rPr>
        <w:t>’ is the population size and ‘e’ is the desired margin of error.</w:t>
      </w:r>
    </w:p>
    <w:p w14:paraId="00F97D88" w14:textId="77777777" w:rsidR="00B6568E" w:rsidRDefault="00000000">
      <w:pPr>
        <w:pStyle w:val="Default"/>
        <w:spacing w:before="240" w:after="240"/>
        <w:jc w:val="both"/>
        <w:rPr>
          <w:rFonts w:ascii="Times New Roman" w:hAnsi="Times New Roman" w:cs="Times New Roman"/>
          <w:color w:val="000000" w:themeColor="text1"/>
          <w:szCs w:val="20"/>
        </w:rPr>
      </w:pPr>
      <w:r>
        <w:rPr>
          <w:rFonts w:ascii="Times New Roman" w:hAnsi="Times New Roman" w:cs="Times New Roman"/>
        </w:rPr>
        <w:t xml:space="preserve">Based on the sample size calculation formula, the sample size was found to be 384.        </w:t>
      </w:r>
    </w:p>
    <w:p w14:paraId="7E516899" w14:textId="77777777" w:rsidR="00B6568E" w:rsidRDefault="00000000">
      <w:pPr>
        <w:spacing w:before="240"/>
        <w:jc w:val="both"/>
        <w:rPr>
          <w:rFonts w:ascii="Times New Roman" w:hAnsi="Times New Roman" w:cs="Times New Roman"/>
          <w:b/>
          <w:color w:val="000000" w:themeColor="text1"/>
          <w:sz w:val="24"/>
          <w:szCs w:val="20"/>
        </w:rPr>
      </w:pPr>
      <w:r>
        <w:rPr>
          <w:rFonts w:ascii="Times New Roman" w:hAnsi="Times New Roman" w:cs="Times New Roman"/>
          <w:b/>
          <w:color w:val="000000" w:themeColor="text1"/>
          <w:sz w:val="24"/>
          <w:szCs w:val="20"/>
        </w:rPr>
        <w:t>3.2.  Data analysis method</w:t>
      </w:r>
    </w:p>
    <w:p w14:paraId="1426BD82" w14:textId="77777777" w:rsidR="00B6568E" w:rsidRDefault="00000000">
      <w:pPr>
        <w:spacing w:before="240"/>
        <w:jc w:val="both"/>
        <w:rPr>
          <w:rFonts w:ascii="Times New Roman" w:hAnsi="Times New Roman" w:cs="Times New Roman"/>
          <w:b/>
          <w:color w:val="000000" w:themeColor="text1"/>
          <w:sz w:val="24"/>
          <w:szCs w:val="20"/>
        </w:rPr>
      </w:pPr>
      <w:r>
        <w:rPr>
          <w:rFonts w:ascii="Times New Roman" w:hAnsi="Times New Roman" w:cs="Times New Roman"/>
          <w:b/>
          <w:color w:val="000000" w:themeColor="text1"/>
          <w:sz w:val="24"/>
          <w:szCs w:val="20"/>
        </w:rPr>
        <w:t xml:space="preserve">3.2.1 Weighted Average Index (WAI) </w:t>
      </w:r>
    </w:p>
    <w:p w14:paraId="2D40CFE9" w14:textId="77777777" w:rsidR="00B6568E" w:rsidRDefault="00000000">
      <w:pPr>
        <w:spacing w:before="240" w:line="360" w:lineRule="auto"/>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 xml:space="preserve">The Weighted Average Index (WAI) in this study was employed to measure participants' perceptions of climate change and its impacts on agriculture and horticulture. By using a Likert scale, with responses ranging from 1 to 5, the WAI effectively captures the intensity of these perceptions, offering a quantitative measure of how strongly participants feel about specific climate change variables. A higher WAI score indicates that participants perceive significant changes in variables such as temperature rise, erratic rainfall, and decreased snowfall, while lower scores reflect less concern or awareness of these changes. This index is especially useful </w:t>
      </w:r>
      <w:r>
        <w:rPr>
          <w:rFonts w:ascii="Times New Roman" w:hAnsi="Times New Roman" w:cs="Times New Roman"/>
          <w:color w:val="000000" w:themeColor="text1"/>
          <w:sz w:val="24"/>
          <w:szCs w:val="20"/>
        </w:rPr>
        <w:lastRenderedPageBreak/>
        <w:t>for comparing different climate change variables, providing insights into which aspects of climate change are most noticeable or concerning to the participants. By analyzing these scores, policymakers and researchers can better understand the perceived impacts of climate change at a local level, allowing them to prioritize interventions and resources in areas where climate impacts are seen as most severe. This approach provides a clearer picture of the challenges farmers face, helping tailor more effective climate adaptation strategies for agriculture and horticulture.</w:t>
      </w:r>
    </w:p>
    <w:p w14:paraId="2A74F384" w14:textId="77777777" w:rsidR="00B6568E" w:rsidRDefault="00000000">
      <w:pPr>
        <w:spacing w:before="240"/>
        <w:jc w:val="both"/>
        <w:rPr>
          <w:rFonts w:ascii="Times New Roman" w:hAnsi="Times New Roman" w:cs="Times New Roman"/>
          <w:b/>
          <w:color w:val="000000" w:themeColor="text1"/>
          <w:sz w:val="24"/>
          <w:szCs w:val="20"/>
        </w:rPr>
      </w:pPr>
      <w:r>
        <w:rPr>
          <w:rFonts w:ascii="Times New Roman" w:hAnsi="Times New Roman" w:cs="Times New Roman"/>
          <w:b/>
          <w:color w:val="000000" w:themeColor="text1"/>
          <w:sz w:val="24"/>
          <w:szCs w:val="20"/>
        </w:rPr>
        <w:t>3.2.2 Adoption Strategies Index (ASI)</w:t>
      </w:r>
    </w:p>
    <w:p w14:paraId="63AEC892" w14:textId="77777777" w:rsidR="00B6568E" w:rsidRDefault="00000000">
      <w:pPr>
        <w:spacing w:before="240" w:line="360" w:lineRule="auto"/>
        <w:jc w:val="both"/>
        <w:rPr>
          <w:rFonts w:ascii="Times New Roman" w:hAnsi="Times New Roman" w:cs="Times New Roman"/>
          <w:b/>
          <w:color w:val="000000" w:themeColor="text1"/>
          <w:sz w:val="24"/>
          <w:szCs w:val="20"/>
        </w:rPr>
      </w:pPr>
      <w:r>
        <w:rPr>
          <w:rFonts w:ascii="Times New Roman" w:hAnsi="Times New Roman" w:cs="Times New Roman"/>
          <w:color w:val="000000" w:themeColor="text1"/>
          <w:sz w:val="24"/>
          <w:szCs w:val="20"/>
        </w:rPr>
        <w:t>An Adoption Strategies Index (ASI) was developed based on responses to various adaptation strategies using a five-point Likert scale. The Likert scale allows participants to express their level of agreement or implementation of each strategy, ranging from 1 (very low adoption) to 5 (very high adoption). This method provides a clear measurement of the extent to which different strategies are being embraced by farmers in response to climate change. The ASI gives a comprehensive view of the relative importance and popularity of each strategy. The ASI, therefore, serves as a critical tool for evaluating which adaptation strategies are most and least embraced by farmers. By aggregating responses across the Likert scale, the index highlights the adaptability of the farming community and guides policymakers and extension services on which areas to focus more efforts and resources.</w:t>
      </w:r>
    </w:p>
    <w:p w14:paraId="43517D07" w14:textId="77777777" w:rsidR="00B6568E" w:rsidRDefault="00000000">
      <w:pPr>
        <w:spacing w:before="240"/>
        <w:jc w:val="both"/>
        <w:rPr>
          <w:rFonts w:ascii="Times New Roman" w:hAnsi="Times New Roman" w:cs="Times New Roman"/>
          <w:b/>
          <w:color w:val="000000" w:themeColor="text1"/>
          <w:sz w:val="24"/>
          <w:szCs w:val="20"/>
        </w:rPr>
      </w:pPr>
      <w:r>
        <w:rPr>
          <w:rFonts w:ascii="Times New Roman" w:hAnsi="Times New Roman" w:cs="Times New Roman"/>
          <w:b/>
          <w:color w:val="000000" w:themeColor="text1"/>
          <w:sz w:val="24"/>
          <w:szCs w:val="20"/>
        </w:rPr>
        <w:t>3.2.3.  Hypothesis of the study</w:t>
      </w:r>
    </w:p>
    <w:p w14:paraId="28365647" w14:textId="77777777" w:rsidR="00B6568E" w:rsidRDefault="00000000">
      <w:pPr>
        <w:spacing w:before="240" w:line="360" w:lineRule="auto"/>
        <w:jc w:val="both"/>
        <w:rPr>
          <w:rFonts w:ascii="Times New Roman" w:hAnsi="Times New Roman" w:cs="Times New Roman"/>
          <w:color w:val="000000" w:themeColor="text1"/>
          <w:sz w:val="24"/>
          <w:szCs w:val="20"/>
        </w:rPr>
      </w:pPr>
      <w:bookmarkStart w:id="3" w:name="_Hlk101995171"/>
      <w:r>
        <w:rPr>
          <w:rFonts w:ascii="Times New Roman" w:hAnsi="Times New Roman" w:cs="Times New Roman"/>
          <w:color w:val="000000" w:themeColor="text1"/>
          <w:sz w:val="24"/>
          <w:szCs w:val="20"/>
        </w:rPr>
        <w:t>The hypothesis has been predicted based on the objectives of the study.</w:t>
      </w:r>
      <w:bookmarkEnd w:id="3"/>
      <w:r>
        <w:rPr>
          <w:rFonts w:ascii="Times New Roman" w:hAnsi="Times New Roman" w:cs="Times New Roman"/>
          <w:color w:val="000000" w:themeColor="text1"/>
          <w:sz w:val="24"/>
          <w:szCs w:val="20"/>
        </w:rPr>
        <w:t xml:space="preserve"> </w:t>
      </w:r>
    </w:p>
    <w:p w14:paraId="4798A860" w14:textId="77777777" w:rsidR="00B6568E" w:rsidRDefault="00000000">
      <w:pPr>
        <w:pStyle w:val="ListParagraph"/>
        <w:numPr>
          <w:ilvl w:val="0"/>
          <w:numId w:val="3"/>
        </w:numPr>
        <w:spacing w:before="240" w:line="360" w:lineRule="auto"/>
        <w:jc w:val="both"/>
        <w:rPr>
          <w:rFonts w:ascii="Times New Roman" w:hAnsi="Times New Roman" w:cs="Times New Roman"/>
          <w:color w:val="000000" w:themeColor="text1"/>
          <w:sz w:val="24"/>
          <w:szCs w:val="20"/>
        </w:rPr>
      </w:pPr>
      <w:bookmarkStart w:id="4" w:name="_Hlk101995196"/>
      <w:r>
        <w:rPr>
          <w:rFonts w:ascii="Times New Roman" w:hAnsi="Times New Roman" w:cs="Times New Roman"/>
          <w:color w:val="000000" w:themeColor="text1"/>
          <w:sz w:val="24"/>
          <w:szCs w:val="20"/>
        </w:rPr>
        <w:t xml:space="preserve">H01: there is no significant relationship between farmer’s perception about climatic change and their agricultural patterns.  </w:t>
      </w:r>
    </w:p>
    <w:p w14:paraId="468048C3" w14:textId="77777777" w:rsidR="00B6568E" w:rsidRDefault="00000000">
      <w:pPr>
        <w:pStyle w:val="ListParagraph"/>
        <w:numPr>
          <w:ilvl w:val="0"/>
          <w:numId w:val="3"/>
        </w:numPr>
        <w:spacing w:before="240" w:line="360" w:lineRule="auto"/>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 xml:space="preserve">H02: there is no significant impact on high climatic changes and their livelihood in North West Himalayan region. </w:t>
      </w:r>
    </w:p>
    <w:p w14:paraId="42742B2B" w14:textId="77777777" w:rsidR="00B6568E" w:rsidRDefault="00000000">
      <w:pPr>
        <w:pStyle w:val="ListParagraph"/>
        <w:numPr>
          <w:ilvl w:val="0"/>
          <w:numId w:val="3"/>
        </w:numPr>
        <w:spacing w:before="240" w:line="360" w:lineRule="auto"/>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 xml:space="preserve">H03: there is no significant relationship between projection on climatic changes and adaptation practices.  </w:t>
      </w:r>
    </w:p>
    <w:p w14:paraId="7DA8F1A6" w14:textId="77777777" w:rsidR="00B6568E" w:rsidRDefault="00000000">
      <w:pPr>
        <w:pStyle w:val="ListParagraph"/>
        <w:numPr>
          <w:ilvl w:val="0"/>
          <w:numId w:val="3"/>
        </w:numPr>
        <w:spacing w:before="240" w:line="360" w:lineRule="auto"/>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H04: there is no significant impact on government policies and strategies towards agricultural development in Jammu and Kashmir.</w:t>
      </w:r>
      <w:bookmarkEnd w:id="1"/>
      <w:bookmarkEnd w:id="4"/>
    </w:p>
    <w:p w14:paraId="554B761F" w14:textId="77777777" w:rsidR="00B6568E" w:rsidRDefault="00B6568E">
      <w:pPr>
        <w:pStyle w:val="ListParagraph"/>
        <w:spacing w:before="240"/>
        <w:ind w:left="0"/>
        <w:jc w:val="both"/>
        <w:rPr>
          <w:rFonts w:ascii="Times New Roman" w:hAnsi="Times New Roman" w:cs="Times New Roman"/>
          <w:b/>
          <w:color w:val="000000" w:themeColor="text1"/>
          <w:sz w:val="28"/>
          <w:szCs w:val="28"/>
        </w:rPr>
      </w:pPr>
    </w:p>
    <w:p w14:paraId="4AFF772D" w14:textId="77777777" w:rsidR="00B6568E" w:rsidRDefault="00000000">
      <w:pPr>
        <w:pStyle w:val="ListParagraph"/>
        <w:spacing w:before="240"/>
        <w:ind w:left="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4. Results</w:t>
      </w:r>
    </w:p>
    <w:p w14:paraId="458BD31D" w14:textId="77777777" w:rsidR="00B6568E" w:rsidRDefault="00000000">
      <w:pPr>
        <w:spacing w:before="240"/>
        <w:jc w:val="both"/>
        <w:rPr>
          <w:rFonts w:ascii="Times New Roman" w:hAnsi="Times New Roman" w:cs="Times New Roman"/>
          <w:b/>
          <w:color w:val="000000" w:themeColor="text1"/>
          <w:sz w:val="24"/>
          <w:szCs w:val="20"/>
        </w:rPr>
      </w:pPr>
      <w:r>
        <w:rPr>
          <w:rFonts w:ascii="Times New Roman" w:hAnsi="Times New Roman" w:cs="Times New Roman"/>
          <w:b/>
          <w:color w:val="000000" w:themeColor="text1"/>
          <w:sz w:val="24"/>
          <w:szCs w:val="20"/>
        </w:rPr>
        <w:t>4.1. Participant’s perception on climatic change</w:t>
      </w:r>
    </w:p>
    <w:p w14:paraId="202ECA3E" w14:textId="77777777" w:rsidR="00B6568E" w:rsidRDefault="00000000">
      <w:pPr>
        <w:spacing w:before="240" w:line="360" w:lineRule="auto"/>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Participants' perceptions of climate change are crucial because they reflect first hand experiences and insights from those directly affected, particularly in agriculture and horticulture. These perceptions shape how farmers and communities understand the risks posed by changing weather patterns, influencing their adaptive responses.</w:t>
      </w:r>
    </w:p>
    <w:p w14:paraId="3E1163AC" w14:textId="77777777" w:rsidR="00B6568E" w:rsidRDefault="00000000">
      <w:pPr>
        <w:spacing w:before="240" w:line="360" w:lineRule="auto"/>
        <w:jc w:val="both"/>
        <w:rPr>
          <w:rFonts w:ascii="Times New Roman" w:hAnsi="Times New Roman" w:cs="Times New Roman"/>
          <w:color w:val="000000" w:themeColor="text1"/>
          <w:sz w:val="24"/>
          <w:szCs w:val="20"/>
        </w:rPr>
      </w:pPr>
      <w:r>
        <w:rPr>
          <w:rFonts w:ascii="Times New Roman" w:hAnsi="Times New Roman" w:cs="Times New Roman"/>
          <w:noProof/>
          <w:color w:val="000000" w:themeColor="text1"/>
          <w:sz w:val="24"/>
          <w:szCs w:val="24"/>
        </w:rPr>
        <w:drawing>
          <wp:anchor distT="0" distB="0" distL="114300" distR="114300" simplePos="0" relativeHeight="251663360" behindDoc="0" locked="0" layoutInCell="1" allowOverlap="1" wp14:anchorId="59F09271" wp14:editId="7D2EEC83">
            <wp:simplePos x="0" y="0"/>
            <wp:positionH relativeFrom="column">
              <wp:posOffset>0</wp:posOffset>
            </wp:positionH>
            <wp:positionV relativeFrom="paragraph">
              <wp:posOffset>73025</wp:posOffset>
            </wp:positionV>
            <wp:extent cx="5895975" cy="3333750"/>
            <wp:effectExtent l="19050" t="19050" r="28575" b="304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895975" cy="3333750"/>
                    </a:xfrm>
                    <a:prstGeom prst="rect">
                      <a:avLst/>
                    </a:prstGeom>
                    <a:noFill/>
                    <a:ln w="19050">
                      <a:solidFill>
                        <a:schemeClr val="tx1"/>
                      </a:solidFill>
                    </a:ln>
                  </pic:spPr>
                </pic:pic>
              </a:graphicData>
            </a:graphic>
          </wp:anchor>
        </w:drawing>
      </w:r>
      <w:r>
        <w:rPr>
          <w:noProof/>
        </w:rPr>
        <w:drawing>
          <wp:inline distT="0" distB="0" distL="114300" distR="114300" wp14:anchorId="0C345A46" wp14:editId="4F77EC7F">
            <wp:extent cx="5943600" cy="201295"/>
            <wp:effectExtent l="0" t="0" r="0" b="1206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0"/>
                    <a:stretch>
                      <a:fillRect/>
                    </a:stretch>
                  </pic:blipFill>
                  <pic:spPr>
                    <a:xfrm>
                      <a:off x="0" y="0"/>
                      <a:ext cx="5943600" cy="201295"/>
                    </a:xfrm>
                    <a:prstGeom prst="rect">
                      <a:avLst/>
                    </a:prstGeom>
                    <a:noFill/>
                    <a:ln>
                      <a:noFill/>
                    </a:ln>
                  </pic:spPr>
                </pic:pic>
              </a:graphicData>
            </a:graphic>
          </wp:inline>
        </w:drawing>
      </w:r>
    </w:p>
    <w:p w14:paraId="3C298B56" w14:textId="77777777" w:rsidR="00B6568E" w:rsidRDefault="00000000">
      <w:pPr>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0"/>
        </w:rPr>
        <w:t xml:space="preserve"> Understanding local perceptions helps policymakers and researchers tailor climate adaptation strategies to be more relevant and effective in specific regions. Accurate perception of climatic changes also plays a significant role in decision-making at the farm level. Moreover, studying these perceptions helps bridge the gap between scientific climate data and on-the-ground realities. Farmers' insights can highlight subtle environmental shifts that may not yet be fully captured in climate models, providing valuable feedback for refining forecasts and risk assessments. Thus, participants' perceptions serve as both a barometer for the effectiveness of existing adaptation efforts and a guide for future interventions. </w:t>
      </w:r>
      <w:r>
        <w:rPr>
          <w:rFonts w:ascii="Times New Roman" w:hAnsi="Times New Roman" w:cs="Times New Roman"/>
          <w:b/>
          <w:color w:val="000000" w:themeColor="text1"/>
          <w:sz w:val="24"/>
          <w:szCs w:val="20"/>
        </w:rPr>
        <w:t>Figure 2</w:t>
      </w:r>
      <w:r>
        <w:rPr>
          <w:rFonts w:ascii="Times New Roman" w:hAnsi="Times New Roman" w:cs="Times New Roman"/>
          <w:color w:val="000000" w:themeColor="text1"/>
          <w:sz w:val="24"/>
          <w:szCs w:val="20"/>
        </w:rPr>
        <w:t xml:space="preserve"> revels participants' perceptions of climate change are notably strong, as reflected by the Weighted Average Index </w:t>
      </w:r>
      <w:r>
        <w:rPr>
          <w:rFonts w:ascii="Times New Roman" w:hAnsi="Times New Roman" w:cs="Times New Roman"/>
          <w:color w:val="000000" w:themeColor="text1"/>
          <w:sz w:val="24"/>
          <w:szCs w:val="20"/>
        </w:rPr>
        <w:lastRenderedPageBreak/>
        <w:t xml:space="preserve">(WAI). The highest perception is regarding the erratic nature of rainfall, with a WAI of 4.6, indicating that participants believe rainfall has become highly unpredictable with significant seasonal variations. Similarly, there is a strong perception of overall climate change over time (WAI-4.2), and participants also recognize a noticeable decrease in overall annual snowfall (WAI-4.1). These perceptions indicate a clear awareness of the changing weather patterns and their potential long-term impact on the </w:t>
      </w:r>
      <w:proofErr w:type="spellStart"/>
      <w:proofErr w:type="gramStart"/>
      <w:r>
        <w:rPr>
          <w:rFonts w:ascii="Times New Roman" w:hAnsi="Times New Roman" w:cs="Times New Roman"/>
          <w:color w:val="000000" w:themeColor="text1"/>
          <w:sz w:val="24"/>
          <w:szCs w:val="20"/>
        </w:rPr>
        <w:t>environment.On</w:t>
      </w:r>
      <w:proofErr w:type="spellEnd"/>
      <w:proofErr w:type="gramEnd"/>
      <w:r>
        <w:rPr>
          <w:rFonts w:ascii="Times New Roman" w:hAnsi="Times New Roman" w:cs="Times New Roman"/>
          <w:color w:val="000000" w:themeColor="text1"/>
          <w:sz w:val="24"/>
          <w:szCs w:val="20"/>
        </w:rPr>
        <w:t xml:space="preserve"> the other hand, participants expressed lower perceptions regarding certain effects of climate change. The perceived reduction in snowfall leading to decreased water levels in streams scored </w:t>
      </w:r>
      <w:r>
        <w:rPr>
          <w:rFonts w:ascii="Times New Roman" w:hAnsi="Times New Roman" w:cs="Times New Roman"/>
          <w:color w:val="000000" w:themeColor="text1"/>
          <w:sz w:val="24"/>
          <w:szCs w:val="24"/>
        </w:rPr>
        <w:t xml:space="preserve">a lower WAI of 3.2, and the perception of reduced river and stream flow affecting agricultural production also scored </w:t>
      </w:r>
      <w:r>
        <w:rPr>
          <w:rFonts w:ascii="Times New Roman" w:hAnsi="Times New Roman" w:cs="Times New Roman"/>
          <w:color w:val="000000" w:themeColor="text1"/>
          <w:sz w:val="24"/>
          <w:szCs w:val="20"/>
        </w:rPr>
        <w:t xml:space="preserve">WAI of </w:t>
      </w:r>
      <w:r>
        <w:rPr>
          <w:rFonts w:ascii="Times New Roman" w:hAnsi="Times New Roman" w:cs="Times New Roman"/>
          <w:color w:val="000000" w:themeColor="text1"/>
          <w:sz w:val="24"/>
          <w:szCs w:val="24"/>
        </w:rPr>
        <w:t>3.2. This suggests that while participants acknowledge the broader climatic changes, they perceive the direct impacts on water resources and agriculture to a somewhat lesser degree. Nonetheless, moderate perceptions were recorded for temperature rise (WAI 3.8), increased extreme weather events (WAI 3.4), and the significant effects of temperature and precipitation variations on the hydrological system (WAI- 3.8), indicating general awareness of climate-induced challenges.</w:t>
      </w:r>
    </w:p>
    <w:p w14:paraId="20D33185" w14:textId="77777777" w:rsidR="00B6568E" w:rsidRDefault="00000000">
      <w:pPr>
        <w:jc w:val="both"/>
        <w:rPr>
          <w:rFonts w:ascii="Times New Roman" w:hAnsi="Times New Roman" w:cs="Times New Roman"/>
          <w:b/>
          <w:color w:val="000000" w:themeColor="text1"/>
          <w:sz w:val="24"/>
          <w:szCs w:val="20"/>
        </w:rPr>
      </w:pPr>
      <w:r>
        <w:rPr>
          <w:rFonts w:ascii="Times New Roman" w:hAnsi="Times New Roman" w:cs="Times New Roman"/>
          <w:b/>
          <w:color w:val="000000" w:themeColor="text1"/>
          <w:sz w:val="24"/>
          <w:szCs w:val="20"/>
        </w:rPr>
        <w:t>4.2. Impact of Climatic change on Agriculture and Horticulture</w:t>
      </w:r>
    </w:p>
    <w:p w14:paraId="611F7589" w14:textId="77777777" w:rsidR="00B6568E" w:rsidRDefault="00000000">
      <w:pPr>
        <w:spacing w:line="360" w:lineRule="auto"/>
        <w:jc w:val="both"/>
        <w:rPr>
          <w:rFonts w:ascii="Times New Roman" w:hAnsi="Times New Roman" w:cs="Times New Roman"/>
          <w:color w:val="000000" w:themeColor="text1"/>
          <w:sz w:val="24"/>
          <w:szCs w:val="20"/>
        </w:rPr>
      </w:pPr>
      <w:r>
        <w:rPr>
          <w:rFonts w:ascii="Times New Roman" w:hAnsi="Times New Roman" w:cs="Times New Roman"/>
          <w:b/>
          <w:color w:val="000000" w:themeColor="text1"/>
          <w:sz w:val="24"/>
          <w:szCs w:val="20"/>
        </w:rPr>
        <w:t>Figures 3</w:t>
      </w:r>
      <w:r>
        <w:rPr>
          <w:rFonts w:ascii="Times New Roman" w:hAnsi="Times New Roman" w:cs="Times New Roman"/>
          <w:color w:val="000000" w:themeColor="text1"/>
          <w:sz w:val="24"/>
          <w:szCs w:val="20"/>
        </w:rPr>
        <w:t xml:space="preserve"> shows the impact of climate change on agriculture and horticulture, as perceived by participants, is significant but varies in intensity. Higher temperatures, with a WAI of 4.1, have led to shifts in plantation schedules, indicating that farmers are adapting to earlier or delayed planting cycles. Early snowfall, scoring the highest WAI of 4.5, is seen as a major threat to agricultural sustainability, possibly due to its disruption of seasonal rhythms critical for crop growth. Similarly, erratic rainfall and its unseasonal occurrence are perceived to negatively impact overall agricultural production, also scoring 4.5. This suggests that unpredictable weather patterns are a primary concern for farmers, as they directly affect crop yields and farming schedules. Late snowfall is also a notable issue, with a WAI of 3.6, further emphasizing the challenge of managing unpredictable seasonal </w:t>
      </w:r>
      <w:proofErr w:type="spellStart"/>
      <w:proofErr w:type="gramStart"/>
      <w:r>
        <w:rPr>
          <w:rFonts w:ascii="Times New Roman" w:hAnsi="Times New Roman" w:cs="Times New Roman"/>
          <w:color w:val="000000" w:themeColor="text1"/>
          <w:sz w:val="24"/>
          <w:szCs w:val="20"/>
        </w:rPr>
        <w:t>changes.On</w:t>
      </w:r>
      <w:proofErr w:type="spellEnd"/>
      <w:proofErr w:type="gramEnd"/>
      <w:r>
        <w:rPr>
          <w:rFonts w:ascii="Times New Roman" w:hAnsi="Times New Roman" w:cs="Times New Roman"/>
          <w:color w:val="000000" w:themeColor="text1"/>
          <w:sz w:val="24"/>
          <w:szCs w:val="20"/>
        </w:rPr>
        <w:t xml:space="preserve"> the lower end of the perception scale, increased summer heat affecting fruit coloring (WAI-3.1) and unseasonal rain during the harvest season (WAI-3.1) are acknowledged but with less intensity. The perception that early fruit crop flowering is triggered by rising temperatures, scoring WAI of 3.2, indicates awareness of how weather shifts influence crop cycles. Similarly, early fruit tree flowering being disrupted by early </w:t>
      </w:r>
      <w:r>
        <w:rPr>
          <w:rFonts w:ascii="Times New Roman" w:hAnsi="Times New Roman" w:cs="Times New Roman"/>
          <w:color w:val="000000" w:themeColor="text1"/>
          <w:sz w:val="24"/>
          <w:szCs w:val="20"/>
        </w:rPr>
        <w:lastRenderedPageBreak/>
        <w:t>spring weather also has a relatively lower WAI of 3.2. Despite these slightly lower scores, participants still recognize the overall effects of climate-induced changes on agriculture, such as shifts in crop patterns (WAI-3.5) and the significant impact of decreased precipitation and poor irrigation on paddy cultivation (WAI-3.9). Overall, the data suggests that climate change poses a diverse set of challenges to agricultural livelihoods, with some effects being perceived more strongly than others.</w:t>
      </w:r>
    </w:p>
    <w:p w14:paraId="0EECE7C8" w14:textId="77777777" w:rsidR="00B6568E" w:rsidRDefault="00000000">
      <w:pPr>
        <w:spacing w:line="360" w:lineRule="auto"/>
        <w:jc w:val="both"/>
        <w:rPr>
          <w:rFonts w:ascii="Times New Roman" w:hAnsi="Times New Roman" w:cs="Times New Roman"/>
          <w:color w:val="000000" w:themeColor="text1"/>
          <w:sz w:val="24"/>
          <w:szCs w:val="20"/>
        </w:rPr>
      </w:pPr>
      <w:r>
        <w:rPr>
          <w:rFonts w:ascii="Times New Roman" w:hAnsi="Times New Roman" w:cs="Times New Roman"/>
          <w:b/>
          <w:noProof/>
          <w:color w:val="000000" w:themeColor="text1"/>
          <w:sz w:val="24"/>
          <w:szCs w:val="20"/>
        </w:rPr>
        <w:drawing>
          <wp:anchor distT="0" distB="0" distL="114300" distR="114300" simplePos="0" relativeHeight="251660288" behindDoc="0" locked="0" layoutInCell="1" allowOverlap="1" wp14:anchorId="46B89F66" wp14:editId="33C7EF09">
            <wp:simplePos x="0" y="0"/>
            <wp:positionH relativeFrom="column">
              <wp:posOffset>0</wp:posOffset>
            </wp:positionH>
            <wp:positionV relativeFrom="paragraph">
              <wp:posOffset>551815</wp:posOffset>
            </wp:positionV>
            <wp:extent cx="5991225" cy="3474720"/>
            <wp:effectExtent l="19050" t="19050" r="28575" b="1143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991225" cy="3474720"/>
                    </a:xfrm>
                    <a:prstGeom prst="rect">
                      <a:avLst/>
                    </a:prstGeom>
                    <a:noFill/>
                    <a:ln w="19050">
                      <a:solidFill>
                        <a:schemeClr val="tx1"/>
                      </a:solidFill>
                    </a:ln>
                  </pic:spPr>
                </pic:pic>
              </a:graphicData>
            </a:graphic>
          </wp:anchor>
        </w:drawing>
      </w:r>
      <w:r>
        <w:rPr>
          <w:rFonts w:ascii="Times New Roman" w:hAnsi="Times New Roman" w:cs="Times New Roman"/>
          <w:b/>
          <w:color w:val="000000" w:themeColor="text1"/>
          <w:sz w:val="24"/>
          <w:szCs w:val="20"/>
        </w:rPr>
        <w:t xml:space="preserve"> </w:t>
      </w:r>
      <w:r>
        <w:rPr>
          <w:b/>
          <w:noProof/>
          <w:sz w:val="28"/>
        </w:rPr>
        <mc:AlternateContent>
          <mc:Choice Requires="wps">
            <w:drawing>
              <wp:anchor distT="0" distB="0" distL="114300" distR="114300" simplePos="0" relativeHeight="251661312" behindDoc="0" locked="0" layoutInCell="1" allowOverlap="1" wp14:anchorId="182A0417" wp14:editId="1EEB9556">
                <wp:simplePos x="0" y="0"/>
                <wp:positionH relativeFrom="column">
                  <wp:posOffset>0</wp:posOffset>
                </wp:positionH>
                <wp:positionV relativeFrom="paragraph">
                  <wp:posOffset>295275</wp:posOffset>
                </wp:positionV>
                <wp:extent cx="5991225" cy="209550"/>
                <wp:effectExtent l="0" t="0" r="9525" b="0"/>
                <wp:wrapSquare wrapText="bothSides"/>
                <wp:docPr id="11" name="Text Box 11"/>
                <wp:cNvGraphicFramePr/>
                <a:graphic xmlns:a="http://schemas.openxmlformats.org/drawingml/2006/main">
                  <a:graphicData uri="http://schemas.microsoft.com/office/word/2010/wordprocessingShape">
                    <wps:wsp>
                      <wps:cNvSpPr txBox="1"/>
                      <wps:spPr>
                        <a:xfrm>
                          <a:off x="0" y="0"/>
                          <a:ext cx="5991225" cy="209550"/>
                        </a:xfrm>
                        <a:prstGeom prst="rect">
                          <a:avLst/>
                        </a:prstGeom>
                        <a:solidFill>
                          <a:prstClr val="white"/>
                        </a:solidFill>
                        <a:ln>
                          <a:noFill/>
                        </a:ln>
                        <a:effectLst/>
                      </wps:spPr>
                      <wps:txbx>
                        <w:txbxContent>
                          <w:p w14:paraId="295FC689" w14:textId="77777777" w:rsidR="00B6568E" w:rsidRDefault="00000000">
                            <w:pPr>
                              <w:pStyle w:val="Caption"/>
                              <w:rPr>
                                <w:rFonts w:ascii="Times New Roman" w:hAnsi="Times New Roman" w:cs="Times New Roman"/>
                                <w:color w:val="auto"/>
                                <w:sz w:val="20"/>
                                <w:szCs w:val="20"/>
                              </w:rPr>
                            </w:pPr>
                            <w:r>
                              <w:rPr>
                                <w:rFonts w:ascii="Times New Roman" w:hAnsi="Times New Roman" w:cs="Times New Roman"/>
                                <w:color w:val="auto"/>
                                <w:sz w:val="20"/>
                                <w:szCs w:val="20"/>
                              </w:rPr>
                              <w:t>Figure 3 Perception of participants towards the impact of Climatic change on agriculture and horticulture</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182A0417" id="_x0000_t202" coordsize="21600,21600" o:spt="202" path="m,l,21600r21600,l21600,xe">
                <v:stroke joinstyle="miter"/>
                <v:path gradientshapeok="t" o:connecttype="rect"/>
              </v:shapetype>
              <v:shape id="Text Box 11" o:spid="_x0000_s1026" type="#_x0000_t202" style="position:absolute;left:0;text-align:left;margin-left:0;margin-top:23.25pt;width:471.7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" stroked="f">
                <v:textbox inset="0,0,0,0">
                  <w:txbxContent>
                    <w:p w14:paraId="295FC689" w14:textId="77777777" w:rsidR="00B6568E" w:rsidRDefault="00000000">
                      <w:pPr>
                        <w:pStyle w:val="Caption"/>
                        <w:rPr>
                          <w:rFonts w:ascii="Times New Roman" w:hAnsi="Times New Roman" w:cs="Times New Roman"/>
                          <w:color w:val="auto"/>
                          <w:sz w:val="20"/>
                          <w:szCs w:val="20"/>
                        </w:rPr>
                      </w:pPr>
                      <w:r>
                        <w:rPr>
                          <w:rFonts w:ascii="Times New Roman" w:hAnsi="Times New Roman" w:cs="Times New Roman"/>
                          <w:color w:val="auto"/>
                          <w:sz w:val="20"/>
                          <w:szCs w:val="20"/>
                        </w:rPr>
                        <w:t>Figure 3 Perception of participants towards the impact of Climatic change on agriculture and horticulture</w:t>
                      </w:r>
                    </w:p>
                  </w:txbxContent>
                </v:textbox>
                <w10:wrap type="square"/>
              </v:shape>
            </w:pict>
          </mc:Fallback>
        </mc:AlternateContent>
      </w:r>
    </w:p>
    <w:p w14:paraId="3184A36C" w14:textId="77777777" w:rsidR="00B6568E" w:rsidRDefault="00B6568E">
      <w:pPr>
        <w:jc w:val="both"/>
        <w:rPr>
          <w:rFonts w:ascii="Times New Roman" w:hAnsi="Times New Roman" w:cs="Times New Roman"/>
          <w:b/>
          <w:color w:val="000000" w:themeColor="text1"/>
          <w:sz w:val="20"/>
          <w:szCs w:val="20"/>
        </w:rPr>
      </w:pPr>
    </w:p>
    <w:p w14:paraId="487E2FD0" w14:textId="77777777" w:rsidR="00B6568E" w:rsidRDefault="00000000">
      <w:pPr>
        <w:spacing w:line="360" w:lineRule="auto"/>
        <w:jc w:val="both"/>
        <w:rPr>
          <w:rFonts w:ascii="Times New Roman" w:hAnsi="Times New Roman" w:cs="Times New Roman"/>
          <w:b/>
          <w:color w:val="000000" w:themeColor="text1"/>
          <w:sz w:val="24"/>
          <w:szCs w:val="20"/>
        </w:rPr>
      </w:pPr>
      <w:r>
        <w:rPr>
          <w:rFonts w:ascii="Times New Roman" w:hAnsi="Times New Roman" w:cs="Times New Roman"/>
          <w:b/>
          <w:color w:val="000000" w:themeColor="text1"/>
          <w:sz w:val="24"/>
          <w:szCs w:val="20"/>
        </w:rPr>
        <w:t>4.3. Adaptation Strategies adopted by farmers in Agriculture</w:t>
      </w:r>
    </w:p>
    <w:p w14:paraId="2BFD26A4" w14:textId="77777777" w:rsidR="00B6568E" w:rsidRDefault="00000000">
      <w:pPr>
        <w:spacing w:line="360" w:lineRule="auto"/>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 xml:space="preserve">Adaptation strategies are critical in safeguarding agricultural and horticultural systems from the adverse impacts of climate change. As weather patterns become increasingly unpredictable, with rising temperatures, erratic rainfall, and extreme events such as floods and droughts, farmers and communities must adjust their practices to sustain productivity and livelihoods. Adaptation strategies serve as proactive measures that reduce vulnerability to these climate-related risks </w:t>
      </w:r>
      <w:r>
        <w:rPr>
          <w:rFonts w:ascii="Times New Roman" w:hAnsi="Times New Roman" w:cs="Times New Roman"/>
          <w:color w:val="000000" w:themeColor="text1"/>
          <w:sz w:val="24"/>
          <w:szCs w:val="20"/>
        </w:rPr>
        <w:lastRenderedPageBreak/>
        <w:t xml:space="preserve">while ensuring long-term sustainability in farming. One of the most important reasons for adopting adaptation strategies is to maintain food security. As climate change disrupts crop yields and harvest cycles, strategies such as crop diversification, improved irrigation, and the use of drought-resistant varieties ensure that farmers can still produce enough food despite environmental stressors. These strategies also enhance economic resilience by helping farmers switch to higher-value crops or more climate-resilient agricultural practices, which can improve their income and reduce the risks associated with single-crop dependency. Furthermore, adaptation strategies are essential for preserving ecosystems and natural resources. </w:t>
      </w:r>
    </w:p>
    <w:p w14:paraId="29C02085" w14:textId="77777777" w:rsidR="00B6568E" w:rsidRDefault="00000000">
      <w:pPr>
        <w:spacing w:line="360" w:lineRule="auto"/>
        <w:ind w:firstLineChars="1400" w:firstLine="3373"/>
        <w:jc w:val="both"/>
        <w:rPr>
          <w:rFonts w:ascii="Times New Roman" w:hAnsi="Times New Roman" w:cs="Times New Roman"/>
          <w:color w:val="000000" w:themeColor="text1"/>
          <w:sz w:val="24"/>
          <w:szCs w:val="20"/>
        </w:rPr>
      </w:pPr>
      <w:r>
        <w:rPr>
          <w:rFonts w:ascii="Times New Roman" w:hAnsi="Times New Roman" w:cs="Times New Roman"/>
          <w:b/>
          <w:color w:val="000000" w:themeColor="text1"/>
          <w:sz w:val="24"/>
          <w:szCs w:val="20"/>
        </w:rPr>
        <w:t>Figure 4</w:t>
      </w:r>
      <w:r>
        <w:rPr>
          <w:rFonts w:ascii="Times New Roman" w:hAnsi="Times New Roman" w:cs="Times New Roman"/>
          <w:color w:val="000000" w:themeColor="text1"/>
          <w:sz w:val="24"/>
          <w:szCs w:val="20"/>
        </w:rPr>
        <w:t xml:space="preserve"> reveals a diverse array of adaptation strategies being adopted by farmers to cope with the effects of climate change in both agriculture and horticulture. In agriculture, crop diversification stands out as the most significant strategy, with a high WAI of 4.5. This suggests that farmers are moving towards planting a wider variety of crops, spreading the risk associated with unpredictable weather patterns and potential crop failures. By diversifying, they are able to increase their resilience against factors like drought, pests, or temperature variations. Another key adaptation is the conversion of agricultural land to horticulture, which has a WAI of 4.4. This shift reflects a strategic decision by farmers to engage in more profitable and potentially less climate-sensitive practices, as horticulture often allows for more controlled growing environments and access to higher-value crops like fruits and vegetables. </w:t>
      </w:r>
    </w:p>
    <w:p w14:paraId="4AAC57F8" w14:textId="77777777" w:rsidR="00B6568E" w:rsidRDefault="00B6568E">
      <w:pPr>
        <w:spacing w:line="360" w:lineRule="auto"/>
        <w:jc w:val="both"/>
        <w:rPr>
          <w:rFonts w:ascii="Times New Roman" w:hAnsi="Times New Roman" w:cs="Times New Roman"/>
          <w:color w:val="000000" w:themeColor="text1"/>
          <w:sz w:val="24"/>
          <w:szCs w:val="20"/>
        </w:rPr>
      </w:pPr>
    </w:p>
    <w:p w14:paraId="50B7B423" w14:textId="77777777" w:rsidR="00B6568E" w:rsidRDefault="00B6568E">
      <w:pPr>
        <w:spacing w:line="360" w:lineRule="auto"/>
        <w:jc w:val="both"/>
        <w:rPr>
          <w:rFonts w:ascii="Times New Roman" w:hAnsi="Times New Roman" w:cs="Times New Roman"/>
          <w:color w:val="000000" w:themeColor="text1"/>
          <w:sz w:val="24"/>
          <w:szCs w:val="20"/>
        </w:rPr>
      </w:pPr>
    </w:p>
    <w:p w14:paraId="328683E6" w14:textId="77777777" w:rsidR="00B6568E" w:rsidRDefault="00000000">
      <w:pPr>
        <w:spacing w:line="360" w:lineRule="auto"/>
        <w:jc w:val="both"/>
        <w:rPr>
          <w:rFonts w:ascii="Times New Roman" w:hAnsi="Times New Roman" w:cs="Times New Roman"/>
          <w:b/>
          <w:bCs/>
          <w:color w:val="000000" w:themeColor="text1"/>
          <w:sz w:val="24"/>
          <w:szCs w:val="20"/>
        </w:rPr>
      </w:pPr>
      <w:r>
        <w:rPr>
          <w:rFonts w:ascii="Times New Roman" w:hAnsi="Times New Roman" w:cs="Times New Roman"/>
          <w:b/>
          <w:bCs/>
          <w:noProof/>
          <w:color w:val="000000" w:themeColor="text1"/>
          <w:sz w:val="24"/>
          <w:szCs w:val="20"/>
        </w:rPr>
        <w:lastRenderedPageBreak/>
        <w:drawing>
          <wp:anchor distT="0" distB="0" distL="114300" distR="114300" simplePos="0" relativeHeight="251662336" behindDoc="0" locked="0" layoutInCell="1" allowOverlap="1" wp14:anchorId="4ECCD9CF" wp14:editId="23CCC4AD">
            <wp:simplePos x="0" y="0"/>
            <wp:positionH relativeFrom="column">
              <wp:posOffset>0</wp:posOffset>
            </wp:positionH>
            <wp:positionV relativeFrom="paragraph">
              <wp:posOffset>352425</wp:posOffset>
            </wp:positionV>
            <wp:extent cx="5829300" cy="3152775"/>
            <wp:effectExtent l="0" t="0" r="0" b="952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Times New Roman" w:hAnsi="Times New Roman" w:cs="Times New Roman"/>
          <w:b/>
          <w:bCs/>
          <w:color w:val="000000" w:themeColor="text1"/>
          <w:sz w:val="24"/>
          <w:szCs w:val="20"/>
        </w:rPr>
        <w:t xml:space="preserve">Figure </w:t>
      </w:r>
      <w:proofErr w:type="gramStart"/>
      <w:r>
        <w:rPr>
          <w:rFonts w:ascii="Times New Roman" w:hAnsi="Times New Roman" w:cs="Times New Roman"/>
          <w:b/>
          <w:bCs/>
          <w:color w:val="000000" w:themeColor="text1"/>
          <w:sz w:val="24"/>
          <w:szCs w:val="20"/>
        </w:rPr>
        <w:t>4:Adadptation</w:t>
      </w:r>
      <w:proofErr w:type="gramEnd"/>
      <w:r>
        <w:rPr>
          <w:rFonts w:ascii="Times New Roman" w:hAnsi="Times New Roman" w:cs="Times New Roman"/>
          <w:b/>
          <w:bCs/>
          <w:color w:val="000000" w:themeColor="text1"/>
          <w:sz w:val="24"/>
          <w:szCs w:val="20"/>
        </w:rPr>
        <w:t xml:space="preserve"> Strategies adopted by farmers with respect to agriculture.</w:t>
      </w:r>
    </w:p>
    <w:p w14:paraId="6D7ED895" w14:textId="77777777" w:rsidR="00B6568E" w:rsidRDefault="00000000">
      <w:pPr>
        <w:spacing w:line="360" w:lineRule="auto"/>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Farmers are also employing improved irrigation systems, with a WAI of 4.1, to manage the increasingly erratic rainfall patterns and lower water availability. Efficient irrigation ensures that water is used judiciously, reducing the risk of crop loss due to drought. The shift towards high-value crops (WAI-3.9) further highlights farmers' efforts to enhance profitability while navigating climatic challenges. Mixed cropping, which scored the highest among all strategies with a WAI of 4.6, is particularly crucial in reducing vulnerability. By planting multiple crops at once, farmers can ensure at least some crop survival even when adverse weather conditions strike. While these strategies are highly perceived, some practices like land levelling and terracing (WAI-3.1) and adjusting the cropping calendar (WAI-3.2) are seen as less impactful, possibly because they require more infrastructure or do not offer immediate benefits in combating climate change.</w:t>
      </w:r>
    </w:p>
    <w:p w14:paraId="3647B7A7" w14:textId="77777777" w:rsidR="00B6568E" w:rsidRDefault="00000000">
      <w:pPr>
        <w:spacing w:line="360" w:lineRule="auto"/>
        <w:jc w:val="both"/>
        <w:rPr>
          <w:rFonts w:ascii="Times New Roman" w:hAnsi="Times New Roman" w:cs="Times New Roman"/>
          <w:b/>
          <w:color w:val="000000" w:themeColor="text1"/>
          <w:sz w:val="24"/>
          <w:szCs w:val="20"/>
        </w:rPr>
      </w:pPr>
      <w:r>
        <w:rPr>
          <w:rFonts w:ascii="Times New Roman" w:hAnsi="Times New Roman" w:cs="Times New Roman"/>
          <w:b/>
          <w:color w:val="000000" w:themeColor="text1"/>
          <w:sz w:val="24"/>
          <w:szCs w:val="20"/>
        </w:rPr>
        <w:t>4.4. Adaptation Strategies adopted by farmers in Horticulture</w:t>
      </w:r>
    </w:p>
    <w:p w14:paraId="785D4E51" w14:textId="77777777" w:rsidR="00B6568E" w:rsidRDefault="00000000">
      <w:pPr>
        <w:spacing w:line="360" w:lineRule="auto"/>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 xml:space="preserve">In the horticultural sector, farmers are increasingly adopting sophisticated and innovative adaptation strategies </w:t>
      </w:r>
      <w:r>
        <w:rPr>
          <w:rFonts w:ascii="Times New Roman" w:hAnsi="Times New Roman" w:cs="Times New Roman"/>
          <w:b/>
          <w:color w:val="000000" w:themeColor="text1"/>
          <w:sz w:val="24"/>
          <w:szCs w:val="20"/>
        </w:rPr>
        <w:t>Figure 5.</w:t>
      </w:r>
      <w:r>
        <w:rPr>
          <w:rFonts w:ascii="Times New Roman" w:hAnsi="Times New Roman" w:cs="Times New Roman"/>
          <w:color w:val="000000" w:themeColor="text1"/>
          <w:sz w:val="24"/>
          <w:szCs w:val="20"/>
        </w:rPr>
        <w:t xml:space="preserve"> The increased use of pesticides (WAI-4.5) reflects a heightened response to pest outbreaks that are exacerbated by climate change, as warmer temperatures and </w:t>
      </w:r>
      <w:r>
        <w:rPr>
          <w:rFonts w:ascii="Times New Roman" w:hAnsi="Times New Roman" w:cs="Times New Roman"/>
          <w:color w:val="000000" w:themeColor="text1"/>
          <w:sz w:val="24"/>
          <w:szCs w:val="20"/>
        </w:rPr>
        <w:lastRenderedPageBreak/>
        <w:t>fluctuating precipitation patterns often lead to higher pest and disease pressures. Another critical strategy is the implementation of post-harvest management and cold storage facilities (WAI-4.5). This ensures that harvested crops, particularly perishable fruits, are stored in optimal conditions, reducing spoilage and allowing farmers to sell their produce over longer periods, which is essential in an era of unpredictable growing seasons. Similarly, high-density plantations (WAI- 4.1) and the strategic management of small farm sizes (WAI-4.2) indicate a focus on maximizing productivity from limited land resources, a key adaptation in areas where agricultural land is shrinking or becoming less fertile due to climate stressors.</w:t>
      </w:r>
    </w:p>
    <w:p w14:paraId="2E9272A9" w14:textId="77777777" w:rsidR="00B6568E" w:rsidRDefault="00000000">
      <w:pPr>
        <w:spacing w:line="360" w:lineRule="auto"/>
        <w:ind w:firstLineChars="1150" w:firstLine="2760"/>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 xml:space="preserve">Other horticultural strategies include the use of alternative irrigation systems such as pump or lift irrigation (WAI-3.9), ensuring that water is accessible even in areas experiencing lower rainfall or erratic water availability. The introduction of drought-resistant varieties (WAI-3.1) and the adoption of improved technologies (WAI-3.8) are additional measures that aim to enhance resilience to climate variability, although their uptake might be limited by costs or lack of access. Access to horticultural subsidies (WAI-4.1) also plays a crucial role in enabling farmers to </w:t>
      </w:r>
    </w:p>
    <w:p w14:paraId="43459356" w14:textId="77777777" w:rsidR="00B6568E" w:rsidRDefault="00000000">
      <w:pPr>
        <w:spacing w:line="360" w:lineRule="auto"/>
        <w:jc w:val="both"/>
        <w:rPr>
          <w:rFonts w:ascii="Times New Roman" w:hAnsi="Times New Roman" w:cs="Times New Roman"/>
          <w:color w:val="000000" w:themeColor="text1"/>
          <w:sz w:val="24"/>
          <w:szCs w:val="20"/>
        </w:rPr>
      </w:pPr>
      <w:r>
        <w:rPr>
          <w:rFonts w:ascii="Times New Roman" w:hAnsi="Times New Roman" w:cs="Times New Roman"/>
          <w:noProof/>
          <w:color w:val="000000" w:themeColor="text1"/>
          <w:sz w:val="24"/>
          <w:szCs w:val="20"/>
        </w:rPr>
        <w:drawing>
          <wp:inline distT="0" distB="0" distL="0" distR="0" wp14:anchorId="01A1D899" wp14:editId="38FF1E74">
            <wp:extent cx="5895975" cy="3276600"/>
            <wp:effectExtent l="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cs="Times New Roman"/>
          <w:color w:val="000000" w:themeColor="text1"/>
          <w:sz w:val="24"/>
          <w:szCs w:val="20"/>
        </w:rPr>
        <w:t xml:space="preserve">    </w:t>
      </w:r>
    </w:p>
    <w:p w14:paraId="5F323131" w14:textId="77777777" w:rsidR="00B6568E" w:rsidRDefault="00000000">
      <w:pPr>
        <w:spacing w:line="360" w:lineRule="auto"/>
        <w:jc w:val="both"/>
        <w:rPr>
          <w:rFonts w:ascii="Times New Roman" w:hAnsi="Times New Roman" w:cs="Times New Roman"/>
          <w:color w:val="000000" w:themeColor="text1"/>
          <w:sz w:val="24"/>
          <w:szCs w:val="20"/>
        </w:rPr>
      </w:pPr>
      <w:r>
        <w:rPr>
          <w:rFonts w:ascii="Times New Roman" w:hAnsi="Times New Roman" w:cs="Times New Roman"/>
          <w:b/>
          <w:bCs/>
          <w:color w:val="000000" w:themeColor="text1"/>
          <w:sz w:val="24"/>
          <w:szCs w:val="20"/>
        </w:rPr>
        <w:t xml:space="preserve">Figure </w:t>
      </w:r>
      <w:proofErr w:type="gramStart"/>
      <w:r>
        <w:rPr>
          <w:rFonts w:ascii="Times New Roman" w:hAnsi="Times New Roman" w:cs="Times New Roman"/>
          <w:b/>
          <w:bCs/>
          <w:color w:val="000000" w:themeColor="text1"/>
          <w:sz w:val="24"/>
          <w:szCs w:val="20"/>
        </w:rPr>
        <w:t>5:Adaptation</w:t>
      </w:r>
      <w:proofErr w:type="gramEnd"/>
      <w:r>
        <w:rPr>
          <w:rFonts w:ascii="Times New Roman" w:hAnsi="Times New Roman" w:cs="Times New Roman"/>
          <w:b/>
          <w:bCs/>
          <w:color w:val="000000" w:themeColor="text1"/>
          <w:sz w:val="24"/>
          <w:szCs w:val="20"/>
        </w:rPr>
        <w:t xml:space="preserve"> Strategies adopted by farmers with respect to horticulture.</w:t>
      </w:r>
    </w:p>
    <w:p w14:paraId="239614AC" w14:textId="77777777" w:rsidR="00B6568E" w:rsidRDefault="00000000">
      <w:pPr>
        <w:spacing w:line="360" w:lineRule="auto"/>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lastRenderedPageBreak/>
        <w:t>afford these new technologies and implement strategies that would otherwise be financially prohibitive. However, some strategies, such as installing hail nets (WAI-2.5) and early maturing crops (WAI-2.9), are perceived as less effective. This might be due to the high costs of implementation or their limited applicability in certain areas, but they remain part of the broader adaptive toolkit that farmers are exploring in response to climate change.</w:t>
      </w:r>
    </w:p>
    <w:p w14:paraId="4FA3C53A" w14:textId="77777777" w:rsidR="00B6568E" w:rsidRDefault="00000000">
      <w:pPr>
        <w:spacing w:line="360" w:lineRule="auto"/>
        <w:ind w:firstLineChars="1050" w:firstLine="2520"/>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Overall, the data indicates that both sectors are actively employing a range of adaptation strategies to safeguard their livelihoods from the increasing threats posed by climate change. While some strategies, such as crop diversification and improved irrigation, are perceived as highly effective, others are more niche or less widely adopted. Nevertheless, the emphasis on innovation, resource efficiency, and risk reduction demonstrates a proactive approach by farmers in securing the future of agriculture and horticulture in the face of evolving climate challenges.</w:t>
      </w:r>
    </w:p>
    <w:p w14:paraId="58D22B7E" w14:textId="77777777" w:rsidR="00B6568E" w:rsidRDefault="00000000">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4.5. Statistical Analysis of Farmers' Perceptions, Climate Change Impact, and Agricultural Adaptation in Jammu and Kashmir</w:t>
      </w:r>
    </w:p>
    <w:p w14:paraId="11DB706B" w14:textId="77777777" w:rsidR="00B6568E" w:rsidRDefault="0000000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agricultural sector in Jammu and Kashmir, located in the North West Himalayan region, faces increasing challenges due to climate change. This study seeks to understand the relationship between farmers' perceptions of these climatic changes, the effects on their agricultural practices, and the role of government policies in mitigating these impacts. Using a range of statistical tools, including ANOVA, Spearman’s correlation, and Chi-square tests, we examine various dimensions of these relationships. The results provide insights into how climate change influences farming productivity, poverty, and adaptation strategies in the region.</w:t>
      </w:r>
    </w:p>
    <w:p w14:paraId="2A748513" w14:textId="77777777" w:rsidR="00B6568E" w:rsidRDefault="00000000">
      <w:pPr>
        <w:spacing w:line="360" w:lineRule="auto"/>
        <w:ind w:firstLineChars="1100" w:firstLine="26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ANOVA analysis </w:t>
      </w:r>
      <w:r>
        <w:rPr>
          <w:rFonts w:ascii="Times New Roman" w:hAnsi="Times New Roman" w:cs="Times New Roman"/>
          <w:b/>
          <w:color w:val="000000" w:themeColor="text1"/>
          <w:sz w:val="24"/>
          <w:szCs w:val="24"/>
        </w:rPr>
        <w:t>(Table 1)</w:t>
      </w:r>
      <w:r>
        <w:rPr>
          <w:rFonts w:ascii="Times New Roman" w:hAnsi="Times New Roman" w:cs="Times New Roman"/>
          <w:color w:val="000000" w:themeColor="text1"/>
          <w:sz w:val="24"/>
          <w:szCs w:val="24"/>
        </w:rPr>
        <w:t xml:space="preserve"> investigates whether there is a significant difference in perceptions of farmers on climate change and their ability to adapt, even with technological advancements and experience. The results show a highly significant F-value (p = 0.000), leading to the rejection of the null hypothesis. This indicates that farmers' perceptions are significantly affected by climate change, which in turn influences their agricultural patterns. For example, the finding that "productivity per acre has decreased due to climate change" was statistically significant with an F-value of 127.191 (p = 0.000), further </w:t>
      </w:r>
      <w:r>
        <w:rPr>
          <w:rFonts w:ascii="Times New Roman" w:hAnsi="Times New Roman" w:cs="Times New Roman"/>
          <w:color w:val="000000" w:themeColor="text1"/>
          <w:sz w:val="24"/>
          <w:szCs w:val="24"/>
        </w:rPr>
        <w:lastRenderedPageBreak/>
        <w:t>emphasizing the detrimental effects of climate change on farming outcomes in Jammu and Kashmir.</w:t>
      </w:r>
    </w:p>
    <w:p w14:paraId="5321F953" w14:textId="77777777" w:rsidR="00B6568E" w:rsidRDefault="00000000">
      <w:pPr>
        <w:spacing w:before="24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1: ANOVA results </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96"/>
        <w:gridCol w:w="1716"/>
        <w:gridCol w:w="1498"/>
        <w:gridCol w:w="865"/>
        <w:gridCol w:w="1207"/>
        <w:gridCol w:w="953"/>
        <w:gridCol w:w="810"/>
      </w:tblGrid>
      <w:tr w:rsidR="00B6568E" w14:paraId="58D34440" w14:textId="77777777">
        <w:trPr>
          <w:cantSplit/>
        </w:trPr>
        <w:tc>
          <w:tcPr>
            <w:tcW w:w="9545" w:type="dxa"/>
            <w:gridSpan w:val="7"/>
            <w:shd w:val="clear" w:color="auto" w:fill="FFFFFF"/>
          </w:tcPr>
          <w:p w14:paraId="5966D3AC"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b/>
                <w:color w:val="000000" w:themeColor="text1"/>
                <w:sz w:val="24"/>
                <w:szCs w:val="24"/>
              </w:rPr>
              <w:t>Farmer</w:t>
            </w:r>
            <w:r>
              <w:rPr>
                <w:rFonts w:ascii="Times New Roman" w:hAnsi="Times New Roman" w:cs="Times New Roman" w:hint="eastAsia"/>
                <w:b/>
                <w:color w:val="000000" w:themeColor="text1"/>
                <w:sz w:val="24"/>
                <w:szCs w:val="24"/>
              </w:rPr>
              <w:t>’</w:t>
            </w:r>
            <w:r>
              <w:rPr>
                <w:rFonts w:ascii="Times New Roman" w:hAnsi="Times New Roman" w:cs="Times New Roman" w:hint="eastAsia"/>
                <w:b/>
                <w:color w:val="000000" w:themeColor="text1"/>
                <w:sz w:val="24"/>
                <w:szCs w:val="24"/>
              </w:rPr>
              <w:t>s perception about climatic change and their agricultural patterns</w:t>
            </w:r>
          </w:p>
        </w:tc>
      </w:tr>
      <w:tr w:rsidR="00B6568E" w14:paraId="4547D23D" w14:textId="77777777">
        <w:trPr>
          <w:cantSplit/>
        </w:trPr>
        <w:tc>
          <w:tcPr>
            <w:tcW w:w="4212" w:type="dxa"/>
            <w:gridSpan w:val="2"/>
            <w:shd w:val="clear" w:color="auto" w:fill="FFFFFF"/>
          </w:tcPr>
          <w:p w14:paraId="3BEE3221" w14:textId="77777777" w:rsidR="00B6568E" w:rsidRDefault="00B6568E">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p>
        </w:tc>
        <w:tc>
          <w:tcPr>
            <w:tcW w:w="1498" w:type="dxa"/>
            <w:shd w:val="clear" w:color="auto" w:fill="FFFFFF"/>
          </w:tcPr>
          <w:p w14:paraId="3C05DE86"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Sum of Squares</w:t>
            </w:r>
          </w:p>
        </w:tc>
        <w:tc>
          <w:tcPr>
            <w:tcW w:w="865" w:type="dxa"/>
            <w:shd w:val="clear" w:color="auto" w:fill="FFFFFF"/>
          </w:tcPr>
          <w:p w14:paraId="48369FE8"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hint="eastAsia"/>
                <w:color w:val="000000" w:themeColor="text1"/>
                <w:sz w:val="24"/>
                <w:szCs w:val="24"/>
              </w:rPr>
              <w:t>Df</w:t>
            </w:r>
            <w:proofErr w:type="spellEnd"/>
            <w:r>
              <w:rPr>
                <w:rFonts w:ascii="Times New Roman" w:hAnsi="Times New Roman" w:cs="Times New Roman" w:hint="eastAsia"/>
                <w:color w:val="000000" w:themeColor="text1"/>
                <w:sz w:val="24"/>
                <w:szCs w:val="24"/>
              </w:rPr>
              <w:t xml:space="preserve"> </w:t>
            </w:r>
          </w:p>
        </w:tc>
        <w:tc>
          <w:tcPr>
            <w:tcW w:w="1207" w:type="dxa"/>
            <w:shd w:val="clear" w:color="auto" w:fill="FFFFFF"/>
          </w:tcPr>
          <w:p w14:paraId="72A17054"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Mean Square</w:t>
            </w:r>
          </w:p>
        </w:tc>
        <w:tc>
          <w:tcPr>
            <w:tcW w:w="953" w:type="dxa"/>
            <w:shd w:val="clear" w:color="auto" w:fill="FFFFFF"/>
          </w:tcPr>
          <w:p w14:paraId="365F39AE"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F</w:t>
            </w:r>
          </w:p>
        </w:tc>
        <w:tc>
          <w:tcPr>
            <w:tcW w:w="810" w:type="dxa"/>
            <w:shd w:val="clear" w:color="auto" w:fill="FFFFFF"/>
          </w:tcPr>
          <w:p w14:paraId="7E34A917"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Sig.</w:t>
            </w:r>
          </w:p>
        </w:tc>
      </w:tr>
      <w:tr w:rsidR="00B6568E" w14:paraId="2ED9C787" w14:textId="77777777">
        <w:trPr>
          <w:cantSplit/>
        </w:trPr>
        <w:tc>
          <w:tcPr>
            <w:tcW w:w="2496" w:type="dxa"/>
            <w:vMerge w:val="restart"/>
            <w:shd w:val="clear" w:color="auto" w:fill="FFFFFF"/>
            <w:vAlign w:val="center"/>
          </w:tcPr>
          <w:p w14:paraId="6F5943CD"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Even with experienced farming and technology it is very difficult to adapt to climate change in J and K</w:t>
            </w:r>
          </w:p>
        </w:tc>
        <w:tc>
          <w:tcPr>
            <w:tcW w:w="1716" w:type="dxa"/>
            <w:shd w:val="clear" w:color="auto" w:fill="FFFFFF"/>
            <w:vAlign w:val="center"/>
          </w:tcPr>
          <w:p w14:paraId="4E8B00EA"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Between Groups</w:t>
            </w:r>
          </w:p>
        </w:tc>
        <w:tc>
          <w:tcPr>
            <w:tcW w:w="1498" w:type="dxa"/>
            <w:shd w:val="clear" w:color="auto" w:fill="FFFFFF"/>
            <w:vAlign w:val="center"/>
          </w:tcPr>
          <w:p w14:paraId="45AEEB26"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90.608</w:t>
            </w:r>
          </w:p>
        </w:tc>
        <w:tc>
          <w:tcPr>
            <w:tcW w:w="865" w:type="dxa"/>
            <w:shd w:val="clear" w:color="auto" w:fill="FFFFFF"/>
            <w:vAlign w:val="center"/>
          </w:tcPr>
          <w:p w14:paraId="627FD7FC"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c>
          <w:tcPr>
            <w:tcW w:w="1207" w:type="dxa"/>
            <w:shd w:val="clear" w:color="auto" w:fill="FFFFFF"/>
            <w:vAlign w:val="center"/>
          </w:tcPr>
          <w:p w14:paraId="5D8DCDD0"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45.304</w:t>
            </w:r>
          </w:p>
        </w:tc>
        <w:tc>
          <w:tcPr>
            <w:tcW w:w="953" w:type="dxa"/>
            <w:shd w:val="clear" w:color="auto" w:fill="FFFFFF"/>
            <w:vAlign w:val="center"/>
          </w:tcPr>
          <w:p w14:paraId="241D9AA7"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215</w:t>
            </w:r>
            <w:r>
              <w:rPr>
                <w:rFonts w:ascii="Times New Roman" w:hAnsi="Times New Roman" w:cs="Times New Roman" w:hint="eastAsia"/>
                <w:color w:val="000000" w:themeColor="text1"/>
                <w:sz w:val="24"/>
                <w:szCs w:val="24"/>
              </w:rPr>
              <w:t>.557</w:t>
            </w:r>
          </w:p>
        </w:tc>
        <w:tc>
          <w:tcPr>
            <w:tcW w:w="810" w:type="dxa"/>
            <w:shd w:val="clear" w:color="auto" w:fill="FFFFFF"/>
            <w:vAlign w:val="center"/>
          </w:tcPr>
          <w:p w14:paraId="1EC2B656"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.000</w:t>
            </w:r>
          </w:p>
        </w:tc>
      </w:tr>
      <w:tr w:rsidR="00B6568E" w14:paraId="147DFB67" w14:textId="77777777">
        <w:trPr>
          <w:cantSplit/>
        </w:trPr>
        <w:tc>
          <w:tcPr>
            <w:tcW w:w="2496" w:type="dxa"/>
            <w:vMerge/>
            <w:shd w:val="clear" w:color="auto" w:fill="FFFFFF"/>
            <w:vAlign w:val="center"/>
          </w:tcPr>
          <w:p w14:paraId="73C8480D"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1716" w:type="dxa"/>
            <w:shd w:val="clear" w:color="auto" w:fill="FFFFFF"/>
            <w:vAlign w:val="center"/>
          </w:tcPr>
          <w:p w14:paraId="65811BE6"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Within Groups</w:t>
            </w:r>
          </w:p>
        </w:tc>
        <w:tc>
          <w:tcPr>
            <w:tcW w:w="1498" w:type="dxa"/>
            <w:shd w:val="clear" w:color="auto" w:fill="FFFFFF"/>
            <w:vAlign w:val="center"/>
          </w:tcPr>
          <w:p w14:paraId="25182617"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106</w:t>
            </w:r>
            <w:r>
              <w:rPr>
                <w:rFonts w:ascii="Times New Roman" w:hAnsi="Times New Roman" w:cs="Times New Roman" w:hint="eastAsia"/>
                <w:color w:val="000000" w:themeColor="text1"/>
                <w:sz w:val="24"/>
                <w:szCs w:val="24"/>
              </w:rPr>
              <w:t>.085</w:t>
            </w:r>
          </w:p>
        </w:tc>
        <w:tc>
          <w:tcPr>
            <w:tcW w:w="865" w:type="dxa"/>
            <w:shd w:val="clear" w:color="auto" w:fill="FFFFFF"/>
            <w:vAlign w:val="center"/>
          </w:tcPr>
          <w:p w14:paraId="2A7A0A89"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381</w:t>
            </w:r>
          </w:p>
        </w:tc>
        <w:tc>
          <w:tcPr>
            <w:tcW w:w="1207" w:type="dxa"/>
            <w:shd w:val="clear" w:color="auto" w:fill="FFFFFF"/>
            <w:vAlign w:val="center"/>
          </w:tcPr>
          <w:p w14:paraId="26F2FCDE"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.245</w:t>
            </w:r>
          </w:p>
        </w:tc>
        <w:tc>
          <w:tcPr>
            <w:tcW w:w="953" w:type="dxa"/>
            <w:shd w:val="clear" w:color="auto" w:fill="FFFFFF"/>
          </w:tcPr>
          <w:p w14:paraId="52DB94FB"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810" w:type="dxa"/>
            <w:shd w:val="clear" w:color="auto" w:fill="FFFFFF"/>
          </w:tcPr>
          <w:p w14:paraId="4CEF5433"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r>
      <w:tr w:rsidR="00B6568E" w14:paraId="6165C17E" w14:textId="77777777">
        <w:trPr>
          <w:cantSplit/>
        </w:trPr>
        <w:tc>
          <w:tcPr>
            <w:tcW w:w="2496" w:type="dxa"/>
            <w:vMerge/>
            <w:shd w:val="clear" w:color="auto" w:fill="FFFFFF"/>
            <w:vAlign w:val="center"/>
          </w:tcPr>
          <w:p w14:paraId="40224DD9"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1716" w:type="dxa"/>
            <w:shd w:val="clear" w:color="auto" w:fill="FFFFFF"/>
            <w:vAlign w:val="center"/>
          </w:tcPr>
          <w:p w14:paraId="7F1156D8"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Total</w:t>
            </w:r>
          </w:p>
        </w:tc>
        <w:tc>
          <w:tcPr>
            <w:tcW w:w="1498" w:type="dxa"/>
            <w:shd w:val="clear" w:color="auto" w:fill="FFFFFF"/>
            <w:vAlign w:val="center"/>
          </w:tcPr>
          <w:p w14:paraId="573D9494"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w:t>
            </w:r>
            <w:r>
              <w:rPr>
                <w:rFonts w:ascii="Times New Roman" w:hAnsi="Times New Roman" w:cs="Times New Roman"/>
                <w:color w:val="000000" w:themeColor="text1"/>
                <w:sz w:val="24"/>
                <w:szCs w:val="24"/>
              </w:rPr>
              <w:t>9</w:t>
            </w:r>
            <w:r>
              <w:rPr>
                <w:rFonts w:ascii="Times New Roman" w:hAnsi="Times New Roman" w:cs="Times New Roman" w:hint="eastAsia"/>
                <w:color w:val="000000" w:themeColor="text1"/>
                <w:sz w:val="24"/>
                <w:szCs w:val="24"/>
              </w:rPr>
              <w:t>6.693</w:t>
            </w:r>
          </w:p>
        </w:tc>
        <w:tc>
          <w:tcPr>
            <w:tcW w:w="865" w:type="dxa"/>
            <w:shd w:val="clear" w:color="auto" w:fill="FFFFFF"/>
            <w:vAlign w:val="center"/>
          </w:tcPr>
          <w:p w14:paraId="7079D232"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383</w:t>
            </w:r>
          </w:p>
        </w:tc>
        <w:tc>
          <w:tcPr>
            <w:tcW w:w="1207" w:type="dxa"/>
            <w:shd w:val="clear" w:color="auto" w:fill="FFFFFF"/>
          </w:tcPr>
          <w:p w14:paraId="0C81BF9A"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953" w:type="dxa"/>
            <w:shd w:val="clear" w:color="auto" w:fill="FFFFFF"/>
          </w:tcPr>
          <w:p w14:paraId="68A03F19"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810" w:type="dxa"/>
            <w:shd w:val="clear" w:color="auto" w:fill="FFFFFF"/>
          </w:tcPr>
          <w:p w14:paraId="66A19F36"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r>
      <w:tr w:rsidR="00B6568E" w14:paraId="76152AFA" w14:textId="77777777">
        <w:trPr>
          <w:cantSplit/>
        </w:trPr>
        <w:tc>
          <w:tcPr>
            <w:tcW w:w="2496" w:type="dxa"/>
            <w:vMerge w:val="restart"/>
            <w:shd w:val="clear" w:color="auto" w:fill="FFFFFF"/>
            <w:vAlign w:val="center"/>
          </w:tcPr>
          <w:p w14:paraId="17BCE7AD"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Productivity per acre of farming has decreased due to climate change in J and K</w:t>
            </w:r>
          </w:p>
        </w:tc>
        <w:tc>
          <w:tcPr>
            <w:tcW w:w="1716" w:type="dxa"/>
            <w:shd w:val="clear" w:color="auto" w:fill="FFFFFF"/>
            <w:vAlign w:val="center"/>
          </w:tcPr>
          <w:p w14:paraId="451096B6"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Between Groups</w:t>
            </w:r>
          </w:p>
        </w:tc>
        <w:tc>
          <w:tcPr>
            <w:tcW w:w="1498" w:type="dxa"/>
            <w:shd w:val="clear" w:color="auto" w:fill="FFFFFF"/>
            <w:vAlign w:val="center"/>
          </w:tcPr>
          <w:p w14:paraId="2872AD2B"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131.439</w:t>
            </w:r>
          </w:p>
        </w:tc>
        <w:tc>
          <w:tcPr>
            <w:tcW w:w="865" w:type="dxa"/>
            <w:shd w:val="clear" w:color="auto" w:fill="FFFFFF"/>
            <w:vAlign w:val="center"/>
          </w:tcPr>
          <w:p w14:paraId="526A176C"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c>
          <w:tcPr>
            <w:tcW w:w="1207" w:type="dxa"/>
            <w:shd w:val="clear" w:color="auto" w:fill="FFFFFF"/>
            <w:vAlign w:val="center"/>
          </w:tcPr>
          <w:p w14:paraId="4B116B0B"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65.719</w:t>
            </w:r>
          </w:p>
        </w:tc>
        <w:tc>
          <w:tcPr>
            <w:tcW w:w="953" w:type="dxa"/>
            <w:shd w:val="clear" w:color="auto" w:fill="FFFFFF"/>
            <w:vAlign w:val="center"/>
          </w:tcPr>
          <w:p w14:paraId="7644528B"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Pr>
                <w:rFonts w:ascii="Times New Roman" w:hAnsi="Times New Roman" w:cs="Times New Roman" w:hint="eastAsia"/>
                <w:color w:val="000000" w:themeColor="text1"/>
                <w:sz w:val="24"/>
                <w:szCs w:val="24"/>
              </w:rPr>
              <w:t>7.191</w:t>
            </w:r>
          </w:p>
        </w:tc>
        <w:tc>
          <w:tcPr>
            <w:tcW w:w="810" w:type="dxa"/>
            <w:shd w:val="clear" w:color="auto" w:fill="FFFFFF"/>
            <w:vAlign w:val="center"/>
          </w:tcPr>
          <w:p w14:paraId="361F9EA0"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.000</w:t>
            </w:r>
          </w:p>
        </w:tc>
      </w:tr>
      <w:tr w:rsidR="00B6568E" w14:paraId="36FB87A9" w14:textId="77777777">
        <w:trPr>
          <w:cantSplit/>
        </w:trPr>
        <w:tc>
          <w:tcPr>
            <w:tcW w:w="2496" w:type="dxa"/>
            <w:vMerge/>
            <w:shd w:val="clear" w:color="auto" w:fill="FFFFFF"/>
            <w:vAlign w:val="center"/>
          </w:tcPr>
          <w:p w14:paraId="251EA445"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1716" w:type="dxa"/>
            <w:shd w:val="clear" w:color="auto" w:fill="FFFFFF"/>
            <w:vAlign w:val="center"/>
          </w:tcPr>
          <w:p w14:paraId="2390B0D4"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Within Groups</w:t>
            </w:r>
          </w:p>
        </w:tc>
        <w:tc>
          <w:tcPr>
            <w:tcW w:w="1498" w:type="dxa"/>
            <w:shd w:val="clear" w:color="auto" w:fill="FFFFFF"/>
            <w:vAlign w:val="center"/>
          </w:tcPr>
          <w:p w14:paraId="00DC6C9E"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125</w:t>
            </w:r>
            <w:r>
              <w:rPr>
                <w:rFonts w:ascii="Times New Roman" w:hAnsi="Times New Roman" w:cs="Times New Roman" w:hint="eastAsia"/>
                <w:color w:val="000000" w:themeColor="text1"/>
                <w:sz w:val="24"/>
                <w:szCs w:val="24"/>
              </w:rPr>
              <w:t>.955</w:t>
            </w:r>
          </w:p>
        </w:tc>
        <w:tc>
          <w:tcPr>
            <w:tcW w:w="865" w:type="dxa"/>
            <w:shd w:val="clear" w:color="auto" w:fill="FFFFFF"/>
            <w:vAlign w:val="center"/>
          </w:tcPr>
          <w:p w14:paraId="233F9456"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381</w:t>
            </w:r>
          </w:p>
        </w:tc>
        <w:tc>
          <w:tcPr>
            <w:tcW w:w="1207" w:type="dxa"/>
            <w:shd w:val="clear" w:color="auto" w:fill="FFFFFF"/>
            <w:vAlign w:val="center"/>
          </w:tcPr>
          <w:p w14:paraId="592A5DCA"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.517</w:t>
            </w:r>
          </w:p>
        </w:tc>
        <w:tc>
          <w:tcPr>
            <w:tcW w:w="953" w:type="dxa"/>
            <w:shd w:val="clear" w:color="auto" w:fill="FFFFFF"/>
          </w:tcPr>
          <w:p w14:paraId="495CFCB7"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810" w:type="dxa"/>
            <w:shd w:val="clear" w:color="auto" w:fill="FFFFFF"/>
          </w:tcPr>
          <w:p w14:paraId="0F57D10D"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r>
      <w:tr w:rsidR="00B6568E" w14:paraId="78510280" w14:textId="77777777">
        <w:trPr>
          <w:cantSplit/>
        </w:trPr>
        <w:tc>
          <w:tcPr>
            <w:tcW w:w="2496" w:type="dxa"/>
            <w:vMerge/>
            <w:shd w:val="clear" w:color="auto" w:fill="FFFFFF"/>
            <w:vAlign w:val="center"/>
          </w:tcPr>
          <w:p w14:paraId="6A90311D"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1716" w:type="dxa"/>
            <w:shd w:val="clear" w:color="auto" w:fill="FFFFFF"/>
            <w:vAlign w:val="center"/>
          </w:tcPr>
          <w:p w14:paraId="38B913C1"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Total</w:t>
            </w:r>
          </w:p>
        </w:tc>
        <w:tc>
          <w:tcPr>
            <w:tcW w:w="1498" w:type="dxa"/>
            <w:shd w:val="clear" w:color="auto" w:fill="FFFFFF"/>
            <w:vAlign w:val="center"/>
          </w:tcPr>
          <w:p w14:paraId="2F37B45F"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r>
              <w:rPr>
                <w:rFonts w:ascii="Times New Roman" w:hAnsi="Times New Roman" w:cs="Times New Roman"/>
                <w:color w:val="000000" w:themeColor="text1"/>
                <w:sz w:val="24"/>
                <w:szCs w:val="24"/>
              </w:rPr>
              <w:t>56</w:t>
            </w:r>
            <w:r>
              <w:rPr>
                <w:rFonts w:ascii="Times New Roman" w:hAnsi="Times New Roman" w:cs="Times New Roman" w:hint="eastAsia"/>
                <w:color w:val="000000" w:themeColor="text1"/>
                <w:sz w:val="24"/>
                <w:szCs w:val="24"/>
              </w:rPr>
              <w:t>.39</w:t>
            </w:r>
            <w:r>
              <w:rPr>
                <w:rFonts w:ascii="Times New Roman" w:hAnsi="Times New Roman" w:cs="Times New Roman"/>
                <w:color w:val="000000" w:themeColor="text1"/>
                <w:sz w:val="24"/>
                <w:szCs w:val="24"/>
              </w:rPr>
              <w:t>4</w:t>
            </w:r>
          </w:p>
        </w:tc>
        <w:tc>
          <w:tcPr>
            <w:tcW w:w="865" w:type="dxa"/>
            <w:shd w:val="clear" w:color="auto" w:fill="FFFFFF"/>
            <w:vAlign w:val="center"/>
          </w:tcPr>
          <w:p w14:paraId="070F7183"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383</w:t>
            </w:r>
          </w:p>
        </w:tc>
        <w:tc>
          <w:tcPr>
            <w:tcW w:w="1207" w:type="dxa"/>
            <w:shd w:val="clear" w:color="auto" w:fill="FFFFFF"/>
          </w:tcPr>
          <w:p w14:paraId="76826FA0"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953" w:type="dxa"/>
            <w:shd w:val="clear" w:color="auto" w:fill="FFFFFF"/>
          </w:tcPr>
          <w:p w14:paraId="05014072"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810" w:type="dxa"/>
            <w:shd w:val="clear" w:color="auto" w:fill="FFFFFF"/>
          </w:tcPr>
          <w:p w14:paraId="1C11F782"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r>
    </w:tbl>
    <w:p w14:paraId="56D9E541" w14:textId="77777777" w:rsidR="00B6568E" w:rsidRDefault="00B6568E">
      <w:pPr>
        <w:spacing w:line="360" w:lineRule="auto"/>
        <w:jc w:val="both"/>
        <w:rPr>
          <w:rFonts w:ascii="Times New Roman" w:hAnsi="Times New Roman" w:cs="Times New Roman"/>
          <w:color w:val="000000" w:themeColor="text1"/>
          <w:sz w:val="24"/>
          <w:szCs w:val="24"/>
        </w:rPr>
      </w:pPr>
    </w:p>
    <w:p w14:paraId="003CD917" w14:textId="77777777" w:rsidR="00B6568E" w:rsidRDefault="0000000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Spearman’s correlation analysis </w:t>
      </w:r>
      <w:r>
        <w:rPr>
          <w:rFonts w:ascii="Times New Roman" w:hAnsi="Times New Roman" w:cs="Times New Roman"/>
          <w:b/>
          <w:color w:val="000000" w:themeColor="text1"/>
          <w:sz w:val="24"/>
          <w:szCs w:val="24"/>
        </w:rPr>
        <w:t>(Table 2)</w:t>
      </w:r>
      <w:r>
        <w:rPr>
          <w:rFonts w:ascii="Times New Roman" w:hAnsi="Times New Roman" w:cs="Times New Roman"/>
          <w:color w:val="000000" w:themeColor="text1"/>
          <w:sz w:val="24"/>
          <w:szCs w:val="24"/>
        </w:rPr>
        <w:t xml:space="preserve"> was used to assess the relationship between climatic changes and livelihood impacts, particularly poverty in the region. The correlation coefficient (ρ = 0.773, p = 0.000) shows a strong positive relationship between worsening climate conditions and increasing poverty levels in Jammu and Kashmir. This suggests that as the climate becomes more unpredictable and extreme, it directly affects the economic well-being of farming households. The results underscore the vulnerability of local communities to climate-driven socio-economic challenges, as poverty in the region is closely tied to agriculture, which is highly sensitive to climatic fluctuations.</w:t>
      </w:r>
    </w:p>
    <w:p w14:paraId="3960FF1A" w14:textId="77777777" w:rsidR="00B6568E" w:rsidRDefault="00B6568E">
      <w:pPr>
        <w:autoSpaceDE w:val="0"/>
        <w:autoSpaceDN w:val="0"/>
        <w:adjustRightInd w:val="0"/>
        <w:spacing w:before="240" w:after="0" w:line="360" w:lineRule="auto"/>
        <w:jc w:val="both"/>
        <w:rPr>
          <w:rFonts w:ascii="Times New Roman" w:hAnsi="Times New Roman" w:cs="Times New Roman"/>
          <w:b/>
          <w:color w:val="000000" w:themeColor="text1"/>
          <w:sz w:val="24"/>
          <w:szCs w:val="24"/>
        </w:rPr>
      </w:pPr>
    </w:p>
    <w:p w14:paraId="592767AE" w14:textId="77777777" w:rsidR="00B6568E" w:rsidRDefault="00000000">
      <w:pPr>
        <w:autoSpaceDE w:val="0"/>
        <w:autoSpaceDN w:val="0"/>
        <w:adjustRightInd w:val="0"/>
        <w:spacing w:before="240"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Table 2: Correlation results</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2"/>
        <w:gridCol w:w="2448"/>
        <w:gridCol w:w="2141"/>
        <w:gridCol w:w="1468"/>
        <w:gridCol w:w="1468"/>
      </w:tblGrid>
      <w:tr w:rsidR="00B6568E" w14:paraId="30BD4C7D" w14:textId="77777777">
        <w:trPr>
          <w:cantSplit/>
        </w:trPr>
        <w:tc>
          <w:tcPr>
            <w:tcW w:w="9147" w:type="dxa"/>
            <w:gridSpan w:val="5"/>
            <w:shd w:val="clear" w:color="auto" w:fill="FFFFFF"/>
          </w:tcPr>
          <w:p w14:paraId="57C16144" w14:textId="77777777" w:rsidR="00B6568E" w:rsidRDefault="00000000">
            <w:pPr>
              <w:autoSpaceDE w:val="0"/>
              <w:autoSpaceDN w:val="0"/>
              <w:adjustRightInd w:val="0"/>
              <w:spacing w:before="240" w:after="0" w:line="360" w:lineRule="auto"/>
              <w:ind w:left="60" w:right="60" w:firstLineChars="300" w:firstLine="723"/>
              <w:jc w:val="both"/>
              <w:rPr>
                <w:rFonts w:ascii="Times New Roman" w:hAnsi="Times New Roman" w:cs="Times New Roman"/>
                <w:color w:val="000000" w:themeColor="text1"/>
                <w:sz w:val="24"/>
                <w:szCs w:val="24"/>
              </w:rPr>
            </w:pPr>
            <w:r>
              <w:rPr>
                <w:rFonts w:ascii="Times New Roman" w:hAnsi="Times New Roman" w:cs="Times New Roman" w:hint="eastAsia"/>
                <w:b/>
                <w:color w:val="000000" w:themeColor="text1"/>
                <w:sz w:val="24"/>
                <w:szCs w:val="24"/>
              </w:rPr>
              <w:t>High climatic changes and livelihood in North West Himalayan region</w:t>
            </w:r>
          </w:p>
        </w:tc>
      </w:tr>
      <w:tr w:rsidR="00B6568E" w14:paraId="06FC2A89" w14:textId="77777777">
        <w:trPr>
          <w:cantSplit/>
          <w:trHeight w:val="1723"/>
        </w:trPr>
        <w:tc>
          <w:tcPr>
            <w:tcW w:w="6211" w:type="dxa"/>
            <w:gridSpan w:val="3"/>
            <w:shd w:val="clear" w:color="auto" w:fill="FFFFFF"/>
          </w:tcPr>
          <w:p w14:paraId="692C28A1" w14:textId="77777777" w:rsidR="00B6568E" w:rsidRDefault="00B6568E">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p>
        </w:tc>
        <w:tc>
          <w:tcPr>
            <w:tcW w:w="1468" w:type="dxa"/>
            <w:shd w:val="clear" w:color="auto" w:fill="FFFFFF"/>
          </w:tcPr>
          <w:p w14:paraId="5E1FA4CB"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Climatic conditions are changing in J and K</w:t>
            </w:r>
          </w:p>
        </w:tc>
        <w:tc>
          <w:tcPr>
            <w:tcW w:w="1468" w:type="dxa"/>
            <w:shd w:val="clear" w:color="auto" w:fill="FFFFFF"/>
          </w:tcPr>
          <w:p w14:paraId="7F01E6B2"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Poverty in J and K has increased due to climate changes</w:t>
            </w:r>
          </w:p>
        </w:tc>
      </w:tr>
      <w:tr w:rsidR="00B6568E" w14:paraId="0979170B" w14:textId="77777777">
        <w:trPr>
          <w:cantSplit/>
        </w:trPr>
        <w:tc>
          <w:tcPr>
            <w:tcW w:w="1622" w:type="dxa"/>
            <w:vMerge w:val="restart"/>
            <w:shd w:val="clear" w:color="auto" w:fill="FFFFFF"/>
            <w:vAlign w:val="center"/>
          </w:tcPr>
          <w:p w14:paraId="12F88497"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Spearman's rho</w:t>
            </w:r>
          </w:p>
        </w:tc>
        <w:tc>
          <w:tcPr>
            <w:tcW w:w="2448" w:type="dxa"/>
            <w:vMerge w:val="restart"/>
            <w:shd w:val="clear" w:color="auto" w:fill="FFFFFF"/>
            <w:vAlign w:val="center"/>
          </w:tcPr>
          <w:p w14:paraId="63035EE2"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Climatic conditions are changing in J and K</w:t>
            </w:r>
          </w:p>
        </w:tc>
        <w:tc>
          <w:tcPr>
            <w:tcW w:w="2141" w:type="dxa"/>
            <w:shd w:val="clear" w:color="auto" w:fill="FFFFFF"/>
            <w:vAlign w:val="center"/>
          </w:tcPr>
          <w:p w14:paraId="135BEFA0"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Correlation Coefficient</w:t>
            </w:r>
          </w:p>
        </w:tc>
        <w:tc>
          <w:tcPr>
            <w:tcW w:w="1468" w:type="dxa"/>
            <w:vMerge w:val="restart"/>
            <w:shd w:val="clear" w:color="auto" w:fill="auto"/>
            <w:vAlign w:val="center"/>
          </w:tcPr>
          <w:p w14:paraId="490499B4"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1.000</w:t>
            </w:r>
          </w:p>
          <w:p w14:paraId="50895A4B"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.000</w:t>
            </w:r>
          </w:p>
          <w:p w14:paraId="4059C929"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384</w:t>
            </w:r>
          </w:p>
        </w:tc>
        <w:tc>
          <w:tcPr>
            <w:tcW w:w="1468" w:type="dxa"/>
            <w:shd w:val="clear" w:color="auto" w:fill="auto"/>
            <w:vAlign w:val="center"/>
          </w:tcPr>
          <w:p w14:paraId="4F870289"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.773</w:t>
            </w:r>
            <w:r>
              <w:rPr>
                <w:rFonts w:ascii="Times New Roman" w:hAnsi="Times New Roman" w:cs="Times New Roman" w:hint="eastAsia"/>
                <w:color w:val="000000" w:themeColor="text1"/>
                <w:sz w:val="24"/>
                <w:szCs w:val="24"/>
                <w:vertAlign w:val="superscript"/>
              </w:rPr>
              <w:t>**</w:t>
            </w:r>
          </w:p>
        </w:tc>
      </w:tr>
      <w:tr w:rsidR="00B6568E" w14:paraId="533570CC" w14:textId="77777777">
        <w:trPr>
          <w:cantSplit/>
        </w:trPr>
        <w:tc>
          <w:tcPr>
            <w:tcW w:w="1622" w:type="dxa"/>
            <w:vMerge/>
            <w:shd w:val="clear" w:color="auto" w:fill="FFFFFF"/>
            <w:vAlign w:val="center"/>
          </w:tcPr>
          <w:p w14:paraId="0575A93D"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2448" w:type="dxa"/>
            <w:vMerge/>
            <w:shd w:val="clear" w:color="auto" w:fill="FFFFFF"/>
            <w:vAlign w:val="center"/>
          </w:tcPr>
          <w:p w14:paraId="0DEA2B08"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2141" w:type="dxa"/>
            <w:shd w:val="clear" w:color="auto" w:fill="FFFFFF"/>
            <w:vAlign w:val="center"/>
          </w:tcPr>
          <w:p w14:paraId="6B818947"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Sig. (2-tailed)</w:t>
            </w:r>
          </w:p>
        </w:tc>
        <w:tc>
          <w:tcPr>
            <w:tcW w:w="1468" w:type="dxa"/>
            <w:vMerge/>
            <w:shd w:val="clear" w:color="auto" w:fill="auto"/>
            <w:vAlign w:val="center"/>
          </w:tcPr>
          <w:p w14:paraId="637C4B8C" w14:textId="77777777" w:rsidR="00B6568E" w:rsidRDefault="00B6568E">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p>
        </w:tc>
        <w:tc>
          <w:tcPr>
            <w:tcW w:w="1468" w:type="dxa"/>
            <w:shd w:val="clear" w:color="auto" w:fill="auto"/>
            <w:vAlign w:val="center"/>
          </w:tcPr>
          <w:p w14:paraId="326B2349"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.000</w:t>
            </w:r>
          </w:p>
        </w:tc>
      </w:tr>
      <w:tr w:rsidR="00B6568E" w14:paraId="09098819" w14:textId="77777777">
        <w:trPr>
          <w:cantSplit/>
        </w:trPr>
        <w:tc>
          <w:tcPr>
            <w:tcW w:w="1622" w:type="dxa"/>
            <w:vMerge/>
            <w:shd w:val="clear" w:color="auto" w:fill="FFFFFF"/>
            <w:vAlign w:val="center"/>
          </w:tcPr>
          <w:p w14:paraId="443534AD"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2448" w:type="dxa"/>
            <w:vMerge/>
            <w:shd w:val="clear" w:color="auto" w:fill="FFFFFF"/>
            <w:vAlign w:val="center"/>
          </w:tcPr>
          <w:p w14:paraId="4832A045"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2141" w:type="dxa"/>
            <w:shd w:val="clear" w:color="auto" w:fill="FFFFFF"/>
            <w:vAlign w:val="center"/>
          </w:tcPr>
          <w:p w14:paraId="593B6596"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N</w:t>
            </w:r>
          </w:p>
        </w:tc>
        <w:tc>
          <w:tcPr>
            <w:tcW w:w="1468" w:type="dxa"/>
            <w:vMerge/>
            <w:shd w:val="clear" w:color="auto" w:fill="auto"/>
            <w:vAlign w:val="center"/>
          </w:tcPr>
          <w:p w14:paraId="56B50242" w14:textId="77777777" w:rsidR="00B6568E" w:rsidRDefault="00B6568E">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p>
        </w:tc>
        <w:tc>
          <w:tcPr>
            <w:tcW w:w="1468" w:type="dxa"/>
            <w:shd w:val="clear" w:color="auto" w:fill="auto"/>
            <w:vAlign w:val="center"/>
          </w:tcPr>
          <w:p w14:paraId="792484DA"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384</w:t>
            </w:r>
            <w:r>
              <w:rPr>
                <w:rFonts w:ascii="Times New Roman" w:hAnsi="Times New Roman" w:cs="Times New Roman" w:hint="eastAsia"/>
                <w:color w:val="000000" w:themeColor="text1"/>
                <w:sz w:val="24"/>
                <w:szCs w:val="24"/>
              </w:rPr>
              <w:t xml:space="preserve"> </w:t>
            </w:r>
          </w:p>
        </w:tc>
      </w:tr>
      <w:tr w:rsidR="00B6568E" w14:paraId="7144381C" w14:textId="77777777">
        <w:trPr>
          <w:cantSplit/>
        </w:trPr>
        <w:tc>
          <w:tcPr>
            <w:tcW w:w="1622" w:type="dxa"/>
            <w:vMerge/>
            <w:shd w:val="clear" w:color="auto" w:fill="FFFFFF"/>
            <w:vAlign w:val="center"/>
          </w:tcPr>
          <w:p w14:paraId="4DB6E5F2"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2448" w:type="dxa"/>
            <w:vMerge w:val="restart"/>
            <w:shd w:val="clear" w:color="auto" w:fill="FFFFFF"/>
            <w:vAlign w:val="center"/>
          </w:tcPr>
          <w:p w14:paraId="7CA05DF6"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Poverty in J and K has increased due to climate changes</w:t>
            </w:r>
          </w:p>
        </w:tc>
        <w:tc>
          <w:tcPr>
            <w:tcW w:w="2141" w:type="dxa"/>
            <w:shd w:val="clear" w:color="auto" w:fill="FFFFFF"/>
            <w:vAlign w:val="center"/>
          </w:tcPr>
          <w:p w14:paraId="2F419989"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Correlation Coefficient</w:t>
            </w:r>
          </w:p>
        </w:tc>
        <w:tc>
          <w:tcPr>
            <w:tcW w:w="1468" w:type="dxa"/>
            <w:shd w:val="clear" w:color="auto" w:fill="auto"/>
            <w:vAlign w:val="center"/>
          </w:tcPr>
          <w:p w14:paraId="02ABD74B"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.773</w:t>
            </w:r>
            <w:r>
              <w:rPr>
                <w:rFonts w:ascii="Times New Roman" w:hAnsi="Times New Roman" w:cs="Times New Roman" w:hint="eastAsia"/>
                <w:color w:val="000000" w:themeColor="text1"/>
                <w:sz w:val="24"/>
                <w:szCs w:val="24"/>
                <w:vertAlign w:val="superscript"/>
              </w:rPr>
              <w:t>**</w:t>
            </w:r>
          </w:p>
        </w:tc>
        <w:tc>
          <w:tcPr>
            <w:tcW w:w="1468" w:type="dxa"/>
            <w:vMerge w:val="restart"/>
            <w:shd w:val="clear" w:color="auto" w:fill="auto"/>
            <w:vAlign w:val="center"/>
          </w:tcPr>
          <w:p w14:paraId="156F0668"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1.000</w:t>
            </w:r>
          </w:p>
          <w:p w14:paraId="5F557310"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.000</w:t>
            </w:r>
          </w:p>
          <w:p w14:paraId="6C2C0EE4"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384</w:t>
            </w:r>
          </w:p>
        </w:tc>
      </w:tr>
      <w:tr w:rsidR="00B6568E" w14:paraId="29776704" w14:textId="77777777">
        <w:trPr>
          <w:cantSplit/>
        </w:trPr>
        <w:tc>
          <w:tcPr>
            <w:tcW w:w="1622" w:type="dxa"/>
            <w:vMerge/>
            <w:shd w:val="clear" w:color="auto" w:fill="FFFFFF"/>
            <w:vAlign w:val="center"/>
          </w:tcPr>
          <w:p w14:paraId="612990F7"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2448" w:type="dxa"/>
            <w:vMerge/>
            <w:shd w:val="clear" w:color="auto" w:fill="FFFFFF"/>
            <w:vAlign w:val="center"/>
          </w:tcPr>
          <w:p w14:paraId="12AB4B3F"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2141" w:type="dxa"/>
            <w:shd w:val="clear" w:color="auto" w:fill="FFFFFF"/>
            <w:vAlign w:val="center"/>
          </w:tcPr>
          <w:p w14:paraId="5072587F"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Sig. (2-tailed)</w:t>
            </w:r>
          </w:p>
        </w:tc>
        <w:tc>
          <w:tcPr>
            <w:tcW w:w="1468" w:type="dxa"/>
            <w:shd w:val="clear" w:color="auto" w:fill="FFFFFF"/>
            <w:vAlign w:val="center"/>
          </w:tcPr>
          <w:p w14:paraId="4DB9EB35"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.000</w:t>
            </w:r>
          </w:p>
        </w:tc>
        <w:tc>
          <w:tcPr>
            <w:tcW w:w="1468" w:type="dxa"/>
            <w:vMerge/>
            <w:shd w:val="clear" w:color="auto" w:fill="FFFF00"/>
            <w:vAlign w:val="center"/>
          </w:tcPr>
          <w:p w14:paraId="70813FBF" w14:textId="77777777" w:rsidR="00B6568E" w:rsidRDefault="00B6568E">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p>
        </w:tc>
      </w:tr>
      <w:tr w:rsidR="00B6568E" w14:paraId="47E4ECF3" w14:textId="77777777">
        <w:trPr>
          <w:cantSplit/>
        </w:trPr>
        <w:tc>
          <w:tcPr>
            <w:tcW w:w="1622" w:type="dxa"/>
            <w:vMerge/>
            <w:shd w:val="clear" w:color="auto" w:fill="FFFFFF"/>
            <w:vAlign w:val="center"/>
          </w:tcPr>
          <w:p w14:paraId="64B7DC31"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2448" w:type="dxa"/>
            <w:vMerge/>
            <w:shd w:val="clear" w:color="auto" w:fill="FFFFFF"/>
            <w:vAlign w:val="center"/>
          </w:tcPr>
          <w:p w14:paraId="7C873889"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2141" w:type="dxa"/>
            <w:shd w:val="clear" w:color="auto" w:fill="FFFFFF"/>
            <w:vAlign w:val="center"/>
          </w:tcPr>
          <w:p w14:paraId="6A90DFD2"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N</w:t>
            </w:r>
          </w:p>
        </w:tc>
        <w:tc>
          <w:tcPr>
            <w:tcW w:w="1468" w:type="dxa"/>
            <w:shd w:val="clear" w:color="auto" w:fill="FFFFFF"/>
            <w:vAlign w:val="center"/>
          </w:tcPr>
          <w:p w14:paraId="52E76576"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384</w:t>
            </w:r>
          </w:p>
        </w:tc>
        <w:tc>
          <w:tcPr>
            <w:tcW w:w="1468" w:type="dxa"/>
            <w:vMerge/>
            <w:shd w:val="clear" w:color="auto" w:fill="FFFF00"/>
            <w:vAlign w:val="center"/>
          </w:tcPr>
          <w:p w14:paraId="122C4878" w14:textId="77777777" w:rsidR="00B6568E" w:rsidRDefault="00B6568E">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p>
        </w:tc>
      </w:tr>
    </w:tbl>
    <w:p w14:paraId="3462F973" w14:textId="77777777" w:rsidR="00B6568E" w:rsidRDefault="00B6568E">
      <w:pPr>
        <w:spacing w:line="360" w:lineRule="auto"/>
        <w:jc w:val="both"/>
        <w:rPr>
          <w:rFonts w:ascii="Times New Roman" w:hAnsi="Times New Roman" w:cs="Times New Roman"/>
          <w:color w:val="000000" w:themeColor="text1"/>
          <w:sz w:val="24"/>
          <w:szCs w:val="24"/>
        </w:rPr>
      </w:pPr>
    </w:p>
    <w:p w14:paraId="54087C14" w14:textId="77777777" w:rsidR="00B6568E" w:rsidRDefault="0000000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Chi-square test </w:t>
      </w:r>
      <w:r>
        <w:rPr>
          <w:rFonts w:ascii="Times New Roman" w:hAnsi="Times New Roman" w:cs="Times New Roman"/>
          <w:b/>
          <w:color w:val="000000" w:themeColor="text1"/>
          <w:sz w:val="24"/>
          <w:szCs w:val="24"/>
        </w:rPr>
        <w:t>(Table 3)</w:t>
      </w:r>
      <w:r>
        <w:rPr>
          <w:rFonts w:ascii="Times New Roman" w:hAnsi="Times New Roman" w:cs="Times New Roman"/>
          <w:color w:val="000000" w:themeColor="text1"/>
          <w:sz w:val="24"/>
          <w:szCs w:val="24"/>
        </w:rPr>
        <w:t xml:space="preserve"> was conducted to explore the association between projections of climate change and farmers' adaptation practices. The Pearson Chi-square value of 300.000 (p = 0.000) reveals a significant relationship between how farmers perceive future climatic changes and the adaptation strategies they employ. This finding suggests that farmers in Jammu and Kashmir are aware of climate change and are actively trying to adapt to its effects, but they may still face substantial barriers that limit their effectiveness.</w:t>
      </w:r>
    </w:p>
    <w:p w14:paraId="648CFA28" w14:textId="77777777" w:rsidR="00B6568E" w:rsidRDefault="00B6568E">
      <w:pPr>
        <w:autoSpaceDE w:val="0"/>
        <w:autoSpaceDN w:val="0"/>
        <w:adjustRightInd w:val="0"/>
        <w:spacing w:before="240" w:after="0" w:line="360" w:lineRule="auto"/>
        <w:jc w:val="both"/>
        <w:rPr>
          <w:rFonts w:ascii="Times New Roman" w:hAnsi="Times New Roman" w:cs="Times New Roman"/>
          <w:b/>
          <w:color w:val="000000" w:themeColor="text1"/>
          <w:sz w:val="24"/>
          <w:szCs w:val="24"/>
        </w:rPr>
      </w:pPr>
    </w:p>
    <w:p w14:paraId="0F65CA25" w14:textId="77777777" w:rsidR="00B6568E" w:rsidRDefault="00B6568E">
      <w:pPr>
        <w:autoSpaceDE w:val="0"/>
        <w:autoSpaceDN w:val="0"/>
        <w:adjustRightInd w:val="0"/>
        <w:spacing w:before="240" w:after="0" w:line="360" w:lineRule="auto"/>
        <w:jc w:val="both"/>
        <w:rPr>
          <w:rFonts w:ascii="Times New Roman" w:hAnsi="Times New Roman" w:cs="Times New Roman"/>
          <w:b/>
          <w:color w:val="000000" w:themeColor="text1"/>
          <w:sz w:val="24"/>
          <w:szCs w:val="24"/>
        </w:rPr>
      </w:pPr>
    </w:p>
    <w:p w14:paraId="4F089959" w14:textId="77777777" w:rsidR="00B6568E" w:rsidRDefault="00000000">
      <w:pPr>
        <w:autoSpaceDE w:val="0"/>
        <w:autoSpaceDN w:val="0"/>
        <w:adjustRightInd w:val="0"/>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Table 3:</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Chi-Square Test results</w:t>
      </w: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35"/>
        <w:gridCol w:w="2060"/>
        <w:gridCol w:w="1553"/>
        <w:gridCol w:w="2263"/>
      </w:tblGrid>
      <w:tr w:rsidR="00B6568E" w14:paraId="66F59D6D" w14:textId="77777777">
        <w:trPr>
          <w:cantSplit/>
          <w:trHeight w:val="444"/>
        </w:trPr>
        <w:tc>
          <w:tcPr>
            <w:tcW w:w="9211" w:type="dxa"/>
            <w:gridSpan w:val="4"/>
            <w:shd w:val="clear" w:color="auto" w:fill="FFFFFF"/>
          </w:tcPr>
          <w:p w14:paraId="17EFD61C"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b/>
                <w:bCs/>
                <w:color w:val="000000" w:themeColor="text1"/>
                <w:sz w:val="24"/>
                <w:szCs w:val="24"/>
              </w:rPr>
              <w:t>Projection on climatic changes and adaptation practices</w:t>
            </w:r>
          </w:p>
        </w:tc>
      </w:tr>
      <w:tr w:rsidR="00B6568E" w14:paraId="572B803B" w14:textId="77777777">
        <w:trPr>
          <w:cantSplit/>
          <w:trHeight w:val="658"/>
        </w:trPr>
        <w:tc>
          <w:tcPr>
            <w:tcW w:w="3335" w:type="dxa"/>
            <w:shd w:val="clear" w:color="auto" w:fill="FFFFFF"/>
          </w:tcPr>
          <w:p w14:paraId="77A553B5" w14:textId="77777777" w:rsidR="00B6568E" w:rsidRDefault="00B6568E">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p>
        </w:tc>
        <w:tc>
          <w:tcPr>
            <w:tcW w:w="2060" w:type="dxa"/>
            <w:shd w:val="clear" w:color="auto" w:fill="FFFFFF"/>
          </w:tcPr>
          <w:p w14:paraId="1C89434A"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Value</w:t>
            </w:r>
          </w:p>
        </w:tc>
        <w:tc>
          <w:tcPr>
            <w:tcW w:w="1553" w:type="dxa"/>
            <w:shd w:val="clear" w:color="auto" w:fill="FFFFFF"/>
          </w:tcPr>
          <w:p w14:paraId="58E71D29"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hint="eastAsia"/>
                <w:color w:val="000000" w:themeColor="text1"/>
                <w:sz w:val="24"/>
                <w:szCs w:val="24"/>
              </w:rPr>
              <w:t>df</w:t>
            </w:r>
            <w:proofErr w:type="spellEnd"/>
          </w:p>
        </w:tc>
        <w:tc>
          <w:tcPr>
            <w:tcW w:w="2263" w:type="dxa"/>
            <w:shd w:val="clear" w:color="auto" w:fill="FFFFFF"/>
          </w:tcPr>
          <w:p w14:paraId="35569F56"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hint="eastAsia"/>
                <w:color w:val="000000" w:themeColor="text1"/>
                <w:sz w:val="24"/>
                <w:szCs w:val="24"/>
              </w:rPr>
              <w:t>Asymp</w:t>
            </w:r>
            <w:proofErr w:type="spellEnd"/>
            <w:r>
              <w:rPr>
                <w:rFonts w:ascii="Times New Roman" w:hAnsi="Times New Roman" w:cs="Times New Roman" w:hint="eastAsia"/>
                <w:color w:val="000000" w:themeColor="text1"/>
                <w:sz w:val="24"/>
                <w:szCs w:val="24"/>
              </w:rPr>
              <w:t>. Sig. (2-sided)</w:t>
            </w:r>
          </w:p>
        </w:tc>
      </w:tr>
      <w:tr w:rsidR="00B6568E" w14:paraId="76C37A42" w14:textId="77777777">
        <w:trPr>
          <w:cantSplit/>
          <w:trHeight w:val="444"/>
        </w:trPr>
        <w:tc>
          <w:tcPr>
            <w:tcW w:w="3335" w:type="dxa"/>
            <w:shd w:val="clear" w:color="auto" w:fill="FFFFFF"/>
            <w:vAlign w:val="center"/>
          </w:tcPr>
          <w:p w14:paraId="3AE3370B"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Pearson Chi-Square</w:t>
            </w:r>
          </w:p>
        </w:tc>
        <w:tc>
          <w:tcPr>
            <w:tcW w:w="2060" w:type="dxa"/>
            <w:shd w:val="clear" w:color="auto" w:fill="FFFFFF"/>
            <w:vAlign w:val="center"/>
          </w:tcPr>
          <w:p w14:paraId="39C37225"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300.000</w:t>
            </w:r>
            <w:r>
              <w:rPr>
                <w:rFonts w:ascii="Times New Roman" w:hAnsi="Times New Roman" w:cs="Times New Roman" w:hint="eastAsia"/>
                <w:color w:val="000000" w:themeColor="text1"/>
                <w:sz w:val="24"/>
                <w:szCs w:val="24"/>
                <w:vertAlign w:val="superscript"/>
              </w:rPr>
              <w:t>a</w:t>
            </w:r>
          </w:p>
        </w:tc>
        <w:tc>
          <w:tcPr>
            <w:tcW w:w="1553" w:type="dxa"/>
            <w:shd w:val="clear" w:color="auto" w:fill="FFFFFF"/>
            <w:vAlign w:val="center"/>
          </w:tcPr>
          <w:p w14:paraId="19FEC46B"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4</w:t>
            </w:r>
          </w:p>
        </w:tc>
        <w:tc>
          <w:tcPr>
            <w:tcW w:w="2263" w:type="dxa"/>
            <w:shd w:val="clear" w:color="auto" w:fill="FFFFFF"/>
            <w:vAlign w:val="center"/>
          </w:tcPr>
          <w:p w14:paraId="5DC20194"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.000</w:t>
            </w:r>
          </w:p>
        </w:tc>
      </w:tr>
      <w:tr w:rsidR="00B6568E" w14:paraId="4939C4AA" w14:textId="77777777">
        <w:trPr>
          <w:cantSplit/>
          <w:trHeight w:val="444"/>
        </w:trPr>
        <w:tc>
          <w:tcPr>
            <w:tcW w:w="3335" w:type="dxa"/>
            <w:shd w:val="clear" w:color="auto" w:fill="FFFFFF"/>
            <w:vAlign w:val="center"/>
          </w:tcPr>
          <w:p w14:paraId="44361A9B"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Likelihood Ratio</w:t>
            </w:r>
          </w:p>
        </w:tc>
        <w:tc>
          <w:tcPr>
            <w:tcW w:w="2060" w:type="dxa"/>
            <w:shd w:val="clear" w:color="auto" w:fill="FFFFFF"/>
            <w:vAlign w:val="center"/>
          </w:tcPr>
          <w:p w14:paraId="6AA7840C"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218.961</w:t>
            </w:r>
          </w:p>
        </w:tc>
        <w:tc>
          <w:tcPr>
            <w:tcW w:w="1553" w:type="dxa"/>
            <w:shd w:val="clear" w:color="auto" w:fill="FFFFFF"/>
            <w:vAlign w:val="center"/>
          </w:tcPr>
          <w:p w14:paraId="3781B519"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4</w:t>
            </w:r>
          </w:p>
        </w:tc>
        <w:tc>
          <w:tcPr>
            <w:tcW w:w="2263" w:type="dxa"/>
            <w:shd w:val="clear" w:color="auto" w:fill="FFFFFF"/>
            <w:vAlign w:val="center"/>
          </w:tcPr>
          <w:p w14:paraId="060D59C6"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.000</w:t>
            </w:r>
          </w:p>
        </w:tc>
      </w:tr>
      <w:tr w:rsidR="00B6568E" w14:paraId="6DA30FFB" w14:textId="77777777">
        <w:trPr>
          <w:cantSplit/>
          <w:trHeight w:val="658"/>
        </w:trPr>
        <w:tc>
          <w:tcPr>
            <w:tcW w:w="3335" w:type="dxa"/>
            <w:shd w:val="clear" w:color="auto" w:fill="FFFFFF"/>
            <w:vAlign w:val="center"/>
          </w:tcPr>
          <w:p w14:paraId="483A8F64"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Linear-by-Linear Association</w:t>
            </w:r>
          </w:p>
        </w:tc>
        <w:tc>
          <w:tcPr>
            <w:tcW w:w="2060" w:type="dxa"/>
            <w:shd w:val="clear" w:color="auto" w:fill="FFFFFF"/>
            <w:vAlign w:val="center"/>
          </w:tcPr>
          <w:p w14:paraId="099BBCCF"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149.000</w:t>
            </w:r>
          </w:p>
        </w:tc>
        <w:tc>
          <w:tcPr>
            <w:tcW w:w="1553" w:type="dxa"/>
            <w:shd w:val="clear" w:color="auto" w:fill="FFFFFF"/>
            <w:vAlign w:val="center"/>
          </w:tcPr>
          <w:p w14:paraId="36A6FDA2"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w:t>
            </w:r>
          </w:p>
        </w:tc>
        <w:tc>
          <w:tcPr>
            <w:tcW w:w="2263" w:type="dxa"/>
            <w:shd w:val="clear" w:color="auto" w:fill="FFFFFF"/>
            <w:vAlign w:val="center"/>
          </w:tcPr>
          <w:p w14:paraId="3F5CFEAD"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.000</w:t>
            </w:r>
          </w:p>
        </w:tc>
      </w:tr>
      <w:tr w:rsidR="00B6568E" w14:paraId="626C143B" w14:textId="77777777">
        <w:trPr>
          <w:cantSplit/>
          <w:trHeight w:val="458"/>
        </w:trPr>
        <w:tc>
          <w:tcPr>
            <w:tcW w:w="3335" w:type="dxa"/>
            <w:shd w:val="clear" w:color="auto" w:fill="FFFFFF"/>
            <w:vAlign w:val="center"/>
          </w:tcPr>
          <w:p w14:paraId="23A907EC"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N of Valid Cases</w:t>
            </w:r>
          </w:p>
        </w:tc>
        <w:tc>
          <w:tcPr>
            <w:tcW w:w="2060" w:type="dxa"/>
            <w:shd w:val="clear" w:color="auto" w:fill="FFFFFF"/>
            <w:vAlign w:val="center"/>
          </w:tcPr>
          <w:p w14:paraId="26A1A667"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384</w:t>
            </w:r>
          </w:p>
        </w:tc>
        <w:tc>
          <w:tcPr>
            <w:tcW w:w="1553" w:type="dxa"/>
            <w:shd w:val="clear" w:color="auto" w:fill="FFFFFF"/>
          </w:tcPr>
          <w:p w14:paraId="227983B4"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2263" w:type="dxa"/>
            <w:shd w:val="clear" w:color="auto" w:fill="FFFFFF"/>
          </w:tcPr>
          <w:p w14:paraId="2ABE5267"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r>
    </w:tbl>
    <w:p w14:paraId="6750FAF7" w14:textId="77777777" w:rsidR="00B6568E" w:rsidRDefault="00B6568E">
      <w:pPr>
        <w:spacing w:line="360" w:lineRule="auto"/>
        <w:jc w:val="both"/>
        <w:rPr>
          <w:rFonts w:ascii="Times New Roman" w:hAnsi="Times New Roman" w:cs="Times New Roman"/>
          <w:color w:val="000000" w:themeColor="text1"/>
          <w:sz w:val="24"/>
          <w:szCs w:val="24"/>
        </w:rPr>
      </w:pPr>
    </w:p>
    <w:p w14:paraId="28B8C646" w14:textId="77777777" w:rsidR="00B6568E" w:rsidRDefault="0000000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Lastly, again ANOVA analysis </w:t>
      </w:r>
      <w:r>
        <w:rPr>
          <w:rFonts w:ascii="Times New Roman" w:hAnsi="Times New Roman" w:cs="Times New Roman"/>
          <w:b/>
          <w:color w:val="000000" w:themeColor="text1"/>
          <w:sz w:val="24"/>
          <w:szCs w:val="24"/>
        </w:rPr>
        <w:t>(Table 4)</w:t>
      </w:r>
      <w:r>
        <w:rPr>
          <w:rFonts w:ascii="Times New Roman" w:hAnsi="Times New Roman" w:cs="Times New Roman"/>
          <w:color w:val="000000" w:themeColor="text1"/>
          <w:sz w:val="24"/>
          <w:szCs w:val="24"/>
        </w:rPr>
        <w:t xml:space="preserve"> was performed to assess the role of government policies and strategies in promoting agricultural adaptation to climate change. The significant F-values for variables such as "the need for more government awareness programs on climate change" (F = 175.896, p = 0.000) and "the need for localized strategies for climate change adaptation" (F = 127.191, p = 0.000) indicate that there is a substantial gap between current governmental efforts and what farmers perceive as necessary for effectively addressing climate challenges. The findings suggest that more focused government interventions are required, particularly in raising awareness and formulating region-specific strategies for climate change adaptation in Jammu and Kashmir.</w:t>
      </w:r>
    </w:p>
    <w:p w14:paraId="539B3E86" w14:textId="77777777" w:rsidR="00B6568E" w:rsidRDefault="00B6568E">
      <w:pPr>
        <w:autoSpaceDE w:val="0"/>
        <w:autoSpaceDN w:val="0"/>
        <w:adjustRightInd w:val="0"/>
        <w:spacing w:before="240" w:after="0" w:line="360" w:lineRule="auto"/>
        <w:jc w:val="both"/>
        <w:rPr>
          <w:rFonts w:ascii="Times New Roman" w:hAnsi="Times New Roman" w:cs="Times New Roman"/>
          <w:b/>
          <w:color w:val="000000" w:themeColor="text1"/>
          <w:sz w:val="24"/>
          <w:szCs w:val="24"/>
        </w:rPr>
      </w:pPr>
    </w:p>
    <w:p w14:paraId="05BA8562" w14:textId="77777777" w:rsidR="00B6568E" w:rsidRDefault="00B6568E">
      <w:pPr>
        <w:autoSpaceDE w:val="0"/>
        <w:autoSpaceDN w:val="0"/>
        <w:adjustRightInd w:val="0"/>
        <w:spacing w:before="240" w:after="0" w:line="360" w:lineRule="auto"/>
        <w:jc w:val="both"/>
        <w:rPr>
          <w:rFonts w:ascii="Times New Roman" w:hAnsi="Times New Roman" w:cs="Times New Roman"/>
          <w:b/>
          <w:color w:val="000000" w:themeColor="text1"/>
          <w:sz w:val="24"/>
          <w:szCs w:val="24"/>
        </w:rPr>
      </w:pPr>
    </w:p>
    <w:p w14:paraId="5F9BA6E3" w14:textId="77777777" w:rsidR="00B6568E" w:rsidRDefault="00B6568E">
      <w:pPr>
        <w:autoSpaceDE w:val="0"/>
        <w:autoSpaceDN w:val="0"/>
        <w:adjustRightInd w:val="0"/>
        <w:spacing w:before="240" w:after="0" w:line="360" w:lineRule="auto"/>
        <w:jc w:val="both"/>
        <w:rPr>
          <w:rFonts w:ascii="Times New Roman" w:hAnsi="Times New Roman" w:cs="Times New Roman"/>
          <w:b/>
          <w:color w:val="000000" w:themeColor="text1"/>
          <w:sz w:val="24"/>
          <w:szCs w:val="24"/>
        </w:rPr>
      </w:pPr>
    </w:p>
    <w:p w14:paraId="715E4BB2" w14:textId="77777777" w:rsidR="00B6568E" w:rsidRDefault="00B6568E">
      <w:pPr>
        <w:autoSpaceDE w:val="0"/>
        <w:autoSpaceDN w:val="0"/>
        <w:adjustRightInd w:val="0"/>
        <w:spacing w:before="240" w:after="0" w:line="360" w:lineRule="auto"/>
        <w:jc w:val="both"/>
        <w:rPr>
          <w:rFonts w:ascii="Times New Roman" w:hAnsi="Times New Roman" w:cs="Times New Roman"/>
          <w:b/>
          <w:color w:val="000000" w:themeColor="text1"/>
          <w:sz w:val="24"/>
          <w:szCs w:val="24"/>
        </w:rPr>
      </w:pPr>
    </w:p>
    <w:p w14:paraId="498AE7D2" w14:textId="77777777" w:rsidR="00B6568E" w:rsidRDefault="00B6568E">
      <w:pPr>
        <w:autoSpaceDE w:val="0"/>
        <w:autoSpaceDN w:val="0"/>
        <w:adjustRightInd w:val="0"/>
        <w:spacing w:before="240" w:after="0" w:line="360" w:lineRule="auto"/>
        <w:jc w:val="both"/>
        <w:rPr>
          <w:rFonts w:ascii="Times New Roman" w:hAnsi="Times New Roman" w:cs="Times New Roman"/>
          <w:b/>
          <w:color w:val="000000" w:themeColor="text1"/>
          <w:sz w:val="24"/>
          <w:szCs w:val="24"/>
        </w:rPr>
      </w:pPr>
    </w:p>
    <w:p w14:paraId="70EC3C60" w14:textId="77777777" w:rsidR="00B6568E" w:rsidRDefault="00B6568E">
      <w:pPr>
        <w:autoSpaceDE w:val="0"/>
        <w:autoSpaceDN w:val="0"/>
        <w:adjustRightInd w:val="0"/>
        <w:spacing w:before="240" w:after="0" w:line="360" w:lineRule="auto"/>
        <w:jc w:val="both"/>
        <w:rPr>
          <w:rFonts w:ascii="Times New Roman" w:hAnsi="Times New Roman" w:cs="Times New Roman"/>
          <w:b/>
          <w:color w:val="000000" w:themeColor="text1"/>
          <w:sz w:val="24"/>
          <w:szCs w:val="24"/>
        </w:rPr>
      </w:pPr>
    </w:p>
    <w:p w14:paraId="31D52DF4" w14:textId="77777777" w:rsidR="00B6568E" w:rsidRDefault="00000000">
      <w:pPr>
        <w:autoSpaceDE w:val="0"/>
        <w:autoSpaceDN w:val="0"/>
        <w:adjustRightInd w:val="0"/>
        <w:spacing w:before="240"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Table 4: ANOVA results</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96"/>
        <w:gridCol w:w="1716"/>
        <w:gridCol w:w="1498"/>
        <w:gridCol w:w="685"/>
        <w:gridCol w:w="1243"/>
        <w:gridCol w:w="1007"/>
        <w:gridCol w:w="720"/>
      </w:tblGrid>
      <w:tr w:rsidR="00B6568E" w14:paraId="67C41337" w14:textId="77777777">
        <w:trPr>
          <w:cantSplit/>
        </w:trPr>
        <w:tc>
          <w:tcPr>
            <w:tcW w:w="9365" w:type="dxa"/>
            <w:gridSpan w:val="7"/>
            <w:shd w:val="clear" w:color="auto" w:fill="FFFFFF"/>
          </w:tcPr>
          <w:p w14:paraId="5A50C5E0"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b/>
                <w:bCs/>
                <w:color w:val="000000" w:themeColor="text1"/>
                <w:sz w:val="24"/>
                <w:szCs w:val="24"/>
              </w:rPr>
              <w:t>Government policies and strategies towards agricultural development in Jammu and Kashmir</w:t>
            </w:r>
          </w:p>
        </w:tc>
      </w:tr>
      <w:tr w:rsidR="00B6568E" w14:paraId="49774641" w14:textId="77777777">
        <w:trPr>
          <w:cantSplit/>
        </w:trPr>
        <w:tc>
          <w:tcPr>
            <w:tcW w:w="4212" w:type="dxa"/>
            <w:gridSpan w:val="2"/>
            <w:shd w:val="clear" w:color="auto" w:fill="FFFFFF"/>
          </w:tcPr>
          <w:p w14:paraId="682213F2" w14:textId="77777777" w:rsidR="00B6568E" w:rsidRDefault="00B6568E">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p>
        </w:tc>
        <w:tc>
          <w:tcPr>
            <w:tcW w:w="1498" w:type="dxa"/>
            <w:shd w:val="clear" w:color="auto" w:fill="FFFFFF"/>
          </w:tcPr>
          <w:p w14:paraId="7E642B7D"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Sum of Squares</w:t>
            </w:r>
          </w:p>
        </w:tc>
        <w:tc>
          <w:tcPr>
            <w:tcW w:w="685" w:type="dxa"/>
            <w:shd w:val="clear" w:color="auto" w:fill="FFFFFF"/>
          </w:tcPr>
          <w:p w14:paraId="63E54EEC"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hint="eastAsia"/>
                <w:color w:val="000000" w:themeColor="text1"/>
                <w:sz w:val="24"/>
                <w:szCs w:val="24"/>
              </w:rPr>
              <w:t>df</w:t>
            </w:r>
            <w:proofErr w:type="spellEnd"/>
          </w:p>
        </w:tc>
        <w:tc>
          <w:tcPr>
            <w:tcW w:w="1243" w:type="dxa"/>
            <w:shd w:val="clear" w:color="auto" w:fill="FFFFFF"/>
          </w:tcPr>
          <w:p w14:paraId="6F119EF4"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Mean Square</w:t>
            </w:r>
          </w:p>
        </w:tc>
        <w:tc>
          <w:tcPr>
            <w:tcW w:w="1007" w:type="dxa"/>
            <w:shd w:val="clear" w:color="auto" w:fill="FFFFFF"/>
          </w:tcPr>
          <w:p w14:paraId="120BF413"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F</w:t>
            </w:r>
          </w:p>
        </w:tc>
        <w:tc>
          <w:tcPr>
            <w:tcW w:w="720" w:type="dxa"/>
            <w:shd w:val="clear" w:color="auto" w:fill="FFFFFF"/>
          </w:tcPr>
          <w:p w14:paraId="6F9F3313"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Sig.</w:t>
            </w:r>
          </w:p>
        </w:tc>
      </w:tr>
      <w:tr w:rsidR="00B6568E" w14:paraId="61EACD38" w14:textId="77777777">
        <w:trPr>
          <w:cantSplit/>
        </w:trPr>
        <w:tc>
          <w:tcPr>
            <w:tcW w:w="2496" w:type="dxa"/>
            <w:vMerge w:val="restart"/>
            <w:shd w:val="clear" w:color="auto" w:fill="FFFFFF"/>
            <w:vAlign w:val="center"/>
          </w:tcPr>
          <w:p w14:paraId="7FCF0A3F"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Government has to create more awareness on climate change and its impact on farming</w:t>
            </w:r>
          </w:p>
        </w:tc>
        <w:tc>
          <w:tcPr>
            <w:tcW w:w="1716" w:type="dxa"/>
            <w:shd w:val="clear" w:color="auto" w:fill="FFFFFF"/>
            <w:vAlign w:val="center"/>
          </w:tcPr>
          <w:p w14:paraId="44C8FC89"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Between Groups</w:t>
            </w:r>
          </w:p>
        </w:tc>
        <w:tc>
          <w:tcPr>
            <w:tcW w:w="1498" w:type="dxa"/>
            <w:shd w:val="clear" w:color="auto" w:fill="FFFFFF"/>
            <w:vAlign w:val="center"/>
          </w:tcPr>
          <w:p w14:paraId="6D8CF21A"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84.616</w:t>
            </w:r>
          </w:p>
        </w:tc>
        <w:tc>
          <w:tcPr>
            <w:tcW w:w="685" w:type="dxa"/>
            <w:shd w:val="clear" w:color="auto" w:fill="FFFFFF"/>
            <w:vAlign w:val="center"/>
          </w:tcPr>
          <w:p w14:paraId="5330C395"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c>
          <w:tcPr>
            <w:tcW w:w="1243" w:type="dxa"/>
            <w:shd w:val="clear" w:color="auto" w:fill="FFFFFF"/>
            <w:vAlign w:val="center"/>
          </w:tcPr>
          <w:p w14:paraId="10CC19F3"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42.308</w:t>
            </w:r>
          </w:p>
        </w:tc>
        <w:tc>
          <w:tcPr>
            <w:tcW w:w="1007" w:type="dxa"/>
            <w:shd w:val="clear" w:color="auto" w:fill="FFFFFF"/>
            <w:vAlign w:val="center"/>
          </w:tcPr>
          <w:p w14:paraId="010C4B8F"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175.896</w:t>
            </w:r>
          </w:p>
        </w:tc>
        <w:tc>
          <w:tcPr>
            <w:tcW w:w="720" w:type="dxa"/>
            <w:shd w:val="clear" w:color="auto" w:fill="FFFFFF"/>
            <w:vAlign w:val="center"/>
          </w:tcPr>
          <w:p w14:paraId="4FBB5CFA"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.000</w:t>
            </w:r>
          </w:p>
        </w:tc>
      </w:tr>
      <w:tr w:rsidR="00B6568E" w14:paraId="042BC8C5" w14:textId="77777777">
        <w:trPr>
          <w:cantSplit/>
        </w:trPr>
        <w:tc>
          <w:tcPr>
            <w:tcW w:w="2496" w:type="dxa"/>
            <w:vMerge/>
            <w:shd w:val="clear" w:color="auto" w:fill="FFFFFF"/>
            <w:vAlign w:val="center"/>
          </w:tcPr>
          <w:p w14:paraId="07CFBFF4"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1716" w:type="dxa"/>
            <w:shd w:val="clear" w:color="auto" w:fill="FFFFFF"/>
            <w:vAlign w:val="center"/>
          </w:tcPr>
          <w:p w14:paraId="4803A89D"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Within Groups</w:t>
            </w:r>
          </w:p>
        </w:tc>
        <w:tc>
          <w:tcPr>
            <w:tcW w:w="1498" w:type="dxa"/>
            <w:shd w:val="clear" w:color="auto" w:fill="FFFFFF"/>
            <w:vAlign w:val="center"/>
          </w:tcPr>
          <w:p w14:paraId="4F6878FC"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35.358</w:t>
            </w:r>
          </w:p>
        </w:tc>
        <w:tc>
          <w:tcPr>
            <w:tcW w:w="685" w:type="dxa"/>
            <w:shd w:val="clear" w:color="auto" w:fill="FFFFFF"/>
            <w:vAlign w:val="center"/>
          </w:tcPr>
          <w:p w14:paraId="75F62F3D"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381</w:t>
            </w:r>
          </w:p>
        </w:tc>
        <w:tc>
          <w:tcPr>
            <w:tcW w:w="1243" w:type="dxa"/>
            <w:shd w:val="clear" w:color="auto" w:fill="FFFFFF"/>
            <w:vAlign w:val="center"/>
          </w:tcPr>
          <w:p w14:paraId="007F333F"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.241</w:t>
            </w:r>
          </w:p>
        </w:tc>
        <w:tc>
          <w:tcPr>
            <w:tcW w:w="1007" w:type="dxa"/>
            <w:shd w:val="clear" w:color="auto" w:fill="FFFFFF"/>
          </w:tcPr>
          <w:p w14:paraId="2ADDA392"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720" w:type="dxa"/>
            <w:shd w:val="clear" w:color="auto" w:fill="FFFFFF"/>
          </w:tcPr>
          <w:p w14:paraId="13D8EDE9"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r>
      <w:tr w:rsidR="00B6568E" w14:paraId="05EDA46A" w14:textId="77777777">
        <w:trPr>
          <w:cantSplit/>
        </w:trPr>
        <w:tc>
          <w:tcPr>
            <w:tcW w:w="2496" w:type="dxa"/>
            <w:vMerge/>
            <w:shd w:val="clear" w:color="auto" w:fill="FFFFFF"/>
            <w:vAlign w:val="center"/>
          </w:tcPr>
          <w:p w14:paraId="1EC1E37B"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1716" w:type="dxa"/>
            <w:shd w:val="clear" w:color="auto" w:fill="FFFFFF"/>
            <w:vAlign w:val="center"/>
          </w:tcPr>
          <w:p w14:paraId="0F40A078"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Total</w:t>
            </w:r>
          </w:p>
        </w:tc>
        <w:tc>
          <w:tcPr>
            <w:tcW w:w="1498" w:type="dxa"/>
            <w:shd w:val="clear" w:color="auto" w:fill="FFFFFF"/>
            <w:vAlign w:val="center"/>
          </w:tcPr>
          <w:p w14:paraId="3D58CEF5"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119.973</w:t>
            </w:r>
          </w:p>
        </w:tc>
        <w:tc>
          <w:tcPr>
            <w:tcW w:w="685" w:type="dxa"/>
            <w:shd w:val="clear" w:color="auto" w:fill="FFFFFF"/>
            <w:vAlign w:val="center"/>
          </w:tcPr>
          <w:p w14:paraId="13086768"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384</w:t>
            </w:r>
          </w:p>
        </w:tc>
        <w:tc>
          <w:tcPr>
            <w:tcW w:w="1243" w:type="dxa"/>
            <w:shd w:val="clear" w:color="auto" w:fill="FFFFFF"/>
          </w:tcPr>
          <w:p w14:paraId="4473CD35"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1007" w:type="dxa"/>
            <w:shd w:val="clear" w:color="auto" w:fill="FFFFFF"/>
          </w:tcPr>
          <w:p w14:paraId="29944E96"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720" w:type="dxa"/>
            <w:shd w:val="clear" w:color="auto" w:fill="FFFFFF"/>
          </w:tcPr>
          <w:p w14:paraId="39978C49"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r>
      <w:tr w:rsidR="00B6568E" w14:paraId="30DD25D7" w14:textId="77777777">
        <w:trPr>
          <w:cantSplit/>
        </w:trPr>
        <w:tc>
          <w:tcPr>
            <w:tcW w:w="2496" w:type="dxa"/>
            <w:vMerge w:val="restart"/>
            <w:shd w:val="clear" w:color="auto" w:fill="FFFFFF"/>
            <w:vAlign w:val="center"/>
          </w:tcPr>
          <w:p w14:paraId="08C92C76"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Government has to help in devising localized strategies for climate change adaptation in J and K</w:t>
            </w:r>
          </w:p>
        </w:tc>
        <w:tc>
          <w:tcPr>
            <w:tcW w:w="1716" w:type="dxa"/>
            <w:shd w:val="clear" w:color="auto" w:fill="FFFFFF"/>
            <w:vAlign w:val="center"/>
          </w:tcPr>
          <w:p w14:paraId="28BB55F4"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Between Groups</w:t>
            </w:r>
          </w:p>
        </w:tc>
        <w:tc>
          <w:tcPr>
            <w:tcW w:w="1498" w:type="dxa"/>
            <w:shd w:val="clear" w:color="auto" w:fill="FFFFFF"/>
            <w:vAlign w:val="center"/>
          </w:tcPr>
          <w:p w14:paraId="35DD3620"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131.439</w:t>
            </w:r>
          </w:p>
        </w:tc>
        <w:tc>
          <w:tcPr>
            <w:tcW w:w="685" w:type="dxa"/>
            <w:shd w:val="clear" w:color="auto" w:fill="FFFFFF"/>
            <w:vAlign w:val="center"/>
          </w:tcPr>
          <w:p w14:paraId="02724438"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c>
          <w:tcPr>
            <w:tcW w:w="1243" w:type="dxa"/>
            <w:shd w:val="clear" w:color="auto" w:fill="FFFFFF"/>
            <w:vAlign w:val="center"/>
          </w:tcPr>
          <w:p w14:paraId="74AFBC9B"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65.719</w:t>
            </w:r>
          </w:p>
        </w:tc>
        <w:tc>
          <w:tcPr>
            <w:tcW w:w="1007" w:type="dxa"/>
            <w:shd w:val="clear" w:color="auto" w:fill="FFFFFF"/>
            <w:vAlign w:val="center"/>
          </w:tcPr>
          <w:p w14:paraId="14E38338"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127.191</w:t>
            </w:r>
          </w:p>
        </w:tc>
        <w:tc>
          <w:tcPr>
            <w:tcW w:w="720" w:type="dxa"/>
            <w:shd w:val="clear" w:color="auto" w:fill="FFFFFF"/>
            <w:vAlign w:val="center"/>
          </w:tcPr>
          <w:p w14:paraId="772DBDF4"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.000</w:t>
            </w:r>
          </w:p>
        </w:tc>
      </w:tr>
      <w:tr w:rsidR="00B6568E" w14:paraId="2D2EB953" w14:textId="77777777">
        <w:trPr>
          <w:cantSplit/>
        </w:trPr>
        <w:tc>
          <w:tcPr>
            <w:tcW w:w="2496" w:type="dxa"/>
            <w:vMerge/>
            <w:shd w:val="clear" w:color="auto" w:fill="FFFFFF"/>
            <w:vAlign w:val="center"/>
          </w:tcPr>
          <w:p w14:paraId="2F0167AC"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1716" w:type="dxa"/>
            <w:shd w:val="clear" w:color="auto" w:fill="FFFFFF"/>
            <w:vAlign w:val="center"/>
          </w:tcPr>
          <w:p w14:paraId="63F2FEA9"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Within Groups</w:t>
            </w:r>
          </w:p>
        </w:tc>
        <w:tc>
          <w:tcPr>
            <w:tcW w:w="1498" w:type="dxa"/>
            <w:shd w:val="clear" w:color="auto" w:fill="FFFFFF"/>
            <w:vAlign w:val="center"/>
          </w:tcPr>
          <w:p w14:paraId="7C2076AD"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75.955</w:t>
            </w:r>
          </w:p>
        </w:tc>
        <w:tc>
          <w:tcPr>
            <w:tcW w:w="685" w:type="dxa"/>
            <w:shd w:val="clear" w:color="auto" w:fill="FFFFFF"/>
            <w:vAlign w:val="center"/>
          </w:tcPr>
          <w:p w14:paraId="0475D086"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381</w:t>
            </w:r>
          </w:p>
        </w:tc>
        <w:tc>
          <w:tcPr>
            <w:tcW w:w="1243" w:type="dxa"/>
            <w:shd w:val="clear" w:color="auto" w:fill="FFFFFF"/>
            <w:vAlign w:val="center"/>
          </w:tcPr>
          <w:p w14:paraId="36CD59F4"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.517</w:t>
            </w:r>
          </w:p>
        </w:tc>
        <w:tc>
          <w:tcPr>
            <w:tcW w:w="1007" w:type="dxa"/>
            <w:shd w:val="clear" w:color="auto" w:fill="FFFFFF"/>
          </w:tcPr>
          <w:p w14:paraId="7F00C519"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720" w:type="dxa"/>
            <w:shd w:val="clear" w:color="auto" w:fill="FFFFFF"/>
          </w:tcPr>
          <w:p w14:paraId="5B9639A8"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r>
      <w:tr w:rsidR="00B6568E" w14:paraId="2489D174" w14:textId="77777777">
        <w:trPr>
          <w:cantSplit/>
        </w:trPr>
        <w:tc>
          <w:tcPr>
            <w:tcW w:w="2496" w:type="dxa"/>
            <w:vMerge/>
            <w:shd w:val="clear" w:color="auto" w:fill="FFFFFF"/>
            <w:vAlign w:val="center"/>
          </w:tcPr>
          <w:p w14:paraId="74887014"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1716" w:type="dxa"/>
            <w:shd w:val="clear" w:color="auto" w:fill="FFFFFF"/>
            <w:vAlign w:val="center"/>
          </w:tcPr>
          <w:p w14:paraId="3140A1AF"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Total</w:t>
            </w:r>
          </w:p>
        </w:tc>
        <w:tc>
          <w:tcPr>
            <w:tcW w:w="1498" w:type="dxa"/>
            <w:shd w:val="clear" w:color="auto" w:fill="FFFFFF"/>
            <w:vAlign w:val="center"/>
          </w:tcPr>
          <w:p w14:paraId="17877824"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207.393</w:t>
            </w:r>
          </w:p>
        </w:tc>
        <w:tc>
          <w:tcPr>
            <w:tcW w:w="685" w:type="dxa"/>
            <w:shd w:val="clear" w:color="auto" w:fill="FFFFFF"/>
            <w:vAlign w:val="center"/>
          </w:tcPr>
          <w:p w14:paraId="4318AE15" w14:textId="77777777" w:rsidR="00B6568E" w:rsidRDefault="00000000">
            <w:pPr>
              <w:autoSpaceDE w:val="0"/>
              <w:autoSpaceDN w:val="0"/>
              <w:adjustRightInd w:val="0"/>
              <w:spacing w:before="240"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384</w:t>
            </w:r>
          </w:p>
        </w:tc>
        <w:tc>
          <w:tcPr>
            <w:tcW w:w="1243" w:type="dxa"/>
            <w:shd w:val="clear" w:color="auto" w:fill="FFFFFF"/>
          </w:tcPr>
          <w:p w14:paraId="24DB2D87"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1007" w:type="dxa"/>
            <w:shd w:val="clear" w:color="auto" w:fill="FFFFFF"/>
          </w:tcPr>
          <w:p w14:paraId="076E5BFA"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c>
          <w:tcPr>
            <w:tcW w:w="720" w:type="dxa"/>
            <w:shd w:val="clear" w:color="auto" w:fill="FFFFFF"/>
          </w:tcPr>
          <w:p w14:paraId="2FCB47AF" w14:textId="77777777" w:rsidR="00B6568E" w:rsidRDefault="00B6568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tc>
      </w:tr>
    </w:tbl>
    <w:p w14:paraId="5635108D" w14:textId="77777777" w:rsidR="00B6568E" w:rsidRDefault="00B6568E">
      <w:pPr>
        <w:spacing w:line="360" w:lineRule="auto"/>
        <w:jc w:val="both"/>
        <w:rPr>
          <w:rFonts w:ascii="Times New Roman" w:hAnsi="Times New Roman" w:cs="Times New Roman"/>
          <w:color w:val="000000" w:themeColor="text1"/>
          <w:sz w:val="24"/>
          <w:szCs w:val="24"/>
        </w:rPr>
      </w:pPr>
    </w:p>
    <w:p w14:paraId="4CC8E104" w14:textId="77777777" w:rsidR="00B6568E" w:rsidRDefault="0000000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conclusion, the statistical analyses reveal a significant and multifaceted relationship between climate change, agricultural practices, and government policies in Jammu and Kashmir. Farmers' perceptions indicate that climate change is not only reducing agricultural productivity but also exacerbating poverty, and while adaptation practices are being employed, there is a clear need for enhanced governmental support. These findings highlight the importance of timely, localized, and effective policy measures to support farmers in adapting to the ongoing climatic shifts in the region.</w:t>
      </w:r>
    </w:p>
    <w:p w14:paraId="516D3097" w14:textId="77777777" w:rsidR="00B6568E"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5.Discussion</w:t>
      </w:r>
    </w:p>
    <w:p w14:paraId="64EDFE66" w14:textId="77777777" w:rsidR="00B6568E" w:rsidRDefault="00000000">
      <w:pPr>
        <w:spacing w:line="360" w:lineRule="auto"/>
        <w:jc w:val="both"/>
        <w:rPr>
          <w:rFonts w:ascii="Times New Roman" w:eastAsia="Times New Roman" w:hAnsi="Times New Roman" w:cs="Times New Roman"/>
          <w:sz w:val="24"/>
          <w:szCs w:val="24"/>
          <w:lang w:bidi="ar"/>
        </w:rPr>
      </w:pPr>
      <w:r>
        <w:rPr>
          <w:rFonts w:ascii="Times New Roman" w:eastAsia="Times New Roman" w:hAnsi="Times New Roman" w:cs="Times New Roman"/>
          <w:sz w:val="24"/>
          <w:szCs w:val="24"/>
          <w:lang w:bidi="ar"/>
        </w:rPr>
        <w:t xml:space="preserve">Participants' perceptions of climate change are a pivotal component of understanding how climatic variations are experienced at the grassroots level. The high Weighted Average Index (WAI) values reported—such as erratic rainfall (WAI-4.6), decreased snowfall (WAI -4.1), and </w:t>
      </w:r>
      <w:r>
        <w:rPr>
          <w:rFonts w:ascii="Times New Roman" w:eastAsia="Times New Roman" w:hAnsi="Times New Roman" w:cs="Times New Roman"/>
          <w:sz w:val="24"/>
          <w:szCs w:val="24"/>
          <w:lang w:bidi="ar"/>
        </w:rPr>
        <w:lastRenderedPageBreak/>
        <w:t xml:space="preserve">overall climate change perception (WAI-4.2)—highlight a strong awareness among farmers of the changing climate. These findings align with previous studies indicating that farmers across mountainous regions have become increasingly aware of climatic shifts, often correlating these changes with disruptions in their agricultural routines </w:t>
      </w:r>
      <w:r>
        <w:rPr>
          <w:rFonts w:ascii="Times New Roman" w:eastAsia="Times New Roman" w:hAnsi="Times New Roman" w:cs="Times New Roman"/>
          <w:color w:val="0000FF"/>
          <w:sz w:val="24"/>
          <w:szCs w:val="24"/>
          <w:lang w:bidi="ar"/>
        </w:rPr>
        <w:t>(Bryan et al., 2009; Mehar et al., 2016).</w:t>
      </w:r>
      <w:r>
        <w:rPr>
          <w:rFonts w:ascii="Times New Roman" w:eastAsia="Times New Roman" w:hAnsi="Times New Roman" w:cs="Times New Roman"/>
          <w:sz w:val="24"/>
          <w:szCs w:val="24"/>
          <w:lang w:bidi="ar"/>
        </w:rPr>
        <w:t xml:space="preserve"> The localized knowledge held by these communities provides nuanced insights that may not yet be captured by broad-scale climate models </w:t>
      </w:r>
      <w:r>
        <w:rPr>
          <w:rFonts w:ascii="Times New Roman" w:eastAsia="Times New Roman" w:hAnsi="Times New Roman" w:cs="Times New Roman"/>
          <w:color w:val="0000FF"/>
          <w:sz w:val="24"/>
          <w:szCs w:val="24"/>
          <w:lang w:bidi="ar"/>
        </w:rPr>
        <w:t>(Sarkar and Padaria,2010),</w:t>
      </w:r>
      <w:r>
        <w:rPr>
          <w:rFonts w:ascii="Times New Roman" w:eastAsia="Times New Roman" w:hAnsi="Times New Roman" w:cs="Times New Roman"/>
          <w:sz w:val="24"/>
          <w:szCs w:val="24"/>
          <w:lang w:bidi="ar"/>
        </w:rPr>
        <w:t xml:space="preserve"> emphasizing the importance of integrating farmer perceptions into climate adaptation </w:t>
      </w:r>
      <w:proofErr w:type="spellStart"/>
      <w:proofErr w:type="gramStart"/>
      <w:r>
        <w:rPr>
          <w:rFonts w:ascii="Times New Roman" w:eastAsia="Times New Roman" w:hAnsi="Times New Roman" w:cs="Times New Roman"/>
          <w:sz w:val="24"/>
          <w:szCs w:val="24"/>
          <w:lang w:bidi="ar"/>
        </w:rPr>
        <w:t>planning.Despite</w:t>
      </w:r>
      <w:proofErr w:type="spellEnd"/>
      <w:proofErr w:type="gramEnd"/>
      <w:r>
        <w:rPr>
          <w:rFonts w:ascii="Times New Roman" w:eastAsia="Times New Roman" w:hAnsi="Times New Roman" w:cs="Times New Roman"/>
          <w:sz w:val="24"/>
          <w:szCs w:val="24"/>
          <w:lang w:bidi="ar"/>
        </w:rPr>
        <w:t xml:space="preserve"> the overall high perception of climate variability, participants rated some effects—such as reduced streamflow affecting agriculture (WAI-3.2)—with lower intensity. This suggests a disparity between observed climatic changes and the perceived immediacy or impact of those changes on specific livelihood dimensions. Such perceptual differences have been reported elsewhere, where indirect impacts of climate change, particularly those affecting water systems, are often under-recognized </w:t>
      </w:r>
      <w:r>
        <w:rPr>
          <w:rFonts w:ascii="Times New Roman" w:eastAsia="Times New Roman" w:hAnsi="Times New Roman" w:cs="Times New Roman"/>
          <w:color w:val="0000FF"/>
          <w:sz w:val="24"/>
          <w:szCs w:val="24"/>
          <w:lang w:bidi="ar"/>
        </w:rPr>
        <w:t>(Arbuckle et al., 2015</w:t>
      </w:r>
      <w:proofErr w:type="gramStart"/>
      <w:r>
        <w:rPr>
          <w:rFonts w:ascii="Times New Roman" w:eastAsia="Times New Roman" w:hAnsi="Times New Roman" w:cs="Times New Roman"/>
          <w:color w:val="0000FF"/>
          <w:sz w:val="24"/>
          <w:szCs w:val="24"/>
          <w:lang w:bidi="ar"/>
        </w:rPr>
        <w:t>)</w:t>
      </w:r>
      <w:r>
        <w:rPr>
          <w:rFonts w:ascii="Times New Roman" w:eastAsia="Times New Roman" w:hAnsi="Times New Roman" w:cs="Times New Roman"/>
          <w:sz w:val="24"/>
          <w:szCs w:val="24"/>
          <w:lang w:bidi="ar"/>
        </w:rPr>
        <w:t>..</w:t>
      </w:r>
      <w:proofErr w:type="gramEnd"/>
      <w:r>
        <w:rPr>
          <w:rFonts w:ascii="Times New Roman" w:eastAsia="Times New Roman" w:hAnsi="Times New Roman" w:cs="Times New Roman"/>
          <w:sz w:val="24"/>
          <w:szCs w:val="24"/>
          <w:lang w:bidi="ar"/>
        </w:rPr>
        <w:t xml:space="preserve">The effects of climate change on agriculture and horticulture are distinctly recognized. For instance, early snowfall (WAI-4.5) and erratic rainfall (WAI-4.5) are seen as major disruptors of planting cycles and productivity, while temperature-related issues such as shifts in fruit flowering and summer heat effects on fruit quality received relatively lower WAIs (3.1–3.2). These findings reflect the broader literature on </w:t>
      </w:r>
      <w:proofErr w:type="spellStart"/>
      <w:r>
        <w:rPr>
          <w:rFonts w:ascii="Times New Roman" w:eastAsia="Times New Roman" w:hAnsi="Times New Roman" w:cs="Times New Roman"/>
          <w:sz w:val="24"/>
          <w:szCs w:val="24"/>
          <w:lang w:bidi="ar"/>
        </w:rPr>
        <w:t>agro</w:t>
      </w:r>
      <w:proofErr w:type="spellEnd"/>
      <w:r>
        <w:rPr>
          <w:rFonts w:ascii="Times New Roman" w:eastAsia="Times New Roman" w:hAnsi="Times New Roman" w:cs="Times New Roman"/>
          <w:sz w:val="24"/>
          <w:szCs w:val="24"/>
          <w:lang w:bidi="ar"/>
        </w:rPr>
        <w:t xml:space="preserve">-climatic impacts in mountain regions, where precipitation variability is often the most disruptive to farming activities </w:t>
      </w:r>
      <w:r>
        <w:rPr>
          <w:rFonts w:ascii="Times New Roman" w:eastAsia="Times New Roman" w:hAnsi="Times New Roman" w:cs="Times New Roman"/>
          <w:color w:val="0000FF"/>
          <w:sz w:val="24"/>
          <w:szCs w:val="24"/>
          <w:lang w:bidi="ar"/>
        </w:rPr>
        <w:t xml:space="preserve">(Gentle and </w:t>
      </w:r>
      <w:proofErr w:type="spellStart"/>
      <w:r>
        <w:rPr>
          <w:rFonts w:ascii="Times New Roman" w:eastAsia="Times New Roman" w:hAnsi="Times New Roman" w:cs="Times New Roman"/>
          <w:color w:val="0000FF"/>
          <w:sz w:val="24"/>
          <w:szCs w:val="24"/>
          <w:lang w:bidi="ar"/>
        </w:rPr>
        <w:t>Maraseni</w:t>
      </w:r>
      <w:proofErr w:type="spellEnd"/>
      <w:r>
        <w:rPr>
          <w:rFonts w:ascii="Times New Roman" w:eastAsia="Times New Roman" w:hAnsi="Times New Roman" w:cs="Times New Roman"/>
          <w:color w:val="0000FF"/>
          <w:sz w:val="24"/>
          <w:szCs w:val="24"/>
          <w:lang w:bidi="ar"/>
        </w:rPr>
        <w:t>, 2012</w:t>
      </w:r>
      <w:proofErr w:type="gramStart"/>
      <w:r>
        <w:rPr>
          <w:rFonts w:ascii="Times New Roman" w:eastAsia="Times New Roman" w:hAnsi="Times New Roman" w:cs="Times New Roman"/>
          <w:color w:val="0000FF"/>
          <w:sz w:val="24"/>
          <w:szCs w:val="24"/>
          <w:lang w:bidi="ar"/>
        </w:rPr>
        <w:t>)</w:t>
      </w:r>
      <w:r>
        <w:rPr>
          <w:rFonts w:ascii="Times New Roman" w:eastAsia="Times New Roman" w:hAnsi="Times New Roman" w:cs="Times New Roman"/>
          <w:sz w:val="24"/>
          <w:szCs w:val="24"/>
          <w:lang w:bidi="ar"/>
        </w:rPr>
        <w:t>.Adaptation</w:t>
      </w:r>
      <w:proofErr w:type="gramEnd"/>
      <w:r>
        <w:rPr>
          <w:rFonts w:ascii="Times New Roman" w:eastAsia="Times New Roman" w:hAnsi="Times New Roman" w:cs="Times New Roman"/>
          <w:sz w:val="24"/>
          <w:szCs w:val="24"/>
          <w:lang w:bidi="ar"/>
        </w:rPr>
        <w:t xml:space="preserve"> strategies show a high degree of diversity and innovation, reflecting a proactive response from farmers. In agriculture, mixed cropping (WAI- 4.6), crop diversification (WAI-4.5), and improved irrigation (WAI-4.1) emerged as dominant strategies. These practices are widely recommended in climate resilience literature as effective means to mitigate risk </w:t>
      </w:r>
      <w:r>
        <w:rPr>
          <w:rFonts w:ascii="Times New Roman" w:eastAsia="Times New Roman" w:hAnsi="Times New Roman" w:cs="Times New Roman"/>
          <w:color w:val="0000FF"/>
          <w:sz w:val="24"/>
          <w:szCs w:val="24"/>
          <w:lang w:bidi="ar"/>
        </w:rPr>
        <w:t>(IPCC, 2014; Altieri et al., 2015)</w:t>
      </w:r>
      <w:r>
        <w:rPr>
          <w:rFonts w:ascii="Times New Roman" w:eastAsia="Times New Roman" w:hAnsi="Times New Roman" w:cs="Times New Roman"/>
          <w:sz w:val="24"/>
          <w:szCs w:val="24"/>
          <w:lang w:bidi="ar"/>
        </w:rPr>
        <w:t xml:space="preserve">. Similarly, in horticulture, the increased use of pesticides (WAI-4.5), cold storage facilities (WAI-4.5), and high-density plantations (WAI-4.1) indicate adaptation through technological and structural shifts, echoing trends observed in other climate-sensitive regions </w:t>
      </w:r>
      <w:r>
        <w:rPr>
          <w:rFonts w:ascii="Times New Roman" w:eastAsia="Times New Roman" w:hAnsi="Times New Roman" w:cs="Times New Roman"/>
          <w:color w:val="0000FF"/>
          <w:sz w:val="24"/>
          <w:szCs w:val="24"/>
          <w:lang w:bidi="ar"/>
        </w:rPr>
        <w:t>(Rao et al., 2011</w:t>
      </w:r>
      <w:proofErr w:type="gramStart"/>
      <w:r>
        <w:rPr>
          <w:rFonts w:ascii="Times New Roman" w:eastAsia="Times New Roman" w:hAnsi="Times New Roman" w:cs="Times New Roman"/>
          <w:color w:val="0000FF"/>
          <w:sz w:val="24"/>
          <w:szCs w:val="24"/>
          <w:lang w:bidi="ar"/>
        </w:rPr>
        <w:t>)</w:t>
      </w:r>
      <w:r>
        <w:rPr>
          <w:rFonts w:ascii="Times New Roman" w:eastAsia="Times New Roman" w:hAnsi="Times New Roman" w:cs="Times New Roman"/>
          <w:sz w:val="24"/>
          <w:szCs w:val="24"/>
          <w:lang w:bidi="ar"/>
        </w:rPr>
        <w:t>.The</w:t>
      </w:r>
      <w:proofErr w:type="gramEnd"/>
      <w:r>
        <w:rPr>
          <w:rFonts w:ascii="Times New Roman" w:eastAsia="Times New Roman" w:hAnsi="Times New Roman" w:cs="Times New Roman"/>
          <w:sz w:val="24"/>
          <w:szCs w:val="24"/>
          <w:lang w:bidi="ar"/>
        </w:rPr>
        <w:t xml:space="preserve"> statistical analysis substantiates the qualitative trends observed in perception and adaptation. The significant ANOVA result (F = 127.191, p = 0.000) confirming that climate change significantly affects productivity underscores the material basis of farmers' concerns. Likewise, the Spearman's correlation (ρ = 0.773, p = 0.000) between climate change and poverty highlights the socioeconomic vulnerability of agricultural households, a pattern consistent with findings in </w:t>
      </w:r>
      <w:r>
        <w:rPr>
          <w:rFonts w:ascii="Times New Roman" w:eastAsia="Times New Roman" w:hAnsi="Times New Roman" w:cs="Times New Roman"/>
          <w:sz w:val="24"/>
          <w:szCs w:val="24"/>
          <w:lang w:bidi="ar"/>
        </w:rPr>
        <w:lastRenderedPageBreak/>
        <w:t>other agrarian economies where income is heavily dependent on climate-sensitive livelihoods</w:t>
      </w:r>
      <w:r>
        <w:rPr>
          <w:rFonts w:ascii="Times New Roman" w:eastAsia="Times New Roman" w:hAnsi="Times New Roman" w:cs="Times New Roman"/>
          <w:color w:val="0000FF"/>
          <w:sz w:val="24"/>
          <w:szCs w:val="24"/>
          <w:lang w:bidi="ar"/>
        </w:rPr>
        <w:t xml:space="preserve"> (Thornton et al., 2014)</w:t>
      </w:r>
      <w:r>
        <w:rPr>
          <w:rFonts w:ascii="Times New Roman" w:eastAsia="Times New Roman" w:hAnsi="Times New Roman" w:cs="Times New Roman"/>
          <w:sz w:val="24"/>
          <w:szCs w:val="24"/>
          <w:lang w:bidi="ar"/>
        </w:rPr>
        <w:t xml:space="preserve">.The Chi-square test (χ² = 300.000, p = 0.000) showing a strong association between perceptions of climate change and adaptation practices further supports the idea that awareness significantly drives action. However, the relatively lower WAI scores for certain adaptive practices, such as terracing or hail nets, suggest economic or infrastructural constraints, reflecting findings from other developing regions where adaptation is often hindered by limited resources </w:t>
      </w:r>
      <w:r>
        <w:rPr>
          <w:rFonts w:ascii="Times New Roman" w:eastAsia="Times New Roman" w:hAnsi="Times New Roman" w:cs="Times New Roman"/>
          <w:color w:val="0000FF"/>
          <w:sz w:val="24"/>
          <w:szCs w:val="24"/>
          <w:lang w:bidi="ar"/>
        </w:rPr>
        <w:t>(Below et al., 2012</w:t>
      </w:r>
      <w:proofErr w:type="gramStart"/>
      <w:r>
        <w:rPr>
          <w:rFonts w:ascii="Times New Roman" w:eastAsia="Times New Roman" w:hAnsi="Times New Roman" w:cs="Times New Roman"/>
          <w:color w:val="0000FF"/>
          <w:sz w:val="24"/>
          <w:szCs w:val="24"/>
          <w:lang w:bidi="ar"/>
        </w:rPr>
        <w:t>)</w:t>
      </w:r>
      <w:r>
        <w:rPr>
          <w:rFonts w:ascii="Times New Roman" w:eastAsia="Times New Roman" w:hAnsi="Times New Roman" w:cs="Times New Roman"/>
          <w:sz w:val="24"/>
          <w:szCs w:val="24"/>
          <w:lang w:bidi="ar"/>
        </w:rPr>
        <w:t>.Importantly</w:t>
      </w:r>
      <w:proofErr w:type="gramEnd"/>
      <w:r>
        <w:rPr>
          <w:rFonts w:ascii="Times New Roman" w:eastAsia="Times New Roman" w:hAnsi="Times New Roman" w:cs="Times New Roman"/>
          <w:sz w:val="24"/>
          <w:szCs w:val="24"/>
          <w:lang w:bidi="ar"/>
        </w:rPr>
        <w:t xml:space="preserve">, the second ANOVA analysis (F = 175.896, p = 0.000) reveals a crucial gap between governmental strategies and farmers’ needs. Participants expressed a strong demand for localized climate adaptation programs, reinforcing the call for bottom-up approaches in policy design </w:t>
      </w:r>
      <w:r>
        <w:rPr>
          <w:rFonts w:ascii="Times New Roman" w:eastAsia="Times New Roman" w:hAnsi="Times New Roman" w:cs="Times New Roman"/>
          <w:color w:val="0000FF"/>
          <w:sz w:val="24"/>
          <w:szCs w:val="24"/>
          <w:lang w:bidi="ar"/>
        </w:rPr>
        <w:t>(Smit and Skinner,2002).</w:t>
      </w:r>
      <w:r>
        <w:rPr>
          <w:rFonts w:ascii="Times New Roman" w:eastAsia="Times New Roman" w:hAnsi="Times New Roman" w:cs="Times New Roman"/>
          <w:sz w:val="24"/>
          <w:szCs w:val="24"/>
          <w:lang w:bidi="ar"/>
        </w:rPr>
        <w:t xml:space="preserve"> Without such tailored interventions, the effectiveness of adaptation efforts remains limited, especially in geographically diverse and climatically complex regions like Jammu and Kashmir</w:t>
      </w:r>
    </w:p>
    <w:p w14:paraId="19457E53" w14:textId="77777777" w:rsidR="00B6568E"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6.Conclusion</w:t>
      </w:r>
    </w:p>
    <w:p w14:paraId="1A0C05E1" w14:textId="77777777" w:rsidR="00B6568E" w:rsidRDefault="00000000">
      <w:pPr>
        <w:pStyle w:val="msolistparagraph0"/>
        <w:spacing w:beforeAutospacing="1" w:after="0" w:afterAutospacing="1" w:line="360" w:lineRule="auto"/>
        <w:ind w:left="0"/>
        <w:jc w:val="both"/>
        <w:rPr>
          <w:rFonts w:ascii="Times New Roman" w:eastAsia="Times New Roman" w:hAnsi="Times New Roman" w:hint="default"/>
          <w:sz w:val="24"/>
          <w:szCs w:val="24"/>
          <w:lang w:eastAsia="en-US" w:bidi="ar"/>
        </w:rPr>
      </w:pPr>
      <w:r>
        <w:rPr>
          <w:rFonts w:ascii="Times New Roman" w:eastAsia="Times New Roman" w:hAnsi="Times New Roman" w:hint="default"/>
          <w:sz w:val="24"/>
          <w:szCs w:val="24"/>
          <w:lang w:eastAsia="en-US"/>
        </w:rPr>
        <w:t>T</w:t>
      </w:r>
      <w:r>
        <w:rPr>
          <w:rFonts w:ascii="Times New Roman" w:eastAsia="Times New Roman" w:hAnsi="Times New Roman" w:hint="default"/>
          <w:sz w:val="24"/>
          <w:szCs w:val="24"/>
          <w:lang w:eastAsia="en-US" w:bidi="ar"/>
        </w:rPr>
        <w:t xml:space="preserve">he findings of this study provide compelling evidence of the deepening impact of climate change on agriculture and horticulture in Jammu and Kashmir, as well as the crucial role that farmers' perceptions and adaptation strategies play in responding to these challenges. Participants’ strong awareness of climatic changes—particularly erratic rainfall, overall warming trends, and reduced snowfall—demonstrates their firsthand experience of a shifting climate and its cascading effects on environmental and agricultural systems. These perceptions are not only rooted in lived realities but are essential in bridging the gap between scientific climate projections and ground-level </w:t>
      </w:r>
      <w:proofErr w:type="spellStart"/>
      <w:proofErr w:type="gramStart"/>
      <w:r>
        <w:rPr>
          <w:rFonts w:ascii="Times New Roman" w:eastAsia="Times New Roman" w:hAnsi="Times New Roman" w:hint="default"/>
          <w:sz w:val="24"/>
          <w:szCs w:val="24"/>
          <w:lang w:eastAsia="en-US" w:bidi="ar"/>
        </w:rPr>
        <w:t>dynamics.The</w:t>
      </w:r>
      <w:proofErr w:type="spellEnd"/>
      <w:proofErr w:type="gramEnd"/>
      <w:r>
        <w:rPr>
          <w:rFonts w:ascii="Times New Roman" w:eastAsia="Times New Roman" w:hAnsi="Times New Roman" w:hint="default"/>
          <w:sz w:val="24"/>
          <w:szCs w:val="24"/>
          <w:lang w:eastAsia="en-US" w:bidi="ar"/>
        </w:rPr>
        <w:t xml:space="preserve"> Weighted Average Index (WAI) scores across various climate indicators and agricultural impacts show that farmers are acutely aware of key environmental disruptions, such as early or late snowfall and irregular rainfall patterns, which are significantly affecting crop productivity and farming schedules. Similarly, adaptation strategies—both in agriculture and horticulture—reflect an increasingly proactive approach to mitigating risk. High WAI scores for practices such as crop diversification, mixed cropping, improved irrigation, and post-harvest management underscore farmers’ strategic responses aimed at safeguarding livelihoods in a rapidly changing </w:t>
      </w:r>
      <w:proofErr w:type="spellStart"/>
      <w:proofErr w:type="gramStart"/>
      <w:r>
        <w:rPr>
          <w:rFonts w:ascii="Times New Roman" w:eastAsia="Times New Roman" w:hAnsi="Times New Roman" w:hint="default"/>
          <w:sz w:val="24"/>
          <w:szCs w:val="24"/>
          <w:lang w:eastAsia="en-US" w:bidi="ar"/>
        </w:rPr>
        <w:t>climate.The</w:t>
      </w:r>
      <w:proofErr w:type="spellEnd"/>
      <w:proofErr w:type="gramEnd"/>
      <w:r>
        <w:rPr>
          <w:rFonts w:ascii="Times New Roman" w:eastAsia="Times New Roman" w:hAnsi="Times New Roman" w:hint="default"/>
          <w:sz w:val="24"/>
          <w:szCs w:val="24"/>
          <w:lang w:eastAsia="en-US" w:bidi="ar"/>
        </w:rPr>
        <w:t xml:space="preserve"> statistical analyses further reinforce the importance of these perceptions and adaptive behaviors. The ANOVA results confirm that climate change significantly influences agricultural patterns and perceived </w:t>
      </w:r>
      <w:r>
        <w:rPr>
          <w:rFonts w:ascii="Times New Roman" w:eastAsia="Times New Roman" w:hAnsi="Times New Roman" w:hint="default"/>
          <w:sz w:val="24"/>
          <w:szCs w:val="24"/>
          <w:lang w:eastAsia="en-US" w:bidi="ar"/>
        </w:rPr>
        <w:lastRenderedPageBreak/>
        <w:t xml:space="preserve">productivity declines. The strong positive correlation between worsening climate conditions and rising poverty levels, as revealed through Spearman’s analysis, highlights the socio-economic vulnerability of farming communities. The Chi-square analysis also indicates that farmers’ projections about future climate scenarios are directly associated with the types of adaptation strategies they choose to implement, illustrating a clear link between awareness and action. Importantly, the results also draw attention to a notable gap in institutional support. The significant findings from the second ANOVA analysis point to a widespread demand for more effective government interventions, particularly in the form of awareness campaigns and localized adaptation strategies. While farmers are making strides in adopting diverse techniques to cope with climate change, their efforts require stronger backing through policy, financial incentives, and infrastructural </w:t>
      </w:r>
      <w:proofErr w:type="spellStart"/>
      <w:proofErr w:type="gramStart"/>
      <w:r>
        <w:rPr>
          <w:rFonts w:ascii="Times New Roman" w:eastAsia="Times New Roman" w:hAnsi="Times New Roman" w:hint="default"/>
          <w:sz w:val="24"/>
          <w:szCs w:val="24"/>
          <w:lang w:eastAsia="en-US" w:bidi="ar"/>
        </w:rPr>
        <w:t>development.In</w:t>
      </w:r>
      <w:proofErr w:type="spellEnd"/>
      <w:proofErr w:type="gramEnd"/>
      <w:r>
        <w:rPr>
          <w:rFonts w:ascii="Times New Roman" w:eastAsia="Times New Roman" w:hAnsi="Times New Roman" w:hint="default"/>
          <w:sz w:val="24"/>
          <w:szCs w:val="24"/>
          <w:lang w:eastAsia="en-US" w:bidi="ar"/>
        </w:rPr>
        <w:t xml:space="preserve"> summary, this study affirms that climate change poses serious and multifaceted threats to agriculture in the Kashmir Himalayas. However, it also reveals a landscape of resilience and adaptation, driven by local knowledge, community responses, and the urgent need for strengthened governmental engagement. Future climate policies must therefore be grounded in participatory approaches that reflect farmers’ perceptions and empower them to build sustainable and climate-resilient livelihoods.</w:t>
      </w:r>
    </w:p>
    <w:p w14:paraId="5A4A4667" w14:textId="77777777" w:rsidR="00B6568E" w:rsidRDefault="00B6568E">
      <w:pPr>
        <w:pStyle w:val="msolistparagraph0"/>
        <w:spacing w:beforeAutospacing="1" w:after="0" w:afterAutospacing="1" w:line="360" w:lineRule="auto"/>
        <w:ind w:left="0"/>
        <w:jc w:val="both"/>
        <w:rPr>
          <w:rFonts w:ascii="Times New Roman" w:eastAsia="Times New Roman" w:hAnsi="Times New Roman" w:hint="default"/>
          <w:sz w:val="24"/>
          <w:szCs w:val="24"/>
          <w:lang w:eastAsia="en-US" w:bidi="ar"/>
        </w:rPr>
      </w:pPr>
    </w:p>
    <w:p w14:paraId="6E7BCA10" w14:textId="77777777" w:rsidR="00B6568E" w:rsidRDefault="00000000">
      <w:pPr>
        <w:pStyle w:val="msolistparagraph0"/>
        <w:spacing w:beforeAutospacing="1" w:after="0" w:afterAutospacing="1" w:line="360" w:lineRule="auto"/>
        <w:ind w:left="0"/>
        <w:jc w:val="both"/>
        <w:rPr>
          <w:rFonts w:ascii="Times New Roman" w:eastAsia="Times New Roman" w:hAnsi="Times New Roman" w:hint="default"/>
          <w:b/>
          <w:bCs/>
          <w:sz w:val="24"/>
          <w:szCs w:val="24"/>
          <w:lang w:eastAsia="en-US" w:bidi="ar"/>
        </w:rPr>
      </w:pPr>
      <w:r>
        <w:rPr>
          <w:rFonts w:ascii="Times New Roman" w:eastAsia="Times New Roman" w:hAnsi="Times New Roman" w:hint="default"/>
          <w:b/>
          <w:bCs/>
          <w:sz w:val="24"/>
          <w:szCs w:val="24"/>
          <w:lang w:eastAsia="en-US" w:bidi="ar"/>
        </w:rPr>
        <w:t>DECLARATION:</w:t>
      </w:r>
    </w:p>
    <w:p w14:paraId="1E03B031" w14:textId="77777777" w:rsidR="00B6568E" w:rsidRDefault="00000000">
      <w:pPr>
        <w:pStyle w:val="msolistparagraph0"/>
        <w:spacing w:beforeAutospacing="1" w:after="0" w:afterAutospacing="1" w:line="240" w:lineRule="auto"/>
        <w:ind w:left="0"/>
        <w:jc w:val="both"/>
        <w:rPr>
          <w:rFonts w:ascii="Times New Roman" w:eastAsia="Times New Roman" w:hAnsi="Times New Roman" w:hint="default"/>
          <w:b/>
          <w:bCs/>
          <w:sz w:val="24"/>
          <w:szCs w:val="24"/>
          <w:lang w:val="en-IN" w:eastAsia="en-US" w:bidi="ar"/>
        </w:rPr>
      </w:pPr>
      <w:r>
        <w:rPr>
          <w:rFonts w:ascii="Times New Roman" w:eastAsia="Times New Roman" w:hAnsi="Times New Roman" w:hint="default"/>
          <w:b/>
          <w:bCs/>
          <w:sz w:val="24"/>
          <w:szCs w:val="24"/>
          <w:lang w:val="en-IN" w:eastAsia="en-US" w:bidi="ar"/>
        </w:rPr>
        <w:t>Conflict of interest</w:t>
      </w:r>
    </w:p>
    <w:p w14:paraId="0E8AFC54" w14:textId="77777777" w:rsidR="00B6568E" w:rsidRDefault="00000000">
      <w:pPr>
        <w:pStyle w:val="msolistparagraph0"/>
        <w:spacing w:beforeAutospacing="1" w:after="0" w:afterAutospacing="1" w:line="240" w:lineRule="auto"/>
        <w:ind w:left="0"/>
        <w:jc w:val="both"/>
        <w:rPr>
          <w:rFonts w:ascii="Times New Roman" w:hAnsi="Times New Roman" w:hint="default"/>
          <w:sz w:val="24"/>
          <w:szCs w:val="24"/>
          <w:lang w:val="en-IN" w:eastAsia="en-US"/>
        </w:rPr>
      </w:pPr>
      <w:r>
        <w:rPr>
          <w:rFonts w:ascii="Times New Roman" w:hAnsi="Times New Roman" w:hint="default"/>
          <w:sz w:val="24"/>
          <w:szCs w:val="24"/>
          <w:lang w:val="en-IN" w:eastAsia="en-US"/>
        </w:rPr>
        <w:t>No potential conflict of interest was reported by the authors</w:t>
      </w:r>
    </w:p>
    <w:p w14:paraId="04FEE2A8" w14:textId="77777777" w:rsidR="00B6568E" w:rsidRDefault="00000000">
      <w:pPr>
        <w:pStyle w:val="msolistparagraph0"/>
        <w:spacing w:beforeAutospacing="1" w:after="0" w:afterAutospacing="1" w:line="240" w:lineRule="auto"/>
        <w:ind w:left="0"/>
        <w:jc w:val="both"/>
        <w:rPr>
          <w:rFonts w:ascii="Times New Roman" w:eastAsia="Times New Roman" w:hAnsi="Times New Roman" w:hint="default"/>
          <w:b/>
          <w:bCs/>
          <w:sz w:val="24"/>
          <w:szCs w:val="24"/>
          <w:lang w:val="en-IN" w:eastAsia="en-US" w:bidi="ar"/>
        </w:rPr>
      </w:pPr>
      <w:r>
        <w:rPr>
          <w:rFonts w:ascii="Times New Roman" w:eastAsia="Times New Roman" w:hAnsi="Times New Roman" w:hint="default"/>
          <w:b/>
          <w:bCs/>
          <w:sz w:val="24"/>
          <w:szCs w:val="24"/>
          <w:lang w:val="en-IN" w:eastAsia="en-US" w:bidi="ar"/>
        </w:rPr>
        <w:t>Ethical approval</w:t>
      </w:r>
    </w:p>
    <w:p w14:paraId="414A0D17" w14:textId="77777777" w:rsidR="00B6568E" w:rsidRDefault="00000000">
      <w:pPr>
        <w:pStyle w:val="msolistparagraph0"/>
        <w:spacing w:beforeAutospacing="1" w:after="0" w:afterAutospacing="1" w:line="240" w:lineRule="auto"/>
        <w:ind w:left="0"/>
        <w:jc w:val="both"/>
        <w:rPr>
          <w:rFonts w:ascii="Times New Roman" w:hAnsi="Times New Roman" w:hint="default"/>
          <w:sz w:val="24"/>
          <w:szCs w:val="24"/>
          <w:lang w:val="en-IN" w:eastAsia="en-US"/>
        </w:rPr>
      </w:pPr>
      <w:r>
        <w:rPr>
          <w:rFonts w:ascii="Times New Roman" w:hAnsi="Times New Roman" w:hint="default"/>
          <w:sz w:val="24"/>
          <w:szCs w:val="24"/>
          <w:lang w:val="en-IN" w:eastAsia="en-US"/>
        </w:rPr>
        <w:t>All ethical standards were taken care of during the study</w:t>
      </w:r>
    </w:p>
    <w:p w14:paraId="50E4FED3" w14:textId="77777777" w:rsidR="00B6568E" w:rsidRDefault="00000000">
      <w:pPr>
        <w:pStyle w:val="msolistparagraph0"/>
        <w:spacing w:beforeAutospacing="1" w:after="0" w:afterAutospacing="1" w:line="240" w:lineRule="auto"/>
        <w:ind w:left="0"/>
        <w:jc w:val="both"/>
        <w:rPr>
          <w:rFonts w:ascii="Times New Roman" w:eastAsia="Times New Roman" w:hAnsi="Times New Roman" w:hint="default"/>
          <w:b/>
          <w:bCs/>
          <w:sz w:val="24"/>
          <w:szCs w:val="24"/>
          <w:lang w:val="en-IN" w:eastAsia="en-US" w:bidi="ar"/>
        </w:rPr>
      </w:pPr>
      <w:r>
        <w:rPr>
          <w:rFonts w:ascii="Times New Roman" w:eastAsia="Times New Roman" w:hAnsi="Times New Roman" w:hint="default"/>
          <w:b/>
          <w:bCs/>
          <w:sz w:val="24"/>
          <w:szCs w:val="24"/>
          <w:lang w:val="en-IN" w:eastAsia="en-US" w:bidi="ar"/>
        </w:rPr>
        <w:t>Consent for Publication</w:t>
      </w:r>
    </w:p>
    <w:p w14:paraId="7C10CBD3" w14:textId="77777777" w:rsidR="00B6568E" w:rsidRDefault="00000000">
      <w:pPr>
        <w:pStyle w:val="msolistparagraph0"/>
        <w:spacing w:beforeAutospacing="1" w:after="0" w:afterAutospacing="1" w:line="240" w:lineRule="auto"/>
        <w:ind w:left="0"/>
        <w:jc w:val="both"/>
        <w:rPr>
          <w:rFonts w:ascii="Times New Roman" w:hAnsi="Times New Roman" w:hint="default"/>
          <w:sz w:val="24"/>
          <w:szCs w:val="24"/>
          <w:lang w:val="en-IN" w:eastAsia="en-US"/>
        </w:rPr>
      </w:pPr>
      <w:r>
        <w:rPr>
          <w:rFonts w:ascii="Times New Roman" w:hAnsi="Times New Roman" w:hint="default"/>
          <w:sz w:val="24"/>
          <w:szCs w:val="24"/>
          <w:lang w:val="en-IN" w:eastAsia="en-US"/>
        </w:rPr>
        <w:t>This manuscript is nowhere else under consideration for publication</w:t>
      </w:r>
    </w:p>
    <w:p w14:paraId="2B68626D" w14:textId="77777777" w:rsidR="00B6568E" w:rsidRDefault="00000000">
      <w:pPr>
        <w:pStyle w:val="msolistparagraph0"/>
        <w:spacing w:beforeAutospacing="1" w:after="0" w:afterAutospacing="1" w:line="240" w:lineRule="auto"/>
        <w:ind w:left="0"/>
        <w:jc w:val="both"/>
        <w:rPr>
          <w:rFonts w:ascii="Times New Roman" w:hAnsi="Times New Roman" w:hint="default"/>
          <w:b/>
          <w:bCs/>
          <w:sz w:val="24"/>
          <w:szCs w:val="24"/>
          <w:lang w:val="en-IN" w:eastAsia="en-US"/>
        </w:rPr>
      </w:pPr>
      <w:r>
        <w:rPr>
          <w:rFonts w:ascii="Times New Roman" w:hAnsi="Times New Roman" w:hint="default"/>
          <w:b/>
          <w:bCs/>
          <w:sz w:val="24"/>
          <w:szCs w:val="24"/>
          <w:lang w:val="en-IN" w:eastAsia="en-US"/>
        </w:rPr>
        <w:t>DISCLAIMER</w:t>
      </w:r>
    </w:p>
    <w:p w14:paraId="5E94C457" w14:textId="77777777" w:rsidR="00B6568E" w:rsidRDefault="00000000">
      <w:pPr>
        <w:pStyle w:val="msolistparagraph0"/>
        <w:spacing w:beforeAutospacing="1" w:after="0" w:afterAutospacing="1" w:line="240" w:lineRule="auto"/>
        <w:ind w:left="0"/>
        <w:jc w:val="both"/>
        <w:rPr>
          <w:rFonts w:ascii="Times New Roman" w:hAnsi="Times New Roman" w:hint="default"/>
          <w:sz w:val="24"/>
          <w:szCs w:val="24"/>
          <w:lang w:val="en-IN" w:eastAsia="en-US"/>
        </w:rPr>
      </w:pPr>
      <w:r>
        <w:rPr>
          <w:rFonts w:ascii="Times New Roman" w:hAnsi="Times New Roman" w:hint="default"/>
          <w:sz w:val="24"/>
          <w:szCs w:val="24"/>
          <w:lang w:val="en-IN" w:eastAsia="en-US"/>
        </w:rPr>
        <w:t>No generative AI technologies such as Large Language Models (ChatGPT, COPILOT, etc)</w:t>
      </w:r>
    </w:p>
    <w:p w14:paraId="0C3D2828" w14:textId="77777777" w:rsidR="00B6568E" w:rsidRDefault="00000000">
      <w:pPr>
        <w:pStyle w:val="msolistparagraph0"/>
        <w:spacing w:beforeAutospacing="1" w:after="0" w:afterAutospacing="1" w:line="240" w:lineRule="auto"/>
        <w:ind w:left="0"/>
        <w:jc w:val="both"/>
        <w:rPr>
          <w:rFonts w:ascii="Times New Roman" w:hAnsi="Times New Roman" w:hint="default"/>
          <w:sz w:val="24"/>
          <w:szCs w:val="24"/>
          <w:lang w:val="en-IN" w:eastAsia="en-US"/>
        </w:rPr>
      </w:pPr>
      <w:r>
        <w:rPr>
          <w:rFonts w:ascii="Times New Roman" w:hAnsi="Times New Roman" w:hint="default"/>
          <w:sz w:val="24"/>
          <w:szCs w:val="24"/>
          <w:lang w:val="en-IN" w:eastAsia="en-US"/>
        </w:rPr>
        <w:t>and text-to-image generators have been used during writing or editing of this manuscript.</w:t>
      </w:r>
    </w:p>
    <w:p w14:paraId="213A4540" w14:textId="77777777" w:rsidR="00B6568E" w:rsidRDefault="00B6568E">
      <w:pPr>
        <w:pStyle w:val="ListParagraph"/>
        <w:spacing w:before="240" w:line="360" w:lineRule="auto"/>
        <w:ind w:left="0"/>
        <w:jc w:val="both"/>
        <w:rPr>
          <w:rFonts w:ascii="Times New Roman" w:hAnsi="Times New Roman" w:cs="Times New Roman"/>
          <w:b/>
          <w:color w:val="000000" w:themeColor="text1"/>
          <w:sz w:val="24"/>
          <w:szCs w:val="24"/>
        </w:rPr>
      </w:pPr>
    </w:p>
    <w:p w14:paraId="537F5D00" w14:textId="77777777" w:rsidR="00B6568E" w:rsidRDefault="00000000">
      <w:pPr>
        <w:pStyle w:val="ListParagraph"/>
        <w:spacing w:before="240" w:line="360" w:lineRule="auto"/>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p>
    <w:p w14:paraId="581F9E0B"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Abid, M., </w:t>
      </w:r>
      <w:proofErr w:type="spellStart"/>
      <w:r>
        <w:rPr>
          <w:rFonts w:ascii="Times New Roman" w:eastAsia="Calibri" w:hAnsi="Times New Roman" w:cs="Times New Roman"/>
          <w:sz w:val="24"/>
          <w:szCs w:val="24"/>
        </w:rPr>
        <w:t>Scheffran</w:t>
      </w:r>
      <w:proofErr w:type="spellEnd"/>
      <w:r>
        <w:rPr>
          <w:rFonts w:ascii="Times New Roman" w:eastAsia="Calibri" w:hAnsi="Times New Roman" w:cs="Times New Roman"/>
          <w:sz w:val="24"/>
          <w:szCs w:val="24"/>
        </w:rPr>
        <w:t xml:space="preserve">, J., Schneider, U. A., &amp; Ashfaq, M. J. E. S. D. (2015). Farmers' perceptions of and adaptation strategies to climate change and their determinants: the case of Punjab province, Pakistan. </w:t>
      </w:r>
      <w:r>
        <w:rPr>
          <w:rFonts w:ascii="Times New Roman" w:eastAsia="Calibri" w:hAnsi="Times New Roman" w:cs="Times New Roman"/>
          <w:i/>
          <w:iCs/>
          <w:sz w:val="24"/>
          <w:szCs w:val="24"/>
        </w:rPr>
        <w:t>Earth System Dynamics</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6</w:t>
      </w:r>
      <w:r>
        <w:rPr>
          <w:rFonts w:ascii="Times New Roman" w:eastAsia="Calibri" w:hAnsi="Times New Roman" w:cs="Times New Roman"/>
          <w:sz w:val="24"/>
          <w:szCs w:val="24"/>
        </w:rPr>
        <w:t>(1), 225-243.</w:t>
      </w:r>
      <w:r>
        <w:rPr>
          <w:rFonts w:ascii="Open Sans" w:eastAsia="Calibri" w:hAnsi="Open Sans" w:cs="Open Sans"/>
          <w:color w:val="464646"/>
          <w:sz w:val="18"/>
          <w:szCs w:val="18"/>
          <w:shd w:val="clear" w:color="auto" w:fill="FFFFFF"/>
        </w:rPr>
        <w:t xml:space="preserve"> </w:t>
      </w:r>
      <w:hyperlink r:id="rId14" w:history="1">
        <w:r>
          <w:rPr>
            <w:rStyle w:val="Hyperlink"/>
            <w:rFonts w:ascii="Times New Roman" w:eastAsia="Calibri" w:hAnsi="Times New Roman" w:cs="Times New Roman"/>
            <w:color w:val="0000FF"/>
            <w:sz w:val="24"/>
            <w:szCs w:val="24"/>
          </w:rPr>
          <w:t>https://doi.org/10.5194/esd-6-225-2015</w:t>
        </w:r>
      </w:hyperlink>
    </w:p>
    <w:p w14:paraId="4FFEEC0E"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Adger, W. N., Huq, S., Brown, K., Conway, D., &amp; Hulme, M. (2003). Adaptation to climate change in the developing world. </w:t>
      </w:r>
      <w:r>
        <w:rPr>
          <w:rFonts w:ascii="Times New Roman" w:eastAsia="Calibri" w:hAnsi="Times New Roman" w:cs="Times New Roman"/>
          <w:i/>
          <w:iCs/>
          <w:sz w:val="24"/>
          <w:szCs w:val="24"/>
        </w:rPr>
        <w:t>Progress in development studies</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3</w:t>
      </w:r>
      <w:r>
        <w:rPr>
          <w:rFonts w:ascii="Times New Roman" w:eastAsia="Calibri" w:hAnsi="Times New Roman" w:cs="Times New Roman"/>
          <w:sz w:val="24"/>
          <w:szCs w:val="24"/>
        </w:rPr>
        <w:t>(3), 179-195.</w:t>
      </w:r>
      <w:r>
        <w:rPr>
          <w:rFonts w:ascii="Calibri" w:eastAsia="Times New Roman" w:hAnsi="Calibri" w:cs="Times New Roman" w:hint="eastAsia"/>
        </w:rPr>
        <w:t xml:space="preserve"> </w:t>
      </w:r>
      <w:hyperlink r:id="rId15" w:history="1">
        <w:r>
          <w:rPr>
            <w:rStyle w:val="Hyperlink"/>
            <w:rFonts w:ascii="Times New Roman" w:eastAsia="Calibri" w:hAnsi="Times New Roman" w:cs="Times New Roman"/>
            <w:color w:val="0000FF"/>
            <w:sz w:val="24"/>
            <w:szCs w:val="24"/>
          </w:rPr>
          <w:t>https://doi.org/10.1191/1464993403ps060oa</w:t>
        </w:r>
      </w:hyperlink>
    </w:p>
    <w:p w14:paraId="01B2A9AF"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Adger, W. N., Huq, S., Brown, K., Conway, D., &amp; Hulme, M. (2003). Adaptation to climate change in the developing world. </w:t>
      </w:r>
      <w:r>
        <w:rPr>
          <w:rFonts w:ascii="Times New Roman" w:eastAsia="Calibri" w:hAnsi="Times New Roman" w:cs="Times New Roman"/>
          <w:i/>
          <w:iCs/>
          <w:sz w:val="24"/>
          <w:szCs w:val="24"/>
        </w:rPr>
        <w:t>Progress in development studies</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3</w:t>
      </w:r>
      <w:r>
        <w:rPr>
          <w:rFonts w:ascii="Times New Roman" w:eastAsia="Calibri" w:hAnsi="Times New Roman" w:cs="Times New Roman"/>
          <w:sz w:val="24"/>
          <w:szCs w:val="24"/>
        </w:rPr>
        <w:t>(3), 179-195.</w:t>
      </w:r>
      <w:r>
        <w:rPr>
          <w:rFonts w:ascii="Calibri" w:eastAsia="Times New Roman" w:hAnsi="Calibri" w:cs="Times New Roman" w:hint="eastAsia"/>
        </w:rPr>
        <w:t xml:space="preserve"> </w:t>
      </w:r>
      <w:hyperlink r:id="rId16" w:history="1">
        <w:r>
          <w:rPr>
            <w:rStyle w:val="Hyperlink"/>
            <w:rFonts w:ascii="Times New Roman" w:eastAsia="Calibri" w:hAnsi="Times New Roman" w:cs="Times New Roman"/>
            <w:color w:val="0000FF"/>
            <w:sz w:val="24"/>
            <w:szCs w:val="24"/>
          </w:rPr>
          <w:t>https://doi.org/10.1191/1464993403ps060oa</w:t>
        </w:r>
      </w:hyperlink>
    </w:p>
    <w:p w14:paraId="3E2454D3"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bookmarkStart w:id="5" w:name="_Hlk179538594"/>
      <w:bookmarkEnd w:id="5"/>
      <w:r>
        <w:rPr>
          <w:rFonts w:ascii="Times New Roman" w:eastAsia="Calibri" w:hAnsi="Times New Roman" w:cs="Times New Roman"/>
          <w:sz w:val="24"/>
          <w:szCs w:val="24"/>
        </w:rPr>
        <w:t xml:space="preserve">Alam, G. M., Alam, K., &amp; Mushtaq, S. (2017). Climate change perceptions and local adaptation strategies of hazard-prone rural households in Bangladesh. </w:t>
      </w:r>
      <w:r>
        <w:rPr>
          <w:rFonts w:ascii="Times New Roman" w:eastAsia="Calibri" w:hAnsi="Times New Roman" w:cs="Times New Roman"/>
          <w:i/>
          <w:iCs/>
          <w:sz w:val="24"/>
          <w:szCs w:val="24"/>
        </w:rPr>
        <w:t>Climate risk management</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17</w:t>
      </w:r>
      <w:r>
        <w:rPr>
          <w:rFonts w:ascii="Times New Roman" w:eastAsia="Calibri" w:hAnsi="Times New Roman" w:cs="Times New Roman"/>
          <w:sz w:val="24"/>
          <w:szCs w:val="24"/>
        </w:rPr>
        <w:t xml:space="preserve">, 52-63. </w:t>
      </w:r>
      <w:hyperlink r:id="rId17" w:history="1">
        <w:r>
          <w:rPr>
            <w:rStyle w:val="Hyperlink"/>
            <w:rFonts w:ascii="Times New Roman" w:eastAsia="Calibri" w:hAnsi="Times New Roman" w:cs="Times New Roman"/>
            <w:color w:val="0000FF"/>
            <w:sz w:val="24"/>
            <w:szCs w:val="24"/>
          </w:rPr>
          <w:t>https://doi.org/10.1016/j.crm.2017.06.006</w:t>
        </w:r>
      </w:hyperlink>
    </w:p>
    <w:p w14:paraId="12D6E99D" w14:textId="77777777" w:rsidR="00B6568E" w:rsidRDefault="00000000">
      <w:pPr>
        <w:numPr>
          <w:ilvl w:val="0"/>
          <w:numId w:val="4"/>
        </w:numPr>
        <w:tabs>
          <w:tab w:val="left" w:pos="720"/>
        </w:tabs>
        <w:spacing w:beforeAutospacing="1" w:after="0" w:afterAutospacing="1" w:line="271" w:lineRule="auto"/>
        <w:rPr>
          <w:rFonts w:ascii="Times New Roman" w:eastAsia="Times New Roman" w:hAnsi="Times New Roman" w:cs="Times New Roman"/>
          <w:sz w:val="24"/>
          <w:szCs w:val="24"/>
        </w:rPr>
      </w:pPr>
      <w:bookmarkStart w:id="6" w:name="_Hlk179538659"/>
      <w:bookmarkEnd w:id="6"/>
      <w:r>
        <w:rPr>
          <w:rFonts w:ascii="Times New Roman" w:eastAsia="Times New Roman" w:hAnsi="Times New Roman" w:cs="Times New Roman"/>
          <w:sz w:val="24"/>
          <w:szCs w:val="24"/>
          <w:lang w:bidi="ar"/>
        </w:rPr>
        <w:t xml:space="preserve">Altieri, M. A., Nicholls, C. I., Henao, A., &amp; Lana, M. A. (2015). Agroecology and the design of climate change-resilient farming systems. </w:t>
      </w:r>
      <w:r>
        <w:rPr>
          <w:rFonts w:ascii="Times New Roman" w:eastAsia="Times New Roman" w:hAnsi="Times New Roman" w:cs="Times New Roman"/>
          <w:i/>
          <w:iCs/>
          <w:sz w:val="24"/>
          <w:szCs w:val="24"/>
          <w:lang w:bidi="ar"/>
        </w:rPr>
        <w:t>Agronomy for Sustainable Development</w:t>
      </w:r>
      <w:r>
        <w:rPr>
          <w:rFonts w:ascii="Times New Roman" w:eastAsia="Times New Roman" w:hAnsi="Times New Roman" w:cs="Times New Roman"/>
          <w:sz w:val="24"/>
          <w:szCs w:val="24"/>
          <w:lang w:bidi="ar"/>
        </w:rPr>
        <w:t>, 35(3), 869–890</w:t>
      </w:r>
      <w:r>
        <w:rPr>
          <w:rFonts w:ascii="Times New Roman" w:eastAsia="Times New Roman" w:hAnsi="Times New Roman" w:cs="Times New Roman"/>
          <w:color w:val="0000FF"/>
          <w:sz w:val="24"/>
          <w:szCs w:val="24"/>
          <w:lang w:bidi="ar"/>
        </w:rPr>
        <w:t>.</w:t>
      </w:r>
      <w:r>
        <w:rPr>
          <w:rFonts w:ascii="Helvetica" w:eastAsia="Helvetica" w:hAnsi="Helvetica" w:cs="Helvetica"/>
          <w:color w:val="0000FF"/>
          <w:sz w:val="19"/>
          <w:szCs w:val="19"/>
          <w:shd w:val="clear" w:color="auto" w:fill="FFFFFF"/>
        </w:rPr>
        <w:t>https://doi.org/10.1007/s13593-015-0285-2</w:t>
      </w:r>
    </w:p>
    <w:p w14:paraId="59CCF70A"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bookmarkStart w:id="7" w:name="_Hlk179538927"/>
      <w:bookmarkEnd w:id="7"/>
      <w:r>
        <w:rPr>
          <w:rFonts w:ascii="Times New Roman" w:eastAsia="Calibri" w:hAnsi="Times New Roman" w:cs="Times New Roman"/>
          <w:sz w:val="24"/>
          <w:szCs w:val="24"/>
        </w:rPr>
        <w:t xml:space="preserve">Anita, W., Dominic, M., &amp; Neil, A. (2010). </w:t>
      </w:r>
      <w:r>
        <w:rPr>
          <w:rFonts w:ascii="Times New Roman" w:eastAsia="Calibri" w:hAnsi="Times New Roman" w:cs="Times New Roman"/>
          <w:i/>
          <w:iCs/>
          <w:sz w:val="24"/>
          <w:szCs w:val="24"/>
        </w:rPr>
        <w:t>Climate change and agriculture impacts, adaptation and Mitigation: Impacts, adaptation and Mitigation</w:t>
      </w:r>
      <w:r>
        <w:rPr>
          <w:rFonts w:ascii="Times New Roman" w:eastAsia="Calibri" w:hAnsi="Times New Roman" w:cs="Times New Roman"/>
          <w:sz w:val="24"/>
          <w:szCs w:val="24"/>
        </w:rPr>
        <w:t>. OECD publishing.</w:t>
      </w:r>
    </w:p>
    <w:p w14:paraId="272E0DA8" w14:textId="77777777" w:rsidR="00B6568E" w:rsidRDefault="00000000">
      <w:pPr>
        <w:numPr>
          <w:ilvl w:val="0"/>
          <w:numId w:val="4"/>
        </w:numPr>
        <w:tabs>
          <w:tab w:val="left" w:pos="720"/>
        </w:tabs>
        <w:spacing w:beforeAutospacing="1" w:after="0" w:afterAutospacing="1" w:line="271" w:lineRule="auto"/>
        <w:rPr>
          <w:rFonts w:ascii="Times New Roman" w:eastAsia="Times New Roman" w:hAnsi="Times New Roman" w:cs="Times New Roman"/>
          <w:sz w:val="24"/>
          <w:szCs w:val="24"/>
        </w:rPr>
      </w:pPr>
      <w:bookmarkStart w:id="8" w:name="_Hlk179539138"/>
      <w:bookmarkEnd w:id="8"/>
      <w:r>
        <w:rPr>
          <w:rFonts w:ascii="Times New Roman" w:eastAsia="Times New Roman" w:hAnsi="Times New Roman" w:cs="Times New Roman"/>
          <w:sz w:val="24"/>
          <w:szCs w:val="24"/>
          <w:lang w:bidi="ar"/>
        </w:rPr>
        <w:t xml:space="preserve">Arbuckle, J. G., Morton, L. W., &amp; Hobbs, J. (2015). Understanding farmer perspectives on climate change adaptation and mitigation. </w:t>
      </w:r>
      <w:r>
        <w:rPr>
          <w:rFonts w:ascii="Times New Roman" w:eastAsia="Times New Roman" w:hAnsi="Times New Roman" w:cs="Times New Roman"/>
          <w:i/>
          <w:iCs/>
          <w:sz w:val="24"/>
          <w:szCs w:val="24"/>
          <w:lang w:bidi="ar"/>
        </w:rPr>
        <w:t>Environment and Behavior</w:t>
      </w:r>
      <w:r>
        <w:rPr>
          <w:rFonts w:ascii="Times New Roman" w:eastAsia="Times New Roman" w:hAnsi="Times New Roman" w:cs="Times New Roman"/>
          <w:sz w:val="24"/>
          <w:szCs w:val="24"/>
          <w:lang w:bidi="ar"/>
        </w:rPr>
        <w:t>, 47(2), 205–234</w:t>
      </w:r>
      <w:r>
        <w:rPr>
          <w:rFonts w:ascii="Times New Roman" w:eastAsia="Times New Roman" w:hAnsi="Times New Roman" w:cs="Times New Roman"/>
          <w:color w:val="0000FF"/>
          <w:sz w:val="24"/>
          <w:szCs w:val="24"/>
          <w:lang w:bidi="ar"/>
        </w:rPr>
        <w:t>.</w:t>
      </w:r>
      <w:r>
        <w:rPr>
          <w:rFonts w:ascii="Times New Roman" w:eastAsia="Times New Roman" w:hAnsi="Times New Roman"/>
          <w:color w:val="0000FF"/>
          <w:sz w:val="24"/>
          <w:szCs w:val="24"/>
        </w:rPr>
        <w:t>https://doi.org/10.1177/0013916513503832</w:t>
      </w:r>
    </w:p>
    <w:p w14:paraId="2CCEA366"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bookmarkStart w:id="9" w:name="_Hlk179539248"/>
      <w:bookmarkEnd w:id="9"/>
      <w:r>
        <w:rPr>
          <w:rFonts w:ascii="Times New Roman" w:eastAsia="Calibri" w:hAnsi="Times New Roman" w:cs="Times New Roman"/>
          <w:sz w:val="24"/>
          <w:szCs w:val="24"/>
        </w:rPr>
        <w:t>Asrat, P. (2018). Farmers’ perception of climate change and adaptation strategies in the Dabus watershed, North-West Ethiopia. Ecological Processes, 7</w:t>
      </w:r>
      <w:r>
        <w:rPr>
          <w:rFonts w:ascii="Calibri" w:eastAsia="Times New Roman" w:hAnsi="Calibri" w:cs="Times New Roman" w:hint="eastAsia"/>
        </w:rPr>
        <w:t xml:space="preserve"> </w:t>
      </w:r>
      <w:hyperlink r:id="rId18" w:history="1">
        <w:r>
          <w:rPr>
            <w:rStyle w:val="Hyperlink"/>
            <w:rFonts w:ascii="Times New Roman" w:eastAsia="Calibri" w:hAnsi="Times New Roman" w:cs="Times New Roman"/>
            <w:color w:val="0000FF"/>
            <w:sz w:val="24"/>
            <w:szCs w:val="24"/>
          </w:rPr>
          <w:t>https://doi.org/10.1186/s13717-018-0118-8</w:t>
        </w:r>
      </w:hyperlink>
    </w:p>
    <w:p w14:paraId="0E5F50D5"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Barnett, B. J., &amp; Mahul, O. (2007). Weather index insurance for agriculture and rural areas in lower-income countries. </w:t>
      </w:r>
      <w:r>
        <w:rPr>
          <w:rFonts w:ascii="Times New Roman" w:eastAsia="Calibri" w:hAnsi="Times New Roman" w:cs="Times New Roman"/>
          <w:i/>
          <w:iCs/>
          <w:sz w:val="24"/>
          <w:szCs w:val="24"/>
        </w:rPr>
        <w:t>American Journal of Agricultural Economics</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89</w:t>
      </w:r>
      <w:r>
        <w:rPr>
          <w:rFonts w:ascii="Times New Roman" w:eastAsia="Calibri" w:hAnsi="Times New Roman" w:cs="Times New Roman"/>
          <w:sz w:val="24"/>
          <w:szCs w:val="24"/>
        </w:rPr>
        <w:t xml:space="preserve">(5), 1241-1247. </w:t>
      </w:r>
      <w:hyperlink r:id="rId19" w:history="1">
        <w:r>
          <w:rPr>
            <w:rStyle w:val="Hyperlink"/>
            <w:rFonts w:ascii="Times New Roman" w:eastAsia="Calibri" w:hAnsi="Times New Roman" w:cs="Times New Roman"/>
            <w:color w:val="0000FF"/>
            <w:sz w:val="24"/>
            <w:szCs w:val="24"/>
          </w:rPr>
          <w:t>https://www.jstor.org/stable/30139468</w:t>
        </w:r>
      </w:hyperlink>
    </w:p>
    <w:p w14:paraId="79ACA782" w14:textId="77777777" w:rsidR="00B6568E" w:rsidRDefault="00000000">
      <w:pPr>
        <w:numPr>
          <w:ilvl w:val="0"/>
          <w:numId w:val="4"/>
        </w:numPr>
        <w:tabs>
          <w:tab w:val="left" w:pos="720"/>
        </w:tabs>
        <w:spacing w:beforeAutospacing="1" w:after="0" w:afterAutospacing="1"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bidi="ar"/>
        </w:rPr>
        <w:t xml:space="preserve">Below, T. B., Mutabazi, K. D., Kirschke, D., Franke, C., Sieber, S., Siebert, R., &amp; Tscherning, K. (2012). Can farmers’ adaptation to climate change be explained by socio-economic household-level variables? </w:t>
      </w:r>
      <w:r>
        <w:rPr>
          <w:rFonts w:ascii="Times New Roman" w:eastAsia="Times New Roman" w:hAnsi="Times New Roman" w:cs="Times New Roman"/>
          <w:i/>
          <w:iCs/>
          <w:sz w:val="24"/>
          <w:szCs w:val="24"/>
          <w:lang w:bidi="ar"/>
        </w:rPr>
        <w:t>Global Environmental Change</w:t>
      </w:r>
      <w:r>
        <w:rPr>
          <w:rFonts w:ascii="Times New Roman" w:eastAsia="Times New Roman" w:hAnsi="Times New Roman" w:cs="Times New Roman"/>
          <w:sz w:val="24"/>
          <w:szCs w:val="24"/>
          <w:lang w:bidi="ar"/>
        </w:rPr>
        <w:t>, 22(1), 223–235.</w:t>
      </w:r>
      <w:r>
        <w:rPr>
          <w:rFonts w:ascii="Times New Roman" w:eastAsia="Times New Roman" w:hAnsi="Times New Roman"/>
          <w:color w:val="0000FF"/>
          <w:sz w:val="24"/>
          <w:szCs w:val="24"/>
        </w:rPr>
        <w:t>https://doi.org/10.1016/j.gloenvcha.2011.11.012</w:t>
      </w:r>
    </w:p>
    <w:p w14:paraId="6FA325E7" w14:textId="77777777" w:rsidR="00B6568E" w:rsidRDefault="00000000">
      <w:pPr>
        <w:numPr>
          <w:ilvl w:val="0"/>
          <w:numId w:val="4"/>
        </w:numPr>
        <w:tabs>
          <w:tab w:val="left" w:pos="720"/>
        </w:tabs>
        <w:spacing w:after="160" w:line="271" w:lineRule="auto"/>
        <w:contextualSpacing/>
        <w:jc w:val="both"/>
        <w:rPr>
          <w:rFonts w:ascii="Times New Roman" w:eastAsia="Times New Roman" w:hAnsi="Times New Roman" w:cs="Times New Roman"/>
          <w:color w:val="1F1F1F"/>
          <w:sz w:val="24"/>
          <w:szCs w:val="24"/>
        </w:rPr>
      </w:pPr>
      <w:bookmarkStart w:id="10" w:name="_Hlk179539576"/>
      <w:bookmarkEnd w:id="10"/>
      <w:r>
        <w:rPr>
          <w:rFonts w:ascii="Times New Roman" w:eastAsia="Times New Roman" w:hAnsi="Times New Roman" w:cs="Times New Roman"/>
          <w:color w:val="1F1F1F"/>
          <w:sz w:val="24"/>
          <w:szCs w:val="24"/>
        </w:rPr>
        <w:t>Bhat, M. S., &amp; Rather, J. A. (2015). Core-Winter Temperature in Kashmir Valley (1950-2010) as an Indicator of Climatic Change.</w:t>
      </w:r>
    </w:p>
    <w:p w14:paraId="60F1FC89" w14:textId="77777777" w:rsidR="00B6568E" w:rsidRDefault="00000000">
      <w:pPr>
        <w:numPr>
          <w:ilvl w:val="0"/>
          <w:numId w:val="4"/>
        </w:numPr>
        <w:tabs>
          <w:tab w:val="left" w:pos="720"/>
        </w:tabs>
        <w:spacing w:after="160" w:line="271" w:lineRule="auto"/>
        <w:contextualSpacing/>
        <w:jc w:val="both"/>
        <w:rPr>
          <w:rFonts w:ascii="Times New Roman" w:eastAsia="Times New Roman" w:hAnsi="Times New Roman" w:cs="Times New Roman"/>
          <w:color w:val="1F1F1F"/>
          <w:sz w:val="24"/>
          <w:szCs w:val="24"/>
        </w:rPr>
      </w:pPr>
      <w:bookmarkStart w:id="11" w:name="_Hlk179539869"/>
      <w:bookmarkEnd w:id="11"/>
      <w:r>
        <w:rPr>
          <w:rFonts w:ascii="Times New Roman" w:eastAsia="Times New Roman" w:hAnsi="Times New Roman" w:cs="Times New Roman"/>
          <w:color w:val="1F1F1F"/>
          <w:sz w:val="24"/>
          <w:szCs w:val="24"/>
        </w:rPr>
        <w:t xml:space="preserve">Bhat, M. S., Mir, S., </w:t>
      </w:r>
      <w:proofErr w:type="spellStart"/>
      <w:r>
        <w:rPr>
          <w:rFonts w:ascii="Times New Roman" w:eastAsia="Times New Roman" w:hAnsi="Times New Roman" w:cs="Times New Roman"/>
          <w:color w:val="1F1F1F"/>
          <w:sz w:val="24"/>
          <w:szCs w:val="24"/>
        </w:rPr>
        <w:t>Parrey</w:t>
      </w:r>
      <w:proofErr w:type="spellEnd"/>
      <w:r>
        <w:rPr>
          <w:rFonts w:ascii="Times New Roman" w:eastAsia="Times New Roman" w:hAnsi="Times New Roman" w:cs="Times New Roman"/>
          <w:color w:val="1F1F1F"/>
          <w:sz w:val="24"/>
          <w:szCs w:val="24"/>
        </w:rPr>
        <w:t xml:space="preserve">, H. A., </w:t>
      </w:r>
      <w:proofErr w:type="spellStart"/>
      <w:r>
        <w:rPr>
          <w:rFonts w:ascii="Times New Roman" w:eastAsia="Times New Roman" w:hAnsi="Times New Roman" w:cs="Times New Roman"/>
          <w:color w:val="1F1F1F"/>
          <w:sz w:val="24"/>
          <w:szCs w:val="24"/>
        </w:rPr>
        <w:t>Thoker</w:t>
      </w:r>
      <w:proofErr w:type="spellEnd"/>
      <w:r>
        <w:rPr>
          <w:rFonts w:ascii="Times New Roman" w:eastAsia="Times New Roman" w:hAnsi="Times New Roman" w:cs="Times New Roman"/>
          <w:color w:val="1F1F1F"/>
          <w:sz w:val="24"/>
          <w:szCs w:val="24"/>
        </w:rPr>
        <w:t>, I. A., &amp; Shah, S. A. (2023). Climate change, hailstorm incidence, and livelihood security: a perspective from Kashmir valley India. Natural Hazards, 1–25.</w:t>
      </w:r>
      <w:r>
        <w:rPr>
          <w:rFonts w:ascii="Times New Roman" w:eastAsia="Times New Roman" w:hAnsi="Times New Roman" w:cs="Times New Roman"/>
          <w:color w:val="0000FF"/>
          <w:sz w:val="24"/>
          <w:szCs w:val="24"/>
        </w:rPr>
        <w:t xml:space="preserve"> </w:t>
      </w:r>
      <w:r>
        <w:rPr>
          <w:rFonts w:ascii="Calibri" w:eastAsia="Times New Roman" w:hAnsi="Calibri" w:cs="Times New Roman"/>
          <w:color w:val="0000FF"/>
        </w:rPr>
        <w:t>https://doi.org/10.1007/s11069-023-06307-0</w:t>
      </w:r>
    </w:p>
    <w:p w14:paraId="3E720A15"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bookmarkStart w:id="12" w:name="_Hlk179540028"/>
      <w:bookmarkEnd w:id="12"/>
      <w:r>
        <w:rPr>
          <w:rFonts w:ascii="Times New Roman" w:eastAsia="Calibri" w:hAnsi="Times New Roman" w:cs="Times New Roman"/>
          <w:sz w:val="24"/>
          <w:szCs w:val="24"/>
        </w:rPr>
        <w:t xml:space="preserve">Bhat, M.S; &amp; </w:t>
      </w:r>
      <w:proofErr w:type="gramStart"/>
      <w:r>
        <w:rPr>
          <w:rFonts w:ascii="Times New Roman" w:eastAsia="Calibri" w:hAnsi="Times New Roman" w:cs="Times New Roman"/>
          <w:sz w:val="24"/>
          <w:szCs w:val="24"/>
        </w:rPr>
        <w:t>Rather</w:t>
      </w:r>
      <w:proofErr w:type="gramEnd"/>
      <w:r>
        <w:rPr>
          <w:rFonts w:ascii="Times New Roman" w:eastAsia="Calibri" w:hAnsi="Times New Roman" w:cs="Times New Roman"/>
          <w:sz w:val="24"/>
          <w:szCs w:val="24"/>
        </w:rPr>
        <w:t>, J.A. (2018). Impact Of Climate Change on Spring Season in The                       North-Western Himalayas: A Study of Kashmir Valley, India (1901-2000). International journal of advance 1.</w:t>
      </w:r>
      <w:r>
        <w:rPr>
          <w:rFonts w:ascii="Times New Roman" w:eastAsia="Calibri" w:hAnsi="Times New Roman" w:cs="Times New Roman"/>
          <w:sz w:val="24"/>
          <w:szCs w:val="24"/>
        </w:rPr>
        <w:tab/>
        <w:t>research in science and engineering,7(04).</w:t>
      </w:r>
    </w:p>
    <w:p w14:paraId="37F99A33"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 xml:space="preserve">Bhat, M. S., Mir, S., </w:t>
      </w:r>
      <w:proofErr w:type="spellStart"/>
      <w:r>
        <w:rPr>
          <w:rFonts w:ascii="Times New Roman" w:eastAsia="Calibri" w:hAnsi="Times New Roman" w:cs="Times New Roman"/>
          <w:sz w:val="24"/>
          <w:szCs w:val="24"/>
          <w:lang w:val="en-IN"/>
        </w:rPr>
        <w:t>Parrey</w:t>
      </w:r>
      <w:proofErr w:type="spellEnd"/>
      <w:r>
        <w:rPr>
          <w:rFonts w:ascii="Times New Roman" w:eastAsia="Calibri" w:hAnsi="Times New Roman" w:cs="Times New Roman"/>
          <w:sz w:val="24"/>
          <w:szCs w:val="24"/>
          <w:lang w:val="en-IN"/>
        </w:rPr>
        <w:t xml:space="preserve">, H. A., </w:t>
      </w:r>
      <w:proofErr w:type="spellStart"/>
      <w:r>
        <w:rPr>
          <w:rFonts w:ascii="Times New Roman" w:eastAsia="Calibri" w:hAnsi="Times New Roman" w:cs="Times New Roman"/>
          <w:sz w:val="24"/>
          <w:szCs w:val="24"/>
          <w:lang w:val="en-IN"/>
        </w:rPr>
        <w:t>Thoker</w:t>
      </w:r>
      <w:proofErr w:type="spellEnd"/>
      <w:r>
        <w:rPr>
          <w:rFonts w:ascii="Times New Roman" w:eastAsia="Calibri" w:hAnsi="Times New Roman" w:cs="Times New Roman"/>
          <w:sz w:val="24"/>
          <w:szCs w:val="24"/>
          <w:lang w:val="en-IN"/>
        </w:rPr>
        <w:t xml:space="preserve">, I. A., </w:t>
      </w:r>
      <w:r>
        <w:rPr>
          <w:rFonts w:ascii="Times New Roman" w:eastAsia="Calibri" w:hAnsi="Times New Roman" w:cs="Times New Roman"/>
          <w:sz w:val="24"/>
          <w:szCs w:val="24"/>
        </w:rPr>
        <w:t>and</w:t>
      </w:r>
      <w:r>
        <w:rPr>
          <w:rFonts w:ascii="Times New Roman" w:eastAsia="Calibri" w:hAnsi="Times New Roman" w:cs="Times New Roman"/>
          <w:sz w:val="24"/>
          <w:szCs w:val="24"/>
          <w:lang w:val="en-IN"/>
        </w:rPr>
        <w:t xml:space="preserve"> Shah, S. A. (2023). Climate change, hailstorm incidence, and livelihood security: a perspective from Kashmir valley India. Natural Hazards, 1–25. https://doi.org/10.1007/s11069-023-06307-0</w:t>
      </w:r>
    </w:p>
    <w:p w14:paraId="7D9D76CF" w14:textId="77777777" w:rsidR="00B6568E" w:rsidRDefault="00B6568E">
      <w:pPr>
        <w:tabs>
          <w:tab w:val="left" w:pos="720"/>
        </w:tabs>
        <w:spacing w:after="160" w:line="271" w:lineRule="auto"/>
        <w:ind w:left="360"/>
        <w:contextualSpacing/>
        <w:jc w:val="both"/>
        <w:rPr>
          <w:rFonts w:ascii="Times New Roman" w:eastAsia="Calibri" w:hAnsi="Times New Roman" w:cs="Times New Roman"/>
          <w:sz w:val="24"/>
          <w:szCs w:val="24"/>
        </w:rPr>
      </w:pPr>
    </w:p>
    <w:p w14:paraId="1CE3CCB3" w14:textId="77777777" w:rsidR="00B6568E" w:rsidRDefault="00000000">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Bhatta, L. D., </w:t>
      </w:r>
      <w:proofErr w:type="spellStart"/>
      <w:r>
        <w:rPr>
          <w:rFonts w:ascii="Times New Roman" w:eastAsia="Calibri" w:hAnsi="Times New Roman" w:cs="Times New Roman"/>
          <w:color w:val="000000"/>
          <w:sz w:val="24"/>
          <w:szCs w:val="24"/>
        </w:rPr>
        <w:t>Udas</w:t>
      </w:r>
      <w:proofErr w:type="spellEnd"/>
      <w:r>
        <w:rPr>
          <w:rFonts w:ascii="Times New Roman" w:eastAsia="Calibri" w:hAnsi="Times New Roman" w:cs="Times New Roman"/>
          <w:color w:val="000000"/>
          <w:sz w:val="24"/>
          <w:szCs w:val="24"/>
        </w:rPr>
        <w:t xml:space="preserve">, E., Khan, B., Ajmal, A., Amir, R., &amp; </w:t>
      </w:r>
      <w:proofErr w:type="spellStart"/>
      <w:r>
        <w:rPr>
          <w:rFonts w:ascii="Times New Roman" w:eastAsia="Calibri" w:hAnsi="Times New Roman" w:cs="Times New Roman"/>
          <w:color w:val="000000"/>
          <w:sz w:val="24"/>
          <w:szCs w:val="24"/>
        </w:rPr>
        <w:t>Ranabhat</w:t>
      </w:r>
      <w:proofErr w:type="spellEnd"/>
      <w:r>
        <w:rPr>
          <w:rFonts w:ascii="Times New Roman" w:eastAsia="Calibri" w:hAnsi="Times New Roman" w:cs="Times New Roman"/>
          <w:color w:val="000000"/>
          <w:sz w:val="24"/>
          <w:szCs w:val="24"/>
        </w:rPr>
        <w:t xml:space="preserve">, S. (2019). Local </w:t>
      </w:r>
      <w:proofErr w:type="gramStart"/>
      <w:r>
        <w:rPr>
          <w:rFonts w:ascii="Times New Roman" w:eastAsia="Calibri" w:hAnsi="Times New Roman" w:cs="Times New Roman"/>
          <w:color w:val="000000"/>
          <w:sz w:val="24"/>
          <w:szCs w:val="24"/>
        </w:rPr>
        <w:t>knowledge based</w:t>
      </w:r>
      <w:proofErr w:type="gramEnd"/>
      <w:r>
        <w:rPr>
          <w:rFonts w:ascii="Times New Roman" w:eastAsia="Calibri" w:hAnsi="Times New Roman" w:cs="Times New Roman"/>
          <w:color w:val="000000"/>
          <w:sz w:val="24"/>
          <w:szCs w:val="24"/>
        </w:rPr>
        <w:t xml:space="preserve"> perceptions on climate change and its impacts in the </w:t>
      </w:r>
      <w:proofErr w:type="spellStart"/>
      <w:r>
        <w:rPr>
          <w:rFonts w:ascii="Times New Roman" w:eastAsia="Calibri" w:hAnsi="Times New Roman" w:cs="Times New Roman"/>
          <w:color w:val="000000"/>
          <w:sz w:val="24"/>
          <w:szCs w:val="24"/>
        </w:rPr>
        <w:t>Rakaposhi</w:t>
      </w:r>
      <w:proofErr w:type="spellEnd"/>
      <w:r>
        <w:rPr>
          <w:rFonts w:ascii="Times New Roman" w:eastAsia="Calibri" w:hAnsi="Times New Roman" w:cs="Times New Roman"/>
          <w:color w:val="000000"/>
          <w:sz w:val="24"/>
          <w:szCs w:val="24"/>
        </w:rPr>
        <w:t xml:space="preserve"> valley of Gilgit-Baltistan, Pakistan. </w:t>
      </w:r>
      <w:r>
        <w:rPr>
          <w:rFonts w:ascii="Times New Roman" w:eastAsia="Calibri" w:hAnsi="Times New Roman" w:cs="Times New Roman"/>
          <w:i/>
          <w:color w:val="000000"/>
          <w:sz w:val="24"/>
          <w:szCs w:val="24"/>
        </w:rPr>
        <w:t>International Journal of Climate Change Strategies and Management</w:t>
      </w:r>
      <w:r>
        <w:rPr>
          <w:rFonts w:ascii="Times New Roman" w:eastAsia="Calibri" w:hAnsi="Times New Roman" w:cs="Times New Roman"/>
          <w:color w:val="000000"/>
          <w:sz w:val="24"/>
          <w:szCs w:val="24"/>
        </w:rPr>
        <w:t xml:space="preserve">. </w:t>
      </w:r>
    </w:p>
    <w:p w14:paraId="6A30BF46"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Bondori</w:t>
      </w:r>
      <w:proofErr w:type="spellEnd"/>
      <w:r>
        <w:rPr>
          <w:rFonts w:ascii="Times New Roman" w:eastAsia="Calibri" w:hAnsi="Times New Roman" w:cs="Times New Roman"/>
          <w:sz w:val="24"/>
          <w:szCs w:val="24"/>
        </w:rPr>
        <w:t xml:space="preserve">, A., Bagheri, A., </w:t>
      </w:r>
      <w:proofErr w:type="spellStart"/>
      <w:r>
        <w:rPr>
          <w:rFonts w:ascii="Times New Roman" w:eastAsia="Calibri" w:hAnsi="Times New Roman" w:cs="Times New Roman"/>
          <w:sz w:val="24"/>
          <w:szCs w:val="24"/>
        </w:rPr>
        <w:t>Sookhtanlou</w:t>
      </w:r>
      <w:proofErr w:type="spellEnd"/>
      <w:r>
        <w:rPr>
          <w:rFonts w:ascii="Times New Roman" w:eastAsia="Calibri" w:hAnsi="Times New Roman" w:cs="Times New Roman"/>
          <w:sz w:val="24"/>
          <w:szCs w:val="24"/>
        </w:rPr>
        <w:t xml:space="preserve">, M., &amp; Damalas, C. A. (2021). Modeling farmers’ intention for safe pesticide use: The role of risk perception and use of information sources. Environmental Science and Pollution Research, 28, 66677–66686. </w:t>
      </w:r>
      <w:hyperlink r:id="rId20" w:history="1">
        <w:r>
          <w:rPr>
            <w:rStyle w:val="Hyperlink"/>
            <w:rFonts w:ascii="Times New Roman" w:eastAsia="Calibri" w:hAnsi="Times New Roman" w:cs="Times New Roman"/>
            <w:color w:val="0000FF"/>
            <w:sz w:val="24"/>
            <w:szCs w:val="24"/>
          </w:rPr>
          <w:t>https://doi.org/10.1007/s11356-021-1526</w:t>
        </w:r>
      </w:hyperlink>
      <w:r>
        <w:rPr>
          <w:rFonts w:ascii="Times New Roman" w:eastAsia="Calibri" w:hAnsi="Times New Roman" w:cs="Times New Roman"/>
          <w:sz w:val="24"/>
          <w:szCs w:val="24"/>
        </w:rPr>
        <w:t xml:space="preserve"> </w:t>
      </w:r>
    </w:p>
    <w:p w14:paraId="6B26CEDF"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Bradshaw, B., Dolan, H., &amp; Smit, B. (2004). Farm-level adaptation to climatic variability and change: crop diversification in the Canadian prairies. </w:t>
      </w:r>
      <w:r>
        <w:rPr>
          <w:rFonts w:ascii="Times New Roman" w:eastAsia="Calibri" w:hAnsi="Times New Roman" w:cs="Times New Roman"/>
          <w:i/>
          <w:iCs/>
          <w:sz w:val="24"/>
          <w:szCs w:val="24"/>
        </w:rPr>
        <w:t>Climatic change</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67</w:t>
      </w:r>
      <w:r>
        <w:rPr>
          <w:rFonts w:ascii="Times New Roman" w:eastAsia="Calibri" w:hAnsi="Times New Roman" w:cs="Times New Roman"/>
          <w:sz w:val="24"/>
          <w:szCs w:val="24"/>
        </w:rPr>
        <w:t>(1), 119-141.</w:t>
      </w:r>
      <w:r>
        <w:rPr>
          <w:rFonts w:ascii="Merriweather Sans" w:eastAsia="Calibri" w:hAnsi="Merriweather Sans" w:cs="Times New Roman"/>
          <w:color w:val="222222"/>
          <w:shd w:val="clear" w:color="auto" w:fill="FFFFFF"/>
        </w:rPr>
        <w:t xml:space="preserve"> </w:t>
      </w:r>
      <w:hyperlink r:id="rId21" w:history="1">
        <w:r>
          <w:rPr>
            <w:rStyle w:val="Hyperlink"/>
            <w:rFonts w:ascii="Times New Roman" w:eastAsia="Calibri" w:hAnsi="Times New Roman" w:cs="Times New Roman"/>
            <w:color w:val="0000FF"/>
            <w:sz w:val="24"/>
            <w:szCs w:val="24"/>
          </w:rPr>
          <w:t>https://doi.org/10.1007/s10584-004-0710-z</w:t>
        </w:r>
      </w:hyperlink>
    </w:p>
    <w:p w14:paraId="4ADB372C"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Bryan, E., Deressa, T. T., </w:t>
      </w:r>
      <w:proofErr w:type="spellStart"/>
      <w:r>
        <w:rPr>
          <w:rFonts w:ascii="Times New Roman" w:eastAsia="Calibri" w:hAnsi="Times New Roman" w:cs="Times New Roman"/>
          <w:sz w:val="24"/>
          <w:szCs w:val="24"/>
        </w:rPr>
        <w:t>Gbetibouo</w:t>
      </w:r>
      <w:proofErr w:type="spellEnd"/>
      <w:r>
        <w:rPr>
          <w:rFonts w:ascii="Times New Roman" w:eastAsia="Calibri" w:hAnsi="Times New Roman" w:cs="Times New Roman"/>
          <w:sz w:val="24"/>
          <w:szCs w:val="24"/>
        </w:rPr>
        <w:t xml:space="preserve">, G. A., &amp; Ringler, C. (2009). Adaptation to climate change in Ethiopia and South Africa: options and constraints. </w:t>
      </w:r>
      <w:r>
        <w:rPr>
          <w:rFonts w:ascii="Times New Roman" w:eastAsia="Calibri" w:hAnsi="Times New Roman" w:cs="Times New Roman"/>
          <w:i/>
          <w:iCs/>
          <w:sz w:val="24"/>
          <w:szCs w:val="24"/>
        </w:rPr>
        <w:t>Environmental science &amp; policy</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12</w:t>
      </w:r>
      <w:r>
        <w:rPr>
          <w:rFonts w:ascii="Times New Roman" w:eastAsia="Calibri" w:hAnsi="Times New Roman" w:cs="Times New Roman"/>
          <w:sz w:val="24"/>
          <w:szCs w:val="24"/>
        </w:rPr>
        <w:t xml:space="preserve">(4), 413-426. </w:t>
      </w:r>
      <w:hyperlink r:id="rId22" w:history="1">
        <w:r>
          <w:rPr>
            <w:rStyle w:val="Hyperlink"/>
            <w:rFonts w:ascii="Times New Roman" w:eastAsia="Calibri" w:hAnsi="Times New Roman" w:cs="Times New Roman"/>
            <w:color w:val="0000FF"/>
            <w:sz w:val="24"/>
            <w:szCs w:val="24"/>
          </w:rPr>
          <w:t>https://doi.org/10.1016/j.envsci.2008.11.002</w:t>
        </w:r>
      </w:hyperlink>
    </w:p>
    <w:p w14:paraId="56E07E0E" w14:textId="77777777" w:rsidR="00B6568E" w:rsidRDefault="00000000">
      <w:pPr>
        <w:numPr>
          <w:ilvl w:val="0"/>
          <w:numId w:val="4"/>
        </w:numPr>
        <w:tabs>
          <w:tab w:val="left" w:pos="720"/>
        </w:tabs>
        <w:spacing w:beforeAutospacing="1" w:after="0" w:afterAutospacing="1" w:line="271" w:lineRule="auto"/>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lang w:bidi="ar"/>
        </w:rPr>
        <w:t xml:space="preserve">Bryan, E., Deressa, T. T., </w:t>
      </w:r>
      <w:proofErr w:type="spellStart"/>
      <w:r>
        <w:rPr>
          <w:rFonts w:ascii="Times New Roman" w:eastAsia="Times New Roman" w:hAnsi="Times New Roman" w:cs="Times New Roman"/>
          <w:sz w:val="24"/>
          <w:szCs w:val="24"/>
          <w:lang w:bidi="ar"/>
        </w:rPr>
        <w:t>Gbetibouo</w:t>
      </w:r>
      <w:proofErr w:type="spellEnd"/>
      <w:r>
        <w:rPr>
          <w:rFonts w:ascii="Times New Roman" w:eastAsia="Times New Roman" w:hAnsi="Times New Roman" w:cs="Times New Roman"/>
          <w:sz w:val="24"/>
          <w:szCs w:val="24"/>
          <w:lang w:bidi="ar"/>
        </w:rPr>
        <w:t xml:space="preserve">, G. A., &amp; Ringler, C. (2009). Adaptation to climate change in Ethiopia and South Africa: Options and constraints. </w:t>
      </w:r>
      <w:r>
        <w:rPr>
          <w:rFonts w:ascii="Times New Roman" w:eastAsia="Times New Roman" w:hAnsi="Times New Roman" w:cs="Times New Roman"/>
          <w:i/>
          <w:iCs/>
          <w:sz w:val="24"/>
          <w:szCs w:val="24"/>
          <w:lang w:bidi="ar"/>
        </w:rPr>
        <w:t>Environmental Science &amp; Policy</w:t>
      </w:r>
      <w:r>
        <w:rPr>
          <w:rFonts w:ascii="Times New Roman" w:eastAsia="Times New Roman" w:hAnsi="Times New Roman" w:cs="Times New Roman"/>
          <w:sz w:val="24"/>
          <w:szCs w:val="24"/>
          <w:lang w:bidi="ar"/>
        </w:rPr>
        <w:t>, 12(4), 413–426.</w:t>
      </w:r>
      <w:r>
        <w:rPr>
          <w:rFonts w:ascii="Times New Roman" w:eastAsia="Times New Roman" w:hAnsi="Times New Roman"/>
          <w:color w:val="0000FF"/>
          <w:sz w:val="24"/>
          <w:szCs w:val="24"/>
        </w:rPr>
        <w:t>https://doi.org/10.1016/j.envsci.2008.11.002</w:t>
      </w:r>
    </w:p>
    <w:p w14:paraId="7D50CE93"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De Terra, H. (1934). Himalayan and alpine orogenies. Nature, 25, 686–688.</w:t>
      </w:r>
    </w:p>
    <w:p w14:paraId="2011E866"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Deressa, T. T., Hassan, R. M., Ringler, C., Alemu, T., &amp; Yesuf, M. (2009). Determinants of farmers’ choice of adaptation methods to climate change in the Nile Basin of Ethiopia. </w:t>
      </w:r>
      <w:r>
        <w:rPr>
          <w:rFonts w:ascii="Times New Roman" w:eastAsia="Calibri" w:hAnsi="Times New Roman" w:cs="Times New Roman"/>
          <w:i/>
          <w:iCs/>
          <w:sz w:val="24"/>
          <w:szCs w:val="24"/>
        </w:rPr>
        <w:t>Global environmental change</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19</w:t>
      </w:r>
      <w:r>
        <w:rPr>
          <w:rFonts w:ascii="Times New Roman" w:eastAsia="Calibri" w:hAnsi="Times New Roman" w:cs="Times New Roman"/>
          <w:sz w:val="24"/>
          <w:szCs w:val="24"/>
        </w:rPr>
        <w:t xml:space="preserve">(2), 248-255. </w:t>
      </w:r>
      <w:hyperlink r:id="rId23" w:history="1">
        <w:r>
          <w:rPr>
            <w:rStyle w:val="Hyperlink"/>
            <w:rFonts w:ascii="Times New Roman" w:eastAsia="Calibri" w:hAnsi="Times New Roman" w:cs="Times New Roman"/>
            <w:color w:val="0000FF"/>
            <w:sz w:val="24"/>
            <w:szCs w:val="24"/>
          </w:rPr>
          <w:t>https://doi.org/10.1016/j.gloenvcha.2009.01.002</w:t>
        </w:r>
      </w:hyperlink>
    </w:p>
    <w:p w14:paraId="6A0D426E"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Downing, E. T. (1993). The effects of climate change on agriculture and food security. Renewable Energy, 3, 491–497.</w:t>
      </w:r>
      <w:r>
        <w:rPr>
          <w:rFonts w:ascii="Calibri" w:eastAsia="Times New Roman" w:hAnsi="Calibri" w:cs="Times New Roman" w:hint="eastAsia"/>
        </w:rPr>
        <w:t xml:space="preserve"> </w:t>
      </w:r>
      <w:hyperlink r:id="rId24" w:history="1">
        <w:r>
          <w:rPr>
            <w:rStyle w:val="Hyperlink"/>
            <w:rFonts w:ascii="Times New Roman" w:eastAsia="Calibri" w:hAnsi="Times New Roman" w:cs="Times New Roman"/>
            <w:color w:val="0000FF"/>
            <w:sz w:val="24"/>
            <w:szCs w:val="24"/>
          </w:rPr>
          <w:t>https://doi.org/10.1016/0960-1481(93)90115-W</w:t>
        </w:r>
      </w:hyperlink>
    </w:p>
    <w:p w14:paraId="19BA6AB4"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Fan, L., Niu, H., Yang, X., Qin, W., Bento, C. P., Ritsema, C. J., &amp; </w:t>
      </w:r>
      <w:proofErr w:type="spellStart"/>
      <w:r>
        <w:rPr>
          <w:rFonts w:ascii="Times New Roman" w:eastAsia="Calibri" w:hAnsi="Times New Roman" w:cs="Times New Roman"/>
          <w:sz w:val="24"/>
          <w:szCs w:val="24"/>
        </w:rPr>
        <w:t>Geissen</w:t>
      </w:r>
      <w:proofErr w:type="spellEnd"/>
      <w:r>
        <w:rPr>
          <w:rFonts w:ascii="Times New Roman" w:eastAsia="Calibri" w:hAnsi="Times New Roman" w:cs="Times New Roman"/>
          <w:sz w:val="24"/>
          <w:szCs w:val="24"/>
        </w:rPr>
        <w:t xml:space="preserve">, V. (2015). Factors affecting farmers’ </w:t>
      </w:r>
      <w:proofErr w:type="spellStart"/>
      <w:r>
        <w:rPr>
          <w:rFonts w:ascii="Times New Roman" w:eastAsia="Calibri" w:hAnsi="Times New Roman" w:cs="Times New Roman"/>
          <w:sz w:val="24"/>
          <w:szCs w:val="24"/>
        </w:rPr>
        <w:t>behaviour</w:t>
      </w:r>
      <w:proofErr w:type="spellEnd"/>
      <w:r>
        <w:rPr>
          <w:rFonts w:ascii="Times New Roman" w:eastAsia="Calibri" w:hAnsi="Times New Roman" w:cs="Times New Roman"/>
          <w:sz w:val="24"/>
          <w:szCs w:val="24"/>
        </w:rPr>
        <w:t xml:space="preserve"> in pesticide use: Insights from a </w:t>
      </w:r>
      <w:proofErr w:type="spellStart"/>
      <w:r>
        <w:rPr>
          <w:rFonts w:ascii="Times New Roman" w:eastAsia="Calibri" w:hAnsi="Times New Roman" w:cs="Times New Roman"/>
          <w:sz w:val="24"/>
          <w:szCs w:val="24"/>
        </w:rPr>
        <w:t>feld</w:t>
      </w:r>
      <w:proofErr w:type="spellEnd"/>
      <w:r>
        <w:rPr>
          <w:rFonts w:ascii="Times New Roman" w:eastAsia="Calibri" w:hAnsi="Times New Roman" w:cs="Times New Roman"/>
          <w:sz w:val="24"/>
          <w:szCs w:val="24"/>
        </w:rPr>
        <w:t xml:space="preserve"> study in northern China. Science of the Total Environment, 537, 360–368. </w:t>
      </w:r>
      <w:hyperlink r:id="rId25" w:history="1">
        <w:r>
          <w:rPr>
            <w:rStyle w:val="Hyperlink"/>
            <w:rFonts w:ascii="Times New Roman" w:eastAsia="Calibri" w:hAnsi="Times New Roman" w:cs="Times New Roman"/>
            <w:color w:val="0000FF"/>
            <w:sz w:val="24"/>
            <w:szCs w:val="24"/>
          </w:rPr>
          <w:t>https://doi.org/10.1016/j.scitotenv.2015.07.150</w:t>
        </w:r>
      </w:hyperlink>
      <w:r>
        <w:rPr>
          <w:rFonts w:ascii="Times New Roman" w:eastAsia="Calibri" w:hAnsi="Times New Roman" w:cs="Times New Roman"/>
          <w:sz w:val="24"/>
          <w:szCs w:val="24"/>
        </w:rPr>
        <w:t xml:space="preserve"> </w:t>
      </w:r>
    </w:p>
    <w:p w14:paraId="1F9C2EB8" w14:textId="77777777" w:rsidR="00B6568E" w:rsidRDefault="00000000">
      <w:pPr>
        <w:numPr>
          <w:ilvl w:val="0"/>
          <w:numId w:val="4"/>
        </w:numPr>
        <w:tabs>
          <w:tab w:val="left" w:pos="720"/>
        </w:tabs>
        <w:spacing w:beforeAutospacing="1" w:after="0" w:afterAutospacing="1" w:line="271" w:lineRule="auto"/>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lang w:bidi="ar"/>
        </w:rPr>
        <w:t xml:space="preserve">Gentle, P., &amp; </w:t>
      </w:r>
      <w:proofErr w:type="spellStart"/>
      <w:r>
        <w:rPr>
          <w:rFonts w:ascii="Times New Roman" w:eastAsia="Times New Roman" w:hAnsi="Times New Roman" w:cs="Times New Roman"/>
          <w:sz w:val="24"/>
          <w:szCs w:val="24"/>
          <w:lang w:bidi="ar"/>
        </w:rPr>
        <w:t>Maraseni</w:t>
      </w:r>
      <w:proofErr w:type="spellEnd"/>
      <w:r>
        <w:rPr>
          <w:rFonts w:ascii="Times New Roman" w:eastAsia="Times New Roman" w:hAnsi="Times New Roman" w:cs="Times New Roman"/>
          <w:sz w:val="24"/>
          <w:szCs w:val="24"/>
          <w:lang w:bidi="ar"/>
        </w:rPr>
        <w:t xml:space="preserve">, T. N. (2012). Climate change, poverty and livelihoods: adaptation practices by rural mountain communities in Nepal. </w:t>
      </w:r>
      <w:r>
        <w:rPr>
          <w:rFonts w:ascii="Times New Roman" w:eastAsia="Times New Roman" w:hAnsi="Times New Roman" w:cs="Times New Roman"/>
          <w:i/>
          <w:iCs/>
          <w:sz w:val="24"/>
          <w:szCs w:val="24"/>
          <w:lang w:bidi="ar"/>
        </w:rPr>
        <w:t>Environmental Science &amp; Policy</w:t>
      </w:r>
      <w:r>
        <w:rPr>
          <w:rFonts w:ascii="Times New Roman" w:eastAsia="Times New Roman" w:hAnsi="Times New Roman" w:cs="Times New Roman"/>
          <w:sz w:val="24"/>
          <w:szCs w:val="24"/>
          <w:lang w:bidi="ar"/>
        </w:rPr>
        <w:t>, 21, 24–</w:t>
      </w:r>
      <w:proofErr w:type="gramStart"/>
      <w:r>
        <w:rPr>
          <w:rFonts w:ascii="Times New Roman" w:eastAsia="Times New Roman" w:hAnsi="Times New Roman" w:cs="Times New Roman"/>
          <w:sz w:val="24"/>
          <w:szCs w:val="24"/>
          <w:lang w:bidi="ar"/>
        </w:rPr>
        <w:t>34</w:t>
      </w:r>
      <w:r>
        <w:rPr>
          <w:rFonts w:ascii="Times New Roman" w:eastAsia="Times New Roman" w:hAnsi="Times New Roman" w:cs="Times New Roman"/>
          <w:color w:val="0000FF"/>
          <w:sz w:val="24"/>
          <w:szCs w:val="24"/>
          <w:lang w:bidi="ar"/>
        </w:rPr>
        <w:t>.</w:t>
      </w:r>
      <w:r>
        <w:rPr>
          <w:rFonts w:ascii="Times New Roman" w:eastAsia="Times New Roman" w:hAnsi="Times New Roman"/>
          <w:color w:val="0000FF"/>
          <w:sz w:val="24"/>
          <w:szCs w:val="24"/>
        </w:rPr>
        <w:t>https://doi.org/10.1016/j.envsci.2012.03.007</w:t>
      </w:r>
      <w:proofErr w:type="gramEnd"/>
    </w:p>
    <w:p w14:paraId="45B90C94"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Hassan, M. A. E. R., &amp; Omran, E. E. (2017). Modelling of land-use changes and their effects by climate change at the southern region of Port Said governorate, Egypt. Modeling Earth Systems and Environment, 3, 13.</w:t>
      </w:r>
      <w:r>
        <w:rPr>
          <w:rFonts w:ascii="Calibri" w:eastAsia="Times New Roman" w:hAnsi="Calibri" w:cs="Times New Roman" w:hint="eastAsia"/>
        </w:rPr>
        <w:t xml:space="preserve"> </w:t>
      </w:r>
      <w:hyperlink r:id="rId26" w:history="1">
        <w:r>
          <w:rPr>
            <w:rStyle w:val="Hyperlink"/>
            <w:rFonts w:ascii="Times New Roman" w:eastAsia="Calibri" w:hAnsi="Times New Roman" w:cs="Times New Roman"/>
            <w:color w:val="0000FF"/>
            <w:sz w:val="24"/>
            <w:szCs w:val="24"/>
          </w:rPr>
          <w:t>https://doi.org/10.1007/s40808-017-0276-1</w:t>
        </w:r>
      </w:hyperlink>
    </w:p>
    <w:p w14:paraId="67246B65"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Husain, M. (2002). Geography of Jammu and Kashmir. Rajesh Publications</w:t>
      </w:r>
    </w:p>
    <w:p w14:paraId="7B38F587"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Husain, M. (2006). Geography of Jammu and Kashmir. Rajesh Publications. 1, Ansari Road, Darya Ganj, New Delhi, pp. 03–40.</w:t>
      </w:r>
    </w:p>
    <w:p w14:paraId="53303534" w14:textId="77777777" w:rsidR="00B6568E" w:rsidRDefault="00000000">
      <w:pPr>
        <w:numPr>
          <w:ilvl w:val="0"/>
          <w:numId w:val="4"/>
        </w:numPr>
        <w:tabs>
          <w:tab w:val="left" w:pos="720"/>
        </w:tabs>
        <w:spacing w:beforeAutospacing="1" w:after="0" w:line="36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00"/>
          <w:sz w:val="24"/>
          <w:szCs w:val="24"/>
        </w:rPr>
        <w:t xml:space="preserve">Hussain, M., Butt, A. R., Uzma, F., Ahmed, R., Irshad, S., Rehman, A., &amp; Yousaf, B. (2020). A comprehensive review of climate change impacts, adaptation, and mitigation </w:t>
      </w:r>
      <w:r>
        <w:rPr>
          <w:rFonts w:ascii="Times New Roman" w:eastAsia="Calibri" w:hAnsi="Times New Roman" w:cs="Times New Roman"/>
          <w:color w:val="000000"/>
          <w:sz w:val="24"/>
          <w:szCs w:val="24"/>
        </w:rPr>
        <w:lastRenderedPageBreak/>
        <w:t xml:space="preserve">on environmental and natural calamities in Pakistan. </w:t>
      </w:r>
      <w:r>
        <w:rPr>
          <w:rFonts w:ascii="Times New Roman" w:eastAsia="Calibri" w:hAnsi="Times New Roman" w:cs="Times New Roman"/>
          <w:i/>
          <w:color w:val="000000"/>
          <w:sz w:val="24"/>
          <w:szCs w:val="24"/>
        </w:rPr>
        <w:t>Environmental monitoring and assessment, 192</w:t>
      </w:r>
      <w:r>
        <w:rPr>
          <w:rFonts w:ascii="Times New Roman" w:eastAsia="Calibri" w:hAnsi="Times New Roman" w:cs="Times New Roman"/>
          <w:color w:val="000000"/>
          <w:sz w:val="24"/>
          <w:szCs w:val="24"/>
        </w:rPr>
        <w:t>(1), 1-</w:t>
      </w:r>
      <w:proofErr w:type="gramStart"/>
      <w:r>
        <w:rPr>
          <w:rFonts w:ascii="Times New Roman" w:eastAsia="Calibri" w:hAnsi="Times New Roman" w:cs="Times New Roman"/>
          <w:color w:val="000000"/>
          <w:sz w:val="24"/>
          <w:szCs w:val="24"/>
        </w:rPr>
        <w:t>20.</w:t>
      </w:r>
      <w:r>
        <w:rPr>
          <w:rFonts w:ascii="Helvetica" w:eastAsia="Helvetica" w:hAnsi="Helvetica" w:cs="Helvetica"/>
          <w:color w:val="0000FF"/>
          <w:sz w:val="19"/>
          <w:szCs w:val="19"/>
          <w:shd w:val="clear" w:color="auto" w:fill="FFFFFF"/>
        </w:rPr>
        <w:t>https://doi.org/10.1007/s10661-019-7956-4</w:t>
      </w:r>
      <w:proofErr w:type="gramEnd"/>
    </w:p>
    <w:p w14:paraId="7B75DAC9" w14:textId="77777777" w:rsidR="00B6568E" w:rsidRDefault="00000000">
      <w:pPr>
        <w:numPr>
          <w:ilvl w:val="0"/>
          <w:numId w:val="4"/>
        </w:numPr>
        <w:tabs>
          <w:tab w:val="left" w:pos="720"/>
        </w:tabs>
        <w:spacing w:after="160" w:line="271" w:lineRule="auto"/>
        <w:contextualSpacing/>
        <w:jc w:val="both"/>
        <w:rPr>
          <w:rStyle w:val="Hyperlink"/>
          <w:rFonts w:ascii="Times New Roman" w:eastAsia="Calibri" w:hAnsi="Times New Roman" w:cs="Times New Roman"/>
          <w:color w:val="0000FF"/>
          <w:sz w:val="24"/>
          <w:szCs w:val="24"/>
        </w:rPr>
      </w:pPr>
      <w:r>
        <w:rPr>
          <w:rFonts w:ascii="Times New Roman" w:eastAsia="Times New Roman" w:hAnsi="Times New Roman" w:cs="Times New Roman"/>
          <w:color w:val="1F1F1F"/>
          <w:sz w:val="24"/>
          <w:szCs w:val="24"/>
        </w:rPr>
        <w:t xml:space="preserve">Immerzeel, W. W., Van Beek, L. P. H., &amp; </w:t>
      </w:r>
      <w:proofErr w:type="spellStart"/>
      <w:r>
        <w:rPr>
          <w:rFonts w:ascii="Times New Roman" w:eastAsia="Times New Roman" w:hAnsi="Times New Roman" w:cs="Times New Roman"/>
          <w:color w:val="1F1F1F"/>
          <w:sz w:val="24"/>
          <w:szCs w:val="24"/>
        </w:rPr>
        <w:t>Bierkens</w:t>
      </w:r>
      <w:proofErr w:type="spellEnd"/>
      <w:r>
        <w:rPr>
          <w:rFonts w:ascii="Times New Roman" w:eastAsia="Times New Roman" w:hAnsi="Times New Roman" w:cs="Times New Roman"/>
          <w:color w:val="1F1F1F"/>
          <w:sz w:val="24"/>
          <w:szCs w:val="24"/>
        </w:rPr>
        <w:t xml:space="preserve">, M. F. P. (2010). Climate change will affect the Asian water towers. Science, 328(5984), 1382–1385. </w:t>
      </w:r>
      <w:r>
        <w:rPr>
          <w:rStyle w:val="Hyperlink"/>
          <w:rFonts w:ascii="Times New Roman" w:eastAsia="Calibri" w:hAnsi="Times New Roman" w:cs="Times New Roman"/>
          <w:color w:val="0000FF"/>
          <w:sz w:val="24"/>
          <w:szCs w:val="24"/>
        </w:rPr>
        <w:t>DOI: 10.1126/science.1183188</w:t>
      </w:r>
    </w:p>
    <w:p w14:paraId="73575B7C" w14:textId="77777777" w:rsidR="00B6568E" w:rsidRDefault="00000000">
      <w:pPr>
        <w:numPr>
          <w:ilvl w:val="0"/>
          <w:numId w:val="4"/>
        </w:numPr>
        <w:tabs>
          <w:tab w:val="left" w:pos="720"/>
        </w:tabs>
        <w:spacing w:beforeAutospacing="1" w:after="0" w:afterAutospacing="1"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bidi="ar"/>
        </w:rPr>
        <w:t xml:space="preserve">IPCC. (2014). </w:t>
      </w:r>
      <w:r>
        <w:rPr>
          <w:rFonts w:ascii="Times New Roman" w:eastAsia="Times New Roman" w:hAnsi="Times New Roman" w:cs="Times New Roman"/>
          <w:i/>
          <w:iCs/>
          <w:sz w:val="24"/>
          <w:szCs w:val="24"/>
          <w:lang w:bidi="ar"/>
        </w:rPr>
        <w:t>Climate Change 2014: Impacts, Adaptation, and Vulnerability</w:t>
      </w:r>
      <w:r>
        <w:rPr>
          <w:rFonts w:ascii="Times New Roman" w:eastAsia="Times New Roman" w:hAnsi="Times New Roman" w:cs="Times New Roman"/>
          <w:sz w:val="24"/>
          <w:szCs w:val="24"/>
          <w:lang w:bidi="ar"/>
        </w:rPr>
        <w:t>. Contribution of Working Group II to the Fifth Assessment Report.</w:t>
      </w:r>
    </w:p>
    <w:p w14:paraId="795D97A8"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IPCC. Climate change 2014: synthesis report. Geneva: Intergovernmental Panel on Climate Change (IPCC); 2014. p. 1–20</w:t>
      </w:r>
    </w:p>
    <w:p w14:paraId="169012BA"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Islam, R., Islam, M. M., Islam, M. N., Islam, M. N., Sen, S., &amp; Faisal, R. K. (2020). Climate change adaptation strategies: a prospect toward crop modelling and food security management. </w:t>
      </w:r>
      <w:r>
        <w:rPr>
          <w:rFonts w:ascii="Times New Roman" w:eastAsia="Calibri" w:hAnsi="Times New Roman" w:cs="Times New Roman"/>
          <w:i/>
          <w:iCs/>
          <w:sz w:val="24"/>
          <w:szCs w:val="24"/>
        </w:rPr>
        <w:t>Modeling Earth Systems and Environment</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6</w:t>
      </w:r>
      <w:r>
        <w:rPr>
          <w:rFonts w:ascii="Times New Roman" w:eastAsia="Calibri" w:hAnsi="Times New Roman" w:cs="Times New Roman"/>
          <w:sz w:val="24"/>
          <w:szCs w:val="24"/>
        </w:rPr>
        <w:t>, 769-777.</w:t>
      </w:r>
      <w:r>
        <w:rPr>
          <w:rFonts w:ascii="Merriweather Sans" w:eastAsia="Calibri" w:hAnsi="Merriweather Sans" w:cs="Times New Roman"/>
          <w:color w:val="222222"/>
          <w:shd w:val="clear" w:color="auto" w:fill="FFFFFF"/>
        </w:rPr>
        <w:t xml:space="preserve"> </w:t>
      </w:r>
      <w:hyperlink r:id="rId27" w:history="1">
        <w:r>
          <w:rPr>
            <w:rStyle w:val="Hyperlink"/>
            <w:rFonts w:ascii="Times New Roman" w:eastAsia="Calibri" w:hAnsi="Times New Roman" w:cs="Times New Roman"/>
            <w:color w:val="0000FF"/>
            <w:sz w:val="24"/>
            <w:szCs w:val="24"/>
          </w:rPr>
          <w:t>https://doi.org/10.1007/s40808-019-00708-6</w:t>
        </w:r>
      </w:hyperlink>
    </w:p>
    <w:p w14:paraId="302B2570"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Jatav, S. S. (2024). Farmers’ perception of climate change and livelihood vulnerability: a comparative study of Bundelkhand and Central regions of Uttar Pradesh, India. </w:t>
      </w:r>
      <w:r>
        <w:rPr>
          <w:rFonts w:ascii="Times New Roman" w:eastAsia="Calibri" w:hAnsi="Times New Roman" w:cs="Times New Roman"/>
          <w:i/>
          <w:iCs/>
          <w:sz w:val="24"/>
          <w:szCs w:val="24"/>
        </w:rPr>
        <w:t>Discover Sustainability</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5</w:t>
      </w:r>
      <w:r>
        <w:rPr>
          <w:rFonts w:ascii="Times New Roman" w:eastAsia="Calibri" w:hAnsi="Times New Roman" w:cs="Times New Roman"/>
          <w:sz w:val="24"/>
          <w:szCs w:val="24"/>
        </w:rPr>
        <w:t>(1), 11.</w:t>
      </w:r>
      <w:r>
        <w:rPr>
          <w:rFonts w:ascii="Times New Roman" w:eastAsia="Calibri" w:hAnsi="Times New Roman" w:cs="Times New Roman"/>
          <w:color w:val="222222"/>
          <w:sz w:val="24"/>
          <w:szCs w:val="24"/>
          <w:shd w:val="clear" w:color="auto" w:fill="FFFFFF"/>
        </w:rPr>
        <w:t xml:space="preserve"> </w:t>
      </w:r>
      <w:hyperlink r:id="rId28" w:history="1">
        <w:r>
          <w:rPr>
            <w:rStyle w:val="Hyperlink"/>
            <w:rFonts w:ascii="Times New Roman" w:eastAsia="Calibri" w:hAnsi="Times New Roman" w:cs="Times New Roman"/>
            <w:color w:val="0000FF"/>
            <w:sz w:val="24"/>
            <w:szCs w:val="24"/>
          </w:rPr>
          <w:t>https://doi.org/10.1007/s43621-024-00193-7</w:t>
        </w:r>
      </w:hyperlink>
    </w:p>
    <w:p w14:paraId="0248188D"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Jatav, S. S., &amp; Naik, K. (2023). Measuring the agricultural sustainability of India: An application of Pressure-State-Response (PSR) model. </w:t>
      </w:r>
      <w:r>
        <w:rPr>
          <w:rFonts w:ascii="Times New Roman" w:eastAsia="Calibri" w:hAnsi="Times New Roman" w:cs="Times New Roman"/>
          <w:i/>
          <w:iCs/>
          <w:sz w:val="24"/>
          <w:szCs w:val="24"/>
        </w:rPr>
        <w:t>Regional Sustainability</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4</w:t>
      </w:r>
      <w:r>
        <w:rPr>
          <w:rFonts w:ascii="Times New Roman" w:eastAsia="Calibri" w:hAnsi="Times New Roman" w:cs="Times New Roman"/>
          <w:sz w:val="24"/>
          <w:szCs w:val="24"/>
        </w:rPr>
        <w:t xml:space="preserve">(3), 218-234. </w:t>
      </w:r>
      <w:hyperlink r:id="rId29" w:history="1">
        <w:r>
          <w:rPr>
            <w:rStyle w:val="Hyperlink"/>
            <w:rFonts w:ascii="Times New Roman" w:eastAsia="Calibri" w:hAnsi="Times New Roman" w:cs="Times New Roman"/>
            <w:color w:val="0000FF"/>
            <w:sz w:val="24"/>
            <w:szCs w:val="24"/>
          </w:rPr>
          <w:t>https://doi.org/10.1016/j.regsus.2023.05.006</w:t>
        </w:r>
      </w:hyperlink>
    </w:p>
    <w:p w14:paraId="22E28B0D"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Jawahar, P., &amp; </w:t>
      </w:r>
      <w:proofErr w:type="spellStart"/>
      <w:r>
        <w:rPr>
          <w:rFonts w:ascii="Times New Roman" w:eastAsia="Calibri" w:hAnsi="Times New Roman" w:cs="Times New Roman"/>
          <w:sz w:val="24"/>
          <w:szCs w:val="24"/>
        </w:rPr>
        <w:t>Msangi</w:t>
      </w:r>
      <w:proofErr w:type="spellEnd"/>
      <w:r>
        <w:rPr>
          <w:rFonts w:ascii="Times New Roman" w:eastAsia="Calibri" w:hAnsi="Times New Roman" w:cs="Times New Roman"/>
          <w:sz w:val="24"/>
          <w:szCs w:val="24"/>
        </w:rPr>
        <w:t xml:space="preserve">, S. (2006). </w:t>
      </w:r>
      <w:r>
        <w:rPr>
          <w:rFonts w:ascii="Times New Roman" w:eastAsia="Calibri" w:hAnsi="Times New Roman" w:cs="Times New Roman"/>
          <w:i/>
          <w:iCs/>
          <w:sz w:val="24"/>
          <w:szCs w:val="24"/>
        </w:rPr>
        <w:t>BMZ workshop summary report on Adaptation to Climate Change, April 24–28, 2006</w:t>
      </w:r>
      <w:r>
        <w:rPr>
          <w:rFonts w:ascii="Times New Roman" w:eastAsia="Calibri" w:hAnsi="Times New Roman" w:cs="Times New Roman"/>
          <w:sz w:val="24"/>
          <w:szCs w:val="24"/>
        </w:rPr>
        <w:t>. Pretoria, South Africa, Pretoria</w:t>
      </w:r>
    </w:p>
    <w:p w14:paraId="67FD438B"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Jones, J. W. (2003). Agricultural responses to climate variability and climate change. Paper presented at Climate Adaptation.net conference “Insights and Tools for Adaptation: Learning from Climate Variability,” November 18–20, 2003. Washington, DC.</w:t>
      </w:r>
    </w:p>
    <w:p w14:paraId="7A1529D2"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Kandlinkar</w:t>
      </w:r>
      <w:proofErr w:type="spellEnd"/>
      <w:r>
        <w:rPr>
          <w:rFonts w:ascii="Times New Roman" w:eastAsia="Calibri" w:hAnsi="Times New Roman" w:cs="Times New Roman"/>
          <w:sz w:val="24"/>
          <w:szCs w:val="24"/>
        </w:rPr>
        <w:t xml:space="preserve">, M., &amp; </w:t>
      </w:r>
      <w:proofErr w:type="spellStart"/>
      <w:r>
        <w:rPr>
          <w:rFonts w:ascii="Times New Roman" w:eastAsia="Calibri" w:hAnsi="Times New Roman" w:cs="Times New Roman"/>
          <w:sz w:val="24"/>
          <w:szCs w:val="24"/>
        </w:rPr>
        <w:t>Risbey</w:t>
      </w:r>
      <w:proofErr w:type="spellEnd"/>
      <w:r>
        <w:rPr>
          <w:rFonts w:ascii="Times New Roman" w:eastAsia="Calibri" w:hAnsi="Times New Roman" w:cs="Times New Roman"/>
          <w:sz w:val="24"/>
          <w:szCs w:val="24"/>
        </w:rPr>
        <w:t>, J. (2000). Agricultural Impacts of Climate Change. If Adaptation Is the Answer, What Is the Question? Climate Change, 45, 529-539.</w:t>
      </w:r>
    </w:p>
    <w:p w14:paraId="18F266EF"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Kasperson, R., Dow, K., Archer, E. R., Cáceres, D., Downing, T. E., Elmqvist, T., ... &amp; Ziervogel, G. (2005). Vulnerable peoples and places. </w:t>
      </w:r>
      <w:r>
        <w:rPr>
          <w:rFonts w:ascii="Times New Roman" w:eastAsia="Calibri" w:hAnsi="Times New Roman" w:cs="Times New Roman"/>
          <w:i/>
          <w:iCs/>
          <w:sz w:val="24"/>
          <w:szCs w:val="24"/>
        </w:rPr>
        <w:t>Ecosystems and Human Well-being: Current State and Trends: findings of the Condition and Trends Working Group of the Millennium Ecosystem Assessment</w:t>
      </w:r>
      <w:r>
        <w:rPr>
          <w:rFonts w:ascii="Times New Roman" w:eastAsia="Calibri" w:hAnsi="Times New Roman" w:cs="Times New Roman"/>
          <w:sz w:val="24"/>
          <w:szCs w:val="24"/>
        </w:rPr>
        <w:t>, 146-162.</w:t>
      </w:r>
    </w:p>
    <w:p w14:paraId="2663AC3A"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Kelly, P. M., &amp; Adger, W. N. (2000). Theory and practice in assessing vulnerability to climate change </w:t>
      </w:r>
      <w:proofErr w:type="spellStart"/>
      <w:r>
        <w:rPr>
          <w:rFonts w:ascii="Times New Roman" w:eastAsia="Calibri" w:hAnsi="Times New Roman" w:cs="Times New Roman"/>
          <w:sz w:val="24"/>
          <w:szCs w:val="24"/>
        </w:rPr>
        <w:t>andFacilitating</w:t>
      </w:r>
      <w:proofErr w:type="spellEnd"/>
      <w:r>
        <w:rPr>
          <w:rFonts w:ascii="Times New Roman" w:eastAsia="Calibri" w:hAnsi="Times New Roman" w:cs="Times New Roman"/>
          <w:sz w:val="24"/>
          <w:szCs w:val="24"/>
        </w:rPr>
        <w:t xml:space="preserve"> adaptation. </w:t>
      </w:r>
      <w:r>
        <w:rPr>
          <w:rFonts w:ascii="Times New Roman" w:eastAsia="Calibri" w:hAnsi="Times New Roman" w:cs="Times New Roman"/>
          <w:i/>
          <w:iCs/>
          <w:sz w:val="24"/>
          <w:szCs w:val="24"/>
        </w:rPr>
        <w:t>Climatic change</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47</w:t>
      </w:r>
      <w:r>
        <w:rPr>
          <w:rFonts w:ascii="Times New Roman" w:eastAsia="Calibri" w:hAnsi="Times New Roman" w:cs="Times New Roman"/>
          <w:sz w:val="24"/>
          <w:szCs w:val="24"/>
        </w:rPr>
        <w:t>(4), 325-352.</w:t>
      </w:r>
      <w:r>
        <w:rPr>
          <w:rFonts w:ascii="Times New Roman" w:eastAsia="Calibri" w:hAnsi="Times New Roman" w:cs="Times New Roman"/>
          <w:color w:val="222222"/>
          <w:sz w:val="24"/>
          <w:szCs w:val="24"/>
          <w:shd w:val="clear" w:color="auto" w:fill="FFFFFF"/>
        </w:rPr>
        <w:t xml:space="preserve"> </w:t>
      </w:r>
      <w:hyperlink r:id="rId30" w:history="1">
        <w:r>
          <w:rPr>
            <w:rStyle w:val="Hyperlink"/>
            <w:rFonts w:ascii="Times New Roman" w:eastAsia="Calibri" w:hAnsi="Times New Roman" w:cs="Times New Roman"/>
            <w:color w:val="0000FF"/>
            <w:sz w:val="24"/>
            <w:szCs w:val="24"/>
          </w:rPr>
          <w:t>https://doi.org/10.1023/A:1005627828199</w:t>
        </w:r>
      </w:hyperlink>
    </w:p>
    <w:p w14:paraId="58D2F8E6" w14:textId="77777777" w:rsidR="00B6568E" w:rsidRDefault="00000000">
      <w:pPr>
        <w:numPr>
          <w:ilvl w:val="0"/>
          <w:numId w:val="4"/>
        </w:numPr>
        <w:tabs>
          <w:tab w:val="left" w:pos="720"/>
        </w:tabs>
        <w:spacing w:after="160" w:line="271" w:lineRule="auto"/>
        <w:contextualSpacing/>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Khadka, D., Babel, M. S., Shrestha, S., &amp; Tripathi, N. K. (2014). Climate change impact on glacier and snow melt and runoff in </w:t>
      </w:r>
      <w:proofErr w:type="spellStart"/>
      <w:r>
        <w:rPr>
          <w:rFonts w:ascii="Times New Roman" w:eastAsia="Times New Roman" w:hAnsi="Times New Roman" w:cs="Times New Roman"/>
          <w:color w:val="1F1F1F"/>
          <w:sz w:val="24"/>
          <w:szCs w:val="24"/>
        </w:rPr>
        <w:t>Tamakoshi</w:t>
      </w:r>
      <w:proofErr w:type="spellEnd"/>
      <w:r>
        <w:rPr>
          <w:rFonts w:ascii="Times New Roman" w:eastAsia="Times New Roman" w:hAnsi="Times New Roman" w:cs="Times New Roman"/>
          <w:color w:val="1F1F1F"/>
          <w:sz w:val="24"/>
          <w:szCs w:val="24"/>
        </w:rPr>
        <w:t xml:space="preserve"> basin in the Hindu Kush Himalayan (HKH) region. Journal of Hydrology, 511, 49–60. </w:t>
      </w:r>
      <w:r>
        <w:rPr>
          <w:rStyle w:val="Hyperlink"/>
          <w:rFonts w:ascii="Times New Roman" w:eastAsia="Calibri" w:hAnsi="Times New Roman" w:cs="Times New Roman"/>
          <w:color w:val="0000FF"/>
          <w:sz w:val="24"/>
          <w:szCs w:val="24"/>
        </w:rPr>
        <w:t>https://doi.org/10.1016/j.jhydrol.2014.01.005</w:t>
      </w:r>
    </w:p>
    <w:p w14:paraId="30A36280"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Kuchimanchi</w:t>
      </w:r>
      <w:proofErr w:type="spellEnd"/>
      <w:r>
        <w:rPr>
          <w:rFonts w:ascii="Times New Roman" w:eastAsia="Calibri" w:hAnsi="Times New Roman" w:cs="Times New Roman"/>
          <w:sz w:val="24"/>
          <w:szCs w:val="24"/>
        </w:rPr>
        <w:t xml:space="preserve">, B. R., Nazareth, D., </w:t>
      </w:r>
      <w:proofErr w:type="spellStart"/>
      <w:r>
        <w:rPr>
          <w:rFonts w:ascii="Times New Roman" w:eastAsia="Calibri" w:hAnsi="Times New Roman" w:cs="Times New Roman"/>
          <w:sz w:val="24"/>
          <w:szCs w:val="24"/>
        </w:rPr>
        <w:t>Bendapudi</w:t>
      </w:r>
      <w:proofErr w:type="spellEnd"/>
      <w:r>
        <w:rPr>
          <w:rFonts w:ascii="Times New Roman" w:eastAsia="Calibri" w:hAnsi="Times New Roman" w:cs="Times New Roman"/>
          <w:sz w:val="24"/>
          <w:szCs w:val="24"/>
        </w:rPr>
        <w:t xml:space="preserve">, R., Awasthi, S., &amp; D’Souza, M. (2019). Assessing differential vulnerability of communities in the agrarian context in two districts </w:t>
      </w:r>
      <w:r>
        <w:rPr>
          <w:rFonts w:ascii="Times New Roman" w:eastAsia="Calibri" w:hAnsi="Times New Roman" w:cs="Times New Roman"/>
          <w:sz w:val="24"/>
          <w:szCs w:val="24"/>
        </w:rPr>
        <w:lastRenderedPageBreak/>
        <w:t xml:space="preserve">of Maharashtra, India. </w:t>
      </w:r>
      <w:r>
        <w:rPr>
          <w:rFonts w:ascii="Times New Roman" w:eastAsia="Calibri" w:hAnsi="Times New Roman" w:cs="Times New Roman"/>
          <w:i/>
          <w:iCs/>
          <w:sz w:val="24"/>
          <w:szCs w:val="24"/>
        </w:rPr>
        <w:t>Climate and Development</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11</w:t>
      </w:r>
      <w:r>
        <w:rPr>
          <w:rFonts w:ascii="Times New Roman" w:eastAsia="Calibri" w:hAnsi="Times New Roman" w:cs="Times New Roman"/>
          <w:sz w:val="24"/>
          <w:szCs w:val="24"/>
        </w:rPr>
        <w:t xml:space="preserve">(10), 918-929. </w:t>
      </w:r>
      <w:hyperlink r:id="rId31" w:history="1">
        <w:r>
          <w:rPr>
            <w:rStyle w:val="Hyperlink"/>
            <w:rFonts w:ascii="Times New Roman" w:eastAsia="Calibri" w:hAnsi="Times New Roman" w:cs="Times New Roman"/>
            <w:color w:val="0000FF"/>
            <w:sz w:val="24"/>
            <w:szCs w:val="24"/>
          </w:rPr>
          <w:t>https://doi.org/10.1080/17565529.2019.1593815</w:t>
        </w:r>
      </w:hyperlink>
    </w:p>
    <w:p w14:paraId="0706A544" w14:textId="77777777" w:rsidR="00B6568E" w:rsidRDefault="00000000">
      <w:pPr>
        <w:numPr>
          <w:ilvl w:val="0"/>
          <w:numId w:val="4"/>
        </w:numPr>
        <w:tabs>
          <w:tab w:val="left" w:pos="720"/>
        </w:tabs>
        <w:spacing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Kumar, A. (2019). Economic Analysis of the Impact Adaptation and Mitigation of Climate Change in the Dominant Cropping System of Indo </w:t>
      </w:r>
      <w:proofErr w:type="spellStart"/>
      <w:r>
        <w:rPr>
          <w:rFonts w:ascii="Times New Roman" w:eastAsia="Calibri" w:hAnsi="Times New Roman" w:cs="Times New Roman"/>
          <w:color w:val="000000"/>
          <w:sz w:val="24"/>
          <w:szCs w:val="24"/>
        </w:rPr>
        <w:t>Gangatic</w:t>
      </w:r>
      <w:proofErr w:type="spellEnd"/>
      <w:r>
        <w:rPr>
          <w:rFonts w:ascii="Times New Roman" w:eastAsia="Calibri" w:hAnsi="Times New Roman" w:cs="Times New Roman"/>
          <w:color w:val="000000"/>
          <w:sz w:val="24"/>
          <w:szCs w:val="24"/>
        </w:rPr>
        <w:t xml:space="preserve"> Plains of India. </w:t>
      </w:r>
      <w:r>
        <w:rPr>
          <w:rFonts w:ascii="Times New Roman" w:eastAsia="Calibri" w:hAnsi="Times New Roman" w:cs="Times New Roman"/>
          <w:sz w:val="24"/>
          <w:szCs w:val="24"/>
        </w:rPr>
        <w:t xml:space="preserve"> </w:t>
      </w:r>
    </w:p>
    <w:p w14:paraId="24FED03C" w14:textId="77777777" w:rsidR="00B6568E" w:rsidRDefault="00000000">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Kumar, D., Pathak, H., &amp; Choudhary, V. </w:t>
      </w:r>
      <w:proofErr w:type="gramStart"/>
      <w:r>
        <w:rPr>
          <w:rFonts w:ascii="Times New Roman" w:eastAsia="Calibri" w:hAnsi="Times New Roman" w:cs="Times New Roman"/>
          <w:color w:val="000000"/>
          <w:sz w:val="24"/>
          <w:szCs w:val="24"/>
        </w:rPr>
        <w:t>An exploratory research</w:t>
      </w:r>
      <w:proofErr w:type="gramEnd"/>
      <w:r>
        <w:rPr>
          <w:rFonts w:ascii="Times New Roman" w:eastAsia="Calibri" w:hAnsi="Times New Roman" w:cs="Times New Roman"/>
          <w:color w:val="000000"/>
          <w:sz w:val="24"/>
          <w:szCs w:val="24"/>
        </w:rPr>
        <w:t xml:space="preserve"> on perception of Tarai region farmers towards climate change. </w:t>
      </w:r>
    </w:p>
    <w:p w14:paraId="5E875FEB" w14:textId="77777777" w:rsidR="00B6568E" w:rsidRDefault="00000000">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Kumar, G., &amp; Chander, H. (2020). Impacts of Climate Change on </w:t>
      </w:r>
      <w:proofErr w:type="spellStart"/>
      <w:r>
        <w:rPr>
          <w:rFonts w:ascii="Times New Roman" w:eastAsia="Calibri" w:hAnsi="Times New Roman" w:cs="Times New Roman"/>
          <w:color w:val="000000"/>
          <w:sz w:val="24"/>
          <w:szCs w:val="24"/>
        </w:rPr>
        <w:t>Agro</w:t>
      </w:r>
      <w:proofErr w:type="spellEnd"/>
      <w:r>
        <w:rPr>
          <w:rFonts w:ascii="Times New Roman" w:eastAsia="Calibri" w:hAnsi="Times New Roman" w:cs="Times New Roman"/>
          <w:color w:val="000000"/>
          <w:sz w:val="24"/>
          <w:szCs w:val="24"/>
        </w:rPr>
        <w:t xml:space="preserve">-biodiversity in Hamirpur Region of Himachal Pradesh, India. </w:t>
      </w:r>
      <w:r>
        <w:rPr>
          <w:rFonts w:ascii="Times New Roman" w:eastAsia="Calibri" w:hAnsi="Times New Roman" w:cs="Times New Roman"/>
          <w:i/>
          <w:color w:val="000000"/>
          <w:sz w:val="24"/>
          <w:szCs w:val="24"/>
        </w:rPr>
        <w:t>INTERNATIONAL JOURNAL OF PLANT AND ENVIRONMENT, 6</w:t>
      </w:r>
      <w:r>
        <w:rPr>
          <w:rFonts w:ascii="Times New Roman" w:eastAsia="Calibri" w:hAnsi="Times New Roman" w:cs="Times New Roman"/>
          <w:color w:val="000000"/>
          <w:sz w:val="24"/>
          <w:szCs w:val="24"/>
        </w:rPr>
        <w:t xml:space="preserve">(03), 198-206. </w:t>
      </w:r>
    </w:p>
    <w:p w14:paraId="0A779736"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Kumar, M. D., Reddy, V. R., </w:t>
      </w:r>
      <w:proofErr w:type="spellStart"/>
      <w:r>
        <w:rPr>
          <w:rFonts w:ascii="Times New Roman" w:eastAsia="Calibri" w:hAnsi="Times New Roman" w:cs="Times New Roman"/>
          <w:sz w:val="24"/>
          <w:szCs w:val="24"/>
        </w:rPr>
        <w:t>Narayanamoorthy</w:t>
      </w:r>
      <w:proofErr w:type="spellEnd"/>
      <w:r>
        <w:rPr>
          <w:rFonts w:ascii="Times New Roman" w:eastAsia="Calibri" w:hAnsi="Times New Roman" w:cs="Times New Roman"/>
          <w:sz w:val="24"/>
          <w:szCs w:val="24"/>
        </w:rPr>
        <w:t xml:space="preserve">, A., Bassi, N., &amp; James, A. J. (2018). Rainfed areas: poor definition and flawed solutions. </w:t>
      </w:r>
      <w:r>
        <w:rPr>
          <w:rFonts w:ascii="Times New Roman" w:eastAsia="Calibri" w:hAnsi="Times New Roman" w:cs="Times New Roman"/>
          <w:i/>
          <w:iCs/>
          <w:sz w:val="24"/>
          <w:szCs w:val="24"/>
        </w:rPr>
        <w:t>International Journal of Water Resources Development</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34</w:t>
      </w:r>
      <w:r>
        <w:rPr>
          <w:rFonts w:ascii="Times New Roman" w:eastAsia="Calibri" w:hAnsi="Times New Roman" w:cs="Times New Roman"/>
          <w:sz w:val="24"/>
          <w:szCs w:val="24"/>
        </w:rPr>
        <w:t xml:space="preserve">(2), 278-291. </w:t>
      </w:r>
      <w:hyperlink r:id="rId32" w:history="1">
        <w:r>
          <w:rPr>
            <w:rStyle w:val="Hyperlink"/>
            <w:rFonts w:ascii="Times New Roman" w:eastAsia="Calibri" w:hAnsi="Times New Roman" w:cs="Times New Roman"/>
            <w:color w:val="0000FF"/>
            <w:sz w:val="24"/>
            <w:szCs w:val="24"/>
          </w:rPr>
          <w:t>https://doi.org/10.1080/07900627.2017.1278680</w:t>
        </w:r>
      </w:hyperlink>
    </w:p>
    <w:p w14:paraId="28F0A81E" w14:textId="77777777" w:rsidR="00B6568E" w:rsidRDefault="00000000">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Kuniyal</w:t>
      </w:r>
      <w:proofErr w:type="spellEnd"/>
      <w:r>
        <w:rPr>
          <w:rFonts w:ascii="Times New Roman" w:eastAsia="Calibri" w:hAnsi="Times New Roman" w:cs="Times New Roman"/>
          <w:color w:val="000000"/>
          <w:sz w:val="24"/>
          <w:szCs w:val="24"/>
        </w:rPr>
        <w:t xml:space="preserve">, J. C., Kanwar, N., Bhoj, A. S., </w:t>
      </w:r>
      <w:proofErr w:type="spellStart"/>
      <w:r>
        <w:rPr>
          <w:rFonts w:ascii="Times New Roman" w:eastAsia="Calibri" w:hAnsi="Times New Roman" w:cs="Times New Roman"/>
          <w:color w:val="000000"/>
          <w:sz w:val="24"/>
          <w:szCs w:val="24"/>
        </w:rPr>
        <w:t>Rautela</w:t>
      </w:r>
      <w:proofErr w:type="spellEnd"/>
      <w:r>
        <w:rPr>
          <w:rFonts w:ascii="Times New Roman" w:eastAsia="Calibri" w:hAnsi="Times New Roman" w:cs="Times New Roman"/>
          <w:color w:val="000000"/>
          <w:sz w:val="24"/>
          <w:szCs w:val="24"/>
        </w:rPr>
        <w:t xml:space="preserve">, K. S., Joshi, P., Kumar, K., . . . Lodhi, M. S. (2021). Climate change impacts on glacier-fed and non-glacier-fed ecosystems of the Indian Himalayan Region: people’s perception and adaptive strategies. </w:t>
      </w:r>
      <w:r>
        <w:rPr>
          <w:rFonts w:ascii="Times New Roman" w:eastAsia="Calibri" w:hAnsi="Times New Roman" w:cs="Times New Roman"/>
          <w:i/>
          <w:color w:val="000000"/>
          <w:sz w:val="24"/>
          <w:szCs w:val="24"/>
        </w:rPr>
        <w:t>Current Science, 120</w:t>
      </w:r>
      <w:r>
        <w:rPr>
          <w:rFonts w:ascii="Times New Roman" w:eastAsia="Calibri" w:hAnsi="Times New Roman" w:cs="Times New Roman"/>
          <w:color w:val="000000"/>
          <w:sz w:val="24"/>
          <w:szCs w:val="24"/>
        </w:rPr>
        <w:t xml:space="preserve">(5), 888-899. </w:t>
      </w:r>
    </w:p>
    <w:p w14:paraId="336E54E6"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Kurukulasuriya, P., &amp; Mendelsohn, R. (2006). Endogenous irrigation: the impact of climate change on farmers in Africa. CEEPA discussion paper no. 18. Centre for Environmental Economics and Policy in Africa. Pretoria, South Africa: University of Pretoria.</w:t>
      </w:r>
    </w:p>
    <w:p w14:paraId="2ABBD8C4" w14:textId="77777777" w:rsidR="00B6568E" w:rsidRDefault="00000000">
      <w:pPr>
        <w:numPr>
          <w:ilvl w:val="0"/>
          <w:numId w:val="4"/>
        </w:numPr>
        <w:tabs>
          <w:tab w:val="left" w:pos="720"/>
        </w:tabs>
        <w:spacing w:beforeAutospacing="1" w:after="0" w:line="36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00"/>
          <w:sz w:val="24"/>
          <w:szCs w:val="24"/>
        </w:rPr>
        <w:t xml:space="preserve">Liang, J., Ding, Z., Jiang, Z., Yang, X., Xiao, R., Singh, P. B., . . . Hu, H. (2021). Climate change, habitat connectivity, and conservation gaps: a case study of four ungulate species endemic to the Tibetan Plateau. </w:t>
      </w:r>
      <w:r>
        <w:rPr>
          <w:rFonts w:ascii="Times New Roman" w:eastAsia="Calibri" w:hAnsi="Times New Roman" w:cs="Times New Roman"/>
          <w:i/>
          <w:color w:val="000000"/>
          <w:sz w:val="24"/>
          <w:szCs w:val="24"/>
        </w:rPr>
        <w:t>Landscape Ecology, 36</w:t>
      </w:r>
      <w:r>
        <w:rPr>
          <w:rFonts w:ascii="Times New Roman" w:eastAsia="Calibri" w:hAnsi="Times New Roman" w:cs="Times New Roman"/>
          <w:color w:val="000000"/>
          <w:sz w:val="24"/>
          <w:szCs w:val="24"/>
        </w:rPr>
        <w:t>(4), 1071-1087</w:t>
      </w:r>
      <w:r>
        <w:rPr>
          <w:rFonts w:ascii="Times New Roman" w:eastAsia="Calibri" w:hAnsi="Times New Roman"/>
          <w:color w:val="0000FF"/>
          <w:sz w:val="24"/>
          <w:szCs w:val="24"/>
        </w:rPr>
        <w:t xml:space="preserve">.https://doi.org/10.1007/s10980-021-01202-0 </w:t>
      </w:r>
    </w:p>
    <w:p w14:paraId="0377AF8C" w14:textId="77777777" w:rsidR="00B6568E" w:rsidRDefault="00000000">
      <w:pPr>
        <w:numPr>
          <w:ilvl w:val="0"/>
          <w:numId w:val="4"/>
        </w:numPr>
        <w:tabs>
          <w:tab w:val="left" w:pos="720"/>
        </w:tabs>
        <w:spacing w:beforeAutospacing="1" w:after="0" w:line="36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00"/>
          <w:sz w:val="24"/>
          <w:szCs w:val="24"/>
        </w:rPr>
        <w:t xml:space="preserve">Lionello, P., </w:t>
      </w:r>
      <w:proofErr w:type="spellStart"/>
      <w:r>
        <w:rPr>
          <w:rFonts w:ascii="Times New Roman" w:eastAsia="Calibri" w:hAnsi="Times New Roman" w:cs="Times New Roman"/>
          <w:color w:val="000000"/>
          <w:sz w:val="24"/>
          <w:szCs w:val="24"/>
        </w:rPr>
        <w:t>Ozsoy</w:t>
      </w:r>
      <w:proofErr w:type="spellEnd"/>
      <w:r>
        <w:rPr>
          <w:rFonts w:ascii="Times New Roman" w:eastAsia="Calibri" w:hAnsi="Times New Roman" w:cs="Times New Roman"/>
          <w:color w:val="000000"/>
          <w:sz w:val="24"/>
          <w:szCs w:val="24"/>
        </w:rPr>
        <w:t xml:space="preserve">, E., Planton, S., &amp; Zanchetta, G. (2017). Climate variability and change in the Mediterranean region. </w:t>
      </w:r>
      <w:r>
        <w:rPr>
          <w:rFonts w:ascii="Times New Roman" w:eastAsia="Calibri" w:hAnsi="Times New Roman" w:cs="Times New Roman"/>
          <w:i/>
          <w:color w:val="000000"/>
          <w:sz w:val="24"/>
          <w:szCs w:val="24"/>
        </w:rPr>
        <w:t>Global Planet. Change, 151</w:t>
      </w:r>
      <w:r>
        <w:rPr>
          <w:rFonts w:ascii="Times New Roman" w:eastAsia="Calibri" w:hAnsi="Times New Roman" w:cs="Times New Roman"/>
          <w:color w:val="000000"/>
          <w:sz w:val="24"/>
          <w:szCs w:val="24"/>
        </w:rPr>
        <w:t xml:space="preserve">, 1-3. </w:t>
      </w:r>
      <w:r>
        <w:rPr>
          <w:rFonts w:ascii="Times New Roman" w:eastAsia="Calibri" w:hAnsi="Times New Roman"/>
          <w:color w:val="000000"/>
          <w:sz w:val="24"/>
          <w:szCs w:val="24"/>
        </w:rPr>
        <w:t>https://ui.adsabs.harvard.edu/link_gateway/2017GPC...151....1L</w:t>
      </w:r>
      <w:r>
        <w:rPr>
          <w:rFonts w:ascii="Times New Roman" w:eastAsia="Calibri" w:hAnsi="Times New Roman"/>
          <w:color w:val="0000FF"/>
          <w:sz w:val="24"/>
          <w:szCs w:val="24"/>
        </w:rPr>
        <w:t>/</w:t>
      </w:r>
      <w:proofErr w:type="gramStart"/>
      <w:r>
        <w:rPr>
          <w:rFonts w:ascii="Times New Roman" w:eastAsia="Calibri" w:hAnsi="Times New Roman"/>
          <w:color w:val="0000FF"/>
          <w:sz w:val="24"/>
          <w:szCs w:val="24"/>
        </w:rPr>
        <w:t>doi:10.1016/j.gloplacha</w:t>
      </w:r>
      <w:proofErr w:type="gramEnd"/>
      <w:r>
        <w:rPr>
          <w:rFonts w:ascii="Times New Roman" w:eastAsia="Calibri" w:hAnsi="Times New Roman"/>
          <w:color w:val="0000FF"/>
          <w:sz w:val="24"/>
          <w:szCs w:val="24"/>
        </w:rPr>
        <w:t>.2017.04.005</w:t>
      </w:r>
    </w:p>
    <w:p w14:paraId="21964742"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Maddison, D. (2007). </w:t>
      </w:r>
      <w:r>
        <w:rPr>
          <w:rFonts w:ascii="Times New Roman" w:eastAsia="Calibri" w:hAnsi="Times New Roman" w:cs="Times New Roman"/>
          <w:i/>
          <w:iCs/>
          <w:sz w:val="24"/>
          <w:szCs w:val="24"/>
        </w:rPr>
        <w:t>The perception of and adaptation to climate change in Africa</w:t>
      </w:r>
      <w:r>
        <w:rPr>
          <w:rFonts w:ascii="Times New Roman" w:eastAsia="Calibri" w:hAnsi="Times New Roman" w:cs="Times New Roman"/>
          <w:sz w:val="24"/>
          <w:szCs w:val="24"/>
        </w:rPr>
        <w:t xml:space="preserve"> (Vol. 4308). World Bank Publications.</w:t>
      </w:r>
    </w:p>
    <w:p w14:paraId="1D3867B3" w14:textId="77777777" w:rsidR="00B6568E" w:rsidRDefault="00000000">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Maripe</w:t>
      </w:r>
      <w:proofErr w:type="spellEnd"/>
      <w:r>
        <w:rPr>
          <w:rFonts w:ascii="Times New Roman" w:eastAsia="Calibri" w:hAnsi="Times New Roman" w:cs="Times New Roman"/>
          <w:color w:val="000000"/>
          <w:sz w:val="24"/>
          <w:szCs w:val="24"/>
        </w:rPr>
        <w:t xml:space="preserve">, K., &amp; </w:t>
      </w:r>
      <w:proofErr w:type="spellStart"/>
      <w:r>
        <w:rPr>
          <w:rFonts w:ascii="Times New Roman" w:eastAsia="Calibri" w:hAnsi="Times New Roman" w:cs="Times New Roman"/>
          <w:color w:val="000000"/>
          <w:sz w:val="24"/>
          <w:szCs w:val="24"/>
        </w:rPr>
        <w:t>Rankopo</w:t>
      </w:r>
      <w:proofErr w:type="spellEnd"/>
      <w:r>
        <w:rPr>
          <w:rFonts w:ascii="Times New Roman" w:eastAsia="Calibri" w:hAnsi="Times New Roman" w:cs="Times New Roman"/>
          <w:color w:val="000000"/>
          <w:sz w:val="24"/>
          <w:szCs w:val="24"/>
        </w:rPr>
        <w:t>, M. (2018). Community Vulnerability in Climate Disaster and Environmental Sustainability: A Botswana Perspective. Current Journal of Applied Science and Technology, 26(3), 1-14.</w:t>
      </w:r>
      <w:r>
        <w:rPr>
          <w:rFonts w:ascii="Times New Roman" w:eastAsia="Calibri" w:hAnsi="Times New Roman"/>
          <w:color w:val="0000FF"/>
          <w:sz w:val="24"/>
          <w:szCs w:val="24"/>
        </w:rPr>
        <w:t>DOI: 10.9734/CJAST/2018/38850</w:t>
      </w:r>
      <w:r>
        <w:rPr>
          <w:rFonts w:ascii="Times New Roman" w:eastAsia="Calibri" w:hAnsi="Times New Roman"/>
          <w:color w:val="000000"/>
          <w:sz w:val="24"/>
          <w:szCs w:val="24"/>
        </w:rPr>
        <w:t xml:space="preserve"> </w:t>
      </w:r>
    </w:p>
    <w:p w14:paraId="17EF04C3" w14:textId="77777777" w:rsidR="00B6568E" w:rsidRDefault="00000000">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Majeed, M., Tariq, A., Anwar, M. M., Khan, A. M., Arshad, F., Mumtaz, F., . . . Aziz, M. (2021). Monitoring of Land Use–Land Cover Change and Potential Causal Factors of Climate Change in Jhelum District, Punjab, Pakistan, through GIS and Multi-Temporal Satellite Data. </w:t>
      </w:r>
      <w:r>
        <w:rPr>
          <w:rFonts w:ascii="Times New Roman" w:eastAsia="Calibri" w:hAnsi="Times New Roman" w:cs="Times New Roman"/>
          <w:i/>
          <w:color w:val="000000"/>
          <w:sz w:val="24"/>
          <w:szCs w:val="24"/>
        </w:rPr>
        <w:t>Land, 10</w:t>
      </w:r>
      <w:r>
        <w:rPr>
          <w:rFonts w:ascii="Times New Roman" w:eastAsia="Calibri" w:hAnsi="Times New Roman" w:cs="Times New Roman"/>
          <w:color w:val="000000"/>
          <w:sz w:val="24"/>
          <w:szCs w:val="24"/>
        </w:rPr>
        <w:t xml:space="preserve">(10), 1026. </w:t>
      </w:r>
    </w:p>
    <w:p w14:paraId="4796724C"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Masson-Delmotte, V., Zhai, P., </w:t>
      </w:r>
      <w:proofErr w:type="spellStart"/>
      <w:r>
        <w:rPr>
          <w:rFonts w:ascii="Times New Roman" w:eastAsia="Calibri" w:hAnsi="Times New Roman" w:cs="Times New Roman"/>
          <w:sz w:val="24"/>
          <w:szCs w:val="24"/>
        </w:rPr>
        <w:t>Pörtner</w:t>
      </w:r>
      <w:proofErr w:type="spellEnd"/>
      <w:r>
        <w:rPr>
          <w:rFonts w:ascii="Times New Roman" w:eastAsia="Calibri" w:hAnsi="Times New Roman" w:cs="Times New Roman"/>
          <w:sz w:val="24"/>
          <w:szCs w:val="24"/>
        </w:rPr>
        <w:t xml:space="preserve">, H. O., Roberts, D., Skea, J., &amp; Shukla, P. R. (2022). </w:t>
      </w:r>
      <w:r>
        <w:rPr>
          <w:rFonts w:ascii="Times New Roman" w:eastAsia="Calibri" w:hAnsi="Times New Roman" w:cs="Times New Roman"/>
          <w:i/>
          <w:iCs/>
          <w:sz w:val="24"/>
          <w:szCs w:val="24"/>
        </w:rPr>
        <w:t>Global Warming of 1.5 C: IPCC special report on impacts of global warming of 1.5 C above pre-industrial levels in context of strengthening response to climate change, sustainable development, and efforts to eradicate poverty</w:t>
      </w:r>
      <w:r>
        <w:rPr>
          <w:rFonts w:ascii="Times New Roman" w:eastAsia="Calibri" w:hAnsi="Times New Roman" w:cs="Times New Roman"/>
          <w:sz w:val="24"/>
          <w:szCs w:val="24"/>
        </w:rPr>
        <w:t xml:space="preserve">. Cambridge University Press. </w:t>
      </w:r>
      <w:hyperlink r:id="rId33" w:history="1">
        <w:r>
          <w:rPr>
            <w:rStyle w:val="Hyperlink"/>
            <w:rFonts w:ascii="Times New Roman" w:eastAsia="Calibri" w:hAnsi="Times New Roman" w:cs="Times New Roman"/>
            <w:color w:val="0000FF"/>
            <w:sz w:val="24"/>
            <w:szCs w:val="24"/>
          </w:rPr>
          <w:t>https://doi.org/10.1017/9781009157940</w:t>
        </w:r>
      </w:hyperlink>
    </w:p>
    <w:p w14:paraId="71ABB60F" w14:textId="77777777" w:rsidR="00B6568E" w:rsidRDefault="00000000">
      <w:pPr>
        <w:numPr>
          <w:ilvl w:val="0"/>
          <w:numId w:val="4"/>
        </w:numPr>
        <w:tabs>
          <w:tab w:val="left" w:pos="720"/>
        </w:tabs>
        <w:spacing w:beforeAutospacing="1" w:after="0" w:afterAutospacing="1"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bidi="ar"/>
        </w:rPr>
        <w:t xml:space="preserve">Mehar, M., Mittal, S., &amp; Prasad, N. (2016). Farmers coping strategies for climate shock: Is it differentiated by gender? </w:t>
      </w:r>
      <w:r>
        <w:rPr>
          <w:rFonts w:ascii="Times New Roman" w:eastAsia="Times New Roman" w:hAnsi="Times New Roman" w:cs="Times New Roman"/>
          <w:i/>
          <w:iCs/>
          <w:sz w:val="24"/>
          <w:szCs w:val="24"/>
          <w:lang w:bidi="ar"/>
        </w:rPr>
        <w:t>Journal of Rural Studies</w:t>
      </w:r>
      <w:r>
        <w:rPr>
          <w:rFonts w:ascii="Times New Roman" w:eastAsia="Times New Roman" w:hAnsi="Times New Roman" w:cs="Times New Roman"/>
          <w:sz w:val="24"/>
          <w:szCs w:val="24"/>
          <w:lang w:bidi="ar"/>
        </w:rPr>
        <w:t>, 44, 123–131.</w:t>
      </w:r>
    </w:p>
    <w:p w14:paraId="63743F3B"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Mendelsohn, R., &amp; Dinar, A. (2003). Climate, water, and agriculture. </w:t>
      </w:r>
      <w:r>
        <w:rPr>
          <w:rFonts w:ascii="Times New Roman" w:eastAsia="Calibri" w:hAnsi="Times New Roman" w:cs="Times New Roman"/>
          <w:i/>
          <w:iCs/>
          <w:sz w:val="24"/>
          <w:szCs w:val="24"/>
        </w:rPr>
        <w:t>Land economics</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79</w:t>
      </w:r>
      <w:r>
        <w:rPr>
          <w:rFonts w:ascii="Times New Roman" w:eastAsia="Calibri" w:hAnsi="Times New Roman" w:cs="Times New Roman"/>
          <w:sz w:val="24"/>
          <w:szCs w:val="24"/>
        </w:rPr>
        <w:t>(3), 328-341.</w:t>
      </w:r>
      <w:r>
        <w:rPr>
          <w:rFonts w:ascii="Helvetica" w:eastAsia="Calibri" w:hAnsi="Helvetica" w:cs="Times New Roman"/>
          <w:color w:val="50595C"/>
          <w:sz w:val="18"/>
          <w:szCs w:val="18"/>
          <w:shd w:val="clear" w:color="auto" w:fill="FFFFFF"/>
        </w:rPr>
        <w:t xml:space="preserve"> </w:t>
      </w:r>
      <w:r>
        <w:rPr>
          <w:rFonts w:ascii="Times New Roman" w:eastAsia="Calibri" w:hAnsi="Times New Roman" w:cs="Times New Roman"/>
          <w:sz w:val="24"/>
          <w:szCs w:val="24"/>
        </w:rPr>
        <w:t xml:space="preserve">DOI: </w:t>
      </w:r>
      <w:hyperlink r:id="rId34" w:history="1">
        <w:r>
          <w:rPr>
            <w:rStyle w:val="Hyperlink"/>
            <w:rFonts w:ascii="Times New Roman" w:eastAsia="Calibri" w:hAnsi="Times New Roman" w:cs="Times New Roman"/>
            <w:color w:val="0000FF"/>
            <w:sz w:val="24"/>
            <w:szCs w:val="24"/>
          </w:rPr>
          <w:t>https://doi.org/10.2307/3147020</w:t>
        </w:r>
      </w:hyperlink>
    </w:p>
    <w:p w14:paraId="7DAA95EB"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Mendelsohn, R., Nordhaus, W., &amp; Shaw, D. (1996). Climate impacts on aggregate farm value: accounting for adaptation. </w:t>
      </w:r>
      <w:r>
        <w:rPr>
          <w:rFonts w:ascii="Times New Roman" w:eastAsia="Calibri" w:hAnsi="Times New Roman" w:cs="Times New Roman"/>
          <w:i/>
          <w:iCs/>
          <w:sz w:val="24"/>
          <w:szCs w:val="24"/>
        </w:rPr>
        <w:t>Agricultural and forest meteorology</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80</w:t>
      </w:r>
      <w:r>
        <w:rPr>
          <w:rFonts w:ascii="Times New Roman" w:eastAsia="Calibri" w:hAnsi="Times New Roman" w:cs="Times New Roman"/>
          <w:sz w:val="24"/>
          <w:szCs w:val="24"/>
        </w:rPr>
        <w:t>(1), 55-66.</w:t>
      </w:r>
      <w:r>
        <w:rPr>
          <w:rFonts w:ascii="Calibri" w:eastAsia="Times New Roman" w:hAnsi="Calibri" w:cs="Times New Roman" w:hint="eastAsia"/>
        </w:rPr>
        <w:t xml:space="preserve"> </w:t>
      </w:r>
      <w:hyperlink r:id="rId35" w:history="1">
        <w:r>
          <w:rPr>
            <w:rStyle w:val="Hyperlink"/>
            <w:rFonts w:ascii="Times New Roman" w:eastAsia="Calibri" w:hAnsi="Times New Roman" w:cs="Times New Roman"/>
            <w:color w:val="0000FF"/>
            <w:sz w:val="24"/>
            <w:szCs w:val="24"/>
          </w:rPr>
          <w:t>https://doi.org/10.1016/0168-1923(95)02316-X</w:t>
        </w:r>
      </w:hyperlink>
    </w:p>
    <w:p w14:paraId="14465042"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Mertz, O., Halsnæs, K., Olesen, J. E., &amp; Rasmussen, K. (2009). Adaptation to climate change in developing countries. </w:t>
      </w:r>
      <w:r>
        <w:rPr>
          <w:rFonts w:ascii="Times New Roman" w:eastAsia="Calibri" w:hAnsi="Times New Roman" w:cs="Times New Roman"/>
          <w:i/>
          <w:iCs/>
          <w:sz w:val="24"/>
          <w:szCs w:val="24"/>
        </w:rPr>
        <w:t>Environmental management</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43</w:t>
      </w:r>
      <w:r>
        <w:rPr>
          <w:rFonts w:ascii="Times New Roman" w:eastAsia="Calibri" w:hAnsi="Times New Roman" w:cs="Times New Roman"/>
          <w:sz w:val="24"/>
          <w:szCs w:val="24"/>
        </w:rPr>
        <w:t>, 743-752.</w:t>
      </w:r>
      <w:r>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sz w:val="24"/>
          <w:szCs w:val="24"/>
        </w:rPr>
        <w:t xml:space="preserve"> </w:t>
      </w:r>
      <w:hyperlink r:id="rId36" w:history="1">
        <w:r>
          <w:rPr>
            <w:rStyle w:val="Hyperlink"/>
            <w:rFonts w:ascii="Times New Roman" w:eastAsia="Calibri" w:hAnsi="Times New Roman" w:cs="Times New Roman"/>
            <w:color w:val="0000FF"/>
            <w:sz w:val="24"/>
            <w:szCs w:val="24"/>
          </w:rPr>
          <w:t>https://doi.org/10.1007/s00267-008-9259-3</w:t>
        </w:r>
      </w:hyperlink>
    </w:p>
    <w:p w14:paraId="6881BF6D" w14:textId="77777777" w:rsidR="00B6568E" w:rsidRDefault="00000000">
      <w:pPr>
        <w:numPr>
          <w:ilvl w:val="0"/>
          <w:numId w:val="4"/>
        </w:numPr>
        <w:tabs>
          <w:tab w:val="left" w:pos="720"/>
        </w:tabs>
        <w:spacing w:after="160" w:line="271" w:lineRule="auto"/>
        <w:contextualSpacing/>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Murtaza, K. O., &amp; </w:t>
      </w:r>
      <w:proofErr w:type="spellStart"/>
      <w:r>
        <w:rPr>
          <w:rFonts w:ascii="Times New Roman" w:eastAsia="Times New Roman" w:hAnsi="Times New Roman" w:cs="Times New Roman"/>
          <w:color w:val="1F1F1F"/>
          <w:sz w:val="24"/>
          <w:szCs w:val="24"/>
        </w:rPr>
        <w:t>Romshoo</w:t>
      </w:r>
      <w:proofErr w:type="spellEnd"/>
      <w:r>
        <w:rPr>
          <w:rFonts w:ascii="Times New Roman" w:eastAsia="Times New Roman" w:hAnsi="Times New Roman" w:cs="Times New Roman"/>
          <w:color w:val="1F1F1F"/>
          <w:sz w:val="24"/>
          <w:szCs w:val="24"/>
        </w:rPr>
        <w:t xml:space="preserve">, S. A. (2017). Recent glacier changes in the Kashmir alpine Himalayas, India. </w:t>
      </w:r>
      <w:proofErr w:type="spellStart"/>
      <w:r>
        <w:rPr>
          <w:rFonts w:ascii="Times New Roman" w:eastAsia="Times New Roman" w:hAnsi="Times New Roman" w:cs="Times New Roman"/>
          <w:color w:val="1F1F1F"/>
          <w:sz w:val="24"/>
          <w:szCs w:val="24"/>
        </w:rPr>
        <w:t>Geocarto</w:t>
      </w:r>
      <w:proofErr w:type="spellEnd"/>
      <w:r>
        <w:rPr>
          <w:rFonts w:ascii="Times New Roman" w:eastAsia="Times New Roman" w:hAnsi="Times New Roman" w:cs="Times New Roman"/>
          <w:color w:val="1F1F1F"/>
          <w:sz w:val="24"/>
          <w:szCs w:val="24"/>
        </w:rPr>
        <w:t xml:space="preserve"> International, 32(2), 188–205. </w:t>
      </w:r>
      <w:hyperlink r:id="rId37" w:history="1">
        <w:r>
          <w:rPr>
            <w:rStyle w:val="Hyperlink"/>
            <w:rFonts w:ascii="Times New Roman" w:eastAsia="Times New Roman" w:hAnsi="Times New Roman" w:cs="Times New Roman"/>
            <w:sz w:val="24"/>
            <w:szCs w:val="24"/>
          </w:rPr>
          <w:t>https://doi.org/10.1080/10106049.2015.1132482</w:t>
        </w:r>
      </w:hyperlink>
    </w:p>
    <w:p w14:paraId="5499B56D"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Naik, R. K., Dash, S., &amp; Das, M. K. (2024). Climate Change Vulnerability and Adaptation Strategies of Rice Cultivators in Odisha, India. Asian Journal of Agricultural Extension, Economics &amp; Sociology, 42(4), 131-42.</w:t>
      </w:r>
    </w:p>
    <w:p w14:paraId="27D207F7"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Nayak, S., &amp; Singh, S. (2020). Development of gender sensitive vulnerability index for urban Indian Slums. </w:t>
      </w:r>
      <w:r>
        <w:rPr>
          <w:rFonts w:ascii="Times New Roman" w:eastAsia="Calibri" w:hAnsi="Times New Roman" w:cs="Times New Roman"/>
          <w:i/>
          <w:iCs/>
          <w:sz w:val="24"/>
          <w:szCs w:val="24"/>
        </w:rPr>
        <w:t>Indian Journal of Traditional Knowledge (IJTK)</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19</w:t>
      </w:r>
      <w:r>
        <w:rPr>
          <w:rFonts w:ascii="Times New Roman" w:eastAsia="Calibri" w:hAnsi="Times New Roman" w:cs="Times New Roman"/>
          <w:sz w:val="24"/>
          <w:szCs w:val="24"/>
        </w:rPr>
        <w:t xml:space="preserve">(3), 592-597. </w:t>
      </w:r>
      <w:hyperlink r:id="rId38" w:history="1">
        <w:r>
          <w:rPr>
            <w:rStyle w:val="Hyperlink"/>
            <w:rFonts w:ascii="Times New Roman" w:eastAsia="Calibri" w:hAnsi="Times New Roman" w:cs="Times New Roman"/>
            <w:color w:val="0000FF"/>
            <w:sz w:val="24"/>
            <w:szCs w:val="24"/>
          </w:rPr>
          <w:t>http://op.niscpr.res.in/index.php/IJTK/article/view/41484/0</w:t>
        </w:r>
      </w:hyperlink>
    </w:p>
    <w:p w14:paraId="3F8861C0"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Nhemachena, C., &amp; Hassan, R. H. (2007). Micro-level analysis of Farmers’ adaptation to climate change in Southern Africa. IFPRI discussion paper no. 00714; International Food Policy Research Institute: Washington, DC, USA.</w:t>
      </w:r>
    </w:p>
    <w:p w14:paraId="6E1AE67A"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Nicholls, R. J., &amp; Leatherman, S. P. (1995). The implications of accelerated sea-level rise for developing countries: a discussion. </w:t>
      </w:r>
      <w:r>
        <w:rPr>
          <w:rFonts w:ascii="Times New Roman" w:eastAsia="Calibri" w:hAnsi="Times New Roman" w:cs="Times New Roman"/>
          <w:i/>
          <w:iCs/>
          <w:sz w:val="24"/>
          <w:szCs w:val="24"/>
        </w:rPr>
        <w:t>Journal of Coastal Research</w:t>
      </w:r>
      <w:r>
        <w:rPr>
          <w:rFonts w:ascii="Times New Roman" w:eastAsia="Calibri" w:hAnsi="Times New Roman" w:cs="Times New Roman"/>
          <w:sz w:val="24"/>
          <w:szCs w:val="24"/>
        </w:rPr>
        <w:t>, 303-323.</w:t>
      </w:r>
    </w:p>
    <w:p w14:paraId="1908CD76" w14:textId="77777777" w:rsidR="00B6568E" w:rsidRDefault="00000000">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Nüsser</w:t>
      </w:r>
      <w:proofErr w:type="spellEnd"/>
      <w:r>
        <w:rPr>
          <w:rFonts w:ascii="Times New Roman" w:eastAsia="Calibri" w:hAnsi="Times New Roman" w:cs="Times New Roman"/>
          <w:color w:val="000000"/>
          <w:sz w:val="24"/>
          <w:szCs w:val="24"/>
        </w:rPr>
        <w:t xml:space="preserve">, M., Dame, J., Parveen, S., Kraus, B., Baghel, R., &amp; Schmidt, S. (2019). Cryosphere-fed irrigation networks in the northwestern Himalaya: Precarious livelihoods and adaptation strategies under the impact of climate change. </w:t>
      </w:r>
      <w:r>
        <w:rPr>
          <w:rFonts w:ascii="Times New Roman" w:eastAsia="Calibri" w:hAnsi="Times New Roman" w:cs="Times New Roman"/>
          <w:i/>
          <w:color w:val="000000"/>
          <w:sz w:val="24"/>
          <w:szCs w:val="24"/>
        </w:rPr>
        <w:t>Mountain Research and Development, 39</w:t>
      </w:r>
      <w:r>
        <w:rPr>
          <w:rFonts w:ascii="Times New Roman" w:eastAsia="Calibri" w:hAnsi="Times New Roman" w:cs="Times New Roman"/>
          <w:color w:val="000000"/>
          <w:sz w:val="24"/>
          <w:szCs w:val="24"/>
        </w:rPr>
        <w:t>(2), R1-R11.</w:t>
      </w:r>
      <w:r>
        <w:rPr>
          <w:rFonts w:ascii="Times New Roman" w:eastAsia="Calibri" w:hAnsi="Times New Roman" w:cs="Times New Roman"/>
          <w:color w:val="0000FF"/>
          <w:sz w:val="24"/>
          <w:szCs w:val="24"/>
        </w:rPr>
        <w:t xml:space="preserve"> </w:t>
      </w:r>
      <w:r>
        <w:rPr>
          <w:rFonts w:ascii="Times New Roman" w:eastAsia="Calibri" w:hAnsi="Times New Roman"/>
          <w:color w:val="0000FF"/>
          <w:sz w:val="24"/>
          <w:szCs w:val="24"/>
        </w:rPr>
        <w:t>https://doi.org/10.1659/MRD-JOURNAL-D-18-00072.1</w:t>
      </w:r>
    </w:p>
    <w:p w14:paraId="01BED427"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Pan, J., &amp; Zheng, Y. (2010). Analytical framework and policy implications on adapting to climate change. </w:t>
      </w:r>
      <w:r>
        <w:rPr>
          <w:rFonts w:ascii="Times New Roman" w:eastAsia="Calibri" w:hAnsi="Times New Roman" w:cs="Times New Roman"/>
          <w:i/>
          <w:iCs/>
          <w:sz w:val="24"/>
          <w:szCs w:val="24"/>
        </w:rPr>
        <w:t xml:space="preserve">China Population. </w:t>
      </w:r>
      <w:proofErr w:type="spellStart"/>
      <w:r>
        <w:rPr>
          <w:rFonts w:ascii="Times New Roman" w:eastAsia="Calibri" w:hAnsi="Times New Roman" w:cs="Times New Roman"/>
          <w:i/>
          <w:iCs/>
          <w:sz w:val="24"/>
          <w:szCs w:val="24"/>
        </w:rPr>
        <w:t>Resour</w:t>
      </w:r>
      <w:proofErr w:type="spellEnd"/>
      <w:r>
        <w:rPr>
          <w:rFonts w:ascii="Times New Roman" w:eastAsia="Calibri" w:hAnsi="Times New Roman" w:cs="Times New Roman"/>
          <w:i/>
          <w:iCs/>
          <w:sz w:val="24"/>
          <w:szCs w:val="24"/>
        </w:rPr>
        <w:t>. Environ</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20</w:t>
      </w:r>
      <w:r>
        <w:rPr>
          <w:rFonts w:ascii="Times New Roman" w:eastAsia="Calibri" w:hAnsi="Times New Roman" w:cs="Times New Roman"/>
          <w:sz w:val="24"/>
          <w:szCs w:val="24"/>
        </w:rPr>
        <w:t>, 1-5.</w:t>
      </w:r>
      <w:r>
        <w:rPr>
          <w:rFonts w:ascii="Calibri" w:eastAsia="Times New Roman" w:hAnsi="Calibri" w:cs="Times New Roman" w:hint="eastAsia"/>
        </w:rPr>
        <w:t xml:space="preserve"> </w:t>
      </w:r>
      <w:hyperlink r:id="rId39" w:history="1">
        <w:r>
          <w:rPr>
            <w:rStyle w:val="Hyperlink"/>
            <w:rFonts w:ascii="Times New Roman" w:eastAsia="Calibri" w:hAnsi="Times New Roman" w:cs="Times New Roman"/>
            <w:color w:val="0000FF"/>
            <w:sz w:val="24"/>
            <w:szCs w:val="24"/>
          </w:rPr>
          <w:t>https://doi.org/10.3969/j.issn.1002-2104.2010.10.001</w:t>
        </w:r>
      </w:hyperlink>
    </w:p>
    <w:p w14:paraId="10DD9D0F"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color w:val="222222"/>
          <w:sz w:val="24"/>
          <w:szCs w:val="24"/>
          <w:shd w:val="clear" w:color="auto" w:fill="FFFFFF"/>
        </w:rPr>
      </w:pPr>
      <w:proofErr w:type="spellStart"/>
      <w:r>
        <w:rPr>
          <w:rFonts w:ascii="Times New Roman" w:eastAsia="Calibri" w:hAnsi="Times New Roman" w:cs="Times New Roman"/>
          <w:color w:val="222222"/>
          <w:sz w:val="24"/>
          <w:szCs w:val="24"/>
          <w:shd w:val="clear" w:color="auto" w:fill="FFFFFF"/>
        </w:rPr>
        <w:t>Parrey</w:t>
      </w:r>
      <w:proofErr w:type="spellEnd"/>
      <w:r>
        <w:rPr>
          <w:rFonts w:ascii="Times New Roman" w:eastAsia="Calibri" w:hAnsi="Times New Roman" w:cs="Times New Roman"/>
          <w:color w:val="222222"/>
          <w:sz w:val="24"/>
          <w:szCs w:val="24"/>
          <w:shd w:val="clear" w:color="auto" w:fill="FFFFFF"/>
        </w:rPr>
        <w:t xml:space="preserve">, H. A., Shah, S. A., &amp; Bhat, M. S. (2024). </w:t>
      </w:r>
      <w:proofErr w:type="spellStart"/>
      <w:r>
        <w:rPr>
          <w:rFonts w:ascii="Times New Roman" w:eastAsia="Calibri" w:hAnsi="Times New Roman" w:cs="Times New Roman"/>
          <w:color w:val="222222"/>
          <w:sz w:val="24"/>
          <w:szCs w:val="24"/>
          <w:shd w:val="clear" w:color="auto" w:fill="FFFFFF"/>
        </w:rPr>
        <w:t>Analysing</w:t>
      </w:r>
      <w:proofErr w:type="spellEnd"/>
      <w:r>
        <w:rPr>
          <w:rFonts w:ascii="Times New Roman" w:eastAsia="Calibri" w:hAnsi="Times New Roman" w:cs="Times New Roman"/>
          <w:color w:val="222222"/>
          <w:sz w:val="24"/>
          <w:szCs w:val="24"/>
          <w:shd w:val="clear" w:color="auto" w:fill="FFFFFF"/>
        </w:rPr>
        <w:t xml:space="preserve"> Climate Change Manifestations Through People's Perception in Kashmir Valley, India. </w:t>
      </w:r>
      <w:r>
        <w:rPr>
          <w:rFonts w:ascii="Times New Roman" w:eastAsia="Calibri" w:hAnsi="Times New Roman" w:cs="Times New Roman"/>
          <w:i/>
          <w:iCs/>
          <w:color w:val="222222"/>
          <w:sz w:val="24"/>
          <w:szCs w:val="24"/>
          <w:shd w:val="clear" w:color="auto" w:fill="FFFFFF"/>
        </w:rPr>
        <w:t>Journal of Advanced Zoology</w:t>
      </w:r>
      <w:r>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i/>
          <w:iCs/>
          <w:color w:val="222222"/>
          <w:sz w:val="24"/>
          <w:szCs w:val="24"/>
          <w:shd w:val="clear" w:color="auto" w:fill="FFFFFF"/>
        </w:rPr>
        <w:t>45</w:t>
      </w:r>
      <w:r>
        <w:rPr>
          <w:rFonts w:ascii="Times New Roman" w:eastAsia="Calibri" w:hAnsi="Times New Roman" w:cs="Times New Roman"/>
          <w:color w:val="222222"/>
          <w:sz w:val="24"/>
          <w:szCs w:val="24"/>
          <w:shd w:val="clear" w:color="auto" w:fill="FFFFFF"/>
        </w:rPr>
        <w:t>(2).</w:t>
      </w:r>
      <w:r>
        <w:rPr>
          <w:rFonts w:ascii="Arial" w:eastAsia="Calibri" w:hAnsi="Arial" w:cs="Arial"/>
          <w:color w:val="263182"/>
          <w:sz w:val="26"/>
          <w:szCs w:val="26"/>
          <w:shd w:val="clear" w:color="auto" w:fill="F9F9FA"/>
        </w:rPr>
        <w:t xml:space="preserve"> </w:t>
      </w:r>
      <w:r>
        <w:rPr>
          <w:rFonts w:ascii="Times New Roman" w:eastAsia="Calibri" w:hAnsi="Times New Roman" w:cs="Times New Roman"/>
          <w:color w:val="0000FF"/>
          <w:sz w:val="24"/>
          <w:szCs w:val="24"/>
          <w:u w:val="single"/>
          <w:shd w:val="clear" w:color="auto" w:fill="FFFFFF"/>
        </w:rPr>
        <w:t>https://doi.org/10.53555/jaz.v45i2.3847</w:t>
      </w:r>
    </w:p>
    <w:p w14:paraId="20DF0778"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Planton, S., </w:t>
      </w:r>
      <w:proofErr w:type="spellStart"/>
      <w:r>
        <w:rPr>
          <w:rFonts w:ascii="Times New Roman" w:eastAsia="Calibri" w:hAnsi="Times New Roman" w:cs="Times New Roman"/>
          <w:sz w:val="24"/>
          <w:szCs w:val="24"/>
        </w:rPr>
        <w:t>Déqué</w:t>
      </w:r>
      <w:proofErr w:type="spellEnd"/>
      <w:r>
        <w:rPr>
          <w:rFonts w:ascii="Times New Roman" w:eastAsia="Calibri" w:hAnsi="Times New Roman" w:cs="Times New Roman"/>
          <w:sz w:val="24"/>
          <w:szCs w:val="24"/>
        </w:rPr>
        <w:t xml:space="preserve">, M., Chauvin, F., &amp; Terray, L. (2008). Expected impacts of climate change on extreme climate events. </w:t>
      </w:r>
      <w:proofErr w:type="spellStart"/>
      <w:r>
        <w:rPr>
          <w:rFonts w:ascii="Times New Roman" w:eastAsia="Calibri" w:hAnsi="Times New Roman" w:cs="Times New Roman"/>
          <w:i/>
          <w:iCs/>
          <w:sz w:val="24"/>
          <w:szCs w:val="24"/>
        </w:rPr>
        <w:t>Comptes</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Rendus</w:t>
      </w:r>
      <w:proofErr w:type="spellEnd"/>
      <w:r>
        <w:rPr>
          <w:rFonts w:ascii="Times New Roman" w:eastAsia="Calibri" w:hAnsi="Times New Roman" w:cs="Times New Roman"/>
          <w:i/>
          <w:iCs/>
          <w:sz w:val="24"/>
          <w:szCs w:val="24"/>
        </w:rPr>
        <w:t xml:space="preserve"> Geoscience</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340</w:t>
      </w:r>
      <w:r>
        <w:rPr>
          <w:rFonts w:ascii="Times New Roman" w:eastAsia="Calibri" w:hAnsi="Times New Roman" w:cs="Times New Roman"/>
          <w:sz w:val="24"/>
          <w:szCs w:val="24"/>
        </w:rPr>
        <w:t>(9-10), 564-574.</w:t>
      </w:r>
      <w:r>
        <w:rPr>
          <w:rFonts w:ascii="Calibri" w:eastAsia="Times New Roman" w:hAnsi="Calibri" w:cs="Times New Roman" w:hint="eastAsia"/>
        </w:rPr>
        <w:t xml:space="preserve"> </w:t>
      </w:r>
      <w:hyperlink r:id="rId40" w:history="1">
        <w:r>
          <w:rPr>
            <w:rStyle w:val="Hyperlink"/>
            <w:rFonts w:ascii="Times New Roman" w:eastAsia="Calibri" w:hAnsi="Times New Roman" w:cs="Times New Roman"/>
            <w:color w:val="0000FF"/>
            <w:sz w:val="24"/>
            <w:szCs w:val="24"/>
          </w:rPr>
          <w:t>https://doi.org/10.1016/j.crte.2008.07.009</w:t>
        </w:r>
      </w:hyperlink>
    </w:p>
    <w:p w14:paraId="272E47DC"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Qazi, S. A. (2005). Systematic geography of Jammu and Kashmir. APH Publishing.</w:t>
      </w:r>
    </w:p>
    <w:p w14:paraId="35877E6A" w14:textId="77777777" w:rsidR="00B6568E" w:rsidRDefault="00000000">
      <w:pPr>
        <w:numPr>
          <w:ilvl w:val="0"/>
          <w:numId w:val="4"/>
        </w:numPr>
        <w:tabs>
          <w:tab w:val="left" w:pos="720"/>
        </w:tabs>
        <w:spacing w:beforeAutospacing="1" w:after="0" w:line="360" w:lineRule="auto"/>
        <w:jc w:val="both"/>
        <w:rPr>
          <w:rStyle w:val="Hyperlink"/>
          <w:rFonts w:ascii="Times New Roman" w:eastAsia="Calibri" w:hAnsi="Times New Roman" w:cs="Times New Roman"/>
          <w:color w:val="0000FF"/>
          <w:sz w:val="24"/>
          <w:szCs w:val="24"/>
        </w:rPr>
      </w:pPr>
      <w:r>
        <w:rPr>
          <w:rFonts w:ascii="Times New Roman" w:eastAsia="Calibri" w:hAnsi="Times New Roman" w:cs="Times New Roman"/>
          <w:color w:val="000000"/>
          <w:sz w:val="24"/>
          <w:szCs w:val="24"/>
        </w:rPr>
        <w:t xml:space="preserve">Raghuvanshi, M., Gaur, M. K., &amp; Goyal, R. (2020). Vulnerability of Resource-Poor Farmers to Climate Change and Traditional Adaptation Pattern at High-Altitude Cold Arid Region </w:t>
      </w:r>
      <w:r>
        <w:rPr>
          <w:rFonts w:ascii="Times New Roman" w:eastAsia="Calibri" w:hAnsi="Times New Roman" w:cs="Times New Roman"/>
          <w:i/>
          <w:color w:val="000000"/>
          <w:sz w:val="24"/>
          <w:szCs w:val="24"/>
        </w:rPr>
        <w:t>Food Security and Land Use Change under Conditions of Climatic Variability</w:t>
      </w:r>
      <w:r>
        <w:rPr>
          <w:rFonts w:ascii="Times New Roman" w:eastAsia="Calibri" w:hAnsi="Times New Roman" w:cs="Times New Roman"/>
          <w:color w:val="000000"/>
          <w:sz w:val="24"/>
          <w:szCs w:val="24"/>
        </w:rPr>
        <w:t xml:space="preserve"> (pp. 311-329): Springer.</w:t>
      </w:r>
      <w:r>
        <w:rPr>
          <w:rFonts w:ascii="Helvetica" w:eastAsia="Helvetica" w:hAnsi="Helvetica" w:cs="Helvetica"/>
          <w:color w:val="222222"/>
          <w:sz w:val="19"/>
          <w:szCs w:val="19"/>
          <w:shd w:val="clear" w:color="auto" w:fill="FFFFFF"/>
        </w:rPr>
        <w:t> </w:t>
      </w:r>
      <w:r>
        <w:rPr>
          <w:rStyle w:val="Hyperlink"/>
          <w:rFonts w:ascii="Times New Roman" w:eastAsia="Calibri" w:hAnsi="Times New Roman" w:cs="Times New Roman"/>
          <w:color w:val="0000FF"/>
          <w:sz w:val="24"/>
          <w:szCs w:val="24"/>
        </w:rPr>
        <w:t>https://doi.org/10.1007/978-3-030-36762-6_16</w:t>
      </w:r>
    </w:p>
    <w:p w14:paraId="2A098AE4" w14:textId="77777777" w:rsidR="00B6568E" w:rsidRDefault="00000000">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Raina, A., &amp; Sharma, V. (2021). Problems and Prospects of Himalayan Farmers and Farming: A Case Study of District Kishtwar, Jammu and Kashmir. </w:t>
      </w:r>
      <w:r>
        <w:rPr>
          <w:rFonts w:ascii="Times New Roman" w:eastAsia="Calibri" w:hAnsi="Times New Roman" w:cs="Times New Roman"/>
          <w:i/>
          <w:color w:val="000000"/>
          <w:sz w:val="24"/>
          <w:szCs w:val="24"/>
        </w:rPr>
        <w:t>Regional Economic Development Research</w:t>
      </w:r>
      <w:r>
        <w:rPr>
          <w:rFonts w:ascii="Times New Roman" w:eastAsia="Calibri" w:hAnsi="Times New Roman" w:cs="Times New Roman"/>
          <w:color w:val="000000"/>
          <w:sz w:val="24"/>
          <w:szCs w:val="24"/>
        </w:rPr>
        <w:t>, 82-</w:t>
      </w:r>
      <w:proofErr w:type="gramStart"/>
      <w:r>
        <w:rPr>
          <w:rFonts w:ascii="Times New Roman" w:eastAsia="Calibri" w:hAnsi="Times New Roman" w:cs="Times New Roman"/>
          <w:color w:val="000000"/>
          <w:sz w:val="24"/>
          <w:szCs w:val="24"/>
        </w:rPr>
        <w:t>95.</w:t>
      </w:r>
      <w:r>
        <w:rPr>
          <w:rFonts w:ascii="Times New Roman" w:eastAsia="Calibri" w:hAnsi="Times New Roman"/>
          <w:color w:val="0000FF"/>
          <w:sz w:val="24"/>
          <w:szCs w:val="24"/>
        </w:rPr>
        <w:t>https://doi.org/10.37256/redr.212021776</w:t>
      </w:r>
      <w:proofErr w:type="gramEnd"/>
      <w:r>
        <w:rPr>
          <w:rFonts w:ascii="Times New Roman" w:eastAsia="Calibri" w:hAnsi="Times New Roman"/>
          <w:color w:val="0000FF"/>
          <w:sz w:val="24"/>
          <w:szCs w:val="24"/>
        </w:rPr>
        <w:t xml:space="preserve"> </w:t>
      </w:r>
    </w:p>
    <w:p w14:paraId="4B221343" w14:textId="77777777" w:rsidR="00B6568E" w:rsidRDefault="00000000">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bookmarkStart w:id="13" w:name="_ENREF_1"/>
      <w:bookmarkStart w:id="14" w:name="_ENREF_2"/>
      <w:bookmarkEnd w:id="13"/>
      <w:bookmarkEnd w:id="14"/>
      <w:r>
        <w:rPr>
          <w:rFonts w:ascii="Times New Roman" w:eastAsia="Calibri" w:hAnsi="Times New Roman" w:cs="Times New Roman"/>
          <w:color w:val="000000"/>
          <w:sz w:val="24"/>
          <w:szCs w:val="24"/>
        </w:rPr>
        <w:t xml:space="preserve">Rama Rao, C., Raju, B., Rao, A., Rao, K., Ramachandran, K., </w:t>
      </w:r>
      <w:proofErr w:type="spellStart"/>
      <w:r>
        <w:rPr>
          <w:rFonts w:ascii="Times New Roman" w:eastAsia="Calibri" w:hAnsi="Times New Roman" w:cs="Times New Roman"/>
          <w:color w:val="000000"/>
          <w:sz w:val="24"/>
          <w:szCs w:val="24"/>
        </w:rPr>
        <w:t>Nagasree</w:t>
      </w:r>
      <w:proofErr w:type="spellEnd"/>
      <w:r>
        <w:rPr>
          <w:rFonts w:ascii="Times New Roman" w:eastAsia="Calibri" w:hAnsi="Times New Roman" w:cs="Times New Roman"/>
          <w:color w:val="000000"/>
          <w:sz w:val="24"/>
          <w:szCs w:val="24"/>
        </w:rPr>
        <w:t xml:space="preserve">, K., . . . Maheswari, M. (2018). Climate change impacts, adaptation and policy preferences: a snapshot of farmers’ perceptions in India. </w:t>
      </w:r>
      <w:r>
        <w:rPr>
          <w:rFonts w:ascii="Times New Roman" w:eastAsia="Calibri" w:hAnsi="Times New Roman" w:cs="Times New Roman"/>
          <w:i/>
          <w:color w:val="000000"/>
          <w:sz w:val="24"/>
          <w:szCs w:val="24"/>
        </w:rPr>
        <w:t>Policy paper, 1</w:t>
      </w:r>
      <w:r>
        <w:rPr>
          <w:rFonts w:ascii="Times New Roman" w:eastAsia="Calibri" w:hAnsi="Times New Roman" w:cs="Times New Roman"/>
          <w:color w:val="000000"/>
          <w:sz w:val="24"/>
          <w:szCs w:val="24"/>
        </w:rPr>
        <w:t xml:space="preserve">(2018), 34. </w:t>
      </w:r>
    </w:p>
    <w:p w14:paraId="7549C149" w14:textId="77777777" w:rsidR="00B6568E" w:rsidRDefault="00000000">
      <w:pPr>
        <w:numPr>
          <w:ilvl w:val="0"/>
          <w:numId w:val="4"/>
        </w:numPr>
        <w:tabs>
          <w:tab w:val="left" w:pos="720"/>
        </w:tabs>
        <w:spacing w:beforeAutospacing="1" w:after="0" w:afterAutospacing="1" w:line="271" w:lineRule="auto"/>
        <w:rPr>
          <w:rFonts w:ascii="Times New Roman" w:eastAsia="Times New Roman" w:hAnsi="Times New Roman" w:cs="Times New Roman"/>
          <w:sz w:val="24"/>
          <w:szCs w:val="24"/>
        </w:rPr>
      </w:pPr>
      <w:bookmarkStart w:id="15" w:name="_ENREF_3"/>
      <w:bookmarkEnd w:id="15"/>
      <w:r>
        <w:rPr>
          <w:rFonts w:ascii="Times New Roman" w:eastAsia="Times New Roman" w:hAnsi="Times New Roman" w:cs="Times New Roman"/>
          <w:sz w:val="24"/>
          <w:szCs w:val="24"/>
          <w:lang w:bidi="ar"/>
        </w:rPr>
        <w:t xml:space="preserve">Rao, K. P. C., Ndegwa, W. G., Kizito, K., &amp; Oyoo, A. (2011). Climate variability and change: farmer perceptions and understanding of intra-seasonal variability in rainfall and associated risk in semi-arid Kenya. </w:t>
      </w:r>
      <w:r>
        <w:rPr>
          <w:rFonts w:ascii="Times New Roman" w:eastAsia="Times New Roman" w:hAnsi="Times New Roman" w:cs="Times New Roman"/>
          <w:i/>
          <w:iCs/>
          <w:sz w:val="24"/>
          <w:szCs w:val="24"/>
          <w:lang w:bidi="ar"/>
        </w:rPr>
        <w:t>Experimental Agriculture</w:t>
      </w:r>
      <w:r>
        <w:rPr>
          <w:rFonts w:ascii="Times New Roman" w:eastAsia="Times New Roman" w:hAnsi="Times New Roman" w:cs="Times New Roman"/>
          <w:sz w:val="24"/>
          <w:szCs w:val="24"/>
          <w:lang w:bidi="ar"/>
        </w:rPr>
        <w:t>, 47(2), 267–291.</w:t>
      </w:r>
    </w:p>
    <w:p w14:paraId="29890675" w14:textId="77777777" w:rsidR="00B6568E" w:rsidRDefault="00000000">
      <w:pPr>
        <w:numPr>
          <w:ilvl w:val="0"/>
          <w:numId w:val="4"/>
        </w:numPr>
        <w:tabs>
          <w:tab w:val="left" w:pos="720"/>
        </w:tabs>
        <w:spacing w:after="160" w:line="271" w:lineRule="auto"/>
        <w:contextualSpacing/>
        <w:jc w:val="both"/>
        <w:rPr>
          <w:rFonts w:ascii="Times New Roman" w:eastAsia="Times New Roman" w:hAnsi="Times New Roman" w:cs="Times New Roman"/>
          <w:color w:val="1F1F1F"/>
          <w:sz w:val="24"/>
          <w:szCs w:val="24"/>
        </w:rPr>
      </w:pPr>
      <w:bookmarkStart w:id="16" w:name="_ENREF_4"/>
      <w:bookmarkEnd w:id="16"/>
      <w:r>
        <w:rPr>
          <w:rFonts w:ascii="Times New Roman" w:eastAsia="Times New Roman" w:hAnsi="Times New Roman" w:cs="Times New Roman"/>
          <w:color w:val="1F1F1F"/>
          <w:sz w:val="24"/>
          <w:szCs w:val="24"/>
        </w:rPr>
        <w:t xml:space="preserve">Rashid, I., </w:t>
      </w:r>
      <w:proofErr w:type="spellStart"/>
      <w:r>
        <w:rPr>
          <w:rFonts w:ascii="Times New Roman" w:eastAsia="Times New Roman" w:hAnsi="Times New Roman" w:cs="Times New Roman"/>
          <w:color w:val="1F1F1F"/>
          <w:sz w:val="24"/>
          <w:szCs w:val="24"/>
        </w:rPr>
        <w:t>Romshoo</w:t>
      </w:r>
      <w:proofErr w:type="spellEnd"/>
      <w:r>
        <w:rPr>
          <w:rFonts w:ascii="Times New Roman" w:eastAsia="Times New Roman" w:hAnsi="Times New Roman" w:cs="Times New Roman"/>
          <w:color w:val="1F1F1F"/>
          <w:sz w:val="24"/>
          <w:szCs w:val="24"/>
        </w:rPr>
        <w:t xml:space="preserve">, S. A., Chaturvedi, R. K., Ravindranath, N. H., Sukumar, R., Jayaraman, M., Lakshmi, T. V., &amp; Sharma, J. (2015). Projected climate change impacts on vegetation distribution over Kashmir Himalayas. Climatic Change, 132, 601–613. </w:t>
      </w:r>
      <w:r>
        <w:rPr>
          <w:rStyle w:val="Hyperlink"/>
          <w:rFonts w:ascii="Times New Roman" w:eastAsia="Calibri" w:hAnsi="Times New Roman" w:cs="Times New Roman"/>
          <w:color w:val="0000FF"/>
          <w:sz w:val="24"/>
          <w:szCs w:val="24"/>
        </w:rPr>
        <w:t>https://doi.org/10.1007/s10584-015-1456-5</w:t>
      </w:r>
    </w:p>
    <w:p w14:paraId="08C97094" w14:textId="77777777" w:rsidR="00B6568E" w:rsidRDefault="00000000">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bookmarkStart w:id="17" w:name="_ENREF_5"/>
      <w:bookmarkEnd w:id="17"/>
      <w:r>
        <w:rPr>
          <w:rFonts w:ascii="Times New Roman" w:eastAsia="Calibri" w:hAnsi="Times New Roman" w:cs="Times New Roman"/>
          <w:color w:val="000000"/>
          <w:sz w:val="24"/>
          <w:szCs w:val="24"/>
        </w:rPr>
        <w:t xml:space="preserve">Rasool, R., </w:t>
      </w:r>
      <w:proofErr w:type="spellStart"/>
      <w:r>
        <w:rPr>
          <w:rFonts w:ascii="Times New Roman" w:eastAsia="Calibri" w:hAnsi="Times New Roman" w:cs="Times New Roman"/>
          <w:color w:val="000000"/>
          <w:sz w:val="24"/>
          <w:szCs w:val="24"/>
        </w:rPr>
        <w:t>ul</w:t>
      </w:r>
      <w:proofErr w:type="spellEnd"/>
      <w:r>
        <w:rPr>
          <w:rFonts w:ascii="Times New Roman" w:eastAsia="Calibri" w:hAnsi="Times New Roman" w:cs="Times New Roman"/>
          <w:color w:val="000000"/>
          <w:sz w:val="24"/>
          <w:szCs w:val="24"/>
        </w:rPr>
        <w:t xml:space="preserve"> Shafiq, M., Ahmed, P., &amp; Ahmad, P. (2018). An analysis of climatic and human induced determinants of agricultural land use changes in </w:t>
      </w:r>
      <w:proofErr w:type="spellStart"/>
      <w:r>
        <w:rPr>
          <w:rFonts w:ascii="Times New Roman" w:eastAsia="Calibri" w:hAnsi="Times New Roman" w:cs="Times New Roman"/>
          <w:color w:val="000000"/>
          <w:sz w:val="24"/>
          <w:szCs w:val="24"/>
        </w:rPr>
        <w:t>Shupiyan</w:t>
      </w:r>
      <w:proofErr w:type="spellEnd"/>
      <w:r>
        <w:rPr>
          <w:rFonts w:ascii="Times New Roman" w:eastAsia="Calibri" w:hAnsi="Times New Roman" w:cs="Times New Roman"/>
          <w:color w:val="000000"/>
          <w:sz w:val="24"/>
          <w:szCs w:val="24"/>
        </w:rPr>
        <w:t xml:space="preserve"> area of Jammu and Kashmir state, India. </w:t>
      </w:r>
      <w:proofErr w:type="spellStart"/>
      <w:r>
        <w:rPr>
          <w:rFonts w:ascii="Times New Roman" w:eastAsia="Calibri" w:hAnsi="Times New Roman" w:cs="Times New Roman"/>
          <w:i/>
          <w:color w:val="000000"/>
          <w:sz w:val="24"/>
          <w:szCs w:val="24"/>
        </w:rPr>
        <w:t>GeoJournal</w:t>
      </w:r>
      <w:proofErr w:type="spellEnd"/>
      <w:r>
        <w:rPr>
          <w:rFonts w:ascii="Times New Roman" w:eastAsia="Calibri" w:hAnsi="Times New Roman" w:cs="Times New Roman"/>
          <w:i/>
          <w:color w:val="000000"/>
          <w:sz w:val="24"/>
          <w:szCs w:val="24"/>
        </w:rPr>
        <w:t>, 83</w:t>
      </w:r>
      <w:r>
        <w:rPr>
          <w:rFonts w:ascii="Times New Roman" w:eastAsia="Calibri" w:hAnsi="Times New Roman" w:cs="Times New Roman"/>
          <w:color w:val="000000"/>
          <w:sz w:val="24"/>
          <w:szCs w:val="24"/>
        </w:rPr>
        <w:t xml:space="preserve">(1), 49-60. </w:t>
      </w:r>
    </w:p>
    <w:p w14:paraId="32F0887A" w14:textId="77777777" w:rsidR="00B6568E" w:rsidRDefault="00000000">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bookmarkStart w:id="18" w:name="_ENREF_6"/>
      <w:bookmarkEnd w:id="18"/>
      <w:r>
        <w:rPr>
          <w:rFonts w:ascii="Times New Roman" w:eastAsia="Calibri" w:hAnsi="Times New Roman" w:cs="Times New Roman"/>
          <w:color w:val="000000"/>
          <w:sz w:val="24"/>
          <w:szCs w:val="24"/>
        </w:rPr>
        <w:t xml:space="preserve">Rawat, D., &amp; </w:t>
      </w:r>
      <w:proofErr w:type="spellStart"/>
      <w:r>
        <w:rPr>
          <w:rFonts w:ascii="Times New Roman" w:eastAsia="Calibri" w:hAnsi="Times New Roman" w:cs="Times New Roman"/>
          <w:color w:val="000000"/>
          <w:sz w:val="24"/>
          <w:szCs w:val="24"/>
        </w:rPr>
        <w:t>Schickhoff</w:t>
      </w:r>
      <w:proofErr w:type="spellEnd"/>
      <w:r>
        <w:rPr>
          <w:rFonts w:ascii="Times New Roman" w:eastAsia="Calibri" w:hAnsi="Times New Roman" w:cs="Times New Roman"/>
          <w:color w:val="000000"/>
          <w:sz w:val="24"/>
          <w:szCs w:val="24"/>
        </w:rPr>
        <w:t xml:space="preserve">, U. (2022). Changing Climate Scenario in High Altitude Regions: Comparison of Observed Trends and Perceptions of </w:t>
      </w:r>
      <w:proofErr w:type="spellStart"/>
      <w:r>
        <w:rPr>
          <w:rFonts w:ascii="Times New Roman" w:eastAsia="Calibri" w:hAnsi="Times New Roman" w:cs="Times New Roman"/>
          <w:color w:val="000000"/>
          <w:sz w:val="24"/>
          <w:szCs w:val="24"/>
        </w:rPr>
        <w:t>Agro</w:t>
      </w:r>
      <w:proofErr w:type="spellEnd"/>
      <w:r>
        <w:rPr>
          <w:rFonts w:ascii="Times New Roman" w:eastAsia="Calibri" w:hAnsi="Times New Roman" w:cs="Times New Roman"/>
          <w:color w:val="000000"/>
          <w:sz w:val="24"/>
          <w:szCs w:val="24"/>
        </w:rPr>
        <w:t xml:space="preserve">-Pastoralists in Darma Valley, Uttarakhand, India </w:t>
      </w:r>
      <w:r>
        <w:rPr>
          <w:rFonts w:ascii="Times New Roman" w:eastAsia="Calibri" w:hAnsi="Times New Roman" w:cs="Times New Roman"/>
          <w:i/>
          <w:color w:val="000000"/>
          <w:sz w:val="24"/>
          <w:szCs w:val="24"/>
        </w:rPr>
        <w:t>Mountain Landscapes in Transition</w:t>
      </w:r>
      <w:r>
        <w:rPr>
          <w:rFonts w:ascii="Times New Roman" w:eastAsia="Calibri" w:hAnsi="Times New Roman" w:cs="Times New Roman"/>
          <w:color w:val="000000"/>
          <w:sz w:val="24"/>
          <w:szCs w:val="24"/>
        </w:rPr>
        <w:t xml:space="preserve"> (pp. 429-</w:t>
      </w:r>
      <w:proofErr w:type="gramStart"/>
      <w:r>
        <w:rPr>
          <w:rFonts w:ascii="Times New Roman" w:eastAsia="Calibri" w:hAnsi="Times New Roman" w:cs="Times New Roman"/>
          <w:color w:val="000000"/>
          <w:sz w:val="24"/>
          <w:szCs w:val="24"/>
        </w:rPr>
        <w:t>447)</w:t>
      </w:r>
      <w:r>
        <w:rPr>
          <w:rStyle w:val="Hyperlink"/>
          <w:rFonts w:ascii="Times New Roman" w:eastAsia="Calibri" w:hAnsi="Times New Roman" w:cs="Times New Roman"/>
          <w:color w:val="0000FF"/>
          <w:sz w:val="24"/>
          <w:szCs w:val="24"/>
        </w:rPr>
        <w:t>https://doi.org/10.1007/s10584-015-1456-5</w:t>
      </w:r>
      <w:proofErr w:type="gramEnd"/>
      <w:r>
        <w:rPr>
          <w:rStyle w:val="Hyperlink"/>
          <w:rFonts w:ascii="Times New Roman" w:eastAsia="Calibri" w:hAnsi="Times New Roman" w:cs="Times New Roman"/>
          <w:color w:val="0000FF"/>
          <w:sz w:val="24"/>
          <w:szCs w:val="24"/>
        </w:rPr>
        <w:t xml:space="preserve"> </w:t>
      </w:r>
    </w:p>
    <w:p w14:paraId="50B07853"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b/>
          <w:bCs/>
          <w:sz w:val="24"/>
          <w:szCs w:val="24"/>
        </w:rPr>
      </w:pPr>
      <w:bookmarkStart w:id="19" w:name="_ENREF_7"/>
      <w:bookmarkEnd w:id="19"/>
      <w:r>
        <w:rPr>
          <w:rFonts w:ascii="Times New Roman" w:eastAsia="Calibri" w:hAnsi="Times New Roman" w:cs="Times New Roman"/>
          <w:sz w:val="24"/>
          <w:szCs w:val="24"/>
        </w:rPr>
        <w:t xml:space="preserve">Rezaei, R., Seidi, M., &amp; </w:t>
      </w:r>
      <w:proofErr w:type="spellStart"/>
      <w:r>
        <w:rPr>
          <w:rFonts w:ascii="Times New Roman" w:eastAsia="Calibri" w:hAnsi="Times New Roman" w:cs="Times New Roman"/>
          <w:sz w:val="24"/>
          <w:szCs w:val="24"/>
        </w:rPr>
        <w:t>Karbasioun</w:t>
      </w:r>
      <w:proofErr w:type="spellEnd"/>
      <w:r>
        <w:rPr>
          <w:rFonts w:ascii="Times New Roman" w:eastAsia="Calibri" w:hAnsi="Times New Roman" w:cs="Times New Roman"/>
          <w:sz w:val="24"/>
          <w:szCs w:val="24"/>
        </w:rPr>
        <w:t xml:space="preserve">, M. (2019). Pesticide exposure reduction: Extending the theory of planned behavior to understand Iranian farmers’ intention to apply personal </w:t>
      </w:r>
      <w:r>
        <w:rPr>
          <w:rFonts w:ascii="Times New Roman" w:eastAsia="Calibri" w:hAnsi="Times New Roman" w:cs="Times New Roman"/>
          <w:sz w:val="24"/>
          <w:szCs w:val="24"/>
        </w:rPr>
        <w:lastRenderedPageBreak/>
        <w:t xml:space="preserve">protective equipment. Safety Science, 120, 527–537. </w:t>
      </w:r>
      <w:hyperlink r:id="rId41" w:history="1">
        <w:r>
          <w:rPr>
            <w:rStyle w:val="Hyperlink"/>
            <w:rFonts w:ascii="Times New Roman" w:eastAsia="Calibri" w:hAnsi="Times New Roman" w:cs="Times New Roman"/>
            <w:color w:val="0000FF"/>
            <w:sz w:val="24"/>
            <w:szCs w:val="24"/>
          </w:rPr>
          <w:t>https://doi.org/10.1016/j.ssci.2019.07.044</w:t>
        </w:r>
      </w:hyperlink>
      <w:r>
        <w:rPr>
          <w:rFonts w:ascii="Times New Roman" w:eastAsia="Calibri" w:hAnsi="Times New Roman" w:cs="Times New Roman"/>
          <w:sz w:val="24"/>
          <w:szCs w:val="24"/>
        </w:rPr>
        <w:t xml:space="preserve"> </w:t>
      </w:r>
    </w:p>
    <w:p w14:paraId="1D04F759"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bookmarkStart w:id="20" w:name="_ENREF_8"/>
      <w:bookmarkEnd w:id="20"/>
      <w:r>
        <w:rPr>
          <w:rFonts w:ascii="Times New Roman" w:eastAsia="Calibri" w:hAnsi="Times New Roman" w:cs="Times New Roman"/>
          <w:sz w:val="24"/>
          <w:szCs w:val="24"/>
        </w:rPr>
        <w:t>Rodgers, W. A., &amp; Panwar, H. S. (1988). Planning a wildlife protected area network in India. 2.</w:t>
      </w:r>
      <w:r>
        <w:rPr>
          <w:rFonts w:ascii="Times New Roman" w:eastAsia="Calibri" w:hAnsi="Times New Roman" w:cs="Times New Roman"/>
          <w:sz w:val="24"/>
          <w:szCs w:val="24"/>
        </w:rPr>
        <w:tab/>
        <w:t>2 Vols. Wildlife Institute of India, Dehra Dun.</w:t>
      </w:r>
    </w:p>
    <w:p w14:paraId="6291DA16" w14:textId="77777777" w:rsidR="00B6568E" w:rsidRDefault="00000000">
      <w:pPr>
        <w:numPr>
          <w:ilvl w:val="0"/>
          <w:numId w:val="4"/>
        </w:numPr>
        <w:tabs>
          <w:tab w:val="left" w:pos="720"/>
        </w:tabs>
        <w:spacing w:after="160" w:line="271" w:lineRule="auto"/>
        <w:contextualSpacing/>
        <w:jc w:val="both"/>
        <w:rPr>
          <w:rFonts w:ascii="Times New Roman" w:eastAsia="Times New Roman" w:hAnsi="Times New Roman" w:cs="Times New Roman"/>
          <w:color w:val="1F1F1F"/>
          <w:sz w:val="24"/>
          <w:szCs w:val="24"/>
        </w:rPr>
      </w:pPr>
      <w:bookmarkStart w:id="21" w:name="_ENREF_9"/>
      <w:bookmarkEnd w:id="21"/>
      <w:proofErr w:type="spellStart"/>
      <w:r>
        <w:rPr>
          <w:rFonts w:ascii="Times New Roman" w:eastAsia="Times New Roman" w:hAnsi="Times New Roman" w:cs="Times New Roman"/>
          <w:color w:val="1F1F1F"/>
          <w:sz w:val="24"/>
          <w:szCs w:val="24"/>
        </w:rPr>
        <w:t>Romshoo</w:t>
      </w:r>
      <w:proofErr w:type="spellEnd"/>
      <w:r>
        <w:rPr>
          <w:rFonts w:ascii="Times New Roman" w:eastAsia="Times New Roman" w:hAnsi="Times New Roman" w:cs="Times New Roman"/>
          <w:color w:val="1F1F1F"/>
          <w:sz w:val="24"/>
          <w:szCs w:val="24"/>
        </w:rPr>
        <w:t xml:space="preserve">, S. A., Dar, R. A., Rashid, I., </w:t>
      </w:r>
      <w:proofErr w:type="spellStart"/>
      <w:r>
        <w:rPr>
          <w:rFonts w:ascii="Times New Roman" w:eastAsia="Times New Roman" w:hAnsi="Times New Roman" w:cs="Times New Roman"/>
          <w:color w:val="1F1F1F"/>
          <w:sz w:val="24"/>
          <w:szCs w:val="24"/>
        </w:rPr>
        <w:t>Marazi</w:t>
      </w:r>
      <w:proofErr w:type="spellEnd"/>
      <w:r>
        <w:rPr>
          <w:rFonts w:ascii="Times New Roman" w:eastAsia="Times New Roman" w:hAnsi="Times New Roman" w:cs="Times New Roman"/>
          <w:color w:val="1F1F1F"/>
          <w:sz w:val="24"/>
          <w:szCs w:val="24"/>
        </w:rPr>
        <w:t xml:space="preserve">, A., Ali, N., &amp; </w:t>
      </w:r>
      <w:proofErr w:type="spellStart"/>
      <w:r>
        <w:rPr>
          <w:rFonts w:ascii="Times New Roman" w:eastAsia="Times New Roman" w:hAnsi="Times New Roman" w:cs="Times New Roman"/>
          <w:color w:val="1F1F1F"/>
          <w:sz w:val="24"/>
          <w:szCs w:val="24"/>
        </w:rPr>
        <w:t>Zaz</w:t>
      </w:r>
      <w:proofErr w:type="spellEnd"/>
      <w:r>
        <w:rPr>
          <w:rFonts w:ascii="Times New Roman" w:eastAsia="Times New Roman" w:hAnsi="Times New Roman" w:cs="Times New Roman"/>
          <w:color w:val="1F1F1F"/>
          <w:sz w:val="24"/>
          <w:szCs w:val="24"/>
        </w:rPr>
        <w:t xml:space="preserve">, S. N. (2015). Implications of shrinking cryosphere under changing climate on the </w:t>
      </w:r>
      <w:proofErr w:type="spellStart"/>
      <w:r>
        <w:rPr>
          <w:rFonts w:ascii="Times New Roman" w:eastAsia="Times New Roman" w:hAnsi="Times New Roman" w:cs="Times New Roman"/>
          <w:color w:val="1F1F1F"/>
          <w:sz w:val="24"/>
          <w:szCs w:val="24"/>
        </w:rPr>
        <w:t>streamflows</w:t>
      </w:r>
      <w:proofErr w:type="spellEnd"/>
      <w:r>
        <w:rPr>
          <w:rFonts w:ascii="Times New Roman" w:eastAsia="Times New Roman" w:hAnsi="Times New Roman" w:cs="Times New Roman"/>
          <w:color w:val="1F1F1F"/>
          <w:sz w:val="24"/>
          <w:szCs w:val="24"/>
        </w:rPr>
        <w:t xml:space="preserve"> in the Lidder catchment in the Upper Indus Basin, India. Arctic, Antarctic, and Alpine Research, 47(4), 627–644. </w:t>
      </w:r>
      <w:r>
        <w:rPr>
          <w:rStyle w:val="Hyperlink"/>
          <w:rFonts w:ascii="Times New Roman" w:eastAsia="Calibri" w:hAnsi="Times New Roman" w:cs="Times New Roman"/>
          <w:color w:val="0000FF"/>
          <w:sz w:val="24"/>
          <w:szCs w:val="24"/>
        </w:rPr>
        <w:t>https://doi.org/10.1657/AAAR0014-088</w:t>
      </w:r>
    </w:p>
    <w:p w14:paraId="10686625"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bookmarkStart w:id="22" w:name="_ENREF_10"/>
      <w:bookmarkEnd w:id="22"/>
      <w:r>
        <w:rPr>
          <w:rFonts w:ascii="Times New Roman" w:eastAsia="Calibri" w:hAnsi="Times New Roman" w:cs="Times New Roman"/>
          <w:sz w:val="24"/>
          <w:szCs w:val="24"/>
        </w:rPr>
        <w:t xml:space="preserve">Rosenzweig, C., &amp; Parry, M. L. (1994). Potential impact of climate change on world food supply. </w:t>
      </w:r>
      <w:r>
        <w:rPr>
          <w:rFonts w:ascii="Times New Roman" w:eastAsia="Calibri" w:hAnsi="Times New Roman" w:cs="Times New Roman"/>
          <w:i/>
          <w:iCs/>
          <w:sz w:val="24"/>
          <w:szCs w:val="24"/>
        </w:rPr>
        <w:t>Nature</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367</w:t>
      </w:r>
      <w:r>
        <w:rPr>
          <w:rFonts w:ascii="Times New Roman" w:eastAsia="Calibri" w:hAnsi="Times New Roman" w:cs="Times New Roman"/>
          <w:sz w:val="24"/>
          <w:szCs w:val="24"/>
        </w:rPr>
        <w:t>(6459), 133-138.</w:t>
      </w:r>
      <w:r>
        <w:rPr>
          <w:rFonts w:ascii="Segoe UI" w:eastAsia="Calibri" w:hAnsi="Segoe UI" w:cs="Segoe UI"/>
          <w:color w:val="222222"/>
          <w:shd w:val="clear" w:color="auto" w:fill="FFFFFF"/>
        </w:rPr>
        <w:t xml:space="preserve"> </w:t>
      </w:r>
      <w:hyperlink r:id="rId42" w:history="1">
        <w:r>
          <w:rPr>
            <w:rStyle w:val="Hyperlink"/>
            <w:rFonts w:ascii="Times New Roman" w:eastAsia="Calibri" w:hAnsi="Times New Roman" w:cs="Times New Roman"/>
            <w:color w:val="0000FF"/>
            <w:sz w:val="24"/>
            <w:szCs w:val="24"/>
          </w:rPr>
          <w:t>https://doi.org/10.1038/367133a0</w:t>
        </w:r>
      </w:hyperlink>
    </w:p>
    <w:p w14:paraId="10235F5A"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bookmarkStart w:id="23" w:name="_ENREF_11"/>
      <w:bookmarkEnd w:id="23"/>
      <w:r>
        <w:rPr>
          <w:rFonts w:ascii="Times New Roman" w:eastAsia="Calibri" w:hAnsi="Times New Roman" w:cs="Times New Roman"/>
          <w:sz w:val="24"/>
          <w:szCs w:val="24"/>
        </w:rPr>
        <w:t xml:space="preserve">Rosenzweig, C., Elliott, J., </w:t>
      </w:r>
      <w:proofErr w:type="spellStart"/>
      <w:r>
        <w:rPr>
          <w:rFonts w:ascii="Times New Roman" w:eastAsia="Calibri" w:hAnsi="Times New Roman" w:cs="Times New Roman"/>
          <w:sz w:val="24"/>
          <w:szCs w:val="24"/>
        </w:rPr>
        <w:t>Deryng</w:t>
      </w:r>
      <w:proofErr w:type="spellEnd"/>
      <w:r>
        <w:rPr>
          <w:rFonts w:ascii="Times New Roman" w:eastAsia="Calibri" w:hAnsi="Times New Roman" w:cs="Times New Roman"/>
          <w:sz w:val="24"/>
          <w:szCs w:val="24"/>
        </w:rPr>
        <w:t xml:space="preserve">, D., Ruane, A. C., Müller, C., Arneth, A., ... &amp; Jones, J. W. (2014). Assessing agricultural risks of climate change in the 21st century in a global gridded crop model intercomparison. </w:t>
      </w:r>
      <w:r>
        <w:rPr>
          <w:rFonts w:ascii="Times New Roman" w:eastAsia="Calibri" w:hAnsi="Times New Roman" w:cs="Times New Roman"/>
          <w:i/>
          <w:iCs/>
          <w:sz w:val="24"/>
          <w:szCs w:val="24"/>
        </w:rPr>
        <w:t>Proceedings of the national academy of sciences</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111</w:t>
      </w:r>
      <w:r>
        <w:rPr>
          <w:rFonts w:ascii="Times New Roman" w:eastAsia="Calibri" w:hAnsi="Times New Roman" w:cs="Times New Roman"/>
          <w:sz w:val="24"/>
          <w:szCs w:val="24"/>
        </w:rPr>
        <w:t>(9), 3268-3273.</w:t>
      </w:r>
      <w:r>
        <w:rPr>
          <w:rFonts w:ascii="Calibri" w:eastAsia="Times New Roman" w:hAnsi="Calibri" w:cs="Times New Roman" w:hint="eastAsia"/>
        </w:rPr>
        <w:t xml:space="preserve"> </w:t>
      </w:r>
      <w:hyperlink r:id="rId43" w:history="1">
        <w:r>
          <w:rPr>
            <w:rStyle w:val="Hyperlink"/>
            <w:rFonts w:ascii="Times New Roman" w:eastAsia="Calibri" w:hAnsi="Times New Roman" w:cs="Times New Roman"/>
            <w:color w:val="0000FF"/>
            <w:sz w:val="24"/>
            <w:szCs w:val="24"/>
          </w:rPr>
          <w:t>https://doi.org/10.1073/pnas.1222463110</w:t>
        </w:r>
      </w:hyperlink>
    </w:p>
    <w:p w14:paraId="380DC53B" w14:textId="77777777" w:rsidR="00B6568E" w:rsidRDefault="00000000">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bookmarkStart w:id="24" w:name="_ENREF_12"/>
      <w:bookmarkEnd w:id="24"/>
      <w:r>
        <w:rPr>
          <w:rFonts w:ascii="Times New Roman" w:eastAsia="Calibri" w:hAnsi="Times New Roman" w:cs="Times New Roman"/>
          <w:color w:val="000000"/>
          <w:sz w:val="24"/>
          <w:szCs w:val="24"/>
        </w:rPr>
        <w:t xml:space="preserve">Sanjay, J., Krishnan, R., Shrestha, A. B., Rajbhandari, R., &amp; Ren, G.-Y. (2017). Downscaled climate change projections for the Hindu Kush Himalayan region using CORDEX South Asia regional climate models. </w:t>
      </w:r>
      <w:r>
        <w:rPr>
          <w:rFonts w:ascii="Times New Roman" w:eastAsia="Calibri" w:hAnsi="Times New Roman" w:cs="Times New Roman"/>
          <w:i/>
          <w:color w:val="000000"/>
          <w:sz w:val="24"/>
          <w:szCs w:val="24"/>
        </w:rPr>
        <w:t>Advances in Climate Change Research, 8</w:t>
      </w:r>
      <w:r>
        <w:rPr>
          <w:rFonts w:ascii="Times New Roman" w:eastAsia="Calibri" w:hAnsi="Times New Roman" w:cs="Times New Roman"/>
          <w:color w:val="000000"/>
          <w:sz w:val="24"/>
          <w:szCs w:val="24"/>
        </w:rPr>
        <w:t>(3), 185-198.</w:t>
      </w:r>
      <w:r>
        <w:rPr>
          <w:rFonts w:ascii="Times New Roman" w:eastAsia="Calibri" w:hAnsi="Times New Roman"/>
          <w:color w:val="0000FF"/>
          <w:sz w:val="24"/>
          <w:szCs w:val="24"/>
        </w:rPr>
        <w:t>https://doi.org/10.1016/j.accre.2017.08.003</w:t>
      </w:r>
      <w:r>
        <w:rPr>
          <w:rFonts w:ascii="Times New Roman" w:eastAsia="Calibri" w:hAnsi="Times New Roman" w:cs="Times New Roman"/>
          <w:color w:val="000000"/>
          <w:sz w:val="24"/>
          <w:szCs w:val="24"/>
        </w:rPr>
        <w:t xml:space="preserve"> </w:t>
      </w:r>
    </w:p>
    <w:p w14:paraId="0354317E" w14:textId="77777777" w:rsidR="00B6568E" w:rsidRDefault="00000000">
      <w:pPr>
        <w:numPr>
          <w:ilvl w:val="0"/>
          <w:numId w:val="4"/>
        </w:numPr>
        <w:tabs>
          <w:tab w:val="left" w:pos="720"/>
        </w:tabs>
        <w:spacing w:beforeAutospacing="1" w:after="0" w:afterAutospacing="1" w:line="271" w:lineRule="auto"/>
        <w:rPr>
          <w:rFonts w:ascii="Times New Roman" w:eastAsia="Times New Roman" w:hAnsi="Times New Roman" w:cs="Times New Roman"/>
          <w:sz w:val="24"/>
          <w:szCs w:val="24"/>
        </w:rPr>
      </w:pPr>
      <w:bookmarkStart w:id="25" w:name="_ENREF_14"/>
      <w:bookmarkStart w:id="26" w:name="_ENREF_13"/>
      <w:bookmarkEnd w:id="25"/>
      <w:bookmarkEnd w:id="26"/>
      <w:r>
        <w:rPr>
          <w:rFonts w:ascii="Times New Roman" w:eastAsia="Times New Roman" w:hAnsi="Times New Roman" w:cs="Times New Roman"/>
          <w:sz w:val="24"/>
          <w:szCs w:val="24"/>
          <w:lang w:bidi="ar"/>
        </w:rPr>
        <w:t xml:space="preserve">Sarkar, S., &amp; </w:t>
      </w:r>
      <w:proofErr w:type="spellStart"/>
      <w:r>
        <w:rPr>
          <w:rFonts w:ascii="Times New Roman" w:eastAsia="Times New Roman" w:hAnsi="Times New Roman" w:cs="Times New Roman"/>
          <w:sz w:val="24"/>
          <w:szCs w:val="24"/>
          <w:lang w:bidi="ar"/>
        </w:rPr>
        <w:t>Padaria</w:t>
      </w:r>
      <w:proofErr w:type="spellEnd"/>
      <w:r>
        <w:rPr>
          <w:rFonts w:ascii="Times New Roman" w:eastAsia="Times New Roman" w:hAnsi="Times New Roman" w:cs="Times New Roman"/>
          <w:sz w:val="24"/>
          <w:szCs w:val="24"/>
          <w:lang w:bidi="ar"/>
        </w:rPr>
        <w:t xml:space="preserve">, R. N. (2010). Perception of climate change and adaptation strategies in Eastern India. </w:t>
      </w:r>
      <w:r>
        <w:rPr>
          <w:rFonts w:ascii="Times New Roman" w:eastAsia="Times New Roman" w:hAnsi="Times New Roman" w:cs="Times New Roman"/>
          <w:i/>
          <w:iCs/>
          <w:sz w:val="24"/>
          <w:szCs w:val="24"/>
          <w:lang w:bidi="ar"/>
        </w:rPr>
        <w:t>Journal of Environmental Protection</w:t>
      </w:r>
      <w:r>
        <w:rPr>
          <w:rFonts w:ascii="Times New Roman" w:eastAsia="Times New Roman" w:hAnsi="Times New Roman" w:cs="Times New Roman"/>
          <w:sz w:val="24"/>
          <w:szCs w:val="24"/>
          <w:lang w:bidi="ar"/>
        </w:rPr>
        <w:t>, 1(1), 1–9.</w:t>
      </w:r>
    </w:p>
    <w:p w14:paraId="4FFB6612" w14:textId="77777777" w:rsidR="00B6568E" w:rsidRDefault="00000000">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bookmarkStart w:id="27" w:name="_ENREF_15"/>
      <w:bookmarkEnd w:id="27"/>
      <w:r>
        <w:rPr>
          <w:rFonts w:ascii="Times New Roman" w:eastAsia="Calibri" w:hAnsi="Times New Roman" w:cs="Times New Roman"/>
          <w:color w:val="000000"/>
          <w:sz w:val="24"/>
          <w:szCs w:val="24"/>
        </w:rPr>
        <w:t xml:space="preserve">SHAHZAD, L., TAHIR, A., &amp; SHARIF, F. Understanding the community’s perception of climate change and adaptations in the Mid Hills of Pakistan. </w:t>
      </w:r>
    </w:p>
    <w:p w14:paraId="7A879C53" w14:textId="77777777" w:rsidR="00B6568E" w:rsidRDefault="00000000">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bookmarkStart w:id="28" w:name="_ENREF_16"/>
      <w:bookmarkEnd w:id="28"/>
      <w:r>
        <w:rPr>
          <w:rFonts w:ascii="Times New Roman" w:eastAsia="Calibri" w:hAnsi="Times New Roman" w:cs="Times New Roman"/>
          <w:color w:val="000000"/>
          <w:sz w:val="24"/>
          <w:szCs w:val="24"/>
        </w:rPr>
        <w:t xml:space="preserve">Sharma, A. K., Gupta, M., &amp; </w:t>
      </w:r>
      <w:proofErr w:type="spellStart"/>
      <w:r>
        <w:rPr>
          <w:rFonts w:ascii="Times New Roman" w:eastAsia="Calibri" w:hAnsi="Times New Roman" w:cs="Times New Roman"/>
          <w:color w:val="000000"/>
          <w:sz w:val="24"/>
          <w:szCs w:val="24"/>
        </w:rPr>
        <w:t>lal</w:t>
      </w:r>
      <w:proofErr w:type="spellEnd"/>
      <w:r>
        <w:rPr>
          <w:rFonts w:ascii="Times New Roman" w:eastAsia="Calibri" w:hAnsi="Times New Roman" w:cs="Times New Roman"/>
          <w:color w:val="000000"/>
          <w:sz w:val="24"/>
          <w:szCs w:val="24"/>
        </w:rPr>
        <w:t xml:space="preserve"> Sharma, R. (2021). THE CONSTRUCT VALIDITY OF FARMER'S PERCEPTIONS OF AGRICULTURAL INFRASTRUCTURE AND DEVELOPMENT IN JAMMU AND KASHMIR: CONFIRMATORY FACTOR ANALYSIS APPROACH. Academy of Marketing Studies Journal, 25(3), 1-12. </w:t>
      </w:r>
    </w:p>
    <w:p w14:paraId="3F85208D" w14:textId="77777777" w:rsidR="00B6568E" w:rsidRDefault="00000000">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bookmarkStart w:id="29" w:name="_ENREF_17"/>
      <w:bookmarkEnd w:id="29"/>
      <w:r>
        <w:rPr>
          <w:rFonts w:ascii="Times New Roman" w:eastAsia="Calibri" w:hAnsi="Times New Roman" w:cs="Times New Roman"/>
          <w:color w:val="000000"/>
          <w:sz w:val="24"/>
          <w:szCs w:val="24"/>
        </w:rPr>
        <w:t xml:space="preserve">Sharma, A., Lata, H., &amp; Rana, R. S. Impacts of Climate Change vis-a-vis Vegetable Production. </w:t>
      </w:r>
      <w:r>
        <w:rPr>
          <w:rFonts w:ascii="Times New Roman" w:eastAsia="Calibri" w:hAnsi="Times New Roman" w:cs="Times New Roman"/>
          <w:i/>
          <w:color w:val="000000"/>
          <w:sz w:val="24"/>
          <w:szCs w:val="24"/>
        </w:rPr>
        <w:t>INNOVATIVE INTERVENTIONS FOR SUSTAINABLE VEGETABLE PRODUCTION UNDER CHANGING CLIMATE SCENARIO (3rd September to 23rd September 2019)</w:t>
      </w:r>
      <w:r>
        <w:rPr>
          <w:rFonts w:ascii="Times New Roman" w:eastAsia="Calibri" w:hAnsi="Times New Roman" w:cs="Times New Roman"/>
          <w:color w:val="000000"/>
          <w:sz w:val="24"/>
          <w:szCs w:val="24"/>
        </w:rPr>
        <w:t xml:space="preserve">, 39. </w:t>
      </w:r>
    </w:p>
    <w:p w14:paraId="713E998F" w14:textId="77777777" w:rsidR="00B6568E" w:rsidRDefault="00000000">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bookmarkStart w:id="30" w:name="_ENREF_18"/>
      <w:bookmarkEnd w:id="30"/>
      <w:r>
        <w:rPr>
          <w:rFonts w:ascii="Times New Roman" w:eastAsia="Calibri" w:hAnsi="Times New Roman" w:cs="Times New Roman"/>
          <w:color w:val="000000"/>
          <w:sz w:val="24"/>
          <w:szCs w:val="24"/>
        </w:rPr>
        <w:t xml:space="preserve">Shukla, R., Agarwal, A., Sachdeva, K., </w:t>
      </w:r>
      <w:proofErr w:type="spellStart"/>
      <w:r>
        <w:rPr>
          <w:rFonts w:ascii="Times New Roman" w:eastAsia="Calibri" w:hAnsi="Times New Roman" w:cs="Times New Roman"/>
          <w:color w:val="000000"/>
          <w:sz w:val="24"/>
          <w:szCs w:val="24"/>
        </w:rPr>
        <w:t>Kurths</w:t>
      </w:r>
      <w:proofErr w:type="spellEnd"/>
      <w:r>
        <w:rPr>
          <w:rFonts w:ascii="Times New Roman" w:eastAsia="Calibri" w:hAnsi="Times New Roman" w:cs="Times New Roman"/>
          <w:color w:val="000000"/>
          <w:sz w:val="24"/>
          <w:szCs w:val="24"/>
        </w:rPr>
        <w:t xml:space="preserve">, J., &amp; Joshi, P. (2019). Climate change perception: an analysis of climate change and risk perceptions among farmer types of Indian Western Himalayas. </w:t>
      </w:r>
      <w:r>
        <w:rPr>
          <w:rFonts w:ascii="Times New Roman" w:eastAsia="Calibri" w:hAnsi="Times New Roman" w:cs="Times New Roman"/>
          <w:i/>
          <w:color w:val="000000"/>
          <w:sz w:val="24"/>
          <w:szCs w:val="24"/>
        </w:rPr>
        <w:t>Climatic Change, 152</w:t>
      </w:r>
      <w:r>
        <w:rPr>
          <w:rFonts w:ascii="Times New Roman" w:eastAsia="Calibri" w:hAnsi="Times New Roman" w:cs="Times New Roman"/>
          <w:color w:val="000000"/>
          <w:sz w:val="24"/>
          <w:szCs w:val="24"/>
        </w:rPr>
        <w:t>(1), 103-119.</w:t>
      </w:r>
      <w:r>
        <w:rPr>
          <w:rStyle w:val="Hyperlink"/>
          <w:rFonts w:ascii="Times New Roman" w:eastAsia="Calibri" w:hAnsi="Times New Roman" w:cs="Times New Roman"/>
          <w:color w:val="0000FF"/>
          <w:sz w:val="24"/>
          <w:szCs w:val="24"/>
        </w:rPr>
        <w:t xml:space="preserve">https://doi.org/10.1007/s10584-018-2314-z </w:t>
      </w:r>
    </w:p>
    <w:p w14:paraId="09960913" w14:textId="77777777" w:rsidR="00B6568E" w:rsidRDefault="00000000">
      <w:pPr>
        <w:numPr>
          <w:ilvl w:val="0"/>
          <w:numId w:val="4"/>
        </w:numPr>
        <w:tabs>
          <w:tab w:val="left" w:pos="720"/>
        </w:tabs>
        <w:spacing w:beforeAutospacing="1" w:after="0" w:line="360" w:lineRule="auto"/>
        <w:jc w:val="both"/>
        <w:rPr>
          <w:rFonts w:ascii="Times New Roman" w:eastAsia="Calibri" w:hAnsi="Times New Roman" w:cs="Times New Roman"/>
          <w:color w:val="000000"/>
          <w:sz w:val="24"/>
          <w:szCs w:val="24"/>
        </w:rPr>
      </w:pPr>
      <w:bookmarkStart w:id="31" w:name="_ENREF_19"/>
      <w:bookmarkEnd w:id="31"/>
      <w:r>
        <w:rPr>
          <w:rFonts w:ascii="Times New Roman" w:eastAsia="Calibri" w:hAnsi="Times New Roman" w:cs="Times New Roman"/>
          <w:color w:val="000000"/>
          <w:sz w:val="24"/>
          <w:szCs w:val="24"/>
        </w:rPr>
        <w:lastRenderedPageBreak/>
        <w:t xml:space="preserve">Shukla, R., Chakraborty, A., Sachdeva, K., &amp; Joshi, P. (2018). Agriculture in the western Himalayas–an asset turning into a liability. </w:t>
      </w:r>
      <w:r>
        <w:rPr>
          <w:rFonts w:ascii="Times New Roman" w:eastAsia="Calibri" w:hAnsi="Times New Roman" w:cs="Times New Roman"/>
          <w:i/>
          <w:color w:val="000000"/>
          <w:sz w:val="24"/>
          <w:szCs w:val="24"/>
        </w:rPr>
        <w:t>Development in Practice, 28</w:t>
      </w:r>
      <w:r>
        <w:rPr>
          <w:rFonts w:ascii="Times New Roman" w:eastAsia="Calibri" w:hAnsi="Times New Roman" w:cs="Times New Roman"/>
          <w:color w:val="000000"/>
          <w:sz w:val="24"/>
          <w:szCs w:val="24"/>
        </w:rPr>
        <w:t>(2), 318-324.</w:t>
      </w:r>
      <w:r>
        <w:rPr>
          <w:rFonts w:ascii="Times New Roman" w:eastAsia="Calibri" w:hAnsi="Times New Roman"/>
          <w:color w:val="0000FF"/>
          <w:sz w:val="24"/>
          <w:szCs w:val="24"/>
        </w:rPr>
        <w:t>https://doi.org/10.1080/09614524.2018.1420140</w:t>
      </w:r>
      <w:r>
        <w:rPr>
          <w:rFonts w:ascii="Times New Roman" w:eastAsia="Calibri" w:hAnsi="Times New Roman" w:cs="Times New Roman"/>
          <w:color w:val="0000FF"/>
          <w:sz w:val="24"/>
          <w:szCs w:val="24"/>
        </w:rPr>
        <w:t xml:space="preserve"> </w:t>
      </w:r>
    </w:p>
    <w:p w14:paraId="5BE6D6C6"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bookmarkStart w:id="32" w:name="_ENREF_20"/>
      <w:bookmarkEnd w:id="32"/>
      <w:r>
        <w:rPr>
          <w:rFonts w:ascii="Times New Roman" w:eastAsia="Calibri" w:hAnsi="Times New Roman" w:cs="Times New Roman"/>
          <w:sz w:val="24"/>
          <w:szCs w:val="24"/>
        </w:rPr>
        <w:t xml:space="preserve">Sikka, A. K., Islam, A., &amp; Rao, K. V. (2018). Climate‐smart land and water management for sustainable agriculture. </w:t>
      </w:r>
      <w:r>
        <w:rPr>
          <w:rFonts w:ascii="Times New Roman" w:eastAsia="Calibri" w:hAnsi="Times New Roman" w:cs="Times New Roman"/>
          <w:i/>
          <w:iCs/>
          <w:sz w:val="24"/>
          <w:szCs w:val="24"/>
        </w:rPr>
        <w:t>Irrigation and Drainage</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67</w:t>
      </w:r>
      <w:r>
        <w:rPr>
          <w:rFonts w:ascii="Times New Roman" w:eastAsia="Calibri" w:hAnsi="Times New Roman" w:cs="Times New Roman"/>
          <w:sz w:val="24"/>
          <w:szCs w:val="24"/>
        </w:rPr>
        <w:t xml:space="preserve">(1), 72-81. </w:t>
      </w:r>
      <w:hyperlink r:id="rId44" w:history="1">
        <w:r>
          <w:rPr>
            <w:rStyle w:val="Hyperlink"/>
            <w:rFonts w:ascii="Times New Roman" w:eastAsia="Calibri" w:hAnsi="Times New Roman" w:cs="Times New Roman"/>
            <w:color w:val="0000FF"/>
            <w:sz w:val="24"/>
            <w:szCs w:val="24"/>
          </w:rPr>
          <w:t>https://doi.org/10.1002/ird.2162</w:t>
        </w:r>
      </w:hyperlink>
    </w:p>
    <w:p w14:paraId="41CA3E99"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bookmarkStart w:id="33" w:name="_ENREF_21"/>
      <w:bookmarkEnd w:id="33"/>
      <w:proofErr w:type="spellStart"/>
      <w:r>
        <w:rPr>
          <w:rFonts w:ascii="Times New Roman" w:eastAsia="Calibri" w:hAnsi="Times New Roman" w:cs="Times New Roman"/>
          <w:sz w:val="24"/>
          <w:szCs w:val="24"/>
        </w:rPr>
        <w:t>Simane</w:t>
      </w:r>
      <w:proofErr w:type="spellEnd"/>
      <w:r>
        <w:rPr>
          <w:rFonts w:ascii="Times New Roman" w:eastAsia="Calibri" w:hAnsi="Times New Roman" w:cs="Times New Roman"/>
          <w:sz w:val="24"/>
          <w:szCs w:val="24"/>
        </w:rPr>
        <w:t xml:space="preserve">, B., Zaitchik, B. F., &amp; Foltz, J. D. (2016). Agroecosystem specific climate vulnerability analysis: application of the livelihood vulnerability index to a tropical highland region. </w:t>
      </w:r>
      <w:r>
        <w:rPr>
          <w:rFonts w:ascii="Times New Roman" w:eastAsia="Calibri" w:hAnsi="Times New Roman" w:cs="Times New Roman"/>
          <w:i/>
          <w:iCs/>
          <w:sz w:val="24"/>
          <w:szCs w:val="24"/>
        </w:rPr>
        <w:t>Mitigation and Adaptation Strategies for Global Change</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21</w:t>
      </w:r>
      <w:r>
        <w:rPr>
          <w:rFonts w:ascii="Times New Roman" w:eastAsia="Calibri" w:hAnsi="Times New Roman" w:cs="Times New Roman"/>
          <w:sz w:val="24"/>
          <w:szCs w:val="24"/>
        </w:rPr>
        <w:t>, 39-65.</w:t>
      </w:r>
      <w:r>
        <w:rPr>
          <w:rFonts w:ascii="Merriweather Sans" w:eastAsia="Calibri" w:hAnsi="Merriweather Sans" w:cs="Times New Roman"/>
          <w:color w:val="222222"/>
          <w:shd w:val="clear" w:color="auto" w:fill="FFFFFF"/>
        </w:rPr>
        <w:t xml:space="preserve"> </w:t>
      </w:r>
      <w:hyperlink r:id="rId45" w:history="1">
        <w:r>
          <w:rPr>
            <w:rStyle w:val="Hyperlink"/>
            <w:rFonts w:ascii="Times New Roman" w:eastAsia="Calibri" w:hAnsi="Times New Roman" w:cs="Times New Roman"/>
            <w:color w:val="0000FF"/>
            <w:sz w:val="24"/>
            <w:szCs w:val="24"/>
          </w:rPr>
          <w:t>https://doi.org/10.1007/s11027-014-9568-1</w:t>
        </w:r>
      </w:hyperlink>
    </w:p>
    <w:p w14:paraId="06D0572A"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bookmarkStart w:id="34" w:name="_ENREF_22"/>
      <w:bookmarkEnd w:id="34"/>
      <w:r>
        <w:rPr>
          <w:rFonts w:ascii="Times New Roman" w:eastAsia="Calibri" w:hAnsi="Times New Roman" w:cs="Times New Roman"/>
          <w:sz w:val="24"/>
          <w:szCs w:val="24"/>
        </w:rPr>
        <w:t xml:space="preserve">Singh Jatav, S. (2020). Bridging the gap between biophysical and social vulnerability in rural India: a community livelihood vulnerability approach. </w:t>
      </w:r>
      <w:r>
        <w:rPr>
          <w:rFonts w:ascii="Times New Roman" w:eastAsia="Calibri" w:hAnsi="Times New Roman" w:cs="Times New Roman"/>
          <w:i/>
          <w:iCs/>
          <w:sz w:val="24"/>
          <w:szCs w:val="24"/>
        </w:rPr>
        <w:t>Area Development and Policy</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5</w:t>
      </w:r>
      <w:r>
        <w:rPr>
          <w:rFonts w:ascii="Times New Roman" w:eastAsia="Calibri" w:hAnsi="Times New Roman" w:cs="Times New Roman"/>
          <w:sz w:val="24"/>
          <w:szCs w:val="24"/>
        </w:rPr>
        <w:t xml:space="preserve">(4), 390-411. </w:t>
      </w:r>
      <w:hyperlink r:id="rId46" w:history="1">
        <w:r>
          <w:rPr>
            <w:rStyle w:val="Hyperlink"/>
            <w:rFonts w:ascii="Times New Roman" w:eastAsia="Calibri" w:hAnsi="Times New Roman" w:cs="Times New Roman"/>
            <w:color w:val="0000FF"/>
            <w:sz w:val="24"/>
            <w:szCs w:val="24"/>
          </w:rPr>
          <w:t>https://doi.org/10.1080/23792949.2020.1734473</w:t>
        </w:r>
      </w:hyperlink>
    </w:p>
    <w:p w14:paraId="01ACA919"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bookmarkStart w:id="35" w:name="_ENREF_23"/>
      <w:bookmarkEnd w:id="35"/>
      <w:r>
        <w:rPr>
          <w:rFonts w:ascii="Times New Roman" w:eastAsia="Calibri" w:hAnsi="Times New Roman" w:cs="Times New Roman"/>
          <w:sz w:val="24"/>
          <w:szCs w:val="24"/>
        </w:rPr>
        <w:t xml:space="preserve">Singh, D.K., </w:t>
      </w:r>
      <w:proofErr w:type="spellStart"/>
      <w:r>
        <w:rPr>
          <w:rFonts w:ascii="Times New Roman" w:eastAsia="Calibri" w:hAnsi="Times New Roman" w:cs="Times New Roman"/>
          <w:sz w:val="24"/>
          <w:szCs w:val="24"/>
        </w:rPr>
        <w:t>Pusalkar</w:t>
      </w:r>
      <w:proofErr w:type="spellEnd"/>
      <w:r>
        <w:rPr>
          <w:rFonts w:ascii="Times New Roman" w:eastAsia="Calibri" w:hAnsi="Times New Roman" w:cs="Times New Roman"/>
          <w:sz w:val="24"/>
          <w:szCs w:val="24"/>
        </w:rPr>
        <w:t xml:space="preserve">, P.K. (2020). Floristic Diversity of the Indian Himalaya. In: Dar, G., </w:t>
      </w:r>
      <w:proofErr w:type="spellStart"/>
      <w:r>
        <w:rPr>
          <w:rFonts w:ascii="Times New Roman" w:eastAsia="Calibri" w:hAnsi="Times New Roman" w:cs="Times New Roman"/>
          <w:sz w:val="24"/>
          <w:szCs w:val="24"/>
        </w:rPr>
        <w:t>Khuroo</w:t>
      </w:r>
      <w:proofErr w:type="spellEnd"/>
      <w:r>
        <w:rPr>
          <w:rFonts w:ascii="Times New Roman" w:eastAsia="Calibri" w:hAnsi="Times New Roman" w:cs="Times New Roman"/>
          <w:sz w:val="24"/>
          <w:szCs w:val="24"/>
        </w:rPr>
        <w:t xml:space="preserve">, A. (eds) Biodiversity of the Himalaya: Jammu and Kashmir State. Topics in Biodiversity and Conservation, vol 18. Springer, Singapore. </w:t>
      </w:r>
      <w:hyperlink r:id="rId47" w:history="1">
        <w:r>
          <w:rPr>
            <w:rStyle w:val="Hyperlink"/>
            <w:rFonts w:ascii="Times New Roman" w:eastAsia="Calibri" w:hAnsi="Times New Roman" w:cs="Times New Roman"/>
            <w:color w:val="0000FF"/>
            <w:sz w:val="24"/>
            <w:szCs w:val="24"/>
          </w:rPr>
          <w:t>https://doi.org/10.1007/978-981-32-9174-4_5</w:t>
        </w:r>
      </w:hyperlink>
    </w:p>
    <w:p w14:paraId="57DFD875"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bookmarkStart w:id="36" w:name="_ENREF_24"/>
      <w:bookmarkEnd w:id="36"/>
      <w:r>
        <w:rPr>
          <w:rFonts w:ascii="Times New Roman" w:eastAsia="Calibri" w:hAnsi="Times New Roman" w:cs="Times New Roman"/>
          <w:sz w:val="24"/>
          <w:szCs w:val="24"/>
        </w:rPr>
        <w:t xml:space="preserve">Singh, N. P., Singh, S., Anand, B., &amp; Bal, S. K. (2019). Climate vulnerability assessment in semi-arid and arid region of Rajasthan, India: An enquiry into the disadvantaged districts. </w:t>
      </w:r>
      <w:r>
        <w:rPr>
          <w:rFonts w:ascii="Times New Roman" w:eastAsia="Calibri" w:hAnsi="Times New Roman" w:cs="Times New Roman"/>
          <w:i/>
          <w:iCs/>
          <w:sz w:val="24"/>
          <w:szCs w:val="24"/>
        </w:rPr>
        <w:t>Journal of Agrometeorology</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21</w:t>
      </w:r>
      <w:r>
        <w:rPr>
          <w:rFonts w:ascii="Times New Roman" w:eastAsia="Calibri" w:hAnsi="Times New Roman" w:cs="Times New Roman"/>
          <w:sz w:val="24"/>
          <w:szCs w:val="24"/>
        </w:rPr>
        <w:t xml:space="preserve">(2), 197-202. </w:t>
      </w:r>
      <w:hyperlink r:id="rId48" w:history="1">
        <w:r>
          <w:rPr>
            <w:rStyle w:val="Hyperlink"/>
            <w:rFonts w:ascii="Times New Roman" w:eastAsia="Calibri" w:hAnsi="Times New Roman" w:cs="Times New Roman"/>
            <w:color w:val="0000FF"/>
            <w:sz w:val="24"/>
            <w:szCs w:val="24"/>
          </w:rPr>
          <w:t>https://doi.org/10.54386/jam.v21i2.233</w:t>
        </w:r>
      </w:hyperlink>
    </w:p>
    <w:p w14:paraId="417FD912" w14:textId="77777777" w:rsidR="00B6568E" w:rsidRDefault="00000000">
      <w:pPr>
        <w:numPr>
          <w:ilvl w:val="0"/>
          <w:numId w:val="4"/>
        </w:numPr>
        <w:tabs>
          <w:tab w:val="left" w:pos="720"/>
        </w:tabs>
        <w:spacing w:after="160" w:line="271" w:lineRule="auto"/>
        <w:contextualSpacing/>
        <w:jc w:val="both"/>
        <w:rPr>
          <w:rFonts w:ascii="Times New Roman" w:eastAsia="Calibri" w:hAnsi="Times New Roman" w:cs="Times New Roman"/>
          <w:sz w:val="24"/>
          <w:szCs w:val="24"/>
        </w:rPr>
      </w:pPr>
      <w:bookmarkStart w:id="37" w:name="_ENREF_25"/>
      <w:bookmarkEnd w:id="37"/>
      <w:r>
        <w:rPr>
          <w:rFonts w:ascii="Times New Roman" w:eastAsia="Calibri" w:hAnsi="Times New Roman" w:cs="Times New Roman"/>
          <w:sz w:val="24"/>
          <w:szCs w:val="24"/>
        </w:rPr>
        <w:t xml:space="preserve">Singh, S. (2020). Farmers’ perception of climate change and adaptation decisions: Micro-level evidence from Bundelkhand Region, India. </w:t>
      </w:r>
      <w:r>
        <w:rPr>
          <w:rFonts w:ascii="Times New Roman" w:eastAsia="Calibri" w:hAnsi="Times New Roman" w:cs="Times New Roman"/>
          <w:i/>
          <w:iCs/>
          <w:sz w:val="24"/>
          <w:szCs w:val="24"/>
        </w:rPr>
        <w:t>Ecological Indicators</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116</w:t>
      </w:r>
      <w:r>
        <w:rPr>
          <w:rFonts w:ascii="Times New Roman" w:eastAsia="Calibri" w:hAnsi="Times New Roman" w:cs="Times New Roman"/>
          <w:sz w:val="24"/>
          <w:szCs w:val="24"/>
        </w:rPr>
        <w:t xml:space="preserve">, 106475. </w:t>
      </w:r>
      <w:hyperlink r:id="rId49" w:history="1">
        <w:r>
          <w:rPr>
            <w:rStyle w:val="Hyperlink"/>
            <w:rFonts w:ascii="Times New Roman" w:eastAsia="Calibri" w:hAnsi="Times New Roman" w:cs="Times New Roman"/>
            <w:color w:val="0000FF"/>
            <w:sz w:val="24"/>
            <w:szCs w:val="24"/>
          </w:rPr>
          <w:t>https://doi.org/10.1016/j.ecolind.2020.106475</w:t>
        </w:r>
      </w:hyperlink>
    </w:p>
    <w:p w14:paraId="60B76CD7" w14:textId="77777777" w:rsidR="00B6568E" w:rsidRDefault="00000000">
      <w:pPr>
        <w:tabs>
          <w:tab w:val="left" w:pos="720"/>
        </w:tabs>
        <w:spacing w:after="160" w:line="271" w:lineRule="auto"/>
        <w:ind w:leftChars="163" w:left="719" w:hangingChars="150" w:hanging="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100.Singh, S. U. R. E. N. D. R. A., &amp; Nayak, S. A. N. A. T. A. N. (2014). Climate change and agriculture production in India. European Academic Research, 2(6), 12-30.</w:t>
      </w:r>
    </w:p>
    <w:p w14:paraId="77D7641F" w14:textId="77777777" w:rsidR="00B6568E" w:rsidRDefault="00000000">
      <w:pPr>
        <w:tabs>
          <w:tab w:val="left" w:pos="720"/>
        </w:tabs>
        <w:spacing w:after="160" w:line="271" w:lineRule="auto"/>
        <w:ind w:leftChars="163" w:left="719" w:hangingChars="150" w:hanging="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101.Singh, S., &amp; Nayak, S. (2018). Application of indicators for identifying climate vulnerable areas in sub-tropical regions of India. </w:t>
      </w:r>
      <w:r>
        <w:rPr>
          <w:rFonts w:ascii="Times New Roman" w:eastAsia="Calibri" w:hAnsi="Times New Roman" w:cs="Times New Roman"/>
          <w:i/>
          <w:iCs/>
          <w:sz w:val="24"/>
          <w:szCs w:val="24"/>
        </w:rPr>
        <w:t>Asian Journal of Multidimensional Research (AJMR)</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7</w:t>
      </w:r>
      <w:r>
        <w:rPr>
          <w:rFonts w:ascii="Times New Roman" w:eastAsia="Calibri" w:hAnsi="Times New Roman" w:cs="Times New Roman"/>
          <w:sz w:val="24"/>
          <w:szCs w:val="24"/>
        </w:rPr>
        <w:t>(11), 234-251.</w:t>
      </w:r>
      <w:r>
        <w:rPr>
          <w:rStyle w:val="Hyperlink"/>
          <w:rFonts w:ascii="Times New Roman" w:eastAsia="Calibri" w:hAnsi="Times New Roman" w:cs="Times New Roman"/>
          <w:color w:val="0000FF"/>
          <w:sz w:val="24"/>
          <w:szCs w:val="24"/>
        </w:rPr>
        <w:t>https://doi.org/10.1007/s10584-018-2314-z.</w:t>
      </w:r>
    </w:p>
    <w:p w14:paraId="1D28E84F" w14:textId="77777777" w:rsidR="00B6568E" w:rsidRDefault="00000000">
      <w:pPr>
        <w:tabs>
          <w:tab w:val="left" w:pos="720"/>
        </w:tabs>
        <w:spacing w:beforeAutospacing="1" w:after="0" w:afterAutospacing="1" w:line="271" w:lineRule="auto"/>
        <w:ind w:leftChars="163" w:left="839" w:hangingChars="200" w:hanging="48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lang w:bidi="ar"/>
        </w:rPr>
        <w:t>102..Smit</w:t>
      </w:r>
      <w:proofErr w:type="gramEnd"/>
      <w:r>
        <w:rPr>
          <w:rFonts w:ascii="Times New Roman" w:eastAsia="Times New Roman" w:hAnsi="Times New Roman" w:cs="Times New Roman"/>
          <w:sz w:val="24"/>
          <w:szCs w:val="24"/>
          <w:lang w:bidi="ar"/>
        </w:rPr>
        <w:t xml:space="preserve">, B., &amp; Skinner, M. W. (2002). Adaptation options in agriculture to climate </w:t>
      </w:r>
      <w:proofErr w:type="spellStart"/>
      <w:proofErr w:type="gramStart"/>
      <w:r>
        <w:rPr>
          <w:rFonts w:ascii="Times New Roman" w:eastAsia="Times New Roman" w:hAnsi="Times New Roman" w:cs="Times New Roman"/>
          <w:sz w:val="24"/>
          <w:szCs w:val="24"/>
          <w:lang w:bidi="ar"/>
        </w:rPr>
        <w:t>change:a</w:t>
      </w:r>
      <w:proofErr w:type="spellEnd"/>
      <w:proofErr w:type="gramEnd"/>
      <w:r>
        <w:rPr>
          <w:rFonts w:ascii="Times New Roman" w:eastAsia="Times New Roman" w:hAnsi="Times New Roman" w:cs="Times New Roman"/>
          <w:sz w:val="24"/>
          <w:szCs w:val="24"/>
          <w:lang w:bidi="ar"/>
        </w:rPr>
        <w:t xml:space="preserve"> typology. </w:t>
      </w:r>
      <w:r>
        <w:rPr>
          <w:rFonts w:ascii="Times New Roman" w:eastAsia="Times New Roman" w:hAnsi="Times New Roman" w:cs="Times New Roman"/>
          <w:i/>
          <w:iCs/>
          <w:sz w:val="24"/>
          <w:szCs w:val="24"/>
          <w:lang w:bidi="ar"/>
        </w:rPr>
        <w:t>Mitigation and Adaptation Strategies for Global Change</w:t>
      </w:r>
      <w:r>
        <w:rPr>
          <w:rFonts w:ascii="Times New Roman" w:eastAsia="Times New Roman" w:hAnsi="Times New Roman" w:cs="Times New Roman"/>
          <w:sz w:val="24"/>
          <w:szCs w:val="24"/>
          <w:lang w:bidi="ar"/>
        </w:rPr>
        <w:t>, 7(1), 85–114.</w:t>
      </w:r>
    </w:p>
    <w:p w14:paraId="4564D9AB" w14:textId="77777777" w:rsidR="00B6568E" w:rsidRDefault="00000000">
      <w:pPr>
        <w:tabs>
          <w:tab w:val="left" w:pos="720"/>
        </w:tabs>
        <w:spacing w:after="160" w:line="271" w:lineRule="auto"/>
        <w:ind w:leftChars="163" w:left="839" w:hangingChars="200" w:hanging="48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103.Smit, B., McNabb, D., &amp; Smithers, J. (1996). Agricultural adaptation to climatic variation. </w:t>
      </w:r>
      <w:r>
        <w:rPr>
          <w:rFonts w:ascii="Times New Roman" w:eastAsia="Calibri" w:hAnsi="Times New Roman" w:cs="Times New Roman"/>
          <w:i/>
          <w:iCs/>
          <w:sz w:val="24"/>
          <w:szCs w:val="24"/>
        </w:rPr>
        <w:t>Climatic change</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33</w:t>
      </w:r>
      <w:r>
        <w:rPr>
          <w:rFonts w:ascii="Times New Roman" w:eastAsia="Calibri" w:hAnsi="Times New Roman" w:cs="Times New Roman"/>
          <w:sz w:val="24"/>
          <w:szCs w:val="24"/>
        </w:rPr>
        <w:t>(1), 7-29.</w:t>
      </w:r>
      <w:r>
        <w:rPr>
          <w:rFonts w:ascii="Merriweather Sans" w:eastAsia="Calibri" w:hAnsi="Merriweather Sans" w:cs="Times New Roman"/>
          <w:color w:val="222222"/>
          <w:shd w:val="clear" w:color="auto" w:fill="FFFFFF"/>
        </w:rPr>
        <w:t xml:space="preserve"> </w:t>
      </w:r>
      <w:r>
        <w:rPr>
          <w:rFonts w:ascii="Times New Roman" w:eastAsia="Calibri" w:hAnsi="Times New Roman" w:cs="Times New Roman"/>
          <w:sz w:val="24"/>
          <w:szCs w:val="24"/>
        </w:rPr>
        <w:t xml:space="preserve"> </w:t>
      </w:r>
      <w:hyperlink r:id="rId50" w:history="1">
        <w:r>
          <w:rPr>
            <w:rStyle w:val="Hyperlink"/>
            <w:rFonts w:ascii="Times New Roman" w:eastAsia="Calibri" w:hAnsi="Times New Roman" w:cs="Times New Roman"/>
            <w:color w:val="0000FF"/>
            <w:sz w:val="24"/>
            <w:szCs w:val="24"/>
          </w:rPr>
          <w:t>https://doi.org/10.1007/BF00140511</w:t>
        </w:r>
      </w:hyperlink>
    </w:p>
    <w:p w14:paraId="48FF4D16" w14:textId="77777777" w:rsidR="00B6568E" w:rsidRDefault="00000000">
      <w:pPr>
        <w:tabs>
          <w:tab w:val="left" w:pos="720"/>
        </w:tabs>
        <w:spacing w:after="160" w:line="271" w:lineRule="auto"/>
        <w:ind w:leftChars="163" w:left="839" w:hangingChars="200" w:hanging="48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104.Tan, G., &amp; Shibasaki, R. (2003). Global estimation of crop productivity and the impacts of global warming by GIS and EPIC integration. </w:t>
      </w:r>
      <w:r>
        <w:rPr>
          <w:rFonts w:ascii="Times New Roman" w:eastAsia="Calibri" w:hAnsi="Times New Roman" w:cs="Times New Roman"/>
          <w:i/>
          <w:iCs/>
          <w:sz w:val="24"/>
          <w:szCs w:val="24"/>
        </w:rPr>
        <w:t>Ecological Modelling</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168</w:t>
      </w:r>
      <w:r>
        <w:rPr>
          <w:rFonts w:ascii="Times New Roman" w:eastAsia="Calibri" w:hAnsi="Times New Roman" w:cs="Times New Roman"/>
          <w:sz w:val="24"/>
          <w:szCs w:val="24"/>
        </w:rPr>
        <w:t>(3), 357-370.</w:t>
      </w:r>
      <w:r>
        <w:rPr>
          <w:rFonts w:ascii="Calibri" w:eastAsia="Times New Roman" w:hAnsi="Calibri" w:cs="Times New Roman" w:hint="eastAsia"/>
        </w:rPr>
        <w:t xml:space="preserve"> </w:t>
      </w:r>
      <w:hyperlink r:id="rId51" w:history="1">
        <w:r>
          <w:rPr>
            <w:rStyle w:val="Hyperlink"/>
            <w:rFonts w:ascii="Times New Roman" w:eastAsia="Calibri" w:hAnsi="Times New Roman" w:cs="Times New Roman"/>
            <w:color w:val="0000FF"/>
            <w:sz w:val="24"/>
            <w:szCs w:val="24"/>
          </w:rPr>
          <w:t>https://doi.org/10.1016/S0304-3800(03)00146-7</w:t>
        </w:r>
      </w:hyperlink>
    </w:p>
    <w:p w14:paraId="053D2847" w14:textId="77777777" w:rsidR="00B6568E" w:rsidRDefault="00000000">
      <w:pPr>
        <w:tabs>
          <w:tab w:val="left" w:pos="720"/>
        </w:tabs>
        <w:spacing w:after="160" w:line="271" w:lineRule="auto"/>
        <w:ind w:leftChars="163" w:left="719" w:hangingChars="150" w:hanging="360"/>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105.Thoker, I. A., Bhat, M. S., Shah, S. A., Lone, F. A., &amp; Jeelani, P. (2024a). An appraisal of people's participation in the joint forest management </w:t>
      </w:r>
      <w:proofErr w:type="spellStart"/>
      <w:r>
        <w:rPr>
          <w:rFonts w:ascii="Times New Roman" w:eastAsia="Calibri" w:hAnsi="Times New Roman" w:cs="Times New Roman"/>
          <w:color w:val="222222"/>
          <w:sz w:val="24"/>
          <w:szCs w:val="24"/>
          <w:shd w:val="clear" w:color="auto" w:fill="FFFFFF"/>
        </w:rPr>
        <w:t>programme</w:t>
      </w:r>
      <w:proofErr w:type="spellEnd"/>
      <w:r>
        <w:rPr>
          <w:rFonts w:ascii="Times New Roman" w:eastAsia="Calibri" w:hAnsi="Times New Roman" w:cs="Times New Roman"/>
          <w:color w:val="222222"/>
          <w:sz w:val="24"/>
          <w:szCs w:val="24"/>
          <w:shd w:val="clear" w:color="auto" w:fill="FFFFFF"/>
        </w:rPr>
        <w:t xml:space="preserve"> in the Kashmir </w:t>
      </w:r>
      <w:r>
        <w:rPr>
          <w:rFonts w:ascii="Times New Roman" w:eastAsia="Calibri" w:hAnsi="Times New Roman" w:cs="Times New Roman"/>
          <w:color w:val="222222"/>
          <w:sz w:val="24"/>
          <w:szCs w:val="24"/>
          <w:shd w:val="clear" w:color="auto" w:fill="FFFFFF"/>
        </w:rPr>
        <w:lastRenderedPageBreak/>
        <w:t xml:space="preserve">Himalayas. </w:t>
      </w:r>
      <w:r>
        <w:rPr>
          <w:rFonts w:ascii="Times New Roman" w:eastAsia="Calibri" w:hAnsi="Times New Roman" w:cs="Times New Roman"/>
          <w:i/>
          <w:iCs/>
          <w:color w:val="222222"/>
          <w:sz w:val="24"/>
          <w:szCs w:val="24"/>
          <w:shd w:val="clear" w:color="auto" w:fill="FFFFFF"/>
        </w:rPr>
        <w:t>Forest Policy and Economics</w:t>
      </w:r>
      <w:r>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i/>
          <w:iCs/>
          <w:color w:val="222222"/>
          <w:sz w:val="24"/>
          <w:szCs w:val="24"/>
          <w:shd w:val="clear" w:color="auto" w:fill="FFFFFF"/>
        </w:rPr>
        <w:t>166</w:t>
      </w:r>
      <w:r>
        <w:rPr>
          <w:rFonts w:ascii="Times New Roman" w:eastAsia="Calibri" w:hAnsi="Times New Roman" w:cs="Times New Roman"/>
          <w:color w:val="222222"/>
          <w:sz w:val="24"/>
          <w:szCs w:val="24"/>
          <w:shd w:val="clear" w:color="auto" w:fill="FFFFFF"/>
        </w:rPr>
        <w:t>, 103265.</w:t>
      </w:r>
      <w:r>
        <w:rPr>
          <w:rFonts w:ascii="Times New Roman" w:eastAsia="Calibri" w:hAnsi="Times New Roman" w:cs="Times New Roman"/>
          <w:sz w:val="24"/>
          <w:szCs w:val="24"/>
        </w:rPr>
        <w:t xml:space="preserve"> </w:t>
      </w:r>
      <w:hyperlink r:id="rId52" w:tooltip="Persistent link using digital object identifier" w:history="1">
        <w:r>
          <w:rPr>
            <w:rStyle w:val="Hyperlink"/>
            <w:rFonts w:ascii="Times New Roman" w:eastAsia="Calibri" w:hAnsi="Times New Roman" w:cs="Times New Roman"/>
            <w:color w:val="0000FF"/>
            <w:sz w:val="24"/>
            <w:szCs w:val="24"/>
          </w:rPr>
          <w:t>https://doi.org/10.1016/j.forpol.2024.103265</w:t>
        </w:r>
      </w:hyperlink>
      <w:r>
        <w:rPr>
          <w:rFonts w:ascii="Times New Roman" w:eastAsia="Calibri" w:hAnsi="Times New Roman" w:cs="Times New Roman"/>
          <w:sz w:val="24"/>
          <w:szCs w:val="24"/>
        </w:rPr>
        <w:t xml:space="preserve"> </w:t>
      </w:r>
    </w:p>
    <w:p w14:paraId="163ED2C2" w14:textId="77777777" w:rsidR="00B6568E" w:rsidRDefault="00000000">
      <w:pPr>
        <w:tabs>
          <w:tab w:val="left" w:pos="720"/>
        </w:tabs>
        <w:spacing w:after="160" w:line="271" w:lineRule="auto"/>
        <w:ind w:leftChars="163" w:left="839" w:hangingChars="200" w:hanging="480"/>
        <w:contextualSpacing/>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 xml:space="preserve">106.Thoker, I. A., Bhat, M. S., Shah, S. A., Lone, F. A., Mir, S., </w:t>
      </w:r>
      <w:proofErr w:type="spellStart"/>
      <w:r>
        <w:rPr>
          <w:rFonts w:ascii="Times New Roman" w:eastAsia="Calibri" w:hAnsi="Times New Roman" w:cs="Times New Roman"/>
          <w:color w:val="222222"/>
          <w:sz w:val="24"/>
          <w:szCs w:val="24"/>
          <w:shd w:val="clear" w:color="auto" w:fill="FFFFFF"/>
        </w:rPr>
        <w:t>Parrey</w:t>
      </w:r>
      <w:proofErr w:type="spellEnd"/>
      <w:r>
        <w:rPr>
          <w:rFonts w:ascii="Times New Roman" w:eastAsia="Calibri" w:hAnsi="Times New Roman" w:cs="Times New Roman"/>
          <w:color w:val="222222"/>
          <w:sz w:val="24"/>
          <w:szCs w:val="24"/>
          <w:shd w:val="clear" w:color="auto" w:fill="FFFFFF"/>
        </w:rPr>
        <w:t xml:space="preserve">, H. A., &amp; Akbar, M. (2024b). Towards sustainable forest management: an examination of environmental knowledge among forest dwellers in the Kashmir Himalayas. </w:t>
      </w:r>
      <w:r>
        <w:rPr>
          <w:rFonts w:ascii="Times New Roman" w:eastAsia="Calibri" w:hAnsi="Times New Roman" w:cs="Times New Roman"/>
          <w:i/>
          <w:iCs/>
          <w:color w:val="222222"/>
          <w:sz w:val="24"/>
          <w:szCs w:val="24"/>
          <w:shd w:val="clear" w:color="auto" w:fill="FFFFFF"/>
        </w:rPr>
        <w:t>Environment, Development and Sustainability</w:t>
      </w:r>
      <w:r>
        <w:rPr>
          <w:rFonts w:ascii="Times New Roman" w:eastAsia="Calibri" w:hAnsi="Times New Roman" w:cs="Times New Roman"/>
          <w:color w:val="222222"/>
          <w:sz w:val="24"/>
          <w:szCs w:val="24"/>
          <w:shd w:val="clear" w:color="auto" w:fill="FFFFFF"/>
        </w:rPr>
        <w:t xml:space="preserve">, 1-29. </w:t>
      </w:r>
      <w:hyperlink r:id="rId53" w:history="1">
        <w:r>
          <w:rPr>
            <w:rStyle w:val="Hyperlink"/>
            <w:rFonts w:ascii="Times New Roman" w:eastAsia="Calibri" w:hAnsi="Times New Roman" w:cs="Times New Roman"/>
            <w:color w:val="0000FF"/>
            <w:sz w:val="24"/>
            <w:szCs w:val="24"/>
            <w:shd w:val="clear" w:color="auto" w:fill="FFFFFF"/>
          </w:rPr>
          <w:t>https://doi.org/10.1007/s10668-024-04823-y</w:t>
        </w:r>
      </w:hyperlink>
    </w:p>
    <w:p w14:paraId="03282157" w14:textId="77777777" w:rsidR="00B6568E" w:rsidRDefault="00000000">
      <w:pPr>
        <w:tabs>
          <w:tab w:val="left" w:pos="720"/>
        </w:tabs>
        <w:spacing w:beforeAutospacing="1" w:after="0" w:afterAutospacing="1" w:line="271" w:lineRule="auto"/>
        <w:ind w:leftChars="163" w:left="839" w:hangingChars="200" w:hanging="480"/>
        <w:rPr>
          <w:rFonts w:ascii="Times New Roman" w:eastAsia="Times New Roman" w:hAnsi="Times New Roman" w:cs="Times New Roman"/>
          <w:sz w:val="24"/>
          <w:szCs w:val="24"/>
        </w:rPr>
      </w:pPr>
      <w:r>
        <w:rPr>
          <w:rFonts w:ascii="Times New Roman" w:eastAsia="Times New Roman" w:hAnsi="Times New Roman" w:cs="Times New Roman"/>
          <w:sz w:val="24"/>
          <w:szCs w:val="24"/>
          <w:lang w:bidi="ar"/>
        </w:rPr>
        <w:t xml:space="preserve">107.Thornton, P. K., Ericksen, P. J., Herrero, M., &amp; Challinor, A. J. (2014). Climate variability and vulnerability to climate change: a review. </w:t>
      </w:r>
      <w:r>
        <w:rPr>
          <w:rFonts w:ascii="Times New Roman" w:eastAsia="Times New Roman" w:hAnsi="Times New Roman" w:cs="Times New Roman"/>
          <w:i/>
          <w:iCs/>
          <w:sz w:val="24"/>
          <w:szCs w:val="24"/>
          <w:lang w:bidi="ar"/>
        </w:rPr>
        <w:t>Global Change Biology</w:t>
      </w:r>
      <w:r>
        <w:rPr>
          <w:rFonts w:ascii="Times New Roman" w:eastAsia="Times New Roman" w:hAnsi="Times New Roman" w:cs="Times New Roman"/>
          <w:sz w:val="24"/>
          <w:szCs w:val="24"/>
          <w:lang w:bidi="ar"/>
        </w:rPr>
        <w:t>, 20(11), 3313–3328.</w:t>
      </w:r>
    </w:p>
    <w:p w14:paraId="3593B74F" w14:textId="77777777" w:rsidR="00B6568E" w:rsidRDefault="00000000">
      <w:pPr>
        <w:tabs>
          <w:tab w:val="left" w:pos="720"/>
        </w:tabs>
        <w:spacing w:after="160" w:line="271" w:lineRule="auto"/>
        <w:ind w:leftChars="163" w:left="839" w:hangingChars="200" w:hanging="48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108.Toros, H., </w:t>
      </w:r>
      <w:proofErr w:type="spellStart"/>
      <w:r>
        <w:rPr>
          <w:rFonts w:ascii="Times New Roman" w:eastAsia="Calibri" w:hAnsi="Times New Roman" w:cs="Times New Roman"/>
          <w:sz w:val="24"/>
          <w:szCs w:val="24"/>
        </w:rPr>
        <w:t>Mokari</w:t>
      </w:r>
      <w:proofErr w:type="spellEnd"/>
      <w:r>
        <w:rPr>
          <w:rFonts w:ascii="Times New Roman" w:eastAsia="Calibri" w:hAnsi="Times New Roman" w:cs="Times New Roman"/>
          <w:sz w:val="24"/>
          <w:szCs w:val="24"/>
        </w:rPr>
        <w:t xml:space="preserve">, M., &amp; </w:t>
      </w:r>
      <w:proofErr w:type="spellStart"/>
      <w:r>
        <w:rPr>
          <w:rFonts w:ascii="Times New Roman" w:eastAsia="Calibri" w:hAnsi="Times New Roman" w:cs="Times New Roman"/>
          <w:sz w:val="24"/>
          <w:szCs w:val="24"/>
        </w:rPr>
        <w:t>Abbasnia</w:t>
      </w:r>
      <w:proofErr w:type="spellEnd"/>
      <w:r>
        <w:rPr>
          <w:rFonts w:ascii="Times New Roman" w:eastAsia="Calibri" w:hAnsi="Times New Roman" w:cs="Times New Roman"/>
          <w:sz w:val="24"/>
          <w:szCs w:val="24"/>
        </w:rPr>
        <w:t xml:space="preserve">, M. (2019). Regional variability of temperature extremes in the maritime climate of Turkey: A case study to develop agricultural adaptation strategies under climate change. </w:t>
      </w:r>
      <w:r>
        <w:rPr>
          <w:rFonts w:ascii="Times New Roman" w:eastAsia="Calibri" w:hAnsi="Times New Roman" w:cs="Times New Roman"/>
          <w:i/>
          <w:iCs/>
          <w:sz w:val="24"/>
          <w:szCs w:val="24"/>
        </w:rPr>
        <w:t>Modeling Earth Systems and Environment</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5</w:t>
      </w:r>
      <w:r>
        <w:rPr>
          <w:rFonts w:ascii="Times New Roman" w:eastAsia="Calibri" w:hAnsi="Times New Roman" w:cs="Times New Roman"/>
          <w:sz w:val="24"/>
          <w:szCs w:val="24"/>
        </w:rPr>
        <w:t>, 857-865.</w:t>
      </w:r>
      <w:r>
        <w:rPr>
          <w:rFonts w:ascii="Merriweather Sans" w:eastAsia="Calibri" w:hAnsi="Merriweather Sans" w:cs="Times New Roman"/>
          <w:color w:val="222222"/>
          <w:shd w:val="clear" w:color="auto" w:fill="FFFFFF"/>
        </w:rPr>
        <w:t xml:space="preserve"> </w:t>
      </w:r>
      <w:hyperlink r:id="rId54" w:history="1">
        <w:r>
          <w:rPr>
            <w:rStyle w:val="Hyperlink"/>
            <w:rFonts w:ascii="Times New Roman" w:eastAsia="Calibri" w:hAnsi="Times New Roman" w:cs="Times New Roman"/>
            <w:color w:val="0000FF"/>
            <w:sz w:val="24"/>
            <w:szCs w:val="24"/>
          </w:rPr>
          <w:t>https://doi.org/10.1007/s40808-019-00572-4</w:t>
        </w:r>
      </w:hyperlink>
    </w:p>
    <w:p w14:paraId="7EEC2E16" w14:textId="77777777" w:rsidR="00B6568E" w:rsidRDefault="00000000">
      <w:pPr>
        <w:tabs>
          <w:tab w:val="left" w:pos="720"/>
        </w:tabs>
        <w:spacing w:after="160" w:line="271" w:lineRule="auto"/>
        <w:ind w:leftChars="218" w:left="960" w:hangingChars="200" w:hanging="48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109.Tripathi, A., &amp; Mishra, A. K. (2017). Knowledge and passive adaptation to climate change: An example from Indian farmers. </w:t>
      </w:r>
      <w:r>
        <w:rPr>
          <w:rFonts w:ascii="Times New Roman" w:eastAsia="Calibri" w:hAnsi="Times New Roman" w:cs="Times New Roman"/>
          <w:i/>
          <w:iCs/>
          <w:sz w:val="24"/>
          <w:szCs w:val="24"/>
        </w:rPr>
        <w:t>Climate Risk Management</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16</w:t>
      </w:r>
      <w:r>
        <w:rPr>
          <w:rFonts w:ascii="Times New Roman" w:eastAsia="Calibri" w:hAnsi="Times New Roman" w:cs="Times New Roman"/>
          <w:sz w:val="24"/>
          <w:szCs w:val="24"/>
        </w:rPr>
        <w:t xml:space="preserve">, 195-207. </w:t>
      </w:r>
      <w:hyperlink r:id="rId55" w:history="1">
        <w:r>
          <w:rPr>
            <w:rStyle w:val="Hyperlink"/>
            <w:rFonts w:ascii="Times New Roman" w:eastAsia="Calibri" w:hAnsi="Times New Roman" w:cs="Times New Roman"/>
            <w:color w:val="0000FF"/>
            <w:sz w:val="24"/>
            <w:szCs w:val="24"/>
          </w:rPr>
          <w:t>https://doi.org/10.1016/j.crm.2016.11.002</w:t>
        </w:r>
      </w:hyperlink>
    </w:p>
    <w:p w14:paraId="45B0F169" w14:textId="77777777" w:rsidR="00B6568E" w:rsidRDefault="00000000">
      <w:pPr>
        <w:tabs>
          <w:tab w:val="left" w:pos="720"/>
        </w:tabs>
        <w:spacing w:beforeAutospacing="1" w:after="0" w:line="360" w:lineRule="auto"/>
        <w:ind w:leftChars="163" w:left="719" w:hangingChars="150" w:hanging="36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110.Verma, S., &amp; Sudan, F. K. (2021a). How Do Marginal and Small Farmers Perceive the Impacts of Climate Change on Livelihoods? A Case Study from Jammu Region, India. </w:t>
      </w:r>
      <w:r>
        <w:rPr>
          <w:rFonts w:ascii="Times New Roman" w:eastAsia="Calibri" w:hAnsi="Times New Roman" w:cs="Times New Roman"/>
          <w:color w:val="000000"/>
          <w:sz w:val="24"/>
          <w:szCs w:val="24"/>
        </w:rPr>
        <w:tab/>
      </w:r>
      <w:r>
        <w:rPr>
          <w:rFonts w:ascii="Times New Roman" w:eastAsia="Calibri" w:hAnsi="Times New Roman" w:cs="Times New Roman"/>
          <w:i/>
          <w:color w:val="000000"/>
          <w:sz w:val="24"/>
          <w:szCs w:val="24"/>
        </w:rPr>
        <w:t>Regional Economic Development Research</w:t>
      </w:r>
      <w:r>
        <w:rPr>
          <w:rFonts w:ascii="Times New Roman" w:eastAsia="Calibri" w:hAnsi="Times New Roman" w:cs="Times New Roman"/>
          <w:color w:val="000000"/>
          <w:sz w:val="24"/>
          <w:szCs w:val="24"/>
        </w:rPr>
        <w:t xml:space="preserve">, 113-131. </w:t>
      </w:r>
    </w:p>
    <w:p w14:paraId="302A26E2" w14:textId="77777777" w:rsidR="00B6568E" w:rsidRDefault="00000000">
      <w:pPr>
        <w:tabs>
          <w:tab w:val="left" w:pos="720"/>
        </w:tabs>
        <w:spacing w:beforeAutospacing="1" w:line="360" w:lineRule="auto"/>
        <w:ind w:leftChars="163" w:left="839" w:hangingChars="200" w:hanging="4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111.Verma, S., &amp; Sudan, F. K. (2021b). Impact of Climate Change on Marginal and Small Farmers' Livelihood and their Adaptation Strategies-A Review. </w:t>
      </w:r>
      <w:r>
        <w:rPr>
          <w:rFonts w:ascii="Times New Roman" w:eastAsia="Calibri" w:hAnsi="Times New Roman" w:cs="Times New Roman"/>
          <w:i/>
          <w:color w:val="000000"/>
          <w:sz w:val="24"/>
          <w:szCs w:val="24"/>
        </w:rPr>
        <w:t>Regional Economic Development Research</w:t>
      </w:r>
      <w:r>
        <w:rPr>
          <w:rFonts w:ascii="Times New Roman" w:eastAsia="Calibri" w:hAnsi="Times New Roman" w:cs="Times New Roman"/>
          <w:color w:val="000000"/>
          <w:sz w:val="24"/>
          <w:szCs w:val="24"/>
        </w:rPr>
        <w:t xml:space="preserve">, 96-112. </w:t>
      </w:r>
      <w:r>
        <w:rPr>
          <w:rFonts w:ascii="Times New Roman" w:eastAsia="Calibri" w:hAnsi="Times New Roman"/>
          <w:color w:val="0000FF"/>
          <w:sz w:val="24"/>
          <w:szCs w:val="24"/>
        </w:rPr>
        <w:t>https://doi.org/10.37256/redr.222021896</w:t>
      </w:r>
    </w:p>
    <w:p w14:paraId="5C22687E" w14:textId="77777777" w:rsidR="00B6568E" w:rsidRDefault="00000000">
      <w:pPr>
        <w:tabs>
          <w:tab w:val="left" w:pos="720"/>
        </w:tabs>
        <w:spacing w:after="160" w:line="271" w:lineRule="auto"/>
        <w:ind w:leftChars="163" w:left="839" w:hangingChars="200" w:hanging="48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112.Vijaya Venkataraman, S., Iniyan, S., &amp; </w:t>
      </w:r>
      <w:proofErr w:type="spellStart"/>
      <w:r>
        <w:rPr>
          <w:rFonts w:ascii="Times New Roman" w:eastAsia="Calibri" w:hAnsi="Times New Roman" w:cs="Times New Roman"/>
          <w:sz w:val="24"/>
          <w:szCs w:val="24"/>
        </w:rPr>
        <w:t>Goic</w:t>
      </w:r>
      <w:proofErr w:type="spellEnd"/>
      <w:r>
        <w:rPr>
          <w:rFonts w:ascii="Times New Roman" w:eastAsia="Calibri" w:hAnsi="Times New Roman" w:cs="Times New Roman"/>
          <w:sz w:val="24"/>
          <w:szCs w:val="24"/>
        </w:rPr>
        <w:t xml:space="preserve">, R. (2012). A review of climate change, mitigation and adaptation. </w:t>
      </w:r>
      <w:r>
        <w:rPr>
          <w:rFonts w:ascii="Times New Roman" w:eastAsia="Calibri" w:hAnsi="Times New Roman" w:cs="Times New Roman"/>
          <w:i/>
          <w:iCs/>
          <w:sz w:val="24"/>
          <w:szCs w:val="24"/>
        </w:rPr>
        <w:t>Renewable and Sustainable Energy Reviews</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16</w:t>
      </w:r>
      <w:r>
        <w:rPr>
          <w:rFonts w:ascii="Times New Roman" w:eastAsia="Calibri" w:hAnsi="Times New Roman" w:cs="Times New Roman"/>
          <w:sz w:val="24"/>
          <w:szCs w:val="24"/>
        </w:rPr>
        <w:t>(1), 878-897.</w:t>
      </w:r>
      <w:r>
        <w:rPr>
          <w:rFonts w:ascii="Calibri" w:eastAsia="Times New Roman" w:hAnsi="Calibri" w:cs="Times New Roman" w:hint="eastAsia"/>
        </w:rPr>
        <w:t xml:space="preserve"> </w:t>
      </w:r>
      <w:hyperlink r:id="rId56" w:history="1">
        <w:r>
          <w:rPr>
            <w:rStyle w:val="Hyperlink"/>
            <w:rFonts w:ascii="Times New Roman" w:eastAsia="Calibri" w:hAnsi="Times New Roman" w:cs="Times New Roman"/>
            <w:color w:val="0000FF"/>
            <w:sz w:val="24"/>
            <w:szCs w:val="24"/>
          </w:rPr>
          <w:t>https://doi.org/10.1016/j.rser.2011.09.009</w:t>
        </w:r>
      </w:hyperlink>
    </w:p>
    <w:p w14:paraId="2F0F930D" w14:textId="77777777" w:rsidR="00B6568E" w:rsidRDefault="00000000">
      <w:pPr>
        <w:tabs>
          <w:tab w:val="left" w:pos="720"/>
        </w:tabs>
        <w:spacing w:after="160" w:line="271" w:lineRule="auto"/>
        <w:ind w:leftChars="163" w:left="839" w:hangingChars="200" w:hanging="48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113.World Meteorological Department (</w:t>
      </w:r>
      <w:bookmarkStart w:id="38" w:name="_Hlk179538292"/>
      <w:r>
        <w:rPr>
          <w:rFonts w:ascii="Times New Roman" w:eastAsia="Calibri" w:hAnsi="Times New Roman" w:cs="Times New Roman"/>
          <w:sz w:val="24"/>
          <w:szCs w:val="24"/>
        </w:rPr>
        <w:t>WMO</w:t>
      </w:r>
      <w:bookmarkEnd w:id="38"/>
      <w:r>
        <w:rPr>
          <w:rFonts w:ascii="Times New Roman" w:eastAsia="Calibri" w:hAnsi="Times New Roman" w:cs="Times New Roman"/>
          <w:sz w:val="24"/>
          <w:szCs w:val="24"/>
        </w:rPr>
        <w:t xml:space="preserve">). Global temperatures set to reach new records in next five years. https://public.wmo.int/en/media/press-release/global-temperatures-set-reach-new-records-next-five%20years#:~:text=The%20annual%20mean%20global%20near,from%20human%20and%20industrial%20activities. Accessed 26.09.2023 </w:t>
      </w:r>
    </w:p>
    <w:p w14:paraId="03891512" w14:textId="77777777" w:rsidR="00B6568E" w:rsidRDefault="00000000">
      <w:pPr>
        <w:tabs>
          <w:tab w:val="left" w:pos="720"/>
        </w:tabs>
        <w:spacing w:after="160" w:line="271" w:lineRule="auto"/>
        <w:ind w:leftChars="163" w:left="719" w:hangingChars="150" w:hanging="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114.Wreford, A., Moran, D., &amp; Adger, N. (2001). Climate change and agriculture – Impacts adaptation and mitigation. OCED, ISBN 978-92-64-08686-9</w:t>
      </w:r>
    </w:p>
    <w:p w14:paraId="3CFA019F" w14:textId="77777777" w:rsidR="00B6568E" w:rsidRDefault="00000000">
      <w:pPr>
        <w:tabs>
          <w:tab w:val="left" w:pos="720"/>
        </w:tabs>
        <w:spacing w:after="160" w:line="271" w:lineRule="auto"/>
        <w:ind w:leftChars="109" w:left="720" w:hangingChars="200" w:hanging="480"/>
        <w:contextualSpacing/>
        <w:jc w:val="both"/>
        <w:rPr>
          <w:rFonts w:ascii="Times New Roman" w:eastAsia="Times New Roman" w:hAnsi="Times New Roman" w:cs="Times New Roman"/>
          <w:color w:val="0000FF"/>
          <w:sz w:val="24"/>
          <w:szCs w:val="24"/>
        </w:rPr>
      </w:pPr>
      <w:proofErr w:type="gramStart"/>
      <w:r>
        <w:rPr>
          <w:rFonts w:ascii="Times New Roman" w:eastAsia="Times New Roman" w:hAnsi="Times New Roman" w:cs="Times New Roman"/>
          <w:color w:val="1F1F1F"/>
          <w:sz w:val="24"/>
          <w:szCs w:val="24"/>
        </w:rPr>
        <w:t>115  .</w:t>
      </w:r>
      <w:proofErr w:type="spellStart"/>
      <w:proofErr w:type="gramEnd"/>
      <w:r>
        <w:rPr>
          <w:rFonts w:ascii="Times New Roman" w:eastAsia="Times New Roman" w:hAnsi="Times New Roman" w:cs="Times New Roman"/>
          <w:color w:val="1F1F1F"/>
          <w:sz w:val="24"/>
          <w:szCs w:val="24"/>
        </w:rPr>
        <w:t>Zaz</w:t>
      </w:r>
      <w:proofErr w:type="spellEnd"/>
      <w:r>
        <w:rPr>
          <w:rFonts w:ascii="Times New Roman" w:eastAsia="Times New Roman" w:hAnsi="Times New Roman" w:cs="Times New Roman"/>
          <w:color w:val="1F1F1F"/>
          <w:sz w:val="24"/>
          <w:szCs w:val="24"/>
        </w:rPr>
        <w:t xml:space="preserve">, S. N., </w:t>
      </w:r>
      <w:proofErr w:type="spellStart"/>
      <w:r>
        <w:rPr>
          <w:rFonts w:ascii="Times New Roman" w:eastAsia="Times New Roman" w:hAnsi="Times New Roman" w:cs="Times New Roman"/>
          <w:color w:val="1F1F1F"/>
          <w:sz w:val="24"/>
          <w:szCs w:val="24"/>
        </w:rPr>
        <w:t>Romshoo</w:t>
      </w:r>
      <w:proofErr w:type="spellEnd"/>
      <w:r>
        <w:rPr>
          <w:rFonts w:ascii="Times New Roman" w:eastAsia="Times New Roman" w:hAnsi="Times New Roman" w:cs="Times New Roman"/>
          <w:color w:val="1F1F1F"/>
          <w:sz w:val="24"/>
          <w:szCs w:val="24"/>
        </w:rPr>
        <w:t xml:space="preserve">, S. A., Krishnamoorthy, R. T., &amp; </w:t>
      </w:r>
      <w:proofErr w:type="spellStart"/>
      <w:r>
        <w:rPr>
          <w:rFonts w:ascii="Times New Roman" w:eastAsia="Times New Roman" w:hAnsi="Times New Roman" w:cs="Times New Roman"/>
          <w:color w:val="1F1F1F"/>
          <w:sz w:val="24"/>
          <w:szCs w:val="24"/>
        </w:rPr>
        <w:t>Viswanadhapalli</w:t>
      </w:r>
      <w:proofErr w:type="spellEnd"/>
      <w:r>
        <w:rPr>
          <w:rFonts w:ascii="Times New Roman" w:eastAsia="Times New Roman" w:hAnsi="Times New Roman" w:cs="Times New Roman"/>
          <w:color w:val="1F1F1F"/>
          <w:sz w:val="24"/>
          <w:szCs w:val="24"/>
        </w:rPr>
        <w:t xml:space="preserve">, Y. (2019). Analyses of temperature and precipitation in the Indian Jammu and Kashmir region for the 1980--2016 period: implications for remote influence and extreme events. </w:t>
      </w:r>
      <w:r>
        <w:rPr>
          <w:rFonts w:ascii="Times New Roman" w:eastAsia="Times New Roman" w:hAnsi="Times New Roman" w:cs="Times New Roman"/>
          <w:color w:val="1F1F1F"/>
          <w:sz w:val="24"/>
          <w:szCs w:val="24"/>
        </w:rPr>
        <w:lastRenderedPageBreak/>
        <w:t>Atmospheric Chemistry and Physics, 19(1), 15–37.</w:t>
      </w:r>
      <w:r>
        <w:rPr>
          <w:rFonts w:ascii="Times New Roman" w:eastAsia="Times New Roman" w:hAnsi="Times New Roman" w:cs="Times New Roman"/>
          <w:color w:val="0000FF"/>
          <w:sz w:val="24"/>
          <w:szCs w:val="24"/>
        </w:rPr>
        <w:t xml:space="preserve"> https://doi.org/10.5194/acp-19-15-2019  </w:t>
      </w:r>
    </w:p>
    <w:p w14:paraId="5E1CFF6F" w14:textId="77777777" w:rsidR="00B6568E" w:rsidRDefault="00000000">
      <w:pPr>
        <w:tabs>
          <w:tab w:val="left" w:pos="720"/>
        </w:tabs>
        <w:spacing w:after="160" w:line="271" w:lineRule="auto"/>
        <w:ind w:leftChars="163" w:left="719" w:hangingChars="150" w:hanging="360"/>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116..Zhao</w:t>
      </w:r>
      <w:proofErr w:type="gramEnd"/>
      <w:r>
        <w:rPr>
          <w:rFonts w:ascii="Times New Roman" w:eastAsia="Calibri" w:hAnsi="Times New Roman" w:cs="Times New Roman"/>
          <w:sz w:val="24"/>
          <w:szCs w:val="24"/>
        </w:rPr>
        <w:t xml:space="preserve">, C., Yan, Y., Wang, C., Tang, M., Wu, G., Ding, D., &amp; Song, Y. (2018). Adaptation and mitigation for combating climate change–from single to joint. </w:t>
      </w:r>
      <w:r>
        <w:rPr>
          <w:rFonts w:ascii="Times New Roman" w:eastAsia="Calibri" w:hAnsi="Times New Roman" w:cs="Times New Roman"/>
          <w:i/>
          <w:iCs/>
          <w:sz w:val="24"/>
          <w:szCs w:val="24"/>
        </w:rPr>
        <w:t>Ecosystem health and sustainability</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4</w:t>
      </w:r>
      <w:r>
        <w:rPr>
          <w:rFonts w:ascii="Times New Roman" w:eastAsia="Calibri" w:hAnsi="Times New Roman" w:cs="Times New Roman"/>
          <w:sz w:val="24"/>
          <w:szCs w:val="24"/>
        </w:rPr>
        <w:t>(4), 85-94.</w:t>
      </w:r>
      <w:r>
        <w:rPr>
          <w:rFonts w:ascii="Calibri" w:eastAsia="Times New Roman" w:hAnsi="Calibri" w:cs="Times New Roman" w:hint="eastAsia"/>
        </w:rPr>
        <w:t xml:space="preserve"> </w:t>
      </w:r>
      <w:hyperlink r:id="rId57" w:history="1">
        <w:r>
          <w:rPr>
            <w:rStyle w:val="Hyperlink"/>
            <w:rFonts w:ascii="Times New Roman" w:eastAsia="Calibri" w:hAnsi="Times New Roman" w:cs="Times New Roman"/>
            <w:color w:val="0000FF"/>
            <w:sz w:val="24"/>
            <w:szCs w:val="24"/>
          </w:rPr>
          <w:t>https://doi.org/10.1080/20964129.2018.1466632</w:t>
        </w:r>
      </w:hyperlink>
    </w:p>
    <w:p w14:paraId="19803AE4" w14:textId="77777777" w:rsidR="00B6568E" w:rsidRDefault="00000000">
      <w:pPr>
        <w:pStyle w:val="Heading6"/>
        <w:rPr>
          <w:rFonts w:hint="default"/>
        </w:rPr>
      </w:pPr>
      <w:r>
        <w:rPr>
          <w:rFonts w:ascii="Times New Roman" w:hAnsi="Times New Roman" w:hint="default"/>
          <w:color w:val="000000" w:themeColor="text1"/>
          <w:sz w:val="24"/>
          <w:szCs w:val="24"/>
        </w:rPr>
        <w:t xml:space="preserve">   </w:t>
      </w:r>
    </w:p>
    <w:sectPr w:rsidR="00B6568E">
      <w:headerReference w:type="even" r:id="rId58"/>
      <w:headerReference w:type="default" r:id="rId59"/>
      <w:footerReference w:type="even" r:id="rId60"/>
      <w:footerReference w:type="default" r:id="rId61"/>
      <w:headerReference w:type="first" r:id="rId62"/>
      <w:footerReference w:type="firs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7C796" w14:textId="77777777" w:rsidR="00060746" w:rsidRDefault="00060746">
      <w:pPr>
        <w:spacing w:line="240" w:lineRule="auto"/>
      </w:pPr>
      <w:r>
        <w:separator/>
      </w:r>
    </w:p>
  </w:endnote>
  <w:endnote w:type="continuationSeparator" w:id="0">
    <w:p w14:paraId="73897F12" w14:textId="77777777" w:rsidR="00060746" w:rsidRDefault="000607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Merriweather Sans">
    <w:altName w:val="Times New Roman"/>
    <w:charset w:val="00"/>
    <w:family w:val="auto"/>
    <w:pitch w:val="variable"/>
    <w:sig w:usb0="A00004FF" w:usb1="4000207B"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54E1" w14:textId="77777777" w:rsidR="00B6568E" w:rsidRDefault="00B65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BA7A" w14:textId="77777777" w:rsidR="00B6568E" w:rsidRDefault="00B656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0368" w14:textId="77777777" w:rsidR="00B6568E" w:rsidRDefault="00B65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E6178" w14:textId="77777777" w:rsidR="00060746" w:rsidRDefault="00060746">
      <w:pPr>
        <w:spacing w:after="0"/>
      </w:pPr>
      <w:r>
        <w:separator/>
      </w:r>
    </w:p>
  </w:footnote>
  <w:footnote w:type="continuationSeparator" w:id="0">
    <w:p w14:paraId="6046AC09" w14:textId="77777777" w:rsidR="00060746" w:rsidRDefault="000607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C295" w14:textId="77777777" w:rsidR="00B6568E" w:rsidRDefault="00000000">
    <w:pPr>
      <w:pStyle w:val="Header"/>
    </w:pPr>
    <w:r>
      <w:pict w14:anchorId="312BD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744219" o:spid="_x0000_s1026"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1CFD" w14:textId="77777777" w:rsidR="00B6568E" w:rsidRDefault="00000000">
    <w:pPr>
      <w:pStyle w:val="Header"/>
    </w:pPr>
    <w:r>
      <w:pict w14:anchorId="79E8D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744220" o:spid="_x0000_s1027" type="#_x0000_t136" style="position:absolute;margin-left:0;margin-top:0;width:555.6pt;height:104.15pt;rotation:315;z-index:-25165312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C531" w14:textId="77777777" w:rsidR="00B6568E" w:rsidRDefault="00000000">
    <w:pPr>
      <w:pStyle w:val="Header"/>
    </w:pPr>
    <w:r>
      <w:pict w14:anchorId="752BB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744218" o:spid="_x0000_s1025"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01272"/>
    <w:multiLevelType w:val="multilevel"/>
    <w:tmpl w:val="189012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CCDCE8"/>
    <w:multiLevelType w:val="multilevel"/>
    <w:tmpl w:val="23CCDC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21389A"/>
    <w:multiLevelType w:val="multilevel"/>
    <w:tmpl w:val="372138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sz w:val="24"/>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7A7A4B"/>
    <w:multiLevelType w:val="multilevel"/>
    <w:tmpl w:val="587A7A4B"/>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96792021">
    <w:abstractNumId w:val="3"/>
  </w:num>
  <w:num w:numId="2" w16cid:durableId="1346010313">
    <w:abstractNumId w:val="2"/>
  </w:num>
  <w:num w:numId="3" w16cid:durableId="768937340">
    <w:abstractNumId w:val="0"/>
  </w:num>
  <w:num w:numId="4" w16cid:durableId="1739090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wNLcEkhbmJuZmRko6SsGpxcWZ+XkgBSa1ADhCBiws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wxdpzd9vd5r7e9t5b595djrfpttrxw9avp&quot;&gt;Sample_Library_X7&lt;record-ids&gt;&lt;item&gt;6226&lt;/item&gt;&lt;item&gt;6227&lt;/item&gt;&lt;item&gt;6228&lt;/item&gt;&lt;item&gt;6230&lt;/item&gt;&lt;item&gt;6231&lt;/item&gt;&lt;item&gt;6232&lt;/item&gt;&lt;item&gt;6233&lt;/item&gt;&lt;item&gt;6234&lt;/item&gt;&lt;item&gt;6235&lt;/item&gt;&lt;item&gt;6236&lt;/item&gt;&lt;item&gt;6237&lt;/item&gt;&lt;item&gt;6238&lt;/item&gt;&lt;item&gt;6239&lt;/item&gt;&lt;item&gt;6240&lt;/item&gt;&lt;item&gt;6241&lt;/item&gt;&lt;item&gt;6242&lt;/item&gt;&lt;item&gt;6243&lt;/item&gt;&lt;item&gt;6244&lt;/item&gt;&lt;item&gt;6245&lt;/item&gt;&lt;item&gt;6246&lt;/item&gt;&lt;item&gt;6247&lt;/item&gt;&lt;item&gt;6248&lt;/item&gt;&lt;item&gt;6249&lt;/item&gt;&lt;item&gt;6250&lt;/item&gt;&lt;item&gt;6251&lt;/item&gt;&lt;item&gt;6252&lt;/item&gt;&lt;item&gt;6253&lt;/item&gt;&lt;/record-ids&gt;&lt;/item&gt;&lt;/Libraries&gt;"/>
  </w:docVars>
  <w:rsids>
    <w:rsidRoot w:val="00BF72F2"/>
    <w:rsid w:val="000104F1"/>
    <w:rsid w:val="000155A9"/>
    <w:rsid w:val="000325BC"/>
    <w:rsid w:val="000348A3"/>
    <w:rsid w:val="0004503C"/>
    <w:rsid w:val="00060746"/>
    <w:rsid w:val="00063076"/>
    <w:rsid w:val="0006587B"/>
    <w:rsid w:val="00065DF8"/>
    <w:rsid w:val="00066493"/>
    <w:rsid w:val="00066A09"/>
    <w:rsid w:val="00070C36"/>
    <w:rsid w:val="00072604"/>
    <w:rsid w:val="00076863"/>
    <w:rsid w:val="000907D4"/>
    <w:rsid w:val="00092DBF"/>
    <w:rsid w:val="0009302C"/>
    <w:rsid w:val="000A003F"/>
    <w:rsid w:val="000A3712"/>
    <w:rsid w:val="000C6543"/>
    <w:rsid w:val="000D2E75"/>
    <w:rsid w:val="000E5195"/>
    <w:rsid w:val="000F0E3F"/>
    <w:rsid w:val="000F191C"/>
    <w:rsid w:val="000F44CD"/>
    <w:rsid w:val="00113B29"/>
    <w:rsid w:val="00116865"/>
    <w:rsid w:val="00121F6D"/>
    <w:rsid w:val="001343A1"/>
    <w:rsid w:val="00141053"/>
    <w:rsid w:val="00142628"/>
    <w:rsid w:val="0014507B"/>
    <w:rsid w:val="0014740A"/>
    <w:rsid w:val="00150120"/>
    <w:rsid w:val="0015053B"/>
    <w:rsid w:val="001672ED"/>
    <w:rsid w:val="00177705"/>
    <w:rsid w:val="00183C69"/>
    <w:rsid w:val="00186CB8"/>
    <w:rsid w:val="001879B6"/>
    <w:rsid w:val="001917D5"/>
    <w:rsid w:val="00193CBF"/>
    <w:rsid w:val="00197C98"/>
    <w:rsid w:val="001A09AF"/>
    <w:rsid w:val="001A4E84"/>
    <w:rsid w:val="001A7752"/>
    <w:rsid w:val="001C245B"/>
    <w:rsid w:val="001C2D77"/>
    <w:rsid w:val="001C5195"/>
    <w:rsid w:val="001D072F"/>
    <w:rsid w:val="001E54C0"/>
    <w:rsid w:val="001F4236"/>
    <w:rsid w:val="00207DB4"/>
    <w:rsid w:val="0021177C"/>
    <w:rsid w:val="002129B9"/>
    <w:rsid w:val="00216698"/>
    <w:rsid w:val="00216FFB"/>
    <w:rsid w:val="002179BA"/>
    <w:rsid w:val="0022263D"/>
    <w:rsid w:val="00230B14"/>
    <w:rsid w:val="00231462"/>
    <w:rsid w:val="00231F8A"/>
    <w:rsid w:val="002376D7"/>
    <w:rsid w:val="0024458F"/>
    <w:rsid w:val="00246A86"/>
    <w:rsid w:val="0025665C"/>
    <w:rsid w:val="00261F02"/>
    <w:rsid w:val="00263FB6"/>
    <w:rsid w:val="00265D27"/>
    <w:rsid w:val="0027649C"/>
    <w:rsid w:val="002A2DF6"/>
    <w:rsid w:val="002A4C82"/>
    <w:rsid w:val="002A5D86"/>
    <w:rsid w:val="002A74CA"/>
    <w:rsid w:val="002B5E07"/>
    <w:rsid w:val="002C10AA"/>
    <w:rsid w:val="002C18F5"/>
    <w:rsid w:val="002E5AE7"/>
    <w:rsid w:val="002E5BCD"/>
    <w:rsid w:val="002F1557"/>
    <w:rsid w:val="003004B1"/>
    <w:rsid w:val="003027F0"/>
    <w:rsid w:val="003146F7"/>
    <w:rsid w:val="00322A79"/>
    <w:rsid w:val="00326D3E"/>
    <w:rsid w:val="003316C8"/>
    <w:rsid w:val="00336F58"/>
    <w:rsid w:val="003416B9"/>
    <w:rsid w:val="003443BF"/>
    <w:rsid w:val="00356A4F"/>
    <w:rsid w:val="00361E7A"/>
    <w:rsid w:val="00370FD0"/>
    <w:rsid w:val="00374DA9"/>
    <w:rsid w:val="00384ABC"/>
    <w:rsid w:val="00391969"/>
    <w:rsid w:val="0039304D"/>
    <w:rsid w:val="003A1653"/>
    <w:rsid w:val="003A2146"/>
    <w:rsid w:val="003A5E5B"/>
    <w:rsid w:val="003A6F4A"/>
    <w:rsid w:val="003B2589"/>
    <w:rsid w:val="003B744B"/>
    <w:rsid w:val="003C4E89"/>
    <w:rsid w:val="003C7337"/>
    <w:rsid w:val="003D3ACE"/>
    <w:rsid w:val="003D5EC1"/>
    <w:rsid w:val="003F190E"/>
    <w:rsid w:val="003F6E11"/>
    <w:rsid w:val="00410519"/>
    <w:rsid w:val="004108F1"/>
    <w:rsid w:val="00421082"/>
    <w:rsid w:val="00425337"/>
    <w:rsid w:val="0043065A"/>
    <w:rsid w:val="00433091"/>
    <w:rsid w:val="00434419"/>
    <w:rsid w:val="004605CE"/>
    <w:rsid w:val="004657F4"/>
    <w:rsid w:val="004715A9"/>
    <w:rsid w:val="00476693"/>
    <w:rsid w:val="00490ABF"/>
    <w:rsid w:val="00493BC1"/>
    <w:rsid w:val="004A3251"/>
    <w:rsid w:val="004B1C0C"/>
    <w:rsid w:val="004B21D3"/>
    <w:rsid w:val="004B30F0"/>
    <w:rsid w:val="004B33E3"/>
    <w:rsid w:val="004B71CE"/>
    <w:rsid w:val="004C184D"/>
    <w:rsid w:val="004E6498"/>
    <w:rsid w:val="004F1833"/>
    <w:rsid w:val="004F1BBA"/>
    <w:rsid w:val="004F49F8"/>
    <w:rsid w:val="00502744"/>
    <w:rsid w:val="0051090A"/>
    <w:rsid w:val="00514A96"/>
    <w:rsid w:val="005226BE"/>
    <w:rsid w:val="00524C1D"/>
    <w:rsid w:val="00535E82"/>
    <w:rsid w:val="00537B4F"/>
    <w:rsid w:val="005472AC"/>
    <w:rsid w:val="00552799"/>
    <w:rsid w:val="00560E5D"/>
    <w:rsid w:val="00561339"/>
    <w:rsid w:val="0056287A"/>
    <w:rsid w:val="00574C5C"/>
    <w:rsid w:val="00577E99"/>
    <w:rsid w:val="005832CB"/>
    <w:rsid w:val="00597835"/>
    <w:rsid w:val="005A0620"/>
    <w:rsid w:val="005A7536"/>
    <w:rsid w:val="005B30D2"/>
    <w:rsid w:val="005B5ADA"/>
    <w:rsid w:val="005B626E"/>
    <w:rsid w:val="005B6BD0"/>
    <w:rsid w:val="005D72CB"/>
    <w:rsid w:val="005D7D31"/>
    <w:rsid w:val="005E7AB7"/>
    <w:rsid w:val="005F0359"/>
    <w:rsid w:val="00601524"/>
    <w:rsid w:val="006019CB"/>
    <w:rsid w:val="00624E98"/>
    <w:rsid w:val="00632958"/>
    <w:rsid w:val="00637C60"/>
    <w:rsid w:val="006600F1"/>
    <w:rsid w:val="006703C6"/>
    <w:rsid w:val="0068440A"/>
    <w:rsid w:val="0068557F"/>
    <w:rsid w:val="006878FE"/>
    <w:rsid w:val="00691017"/>
    <w:rsid w:val="00695CF4"/>
    <w:rsid w:val="006A573F"/>
    <w:rsid w:val="006B169B"/>
    <w:rsid w:val="006B296C"/>
    <w:rsid w:val="006B29D4"/>
    <w:rsid w:val="006B579F"/>
    <w:rsid w:val="006C36A4"/>
    <w:rsid w:val="006C6E7D"/>
    <w:rsid w:val="006D6674"/>
    <w:rsid w:val="006D67B2"/>
    <w:rsid w:val="006D7ED9"/>
    <w:rsid w:val="006F44CD"/>
    <w:rsid w:val="0070013E"/>
    <w:rsid w:val="007137B1"/>
    <w:rsid w:val="00714861"/>
    <w:rsid w:val="00727AAF"/>
    <w:rsid w:val="00733466"/>
    <w:rsid w:val="00734E5A"/>
    <w:rsid w:val="007402AB"/>
    <w:rsid w:val="00747B3F"/>
    <w:rsid w:val="00755B1C"/>
    <w:rsid w:val="00757CF1"/>
    <w:rsid w:val="00763B43"/>
    <w:rsid w:val="007811DD"/>
    <w:rsid w:val="00781747"/>
    <w:rsid w:val="00791282"/>
    <w:rsid w:val="00793AB4"/>
    <w:rsid w:val="00794598"/>
    <w:rsid w:val="007A3205"/>
    <w:rsid w:val="007A41E3"/>
    <w:rsid w:val="007A5D29"/>
    <w:rsid w:val="007A7D99"/>
    <w:rsid w:val="007B0F78"/>
    <w:rsid w:val="007B1C1D"/>
    <w:rsid w:val="007B2976"/>
    <w:rsid w:val="007B48A7"/>
    <w:rsid w:val="007B548C"/>
    <w:rsid w:val="007B5EC9"/>
    <w:rsid w:val="007C6FE0"/>
    <w:rsid w:val="007D0AB7"/>
    <w:rsid w:val="007D57F7"/>
    <w:rsid w:val="007D5CC6"/>
    <w:rsid w:val="007E2400"/>
    <w:rsid w:val="007E6F7B"/>
    <w:rsid w:val="007F692E"/>
    <w:rsid w:val="00803F5B"/>
    <w:rsid w:val="008054D4"/>
    <w:rsid w:val="00811086"/>
    <w:rsid w:val="008201B6"/>
    <w:rsid w:val="00830962"/>
    <w:rsid w:val="008321FF"/>
    <w:rsid w:val="00836073"/>
    <w:rsid w:val="0084035A"/>
    <w:rsid w:val="00841421"/>
    <w:rsid w:val="00844B0F"/>
    <w:rsid w:val="008467B8"/>
    <w:rsid w:val="00847A7D"/>
    <w:rsid w:val="008714BC"/>
    <w:rsid w:val="00874C0A"/>
    <w:rsid w:val="00876147"/>
    <w:rsid w:val="00890FF9"/>
    <w:rsid w:val="008910BB"/>
    <w:rsid w:val="00895BDD"/>
    <w:rsid w:val="008969EA"/>
    <w:rsid w:val="008B0622"/>
    <w:rsid w:val="008C0A2E"/>
    <w:rsid w:val="008D1249"/>
    <w:rsid w:val="008D2CF5"/>
    <w:rsid w:val="008D30F7"/>
    <w:rsid w:val="008D4905"/>
    <w:rsid w:val="008F003F"/>
    <w:rsid w:val="008F4E4A"/>
    <w:rsid w:val="009006AB"/>
    <w:rsid w:val="009006D1"/>
    <w:rsid w:val="009163BE"/>
    <w:rsid w:val="00926BBE"/>
    <w:rsid w:val="00927A8E"/>
    <w:rsid w:val="00932C64"/>
    <w:rsid w:val="00953329"/>
    <w:rsid w:val="0096004B"/>
    <w:rsid w:val="00963D52"/>
    <w:rsid w:val="00967251"/>
    <w:rsid w:val="009675DA"/>
    <w:rsid w:val="00970A9A"/>
    <w:rsid w:val="00981711"/>
    <w:rsid w:val="00982C27"/>
    <w:rsid w:val="00983184"/>
    <w:rsid w:val="00985EAD"/>
    <w:rsid w:val="009868CF"/>
    <w:rsid w:val="00986E3A"/>
    <w:rsid w:val="0099017B"/>
    <w:rsid w:val="009A60AD"/>
    <w:rsid w:val="009B3529"/>
    <w:rsid w:val="009B771A"/>
    <w:rsid w:val="009D549F"/>
    <w:rsid w:val="009D62ED"/>
    <w:rsid w:val="009E76D9"/>
    <w:rsid w:val="009F40FD"/>
    <w:rsid w:val="009F50B1"/>
    <w:rsid w:val="00A00872"/>
    <w:rsid w:val="00A065E7"/>
    <w:rsid w:val="00A15997"/>
    <w:rsid w:val="00A33911"/>
    <w:rsid w:val="00A4730F"/>
    <w:rsid w:val="00A70E55"/>
    <w:rsid w:val="00A77ED6"/>
    <w:rsid w:val="00A86083"/>
    <w:rsid w:val="00A9143C"/>
    <w:rsid w:val="00AB63BC"/>
    <w:rsid w:val="00AC15CD"/>
    <w:rsid w:val="00AC3598"/>
    <w:rsid w:val="00AC6DFC"/>
    <w:rsid w:val="00AE3BA5"/>
    <w:rsid w:val="00AE4EFA"/>
    <w:rsid w:val="00AF1019"/>
    <w:rsid w:val="00B11F56"/>
    <w:rsid w:val="00B2609E"/>
    <w:rsid w:val="00B360CD"/>
    <w:rsid w:val="00B52333"/>
    <w:rsid w:val="00B53E11"/>
    <w:rsid w:val="00B6056B"/>
    <w:rsid w:val="00B6568E"/>
    <w:rsid w:val="00B66E30"/>
    <w:rsid w:val="00B708CC"/>
    <w:rsid w:val="00B754F0"/>
    <w:rsid w:val="00B75A20"/>
    <w:rsid w:val="00B860AB"/>
    <w:rsid w:val="00BA653E"/>
    <w:rsid w:val="00BB5DD0"/>
    <w:rsid w:val="00BC57BF"/>
    <w:rsid w:val="00BF2F40"/>
    <w:rsid w:val="00BF5019"/>
    <w:rsid w:val="00BF72F2"/>
    <w:rsid w:val="00C137AF"/>
    <w:rsid w:val="00C22169"/>
    <w:rsid w:val="00C25597"/>
    <w:rsid w:val="00C45159"/>
    <w:rsid w:val="00C5204B"/>
    <w:rsid w:val="00C52134"/>
    <w:rsid w:val="00C55096"/>
    <w:rsid w:val="00C62383"/>
    <w:rsid w:val="00C62A31"/>
    <w:rsid w:val="00C64925"/>
    <w:rsid w:val="00C8051E"/>
    <w:rsid w:val="00C8115B"/>
    <w:rsid w:val="00C83475"/>
    <w:rsid w:val="00C84F66"/>
    <w:rsid w:val="00C868E3"/>
    <w:rsid w:val="00C95115"/>
    <w:rsid w:val="00CA391D"/>
    <w:rsid w:val="00CA6FE9"/>
    <w:rsid w:val="00CB626B"/>
    <w:rsid w:val="00CB711A"/>
    <w:rsid w:val="00CC6CB2"/>
    <w:rsid w:val="00CD0470"/>
    <w:rsid w:val="00CD15CF"/>
    <w:rsid w:val="00CD6DB7"/>
    <w:rsid w:val="00CE22F3"/>
    <w:rsid w:val="00CF232C"/>
    <w:rsid w:val="00CF78BC"/>
    <w:rsid w:val="00D041FD"/>
    <w:rsid w:val="00D110CF"/>
    <w:rsid w:val="00D172A6"/>
    <w:rsid w:val="00D248F3"/>
    <w:rsid w:val="00D304BA"/>
    <w:rsid w:val="00D33F78"/>
    <w:rsid w:val="00D44D78"/>
    <w:rsid w:val="00D5007E"/>
    <w:rsid w:val="00D53DAB"/>
    <w:rsid w:val="00D5638C"/>
    <w:rsid w:val="00D60987"/>
    <w:rsid w:val="00D64951"/>
    <w:rsid w:val="00D64A55"/>
    <w:rsid w:val="00D77E18"/>
    <w:rsid w:val="00D97788"/>
    <w:rsid w:val="00DA0DE6"/>
    <w:rsid w:val="00DA4982"/>
    <w:rsid w:val="00DA72D6"/>
    <w:rsid w:val="00DB1FB6"/>
    <w:rsid w:val="00DB54DB"/>
    <w:rsid w:val="00DB5930"/>
    <w:rsid w:val="00DB7805"/>
    <w:rsid w:val="00DC01C8"/>
    <w:rsid w:val="00DC056F"/>
    <w:rsid w:val="00DC0888"/>
    <w:rsid w:val="00DF1533"/>
    <w:rsid w:val="00DF19B8"/>
    <w:rsid w:val="00E03792"/>
    <w:rsid w:val="00E07CFE"/>
    <w:rsid w:val="00E26D46"/>
    <w:rsid w:val="00E32013"/>
    <w:rsid w:val="00E3217E"/>
    <w:rsid w:val="00E35E26"/>
    <w:rsid w:val="00E44148"/>
    <w:rsid w:val="00E65697"/>
    <w:rsid w:val="00E70011"/>
    <w:rsid w:val="00E8336C"/>
    <w:rsid w:val="00E85833"/>
    <w:rsid w:val="00E93C9F"/>
    <w:rsid w:val="00EB35B2"/>
    <w:rsid w:val="00EB6A56"/>
    <w:rsid w:val="00EC1FFB"/>
    <w:rsid w:val="00EC7496"/>
    <w:rsid w:val="00ED07C3"/>
    <w:rsid w:val="00EF4738"/>
    <w:rsid w:val="00EF4D44"/>
    <w:rsid w:val="00EF5F2A"/>
    <w:rsid w:val="00F0088D"/>
    <w:rsid w:val="00F01C15"/>
    <w:rsid w:val="00F13542"/>
    <w:rsid w:val="00F20CB2"/>
    <w:rsid w:val="00F2710E"/>
    <w:rsid w:val="00F36CDD"/>
    <w:rsid w:val="00F40778"/>
    <w:rsid w:val="00F442E7"/>
    <w:rsid w:val="00F45FC2"/>
    <w:rsid w:val="00F547A8"/>
    <w:rsid w:val="00F56352"/>
    <w:rsid w:val="00F57D41"/>
    <w:rsid w:val="00F57DD2"/>
    <w:rsid w:val="00F70390"/>
    <w:rsid w:val="00F7179B"/>
    <w:rsid w:val="00F76B3F"/>
    <w:rsid w:val="00F8396B"/>
    <w:rsid w:val="00F86F4A"/>
    <w:rsid w:val="00F92C37"/>
    <w:rsid w:val="00F93880"/>
    <w:rsid w:val="00FA3312"/>
    <w:rsid w:val="00FB4145"/>
    <w:rsid w:val="00FB6091"/>
    <w:rsid w:val="00FC1052"/>
    <w:rsid w:val="00FD59F4"/>
    <w:rsid w:val="00FE101C"/>
    <w:rsid w:val="00FE59F7"/>
    <w:rsid w:val="00FE6ED6"/>
    <w:rsid w:val="00FF1D40"/>
    <w:rsid w:val="031C5D26"/>
    <w:rsid w:val="04E66DC0"/>
    <w:rsid w:val="05B943F0"/>
    <w:rsid w:val="061453BE"/>
    <w:rsid w:val="08436BCB"/>
    <w:rsid w:val="08F714B6"/>
    <w:rsid w:val="09A84666"/>
    <w:rsid w:val="0A9867C9"/>
    <w:rsid w:val="0B203A1B"/>
    <w:rsid w:val="0B653E82"/>
    <w:rsid w:val="0B7656F3"/>
    <w:rsid w:val="0BF7192C"/>
    <w:rsid w:val="0BF751B0"/>
    <w:rsid w:val="0E6A4C34"/>
    <w:rsid w:val="0E83604E"/>
    <w:rsid w:val="0EA0672E"/>
    <w:rsid w:val="0EF461D9"/>
    <w:rsid w:val="112A0B7E"/>
    <w:rsid w:val="14A4484E"/>
    <w:rsid w:val="15AF2372"/>
    <w:rsid w:val="16E97227"/>
    <w:rsid w:val="183E3300"/>
    <w:rsid w:val="184A52E9"/>
    <w:rsid w:val="18626954"/>
    <w:rsid w:val="191A13BF"/>
    <w:rsid w:val="19235007"/>
    <w:rsid w:val="1B554868"/>
    <w:rsid w:val="1CBC1C41"/>
    <w:rsid w:val="1D7472AC"/>
    <w:rsid w:val="212F207F"/>
    <w:rsid w:val="22F560BD"/>
    <w:rsid w:val="23A067C5"/>
    <w:rsid w:val="243207AA"/>
    <w:rsid w:val="24CC0484"/>
    <w:rsid w:val="26EF0337"/>
    <w:rsid w:val="27034AB8"/>
    <w:rsid w:val="277112AB"/>
    <w:rsid w:val="283D0226"/>
    <w:rsid w:val="284355F4"/>
    <w:rsid w:val="28B97401"/>
    <w:rsid w:val="28E72C2A"/>
    <w:rsid w:val="2A49742A"/>
    <w:rsid w:val="2BFB496E"/>
    <w:rsid w:val="2CE3462D"/>
    <w:rsid w:val="2E433EDE"/>
    <w:rsid w:val="2ECA65D4"/>
    <w:rsid w:val="334C3C43"/>
    <w:rsid w:val="33C05D77"/>
    <w:rsid w:val="3586608B"/>
    <w:rsid w:val="41C61569"/>
    <w:rsid w:val="429057C0"/>
    <w:rsid w:val="44C2005E"/>
    <w:rsid w:val="44D559FA"/>
    <w:rsid w:val="472E0158"/>
    <w:rsid w:val="482D0EBE"/>
    <w:rsid w:val="4B35476F"/>
    <w:rsid w:val="4CBA3EA2"/>
    <w:rsid w:val="4DFD580F"/>
    <w:rsid w:val="4E54506D"/>
    <w:rsid w:val="4E83088F"/>
    <w:rsid w:val="4FB81234"/>
    <w:rsid w:val="52511E1A"/>
    <w:rsid w:val="533D5E1F"/>
    <w:rsid w:val="54310DBF"/>
    <w:rsid w:val="54B81990"/>
    <w:rsid w:val="54F46459"/>
    <w:rsid w:val="5688020F"/>
    <w:rsid w:val="56ED3277"/>
    <w:rsid w:val="5949510A"/>
    <w:rsid w:val="594A7E94"/>
    <w:rsid w:val="599146BF"/>
    <w:rsid w:val="5A010D59"/>
    <w:rsid w:val="5A5719CC"/>
    <w:rsid w:val="5AB57542"/>
    <w:rsid w:val="5AC70954"/>
    <w:rsid w:val="5AE006A3"/>
    <w:rsid w:val="5BB63C05"/>
    <w:rsid w:val="5BC03595"/>
    <w:rsid w:val="5C343553"/>
    <w:rsid w:val="5C9B00E5"/>
    <w:rsid w:val="5CC93D27"/>
    <w:rsid w:val="5E872AA3"/>
    <w:rsid w:val="5F8B4E2B"/>
    <w:rsid w:val="60A8003D"/>
    <w:rsid w:val="62121640"/>
    <w:rsid w:val="64022F35"/>
    <w:rsid w:val="646D4080"/>
    <w:rsid w:val="65064640"/>
    <w:rsid w:val="6A2471B2"/>
    <w:rsid w:val="6C78592B"/>
    <w:rsid w:val="708E36E5"/>
    <w:rsid w:val="72820778"/>
    <w:rsid w:val="72D92B78"/>
    <w:rsid w:val="72F673B3"/>
    <w:rsid w:val="73192F65"/>
    <w:rsid w:val="75936DF5"/>
    <w:rsid w:val="76B01C54"/>
    <w:rsid w:val="76BA6056"/>
    <w:rsid w:val="77DB77B3"/>
    <w:rsid w:val="789F34EC"/>
    <w:rsid w:val="790F3FC4"/>
    <w:rsid w:val="79936B04"/>
    <w:rsid w:val="7B371797"/>
    <w:rsid w:val="7B6A5C3B"/>
    <w:rsid w:val="7B980CCD"/>
    <w:rsid w:val="7C3C1589"/>
    <w:rsid w:val="7C6069FB"/>
    <w:rsid w:val="7EB65E72"/>
    <w:rsid w:val="7FAC6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2AA2F2B"/>
  <w15:docId w15:val="{2B772966-2702-41C5-9734-F392C71D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line="259" w:lineRule="auto"/>
      <w:outlineLvl w:val="0"/>
    </w:pPr>
    <w:rPr>
      <w:rFonts w:ascii="Times New Roman" w:eastAsiaTheme="majorEastAsia" w:hAnsi="Times New Roman" w:cstheme="majorBidi"/>
      <w:color w:val="000000" w:themeColor="text1"/>
      <w:sz w:val="28"/>
      <w:szCs w:val="32"/>
    </w:rPr>
  </w:style>
  <w:style w:type="paragraph" w:styleId="Heading2">
    <w:name w:val="heading 2"/>
    <w:basedOn w:val="Normal"/>
    <w:next w:val="Normal"/>
    <w:link w:val="Heading2Char"/>
    <w:uiPriority w:val="9"/>
    <w:unhideWhenUsed/>
    <w:qFormat/>
    <w:pPr>
      <w:keepNext/>
      <w:keepLines/>
      <w:spacing w:before="200" w:after="0"/>
      <w:outlineLvl w:val="1"/>
    </w:pPr>
    <w:rPr>
      <w:rFonts w:ascii="Times New Roman" w:eastAsiaTheme="majorEastAsia" w:hAnsi="Times New Roman" w:cstheme="majorBidi"/>
      <w:bCs/>
      <w:sz w:val="28"/>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imes New Roman" w:eastAsiaTheme="majorEastAsia" w:hAnsi="Times New Roman" w:cstheme="majorBidi"/>
      <w:b/>
      <w:bCs/>
      <w:sz w:val="24"/>
    </w:rPr>
  </w:style>
  <w:style w:type="paragraph" w:styleId="Heading6">
    <w:name w:val="heading 6"/>
    <w:next w:val="Normal"/>
    <w:uiPriority w:val="9"/>
    <w:semiHidden/>
    <w:unhideWhenUsed/>
    <w:qFormat/>
    <w:pPr>
      <w:spacing w:beforeAutospacing="1" w:afterAutospacing="1"/>
      <w:outlineLvl w:val="5"/>
    </w:pPr>
    <w:rPr>
      <w:rFonts w:ascii="SimSun" w:hAnsi="SimSun" w:hint="eastAsia"/>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heme="majorEastAsia" w:hAnsi="Times New Roman" w:cstheme="majorBidi"/>
      <w:color w:val="000000" w:themeColor="text1"/>
      <w:sz w:val="28"/>
      <w:szCs w:val="32"/>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bCs/>
      <w:sz w:val="24"/>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paragraph" w:customStyle="1" w:styleId="Default">
    <w:name w:val="Default"/>
    <w:qFormat/>
    <w:pPr>
      <w:autoSpaceDE w:val="0"/>
      <w:autoSpaceDN w:val="0"/>
      <w:adjustRightInd w:val="0"/>
    </w:pPr>
    <w:rPr>
      <w:rFonts w:ascii="Bookman Old Style" w:eastAsiaTheme="minorHAnsi" w:hAnsi="Bookman Old Style" w:cs="Bookman Old Style"/>
      <w:color w:val="000000"/>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EndNoteBibliographyTitle">
    <w:name w:val="EndNote Bibliography Title"/>
    <w:basedOn w:val="Normal"/>
    <w:link w:val="EndNoteBibliographyTitleChar"/>
    <w:qFormat/>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qFormat/>
    <w:rPr>
      <w:rFonts w:ascii="Calibri" w:hAnsi="Calibri" w:cs="Calibri"/>
    </w:rPr>
  </w:style>
  <w:style w:type="paragraph" w:customStyle="1" w:styleId="EndNoteBibliography">
    <w:name w:val="EndNote Bibliography"/>
    <w:basedOn w:val="Normal"/>
    <w:link w:val="EndNoteBibliographyChar"/>
    <w:qFormat/>
    <w:pPr>
      <w:spacing w:line="240" w:lineRule="auto"/>
    </w:pPr>
    <w:rPr>
      <w:rFonts w:ascii="Calibri" w:hAnsi="Calibri" w:cs="Calibri"/>
    </w:rPr>
  </w:style>
  <w:style w:type="character" w:customStyle="1" w:styleId="EndNoteBibliographyChar">
    <w:name w:val="EndNote Bibliography Char"/>
    <w:basedOn w:val="DefaultParagraphFont"/>
    <w:link w:val="EndNoteBibliography"/>
    <w:qFormat/>
    <w:rPr>
      <w:rFonts w:ascii="Calibri" w:hAnsi="Calibri" w:cs="Calibri"/>
    </w:rPr>
  </w:style>
  <w:style w:type="character" w:styleId="PlaceholderText">
    <w:name w:val="Placeholder Text"/>
    <w:basedOn w:val="DefaultParagraphFont"/>
    <w:uiPriority w:val="99"/>
    <w:semiHidden/>
    <w:qFormat/>
    <w:rPr>
      <w:color w:val="808080"/>
    </w:rPr>
  </w:style>
  <w:style w:type="character" w:customStyle="1" w:styleId="anchor-text">
    <w:name w:val="anchor-text"/>
    <w:basedOn w:val="DefaultParagraphFont"/>
    <w:qFormat/>
  </w:style>
  <w:style w:type="paragraph" w:customStyle="1" w:styleId="msolistparagraph0">
    <w:name w:val="msolistparagraph"/>
    <w:qFormat/>
    <w:pPr>
      <w:spacing w:after="160" w:line="256" w:lineRule="auto"/>
      <w:ind w:left="720"/>
      <w:contextualSpacing/>
    </w:pPr>
    <w:rPr>
      <w:rFonts w:ascii="Calibri" w:eastAsia="Calibri" w:hAnsi="Calibri" w:hint="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i.org/10.1007/s40808-017-0276-1" TargetMode="External"/><Relationship Id="rId21" Type="http://schemas.openxmlformats.org/officeDocument/2006/relationships/hyperlink" Target="https://doi.org/10.1007/s10584-004-0710-z" TargetMode="External"/><Relationship Id="rId34" Type="http://schemas.openxmlformats.org/officeDocument/2006/relationships/hyperlink" Target="https://doi.org/10.2307/3147020" TargetMode="External"/><Relationship Id="rId42" Type="http://schemas.openxmlformats.org/officeDocument/2006/relationships/hyperlink" Target="https://doi.org/10.1038/367133a0" TargetMode="External"/><Relationship Id="rId47" Type="http://schemas.openxmlformats.org/officeDocument/2006/relationships/hyperlink" Target="https://doi.org/10.1007/978-981-32-9174-4_5" TargetMode="External"/><Relationship Id="rId50" Type="http://schemas.openxmlformats.org/officeDocument/2006/relationships/hyperlink" Target="https://doi.org/10.1007/BF00140511" TargetMode="External"/><Relationship Id="rId55" Type="http://schemas.openxmlformats.org/officeDocument/2006/relationships/hyperlink" Target="https://doi.org/10.1016/j.crm.2016.11.002"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91/1464993403ps060oa" TargetMode="External"/><Relationship Id="rId29" Type="http://schemas.openxmlformats.org/officeDocument/2006/relationships/hyperlink" Target="https://doi.org/10.1016/j.regsus.2023.05.006" TargetMode="External"/><Relationship Id="rId11" Type="http://schemas.openxmlformats.org/officeDocument/2006/relationships/image" Target="media/image4.png"/><Relationship Id="rId24" Type="http://schemas.openxmlformats.org/officeDocument/2006/relationships/hyperlink" Target="https://doi.org/10.1016/0960-1481(93)90115-W" TargetMode="External"/><Relationship Id="rId32" Type="http://schemas.openxmlformats.org/officeDocument/2006/relationships/hyperlink" Target="https://doi.org/10.1080/07900627.2017.1278680" TargetMode="External"/><Relationship Id="rId37" Type="http://schemas.openxmlformats.org/officeDocument/2006/relationships/hyperlink" Target="https://doi.org/10.1080/10106049.2015.1132482" TargetMode="External"/><Relationship Id="rId40" Type="http://schemas.openxmlformats.org/officeDocument/2006/relationships/hyperlink" Target="https://doi.org/10.1016/j.crte.2008.07.009" TargetMode="External"/><Relationship Id="rId45" Type="http://schemas.openxmlformats.org/officeDocument/2006/relationships/hyperlink" Target="https://doi.org/10.1007/s11027-014-9568-1" TargetMode="External"/><Relationship Id="rId53" Type="http://schemas.openxmlformats.org/officeDocument/2006/relationships/hyperlink" Target="https://doi.org/10.1007/s10668-024-04823-y"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www.jstor.org/stable/30139468" TargetMode="External"/><Relationship Id="rId14" Type="http://schemas.openxmlformats.org/officeDocument/2006/relationships/hyperlink" Target="https://doi.org/10.5194/esd-6-225-2015" TargetMode="External"/><Relationship Id="rId22" Type="http://schemas.openxmlformats.org/officeDocument/2006/relationships/hyperlink" Target="https://doi.org/10.1016/j.envsci.2008.11.002" TargetMode="External"/><Relationship Id="rId27" Type="http://schemas.openxmlformats.org/officeDocument/2006/relationships/hyperlink" Target="https://doi.org/10.1007/s40808-019-00708-6" TargetMode="External"/><Relationship Id="rId30" Type="http://schemas.openxmlformats.org/officeDocument/2006/relationships/hyperlink" Target="https://doi.org/10.1023/A:1005627828199" TargetMode="External"/><Relationship Id="rId35" Type="http://schemas.openxmlformats.org/officeDocument/2006/relationships/hyperlink" Target="https://doi.org/10.1016/0168-1923(95)02316-X" TargetMode="External"/><Relationship Id="rId43" Type="http://schemas.openxmlformats.org/officeDocument/2006/relationships/hyperlink" Target="https://doi.org/10.1073/pnas.1222463110" TargetMode="External"/><Relationship Id="rId48" Type="http://schemas.openxmlformats.org/officeDocument/2006/relationships/hyperlink" Target="https://doi.org/10.54386/jam.v21i2.233" TargetMode="External"/><Relationship Id="rId56" Type="http://schemas.openxmlformats.org/officeDocument/2006/relationships/hyperlink" Target="https://doi.org/10.1016/j.rser.2011.09.009"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doi.org/10.1016/S0304-3800(03)00146-7" TargetMode="Externa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yperlink" Target="https://doi.org/10.1016/j.crm.2017.06.006" TargetMode="External"/><Relationship Id="rId25" Type="http://schemas.openxmlformats.org/officeDocument/2006/relationships/hyperlink" Target="https://doi.org/10.1016/j.scitotenv.2015.07.150" TargetMode="External"/><Relationship Id="rId33" Type="http://schemas.openxmlformats.org/officeDocument/2006/relationships/hyperlink" Target="https://doi.org/10.1017/9781009157940" TargetMode="External"/><Relationship Id="rId38" Type="http://schemas.openxmlformats.org/officeDocument/2006/relationships/hyperlink" Target="http://op.niscpr.res.in/index.php/IJTK/article/view/41484/0" TargetMode="External"/><Relationship Id="rId46" Type="http://schemas.openxmlformats.org/officeDocument/2006/relationships/hyperlink" Target="https://doi.org/10.1080/23792949.2020.1734473" TargetMode="External"/><Relationship Id="rId59" Type="http://schemas.openxmlformats.org/officeDocument/2006/relationships/header" Target="header2.xml"/><Relationship Id="rId20" Type="http://schemas.openxmlformats.org/officeDocument/2006/relationships/hyperlink" Target="https://doi.org/10.1007/s11356-021-1526" TargetMode="External"/><Relationship Id="rId41" Type="http://schemas.openxmlformats.org/officeDocument/2006/relationships/hyperlink" Target="https://doi.org/10.1016/j.ssci.2019.07.044" TargetMode="External"/><Relationship Id="rId54" Type="http://schemas.openxmlformats.org/officeDocument/2006/relationships/hyperlink" Target="https://doi.org/10.1007/s40808-019-00572-4"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91/1464993403ps060oa" TargetMode="External"/><Relationship Id="rId23" Type="http://schemas.openxmlformats.org/officeDocument/2006/relationships/hyperlink" Target="https://doi.org/10.1016/j.gloenvcha.2009.01.002" TargetMode="External"/><Relationship Id="rId28" Type="http://schemas.openxmlformats.org/officeDocument/2006/relationships/hyperlink" Target="https://doi.org/10.1007/s43621-024-00193-7" TargetMode="External"/><Relationship Id="rId36" Type="http://schemas.openxmlformats.org/officeDocument/2006/relationships/hyperlink" Target="https://doi.org/10.1007/s00267-008-9259-3" TargetMode="External"/><Relationship Id="rId49" Type="http://schemas.openxmlformats.org/officeDocument/2006/relationships/hyperlink" Target="https://doi.org/10.1016/j.ecolind.2020.106475" TargetMode="External"/><Relationship Id="rId57" Type="http://schemas.openxmlformats.org/officeDocument/2006/relationships/hyperlink" Target="https://doi.org/10.1080/20964129.2018.1466632" TargetMode="External"/><Relationship Id="rId10" Type="http://schemas.openxmlformats.org/officeDocument/2006/relationships/image" Target="media/image3.png"/><Relationship Id="rId31" Type="http://schemas.openxmlformats.org/officeDocument/2006/relationships/hyperlink" Target="https://doi.org/10.1080/17565529.2019.1593815" TargetMode="External"/><Relationship Id="rId44" Type="http://schemas.openxmlformats.org/officeDocument/2006/relationships/hyperlink" Target="https://doi.org/10.1002/ird.2162" TargetMode="External"/><Relationship Id="rId52" Type="http://schemas.openxmlformats.org/officeDocument/2006/relationships/hyperlink" Target="https://doi.org/10.1016/j.forpol.2024.103265"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chart" Target="charts/chart2.xml"/><Relationship Id="rId18" Type="http://schemas.openxmlformats.org/officeDocument/2006/relationships/hyperlink" Target="https://doi.org/10.1186/s13717-018-0118-8" TargetMode="External"/><Relationship Id="rId39" Type="http://schemas.openxmlformats.org/officeDocument/2006/relationships/hyperlink" Target="https://doi.org/10.3969/j.issn.1002-2104.2010.10.001"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eo%20Fairoz\Desktop\paper%20hila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584487657989903"/>
          <c:y val="4.4310171198388697E-2"/>
          <c:w val="0.52614337662871502"/>
          <c:h val="0.779664581202274"/>
        </c:manualLayout>
      </c:layout>
      <c:barChart>
        <c:barDir val="bar"/>
        <c:grouping val="clustered"/>
        <c:varyColors val="0"/>
        <c:ser>
          <c:idx val="0"/>
          <c:order val="0"/>
          <c:spPr>
            <a:solidFill>
              <a:srgbClr val="92D050"/>
            </a:solidFill>
            <a:ln w="12700">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Sheet1!$A$26:$A$38</c:f>
              <c:strCache>
                <c:ptCount val="13"/>
                <c:pt idx="0">
                  <c:v>Improved irrigation. </c:v>
                </c:pt>
                <c:pt idx="1">
                  <c:v>Adjusting Cropping Calendar. </c:v>
                </c:pt>
                <c:pt idx="2">
                  <c:v>Crop diversification. </c:v>
                </c:pt>
                <c:pt idx="3">
                  <c:v>Conversion of agricultural land to horticulture. </c:v>
                </c:pt>
                <c:pt idx="4">
                  <c:v>Availability of agricultural subsidies </c:v>
                </c:pt>
                <c:pt idx="5">
                  <c:v>Shifted towards high-value crops. </c:v>
                </c:pt>
                <c:pt idx="6">
                  <c:v>Land levelling and terracing.</c:v>
                </c:pt>
                <c:pt idx="7">
                  <c:v>De-Silting of canal </c:v>
                </c:pt>
                <c:pt idx="8">
                  <c:v>Availability of Extension services. </c:v>
                </c:pt>
                <c:pt idx="9">
                  <c:v>Use of organic fertilizer </c:v>
                </c:pt>
                <c:pt idx="10">
                  <c:v>Mix Cropping </c:v>
                </c:pt>
                <c:pt idx="11">
                  <c:v>Change the time of fertilizer use </c:v>
                </c:pt>
                <c:pt idx="12">
                  <c:v> Access to agricultural extension officers. </c:v>
                </c:pt>
              </c:strCache>
            </c:strRef>
          </c:cat>
          <c:val>
            <c:numRef>
              <c:f>Sheet1!$B$26:$B$38</c:f>
              <c:numCache>
                <c:formatCode>General</c:formatCode>
                <c:ptCount val="13"/>
                <c:pt idx="0">
                  <c:v>4.0999999999999996</c:v>
                </c:pt>
                <c:pt idx="1">
                  <c:v>3.2</c:v>
                </c:pt>
                <c:pt idx="2">
                  <c:v>4.5</c:v>
                </c:pt>
                <c:pt idx="3">
                  <c:v>4.4000000000000004</c:v>
                </c:pt>
                <c:pt idx="4">
                  <c:v>3.6</c:v>
                </c:pt>
                <c:pt idx="5">
                  <c:v>3.9</c:v>
                </c:pt>
                <c:pt idx="6">
                  <c:v>3.1</c:v>
                </c:pt>
                <c:pt idx="7">
                  <c:v>3.5</c:v>
                </c:pt>
                <c:pt idx="8">
                  <c:v>3.2</c:v>
                </c:pt>
                <c:pt idx="9">
                  <c:v>3.8</c:v>
                </c:pt>
                <c:pt idx="10">
                  <c:v>4.5999999999999996</c:v>
                </c:pt>
                <c:pt idx="11">
                  <c:v>3.4</c:v>
                </c:pt>
                <c:pt idx="12">
                  <c:v>3.1</c:v>
                </c:pt>
              </c:numCache>
            </c:numRef>
          </c:val>
          <c:extLst>
            <c:ext xmlns:c16="http://schemas.microsoft.com/office/drawing/2014/chart" uri="{C3380CC4-5D6E-409C-BE32-E72D297353CC}">
              <c16:uniqueId val="{00000000-0FD0-4FB9-B375-270DA00D26CD}"/>
            </c:ext>
          </c:extLst>
        </c:ser>
        <c:dLbls>
          <c:showLegendKey val="0"/>
          <c:showVal val="1"/>
          <c:showCatName val="0"/>
          <c:showSerName val="0"/>
          <c:showPercent val="0"/>
          <c:showBubbleSize val="0"/>
        </c:dLbls>
        <c:gapWidth val="50"/>
        <c:axId val="511592440"/>
        <c:axId val="511593616"/>
      </c:barChart>
      <c:catAx>
        <c:axId val="5115924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511593616"/>
        <c:crosses val="autoZero"/>
        <c:auto val="1"/>
        <c:lblAlgn val="ctr"/>
        <c:lblOffset val="100"/>
        <c:noMultiLvlLbl val="0"/>
      </c:catAx>
      <c:valAx>
        <c:axId val="5115936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solidFill>
                      <a:schemeClr val="tx1"/>
                    </a:solidFill>
                    <a:latin typeface="Times New Roman" panose="02020603050405020304" charset="0"/>
                    <a:cs typeface="Times New Roman" panose="02020603050405020304" charset="0"/>
                  </a:rPr>
                  <a:t>Adoption</a:t>
                </a:r>
                <a:r>
                  <a:rPr lang="en-US" sz="1200" baseline="0">
                    <a:solidFill>
                      <a:schemeClr val="tx1"/>
                    </a:solidFill>
                    <a:latin typeface="Times New Roman" panose="02020603050405020304" charset="0"/>
                    <a:cs typeface="Times New Roman" panose="02020603050405020304" charset="0"/>
                  </a:rPr>
                  <a:t> Stratigies Index score</a:t>
                </a:r>
                <a:endParaRPr lang="en-US" sz="1200">
                  <a:solidFill>
                    <a:schemeClr val="tx1"/>
                  </a:solidFill>
                  <a:latin typeface="Times New Roman" panose="02020603050405020304" charset="0"/>
                  <a:cs typeface="Times New Roman" panose="02020603050405020304" charset="0"/>
                </a:endParaRPr>
              </a:p>
            </c:rich>
          </c:tx>
          <c:layout>
            <c:manualLayout>
              <c:xMode val="edge"/>
              <c:yMode val="edge"/>
              <c:x val="0.56128115049356098"/>
              <c:y val="0.91339375629405795"/>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11592440"/>
        <c:crosses val="autoZero"/>
        <c:crossBetween val="between"/>
        <c:majorUnit val="1"/>
      </c:valAx>
      <c:spPr>
        <a:noFill/>
        <a:ln>
          <a:noFill/>
        </a:ln>
        <a:effectLst/>
      </c:spPr>
    </c:plotArea>
    <c:plotVisOnly val="1"/>
    <c:dispBlanksAs val="gap"/>
    <c:showDLblsOverMax val="0"/>
    <c:extLst>
      <c:ext uri="{0b15fc19-7d7d-44ad-8c2d-2c3a37ce22c3}">
        <chartProps xmlns="https://web.wps.cn/et/2018/main" chartId="{ace39095-5bd6-4ef1-b868-a96a40db7462}"/>
      </c:ext>
    </c:extLst>
  </c:chart>
  <c:spPr>
    <a:solidFill>
      <a:schemeClr val="bg1"/>
    </a:solidFill>
    <a:ln w="19050" cap="flat" cmpd="sng" algn="ctr">
      <a:solidFill>
        <a:schemeClr val="tx1"/>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163885636583999"/>
          <c:y val="4.2635658914728702E-2"/>
          <c:w val="0.60052922495030803"/>
          <c:h val="0.84496795458707197"/>
        </c:manualLayout>
      </c:layout>
      <c:barChart>
        <c:barDir val="bar"/>
        <c:grouping val="clustered"/>
        <c:varyColors val="0"/>
        <c:ser>
          <c:idx val="0"/>
          <c:order val="0"/>
          <c:spPr>
            <a:solidFill>
              <a:srgbClr val="00B0F0"/>
            </a:solidFill>
            <a:ln w="12700">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Sheet1!$A$40:$A$54</c:f>
              <c:strCache>
                <c:ptCount val="15"/>
                <c:pt idx="0">
                  <c:v>High density plantation </c:v>
                </c:pt>
                <c:pt idx="1">
                  <c:v>Alternative-irrigation usage </c:v>
                </c:pt>
                <c:pt idx="2">
                  <c:v>Increased Use of pesticides</c:v>
                </c:pt>
                <c:pt idx="3">
                  <c:v>Fruits with high shelf life </c:v>
                </c:pt>
                <c:pt idx="4">
                  <c:v>Early Maturing Crops </c:v>
                </c:pt>
                <c:pt idx="5">
                  <c:v>Introduction of new crops </c:v>
                </c:pt>
                <c:pt idx="6">
                  <c:v>Installation of Hail nets</c:v>
                </c:pt>
                <c:pt idx="7">
                  <c:v>Solar irrigation pumps </c:v>
                </c:pt>
                <c:pt idx="8">
                  <c:v>Improved technology</c:v>
                </c:pt>
                <c:pt idx="9">
                  <c:v>Drought resistant varieties</c:v>
                </c:pt>
                <c:pt idx="10">
                  <c:v>Use of organic fertilizer </c:v>
                </c:pt>
                <c:pt idx="11">
                  <c:v> Availability of Extension services</c:v>
                </c:pt>
                <c:pt idx="12">
                  <c:v> Access to horticultural subsidies </c:v>
                </c:pt>
                <c:pt idx="13">
                  <c:v>Small Farm Size </c:v>
                </c:pt>
                <c:pt idx="14">
                  <c:v>Post harvest management</c:v>
                </c:pt>
              </c:strCache>
            </c:strRef>
          </c:cat>
          <c:val>
            <c:numRef>
              <c:f>Sheet1!$B$40:$B$54</c:f>
              <c:numCache>
                <c:formatCode>General</c:formatCode>
                <c:ptCount val="15"/>
                <c:pt idx="0">
                  <c:v>4.0999999999999996</c:v>
                </c:pt>
                <c:pt idx="1">
                  <c:v>3.9</c:v>
                </c:pt>
                <c:pt idx="2">
                  <c:v>4.5</c:v>
                </c:pt>
                <c:pt idx="3">
                  <c:v>3.6</c:v>
                </c:pt>
                <c:pt idx="4">
                  <c:v>2.9</c:v>
                </c:pt>
                <c:pt idx="5">
                  <c:v>3.5</c:v>
                </c:pt>
                <c:pt idx="6">
                  <c:v>2.5</c:v>
                </c:pt>
                <c:pt idx="7">
                  <c:v>3.2</c:v>
                </c:pt>
                <c:pt idx="8">
                  <c:v>3.8</c:v>
                </c:pt>
                <c:pt idx="9">
                  <c:v>3.1</c:v>
                </c:pt>
                <c:pt idx="10">
                  <c:v>3.6</c:v>
                </c:pt>
                <c:pt idx="11">
                  <c:v>3.1</c:v>
                </c:pt>
                <c:pt idx="12">
                  <c:v>4.0999999999999996</c:v>
                </c:pt>
                <c:pt idx="13">
                  <c:v>4.2</c:v>
                </c:pt>
                <c:pt idx="14">
                  <c:v>4.5</c:v>
                </c:pt>
              </c:numCache>
            </c:numRef>
          </c:val>
          <c:extLst>
            <c:ext xmlns:c16="http://schemas.microsoft.com/office/drawing/2014/chart" uri="{C3380CC4-5D6E-409C-BE32-E72D297353CC}">
              <c16:uniqueId val="{00000000-1334-4B7B-B049-08156E3167E2}"/>
            </c:ext>
          </c:extLst>
        </c:ser>
        <c:dLbls>
          <c:showLegendKey val="0"/>
          <c:showVal val="1"/>
          <c:showCatName val="0"/>
          <c:showSerName val="0"/>
          <c:showPercent val="0"/>
          <c:showBubbleSize val="0"/>
        </c:dLbls>
        <c:gapWidth val="50"/>
        <c:axId val="413590648"/>
        <c:axId val="413587120"/>
      </c:barChart>
      <c:catAx>
        <c:axId val="413590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413587120"/>
        <c:crosses val="autoZero"/>
        <c:auto val="1"/>
        <c:lblAlgn val="ctr"/>
        <c:lblOffset val="100"/>
        <c:noMultiLvlLbl val="0"/>
      </c:catAx>
      <c:valAx>
        <c:axId val="4135871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00">
                    <a:solidFill>
                      <a:schemeClr val="tx1"/>
                    </a:solidFill>
                    <a:latin typeface="Times New Roman" panose="02020603050405020304" charset="0"/>
                    <a:cs typeface="Times New Roman" panose="02020603050405020304" charset="0"/>
                  </a:rPr>
                  <a:t>Adaptation stratigies index score</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13590648"/>
        <c:crosses val="autoZero"/>
        <c:crossBetween val="between"/>
        <c:majorUnit val="1"/>
      </c:valAx>
      <c:spPr>
        <a:noFill/>
        <a:ln>
          <a:noFill/>
        </a:ln>
        <a:effectLst/>
      </c:spPr>
    </c:plotArea>
    <c:plotVisOnly val="1"/>
    <c:dispBlanksAs val="gap"/>
    <c:showDLblsOverMax val="0"/>
    <c:extLst>
      <c:ext uri="{0b15fc19-7d7d-44ad-8c2d-2c3a37ce22c3}">
        <chartProps xmlns="https://web.wps.cn/et/2018/main" chartId="{0297add0-c7f7-4226-b725-21c2d3138e4c}"/>
      </c:ext>
    </c:extLst>
  </c:chart>
  <c:spPr>
    <a:solidFill>
      <a:schemeClr val="bg1"/>
    </a:solidFill>
    <a:ln w="19050" cap="flat" cmpd="sng" algn="ctr">
      <a:solidFill>
        <a:schemeClr val="tx1"/>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36</Pages>
  <Words>11755</Words>
  <Characters>67010</Characters>
  <Application>Microsoft Office Word</Application>
  <DocSecurity>0</DocSecurity>
  <Lines>558</Lines>
  <Paragraphs>157</Paragraphs>
  <ScaleCrop>false</ScaleCrop>
  <Company/>
  <LinksUpToDate>false</LinksUpToDate>
  <CharactersWithSpaces>78608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EGC</dc:creator>
  <cp:lastModifiedBy>Editor-28</cp:lastModifiedBy>
  <cp:revision>106</cp:revision>
  <dcterms:created xsi:type="dcterms:W3CDTF">2021-11-08T12:37:00Z</dcterms:created>
  <dcterms:modified xsi:type="dcterms:W3CDTF">2025-05-05T11:35:00Z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cc7ad99b675208c8050d544d5c9a51dc6a408956c8c8cdff1d712e0f72cb757f</vt:lpwstr>
  </property>
  <property fmtid="{D5CDD505-2E9C-101B-9397-08002B2CF9AE}" pid="3" name="KSOProductBuildVer">
    <vt:lpwstr>1033-12.2.0.20795</vt:lpwstr>
  </property>
  <property fmtid="{D5CDD505-2E9C-101B-9397-08002B2CF9AE}" pid="4" name="ICV">
    <vt:lpwstr>04C5B3C387F249DB90D2674E1E435A95_12</vt:lpwstr>
  </property>
</Properties>
</file>