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A3600" w14:textId="538E0A22" w:rsidR="00400DE6" w:rsidRPr="002745EE" w:rsidRDefault="00400DE6" w:rsidP="00400DE6">
      <w:pPr>
        <w:spacing w:line="240" w:lineRule="auto"/>
        <w:jc w:val="right"/>
        <w:rPr>
          <w:rFonts w:ascii="Arial" w:hAnsi="Arial" w:cs="Arial"/>
          <w:b/>
          <w:bCs/>
          <w:sz w:val="32"/>
          <w:szCs w:val="24"/>
          <w:highlight w:val="yellow"/>
        </w:rPr>
      </w:pPr>
      <w:r w:rsidRPr="002745EE">
        <w:rPr>
          <w:rFonts w:ascii="Arial" w:hAnsi="Arial" w:cs="Arial"/>
          <w:b/>
          <w:bCs/>
          <w:sz w:val="32"/>
          <w:szCs w:val="24"/>
          <w:highlight w:val="yellow"/>
        </w:rPr>
        <w:t>Diseases and Pest Management in Nurseries: Challenges, Strategies and Emerging Technologies</w:t>
      </w:r>
    </w:p>
    <w:p w14:paraId="3B70FC35" w14:textId="77777777" w:rsidR="00400DE6" w:rsidRPr="009E1333" w:rsidRDefault="00400DE6" w:rsidP="00400DE6">
      <w:pPr>
        <w:spacing w:line="240" w:lineRule="auto"/>
        <w:jc w:val="center"/>
        <w:rPr>
          <w:rFonts w:ascii="Arial" w:eastAsia="Times New Roman" w:hAnsi="Arial" w:cs="Arial"/>
          <w:b/>
          <w:bCs/>
          <w:kern w:val="0"/>
          <w:sz w:val="24"/>
          <w:szCs w:val="24"/>
          <w:lang w:eastAsia="en-IN"/>
          <w14:ligatures w14:val="none"/>
        </w:rPr>
      </w:pPr>
      <w:r w:rsidRPr="009E1333">
        <w:rPr>
          <w:rFonts w:ascii="Arial" w:eastAsia="Times New Roman" w:hAnsi="Arial" w:cs="Arial"/>
          <w:b/>
          <w:bCs/>
          <w:kern w:val="0"/>
          <w:sz w:val="24"/>
          <w:szCs w:val="24"/>
          <w:lang w:eastAsia="en-IN"/>
          <w14:ligatures w14:val="none"/>
        </w:rPr>
        <w:t>ABSTRACT</w:t>
      </w:r>
    </w:p>
    <w:p w14:paraId="788847F4" w14:textId="0330D952" w:rsidR="00400DE6" w:rsidRPr="009E1333" w:rsidRDefault="00400DE6" w:rsidP="00400DE6">
      <w:pPr>
        <w:spacing w:line="240" w:lineRule="auto"/>
        <w:jc w:val="both"/>
        <w:rPr>
          <w:rFonts w:ascii="Arial" w:eastAsia="Times New Roman" w:hAnsi="Arial" w:cs="Arial"/>
          <w:kern w:val="0"/>
          <w:sz w:val="20"/>
          <w:szCs w:val="24"/>
          <w:lang w:eastAsia="en-IN"/>
          <w14:ligatures w14:val="none"/>
        </w:rPr>
      </w:pPr>
      <w:r w:rsidRPr="009E1333">
        <w:rPr>
          <w:rFonts w:ascii="Arial" w:eastAsia="Times New Roman" w:hAnsi="Arial" w:cs="Arial"/>
          <w:kern w:val="0"/>
          <w:sz w:val="20"/>
          <w:szCs w:val="24"/>
          <w:lang w:eastAsia="en-IN"/>
          <w14:ligatures w14:val="none"/>
        </w:rPr>
        <w:t xml:space="preserve">Nursery production is significantly affected by diseases and pest infestations, which diminish plant health, marketability, and overall yield. This study examines common nursery diseases, such as powdery mildew, botrytis blight, leaf spot, rust, and root rot, as well as prominent pests like aphids, whiteflies, </w:t>
      </w:r>
      <w:proofErr w:type="spellStart"/>
      <w:r w:rsidRPr="009E1333">
        <w:rPr>
          <w:rFonts w:ascii="Arial" w:eastAsia="Times New Roman" w:hAnsi="Arial" w:cs="Arial"/>
          <w:kern w:val="0"/>
          <w:sz w:val="20"/>
          <w:szCs w:val="24"/>
          <w:lang w:eastAsia="en-IN"/>
          <w14:ligatures w14:val="none"/>
        </w:rPr>
        <w:t>thrips</w:t>
      </w:r>
      <w:proofErr w:type="spellEnd"/>
      <w:r w:rsidRPr="009E1333">
        <w:rPr>
          <w:rFonts w:ascii="Arial" w:eastAsia="Times New Roman" w:hAnsi="Arial" w:cs="Arial"/>
          <w:kern w:val="0"/>
          <w:sz w:val="20"/>
          <w:szCs w:val="24"/>
          <w:lang w:eastAsia="en-IN"/>
          <w14:ligatures w14:val="none"/>
        </w:rPr>
        <w:t xml:space="preserve">, and mealybugs. These biological threats lead to severe economic losses, making effective management strategies essential. The analysis emphasizes the role of Integrated Pest Management (IPM) as a sustainable and comprehensive approach. By combining cultural, biological, and chemical control methods, IPM effectively reduces pest populations while minimizing environmental impact. The use of biological control agents, such as predatory insects and beneficial microbes, is presented as an eco-friendly alternative to synthetic pesticides. </w:t>
      </w:r>
      <w:r w:rsidR="00804FE2">
        <w:rPr>
          <w:rFonts w:ascii="Arial" w:eastAsia="Times New Roman" w:hAnsi="Arial" w:cs="Arial"/>
          <w:kern w:val="0"/>
          <w:sz w:val="20"/>
          <w:szCs w:val="24"/>
          <w:lang w:eastAsia="en-IN"/>
          <w14:ligatures w14:val="none"/>
        </w:rPr>
        <w:t>N</w:t>
      </w:r>
      <w:r w:rsidRPr="009E1333">
        <w:rPr>
          <w:rFonts w:ascii="Arial" w:eastAsia="Times New Roman" w:hAnsi="Arial" w:cs="Arial"/>
          <w:kern w:val="0"/>
          <w:sz w:val="20"/>
          <w:szCs w:val="24"/>
          <w:lang w:eastAsia="en-IN"/>
          <w14:ligatures w14:val="none"/>
        </w:rPr>
        <w:t>ursery crops are particularly vulnerable to leaf spot, damping-off, and anthracnose, which significantly compromise plant quality. Additionally, pests like the red palm weevil, rhinoceros beetle, and tea mosquito bug cause substantial damage to coconut, areca nut, and other plantation crops, all of which are vital to the region's economy. Managing these pests effectively requires region-specific strategies, including the use of botanical extracts, pheromone traps, and soil solarization. Emerging technologies, such as drone-based pesticide application, AI-powered pest detection, and genetic engineering for disease-resistant plants, have been identified as potential solutions for enhancing nursery productivity. These innovations offer precision and efficiency, reducing chemical usage while improving plant health. Effective disease and pest management in nurseries necessitates a multifaceted approach that integrates traditional techniques with modern innovations. The adoption of IPM strategies and cutting-edge technologies can significantly enhance plant protection, leading to increased productivity and sustainability in the nursery industry.</w:t>
      </w:r>
    </w:p>
    <w:p w14:paraId="1F3D5F84" w14:textId="77777777" w:rsidR="00400DE6" w:rsidRPr="009E1333" w:rsidRDefault="00400DE6" w:rsidP="00400DE6">
      <w:pPr>
        <w:spacing w:line="240" w:lineRule="auto"/>
        <w:jc w:val="both"/>
        <w:rPr>
          <w:rFonts w:ascii="Arial" w:eastAsia="Times New Roman" w:hAnsi="Arial" w:cs="Arial"/>
          <w:i/>
          <w:kern w:val="0"/>
          <w:sz w:val="20"/>
          <w:szCs w:val="24"/>
          <w:lang w:eastAsia="en-IN"/>
          <w14:ligatures w14:val="none"/>
        </w:rPr>
      </w:pPr>
      <w:r w:rsidRPr="00753DD7">
        <w:rPr>
          <w:rFonts w:ascii="Arial" w:eastAsia="Times New Roman" w:hAnsi="Arial" w:cs="Arial"/>
          <w:b/>
          <w:i/>
          <w:kern w:val="0"/>
          <w:sz w:val="20"/>
          <w:szCs w:val="24"/>
          <w:highlight w:val="yellow"/>
          <w:lang w:eastAsia="en-IN"/>
          <w14:ligatures w14:val="none"/>
        </w:rPr>
        <w:t>Keywords:</w:t>
      </w:r>
      <w:r w:rsidRPr="00753DD7">
        <w:rPr>
          <w:rFonts w:ascii="Arial" w:eastAsia="Times New Roman" w:hAnsi="Arial" w:cs="Arial"/>
          <w:i/>
          <w:kern w:val="0"/>
          <w:sz w:val="20"/>
          <w:szCs w:val="24"/>
          <w:highlight w:val="yellow"/>
          <w:lang w:eastAsia="en-IN"/>
          <w14:ligatures w14:val="none"/>
        </w:rPr>
        <w:t xml:space="preserve"> Integrated Pest Management (IPM), Diseases and pests in nurseries, biological control, Nursery management, Sustainable disease management</w:t>
      </w:r>
      <w:r w:rsidRPr="009E1333">
        <w:rPr>
          <w:rFonts w:ascii="Arial" w:eastAsia="Times New Roman" w:hAnsi="Arial" w:cs="Arial"/>
          <w:i/>
          <w:kern w:val="0"/>
          <w:sz w:val="20"/>
          <w:szCs w:val="24"/>
          <w:lang w:eastAsia="en-IN"/>
          <w14:ligatures w14:val="none"/>
        </w:rPr>
        <w:t xml:space="preserve"> </w:t>
      </w:r>
    </w:p>
    <w:p w14:paraId="108618CF" w14:textId="77777777" w:rsidR="00400DE6" w:rsidRDefault="00400DE6" w:rsidP="00400DE6">
      <w:pPr>
        <w:rPr>
          <w:rFonts w:ascii="Times New Roman" w:hAnsi="Times New Roman" w:cs="Times New Roman"/>
          <w:b/>
          <w:bCs/>
          <w:sz w:val="24"/>
          <w:szCs w:val="24"/>
        </w:rPr>
      </w:pPr>
    </w:p>
    <w:p w14:paraId="0372661D" w14:textId="77777777" w:rsidR="00400DE6" w:rsidRPr="009E1333" w:rsidRDefault="00400DE6" w:rsidP="00400DE6">
      <w:pPr>
        <w:pStyle w:val="ListParagraph"/>
        <w:numPr>
          <w:ilvl w:val="0"/>
          <w:numId w:val="4"/>
        </w:numPr>
        <w:spacing w:line="240" w:lineRule="auto"/>
        <w:rPr>
          <w:rFonts w:ascii="Arial" w:hAnsi="Arial" w:cs="Arial"/>
          <w:b/>
          <w:bCs/>
          <w:sz w:val="24"/>
          <w:szCs w:val="20"/>
        </w:rPr>
      </w:pPr>
      <w:r w:rsidRPr="009E1333">
        <w:rPr>
          <w:rFonts w:ascii="Arial" w:hAnsi="Arial" w:cs="Arial"/>
          <w:b/>
          <w:bCs/>
          <w:sz w:val="24"/>
          <w:szCs w:val="20"/>
        </w:rPr>
        <w:t>INTRODUCTION</w:t>
      </w:r>
    </w:p>
    <w:p w14:paraId="56C420C1" w14:textId="77777777" w:rsidR="00400DE6" w:rsidRPr="00804FE2" w:rsidRDefault="00400DE6" w:rsidP="00400DE6">
      <w:pPr>
        <w:spacing w:line="240" w:lineRule="auto"/>
        <w:jc w:val="both"/>
        <w:rPr>
          <w:rFonts w:ascii="Arial" w:hAnsi="Arial" w:cs="Arial"/>
          <w:sz w:val="20"/>
          <w:szCs w:val="20"/>
        </w:rPr>
      </w:pPr>
      <w:r w:rsidRPr="00804FE2">
        <w:rPr>
          <w:rFonts w:ascii="Arial" w:hAnsi="Arial" w:cs="Arial"/>
          <w:sz w:val="20"/>
          <w:szCs w:val="20"/>
        </w:rPr>
        <w:t>Effective nursery management is crucial for successful germination, seedling health, and transplanting. It involves careful monitoring of environmental factors such as temperature, humidity, light, and soil quality. According to (</w:t>
      </w:r>
      <w:proofErr w:type="spellStart"/>
      <w:r w:rsidRPr="00804FE2">
        <w:rPr>
          <w:rFonts w:ascii="Arial" w:hAnsi="Arial" w:cs="Arial"/>
          <w:sz w:val="20"/>
          <w:szCs w:val="20"/>
        </w:rPr>
        <w:t>Balliu</w:t>
      </w:r>
      <w:proofErr w:type="spellEnd"/>
      <w:r w:rsidRPr="00804FE2">
        <w:rPr>
          <w:rFonts w:ascii="Arial" w:hAnsi="Arial" w:cs="Arial"/>
          <w:sz w:val="20"/>
          <w:szCs w:val="20"/>
        </w:rPr>
        <w:t xml:space="preserve"> et al. 2017), maintaining optimal humidity levels (60-70%) and controlling temperatures in nurseries significantly enhances seedling </w:t>
      </w:r>
      <w:proofErr w:type="spellStart"/>
      <w:r w:rsidRPr="00804FE2">
        <w:rPr>
          <w:rFonts w:ascii="Arial" w:hAnsi="Arial" w:cs="Arial"/>
          <w:sz w:val="20"/>
          <w:szCs w:val="20"/>
        </w:rPr>
        <w:t>vigor</w:t>
      </w:r>
      <w:proofErr w:type="spellEnd"/>
      <w:r w:rsidRPr="00804FE2">
        <w:rPr>
          <w:rFonts w:ascii="Arial" w:hAnsi="Arial" w:cs="Arial"/>
          <w:sz w:val="20"/>
          <w:szCs w:val="20"/>
        </w:rPr>
        <w:t xml:space="preserve"> and reduces transplant shock. Advanced technologies, such as automated irrigation systems, misting units, and humidity sensors, have transformed nursery operations, allowing farmers to optimize growing conditions with precision. Seedlings' health is also affected by proper spacing and transplanting techniques. Research by (Close et al., 2005) indicates that overcrowding in nursery trays limits root development, making seedlings more susceptible to stress after transplanting. Modern nursery management increasingly utilizes growing media blends, including peat, cocopeat, and perlite, which improve water retention, aeration, and root establishment. Plant propagation techniques such as grafting, budding, and tissue culture are becoming more popular, particularly for fruit crops. </w:t>
      </w:r>
      <w:r w:rsidRPr="00804FE2">
        <w:rPr>
          <w:rFonts w:ascii="Arial" w:hAnsi="Arial" w:cs="Arial"/>
          <w:sz w:val="20"/>
          <w:szCs w:val="20"/>
          <w:highlight w:val="yellow"/>
        </w:rPr>
        <w:t>(</w:t>
      </w:r>
      <w:r w:rsidRPr="00804FE2">
        <w:rPr>
          <w:rFonts w:ascii="Arial" w:eastAsia="Times New Roman" w:hAnsi="Arial" w:cs="Arial"/>
          <w:kern w:val="0"/>
          <w:sz w:val="20"/>
          <w:szCs w:val="20"/>
          <w:highlight w:val="yellow"/>
          <w:lang w:eastAsia="en-IN"/>
          <w14:ligatures w14:val="none"/>
        </w:rPr>
        <w:t>Ramachandran</w:t>
      </w:r>
      <w:r w:rsidRPr="00804FE2">
        <w:rPr>
          <w:rFonts w:ascii="Arial" w:hAnsi="Arial" w:cs="Arial"/>
          <w:sz w:val="20"/>
          <w:szCs w:val="20"/>
          <w:highlight w:val="yellow"/>
        </w:rPr>
        <w:t xml:space="preserve"> </w:t>
      </w:r>
      <w:r w:rsidRPr="00804FE2">
        <w:rPr>
          <w:rFonts w:ascii="Arial" w:hAnsi="Arial" w:cs="Arial"/>
          <w:i/>
          <w:sz w:val="20"/>
          <w:szCs w:val="20"/>
          <w:highlight w:val="yellow"/>
        </w:rPr>
        <w:t xml:space="preserve">et al. </w:t>
      </w:r>
      <w:r w:rsidRPr="00804FE2">
        <w:rPr>
          <w:rFonts w:ascii="Arial" w:hAnsi="Arial" w:cs="Arial"/>
          <w:sz w:val="20"/>
          <w:szCs w:val="20"/>
          <w:highlight w:val="yellow"/>
        </w:rPr>
        <w:t>2021)</w:t>
      </w:r>
      <w:r w:rsidRPr="00804FE2">
        <w:rPr>
          <w:rFonts w:ascii="Arial" w:hAnsi="Arial" w:cs="Arial"/>
          <w:sz w:val="20"/>
          <w:szCs w:val="20"/>
        </w:rPr>
        <w:t xml:space="preserve"> showed that tissue-cultured banana plants have greater disease resistance and yield compared to those propagated using conventional methods, underscoring the importance of innovative nursery techniques in enhancing crop resilience and productivity. </w:t>
      </w:r>
    </w:p>
    <w:p w14:paraId="3D296B1F" w14:textId="77777777" w:rsidR="00400DE6" w:rsidRPr="00DC6FE5" w:rsidRDefault="00400DE6" w:rsidP="00400DE6">
      <w:pPr>
        <w:spacing w:line="240" w:lineRule="auto"/>
        <w:ind w:firstLine="720"/>
        <w:jc w:val="both"/>
        <w:rPr>
          <w:rFonts w:ascii="Arial" w:hAnsi="Arial" w:cs="Arial"/>
          <w:sz w:val="20"/>
          <w:szCs w:val="20"/>
        </w:rPr>
      </w:pPr>
      <w:r w:rsidRPr="00DC6FE5">
        <w:rPr>
          <w:rFonts w:ascii="Arial" w:hAnsi="Arial" w:cs="Arial"/>
          <w:sz w:val="20"/>
          <w:szCs w:val="20"/>
        </w:rPr>
        <w:t>Fertilizers are essential in modern agriculture, but improper use can lead to environmental issues like soil degradation and water pollution. The global shift toward precision agriculture encourages targeted and efficient fertilizer application to minimize waste. Nutrient management strategies vary based on crop needs. For example, nitrogen, phosphorus, and potassium (NPK) are vital for crop growth, but excess nitrogen can result in leaching and groundwater contamination (</w:t>
      </w:r>
      <w:proofErr w:type="spellStart"/>
      <w:r w:rsidRPr="00DC6FE5">
        <w:rPr>
          <w:rFonts w:ascii="Arial" w:eastAsia="Times New Roman" w:hAnsi="Arial" w:cs="Arial"/>
          <w:kern w:val="0"/>
          <w:sz w:val="20"/>
          <w:szCs w:val="20"/>
          <w:lang w:eastAsia="en-IN"/>
          <w14:ligatures w14:val="none"/>
        </w:rPr>
        <w:t>Ramamoorthy</w:t>
      </w:r>
      <w:proofErr w:type="spellEnd"/>
      <w:r w:rsidRPr="00DC6FE5">
        <w:rPr>
          <w:rFonts w:ascii="Arial" w:hAnsi="Arial" w:cs="Arial"/>
          <w:sz w:val="20"/>
          <w:szCs w:val="20"/>
        </w:rPr>
        <w:t xml:space="preserve"> </w:t>
      </w:r>
      <w:r w:rsidRPr="00DC6FE5">
        <w:rPr>
          <w:rFonts w:ascii="Arial" w:hAnsi="Arial" w:cs="Arial"/>
          <w:i/>
          <w:iCs/>
          <w:sz w:val="20"/>
          <w:szCs w:val="20"/>
        </w:rPr>
        <w:t>et al.,</w:t>
      </w:r>
      <w:r w:rsidRPr="00DC6FE5">
        <w:rPr>
          <w:rFonts w:ascii="Arial" w:hAnsi="Arial" w:cs="Arial"/>
          <w:sz w:val="20"/>
          <w:szCs w:val="20"/>
        </w:rPr>
        <w:t xml:space="preserve"> 2024). To address this, slow-release fertilizers (SRFs) and controlled-release fertilizers (CRFs) are becoming popular since they gradually release nutrients, reducing runoff. Organic fertilizers, such as compost, manure, and biofertilizers, are also increasingly preferred for their soil-enhancing qualities. According to (</w:t>
      </w:r>
      <w:r w:rsidRPr="00DC6FE5">
        <w:rPr>
          <w:rFonts w:ascii="Arial" w:eastAsia="Times New Roman" w:hAnsi="Arial" w:cs="Arial"/>
          <w:kern w:val="0"/>
          <w:sz w:val="20"/>
          <w:szCs w:val="20"/>
          <w:lang w:eastAsia="en-IN"/>
          <w14:ligatures w14:val="none"/>
        </w:rPr>
        <w:t>Song</w:t>
      </w:r>
      <w:r w:rsidRPr="00DC6FE5">
        <w:rPr>
          <w:rFonts w:ascii="Arial" w:hAnsi="Arial" w:cs="Arial"/>
          <w:sz w:val="20"/>
          <w:szCs w:val="20"/>
        </w:rPr>
        <w:t xml:space="preserve"> </w:t>
      </w:r>
      <w:r w:rsidRPr="00DC6FE5">
        <w:rPr>
          <w:rFonts w:ascii="Arial" w:hAnsi="Arial" w:cs="Arial"/>
          <w:i/>
          <w:iCs/>
          <w:sz w:val="20"/>
          <w:szCs w:val="20"/>
        </w:rPr>
        <w:t>et al.,</w:t>
      </w:r>
      <w:r w:rsidRPr="00DC6FE5">
        <w:rPr>
          <w:rFonts w:ascii="Arial" w:hAnsi="Arial" w:cs="Arial"/>
          <w:sz w:val="20"/>
          <w:szCs w:val="20"/>
        </w:rPr>
        <w:t xml:space="preserve"> 2015), farms utilizing vermicompost show improved soil texture and microbial activity, leading to higher yields. Additionally, biofertilizers containing nitrogen-fixing bacteria, like Rhizobium, naturally improve soil fertility and crop growth. Precision fertilizer application technologies, </w:t>
      </w:r>
      <w:r w:rsidRPr="00DC6FE5">
        <w:rPr>
          <w:rFonts w:ascii="Arial" w:hAnsi="Arial" w:cs="Arial"/>
          <w:sz w:val="20"/>
          <w:szCs w:val="20"/>
        </w:rPr>
        <w:lastRenderedPageBreak/>
        <w:t>such as GPS-guided spreaders, have revolutionized large-scale farming. Field studies by (</w:t>
      </w:r>
      <w:r w:rsidRPr="00DC6FE5">
        <w:rPr>
          <w:rFonts w:ascii="Arial" w:eastAsia="Times New Roman" w:hAnsi="Arial" w:cs="Arial"/>
          <w:kern w:val="0"/>
          <w:sz w:val="20"/>
          <w:szCs w:val="20"/>
          <w:lang w:eastAsia="en-IN"/>
          <w14:ligatures w14:val="none"/>
        </w:rPr>
        <w:t>Snyder,</w:t>
      </w:r>
      <w:r w:rsidRPr="00DC6FE5">
        <w:rPr>
          <w:rFonts w:ascii="Arial" w:hAnsi="Arial" w:cs="Arial"/>
          <w:sz w:val="20"/>
          <w:szCs w:val="20"/>
        </w:rPr>
        <w:t xml:space="preserve"> 2022) demonstrated that precision-guided fertilizer application reduces nitrogen losses by 25% while maintaining crop yields, making it both economical and environmentally friendly. Pests and diseases are significant threats to agricultural productivity, causing considerable yield losses worldwide. Traditional pest control methods, including chemical pesticides, are increasingly being replaced or complemented by integrated pest management (IPM) practices. </w:t>
      </w:r>
    </w:p>
    <w:p w14:paraId="78FF6A63" w14:textId="77777777" w:rsidR="00400DE6" w:rsidRPr="00DC6FE5" w:rsidRDefault="00400DE6" w:rsidP="00400DE6">
      <w:pPr>
        <w:spacing w:line="240" w:lineRule="auto"/>
        <w:ind w:firstLine="720"/>
        <w:jc w:val="both"/>
        <w:rPr>
          <w:rFonts w:ascii="Arial" w:hAnsi="Arial" w:cs="Arial"/>
          <w:sz w:val="20"/>
          <w:szCs w:val="20"/>
        </w:rPr>
      </w:pPr>
      <w:r w:rsidRPr="00DC6FE5">
        <w:rPr>
          <w:rFonts w:ascii="Arial" w:hAnsi="Arial" w:cs="Arial"/>
          <w:sz w:val="20"/>
          <w:szCs w:val="20"/>
        </w:rPr>
        <w:t xml:space="preserve">IPM strategies combine biological, mechanical, and chemical controls to minimize pest populations sustainably. </w:t>
      </w:r>
      <w:r w:rsidRPr="00753DD7">
        <w:rPr>
          <w:rFonts w:ascii="Arial" w:hAnsi="Arial" w:cs="Arial"/>
          <w:sz w:val="20"/>
          <w:szCs w:val="20"/>
          <w:highlight w:val="yellow"/>
        </w:rPr>
        <w:t>According to (</w:t>
      </w:r>
      <w:proofErr w:type="spellStart"/>
      <w:r w:rsidRPr="00753DD7">
        <w:rPr>
          <w:rFonts w:ascii="Arial" w:eastAsia="Times New Roman" w:hAnsi="Arial" w:cs="Arial"/>
          <w:kern w:val="0"/>
          <w:sz w:val="20"/>
          <w:szCs w:val="20"/>
          <w:highlight w:val="yellow"/>
          <w:lang w:eastAsia="en-IN"/>
          <w14:ligatures w14:val="none"/>
        </w:rPr>
        <w:t>Kundoo</w:t>
      </w:r>
      <w:proofErr w:type="spellEnd"/>
      <w:r w:rsidRPr="00753DD7">
        <w:rPr>
          <w:rFonts w:ascii="Arial" w:hAnsi="Arial" w:cs="Arial"/>
          <w:sz w:val="20"/>
          <w:szCs w:val="20"/>
          <w:highlight w:val="yellow"/>
        </w:rPr>
        <w:t xml:space="preserve"> et al</w:t>
      </w:r>
      <w:r w:rsidRPr="00753DD7">
        <w:rPr>
          <w:rFonts w:ascii="Arial" w:hAnsi="Arial" w:cs="Arial"/>
          <w:i/>
          <w:iCs/>
          <w:sz w:val="20"/>
          <w:szCs w:val="20"/>
          <w:highlight w:val="yellow"/>
        </w:rPr>
        <w:t>.,</w:t>
      </w:r>
      <w:r w:rsidRPr="00753DD7">
        <w:rPr>
          <w:rFonts w:ascii="Arial" w:hAnsi="Arial" w:cs="Arial"/>
          <w:sz w:val="20"/>
          <w:szCs w:val="20"/>
          <w:highlight w:val="yellow"/>
        </w:rPr>
        <w:t xml:space="preserve"> 2017), using natural predators (like ladybugs to control aphids) along with biopesticides can decrease chemical</w:t>
      </w:r>
      <w:r w:rsidRPr="00DC6FE5">
        <w:rPr>
          <w:rFonts w:ascii="Arial" w:hAnsi="Arial" w:cs="Arial"/>
          <w:sz w:val="20"/>
          <w:szCs w:val="20"/>
        </w:rPr>
        <w:t xml:space="preserve"> pesticide usage by 40%. Furthermore, employing pheromone traps and implementing crop rotation helps disrupt pest life cycles. Emerging technologies, such as drone-based pesticide spraying and AI-powered pest detection, have improved the efficiency of pest management. A study by (</w:t>
      </w:r>
      <w:r w:rsidRPr="00DC6FE5">
        <w:rPr>
          <w:rFonts w:ascii="Arial" w:eastAsia="Times New Roman" w:hAnsi="Arial" w:cs="Arial"/>
          <w:kern w:val="0"/>
          <w:sz w:val="20"/>
          <w:szCs w:val="20"/>
          <w:lang w:eastAsia="en-IN"/>
          <w14:ligatures w14:val="none"/>
        </w:rPr>
        <w:t>García-</w:t>
      </w:r>
      <w:proofErr w:type="spellStart"/>
      <w:r w:rsidRPr="00DC6FE5">
        <w:rPr>
          <w:rFonts w:ascii="Arial" w:eastAsia="Times New Roman" w:hAnsi="Arial" w:cs="Arial"/>
          <w:kern w:val="0"/>
          <w:sz w:val="20"/>
          <w:szCs w:val="20"/>
          <w:lang w:eastAsia="en-IN"/>
          <w14:ligatures w14:val="none"/>
        </w:rPr>
        <w:t>Munguía</w:t>
      </w:r>
      <w:proofErr w:type="spellEnd"/>
      <w:r w:rsidRPr="00DC6FE5">
        <w:rPr>
          <w:rFonts w:ascii="Arial" w:hAnsi="Arial" w:cs="Arial"/>
          <w:i/>
          <w:iCs/>
          <w:sz w:val="20"/>
          <w:szCs w:val="20"/>
        </w:rPr>
        <w:t xml:space="preserve"> </w:t>
      </w:r>
      <w:r w:rsidRPr="00DC6FE5">
        <w:rPr>
          <w:rFonts w:ascii="Arial" w:hAnsi="Arial" w:cs="Arial"/>
          <w:sz w:val="20"/>
          <w:szCs w:val="20"/>
        </w:rPr>
        <w:t>et al</w:t>
      </w:r>
      <w:r w:rsidRPr="00DC6FE5">
        <w:rPr>
          <w:rFonts w:ascii="Arial" w:hAnsi="Arial" w:cs="Arial"/>
          <w:i/>
          <w:iCs/>
          <w:sz w:val="20"/>
          <w:szCs w:val="20"/>
        </w:rPr>
        <w:t>.,</w:t>
      </w:r>
      <w:r w:rsidRPr="00DC6FE5">
        <w:rPr>
          <w:rFonts w:ascii="Arial" w:hAnsi="Arial" w:cs="Arial"/>
          <w:sz w:val="20"/>
          <w:szCs w:val="20"/>
        </w:rPr>
        <w:t xml:space="preserve"> 2024) found that drone-based spraying reduced pesticide usage by 30% compared to conventional methods, illustrating its efficiency and precision. Disease control relies on early diagnosis and targeted interventions, and the development of disease-resistant crop varieties through genetic engineering has proven effective. Transgenic rice varieties that are resistant to bacterial blight (</w:t>
      </w:r>
      <w:r w:rsidRPr="009A0E8C">
        <w:rPr>
          <w:rFonts w:ascii="Arial" w:hAnsi="Arial" w:cs="Arial"/>
          <w:i/>
          <w:sz w:val="20"/>
          <w:szCs w:val="20"/>
        </w:rPr>
        <w:t xml:space="preserve">Xanthomonas </w:t>
      </w:r>
      <w:proofErr w:type="spellStart"/>
      <w:r w:rsidRPr="009A0E8C">
        <w:rPr>
          <w:rFonts w:ascii="Arial" w:hAnsi="Arial" w:cs="Arial"/>
          <w:i/>
          <w:sz w:val="20"/>
          <w:szCs w:val="20"/>
        </w:rPr>
        <w:t>oryzae</w:t>
      </w:r>
      <w:proofErr w:type="spellEnd"/>
      <w:r w:rsidRPr="00DC6FE5">
        <w:rPr>
          <w:rFonts w:ascii="Arial" w:hAnsi="Arial" w:cs="Arial"/>
          <w:sz w:val="20"/>
          <w:szCs w:val="20"/>
        </w:rPr>
        <w:t>) have been demonstrated to increase.</w:t>
      </w:r>
    </w:p>
    <w:p w14:paraId="79A147E8" w14:textId="14723EB1" w:rsidR="00400DE6" w:rsidRPr="00DC6FE5" w:rsidRDefault="00400DE6" w:rsidP="00400DE6">
      <w:pPr>
        <w:spacing w:line="240" w:lineRule="auto"/>
        <w:ind w:firstLine="720"/>
        <w:jc w:val="both"/>
        <w:rPr>
          <w:rFonts w:ascii="Arial" w:hAnsi="Arial" w:cs="Arial"/>
          <w:sz w:val="20"/>
          <w:szCs w:val="20"/>
        </w:rPr>
      </w:pPr>
      <w:r w:rsidRPr="00753DD7">
        <w:rPr>
          <w:rFonts w:ascii="Arial" w:hAnsi="Arial" w:cs="Arial"/>
          <w:sz w:val="20"/>
          <w:szCs w:val="20"/>
          <w:highlight w:val="yellow"/>
        </w:rPr>
        <w:t>Productivity and reduced losses (</w:t>
      </w:r>
      <w:proofErr w:type="spellStart"/>
      <w:r w:rsidRPr="00753DD7">
        <w:rPr>
          <w:rFonts w:ascii="Arial" w:eastAsia="Times New Roman" w:hAnsi="Arial" w:cs="Arial"/>
          <w:kern w:val="0"/>
          <w:sz w:val="20"/>
          <w:szCs w:val="20"/>
          <w:highlight w:val="yellow"/>
          <w:lang w:eastAsia="en-IN"/>
          <w14:ligatures w14:val="none"/>
        </w:rPr>
        <w:t>Achterbosch</w:t>
      </w:r>
      <w:proofErr w:type="spellEnd"/>
      <w:r w:rsidRPr="00753DD7">
        <w:rPr>
          <w:rFonts w:ascii="Arial" w:hAnsi="Arial" w:cs="Arial"/>
          <w:sz w:val="20"/>
          <w:szCs w:val="20"/>
          <w:highlight w:val="yellow"/>
        </w:rPr>
        <w:t xml:space="preserve"> </w:t>
      </w:r>
      <w:r w:rsidRPr="00753DD7">
        <w:rPr>
          <w:rFonts w:ascii="Arial" w:hAnsi="Arial" w:cs="Arial"/>
          <w:i/>
          <w:iCs/>
          <w:sz w:val="20"/>
          <w:szCs w:val="20"/>
          <w:highlight w:val="yellow"/>
        </w:rPr>
        <w:t>et al</w:t>
      </w:r>
      <w:r w:rsidRPr="00753DD7">
        <w:rPr>
          <w:rFonts w:ascii="Arial" w:hAnsi="Arial" w:cs="Arial"/>
          <w:sz w:val="20"/>
          <w:szCs w:val="20"/>
          <w:highlight w:val="yellow"/>
        </w:rPr>
        <w:t xml:space="preserve">., 2014). Agricultural practices significantly vary between countries due to climatic, economic, and technological </w:t>
      </w:r>
      <w:r w:rsidRPr="00DC6FE5">
        <w:rPr>
          <w:rFonts w:ascii="Arial" w:hAnsi="Arial" w:cs="Arial"/>
          <w:sz w:val="20"/>
          <w:szCs w:val="20"/>
        </w:rPr>
        <w:t xml:space="preserve">factors. In developing nations, staple crops such as rice, maize, and wheat are predominant, while cash crops like coffee and cotton drive economies in regions with suitable climates. National crop production typically reflects both domestic </w:t>
      </w:r>
      <w:r w:rsidR="009A0E8C" w:rsidRPr="00DC6FE5">
        <w:rPr>
          <w:rFonts w:ascii="Arial" w:hAnsi="Arial" w:cs="Arial"/>
          <w:sz w:val="20"/>
          <w:szCs w:val="20"/>
        </w:rPr>
        <w:t>consumptions</w:t>
      </w:r>
      <w:r w:rsidRPr="00DC6FE5">
        <w:rPr>
          <w:rFonts w:ascii="Arial" w:hAnsi="Arial" w:cs="Arial"/>
          <w:sz w:val="20"/>
          <w:szCs w:val="20"/>
        </w:rPr>
        <w:t xml:space="preserve"> needs and export potential. For example, India and China, the largest producers of rice, prioritize food security for their populations, whereas countries like Brazil and the United States lead in soybean exports. </w:t>
      </w:r>
      <w:r w:rsidRPr="00753DD7">
        <w:rPr>
          <w:rFonts w:ascii="Arial" w:hAnsi="Arial" w:cs="Arial"/>
          <w:sz w:val="20"/>
          <w:szCs w:val="20"/>
          <w:highlight w:val="yellow"/>
        </w:rPr>
        <w:t xml:space="preserve">According to the FAO (2022), </w:t>
      </w:r>
      <w:r w:rsidRPr="00DC6FE5">
        <w:rPr>
          <w:rFonts w:ascii="Arial" w:hAnsi="Arial" w:cs="Arial"/>
          <w:sz w:val="20"/>
          <w:szCs w:val="20"/>
        </w:rPr>
        <w:t xml:space="preserve">international crop trade is shaped by climate conditions, trade policies, and technological advancements. As farmers face changing weather patterns, climate-resilient crops are becoming increasingly important. Drought-tolerant maize varieties </w:t>
      </w:r>
      <w:r w:rsidRPr="00753DD7">
        <w:rPr>
          <w:rFonts w:ascii="Arial" w:hAnsi="Arial" w:cs="Arial"/>
          <w:sz w:val="20"/>
          <w:szCs w:val="20"/>
          <w:highlight w:val="yellow"/>
        </w:rPr>
        <w:t>in sub-Saharan Africa have, for instance, improved yields by 20% even under water-stressed conditions (</w:t>
      </w:r>
      <w:proofErr w:type="spellStart"/>
      <w:r w:rsidRPr="00753DD7">
        <w:rPr>
          <w:rFonts w:ascii="Arial" w:eastAsia="Times New Roman" w:hAnsi="Arial" w:cs="Arial"/>
          <w:kern w:val="0"/>
          <w:sz w:val="20"/>
          <w:szCs w:val="20"/>
          <w:highlight w:val="yellow"/>
          <w:lang w:eastAsia="en-IN"/>
          <w14:ligatures w14:val="none"/>
        </w:rPr>
        <w:t>Edmeades</w:t>
      </w:r>
      <w:proofErr w:type="spellEnd"/>
      <w:r w:rsidRPr="00753DD7">
        <w:rPr>
          <w:rFonts w:ascii="Arial" w:eastAsia="Times New Roman" w:hAnsi="Arial" w:cs="Arial"/>
          <w:kern w:val="0"/>
          <w:sz w:val="20"/>
          <w:szCs w:val="20"/>
          <w:highlight w:val="yellow"/>
          <w:lang w:eastAsia="en-IN"/>
          <w14:ligatures w14:val="none"/>
        </w:rPr>
        <w:t>,</w:t>
      </w:r>
      <w:r w:rsidRPr="00753DD7">
        <w:rPr>
          <w:rFonts w:ascii="Arial" w:hAnsi="Arial" w:cs="Arial"/>
          <w:sz w:val="20"/>
          <w:szCs w:val="20"/>
          <w:highlight w:val="yellow"/>
        </w:rPr>
        <w:t xml:space="preserve"> 2013). </w:t>
      </w:r>
      <w:r w:rsidRPr="00DC6FE5">
        <w:rPr>
          <w:rFonts w:ascii="Arial" w:hAnsi="Arial" w:cs="Arial"/>
          <w:sz w:val="20"/>
          <w:szCs w:val="20"/>
        </w:rPr>
        <w:t xml:space="preserve">Additionally, vertical farming and hydroponics are gaining popularity worldwide, particularly in urban areas, enabling year-round production of leafy greens and herbs. In Singapore, vertical farms can produce up to ten times </w:t>
      </w:r>
      <w:r w:rsidRPr="00753DD7">
        <w:rPr>
          <w:rFonts w:ascii="Arial" w:hAnsi="Arial" w:cs="Arial"/>
          <w:sz w:val="20"/>
          <w:szCs w:val="20"/>
          <w:highlight w:val="yellow"/>
        </w:rPr>
        <w:t>more crops per square meter than traditional farms (</w:t>
      </w:r>
      <w:r w:rsidRPr="00753DD7">
        <w:rPr>
          <w:rFonts w:ascii="Arial" w:eastAsia="Times New Roman" w:hAnsi="Arial" w:cs="Arial"/>
          <w:kern w:val="0"/>
          <w:sz w:val="20"/>
          <w:szCs w:val="20"/>
          <w:highlight w:val="yellow"/>
          <w:lang w:eastAsia="en-IN"/>
          <w14:ligatures w14:val="none"/>
        </w:rPr>
        <w:t>Mir</w:t>
      </w:r>
      <w:r w:rsidRPr="00753DD7">
        <w:rPr>
          <w:rFonts w:ascii="Arial" w:hAnsi="Arial" w:cs="Arial"/>
          <w:sz w:val="20"/>
          <w:szCs w:val="20"/>
          <w:highlight w:val="yellow"/>
        </w:rPr>
        <w:t xml:space="preserve"> et al., 2022), highlighting the potential of urban agriculture.</w:t>
      </w:r>
    </w:p>
    <w:p w14:paraId="3B507782" w14:textId="77777777" w:rsidR="00400DE6" w:rsidRPr="00DC6FE5" w:rsidRDefault="00400DE6" w:rsidP="00400DE6">
      <w:pPr>
        <w:spacing w:line="240" w:lineRule="auto"/>
        <w:jc w:val="both"/>
        <w:rPr>
          <w:rFonts w:ascii="Arial" w:hAnsi="Arial" w:cs="Arial"/>
          <w:sz w:val="20"/>
          <w:szCs w:val="20"/>
        </w:rPr>
      </w:pPr>
    </w:p>
    <w:p w14:paraId="1905832E" w14:textId="77777777" w:rsidR="00400DE6" w:rsidRPr="009E1333" w:rsidRDefault="00400DE6" w:rsidP="00400DE6">
      <w:pPr>
        <w:pStyle w:val="ListParagraph"/>
        <w:numPr>
          <w:ilvl w:val="0"/>
          <w:numId w:val="4"/>
        </w:numPr>
        <w:spacing w:line="240" w:lineRule="auto"/>
        <w:jc w:val="both"/>
        <w:rPr>
          <w:rFonts w:ascii="Arial" w:hAnsi="Arial" w:cs="Arial"/>
          <w:b/>
          <w:bCs/>
          <w:sz w:val="24"/>
          <w:szCs w:val="20"/>
        </w:rPr>
      </w:pPr>
      <w:r w:rsidRPr="009E1333">
        <w:rPr>
          <w:rFonts w:ascii="Arial" w:hAnsi="Arial" w:cs="Arial"/>
          <w:b/>
          <w:bCs/>
          <w:sz w:val="24"/>
          <w:szCs w:val="20"/>
        </w:rPr>
        <w:t>TYPES OF NURSERIES</w:t>
      </w:r>
    </w:p>
    <w:p w14:paraId="03864418" w14:textId="77777777" w:rsidR="00400DE6" w:rsidRPr="00DC6FE5" w:rsidRDefault="00400DE6" w:rsidP="00804FE2">
      <w:pPr>
        <w:spacing w:line="240" w:lineRule="auto"/>
        <w:jc w:val="both"/>
        <w:rPr>
          <w:rFonts w:ascii="Arial" w:hAnsi="Arial" w:cs="Arial"/>
          <w:sz w:val="20"/>
          <w:szCs w:val="20"/>
        </w:rPr>
      </w:pPr>
      <w:r w:rsidRPr="00DC6FE5">
        <w:rPr>
          <w:rFonts w:ascii="Arial" w:hAnsi="Arial" w:cs="Arial"/>
          <w:sz w:val="20"/>
          <w:szCs w:val="20"/>
        </w:rPr>
        <w:t>Plant nurseries are specialized facilities focused on the propagation, cultivation, and sale of plants. They play a crucial role in supporting agriculture, horticulture, landscaping, and ecological restoration efforts. Nurseries can be classified based on the types of plants they grow, their intended purpose, and their operational lifespan. The major categories include fruit plant nurseries, vegetable nurseries, ornamental plant nurseries, medicinal and aromatic plant nurseries, and forest plant nurseries. Each type serves a distinct role in promoting plant production, biodiversity, and economic activities.</w:t>
      </w:r>
      <w:r>
        <w:rPr>
          <w:rFonts w:ascii="Arial" w:hAnsi="Arial" w:cs="Arial"/>
          <w:sz w:val="20"/>
          <w:szCs w:val="20"/>
        </w:rPr>
        <w:t xml:space="preserve"> </w:t>
      </w:r>
      <w:r w:rsidRPr="00DC6FE5">
        <w:rPr>
          <w:rFonts w:ascii="Arial" w:hAnsi="Arial" w:cs="Arial"/>
          <w:sz w:val="20"/>
          <w:szCs w:val="20"/>
        </w:rPr>
        <w:t xml:space="preserve">Fruit plant nurseries are dedicated to the propagation and sale of fruit-bearing plants, serving both commercial orchards and home gardeners. These nurseries are typically permanent establishments due to the longevity of fruit crops. They focus on cultivating perennial fruit plants, such as mango, citrus, apple, guava, pomegranate, and banana. The propagation methods used in fruit plant nurseries include grafting, budding, and layering, which are essential for maintaining the genetic characteristics of specific cultivars and ensuring uniformity in fruit quality </w:t>
      </w:r>
      <w:r w:rsidRPr="00753DD7">
        <w:rPr>
          <w:rFonts w:ascii="Arial" w:hAnsi="Arial" w:cs="Arial"/>
          <w:sz w:val="20"/>
          <w:szCs w:val="20"/>
          <w:highlight w:val="yellow"/>
        </w:rPr>
        <w:t>(Hartmann et al</w:t>
      </w:r>
      <w:r w:rsidRPr="00753DD7">
        <w:rPr>
          <w:rFonts w:ascii="Arial" w:hAnsi="Arial" w:cs="Arial"/>
          <w:i/>
          <w:iCs/>
          <w:sz w:val="20"/>
          <w:szCs w:val="20"/>
          <w:highlight w:val="yellow"/>
        </w:rPr>
        <w:t>.,</w:t>
      </w:r>
      <w:r w:rsidRPr="00753DD7">
        <w:rPr>
          <w:rFonts w:ascii="Arial" w:hAnsi="Arial" w:cs="Arial"/>
          <w:sz w:val="20"/>
          <w:szCs w:val="20"/>
          <w:highlight w:val="yellow"/>
        </w:rPr>
        <w:t xml:space="preserve"> 2018). For instance, mango nurseries commonly employ the veneer grafting method, while citrus nurseries typically use T-budding to encourage early fruiting and disease resistance (Lewis &amp; Alexander, 2008). </w:t>
      </w:r>
      <w:r w:rsidRPr="00DC6FE5">
        <w:rPr>
          <w:rFonts w:ascii="Arial" w:hAnsi="Arial" w:cs="Arial"/>
          <w:sz w:val="20"/>
          <w:szCs w:val="20"/>
        </w:rPr>
        <w:t xml:space="preserve">These nurseries are critical for establishing orchards and supporting commercial fruit farming by providing disease-free </w:t>
      </w:r>
      <w:r w:rsidRPr="00753DD7">
        <w:rPr>
          <w:rFonts w:ascii="Arial" w:hAnsi="Arial" w:cs="Arial"/>
          <w:sz w:val="20"/>
          <w:szCs w:val="20"/>
          <w:highlight w:val="yellow"/>
        </w:rPr>
        <w:t>and true-to-type planting materials, which contribute to improved fruit yield and quality. Additionally, fruit nurseries facilitate the introduction of new cultivars and hybrid varieties, promoting agricultural innovation and crop diversification (</w:t>
      </w:r>
      <w:proofErr w:type="spellStart"/>
      <w:r w:rsidRPr="00753DD7">
        <w:rPr>
          <w:rFonts w:ascii="Arial" w:hAnsi="Arial" w:cs="Arial"/>
          <w:sz w:val="20"/>
          <w:szCs w:val="20"/>
          <w:highlight w:val="yellow"/>
        </w:rPr>
        <w:t>Antier</w:t>
      </w:r>
      <w:proofErr w:type="spellEnd"/>
      <w:r w:rsidRPr="00753DD7">
        <w:rPr>
          <w:rFonts w:ascii="Arial" w:hAnsi="Arial" w:cs="Arial"/>
          <w:sz w:val="20"/>
          <w:szCs w:val="20"/>
          <w:highlight w:val="yellow"/>
        </w:rPr>
        <w:t xml:space="preserve"> &amp;</w:t>
      </w:r>
      <w:r w:rsidRPr="00753DD7">
        <w:rPr>
          <w:rFonts w:ascii="Arial" w:hAnsi="Arial" w:cs="Arial"/>
          <w:color w:val="222222"/>
          <w:sz w:val="20"/>
          <w:szCs w:val="20"/>
          <w:highlight w:val="yellow"/>
          <w:shd w:val="clear" w:color="auto" w:fill="FFFFFF"/>
        </w:rPr>
        <w:t xml:space="preserve"> </w:t>
      </w:r>
      <w:proofErr w:type="spellStart"/>
      <w:r w:rsidRPr="00753DD7">
        <w:rPr>
          <w:rFonts w:ascii="Arial" w:hAnsi="Arial" w:cs="Arial"/>
          <w:sz w:val="20"/>
          <w:szCs w:val="20"/>
          <w:highlight w:val="yellow"/>
        </w:rPr>
        <w:t>Baret</w:t>
      </w:r>
      <w:proofErr w:type="spellEnd"/>
      <w:r w:rsidRPr="00753DD7">
        <w:rPr>
          <w:rFonts w:ascii="Arial" w:hAnsi="Arial" w:cs="Arial"/>
          <w:sz w:val="20"/>
          <w:szCs w:val="20"/>
          <w:highlight w:val="yellow"/>
        </w:rPr>
        <w:t xml:space="preserve"> et al.</w:t>
      </w:r>
      <w:r w:rsidRPr="00753DD7">
        <w:rPr>
          <w:rFonts w:ascii="Arial" w:hAnsi="Arial" w:cs="Arial"/>
          <w:i/>
          <w:iCs/>
          <w:sz w:val="20"/>
          <w:szCs w:val="20"/>
          <w:highlight w:val="yellow"/>
        </w:rPr>
        <w:t>,</w:t>
      </w:r>
      <w:r w:rsidRPr="00753DD7">
        <w:rPr>
          <w:rFonts w:ascii="Arial" w:hAnsi="Arial" w:cs="Arial"/>
          <w:sz w:val="20"/>
          <w:szCs w:val="20"/>
          <w:highlight w:val="yellow"/>
        </w:rPr>
        <w:t xml:space="preserve"> 2025).</w:t>
      </w:r>
    </w:p>
    <w:p w14:paraId="50EF1207" w14:textId="77777777" w:rsidR="00400DE6" w:rsidRPr="00DC6FE5" w:rsidRDefault="00400DE6" w:rsidP="00400DE6">
      <w:pPr>
        <w:spacing w:line="240" w:lineRule="auto"/>
        <w:ind w:firstLine="720"/>
        <w:jc w:val="both"/>
        <w:rPr>
          <w:rFonts w:ascii="Arial" w:hAnsi="Arial" w:cs="Arial"/>
          <w:sz w:val="20"/>
          <w:szCs w:val="20"/>
        </w:rPr>
      </w:pPr>
      <w:r w:rsidRPr="00DC6FE5">
        <w:rPr>
          <w:rFonts w:ascii="Arial" w:hAnsi="Arial" w:cs="Arial"/>
          <w:sz w:val="20"/>
          <w:szCs w:val="20"/>
        </w:rPr>
        <w:t xml:space="preserve">Vegetable nurseries focus on raising seedlings of both seasonal and perennial vegetable crops. Unlike fruit nurseries, these are often temporary or seasonal, as vegetable crops have shorter life cycles. The primary goal of vegetable nurseries is to produce healthy, disease-free, and uniform seedlings that can be transplanted into </w:t>
      </w:r>
      <w:r w:rsidRPr="00753DD7">
        <w:rPr>
          <w:rFonts w:ascii="Arial" w:hAnsi="Arial" w:cs="Arial"/>
          <w:sz w:val="20"/>
          <w:szCs w:val="20"/>
          <w:highlight w:val="yellow"/>
        </w:rPr>
        <w:t xml:space="preserve">fields or home gardens. Techniques used in vegetable nurseries include tray nurseries, where seedlings are raised in plug trays under protected conditions to ensure </w:t>
      </w:r>
      <w:r w:rsidRPr="00753DD7">
        <w:rPr>
          <w:rFonts w:ascii="Arial" w:hAnsi="Arial" w:cs="Arial"/>
          <w:sz w:val="20"/>
          <w:szCs w:val="20"/>
          <w:highlight w:val="yellow"/>
        </w:rPr>
        <w:lastRenderedPageBreak/>
        <w:t xml:space="preserve">better root development and easier transplantation (Singh </w:t>
      </w:r>
      <w:r w:rsidRPr="00753DD7">
        <w:rPr>
          <w:rFonts w:ascii="Arial" w:hAnsi="Arial" w:cs="Arial"/>
          <w:i/>
          <w:iCs/>
          <w:sz w:val="20"/>
          <w:szCs w:val="20"/>
          <w:highlight w:val="yellow"/>
        </w:rPr>
        <w:t>et al.,</w:t>
      </w:r>
      <w:r w:rsidRPr="00753DD7">
        <w:rPr>
          <w:rFonts w:ascii="Arial" w:hAnsi="Arial" w:cs="Arial"/>
          <w:sz w:val="20"/>
          <w:szCs w:val="20"/>
          <w:highlight w:val="yellow"/>
        </w:rPr>
        <w:t xml:space="preserve"> 2020). </w:t>
      </w:r>
      <w:r w:rsidRPr="00DC6FE5">
        <w:rPr>
          <w:rFonts w:ascii="Arial" w:hAnsi="Arial" w:cs="Arial"/>
          <w:sz w:val="20"/>
          <w:szCs w:val="20"/>
        </w:rPr>
        <w:t xml:space="preserve">Common vegetable crops grown in nurseries include tomatoes, chilies, brinjals, cabbage, cauliflower, and capsicum. Modern vegetable nurseries often incorporate protected cultivation techniques, such as playhouses and net houses, to shield seedlings from pests, diseases, and environmental stressors, leading to higher seedling survival rates and improved </w:t>
      </w:r>
      <w:r w:rsidRPr="00753DD7">
        <w:rPr>
          <w:rFonts w:ascii="Arial" w:hAnsi="Arial" w:cs="Arial"/>
          <w:sz w:val="20"/>
          <w:szCs w:val="20"/>
          <w:highlight w:val="yellow"/>
        </w:rPr>
        <w:t>productivity (</w:t>
      </w:r>
      <w:proofErr w:type="spellStart"/>
      <w:r w:rsidRPr="00753DD7">
        <w:rPr>
          <w:rFonts w:ascii="Arial" w:eastAsia="Times New Roman" w:hAnsi="Arial" w:cs="Arial"/>
          <w:kern w:val="0"/>
          <w:sz w:val="20"/>
          <w:szCs w:val="20"/>
          <w:highlight w:val="yellow"/>
          <w:lang w:eastAsia="en-IN"/>
          <w14:ligatures w14:val="none"/>
        </w:rPr>
        <w:t>Lavender</w:t>
      </w:r>
      <w:r w:rsidRPr="00753DD7">
        <w:rPr>
          <w:rFonts w:ascii="Arial" w:hAnsi="Arial" w:cs="Arial"/>
          <w:sz w:val="20"/>
          <w:szCs w:val="20"/>
          <w:highlight w:val="yellow"/>
        </w:rPr>
        <w:t>I</w:t>
      </w:r>
      <w:proofErr w:type="spellEnd"/>
      <w:r w:rsidRPr="00753DD7">
        <w:rPr>
          <w:rFonts w:ascii="Arial" w:hAnsi="Arial" w:cs="Arial"/>
          <w:sz w:val="20"/>
          <w:szCs w:val="20"/>
          <w:highlight w:val="yellow"/>
        </w:rPr>
        <w:t xml:space="preserve">, 1984). </w:t>
      </w:r>
      <w:r w:rsidRPr="00DC6FE5">
        <w:rPr>
          <w:rFonts w:ascii="Arial" w:hAnsi="Arial" w:cs="Arial"/>
          <w:sz w:val="20"/>
          <w:szCs w:val="20"/>
        </w:rPr>
        <w:t>Moreover, vegetable nurseries play an important role in urban agriculture by providing seedlings for rooftops and home gardens.</w:t>
      </w:r>
    </w:p>
    <w:p w14:paraId="7E93710E" w14:textId="77777777" w:rsidR="00400DE6" w:rsidRPr="00DC6FE5" w:rsidRDefault="00400DE6" w:rsidP="00400DE6">
      <w:pPr>
        <w:spacing w:line="240" w:lineRule="auto"/>
        <w:ind w:firstLine="720"/>
        <w:jc w:val="both"/>
        <w:rPr>
          <w:rFonts w:ascii="Arial" w:hAnsi="Arial" w:cs="Arial"/>
          <w:sz w:val="20"/>
          <w:szCs w:val="20"/>
        </w:rPr>
      </w:pPr>
      <w:r w:rsidRPr="00DC6FE5">
        <w:rPr>
          <w:rFonts w:ascii="Arial" w:hAnsi="Arial" w:cs="Arial"/>
          <w:sz w:val="20"/>
          <w:szCs w:val="20"/>
        </w:rPr>
        <w:t xml:space="preserve">Ornamental plant nurseries specialize in cultivating flowering, foliage, and decorative plants used for landscaping, aesthetic purposes, and commercial applications. These nurseries cater to the increasing demand for gardening, landscaping, and interior plants. Ornamental nurseries propagate a variety of plants, including annuals, perennials, shrubs, climbers, and ground covers. Popular ornamental plants include roses, hibiscus, marigolds, bougainvillea, petunias, and ferns. The propagation methods employed in ornamental nurseries include cuttings, grafting, tissue culture, and seed </w:t>
      </w:r>
      <w:r w:rsidRPr="00753DD7">
        <w:rPr>
          <w:rFonts w:ascii="Arial" w:hAnsi="Arial" w:cs="Arial"/>
          <w:sz w:val="20"/>
          <w:szCs w:val="20"/>
          <w:highlight w:val="yellow"/>
        </w:rPr>
        <w:t xml:space="preserve">propagation (Bhattacharjee &amp; De, 2005). </w:t>
      </w:r>
      <w:r w:rsidRPr="00DC6FE5">
        <w:rPr>
          <w:rFonts w:ascii="Arial" w:hAnsi="Arial" w:cs="Arial"/>
          <w:sz w:val="20"/>
          <w:szCs w:val="20"/>
        </w:rPr>
        <w:t xml:space="preserve">These nurseries also significantly contribute to the floriculture industry by supplying plants for commercial flower production, garden centers, and public parks. They play a vital role in urban beautification projects, providing plants for roadside plantations, green belts, and public </w:t>
      </w:r>
      <w:r w:rsidRPr="00753DD7">
        <w:rPr>
          <w:rFonts w:ascii="Arial" w:hAnsi="Arial" w:cs="Arial"/>
          <w:sz w:val="20"/>
          <w:szCs w:val="20"/>
          <w:highlight w:val="yellow"/>
        </w:rPr>
        <w:t>gardens (Bhattacharjee &amp; De, 2005).</w:t>
      </w:r>
      <w:r>
        <w:rPr>
          <w:rFonts w:ascii="Arial" w:hAnsi="Arial" w:cs="Arial"/>
          <w:sz w:val="20"/>
          <w:szCs w:val="20"/>
          <w:highlight w:val="yellow"/>
        </w:rPr>
        <w:t xml:space="preserve"> </w:t>
      </w:r>
      <w:r w:rsidRPr="00DC6FE5">
        <w:rPr>
          <w:rFonts w:ascii="Arial" w:hAnsi="Arial" w:cs="Arial"/>
          <w:sz w:val="20"/>
          <w:szCs w:val="20"/>
        </w:rPr>
        <w:t xml:space="preserve">Medicinal and aromatic plant (MAP) nurseries focus on cultivating plants that are used in traditional medicine, pharmaceuticals, and the cosmetic industry. With the increasing demand for herbal products and natural remedies, these nurseries have become significantly important. Common medicinal plants grown in these </w:t>
      </w:r>
      <w:r w:rsidRPr="00753DD7">
        <w:rPr>
          <w:rFonts w:ascii="Arial" w:hAnsi="Arial" w:cs="Arial"/>
          <w:sz w:val="20"/>
          <w:szCs w:val="20"/>
          <w:highlight w:val="yellow"/>
        </w:rPr>
        <w:t xml:space="preserve">nurseries include Aloe </w:t>
      </w:r>
      <w:proofErr w:type="spellStart"/>
      <w:r w:rsidRPr="00753DD7">
        <w:rPr>
          <w:rFonts w:ascii="Arial" w:hAnsi="Arial" w:cs="Arial"/>
          <w:sz w:val="20"/>
          <w:szCs w:val="20"/>
          <w:highlight w:val="yellow"/>
        </w:rPr>
        <w:t>vera</w:t>
      </w:r>
      <w:proofErr w:type="spellEnd"/>
      <w:r w:rsidRPr="00753DD7">
        <w:rPr>
          <w:rFonts w:ascii="Arial" w:hAnsi="Arial" w:cs="Arial"/>
          <w:sz w:val="20"/>
          <w:szCs w:val="20"/>
          <w:highlight w:val="yellow"/>
        </w:rPr>
        <w:t xml:space="preserve">, Ashwagandha, </w:t>
      </w:r>
      <w:proofErr w:type="spellStart"/>
      <w:r w:rsidRPr="00753DD7">
        <w:rPr>
          <w:rFonts w:ascii="Arial" w:hAnsi="Arial" w:cs="Arial"/>
          <w:sz w:val="20"/>
          <w:szCs w:val="20"/>
          <w:highlight w:val="yellow"/>
        </w:rPr>
        <w:t>Tulsi</w:t>
      </w:r>
      <w:proofErr w:type="spellEnd"/>
      <w:r w:rsidRPr="00753DD7">
        <w:rPr>
          <w:rFonts w:ascii="Arial" w:hAnsi="Arial" w:cs="Arial"/>
          <w:sz w:val="20"/>
          <w:szCs w:val="20"/>
          <w:highlight w:val="yellow"/>
        </w:rPr>
        <w:t xml:space="preserve"> (Holy Basil), Brahmi, and </w:t>
      </w:r>
      <w:proofErr w:type="spellStart"/>
      <w:r w:rsidRPr="00753DD7">
        <w:rPr>
          <w:rFonts w:ascii="Arial" w:hAnsi="Arial" w:cs="Arial"/>
          <w:sz w:val="20"/>
          <w:szCs w:val="20"/>
          <w:highlight w:val="yellow"/>
        </w:rPr>
        <w:t>Shatavari</w:t>
      </w:r>
      <w:proofErr w:type="spellEnd"/>
      <w:r w:rsidRPr="00753DD7">
        <w:rPr>
          <w:rFonts w:ascii="Arial" w:hAnsi="Arial" w:cs="Arial"/>
          <w:sz w:val="20"/>
          <w:szCs w:val="20"/>
          <w:highlight w:val="yellow"/>
        </w:rPr>
        <w:t xml:space="preserve">. Aromatic plants like lavender, rosemary, lemongrass, and mint are cultivated for their essential oils and fragrance properties (Kumar &amp; Sharma, 2019). </w:t>
      </w:r>
    </w:p>
    <w:p w14:paraId="7965101B" w14:textId="77777777" w:rsidR="00400DE6" w:rsidRPr="00DC6FE5" w:rsidRDefault="00400DE6" w:rsidP="00400DE6">
      <w:pPr>
        <w:spacing w:line="240" w:lineRule="auto"/>
        <w:ind w:firstLine="720"/>
        <w:jc w:val="both"/>
        <w:rPr>
          <w:rFonts w:ascii="Arial" w:hAnsi="Arial" w:cs="Arial"/>
          <w:sz w:val="20"/>
          <w:szCs w:val="20"/>
        </w:rPr>
      </w:pPr>
      <w:r w:rsidRPr="00DC6FE5">
        <w:rPr>
          <w:rFonts w:ascii="Arial" w:hAnsi="Arial" w:cs="Arial"/>
          <w:sz w:val="20"/>
          <w:szCs w:val="20"/>
        </w:rPr>
        <w:t xml:space="preserve">Propagation methods in medicinal and aromatic nurseries include seed sowing, stem cuttings, root division, and tissue culture techniques. </w:t>
      </w:r>
      <w:r w:rsidRPr="00753DD7">
        <w:rPr>
          <w:rFonts w:ascii="Arial" w:hAnsi="Arial" w:cs="Arial"/>
          <w:sz w:val="20"/>
          <w:szCs w:val="20"/>
          <w:highlight w:val="yellow"/>
        </w:rPr>
        <w:t>Tissue culture is especially crucial for the mass propagation of high-demand medicinal plants, ensuring consistent quality and yield (</w:t>
      </w:r>
      <w:r w:rsidRPr="00753DD7">
        <w:rPr>
          <w:rFonts w:ascii="Arial" w:eastAsia="Times New Roman" w:hAnsi="Arial" w:cs="Arial"/>
          <w:kern w:val="0"/>
          <w:sz w:val="20"/>
          <w:szCs w:val="20"/>
          <w:highlight w:val="yellow"/>
          <w:lang w:eastAsia="en-IN"/>
          <w14:ligatures w14:val="none"/>
        </w:rPr>
        <w:t>Rather</w:t>
      </w:r>
      <w:r w:rsidRPr="00753DD7">
        <w:rPr>
          <w:rFonts w:ascii="Arial" w:hAnsi="Arial" w:cs="Arial"/>
          <w:sz w:val="20"/>
          <w:szCs w:val="20"/>
          <w:highlight w:val="yellow"/>
        </w:rPr>
        <w:t xml:space="preserve"> et al</w:t>
      </w:r>
      <w:r w:rsidRPr="00753DD7">
        <w:rPr>
          <w:rFonts w:ascii="Arial" w:hAnsi="Arial" w:cs="Arial"/>
          <w:i/>
          <w:iCs/>
          <w:sz w:val="20"/>
          <w:szCs w:val="20"/>
          <w:highlight w:val="yellow"/>
        </w:rPr>
        <w:t>.,</w:t>
      </w:r>
      <w:r w:rsidRPr="00753DD7">
        <w:rPr>
          <w:rFonts w:ascii="Arial" w:hAnsi="Arial" w:cs="Arial"/>
          <w:sz w:val="20"/>
          <w:szCs w:val="20"/>
          <w:highlight w:val="yellow"/>
        </w:rPr>
        <w:t xml:space="preserve"> 2022). </w:t>
      </w:r>
      <w:r w:rsidRPr="00DC6FE5">
        <w:rPr>
          <w:rFonts w:ascii="Arial" w:hAnsi="Arial" w:cs="Arial"/>
          <w:sz w:val="20"/>
          <w:szCs w:val="20"/>
        </w:rPr>
        <w:t xml:space="preserve">These nurseries also contribute to biodiversity conservation by cultivating and preserving rare and endangered medicinal plants. Furthermore, they supply raw materials to the herbal industry, promoting sustainable farming practices and boosting </w:t>
      </w:r>
      <w:r w:rsidRPr="00753DD7">
        <w:rPr>
          <w:rFonts w:ascii="Arial" w:hAnsi="Arial" w:cs="Arial"/>
          <w:sz w:val="20"/>
          <w:szCs w:val="20"/>
          <w:highlight w:val="yellow"/>
        </w:rPr>
        <w:t>rural economies (Chandra &amp;</w:t>
      </w:r>
      <w:r w:rsidRPr="00753DD7">
        <w:rPr>
          <w:rFonts w:ascii="Arial" w:hAnsi="Arial" w:cs="Arial"/>
          <w:color w:val="222222"/>
          <w:sz w:val="20"/>
          <w:szCs w:val="20"/>
          <w:highlight w:val="yellow"/>
          <w:shd w:val="clear" w:color="auto" w:fill="FFFFFF"/>
        </w:rPr>
        <w:t xml:space="preserve"> </w:t>
      </w:r>
      <w:r w:rsidRPr="00753DD7">
        <w:rPr>
          <w:rFonts w:ascii="Arial" w:hAnsi="Arial" w:cs="Arial"/>
          <w:sz w:val="20"/>
          <w:szCs w:val="20"/>
          <w:highlight w:val="yellow"/>
        </w:rPr>
        <w:t xml:space="preserve">Kumar, 2021). </w:t>
      </w:r>
      <w:r w:rsidRPr="00DC6FE5">
        <w:rPr>
          <w:rFonts w:ascii="Arial" w:hAnsi="Arial" w:cs="Arial"/>
          <w:sz w:val="20"/>
          <w:szCs w:val="20"/>
        </w:rPr>
        <w:t xml:space="preserve">Forest plant nurseries, on the other hand, focus on producing tree and shrub seedlings for afforestation, reforestation, and landscaping projects. These nurseries play a vital role in environmental conservation by growing native, drought-resistant, and climate-adapted tree species. Common species raised in forest nurseries include teak, mahogany, eucalyptus, neem, bamboo, </w:t>
      </w:r>
      <w:r w:rsidRPr="00753DD7">
        <w:rPr>
          <w:rFonts w:ascii="Arial" w:hAnsi="Arial" w:cs="Arial"/>
          <w:sz w:val="20"/>
          <w:szCs w:val="20"/>
          <w:highlight w:val="yellow"/>
        </w:rPr>
        <w:t xml:space="preserve">and acacia. The seedlings are produced through direct sowing, cuttings, or containerized seedling production (Lal &amp; Singh, 2017).  </w:t>
      </w:r>
      <w:r>
        <w:rPr>
          <w:rFonts w:ascii="Arial" w:hAnsi="Arial" w:cs="Arial"/>
          <w:sz w:val="20"/>
          <w:szCs w:val="20"/>
        </w:rPr>
        <w:t>F</w:t>
      </w:r>
      <w:r w:rsidRPr="00DC6FE5">
        <w:rPr>
          <w:rFonts w:ascii="Arial" w:hAnsi="Arial" w:cs="Arial"/>
          <w:sz w:val="20"/>
          <w:szCs w:val="20"/>
        </w:rPr>
        <w:t>orest nurseries are critical for ecosystem restoration, providing seedlings for rehabilitating degraded land, controlling soil erosion, and managing watersheds</w:t>
      </w:r>
      <w:r w:rsidRPr="00753DD7">
        <w:rPr>
          <w:rFonts w:ascii="Arial" w:hAnsi="Arial" w:cs="Arial"/>
          <w:sz w:val="20"/>
          <w:szCs w:val="20"/>
          <w:highlight w:val="yellow"/>
        </w:rPr>
        <w:t>. They also support carbon sequestration programs, which contribute to climate change mitigation efforts (</w:t>
      </w:r>
      <w:r w:rsidRPr="00753DD7">
        <w:rPr>
          <w:rFonts w:ascii="Arial" w:eastAsia="Times New Roman" w:hAnsi="Arial" w:cs="Arial"/>
          <w:kern w:val="0"/>
          <w:sz w:val="20"/>
          <w:szCs w:val="20"/>
          <w:highlight w:val="yellow"/>
          <w:lang w:eastAsia="en-IN"/>
          <w14:ligatures w14:val="none"/>
        </w:rPr>
        <w:t>Rather</w:t>
      </w:r>
      <w:r w:rsidRPr="00753DD7">
        <w:rPr>
          <w:rFonts w:ascii="Arial" w:hAnsi="Arial" w:cs="Arial"/>
          <w:sz w:val="20"/>
          <w:szCs w:val="20"/>
          <w:highlight w:val="yellow"/>
        </w:rPr>
        <w:t xml:space="preserve"> et al., 2022). </w:t>
      </w:r>
      <w:r w:rsidRPr="00DC6FE5">
        <w:rPr>
          <w:rFonts w:ascii="Arial" w:hAnsi="Arial" w:cs="Arial"/>
          <w:sz w:val="20"/>
          <w:szCs w:val="20"/>
        </w:rPr>
        <w:t>Additionally, forest nurseries often collaborate with government reforestation initiatives by supplying planting material for large-scale plantation drives. Their role in urban forestry is also significant, as they provide saplings for roadside plantations and urban green spaces.</w:t>
      </w:r>
    </w:p>
    <w:p w14:paraId="3527DCE9" w14:textId="77777777" w:rsidR="00400DE6" w:rsidRPr="00DC6FE5" w:rsidRDefault="00400DE6" w:rsidP="00400DE6">
      <w:pPr>
        <w:spacing w:line="240" w:lineRule="auto"/>
        <w:jc w:val="both"/>
        <w:rPr>
          <w:rFonts w:ascii="Arial" w:hAnsi="Arial" w:cs="Arial"/>
          <w:sz w:val="20"/>
          <w:szCs w:val="20"/>
        </w:rPr>
      </w:pPr>
    </w:p>
    <w:p w14:paraId="5552AF49" w14:textId="05E6BB59" w:rsidR="00400DE6" w:rsidRDefault="00400DE6" w:rsidP="00400DE6">
      <w:pPr>
        <w:pStyle w:val="ListParagraph"/>
        <w:numPr>
          <w:ilvl w:val="0"/>
          <w:numId w:val="4"/>
        </w:numPr>
        <w:spacing w:line="240" w:lineRule="auto"/>
        <w:jc w:val="both"/>
        <w:rPr>
          <w:rFonts w:ascii="Arial" w:hAnsi="Arial" w:cs="Arial"/>
          <w:b/>
          <w:bCs/>
          <w:sz w:val="24"/>
          <w:szCs w:val="20"/>
        </w:rPr>
      </w:pPr>
      <w:r w:rsidRPr="009E1333">
        <w:rPr>
          <w:rFonts w:ascii="Arial" w:hAnsi="Arial" w:cs="Arial"/>
          <w:b/>
          <w:bCs/>
          <w:sz w:val="24"/>
          <w:szCs w:val="20"/>
        </w:rPr>
        <w:t>MAJOR DISEASES AND MANAGEMENT</w:t>
      </w:r>
    </w:p>
    <w:p w14:paraId="601B58C9" w14:textId="77777777" w:rsidR="00400DE6" w:rsidRPr="009E1333" w:rsidRDefault="00400DE6" w:rsidP="00400DE6">
      <w:pPr>
        <w:spacing w:line="240" w:lineRule="auto"/>
        <w:jc w:val="both"/>
        <w:rPr>
          <w:rFonts w:ascii="Arial" w:hAnsi="Arial" w:cs="Arial"/>
          <w:b/>
          <w:bCs/>
          <w:szCs w:val="20"/>
        </w:rPr>
      </w:pPr>
      <w:r w:rsidRPr="009E1333">
        <w:rPr>
          <w:rFonts w:ascii="Arial" w:hAnsi="Arial" w:cs="Arial"/>
          <w:b/>
          <w:bCs/>
          <w:szCs w:val="20"/>
        </w:rPr>
        <w:t xml:space="preserve">3.1 Powdery mildew </w:t>
      </w:r>
    </w:p>
    <w:p w14:paraId="142A0BFC" w14:textId="77777777" w:rsidR="00400DE6" w:rsidRDefault="00400DE6" w:rsidP="00400DE6">
      <w:pPr>
        <w:spacing w:line="240" w:lineRule="auto"/>
        <w:jc w:val="both"/>
        <w:rPr>
          <w:rFonts w:ascii="Arial" w:hAnsi="Arial" w:cs="Arial"/>
          <w:sz w:val="20"/>
          <w:szCs w:val="20"/>
        </w:rPr>
      </w:pPr>
      <w:r w:rsidRPr="009E1333">
        <w:rPr>
          <w:rFonts w:ascii="Arial" w:hAnsi="Arial" w:cs="Arial"/>
          <w:sz w:val="20"/>
          <w:szCs w:val="20"/>
        </w:rPr>
        <w:t>Powdery mildew is a significant fungal disease that poses a major threat to floral nurseries in Kerala, India, particularly impacting the cultivation of ornamental plants</w:t>
      </w:r>
      <w:r>
        <w:rPr>
          <w:rFonts w:ascii="Arial" w:hAnsi="Arial" w:cs="Arial"/>
          <w:sz w:val="20"/>
          <w:szCs w:val="20"/>
        </w:rPr>
        <w:t xml:space="preserve"> (Fig. 1)</w:t>
      </w:r>
      <w:r w:rsidRPr="009E1333">
        <w:rPr>
          <w:rFonts w:ascii="Arial" w:hAnsi="Arial" w:cs="Arial"/>
          <w:sz w:val="20"/>
          <w:szCs w:val="20"/>
        </w:rPr>
        <w:t xml:space="preserve">. This disease is caused by various species from the </w:t>
      </w:r>
      <w:proofErr w:type="spellStart"/>
      <w:r w:rsidRPr="00804FE2">
        <w:rPr>
          <w:rFonts w:ascii="Arial" w:hAnsi="Arial" w:cs="Arial"/>
          <w:i/>
          <w:sz w:val="20"/>
          <w:szCs w:val="20"/>
        </w:rPr>
        <w:t>Erysiphaceae</w:t>
      </w:r>
      <w:proofErr w:type="spellEnd"/>
      <w:r w:rsidRPr="009E1333">
        <w:rPr>
          <w:rFonts w:ascii="Arial" w:hAnsi="Arial" w:cs="Arial"/>
          <w:sz w:val="20"/>
          <w:szCs w:val="20"/>
        </w:rPr>
        <w:t xml:space="preserve"> family, with </w:t>
      </w:r>
      <w:proofErr w:type="spellStart"/>
      <w:r w:rsidRPr="00804FE2">
        <w:rPr>
          <w:rFonts w:ascii="Arial" w:hAnsi="Arial" w:cs="Arial"/>
          <w:i/>
          <w:sz w:val="20"/>
          <w:szCs w:val="20"/>
        </w:rPr>
        <w:t>Oidium</w:t>
      </w:r>
      <w:proofErr w:type="spellEnd"/>
      <w:r w:rsidRPr="009E1333">
        <w:rPr>
          <w:rFonts w:ascii="Arial" w:hAnsi="Arial" w:cs="Arial"/>
          <w:sz w:val="20"/>
          <w:szCs w:val="20"/>
        </w:rPr>
        <w:t xml:space="preserve"> and </w:t>
      </w:r>
      <w:r w:rsidRPr="00804FE2">
        <w:rPr>
          <w:rFonts w:ascii="Arial" w:hAnsi="Arial" w:cs="Arial"/>
          <w:i/>
          <w:sz w:val="20"/>
          <w:szCs w:val="20"/>
        </w:rPr>
        <w:t>Erysiphe</w:t>
      </w:r>
      <w:r w:rsidRPr="009E1333">
        <w:rPr>
          <w:rFonts w:ascii="Arial" w:hAnsi="Arial" w:cs="Arial"/>
          <w:sz w:val="20"/>
          <w:szCs w:val="20"/>
        </w:rPr>
        <w:t xml:space="preserve"> being the most common genera responsible for infections in Kerala's tropical climate. The region's warm and humid conditions, densely planted crops, and poor ventilation create an ideal environment for the rapid spread of this pathogen. Floral crops such as roses, gerberas, marigolds, and chrysanthemums are especially vulnerable to infection. Infected plants display characteristic white, powdery spots on their leaves, stems, and flower buds, which can lead to stunted growth, decreased aesthetic appeal, and lower marketability. Farmers and nursery owners in Kerala often employ integrated disease management practices to combat this issue. These include the use of bio-fungicides, </w:t>
      </w:r>
      <w:proofErr w:type="spellStart"/>
      <w:r w:rsidRPr="009E1333">
        <w:rPr>
          <w:rFonts w:ascii="Arial" w:hAnsi="Arial" w:cs="Arial"/>
          <w:sz w:val="20"/>
          <w:szCs w:val="20"/>
        </w:rPr>
        <w:t>sulfur</w:t>
      </w:r>
      <w:proofErr w:type="spellEnd"/>
      <w:r w:rsidRPr="009E1333">
        <w:rPr>
          <w:rFonts w:ascii="Arial" w:hAnsi="Arial" w:cs="Arial"/>
          <w:sz w:val="20"/>
          <w:szCs w:val="20"/>
        </w:rPr>
        <w:t xml:space="preserve"> dusting, and resistant plant varieties. Research has indicated that botanical extracts from plants like neem (</w:t>
      </w:r>
      <w:proofErr w:type="spellStart"/>
      <w:r w:rsidRPr="00753DD7">
        <w:rPr>
          <w:rFonts w:ascii="Arial" w:hAnsi="Arial" w:cs="Arial"/>
          <w:i/>
          <w:sz w:val="20"/>
          <w:szCs w:val="20"/>
          <w:highlight w:val="yellow"/>
        </w:rPr>
        <w:t>Azadirachta</w:t>
      </w:r>
      <w:proofErr w:type="spellEnd"/>
      <w:r w:rsidRPr="00753DD7">
        <w:rPr>
          <w:rFonts w:ascii="Arial" w:hAnsi="Arial" w:cs="Arial"/>
          <w:i/>
          <w:sz w:val="20"/>
          <w:szCs w:val="20"/>
          <w:highlight w:val="yellow"/>
        </w:rPr>
        <w:t xml:space="preserve"> </w:t>
      </w:r>
      <w:proofErr w:type="spellStart"/>
      <w:r w:rsidRPr="00753DD7">
        <w:rPr>
          <w:rFonts w:ascii="Arial" w:hAnsi="Arial" w:cs="Arial"/>
          <w:i/>
          <w:sz w:val="20"/>
          <w:szCs w:val="20"/>
          <w:highlight w:val="yellow"/>
        </w:rPr>
        <w:t>indica</w:t>
      </w:r>
      <w:proofErr w:type="spellEnd"/>
      <w:r w:rsidRPr="009E1333">
        <w:rPr>
          <w:rFonts w:ascii="Arial" w:hAnsi="Arial" w:cs="Arial"/>
          <w:sz w:val="20"/>
          <w:szCs w:val="20"/>
        </w:rPr>
        <w:t>) and garlic (</w:t>
      </w:r>
      <w:r w:rsidRPr="00753DD7">
        <w:rPr>
          <w:rFonts w:ascii="Arial" w:hAnsi="Arial" w:cs="Arial"/>
          <w:i/>
          <w:sz w:val="20"/>
          <w:szCs w:val="20"/>
          <w:highlight w:val="yellow"/>
        </w:rPr>
        <w:t>Allium sativum</w:t>
      </w:r>
      <w:r w:rsidRPr="00753DD7">
        <w:rPr>
          <w:rFonts w:ascii="Arial" w:hAnsi="Arial" w:cs="Arial"/>
          <w:sz w:val="20"/>
          <w:szCs w:val="20"/>
        </w:rPr>
        <w:t>) possess antifungal properties and can be effectively used for eco-friendly disease control (</w:t>
      </w:r>
      <w:r w:rsidRPr="00753DD7">
        <w:rPr>
          <w:rFonts w:ascii="Arial" w:eastAsia="Times New Roman" w:hAnsi="Arial" w:cs="Arial"/>
          <w:bCs/>
          <w:kern w:val="0"/>
          <w:sz w:val="20"/>
          <w:szCs w:val="20"/>
          <w:lang w:eastAsia="en-IN"/>
          <w14:ligatures w14:val="none"/>
        </w:rPr>
        <w:t>Ahmed</w:t>
      </w:r>
      <w:r w:rsidRPr="00753DD7">
        <w:rPr>
          <w:rFonts w:ascii="Arial" w:hAnsi="Arial" w:cs="Arial"/>
          <w:bCs/>
          <w:i/>
          <w:iCs/>
          <w:sz w:val="20"/>
          <w:szCs w:val="20"/>
        </w:rPr>
        <w:t xml:space="preserve"> </w:t>
      </w:r>
      <w:r w:rsidRPr="00753DD7">
        <w:rPr>
          <w:rFonts w:ascii="Arial" w:hAnsi="Arial" w:cs="Arial"/>
          <w:bCs/>
          <w:sz w:val="20"/>
          <w:szCs w:val="20"/>
        </w:rPr>
        <w:t>et al.</w:t>
      </w:r>
      <w:r w:rsidRPr="00753DD7">
        <w:rPr>
          <w:rFonts w:ascii="Arial" w:hAnsi="Arial" w:cs="Arial"/>
          <w:bCs/>
          <w:i/>
          <w:iCs/>
          <w:sz w:val="20"/>
          <w:szCs w:val="20"/>
        </w:rPr>
        <w:t>,</w:t>
      </w:r>
      <w:r w:rsidRPr="00753DD7">
        <w:rPr>
          <w:rFonts w:ascii="Arial" w:hAnsi="Arial" w:cs="Arial"/>
          <w:bCs/>
          <w:sz w:val="20"/>
          <w:szCs w:val="20"/>
        </w:rPr>
        <w:t xml:space="preserve"> 2019</w:t>
      </w:r>
      <w:r w:rsidRPr="00753DD7">
        <w:rPr>
          <w:rFonts w:ascii="Arial" w:hAnsi="Arial" w:cs="Arial"/>
          <w:sz w:val="20"/>
          <w:szCs w:val="20"/>
        </w:rPr>
        <w:t>).</w:t>
      </w:r>
      <w:r w:rsidRPr="009E1333">
        <w:rPr>
          <w:rFonts w:ascii="Arial" w:hAnsi="Arial" w:cs="Arial"/>
          <w:sz w:val="20"/>
          <w:szCs w:val="20"/>
        </w:rPr>
        <w:t xml:space="preserve"> However, continuous monitoring and the adoption of preventive measures are essential to minimize losses in the region's floral nursery industry. However, </w:t>
      </w:r>
      <w:r w:rsidRPr="009E1333">
        <w:rPr>
          <w:rFonts w:ascii="Arial" w:hAnsi="Arial" w:cs="Arial"/>
          <w:sz w:val="20"/>
          <w:szCs w:val="20"/>
        </w:rPr>
        <w:lastRenderedPageBreak/>
        <w:t>continuous monitoring and the adoption of preventive measures are essential to minimize losses in the region's floral nursery industry.</w:t>
      </w:r>
    </w:p>
    <w:p w14:paraId="2C1A8AC7" w14:textId="77777777" w:rsidR="00400DE6" w:rsidRPr="009E1333" w:rsidRDefault="00400DE6" w:rsidP="00400DE6">
      <w:pPr>
        <w:spacing w:line="240" w:lineRule="auto"/>
        <w:jc w:val="center"/>
        <w:rPr>
          <w:rFonts w:ascii="Arial" w:hAnsi="Arial" w:cs="Arial"/>
          <w:sz w:val="20"/>
          <w:szCs w:val="20"/>
        </w:rPr>
      </w:pPr>
      <w:r w:rsidRPr="009E1333">
        <w:rPr>
          <w:rFonts w:ascii="Arial" w:hAnsi="Arial" w:cs="Arial"/>
          <w:noProof/>
          <w:sz w:val="20"/>
          <w:szCs w:val="20"/>
        </w:rPr>
        <w:drawing>
          <wp:inline distT="0" distB="0" distL="0" distR="0" wp14:anchorId="1A79E0BB" wp14:editId="50AF2758">
            <wp:extent cx="3759200" cy="2234029"/>
            <wp:effectExtent l="19050" t="19050" r="12700" b="13970"/>
            <wp:docPr id="1381079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79727" name="Picture 13810797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9200" cy="2234029"/>
                    </a:xfrm>
                    <a:prstGeom prst="rect">
                      <a:avLst/>
                    </a:prstGeom>
                    <a:ln w="3175">
                      <a:solidFill>
                        <a:schemeClr val="tx1"/>
                      </a:solidFill>
                    </a:ln>
                  </pic:spPr>
                </pic:pic>
              </a:graphicData>
            </a:graphic>
          </wp:inline>
        </w:drawing>
      </w:r>
    </w:p>
    <w:p w14:paraId="114AD208" w14:textId="7DDBD1AF" w:rsidR="00400DE6" w:rsidRPr="009E1333" w:rsidRDefault="00400DE6" w:rsidP="00400DE6">
      <w:pPr>
        <w:spacing w:line="240" w:lineRule="auto"/>
        <w:jc w:val="center"/>
        <w:rPr>
          <w:rFonts w:ascii="Arial" w:hAnsi="Arial" w:cs="Arial"/>
          <w:b/>
          <w:sz w:val="20"/>
          <w:szCs w:val="20"/>
        </w:rPr>
      </w:pPr>
      <w:r w:rsidRPr="009E1333">
        <w:rPr>
          <w:rFonts w:ascii="Arial" w:hAnsi="Arial" w:cs="Arial"/>
          <w:b/>
          <w:sz w:val="20"/>
          <w:szCs w:val="20"/>
        </w:rPr>
        <w:t>Fig</w:t>
      </w:r>
      <w:r>
        <w:rPr>
          <w:rFonts w:ascii="Arial" w:hAnsi="Arial" w:cs="Arial"/>
          <w:b/>
          <w:sz w:val="20"/>
          <w:szCs w:val="20"/>
        </w:rPr>
        <w:t xml:space="preserve">. </w:t>
      </w:r>
      <w:r w:rsidRPr="009E1333">
        <w:rPr>
          <w:rFonts w:ascii="Arial" w:hAnsi="Arial" w:cs="Arial"/>
          <w:b/>
          <w:sz w:val="20"/>
          <w:szCs w:val="20"/>
        </w:rPr>
        <w:t>1</w:t>
      </w:r>
      <w:r w:rsidR="009A0E8C">
        <w:rPr>
          <w:rFonts w:ascii="Arial" w:hAnsi="Arial" w:cs="Arial"/>
          <w:b/>
          <w:sz w:val="20"/>
          <w:szCs w:val="20"/>
        </w:rPr>
        <w:t>.</w:t>
      </w:r>
      <w:r w:rsidRPr="009E1333">
        <w:rPr>
          <w:rFonts w:ascii="Arial" w:hAnsi="Arial" w:cs="Arial"/>
          <w:b/>
          <w:sz w:val="20"/>
          <w:szCs w:val="20"/>
        </w:rPr>
        <w:t xml:space="preserve"> Powdery Mildew: A Persistent Threat to Kerala's Nurseries</w:t>
      </w:r>
    </w:p>
    <w:p w14:paraId="7E68394C" w14:textId="77777777" w:rsidR="00400DE6" w:rsidRDefault="00400DE6" w:rsidP="00400DE6">
      <w:pPr>
        <w:spacing w:line="240" w:lineRule="auto"/>
        <w:rPr>
          <w:rFonts w:ascii="Arial" w:hAnsi="Arial" w:cs="Arial"/>
          <w:b/>
          <w:bCs/>
          <w:sz w:val="20"/>
          <w:szCs w:val="20"/>
        </w:rPr>
      </w:pPr>
    </w:p>
    <w:p w14:paraId="7F6B01E1" w14:textId="77777777" w:rsidR="00400DE6" w:rsidRPr="009E1333" w:rsidRDefault="00400DE6" w:rsidP="00400DE6">
      <w:pPr>
        <w:spacing w:line="240" w:lineRule="auto"/>
        <w:rPr>
          <w:rFonts w:ascii="Arial" w:hAnsi="Arial" w:cs="Arial"/>
          <w:b/>
          <w:bCs/>
          <w:sz w:val="20"/>
          <w:szCs w:val="20"/>
        </w:rPr>
      </w:pPr>
      <w:r>
        <w:rPr>
          <w:rFonts w:ascii="Arial" w:hAnsi="Arial" w:cs="Arial"/>
          <w:b/>
          <w:bCs/>
          <w:sz w:val="20"/>
          <w:szCs w:val="20"/>
        </w:rPr>
        <w:t xml:space="preserve">3.2 </w:t>
      </w:r>
      <w:r w:rsidRPr="009E1333">
        <w:rPr>
          <w:rFonts w:ascii="Arial" w:hAnsi="Arial" w:cs="Arial"/>
          <w:b/>
          <w:bCs/>
          <w:sz w:val="20"/>
          <w:szCs w:val="20"/>
        </w:rPr>
        <w:t>Botrytis blight (</w:t>
      </w:r>
      <w:proofErr w:type="spellStart"/>
      <w:r w:rsidRPr="009E1333">
        <w:rPr>
          <w:rFonts w:ascii="Arial" w:hAnsi="Arial" w:cs="Arial"/>
          <w:b/>
          <w:bCs/>
          <w:sz w:val="20"/>
          <w:szCs w:val="20"/>
        </w:rPr>
        <w:t>gray</w:t>
      </w:r>
      <w:proofErr w:type="spellEnd"/>
      <w:r w:rsidRPr="009E1333">
        <w:rPr>
          <w:rFonts w:ascii="Arial" w:hAnsi="Arial" w:cs="Arial"/>
          <w:b/>
          <w:bCs/>
          <w:sz w:val="20"/>
          <w:szCs w:val="20"/>
        </w:rPr>
        <w:t xml:space="preserve"> </w:t>
      </w:r>
      <w:proofErr w:type="spellStart"/>
      <w:r w:rsidRPr="009E1333">
        <w:rPr>
          <w:rFonts w:ascii="Arial" w:hAnsi="Arial" w:cs="Arial"/>
          <w:b/>
          <w:bCs/>
          <w:sz w:val="20"/>
          <w:szCs w:val="20"/>
        </w:rPr>
        <w:t>mold</w:t>
      </w:r>
      <w:proofErr w:type="spellEnd"/>
      <w:r w:rsidRPr="009E1333">
        <w:rPr>
          <w:rFonts w:ascii="Arial" w:hAnsi="Arial" w:cs="Arial"/>
          <w:b/>
          <w:bCs/>
          <w:sz w:val="20"/>
          <w:szCs w:val="20"/>
        </w:rPr>
        <w:t>)</w:t>
      </w:r>
    </w:p>
    <w:p w14:paraId="47341CE2" w14:textId="1BAD1EE2" w:rsidR="00400DE6" w:rsidRPr="009A0E8C" w:rsidRDefault="00400DE6" w:rsidP="00400DE6">
      <w:pPr>
        <w:spacing w:line="240" w:lineRule="auto"/>
        <w:jc w:val="both"/>
        <w:rPr>
          <w:rFonts w:ascii="Arial" w:hAnsi="Arial" w:cs="Arial"/>
          <w:sz w:val="20"/>
          <w:szCs w:val="20"/>
        </w:rPr>
      </w:pPr>
      <w:r w:rsidRPr="009A0E8C">
        <w:rPr>
          <w:rFonts w:ascii="Arial" w:hAnsi="Arial" w:cs="Arial"/>
          <w:sz w:val="20"/>
          <w:szCs w:val="20"/>
        </w:rPr>
        <w:t xml:space="preserve">Botrytis blight, caused by the fungus Botrytis </w:t>
      </w:r>
      <w:proofErr w:type="spellStart"/>
      <w:r w:rsidRPr="009A0E8C">
        <w:rPr>
          <w:rFonts w:ascii="Arial" w:hAnsi="Arial" w:cs="Arial"/>
          <w:sz w:val="20"/>
          <w:szCs w:val="20"/>
        </w:rPr>
        <w:t>cinerea</w:t>
      </w:r>
      <w:proofErr w:type="spellEnd"/>
      <w:r w:rsidRPr="009A0E8C">
        <w:rPr>
          <w:rFonts w:ascii="Arial" w:hAnsi="Arial" w:cs="Arial"/>
          <w:sz w:val="20"/>
          <w:szCs w:val="20"/>
        </w:rPr>
        <w:t xml:space="preserve">, is a significant problem for floral nurseries in Kerala, posing a serious threat to ornamental plants. The region's humid and warm climate creates ideal conditions for the proliferation of this fungus, leading to symptoms such as </w:t>
      </w:r>
      <w:proofErr w:type="spellStart"/>
      <w:r w:rsidRPr="009A0E8C">
        <w:rPr>
          <w:rFonts w:ascii="Arial" w:hAnsi="Arial" w:cs="Arial"/>
          <w:sz w:val="20"/>
          <w:szCs w:val="20"/>
        </w:rPr>
        <w:t>gray</w:t>
      </w:r>
      <w:proofErr w:type="spellEnd"/>
      <w:r w:rsidRPr="009A0E8C">
        <w:rPr>
          <w:rFonts w:ascii="Arial" w:hAnsi="Arial" w:cs="Arial"/>
          <w:sz w:val="20"/>
          <w:szCs w:val="20"/>
        </w:rPr>
        <w:t xml:space="preserve"> </w:t>
      </w:r>
      <w:proofErr w:type="spellStart"/>
      <w:r w:rsidRPr="009A0E8C">
        <w:rPr>
          <w:rFonts w:ascii="Arial" w:hAnsi="Arial" w:cs="Arial"/>
          <w:sz w:val="20"/>
          <w:szCs w:val="20"/>
        </w:rPr>
        <w:t>mold</w:t>
      </w:r>
      <w:proofErr w:type="spellEnd"/>
      <w:r w:rsidRPr="009A0E8C">
        <w:rPr>
          <w:rFonts w:ascii="Arial" w:hAnsi="Arial" w:cs="Arial"/>
          <w:sz w:val="20"/>
          <w:szCs w:val="20"/>
        </w:rPr>
        <w:t>, necrotic lesions, and wilting of petals and leaves. Floral crops, including roses, gerberas, and carnations, are particularly vulnerable. Research indicates that the pathogen spreads rapidly in densely packed nurseries, especially under conditions of high humidity and poor ventilation, which are common in Kerala's coastal and tropical environments (</w:t>
      </w:r>
      <w:r w:rsidRPr="009A0E8C">
        <w:rPr>
          <w:rFonts w:ascii="Arial" w:eastAsia="Times New Roman" w:hAnsi="Arial" w:cs="Arial"/>
          <w:kern w:val="0"/>
          <w:sz w:val="20"/>
          <w:szCs w:val="20"/>
          <w:lang w:eastAsia="en-IN"/>
          <w14:ligatures w14:val="none"/>
        </w:rPr>
        <w:t>Priya</w:t>
      </w:r>
      <w:r w:rsidRPr="009A0E8C">
        <w:rPr>
          <w:rFonts w:ascii="Arial" w:hAnsi="Arial" w:cs="Arial"/>
          <w:sz w:val="20"/>
          <w:szCs w:val="20"/>
        </w:rPr>
        <w:t xml:space="preserve"> et al., 2012). The economic impact is substantial, as infected plants experience reduced aesthetic value and marketability. Effective management strategies include cultural practices such as proper spacing, enhanced ventilation, and humidity control, along with the application of fungicides and biocontrol agents</w:t>
      </w:r>
      <w:r w:rsidR="009A0E8C" w:rsidRPr="009A0E8C">
        <w:rPr>
          <w:rFonts w:ascii="Arial" w:hAnsi="Arial" w:cs="Arial"/>
          <w:sz w:val="20"/>
          <w:szCs w:val="20"/>
        </w:rPr>
        <w:t xml:space="preserve"> (Fig. 2)</w:t>
      </w:r>
      <w:r w:rsidRPr="009A0E8C">
        <w:rPr>
          <w:rFonts w:ascii="Arial" w:hAnsi="Arial" w:cs="Arial"/>
          <w:sz w:val="20"/>
          <w:szCs w:val="20"/>
        </w:rPr>
        <w:t>. However, the development of resistance to chemical treatments remains a challenge, highlighting the need for integrated disease management approaches (</w:t>
      </w:r>
      <w:r w:rsidRPr="009A0E8C">
        <w:rPr>
          <w:rFonts w:ascii="Arial" w:eastAsia="Times New Roman" w:hAnsi="Arial" w:cs="Arial"/>
          <w:kern w:val="0"/>
          <w:sz w:val="20"/>
          <w:szCs w:val="20"/>
          <w:lang w:eastAsia="en-IN"/>
          <w14:ligatures w14:val="none"/>
        </w:rPr>
        <w:t>Walters</w:t>
      </w:r>
      <w:r w:rsidRPr="009A0E8C">
        <w:rPr>
          <w:rFonts w:ascii="Arial" w:hAnsi="Arial" w:cs="Arial"/>
          <w:sz w:val="20"/>
          <w:szCs w:val="20"/>
        </w:rPr>
        <w:t xml:space="preserve"> et al., 2012)</w:t>
      </w:r>
      <w:r w:rsidR="00804FE2" w:rsidRPr="009A0E8C">
        <w:rPr>
          <w:rFonts w:ascii="Arial" w:hAnsi="Arial" w:cs="Arial"/>
          <w:sz w:val="20"/>
          <w:szCs w:val="20"/>
        </w:rPr>
        <w:t>.</w:t>
      </w:r>
    </w:p>
    <w:p w14:paraId="3544E597" w14:textId="77777777" w:rsidR="00400DE6" w:rsidRPr="009E1333" w:rsidRDefault="00400DE6" w:rsidP="00400DE6">
      <w:pPr>
        <w:spacing w:line="240" w:lineRule="auto"/>
        <w:jc w:val="center"/>
        <w:rPr>
          <w:rFonts w:ascii="Arial" w:hAnsi="Arial" w:cs="Arial"/>
          <w:sz w:val="20"/>
          <w:szCs w:val="20"/>
        </w:rPr>
      </w:pPr>
      <w:r w:rsidRPr="009E1333">
        <w:rPr>
          <w:rFonts w:ascii="Arial" w:hAnsi="Arial" w:cs="Arial"/>
          <w:noProof/>
          <w:sz w:val="20"/>
          <w:szCs w:val="20"/>
        </w:rPr>
        <w:drawing>
          <wp:inline distT="0" distB="0" distL="0" distR="0" wp14:anchorId="6A854AC2" wp14:editId="735BCD73">
            <wp:extent cx="4540250" cy="2309670"/>
            <wp:effectExtent l="19050" t="19050" r="12700" b="14605"/>
            <wp:docPr id="54272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2090" name="Picture 54272090"/>
                    <pic:cNvPicPr/>
                  </pic:nvPicPr>
                  <pic:blipFill>
                    <a:blip r:embed="rId8">
                      <a:extLst>
                        <a:ext uri="{28A0092B-C50C-407E-A947-70E740481C1C}">
                          <a14:useLocalDpi xmlns:a14="http://schemas.microsoft.com/office/drawing/2010/main" val="0"/>
                        </a:ext>
                      </a:extLst>
                    </a:blip>
                    <a:stretch>
                      <a:fillRect/>
                    </a:stretch>
                  </pic:blipFill>
                  <pic:spPr>
                    <a:xfrm>
                      <a:off x="0" y="0"/>
                      <a:ext cx="4551232" cy="2315256"/>
                    </a:xfrm>
                    <a:prstGeom prst="rect">
                      <a:avLst/>
                    </a:prstGeom>
                    <a:ln w="3175">
                      <a:solidFill>
                        <a:schemeClr val="tx1"/>
                      </a:solidFill>
                    </a:ln>
                  </pic:spPr>
                </pic:pic>
              </a:graphicData>
            </a:graphic>
          </wp:inline>
        </w:drawing>
      </w:r>
    </w:p>
    <w:p w14:paraId="2F28A361" w14:textId="77777777" w:rsidR="00400DE6" w:rsidRPr="009E1333" w:rsidRDefault="00400DE6" w:rsidP="00400DE6">
      <w:pPr>
        <w:spacing w:before="100" w:beforeAutospacing="1" w:after="100" w:afterAutospacing="1" w:line="240" w:lineRule="auto"/>
        <w:jc w:val="center"/>
        <w:rPr>
          <w:rFonts w:ascii="Arial" w:eastAsia="Times New Roman" w:hAnsi="Arial" w:cs="Arial"/>
          <w:b/>
          <w:kern w:val="0"/>
          <w:sz w:val="20"/>
          <w:szCs w:val="20"/>
          <w:lang w:eastAsia="en-IN"/>
          <w14:ligatures w14:val="none"/>
        </w:rPr>
      </w:pPr>
      <w:r w:rsidRPr="009E1333">
        <w:rPr>
          <w:rFonts w:ascii="Arial" w:hAnsi="Arial" w:cs="Arial"/>
          <w:b/>
          <w:sz w:val="20"/>
          <w:szCs w:val="20"/>
        </w:rPr>
        <w:t>Fig</w:t>
      </w:r>
      <w:r>
        <w:rPr>
          <w:rFonts w:ascii="Arial" w:hAnsi="Arial" w:cs="Arial"/>
          <w:b/>
          <w:sz w:val="20"/>
          <w:szCs w:val="20"/>
        </w:rPr>
        <w:t xml:space="preserve">. </w:t>
      </w:r>
      <w:r w:rsidRPr="009E1333">
        <w:rPr>
          <w:rFonts w:ascii="Arial" w:hAnsi="Arial" w:cs="Arial"/>
          <w:b/>
          <w:sz w:val="20"/>
          <w:szCs w:val="20"/>
        </w:rPr>
        <w:t>2</w:t>
      </w:r>
      <w:r>
        <w:rPr>
          <w:rFonts w:ascii="Arial" w:hAnsi="Arial" w:cs="Arial"/>
          <w:b/>
          <w:sz w:val="20"/>
          <w:szCs w:val="20"/>
        </w:rPr>
        <w:t>:</w:t>
      </w:r>
      <w:r w:rsidRPr="009E1333">
        <w:rPr>
          <w:rFonts w:ascii="Arial" w:hAnsi="Arial" w:cs="Arial"/>
          <w:b/>
          <w:sz w:val="20"/>
          <w:szCs w:val="20"/>
        </w:rPr>
        <w:t xml:space="preserve"> </w:t>
      </w:r>
      <w:r w:rsidRPr="009E1333">
        <w:rPr>
          <w:rFonts w:ascii="Arial" w:eastAsia="Times New Roman" w:hAnsi="Arial" w:cs="Arial"/>
          <w:b/>
          <w:kern w:val="0"/>
          <w:sz w:val="20"/>
          <w:szCs w:val="20"/>
          <w:lang w:eastAsia="en-IN"/>
          <w14:ligatures w14:val="none"/>
        </w:rPr>
        <w:t>Botrytis Blight: A Growing Threat to Floral Nurseries in Kerala:</w:t>
      </w:r>
    </w:p>
    <w:p w14:paraId="45108BB1" w14:textId="77777777" w:rsidR="00400DE6" w:rsidRDefault="00400DE6" w:rsidP="00400DE6">
      <w:pPr>
        <w:spacing w:line="240" w:lineRule="auto"/>
        <w:rPr>
          <w:rFonts w:ascii="Arial" w:hAnsi="Arial" w:cs="Arial"/>
          <w:b/>
          <w:bCs/>
          <w:sz w:val="20"/>
          <w:szCs w:val="20"/>
        </w:rPr>
      </w:pPr>
    </w:p>
    <w:p w14:paraId="26CBDBC5" w14:textId="77777777" w:rsidR="00400DE6" w:rsidRPr="009E1333" w:rsidRDefault="00400DE6" w:rsidP="00400DE6">
      <w:pPr>
        <w:spacing w:line="240" w:lineRule="auto"/>
        <w:rPr>
          <w:rFonts w:ascii="Arial" w:hAnsi="Arial" w:cs="Arial"/>
          <w:sz w:val="20"/>
          <w:szCs w:val="20"/>
        </w:rPr>
      </w:pPr>
      <w:r>
        <w:rPr>
          <w:rFonts w:ascii="Arial" w:hAnsi="Arial" w:cs="Arial"/>
          <w:b/>
          <w:bCs/>
          <w:sz w:val="20"/>
          <w:szCs w:val="20"/>
        </w:rPr>
        <w:t xml:space="preserve">3.3 </w:t>
      </w:r>
      <w:r w:rsidRPr="009E1333">
        <w:rPr>
          <w:rFonts w:ascii="Arial" w:hAnsi="Arial" w:cs="Arial"/>
          <w:b/>
          <w:bCs/>
          <w:sz w:val="20"/>
          <w:szCs w:val="20"/>
        </w:rPr>
        <w:t>Leaf spot disease</w:t>
      </w:r>
    </w:p>
    <w:p w14:paraId="75BADF91" w14:textId="12FF1ED0" w:rsidR="00400DE6" w:rsidRPr="00804FE2" w:rsidRDefault="00400DE6" w:rsidP="00400DE6">
      <w:pPr>
        <w:spacing w:line="240" w:lineRule="auto"/>
        <w:jc w:val="both"/>
        <w:rPr>
          <w:rFonts w:ascii="Arial" w:hAnsi="Arial" w:cs="Arial"/>
          <w:sz w:val="20"/>
          <w:szCs w:val="20"/>
        </w:rPr>
      </w:pPr>
      <w:r w:rsidRPr="00804FE2">
        <w:rPr>
          <w:rFonts w:ascii="Arial" w:hAnsi="Arial" w:cs="Arial"/>
          <w:sz w:val="20"/>
          <w:szCs w:val="20"/>
        </w:rPr>
        <w:lastRenderedPageBreak/>
        <w:t xml:space="preserve">Leaf spot disease poses a significant challenge for floral nurseries, caused by fungal pathogens such as </w:t>
      </w:r>
      <w:proofErr w:type="spellStart"/>
      <w:r w:rsidRPr="00804FE2">
        <w:rPr>
          <w:rFonts w:ascii="Arial" w:hAnsi="Arial" w:cs="Arial"/>
          <w:i/>
          <w:sz w:val="20"/>
          <w:szCs w:val="20"/>
        </w:rPr>
        <w:t>Cercospora</w:t>
      </w:r>
      <w:proofErr w:type="spellEnd"/>
      <w:r w:rsidRPr="00804FE2">
        <w:rPr>
          <w:rFonts w:ascii="Arial" w:hAnsi="Arial" w:cs="Arial"/>
          <w:i/>
          <w:sz w:val="20"/>
          <w:szCs w:val="20"/>
        </w:rPr>
        <w:t xml:space="preserve"> spp., Alternaria spp., </w:t>
      </w:r>
      <w:r w:rsidRPr="00804FE2">
        <w:rPr>
          <w:rFonts w:ascii="Arial" w:hAnsi="Arial" w:cs="Arial"/>
          <w:sz w:val="20"/>
          <w:szCs w:val="20"/>
        </w:rPr>
        <w:t>and</w:t>
      </w:r>
      <w:r w:rsidRPr="00804FE2">
        <w:rPr>
          <w:rFonts w:ascii="Arial" w:hAnsi="Arial" w:cs="Arial"/>
          <w:i/>
          <w:sz w:val="20"/>
          <w:szCs w:val="20"/>
        </w:rPr>
        <w:t xml:space="preserve"> Colletotrichum spp</w:t>
      </w:r>
      <w:r w:rsidRPr="00804FE2">
        <w:rPr>
          <w:rFonts w:ascii="Arial" w:hAnsi="Arial" w:cs="Arial"/>
          <w:sz w:val="20"/>
          <w:szCs w:val="20"/>
        </w:rPr>
        <w:t>. (</w:t>
      </w:r>
      <w:proofErr w:type="spellStart"/>
      <w:r w:rsidRPr="00804FE2">
        <w:rPr>
          <w:rFonts w:ascii="Arial" w:hAnsi="Arial" w:cs="Arial"/>
          <w:sz w:val="20"/>
          <w:szCs w:val="20"/>
        </w:rPr>
        <w:t>Rajan</w:t>
      </w:r>
      <w:proofErr w:type="spellEnd"/>
      <w:r w:rsidRPr="00804FE2">
        <w:rPr>
          <w:rFonts w:ascii="Arial" w:hAnsi="Arial" w:cs="Arial"/>
          <w:sz w:val="20"/>
          <w:szCs w:val="20"/>
        </w:rPr>
        <w:t xml:space="preserve"> </w:t>
      </w:r>
      <w:r w:rsidRPr="00804FE2">
        <w:rPr>
          <w:rFonts w:ascii="Arial" w:hAnsi="Arial" w:cs="Arial"/>
          <w:i/>
          <w:iCs/>
          <w:sz w:val="20"/>
          <w:szCs w:val="20"/>
        </w:rPr>
        <w:t>et al.,</w:t>
      </w:r>
      <w:r w:rsidRPr="00804FE2">
        <w:rPr>
          <w:rFonts w:ascii="Arial" w:hAnsi="Arial" w:cs="Arial"/>
          <w:sz w:val="20"/>
          <w:szCs w:val="20"/>
        </w:rPr>
        <w:t xml:space="preserve"> 2020). These fungi thrive in Kerala's humid tropical climate, especially during the monsoon season, when rainfall and high humidity (70–90%) create ideal conditions for infection and spread (Prasad </w:t>
      </w:r>
      <w:r w:rsidRPr="00804FE2">
        <w:rPr>
          <w:rFonts w:ascii="Arial" w:hAnsi="Arial" w:cs="Arial"/>
          <w:i/>
          <w:iCs/>
          <w:sz w:val="20"/>
          <w:szCs w:val="20"/>
        </w:rPr>
        <w:t>et al.,</w:t>
      </w:r>
      <w:r w:rsidRPr="00804FE2">
        <w:rPr>
          <w:rFonts w:ascii="Arial" w:hAnsi="Arial" w:cs="Arial"/>
          <w:sz w:val="20"/>
          <w:szCs w:val="20"/>
        </w:rPr>
        <w:t xml:space="preserve"> 2021). The disease is characterized by small, circular, or irregularly shaped spots on the leaves, which gradually enlarge and develop necrotic centers surrounded by yellow halos. Over time, severe infections can lead to leaf yellowing, curling, and premature defoliation, significantly reducing ornamental plants' aesthetic appeal and marketability. Commonly affected floral crops in Kerala include roses, chrysanthemums, and marigolds, where leaf spot can result in stunted growth and diminished flowering capacity (Pal &amp; Chakravarthy</w:t>
      </w:r>
      <w:r w:rsidRPr="00804FE2">
        <w:rPr>
          <w:rFonts w:ascii="Arial" w:hAnsi="Arial" w:cs="Arial"/>
          <w:i/>
          <w:iCs/>
          <w:sz w:val="20"/>
          <w:szCs w:val="20"/>
        </w:rPr>
        <w:t>,</w:t>
      </w:r>
      <w:r w:rsidRPr="00804FE2">
        <w:rPr>
          <w:rFonts w:ascii="Arial" w:hAnsi="Arial" w:cs="Arial"/>
          <w:sz w:val="20"/>
          <w:szCs w:val="20"/>
        </w:rPr>
        <w:t xml:space="preserve"> 2019). The disease spreads through wind, rain splashes, and contaminated tools, making control difficult in densely packed nurseries. Effective management strategies include cultural practices such as maintaining proper spacing, improving air circulation, and removing infected leaves</w:t>
      </w:r>
      <w:r w:rsidR="009A0E8C">
        <w:rPr>
          <w:rFonts w:ascii="Arial" w:hAnsi="Arial" w:cs="Arial"/>
          <w:sz w:val="20"/>
          <w:szCs w:val="20"/>
        </w:rPr>
        <w:t xml:space="preserve"> (Fig. 3)</w:t>
      </w:r>
      <w:r w:rsidRPr="00804FE2">
        <w:rPr>
          <w:rFonts w:ascii="Arial" w:hAnsi="Arial" w:cs="Arial"/>
          <w:sz w:val="20"/>
          <w:szCs w:val="20"/>
        </w:rPr>
        <w:t>. Chemical control methods, including copper-based and systemic fungicides like mancozeb and chlorothalonil, are commonly practiced. However, the frequent use of these chemical treatments has led to fungicide resistance, necessitating the adoption of integrated disease management strategies that combine chemical, biological, and cultural controls (</w:t>
      </w:r>
      <w:proofErr w:type="spellStart"/>
      <w:r w:rsidRPr="00804FE2">
        <w:rPr>
          <w:rFonts w:ascii="Arial" w:hAnsi="Arial" w:cs="Arial"/>
          <w:sz w:val="20"/>
          <w:szCs w:val="20"/>
        </w:rPr>
        <w:t>Moricca</w:t>
      </w:r>
      <w:proofErr w:type="spellEnd"/>
      <w:r w:rsidRPr="00804FE2">
        <w:rPr>
          <w:rFonts w:ascii="Arial" w:hAnsi="Arial" w:cs="Arial"/>
          <w:sz w:val="20"/>
          <w:szCs w:val="20"/>
        </w:rPr>
        <w:t xml:space="preserve"> &amp; </w:t>
      </w:r>
      <w:proofErr w:type="spellStart"/>
      <w:r w:rsidRPr="00804FE2">
        <w:rPr>
          <w:rFonts w:ascii="Arial" w:hAnsi="Arial" w:cs="Arial"/>
          <w:sz w:val="20"/>
          <w:szCs w:val="20"/>
        </w:rPr>
        <w:t>Ragazzi</w:t>
      </w:r>
      <w:proofErr w:type="spellEnd"/>
      <w:r w:rsidRPr="00804FE2">
        <w:rPr>
          <w:rFonts w:ascii="Arial" w:hAnsi="Arial" w:cs="Arial"/>
          <w:sz w:val="20"/>
          <w:szCs w:val="20"/>
        </w:rPr>
        <w:t>, 2008).</w:t>
      </w:r>
    </w:p>
    <w:p w14:paraId="1D1FB710" w14:textId="77777777" w:rsidR="00400DE6" w:rsidRDefault="00400DE6" w:rsidP="00400DE6">
      <w:pPr>
        <w:spacing w:line="240" w:lineRule="auto"/>
        <w:jc w:val="center"/>
        <w:rPr>
          <w:rFonts w:ascii="Arial" w:hAnsi="Arial" w:cs="Arial"/>
          <w:sz w:val="20"/>
          <w:szCs w:val="20"/>
        </w:rPr>
      </w:pPr>
      <w:r w:rsidRPr="009E1333">
        <w:rPr>
          <w:rFonts w:ascii="Arial" w:hAnsi="Arial" w:cs="Arial"/>
          <w:noProof/>
          <w:sz w:val="20"/>
          <w:szCs w:val="20"/>
        </w:rPr>
        <w:drawing>
          <wp:inline distT="0" distB="0" distL="0" distR="0" wp14:anchorId="7870085D" wp14:editId="7CFDC70D">
            <wp:extent cx="5219700" cy="2357756"/>
            <wp:effectExtent l="19050" t="19050" r="19050" b="23495"/>
            <wp:docPr id="1317840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40121" name="Picture 1317840121"/>
                    <pic:cNvPicPr/>
                  </pic:nvPicPr>
                  <pic:blipFill>
                    <a:blip r:embed="rId9">
                      <a:extLst>
                        <a:ext uri="{28A0092B-C50C-407E-A947-70E740481C1C}">
                          <a14:useLocalDpi xmlns:a14="http://schemas.microsoft.com/office/drawing/2010/main" val="0"/>
                        </a:ext>
                      </a:extLst>
                    </a:blip>
                    <a:stretch>
                      <a:fillRect/>
                    </a:stretch>
                  </pic:blipFill>
                  <pic:spPr>
                    <a:xfrm>
                      <a:off x="0" y="0"/>
                      <a:ext cx="5219700" cy="2357756"/>
                    </a:xfrm>
                    <a:prstGeom prst="rect">
                      <a:avLst/>
                    </a:prstGeom>
                    <a:ln w="3175">
                      <a:solidFill>
                        <a:schemeClr val="tx1"/>
                      </a:solidFill>
                    </a:ln>
                  </pic:spPr>
                </pic:pic>
              </a:graphicData>
            </a:graphic>
          </wp:inline>
        </w:drawing>
      </w:r>
    </w:p>
    <w:p w14:paraId="64BE9E2D" w14:textId="77777777" w:rsidR="00400DE6" w:rsidRPr="009E1333" w:rsidRDefault="00400DE6" w:rsidP="00400DE6">
      <w:pPr>
        <w:spacing w:line="240" w:lineRule="auto"/>
        <w:jc w:val="center"/>
        <w:rPr>
          <w:rFonts w:ascii="Arial" w:hAnsi="Arial" w:cs="Arial"/>
          <w:b/>
          <w:sz w:val="20"/>
          <w:szCs w:val="20"/>
        </w:rPr>
      </w:pPr>
      <w:r w:rsidRPr="009E1333">
        <w:rPr>
          <w:rFonts w:ascii="Arial" w:hAnsi="Arial" w:cs="Arial"/>
          <w:b/>
          <w:sz w:val="20"/>
          <w:szCs w:val="20"/>
        </w:rPr>
        <w:t>Fig</w:t>
      </w:r>
      <w:r>
        <w:rPr>
          <w:rFonts w:ascii="Arial" w:hAnsi="Arial" w:cs="Arial"/>
          <w:b/>
          <w:sz w:val="20"/>
          <w:szCs w:val="20"/>
        </w:rPr>
        <w:t xml:space="preserve">. </w:t>
      </w:r>
      <w:r w:rsidRPr="009E1333">
        <w:rPr>
          <w:rFonts w:ascii="Arial" w:hAnsi="Arial" w:cs="Arial"/>
          <w:b/>
          <w:sz w:val="20"/>
          <w:szCs w:val="20"/>
        </w:rPr>
        <w:t>3</w:t>
      </w:r>
      <w:r>
        <w:rPr>
          <w:rFonts w:ascii="Arial" w:hAnsi="Arial" w:cs="Arial"/>
          <w:b/>
          <w:sz w:val="20"/>
          <w:szCs w:val="20"/>
        </w:rPr>
        <w:t xml:space="preserve">: </w:t>
      </w:r>
      <w:r w:rsidRPr="009E1333">
        <w:rPr>
          <w:rFonts w:ascii="Arial" w:hAnsi="Arial" w:cs="Arial"/>
          <w:b/>
          <w:sz w:val="20"/>
          <w:szCs w:val="20"/>
        </w:rPr>
        <w:t>Leaf Spot: A Persistent Challenge in Kerala’s Floral Nurseries</w:t>
      </w:r>
    </w:p>
    <w:p w14:paraId="7FC71B7B" w14:textId="77777777" w:rsidR="00400DE6" w:rsidRPr="009A0E8C" w:rsidRDefault="00400DE6" w:rsidP="00400DE6">
      <w:pPr>
        <w:pStyle w:val="NormalWeb"/>
        <w:rPr>
          <w:rFonts w:ascii="Arial" w:hAnsi="Arial" w:cs="Arial"/>
          <w:b/>
          <w:bCs/>
          <w:sz w:val="20"/>
          <w:szCs w:val="20"/>
        </w:rPr>
      </w:pPr>
      <w:r w:rsidRPr="009A0E8C">
        <w:rPr>
          <w:rFonts w:ascii="Arial" w:hAnsi="Arial" w:cs="Arial"/>
          <w:b/>
          <w:bCs/>
          <w:sz w:val="20"/>
          <w:szCs w:val="20"/>
        </w:rPr>
        <w:t>3.4 Root rot</w:t>
      </w:r>
    </w:p>
    <w:p w14:paraId="1476368C" w14:textId="4B43BE02" w:rsidR="00400DE6" w:rsidRPr="009A0E8C" w:rsidRDefault="00400DE6" w:rsidP="00400DE6">
      <w:pPr>
        <w:pStyle w:val="NormalWeb"/>
        <w:jc w:val="both"/>
        <w:rPr>
          <w:rFonts w:ascii="Arial" w:hAnsi="Arial" w:cs="Arial"/>
          <w:sz w:val="20"/>
          <w:szCs w:val="20"/>
        </w:rPr>
      </w:pPr>
      <w:r w:rsidRPr="009A0E8C">
        <w:rPr>
          <w:rFonts w:ascii="Arial" w:hAnsi="Arial" w:cs="Arial"/>
          <w:sz w:val="20"/>
          <w:szCs w:val="20"/>
        </w:rPr>
        <w:t xml:space="preserve">Root rot is a significant challenge affecting floral nurseries in Kerala, causing severe losses to Ornamental and commercial flower production. Face significant challenges due to root rot diseases, primarily caused by fungal </w:t>
      </w:r>
      <w:r w:rsidRPr="009A0E8C">
        <w:rPr>
          <w:rFonts w:ascii="Arial" w:hAnsi="Arial" w:cs="Arial"/>
          <w:sz w:val="20"/>
          <w:szCs w:val="20"/>
          <w:highlight w:val="yellow"/>
        </w:rPr>
        <w:t xml:space="preserve">pathogens such as Phytophthora spp., Pythium spp., and </w:t>
      </w:r>
      <w:proofErr w:type="spellStart"/>
      <w:r w:rsidRPr="009A0E8C">
        <w:rPr>
          <w:rFonts w:ascii="Arial" w:hAnsi="Arial" w:cs="Arial"/>
          <w:sz w:val="20"/>
          <w:szCs w:val="20"/>
          <w:highlight w:val="yellow"/>
        </w:rPr>
        <w:t>Rhizoctonia</w:t>
      </w:r>
      <w:proofErr w:type="spellEnd"/>
      <w:r w:rsidRPr="009A0E8C">
        <w:rPr>
          <w:rFonts w:ascii="Arial" w:hAnsi="Arial" w:cs="Arial"/>
          <w:sz w:val="20"/>
          <w:szCs w:val="20"/>
          <w:highlight w:val="yellow"/>
        </w:rPr>
        <w:t xml:space="preserve"> </w:t>
      </w:r>
      <w:proofErr w:type="spellStart"/>
      <w:r w:rsidRPr="009A0E8C">
        <w:rPr>
          <w:rFonts w:ascii="Arial" w:hAnsi="Arial" w:cs="Arial"/>
          <w:sz w:val="20"/>
          <w:szCs w:val="20"/>
          <w:highlight w:val="yellow"/>
        </w:rPr>
        <w:t>solani</w:t>
      </w:r>
      <w:proofErr w:type="spellEnd"/>
      <w:r w:rsidRPr="009A0E8C">
        <w:rPr>
          <w:rFonts w:ascii="Arial" w:hAnsi="Arial" w:cs="Arial"/>
          <w:sz w:val="20"/>
          <w:szCs w:val="20"/>
          <w:highlight w:val="yellow"/>
        </w:rPr>
        <w:t>. These fungi thrive in Kerala's humid and warm climate (Chen &amp; Feng, 2020).</w:t>
      </w:r>
      <w:r w:rsidRPr="009A0E8C">
        <w:rPr>
          <w:rFonts w:ascii="Arial" w:hAnsi="Arial" w:cs="Arial"/>
          <w:sz w:val="20"/>
          <w:szCs w:val="20"/>
        </w:rPr>
        <w:t xml:space="preserve"> They attack the roots of plants, leading to symptoms such as water-soaking, browning, and eventual disintegration of the root system, which results in wilting and plant death (Nair et al., 2020). Poor drainage and overwatering, common in Kerala's tropical conditions, exacerbate incidences of root rot. Research indicates that nurseries cultivating marigolds, roses, and gerberas are particularly vulnerable because these plants are sensitive to waterlogged soil (</w:t>
      </w:r>
      <w:proofErr w:type="spellStart"/>
      <w:r w:rsidRPr="009A0E8C">
        <w:rPr>
          <w:rFonts w:ascii="Arial" w:hAnsi="Arial" w:cs="Arial"/>
          <w:sz w:val="20"/>
          <w:szCs w:val="20"/>
        </w:rPr>
        <w:t>Kains</w:t>
      </w:r>
      <w:proofErr w:type="spellEnd"/>
      <w:r w:rsidRPr="009A0E8C">
        <w:rPr>
          <w:rFonts w:ascii="Arial" w:hAnsi="Arial" w:cs="Arial"/>
          <w:sz w:val="20"/>
          <w:szCs w:val="20"/>
        </w:rPr>
        <w:t xml:space="preserve">, 2021). To combat this issue, integrated disease management strategies are essential. These include soil solarization, the use of organic amendments like neem cake, and the application of biological control agents such as </w:t>
      </w:r>
      <w:r w:rsidRPr="009A0E8C">
        <w:rPr>
          <w:rFonts w:ascii="Arial" w:hAnsi="Arial" w:cs="Arial"/>
          <w:i/>
          <w:sz w:val="20"/>
          <w:szCs w:val="20"/>
        </w:rPr>
        <w:t xml:space="preserve">Trichoderma </w:t>
      </w:r>
      <w:proofErr w:type="spellStart"/>
      <w:r w:rsidRPr="009A0E8C">
        <w:rPr>
          <w:rFonts w:ascii="Arial" w:hAnsi="Arial" w:cs="Arial"/>
          <w:i/>
          <w:sz w:val="20"/>
          <w:szCs w:val="20"/>
        </w:rPr>
        <w:t>harzianum</w:t>
      </w:r>
      <w:proofErr w:type="spellEnd"/>
      <w:r w:rsidRPr="009A0E8C">
        <w:rPr>
          <w:rFonts w:ascii="Arial" w:hAnsi="Arial" w:cs="Arial"/>
          <w:sz w:val="20"/>
          <w:szCs w:val="20"/>
        </w:rPr>
        <w:t>, which have shown promising results in reducing disease severity (</w:t>
      </w:r>
      <w:proofErr w:type="spellStart"/>
      <w:r w:rsidRPr="009A0E8C">
        <w:rPr>
          <w:rFonts w:ascii="Arial" w:hAnsi="Arial" w:cs="Arial"/>
          <w:sz w:val="20"/>
          <w:szCs w:val="20"/>
        </w:rPr>
        <w:t>Ozbay</w:t>
      </w:r>
      <w:proofErr w:type="spellEnd"/>
      <w:r w:rsidRPr="009A0E8C">
        <w:rPr>
          <w:rFonts w:ascii="Arial" w:hAnsi="Arial" w:cs="Arial"/>
          <w:sz w:val="20"/>
          <w:szCs w:val="20"/>
        </w:rPr>
        <w:t xml:space="preserve"> &amp; Newman</w:t>
      </w:r>
      <w:r w:rsidRPr="009A0E8C">
        <w:rPr>
          <w:rFonts w:ascii="Arial" w:hAnsi="Arial" w:cs="Arial"/>
          <w:i/>
          <w:iCs/>
          <w:sz w:val="20"/>
          <w:szCs w:val="20"/>
        </w:rPr>
        <w:t>,</w:t>
      </w:r>
      <w:r w:rsidRPr="009A0E8C">
        <w:rPr>
          <w:rFonts w:ascii="Arial" w:hAnsi="Arial" w:cs="Arial"/>
          <w:sz w:val="20"/>
          <w:szCs w:val="20"/>
        </w:rPr>
        <w:t xml:space="preserve"> 2022). Additionally, implementing cultural practices such as sterilizing potting media, improving drainage, and using disease-resistant plant varieties can help mitigate the risk of root rot</w:t>
      </w:r>
      <w:r w:rsidR="009A0E8C">
        <w:rPr>
          <w:rFonts w:ascii="Arial" w:hAnsi="Arial" w:cs="Arial"/>
          <w:sz w:val="20"/>
          <w:szCs w:val="20"/>
        </w:rPr>
        <w:t xml:space="preserve"> (Fig. 4)</w:t>
      </w:r>
      <w:r w:rsidRPr="009A0E8C">
        <w:rPr>
          <w:rFonts w:ascii="Arial" w:hAnsi="Arial" w:cs="Arial"/>
          <w:sz w:val="20"/>
          <w:szCs w:val="20"/>
        </w:rPr>
        <w:t>. As Kerala continues to focus on enhancing ornamental floriculture, addressing root rot through sustainable management practices is crucial for maintaining both production quality and economic viability.</w:t>
      </w:r>
    </w:p>
    <w:p w14:paraId="16174BE3" w14:textId="77777777" w:rsidR="00400DE6" w:rsidRPr="009E1333" w:rsidRDefault="00400DE6" w:rsidP="00400DE6">
      <w:pPr>
        <w:pStyle w:val="NormalWeb"/>
        <w:jc w:val="center"/>
        <w:rPr>
          <w:rFonts w:ascii="Arial" w:hAnsi="Arial" w:cs="Arial"/>
          <w:sz w:val="20"/>
          <w:szCs w:val="20"/>
        </w:rPr>
      </w:pPr>
      <w:r w:rsidRPr="009E1333">
        <w:rPr>
          <w:rFonts w:ascii="Arial" w:hAnsi="Arial" w:cs="Arial"/>
          <w:noProof/>
          <w:sz w:val="20"/>
          <w:szCs w:val="20"/>
        </w:rPr>
        <w:lastRenderedPageBreak/>
        <w:drawing>
          <wp:inline distT="0" distB="0" distL="0" distR="0" wp14:anchorId="2ECA33E3" wp14:editId="18C64A37">
            <wp:extent cx="5189687" cy="2508250"/>
            <wp:effectExtent l="19050" t="19050" r="11430" b="25400"/>
            <wp:docPr id="3274093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09362" name="Picture 327409362"/>
                    <pic:cNvPicPr/>
                  </pic:nvPicPr>
                  <pic:blipFill rotWithShape="1">
                    <a:blip r:embed="rId10">
                      <a:extLst>
                        <a:ext uri="{28A0092B-C50C-407E-A947-70E740481C1C}">
                          <a14:useLocalDpi xmlns:a14="http://schemas.microsoft.com/office/drawing/2010/main" val="0"/>
                        </a:ext>
                      </a:extLst>
                    </a:blip>
                    <a:srcRect l="7576"/>
                    <a:stretch/>
                  </pic:blipFill>
                  <pic:spPr bwMode="auto">
                    <a:xfrm>
                      <a:off x="0" y="0"/>
                      <a:ext cx="5240296" cy="253271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C711B1" w14:textId="02802BAF" w:rsidR="00400DE6" w:rsidRPr="009E1333" w:rsidRDefault="00400DE6" w:rsidP="00400DE6">
      <w:pPr>
        <w:pStyle w:val="NormalWeb"/>
        <w:jc w:val="center"/>
        <w:rPr>
          <w:rFonts w:ascii="Arial" w:hAnsi="Arial" w:cs="Arial"/>
          <w:b/>
          <w:sz w:val="20"/>
          <w:szCs w:val="20"/>
        </w:rPr>
      </w:pPr>
      <w:r w:rsidRPr="009E1333">
        <w:rPr>
          <w:rFonts w:ascii="Arial" w:hAnsi="Arial" w:cs="Arial"/>
          <w:b/>
          <w:sz w:val="20"/>
          <w:szCs w:val="20"/>
        </w:rPr>
        <w:t>Fig</w:t>
      </w:r>
      <w:r>
        <w:rPr>
          <w:rFonts w:ascii="Arial" w:hAnsi="Arial" w:cs="Arial"/>
          <w:b/>
          <w:sz w:val="20"/>
          <w:szCs w:val="20"/>
        </w:rPr>
        <w:t xml:space="preserve">. </w:t>
      </w:r>
      <w:r w:rsidRPr="009E1333">
        <w:rPr>
          <w:rFonts w:ascii="Arial" w:hAnsi="Arial" w:cs="Arial"/>
          <w:b/>
          <w:sz w:val="20"/>
          <w:szCs w:val="20"/>
        </w:rPr>
        <w:t>4</w:t>
      </w:r>
      <w:r>
        <w:rPr>
          <w:rFonts w:ascii="Arial" w:hAnsi="Arial" w:cs="Arial"/>
          <w:b/>
          <w:sz w:val="20"/>
          <w:szCs w:val="20"/>
        </w:rPr>
        <w:t>:</w:t>
      </w:r>
      <w:r w:rsidRPr="009E1333">
        <w:rPr>
          <w:rFonts w:ascii="Arial" w:hAnsi="Arial" w:cs="Arial"/>
          <w:b/>
          <w:sz w:val="20"/>
          <w:szCs w:val="20"/>
        </w:rPr>
        <w:t xml:space="preserve"> Root Rot: A Concealed Threat in Flower Nurseries</w:t>
      </w:r>
      <w:r w:rsidR="000F4C41">
        <w:rPr>
          <w:rFonts w:ascii="Arial" w:hAnsi="Arial" w:cs="Arial"/>
          <w:b/>
          <w:sz w:val="20"/>
          <w:szCs w:val="20"/>
        </w:rPr>
        <w:t xml:space="preserve"> and its management </w:t>
      </w:r>
    </w:p>
    <w:p w14:paraId="6DFE7F0D" w14:textId="77777777" w:rsidR="00400DE6" w:rsidRPr="009E1333" w:rsidRDefault="00400DE6" w:rsidP="00400DE6">
      <w:pPr>
        <w:pStyle w:val="NormalWeb"/>
        <w:jc w:val="both"/>
        <w:rPr>
          <w:rFonts w:ascii="Arial" w:hAnsi="Arial" w:cs="Arial"/>
          <w:b/>
          <w:bCs/>
          <w:sz w:val="20"/>
          <w:szCs w:val="20"/>
        </w:rPr>
      </w:pPr>
      <w:r>
        <w:rPr>
          <w:rFonts w:ascii="Arial" w:hAnsi="Arial" w:cs="Arial"/>
          <w:b/>
          <w:bCs/>
          <w:sz w:val="20"/>
          <w:szCs w:val="20"/>
        </w:rPr>
        <w:t xml:space="preserve">3.5 </w:t>
      </w:r>
      <w:r w:rsidRPr="009E1333">
        <w:rPr>
          <w:rFonts w:ascii="Arial" w:hAnsi="Arial" w:cs="Arial"/>
          <w:b/>
          <w:bCs/>
          <w:sz w:val="20"/>
          <w:szCs w:val="20"/>
        </w:rPr>
        <w:t xml:space="preserve">Rust disease </w:t>
      </w:r>
    </w:p>
    <w:p w14:paraId="575D0810" w14:textId="743D9289" w:rsidR="00400DE6" w:rsidRPr="009A0E8C" w:rsidRDefault="00400DE6" w:rsidP="00400DE6">
      <w:pPr>
        <w:pStyle w:val="NormalWeb"/>
        <w:jc w:val="both"/>
        <w:rPr>
          <w:rFonts w:ascii="Arial" w:hAnsi="Arial" w:cs="Arial"/>
          <w:sz w:val="20"/>
          <w:szCs w:val="20"/>
        </w:rPr>
      </w:pPr>
      <w:r w:rsidRPr="009A0E8C">
        <w:rPr>
          <w:rFonts w:ascii="Arial" w:hAnsi="Arial" w:cs="Arial"/>
          <w:sz w:val="20"/>
          <w:szCs w:val="20"/>
        </w:rPr>
        <w:t xml:space="preserve">Rust diseases are a significant threat to floral nurseries in Kerala, leading to considerable damage to ornamental plants. These fungal infections appear as orange, yellow, or brown pustules on the undersides of leaves, causing yellowing, leaf drop, and reduced plant </w:t>
      </w:r>
      <w:r w:rsidR="000F4C41" w:rsidRPr="009A0E8C">
        <w:rPr>
          <w:rFonts w:ascii="Arial" w:hAnsi="Arial" w:cs="Arial"/>
          <w:sz w:val="20"/>
          <w:szCs w:val="20"/>
        </w:rPr>
        <w:t>vigour</w:t>
      </w:r>
      <w:r w:rsidRPr="009A0E8C">
        <w:rPr>
          <w:rFonts w:ascii="Arial" w:hAnsi="Arial" w:cs="Arial"/>
          <w:sz w:val="20"/>
          <w:szCs w:val="20"/>
        </w:rPr>
        <w:t>. The warm, humid climate in Kerala creates an ideal environment for rust fungi. Daylily Rust (</w:t>
      </w:r>
      <w:r w:rsidRPr="009A0E8C">
        <w:rPr>
          <w:rFonts w:ascii="Arial" w:hAnsi="Arial" w:cs="Arial"/>
          <w:i/>
          <w:sz w:val="20"/>
          <w:szCs w:val="20"/>
        </w:rPr>
        <w:t xml:space="preserve">Puccinia </w:t>
      </w:r>
      <w:proofErr w:type="spellStart"/>
      <w:r w:rsidRPr="009A0E8C">
        <w:rPr>
          <w:rFonts w:ascii="Arial" w:hAnsi="Arial" w:cs="Arial"/>
          <w:i/>
          <w:sz w:val="20"/>
          <w:szCs w:val="20"/>
        </w:rPr>
        <w:t>hemerocallidis</w:t>
      </w:r>
      <w:proofErr w:type="spellEnd"/>
      <w:r w:rsidRPr="009A0E8C">
        <w:rPr>
          <w:rFonts w:ascii="Arial" w:hAnsi="Arial" w:cs="Arial"/>
          <w:sz w:val="20"/>
          <w:szCs w:val="20"/>
        </w:rPr>
        <w:t>) affects Hemerocallis species, showing orange spores and causing premature leaf drop. Control involves removing infected leaves and applying fungicides like mancozeb or chlorothalonil (Platt, 1983). Snapdragon Rust (</w:t>
      </w:r>
      <w:r w:rsidRPr="009A0E8C">
        <w:rPr>
          <w:rFonts w:ascii="Arial" w:hAnsi="Arial" w:cs="Arial"/>
          <w:i/>
          <w:sz w:val="20"/>
          <w:szCs w:val="20"/>
        </w:rPr>
        <w:t xml:space="preserve">Puccinia </w:t>
      </w:r>
      <w:proofErr w:type="spellStart"/>
      <w:r w:rsidRPr="009A0E8C">
        <w:rPr>
          <w:rFonts w:ascii="Arial" w:hAnsi="Arial" w:cs="Arial"/>
          <w:i/>
          <w:sz w:val="20"/>
          <w:szCs w:val="20"/>
        </w:rPr>
        <w:t>antirrhini</w:t>
      </w:r>
      <w:proofErr w:type="spellEnd"/>
      <w:r w:rsidRPr="009A0E8C">
        <w:rPr>
          <w:rFonts w:ascii="Arial" w:hAnsi="Arial" w:cs="Arial"/>
          <w:sz w:val="20"/>
          <w:szCs w:val="20"/>
        </w:rPr>
        <w:t>) targets snapdragons (</w:t>
      </w:r>
      <w:r w:rsidRPr="009A0E8C">
        <w:rPr>
          <w:rFonts w:ascii="Arial" w:hAnsi="Arial" w:cs="Arial"/>
          <w:i/>
          <w:sz w:val="20"/>
          <w:szCs w:val="20"/>
        </w:rPr>
        <w:t xml:space="preserve">Antirrhinum </w:t>
      </w:r>
      <w:proofErr w:type="spellStart"/>
      <w:r w:rsidRPr="009A0E8C">
        <w:rPr>
          <w:rFonts w:ascii="Arial" w:hAnsi="Arial" w:cs="Arial"/>
          <w:i/>
          <w:sz w:val="20"/>
          <w:szCs w:val="20"/>
        </w:rPr>
        <w:t>majus</w:t>
      </w:r>
      <w:proofErr w:type="spellEnd"/>
      <w:r w:rsidRPr="009A0E8C">
        <w:rPr>
          <w:rFonts w:ascii="Arial" w:hAnsi="Arial" w:cs="Arial"/>
          <w:sz w:val="20"/>
          <w:szCs w:val="20"/>
        </w:rPr>
        <w:t>), presenting yellow spots with orange pustules and resulting in leaf withering. Management includes removing infected plants and using propiconazole (</w:t>
      </w:r>
      <w:proofErr w:type="spellStart"/>
      <w:r w:rsidRPr="009A0E8C">
        <w:rPr>
          <w:rFonts w:ascii="Arial" w:hAnsi="Arial" w:cs="Arial"/>
          <w:sz w:val="20"/>
          <w:szCs w:val="20"/>
        </w:rPr>
        <w:t>Navia</w:t>
      </w:r>
      <w:proofErr w:type="spellEnd"/>
      <w:r w:rsidRPr="009A0E8C">
        <w:rPr>
          <w:rFonts w:ascii="Arial" w:hAnsi="Arial" w:cs="Arial"/>
          <w:sz w:val="20"/>
          <w:szCs w:val="20"/>
        </w:rPr>
        <w:t>-Urrutia et al., 2019). Geranium Rust (</w:t>
      </w:r>
      <w:r w:rsidRPr="009A0E8C">
        <w:rPr>
          <w:rFonts w:ascii="Arial" w:hAnsi="Arial" w:cs="Arial"/>
          <w:i/>
          <w:sz w:val="20"/>
          <w:szCs w:val="20"/>
        </w:rPr>
        <w:t xml:space="preserve">Puccinia </w:t>
      </w:r>
      <w:proofErr w:type="spellStart"/>
      <w:r w:rsidRPr="009A0E8C">
        <w:rPr>
          <w:rFonts w:ascii="Arial" w:hAnsi="Arial" w:cs="Arial"/>
          <w:i/>
          <w:sz w:val="20"/>
          <w:szCs w:val="20"/>
        </w:rPr>
        <w:t>pelargonii-zonalis</w:t>
      </w:r>
      <w:proofErr w:type="spellEnd"/>
      <w:r w:rsidRPr="009A0E8C">
        <w:rPr>
          <w:rFonts w:ascii="Arial" w:hAnsi="Arial" w:cs="Arial"/>
          <w:sz w:val="20"/>
          <w:szCs w:val="20"/>
        </w:rPr>
        <w:t>) infects Pelargonium species, leading to reddish-brown pustules and potential defoliation. Effective strategies include improving air circulation and applying azoxystrobin-based fungicides (Joseph et al., 2020). Plumeria Rust (</w:t>
      </w:r>
      <w:proofErr w:type="spellStart"/>
      <w:r w:rsidRPr="009A0E8C">
        <w:rPr>
          <w:rFonts w:ascii="Arial" w:hAnsi="Arial" w:cs="Arial"/>
          <w:i/>
          <w:sz w:val="20"/>
          <w:szCs w:val="20"/>
        </w:rPr>
        <w:t>Coleosporium</w:t>
      </w:r>
      <w:proofErr w:type="spellEnd"/>
      <w:r w:rsidRPr="009A0E8C">
        <w:rPr>
          <w:rFonts w:ascii="Arial" w:hAnsi="Arial" w:cs="Arial"/>
          <w:i/>
          <w:sz w:val="20"/>
          <w:szCs w:val="20"/>
        </w:rPr>
        <w:t xml:space="preserve"> </w:t>
      </w:r>
      <w:proofErr w:type="spellStart"/>
      <w:r w:rsidRPr="009A0E8C">
        <w:rPr>
          <w:rFonts w:ascii="Arial" w:hAnsi="Arial" w:cs="Arial"/>
          <w:i/>
          <w:sz w:val="20"/>
          <w:szCs w:val="20"/>
        </w:rPr>
        <w:t>plumeriae</w:t>
      </w:r>
      <w:proofErr w:type="spellEnd"/>
      <w:r w:rsidRPr="009A0E8C">
        <w:rPr>
          <w:rFonts w:ascii="Arial" w:hAnsi="Arial" w:cs="Arial"/>
          <w:sz w:val="20"/>
          <w:szCs w:val="20"/>
        </w:rPr>
        <w:t>) affects frangipani, with yellow-orange spots and raised pustules. Management involves pruning and using copper-based fungicides. Chrysanthemum White Rust (</w:t>
      </w:r>
      <w:r w:rsidRPr="000F4C41">
        <w:rPr>
          <w:rFonts w:ascii="Arial" w:hAnsi="Arial" w:cs="Arial"/>
          <w:i/>
          <w:sz w:val="20"/>
          <w:szCs w:val="20"/>
        </w:rPr>
        <w:t xml:space="preserve">Puccinia </w:t>
      </w:r>
      <w:proofErr w:type="spellStart"/>
      <w:r w:rsidRPr="000F4C41">
        <w:rPr>
          <w:rFonts w:ascii="Arial" w:hAnsi="Arial" w:cs="Arial"/>
          <w:i/>
          <w:sz w:val="20"/>
          <w:szCs w:val="20"/>
        </w:rPr>
        <w:t>horiana</w:t>
      </w:r>
      <w:proofErr w:type="spellEnd"/>
      <w:r w:rsidRPr="009A0E8C">
        <w:rPr>
          <w:rFonts w:ascii="Arial" w:hAnsi="Arial" w:cs="Arial"/>
          <w:sz w:val="20"/>
          <w:szCs w:val="20"/>
        </w:rPr>
        <w:t>) targets chrysanthemums, presenting pale yellow spots and white spore masses. It spreads rapidly under humid conditions, threatening commercial production. Management includes removing infected plants and applying systemic fungicides like tebuconazole (</w:t>
      </w:r>
      <w:proofErr w:type="spellStart"/>
      <w:r w:rsidRPr="009A0E8C">
        <w:rPr>
          <w:rFonts w:ascii="Arial" w:hAnsi="Arial" w:cs="Arial"/>
          <w:sz w:val="20"/>
          <w:szCs w:val="20"/>
        </w:rPr>
        <w:t>Prudnikova</w:t>
      </w:r>
      <w:proofErr w:type="spellEnd"/>
      <w:r w:rsidRPr="009A0E8C">
        <w:rPr>
          <w:rFonts w:ascii="Arial" w:hAnsi="Arial" w:cs="Arial"/>
          <w:sz w:val="20"/>
          <w:szCs w:val="20"/>
        </w:rPr>
        <w:t xml:space="preserve"> </w:t>
      </w:r>
      <w:r w:rsidRPr="009A0E8C">
        <w:rPr>
          <w:rFonts w:ascii="Arial" w:hAnsi="Arial" w:cs="Arial"/>
          <w:i/>
          <w:iCs/>
          <w:sz w:val="20"/>
          <w:szCs w:val="20"/>
        </w:rPr>
        <w:t>et al.,</w:t>
      </w:r>
      <w:r w:rsidRPr="009A0E8C">
        <w:rPr>
          <w:rFonts w:ascii="Arial" w:hAnsi="Arial" w:cs="Arial"/>
          <w:sz w:val="20"/>
          <w:szCs w:val="20"/>
        </w:rPr>
        <w:t xml:space="preserve"> 2023). In summary, effective management of rust diseases requires integrated practices such as crop rotation, using resistant varieties, and maintaining proper sanitation to minimize outbreaks in Kerala's floral nurseries</w:t>
      </w:r>
      <w:r w:rsidR="009A0E8C">
        <w:rPr>
          <w:rFonts w:ascii="Arial" w:hAnsi="Arial" w:cs="Arial"/>
          <w:sz w:val="20"/>
          <w:szCs w:val="20"/>
        </w:rPr>
        <w:t xml:space="preserve"> (Fig. 5)</w:t>
      </w:r>
      <w:r w:rsidRPr="009A0E8C">
        <w:rPr>
          <w:rFonts w:ascii="Arial" w:hAnsi="Arial" w:cs="Arial"/>
          <w:sz w:val="20"/>
          <w:szCs w:val="20"/>
        </w:rPr>
        <w:t>.</w:t>
      </w:r>
    </w:p>
    <w:p w14:paraId="270B2ED9" w14:textId="77777777" w:rsidR="00400DE6" w:rsidRPr="009E1333" w:rsidRDefault="00400DE6" w:rsidP="00400DE6">
      <w:pPr>
        <w:pStyle w:val="NormalWeb"/>
        <w:jc w:val="both"/>
        <w:rPr>
          <w:rFonts w:ascii="Arial" w:hAnsi="Arial" w:cs="Arial"/>
          <w:b/>
          <w:bCs/>
          <w:sz w:val="20"/>
          <w:szCs w:val="20"/>
        </w:rPr>
      </w:pPr>
      <w:r w:rsidRPr="009E1333">
        <w:rPr>
          <w:rFonts w:ascii="Arial" w:hAnsi="Arial" w:cs="Arial"/>
          <w:sz w:val="20"/>
          <w:szCs w:val="20"/>
        </w:rPr>
        <w:t xml:space="preserve">              </w:t>
      </w:r>
      <w:r w:rsidRPr="009E1333">
        <w:rPr>
          <w:rFonts w:ascii="Arial" w:hAnsi="Arial" w:cs="Arial"/>
          <w:noProof/>
          <w:sz w:val="20"/>
          <w:szCs w:val="20"/>
        </w:rPr>
        <w:t xml:space="preserve"> </w:t>
      </w:r>
      <w:r w:rsidRPr="009E1333">
        <w:rPr>
          <w:rFonts w:ascii="Arial" w:hAnsi="Arial" w:cs="Arial"/>
          <w:noProof/>
          <w:sz w:val="20"/>
          <w:szCs w:val="20"/>
          <w14:ligatures w14:val="standardContextual"/>
        </w:rPr>
        <w:drawing>
          <wp:inline distT="0" distB="0" distL="0" distR="0" wp14:anchorId="7E519779" wp14:editId="626EBD16">
            <wp:extent cx="5651500" cy="2340239"/>
            <wp:effectExtent l="19050" t="19050" r="25400" b="22225"/>
            <wp:docPr id="353577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77140" name="Picture 353577140"/>
                    <pic:cNvPicPr/>
                  </pic:nvPicPr>
                  <pic:blipFill>
                    <a:blip r:embed="rId11">
                      <a:extLst>
                        <a:ext uri="{28A0092B-C50C-407E-A947-70E740481C1C}">
                          <a14:useLocalDpi xmlns:a14="http://schemas.microsoft.com/office/drawing/2010/main" val="0"/>
                        </a:ext>
                      </a:extLst>
                    </a:blip>
                    <a:stretch>
                      <a:fillRect/>
                    </a:stretch>
                  </pic:blipFill>
                  <pic:spPr>
                    <a:xfrm>
                      <a:off x="0" y="0"/>
                      <a:ext cx="5708846" cy="2363986"/>
                    </a:xfrm>
                    <a:prstGeom prst="rect">
                      <a:avLst/>
                    </a:prstGeom>
                    <a:ln w="3175">
                      <a:solidFill>
                        <a:schemeClr val="tx1"/>
                      </a:solidFill>
                    </a:ln>
                  </pic:spPr>
                </pic:pic>
              </a:graphicData>
            </a:graphic>
          </wp:inline>
        </w:drawing>
      </w:r>
    </w:p>
    <w:p w14:paraId="7310F6EC" w14:textId="398832BC" w:rsidR="00400DE6" w:rsidRPr="009E1333" w:rsidRDefault="00400DE6" w:rsidP="00400DE6">
      <w:pPr>
        <w:pStyle w:val="NormalWeb"/>
        <w:jc w:val="center"/>
        <w:rPr>
          <w:rFonts w:ascii="Arial" w:hAnsi="Arial" w:cs="Arial"/>
          <w:b/>
          <w:bCs/>
          <w:sz w:val="20"/>
          <w:szCs w:val="20"/>
        </w:rPr>
      </w:pPr>
      <w:r w:rsidRPr="009E1333">
        <w:rPr>
          <w:rFonts w:ascii="Arial" w:hAnsi="Arial" w:cs="Arial"/>
          <w:b/>
          <w:bCs/>
          <w:sz w:val="20"/>
          <w:szCs w:val="20"/>
        </w:rPr>
        <w:lastRenderedPageBreak/>
        <w:t>Fig</w:t>
      </w:r>
      <w:r>
        <w:rPr>
          <w:rFonts w:ascii="Arial" w:hAnsi="Arial" w:cs="Arial"/>
          <w:b/>
          <w:bCs/>
          <w:sz w:val="20"/>
          <w:szCs w:val="20"/>
        </w:rPr>
        <w:t xml:space="preserve">. </w:t>
      </w:r>
      <w:r w:rsidRPr="009E1333">
        <w:rPr>
          <w:rFonts w:ascii="Arial" w:hAnsi="Arial" w:cs="Arial"/>
          <w:b/>
          <w:bCs/>
          <w:sz w:val="20"/>
          <w:szCs w:val="20"/>
        </w:rPr>
        <w:t>5</w:t>
      </w:r>
      <w:r>
        <w:rPr>
          <w:rFonts w:ascii="Arial" w:hAnsi="Arial" w:cs="Arial"/>
          <w:b/>
          <w:bCs/>
          <w:sz w:val="20"/>
          <w:szCs w:val="20"/>
        </w:rPr>
        <w:t>:</w:t>
      </w:r>
      <w:r w:rsidRPr="009E1333">
        <w:rPr>
          <w:rFonts w:ascii="Arial" w:hAnsi="Arial" w:cs="Arial"/>
          <w:b/>
          <w:bCs/>
          <w:sz w:val="20"/>
          <w:szCs w:val="20"/>
        </w:rPr>
        <w:t xml:space="preserve"> Rust disease</w:t>
      </w:r>
      <w:r w:rsidR="000F4C41">
        <w:rPr>
          <w:rFonts w:ascii="Arial" w:hAnsi="Arial" w:cs="Arial"/>
          <w:b/>
          <w:bCs/>
          <w:sz w:val="20"/>
          <w:szCs w:val="20"/>
        </w:rPr>
        <w:t xml:space="preserve"> and its management </w:t>
      </w:r>
    </w:p>
    <w:p w14:paraId="0FA28D68" w14:textId="77777777" w:rsidR="00400DE6" w:rsidRPr="00A6616B" w:rsidRDefault="00400DE6" w:rsidP="00400DE6">
      <w:pPr>
        <w:pStyle w:val="NormalWeb"/>
        <w:numPr>
          <w:ilvl w:val="0"/>
          <w:numId w:val="4"/>
        </w:numPr>
        <w:jc w:val="both"/>
        <w:rPr>
          <w:rFonts w:ascii="Arial" w:hAnsi="Arial" w:cs="Arial"/>
          <w:b/>
          <w:szCs w:val="20"/>
        </w:rPr>
      </w:pPr>
      <w:r w:rsidRPr="00A6616B">
        <w:rPr>
          <w:rFonts w:ascii="Arial" w:hAnsi="Arial" w:cs="Arial"/>
          <w:b/>
          <w:bCs/>
          <w:szCs w:val="20"/>
        </w:rPr>
        <w:t>MAJOR PESTS IN NURSERIES AND THEIR MANAGEMENT</w:t>
      </w:r>
    </w:p>
    <w:p w14:paraId="6A178268" w14:textId="77777777" w:rsidR="00400DE6" w:rsidRPr="009E1333" w:rsidRDefault="00400DE6" w:rsidP="00400DE6">
      <w:pPr>
        <w:pStyle w:val="NormalWeb"/>
        <w:jc w:val="both"/>
        <w:rPr>
          <w:rFonts w:ascii="Arial" w:hAnsi="Arial" w:cs="Arial"/>
          <w:b/>
          <w:bCs/>
          <w:sz w:val="20"/>
          <w:szCs w:val="20"/>
        </w:rPr>
      </w:pPr>
      <w:r>
        <w:rPr>
          <w:rFonts w:ascii="Arial" w:hAnsi="Arial" w:cs="Arial"/>
          <w:b/>
          <w:bCs/>
          <w:sz w:val="20"/>
          <w:szCs w:val="20"/>
        </w:rPr>
        <w:t xml:space="preserve">4.1 </w:t>
      </w:r>
      <w:r w:rsidRPr="009E1333">
        <w:rPr>
          <w:rFonts w:ascii="Arial" w:hAnsi="Arial" w:cs="Arial"/>
          <w:b/>
          <w:bCs/>
          <w:sz w:val="20"/>
          <w:szCs w:val="20"/>
        </w:rPr>
        <w:t xml:space="preserve">Aphids </w:t>
      </w:r>
    </w:p>
    <w:p w14:paraId="22F2AF64" w14:textId="3FA00F52" w:rsidR="00400DE6" w:rsidRPr="00A6616B" w:rsidRDefault="00400DE6" w:rsidP="00400DE6">
      <w:pPr>
        <w:pStyle w:val="NormalWeb"/>
        <w:jc w:val="both"/>
        <w:rPr>
          <w:rFonts w:ascii="Arial" w:hAnsi="Arial" w:cs="Arial"/>
          <w:sz w:val="20"/>
          <w:szCs w:val="20"/>
        </w:rPr>
      </w:pPr>
      <w:r w:rsidRPr="00A6616B">
        <w:rPr>
          <w:rFonts w:ascii="Arial" w:hAnsi="Arial" w:cs="Arial"/>
          <w:sz w:val="20"/>
          <w:szCs w:val="20"/>
        </w:rPr>
        <w:t xml:space="preserve">Aphid infestation poses a significant challenge for floral nurseries, causing considerable damage to ornamental plants. These sap-sucking insects feed on the phloem of plants, which leads to symptoms such as wilting, yellowing, and curling of leaves. This feeding activity weakens the plants and diminishes their overall vitality, negatively impacting their aesthetic appeal and commercial value. Additionally, aphids are known to be vectors of plant viruses, transmitting diseases like cucumber mosaic virus (CMV) and potyvirus, which further compromise plant health. The honeydew secreted by aphids promotes the growth of sooty </w:t>
      </w:r>
      <w:proofErr w:type="spellStart"/>
      <w:r w:rsidRPr="00A6616B">
        <w:rPr>
          <w:rFonts w:ascii="Arial" w:hAnsi="Arial" w:cs="Arial"/>
          <w:sz w:val="20"/>
          <w:szCs w:val="20"/>
        </w:rPr>
        <w:t>mold</w:t>
      </w:r>
      <w:proofErr w:type="spellEnd"/>
      <w:r w:rsidRPr="00A6616B">
        <w:rPr>
          <w:rFonts w:ascii="Arial" w:hAnsi="Arial" w:cs="Arial"/>
          <w:sz w:val="20"/>
          <w:szCs w:val="20"/>
        </w:rPr>
        <w:t>, resulting in a black coating on leaves and flowers that reduces their visual quality and marketability (Singh &amp; Singh, 2021). Managing aphid infestations in floral nurseries requires an integrated approach that combines biological, botanical, and chemical methods. Biological control, using natural predators like ladybird beetles and green lacewings, is effective and environmentally friendly (</w:t>
      </w:r>
      <w:proofErr w:type="spellStart"/>
      <w:r w:rsidRPr="00A6616B">
        <w:rPr>
          <w:rFonts w:ascii="Arial" w:hAnsi="Arial" w:cs="Arial"/>
          <w:sz w:val="20"/>
          <w:szCs w:val="20"/>
        </w:rPr>
        <w:t>Parrella</w:t>
      </w:r>
      <w:proofErr w:type="spellEnd"/>
      <w:r w:rsidRPr="00A6616B">
        <w:rPr>
          <w:rFonts w:ascii="Arial" w:hAnsi="Arial" w:cs="Arial"/>
          <w:sz w:val="20"/>
          <w:szCs w:val="20"/>
        </w:rPr>
        <w:t xml:space="preserve"> </w:t>
      </w:r>
      <w:proofErr w:type="spellStart"/>
      <w:r w:rsidRPr="00A6616B">
        <w:rPr>
          <w:rFonts w:ascii="Arial" w:hAnsi="Arial" w:cs="Arial"/>
          <w:sz w:val="20"/>
          <w:szCs w:val="20"/>
        </w:rPr>
        <w:t>Lews</w:t>
      </w:r>
      <w:proofErr w:type="spellEnd"/>
      <w:r w:rsidRPr="00A6616B">
        <w:rPr>
          <w:rFonts w:ascii="Arial" w:hAnsi="Arial" w:cs="Arial"/>
          <w:sz w:val="20"/>
          <w:szCs w:val="20"/>
        </w:rPr>
        <w:t>, 2017). Botanical insecticides such as neem oil and garlic extract also help by repelling aphids and reducing their feeding</w:t>
      </w:r>
      <w:r w:rsidR="009A0E8C">
        <w:rPr>
          <w:rFonts w:ascii="Arial" w:hAnsi="Arial" w:cs="Arial"/>
          <w:sz w:val="20"/>
          <w:szCs w:val="20"/>
        </w:rPr>
        <w:t xml:space="preserve"> (Fig. 6)</w:t>
      </w:r>
      <w:r w:rsidRPr="00A6616B">
        <w:rPr>
          <w:rFonts w:ascii="Arial" w:hAnsi="Arial" w:cs="Arial"/>
          <w:sz w:val="20"/>
          <w:szCs w:val="20"/>
        </w:rPr>
        <w:t>. However, for severe infestations, chemical controls like imidacloprid and acetamiprid are commonly used in Kerala's nurseries. Excessive use of these chemicals can lead to pesticide resistance and residue issues, affecting plant safety and ecological balance (</w:t>
      </w:r>
      <w:proofErr w:type="spellStart"/>
      <w:r w:rsidRPr="00A6616B">
        <w:rPr>
          <w:rFonts w:ascii="Arial" w:hAnsi="Arial" w:cs="Arial"/>
          <w:sz w:val="20"/>
          <w:szCs w:val="20"/>
        </w:rPr>
        <w:t>Boudh</w:t>
      </w:r>
      <w:proofErr w:type="spellEnd"/>
      <w:r w:rsidRPr="00A6616B">
        <w:rPr>
          <w:rFonts w:ascii="Arial" w:hAnsi="Arial" w:cs="Arial"/>
          <w:sz w:val="20"/>
          <w:szCs w:val="20"/>
        </w:rPr>
        <w:t xml:space="preserve"> &amp; Singh, 2018).</w:t>
      </w:r>
    </w:p>
    <w:p w14:paraId="533F607A" w14:textId="77777777" w:rsidR="00400DE6" w:rsidRPr="009E1333" w:rsidRDefault="00400DE6" w:rsidP="00400DE6">
      <w:pPr>
        <w:spacing w:line="240" w:lineRule="auto"/>
        <w:jc w:val="center"/>
        <w:rPr>
          <w:rFonts w:ascii="Arial" w:eastAsia="Times New Roman" w:hAnsi="Arial" w:cs="Arial"/>
          <w:b/>
          <w:bCs/>
          <w:kern w:val="0"/>
          <w:sz w:val="20"/>
          <w:szCs w:val="20"/>
          <w:lang w:eastAsia="en-IN"/>
          <w14:ligatures w14:val="none"/>
        </w:rPr>
      </w:pPr>
      <w:r w:rsidRPr="009E1333">
        <w:rPr>
          <w:rFonts w:ascii="Arial" w:eastAsia="Times New Roman" w:hAnsi="Arial" w:cs="Arial"/>
          <w:b/>
          <w:bCs/>
          <w:noProof/>
          <w:kern w:val="0"/>
          <w:sz w:val="20"/>
          <w:szCs w:val="20"/>
          <w:lang w:eastAsia="en-IN"/>
        </w:rPr>
        <w:drawing>
          <wp:inline distT="0" distB="0" distL="0" distR="0" wp14:anchorId="2996CD05" wp14:editId="19440732">
            <wp:extent cx="4933950" cy="2444203"/>
            <wp:effectExtent l="19050" t="19050" r="19050" b="13335"/>
            <wp:docPr id="833733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3578" name="Picture 833733578"/>
                    <pic:cNvPicPr/>
                  </pic:nvPicPr>
                  <pic:blipFill>
                    <a:blip r:embed="rId12">
                      <a:extLst>
                        <a:ext uri="{28A0092B-C50C-407E-A947-70E740481C1C}">
                          <a14:useLocalDpi xmlns:a14="http://schemas.microsoft.com/office/drawing/2010/main" val="0"/>
                        </a:ext>
                      </a:extLst>
                    </a:blip>
                    <a:stretch>
                      <a:fillRect/>
                    </a:stretch>
                  </pic:blipFill>
                  <pic:spPr>
                    <a:xfrm>
                      <a:off x="0" y="0"/>
                      <a:ext cx="4975545" cy="2464809"/>
                    </a:xfrm>
                    <a:prstGeom prst="rect">
                      <a:avLst/>
                    </a:prstGeom>
                    <a:ln w="3175">
                      <a:solidFill>
                        <a:schemeClr val="tx1"/>
                      </a:solidFill>
                    </a:ln>
                  </pic:spPr>
                </pic:pic>
              </a:graphicData>
            </a:graphic>
          </wp:inline>
        </w:drawing>
      </w:r>
    </w:p>
    <w:p w14:paraId="4164F74C" w14:textId="45BF1F14" w:rsidR="00400DE6" w:rsidRPr="009E1333" w:rsidRDefault="00400DE6" w:rsidP="00400DE6">
      <w:pPr>
        <w:pStyle w:val="NormalWeb"/>
        <w:jc w:val="center"/>
        <w:rPr>
          <w:rFonts w:ascii="Arial" w:hAnsi="Arial" w:cs="Arial"/>
          <w:b/>
          <w:bCs/>
          <w:sz w:val="20"/>
          <w:szCs w:val="20"/>
        </w:rPr>
      </w:pPr>
      <w:r w:rsidRPr="009E1333">
        <w:rPr>
          <w:rFonts w:ascii="Arial" w:hAnsi="Arial" w:cs="Arial"/>
          <w:b/>
          <w:bCs/>
          <w:sz w:val="20"/>
          <w:szCs w:val="20"/>
        </w:rPr>
        <w:t>Fig</w:t>
      </w:r>
      <w:r w:rsidR="00804FE2">
        <w:rPr>
          <w:rFonts w:ascii="Arial" w:hAnsi="Arial" w:cs="Arial"/>
          <w:b/>
          <w:bCs/>
          <w:sz w:val="20"/>
          <w:szCs w:val="20"/>
        </w:rPr>
        <w:t xml:space="preserve">. </w:t>
      </w:r>
      <w:r w:rsidRPr="009E1333">
        <w:rPr>
          <w:rFonts w:ascii="Arial" w:hAnsi="Arial" w:cs="Arial"/>
          <w:b/>
          <w:bCs/>
          <w:sz w:val="20"/>
          <w:szCs w:val="20"/>
        </w:rPr>
        <w:t>6</w:t>
      </w:r>
      <w:r w:rsidR="00804FE2">
        <w:rPr>
          <w:rFonts w:ascii="Arial" w:hAnsi="Arial" w:cs="Arial"/>
          <w:b/>
          <w:bCs/>
          <w:sz w:val="20"/>
          <w:szCs w:val="20"/>
        </w:rPr>
        <w:t>:</w:t>
      </w:r>
      <w:r w:rsidRPr="009E1333">
        <w:rPr>
          <w:rFonts w:ascii="Arial" w:hAnsi="Arial" w:cs="Arial"/>
          <w:b/>
          <w:bCs/>
          <w:sz w:val="20"/>
          <w:szCs w:val="20"/>
        </w:rPr>
        <w:t xml:space="preserve"> Aphids</w:t>
      </w:r>
      <w:r w:rsidR="000F4C41">
        <w:rPr>
          <w:rFonts w:ascii="Arial" w:hAnsi="Arial" w:cs="Arial"/>
          <w:b/>
          <w:bCs/>
          <w:sz w:val="20"/>
          <w:szCs w:val="20"/>
        </w:rPr>
        <w:t xml:space="preserve"> and its management </w:t>
      </w:r>
    </w:p>
    <w:p w14:paraId="596FE351" w14:textId="77777777" w:rsidR="00400DE6" w:rsidRPr="009E1333" w:rsidRDefault="00400DE6" w:rsidP="00400DE6">
      <w:pPr>
        <w:spacing w:line="240" w:lineRule="auto"/>
        <w:rPr>
          <w:rFonts w:ascii="Arial" w:eastAsia="Times New Roman" w:hAnsi="Arial" w:cs="Arial"/>
          <w:b/>
          <w:bCs/>
          <w:kern w:val="0"/>
          <w:sz w:val="20"/>
          <w:szCs w:val="20"/>
          <w:lang w:eastAsia="en-IN"/>
          <w14:ligatures w14:val="none"/>
        </w:rPr>
      </w:pPr>
      <w:r>
        <w:rPr>
          <w:rFonts w:ascii="Arial" w:eastAsia="Times New Roman" w:hAnsi="Arial" w:cs="Arial"/>
          <w:b/>
          <w:bCs/>
          <w:kern w:val="0"/>
          <w:sz w:val="20"/>
          <w:szCs w:val="20"/>
          <w:lang w:eastAsia="en-IN"/>
          <w14:ligatures w14:val="none"/>
        </w:rPr>
        <w:t xml:space="preserve">4.2 </w:t>
      </w:r>
      <w:r w:rsidRPr="009E1333">
        <w:rPr>
          <w:rFonts w:ascii="Arial" w:eastAsia="Times New Roman" w:hAnsi="Arial" w:cs="Arial"/>
          <w:b/>
          <w:bCs/>
          <w:kern w:val="0"/>
          <w:sz w:val="20"/>
          <w:szCs w:val="20"/>
          <w:lang w:eastAsia="en-IN"/>
          <w14:ligatures w14:val="none"/>
        </w:rPr>
        <w:t xml:space="preserve">Whiteflies </w:t>
      </w:r>
    </w:p>
    <w:p w14:paraId="347089EC" w14:textId="54888FD1" w:rsidR="00400DE6" w:rsidRPr="00A6616B" w:rsidRDefault="00400DE6" w:rsidP="00400DE6">
      <w:pPr>
        <w:spacing w:line="240" w:lineRule="auto"/>
        <w:jc w:val="both"/>
        <w:rPr>
          <w:rFonts w:ascii="Arial" w:eastAsia="Times New Roman" w:hAnsi="Arial" w:cs="Arial"/>
          <w:kern w:val="0"/>
          <w:sz w:val="20"/>
          <w:szCs w:val="20"/>
          <w:lang w:eastAsia="en-IN"/>
          <w14:ligatures w14:val="none"/>
        </w:rPr>
      </w:pPr>
      <w:r w:rsidRPr="00A6616B">
        <w:rPr>
          <w:rFonts w:ascii="Arial" w:eastAsia="Times New Roman" w:hAnsi="Arial" w:cs="Arial"/>
          <w:kern w:val="0"/>
          <w:sz w:val="20"/>
          <w:szCs w:val="20"/>
          <w:lang w:eastAsia="en-IN"/>
          <w14:ligatures w14:val="none"/>
        </w:rPr>
        <w:t>Whitefly (</w:t>
      </w:r>
      <w:proofErr w:type="spellStart"/>
      <w:r w:rsidRPr="000F4C41">
        <w:rPr>
          <w:rFonts w:ascii="Arial" w:eastAsia="Times New Roman" w:hAnsi="Arial" w:cs="Arial"/>
          <w:i/>
          <w:kern w:val="0"/>
          <w:sz w:val="20"/>
          <w:szCs w:val="20"/>
          <w:lang w:eastAsia="en-IN"/>
          <w14:ligatures w14:val="none"/>
        </w:rPr>
        <w:t>Bemisia</w:t>
      </w:r>
      <w:proofErr w:type="spellEnd"/>
      <w:r w:rsidRPr="000F4C41">
        <w:rPr>
          <w:rFonts w:ascii="Arial" w:eastAsia="Times New Roman" w:hAnsi="Arial" w:cs="Arial"/>
          <w:i/>
          <w:kern w:val="0"/>
          <w:sz w:val="20"/>
          <w:szCs w:val="20"/>
          <w:lang w:eastAsia="en-IN"/>
          <w14:ligatures w14:val="none"/>
        </w:rPr>
        <w:t xml:space="preserve"> </w:t>
      </w:r>
      <w:proofErr w:type="spellStart"/>
      <w:r w:rsidRPr="000F4C41">
        <w:rPr>
          <w:rFonts w:ascii="Arial" w:eastAsia="Times New Roman" w:hAnsi="Arial" w:cs="Arial"/>
          <w:i/>
          <w:kern w:val="0"/>
          <w:sz w:val="20"/>
          <w:szCs w:val="20"/>
          <w:lang w:eastAsia="en-IN"/>
          <w14:ligatures w14:val="none"/>
        </w:rPr>
        <w:t>tabaci</w:t>
      </w:r>
      <w:proofErr w:type="spellEnd"/>
      <w:r w:rsidRPr="000F4C41">
        <w:rPr>
          <w:rFonts w:ascii="Arial" w:eastAsia="Times New Roman" w:hAnsi="Arial" w:cs="Arial"/>
          <w:i/>
          <w:kern w:val="0"/>
          <w:sz w:val="20"/>
          <w:szCs w:val="20"/>
          <w:lang w:eastAsia="en-IN"/>
          <w14:ligatures w14:val="none"/>
        </w:rPr>
        <w:t>)</w:t>
      </w:r>
      <w:r w:rsidRPr="00A6616B">
        <w:rPr>
          <w:rFonts w:ascii="Arial" w:eastAsia="Times New Roman" w:hAnsi="Arial" w:cs="Arial"/>
          <w:kern w:val="0"/>
          <w:sz w:val="20"/>
          <w:szCs w:val="20"/>
          <w:lang w:eastAsia="en-IN"/>
          <w14:ligatures w14:val="none"/>
        </w:rPr>
        <w:t xml:space="preserve"> infestation has become a significant challenge for floral nurseries in Kerala, particularly because the state's tropical climate provides ideal conditions for their proliferation. These small, sap-sucking insects thrive in warm and humid environments, making greenhouses and nurseries highly susceptible to their presence. Whiteflies damage plants by feeding on phloem sap, resulting in stunted growth, leaf yellowing, and premature defoliation. Additionally, they excrete honeydew, a sticky substance that encourages the growth of sooty </w:t>
      </w:r>
      <w:proofErr w:type="spellStart"/>
      <w:r w:rsidRPr="00A6616B">
        <w:rPr>
          <w:rFonts w:ascii="Arial" w:eastAsia="Times New Roman" w:hAnsi="Arial" w:cs="Arial"/>
          <w:kern w:val="0"/>
          <w:sz w:val="20"/>
          <w:szCs w:val="20"/>
          <w:lang w:eastAsia="en-IN"/>
          <w14:ligatures w14:val="none"/>
        </w:rPr>
        <w:t>mold</w:t>
      </w:r>
      <w:proofErr w:type="spellEnd"/>
      <w:r w:rsidRPr="00A6616B">
        <w:rPr>
          <w:rFonts w:ascii="Arial" w:eastAsia="Times New Roman" w:hAnsi="Arial" w:cs="Arial"/>
          <w:kern w:val="0"/>
          <w:sz w:val="20"/>
          <w:szCs w:val="20"/>
          <w:lang w:eastAsia="en-IN"/>
          <w14:ligatures w14:val="none"/>
        </w:rPr>
        <w:t xml:space="preserve"> on leaves, further diminishing the aesthetic quality and marketability of ornamental plants (</w:t>
      </w:r>
      <w:proofErr w:type="spellStart"/>
      <w:r w:rsidRPr="00A6616B">
        <w:rPr>
          <w:rFonts w:ascii="Arial" w:hAnsi="Arial" w:cs="Arial"/>
          <w:sz w:val="20"/>
          <w:szCs w:val="20"/>
        </w:rPr>
        <w:t>Trivellini</w:t>
      </w:r>
      <w:proofErr w:type="spellEnd"/>
      <w:r w:rsidRPr="00A6616B">
        <w:rPr>
          <w:rFonts w:ascii="Arial" w:eastAsia="Times New Roman" w:hAnsi="Arial" w:cs="Arial"/>
          <w:kern w:val="0"/>
          <w:sz w:val="20"/>
          <w:szCs w:val="20"/>
          <w:lang w:eastAsia="en-IN"/>
          <w14:ligatures w14:val="none"/>
        </w:rPr>
        <w:t xml:space="preserve"> et al., 2020). Floral crops in Kerala, such as roses (</w:t>
      </w:r>
      <w:r w:rsidRPr="000F4C41">
        <w:rPr>
          <w:rFonts w:ascii="Arial" w:eastAsia="Times New Roman" w:hAnsi="Arial" w:cs="Arial"/>
          <w:i/>
          <w:kern w:val="0"/>
          <w:sz w:val="20"/>
          <w:szCs w:val="20"/>
          <w:lang w:eastAsia="en-IN"/>
          <w14:ligatures w14:val="none"/>
        </w:rPr>
        <w:t>Rosa spp.),</w:t>
      </w:r>
      <w:r w:rsidRPr="00A6616B">
        <w:rPr>
          <w:rFonts w:ascii="Arial" w:eastAsia="Times New Roman" w:hAnsi="Arial" w:cs="Arial"/>
          <w:kern w:val="0"/>
          <w:sz w:val="20"/>
          <w:szCs w:val="20"/>
          <w:lang w:eastAsia="en-IN"/>
          <w14:ligatures w14:val="none"/>
        </w:rPr>
        <w:t xml:space="preserve"> marigolds (</w:t>
      </w:r>
      <w:proofErr w:type="spellStart"/>
      <w:r w:rsidRPr="000F4C41">
        <w:rPr>
          <w:rFonts w:ascii="Arial" w:eastAsia="Times New Roman" w:hAnsi="Arial" w:cs="Arial"/>
          <w:i/>
          <w:kern w:val="0"/>
          <w:sz w:val="20"/>
          <w:szCs w:val="20"/>
          <w:lang w:eastAsia="en-IN"/>
          <w14:ligatures w14:val="none"/>
        </w:rPr>
        <w:t>Tagetes</w:t>
      </w:r>
      <w:proofErr w:type="spellEnd"/>
      <w:r w:rsidRPr="000F4C41">
        <w:rPr>
          <w:rFonts w:ascii="Arial" w:eastAsia="Times New Roman" w:hAnsi="Arial" w:cs="Arial"/>
          <w:i/>
          <w:kern w:val="0"/>
          <w:sz w:val="20"/>
          <w:szCs w:val="20"/>
          <w:lang w:eastAsia="en-IN"/>
          <w14:ligatures w14:val="none"/>
        </w:rPr>
        <w:t xml:space="preserve"> spp.),</w:t>
      </w:r>
      <w:r w:rsidRPr="00A6616B">
        <w:rPr>
          <w:rFonts w:ascii="Arial" w:eastAsia="Times New Roman" w:hAnsi="Arial" w:cs="Arial"/>
          <w:kern w:val="0"/>
          <w:sz w:val="20"/>
          <w:szCs w:val="20"/>
          <w:lang w:eastAsia="en-IN"/>
          <w14:ligatures w14:val="none"/>
        </w:rPr>
        <w:t xml:space="preserve"> chrysanthemums (</w:t>
      </w:r>
      <w:r w:rsidRPr="000F4C41">
        <w:rPr>
          <w:rFonts w:ascii="Arial" w:eastAsia="Times New Roman" w:hAnsi="Arial" w:cs="Arial"/>
          <w:i/>
          <w:kern w:val="0"/>
          <w:sz w:val="20"/>
          <w:szCs w:val="20"/>
          <w:lang w:eastAsia="en-IN"/>
          <w14:ligatures w14:val="none"/>
        </w:rPr>
        <w:t>Chrysanthemum spp.),</w:t>
      </w:r>
      <w:r w:rsidRPr="00A6616B">
        <w:rPr>
          <w:rFonts w:ascii="Arial" w:eastAsia="Times New Roman" w:hAnsi="Arial" w:cs="Arial"/>
          <w:kern w:val="0"/>
          <w:sz w:val="20"/>
          <w:szCs w:val="20"/>
          <w:lang w:eastAsia="en-IN"/>
          <w14:ligatures w14:val="none"/>
        </w:rPr>
        <w:t xml:space="preserve"> and gerberas (</w:t>
      </w:r>
      <w:r w:rsidRPr="000F4C41">
        <w:rPr>
          <w:rFonts w:ascii="Arial" w:eastAsia="Times New Roman" w:hAnsi="Arial" w:cs="Arial"/>
          <w:i/>
          <w:kern w:val="0"/>
          <w:sz w:val="20"/>
          <w:szCs w:val="20"/>
          <w:lang w:eastAsia="en-IN"/>
          <w14:ligatures w14:val="none"/>
        </w:rPr>
        <w:t xml:space="preserve">Gerbera </w:t>
      </w:r>
      <w:proofErr w:type="spellStart"/>
      <w:r w:rsidRPr="000F4C41">
        <w:rPr>
          <w:rFonts w:ascii="Arial" w:eastAsia="Times New Roman" w:hAnsi="Arial" w:cs="Arial"/>
          <w:i/>
          <w:kern w:val="0"/>
          <w:sz w:val="20"/>
          <w:szCs w:val="20"/>
          <w:lang w:eastAsia="en-IN"/>
          <w14:ligatures w14:val="none"/>
        </w:rPr>
        <w:t>jamesonii</w:t>
      </w:r>
      <w:proofErr w:type="spellEnd"/>
      <w:r w:rsidRPr="000F4C41">
        <w:rPr>
          <w:rFonts w:ascii="Arial" w:eastAsia="Times New Roman" w:hAnsi="Arial" w:cs="Arial"/>
          <w:i/>
          <w:kern w:val="0"/>
          <w:sz w:val="20"/>
          <w:szCs w:val="20"/>
          <w:lang w:eastAsia="en-IN"/>
          <w14:ligatures w14:val="none"/>
        </w:rPr>
        <w:t>),</w:t>
      </w:r>
      <w:r w:rsidRPr="00A6616B">
        <w:rPr>
          <w:rFonts w:ascii="Arial" w:eastAsia="Times New Roman" w:hAnsi="Arial" w:cs="Arial"/>
          <w:kern w:val="0"/>
          <w:sz w:val="20"/>
          <w:szCs w:val="20"/>
          <w:lang w:eastAsia="en-IN"/>
          <w14:ligatures w14:val="none"/>
        </w:rPr>
        <w:t xml:space="preserve"> are particularly vulnerable to whitefly infestations. Beyond direct plant damage, whiteflies also act as vectors for viral pathogens, including the Tomato Yellow Leaf Curl Virus (TYLCV) and the Chilli Leaf Curl Virus (</w:t>
      </w:r>
      <w:proofErr w:type="spellStart"/>
      <w:r w:rsidRPr="00A6616B">
        <w:rPr>
          <w:rFonts w:ascii="Arial" w:eastAsia="Times New Roman" w:hAnsi="Arial" w:cs="Arial"/>
          <w:kern w:val="0"/>
          <w:sz w:val="20"/>
          <w:szCs w:val="20"/>
          <w:lang w:eastAsia="en-IN"/>
          <w14:ligatures w14:val="none"/>
        </w:rPr>
        <w:t>ChiLCV</w:t>
      </w:r>
      <w:proofErr w:type="spellEnd"/>
      <w:r w:rsidRPr="00A6616B">
        <w:rPr>
          <w:rFonts w:ascii="Arial" w:eastAsia="Times New Roman" w:hAnsi="Arial" w:cs="Arial"/>
          <w:kern w:val="0"/>
          <w:sz w:val="20"/>
          <w:szCs w:val="20"/>
          <w:lang w:eastAsia="en-IN"/>
          <w14:ligatures w14:val="none"/>
        </w:rPr>
        <w:t>), leading to significant yield losses (</w:t>
      </w:r>
      <w:proofErr w:type="spellStart"/>
      <w:r w:rsidRPr="00A6616B">
        <w:rPr>
          <w:rFonts w:ascii="Arial" w:hAnsi="Arial" w:cs="Arial"/>
          <w:sz w:val="20"/>
          <w:szCs w:val="20"/>
        </w:rPr>
        <w:t>Shingote</w:t>
      </w:r>
      <w:proofErr w:type="spellEnd"/>
      <w:r w:rsidRPr="00A6616B">
        <w:rPr>
          <w:rFonts w:ascii="Arial" w:eastAsia="Times New Roman" w:hAnsi="Arial" w:cs="Arial"/>
          <w:kern w:val="0"/>
          <w:sz w:val="20"/>
          <w:szCs w:val="20"/>
          <w:lang w:eastAsia="en-IN"/>
          <w14:ligatures w14:val="none"/>
        </w:rPr>
        <w:t xml:space="preserve"> </w:t>
      </w:r>
      <w:r w:rsidRPr="00A6616B">
        <w:rPr>
          <w:rFonts w:ascii="Arial" w:eastAsia="Times New Roman" w:hAnsi="Arial" w:cs="Arial"/>
          <w:i/>
          <w:iCs/>
          <w:kern w:val="0"/>
          <w:sz w:val="20"/>
          <w:szCs w:val="20"/>
          <w:lang w:eastAsia="en-IN"/>
          <w14:ligatures w14:val="none"/>
        </w:rPr>
        <w:t>et al</w:t>
      </w:r>
      <w:r w:rsidRPr="00A6616B">
        <w:rPr>
          <w:rFonts w:ascii="Arial" w:eastAsia="Times New Roman" w:hAnsi="Arial" w:cs="Arial"/>
          <w:kern w:val="0"/>
          <w:sz w:val="20"/>
          <w:szCs w:val="20"/>
          <w:lang w:eastAsia="en-IN"/>
          <w14:ligatures w14:val="none"/>
        </w:rPr>
        <w:t>., 2022). The dense planting and constant presence of host plants in floral nurseries create a continuous breeding environment for whiteflies, making management even more challenging</w:t>
      </w:r>
      <w:r w:rsidR="000F4C41">
        <w:rPr>
          <w:rFonts w:ascii="Arial" w:eastAsia="Times New Roman" w:hAnsi="Arial" w:cs="Arial"/>
          <w:kern w:val="0"/>
          <w:sz w:val="20"/>
          <w:szCs w:val="20"/>
          <w:lang w:eastAsia="en-IN"/>
          <w14:ligatures w14:val="none"/>
        </w:rPr>
        <w:t xml:space="preserve"> (Fig. 7)</w:t>
      </w:r>
      <w:r w:rsidRPr="00A6616B">
        <w:rPr>
          <w:rFonts w:ascii="Arial" w:eastAsia="Times New Roman" w:hAnsi="Arial" w:cs="Arial"/>
          <w:kern w:val="0"/>
          <w:sz w:val="20"/>
          <w:szCs w:val="20"/>
          <w:lang w:eastAsia="en-IN"/>
          <w14:ligatures w14:val="none"/>
        </w:rPr>
        <w:t>.</w:t>
      </w:r>
    </w:p>
    <w:p w14:paraId="5C67E100" w14:textId="77777777" w:rsidR="00400DE6" w:rsidRPr="009E1333" w:rsidRDefault="00400DE6" w:rsidP="00400DE6">
      <w:pPr>
        <w:pStyle w:val="NormalWeb"/>
        <w:jc w:val="center"/>
        <w:rPr>
          <w:rFonts w:ascii="Arial" w:hAnsi="Arial" w:cs="Arial"/>
          <w:sz w:val="20"/>
          <w:szCs w:val="20"/>
        </w:rPr>
      </w:pPr>
      <w:r w:rsidRPr="009E1333">
        <w:rPr>
          <w:rFonts w:ascii="Arial" w:hAnsi="Arial" w:cs="Arial"/>
          <w:noProof/>
          <w:sz w:val="20"/>
          <w:szCs w:val="20"/>
        </w:rPr>
        <w:lastRenderedPageBreak/>
        <w:drawing>
          <wp:inline distT="0" distB="0" distL="0" distR="0" wp14:anchorId="61D4BC7D" wp14:editId="394FF182">
            <wp:extent cx="4629150" cy="3027503"/>
            <wp:effectExtent l="19050" t="19050" r="19050" b="20955"/>
            <wp:docPr id="14247155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15591" name="Picture 1424715591"/>
                    <pic:cNvPicPr/>
                  </pic:nvPicPr>
                  <pic:blipFill>
                    <a:blip r:embed="rId13">
                      <a:extLst>
                        <a:ext uri="{28A0092B-C50C-407E-A947-70E740481C1C}">
                          <a14:useLocalDpi xmlns:a14="http://schemas.microsoft.com/office/drawing/2010/main" val="0"/>
                        </a:ext>
                      </a:extLst>
                    </a:blip>
                    <a:stretch>
                      <a:fillRect/>
                    </a:stretch>
                  </pic:blipFill>
                  <pic:spPr>
                    <a:xfrm>
                      <a:off x="0" y="0"/>
                      <a:ext cx="4655496" cy="3044734"/>
                    </a:xfrm>
                    <a:prstGeom prst="rect">
                      <a:avLst/>
                    </a:prstGeom>
                    <a:ln w="3175">
                      <a:solidFill>
                        <a:schemeClr val="tx1"/>
                      </a:solidFill>
                    </a:ln>
                  </pic:spPr>
                </pic:pic>
              </a:graphicData>
            </a:graphic>
          </wp:inline>
        </w:drawing>
      </w:r>
    </w:p>
    <w:p w14:paraId="182F94AB" w14:textId="77777777" w:rsidR="00400DE6" w:rsidRPr="009E1333" w:rsidRDefault="00400DE6" w:rsidP="00400DE6">
      <w:pPr>
        <w:spacing w:line="240" w:lineRule="auto"/>
        <w:jc w:val="center"/>
        <w:rPr>
          <w:rFonts w:ascii="Arial" w:eastAsia="Times New Roman" w:hAnsi="Arial" w:cs="Arial"/>
          <w:b/>
          <w:kern w:val="0"/>
          <w:sz w:val="20"/>
          <w:szCs w:val="20"/>
          <w:lang w:eastAsia="en-IN"/>
          <w14:ligatures w14:val="none"/>
        </w:rPr>
      </w:pPr>
      <w:r w:rsidRPr="009E1333">
        <w:rPr>
          <w:rFonts w:ascii="Arial" w:eastAsia="Times New Roman" w:hAnsi="Arial" w:cs="Arial"/>
          <w:b/>
          <w:kern w:val="0"/>
          <w:sz w:val="20"/>
          <w:szCs w:val="20"/>
          <w:lang w:eastAsia="en-IN"/>
          <w14:ligatures w14:val="none"/>
        </w:rPr>
        <w:t>Fig</w:t>
      </w:r>
      <w:r>
        <w:rPr>
          <w:rFonts w:ascii="Arial" w:eastAsia="Times New Roman" w:hAnsi="Arial" w:cs="Arial"/>
          <w:b/>
          <w:kern w:val="0"/>
          <w:sz w:val="20"/>
          <w:szCs w:val="20"/>
          <w:lang w:eastAsia="en-IN"/>
          <w14:ligatures w14:val="none"/>
        </w:rPr>
        <w:t xml:space="preserve">. </w:t>
      </w:r>
      <w:r w:rsidRPr="009E1333">
        <w:rPr>
          <w:rFonts w:ascii="Arial" w:eastAsia="Times New Roman" w:hAnsi="Arial" w:cs="Arial"/>
          <w:b/>
          <w:kern w:val="0"/>
          <w:sz w:val="20"/>
          <w:szCs w:val="20"/>
          <w:lang w:eastAsia="en-IN"/>
          <w14:ligatures w14:val="none"/>
        </w:rPr>
        <w:t>7</w:t>
      </w:r>
      <w:r>
        <w:rPr>
          <w:rFonts w:ascii="Arial" w:eastAsia="Times New Roman" w:hAnsi="Arial" w:cs="Arial"/>
          <w:b/>
          <w:kern w:val="0"/>
          <w:sz w:val="20"/>
          <w:szCs w:val="20"/>
          <w:lang w:eastAsia="en-IN"/>
          <w14:ligatures w14:val="none"/>
        </w:rPr>
        <w:t>:</w:t>
      </w:r>
      <w:r w:rsidRPr="009E1333">
        <w:rPr>
          <w:rFonts w:ascii="Arial" w:eastAsia="Times New Roman" w:hAnsi="Arial" w:cs="Arial"/>
          <w:b/>
          <w:kern w:val="0"/>
          <w:sz w:val="20"/>
          <w:szCs w:val="20"/>
          <w:lang w:eastAsia="en-IN"/>
          <w14:ligatures w14:val="none"/>
        </w:rPr>
        <w:t xml:space="preserve"> Whitefly Infestation: A Significant Issue in Kerala's Floral Nurseries</w:t>
      </w:r>
    </w:p>
    <w:p w14:paraId="74672B86" w14:textId="77777777" w:rsidR="00400DE6" w:rsidRPr="009E1333" w:rsidRDefault="00400DE6" w:rsidP="00400DE6">
      <w:pPr>
        <w:spacing w:line="240" w:lineRule="auto"/>
        <w:rPr>
          <w:rFonts w:ascii="Arial" w:eastAsia="Times New Roman" w:hAnsi="Arial" w:cs="Arial"/>
          <w:b/>
          <w:bCs/>
          <w:kern w:val="0"/>
          <w:sz w:val="20"/>
          <w:szCs w:val="20"/>
          <w:lang w:eastAsia="en-IN"/>
          <w14:ligatures w14:val="none"/>
        </w:rPr>
      </w:pPr>
      <w:r>
        <w:rPr>
          <w:rFonts w:ascii="Arial" w:eastAsia="Times New Roman" w:hAnsi="Arial" w:cs="Arial"/>
          <w:b/>
          <w:bCs/>
          <w:kern w:val="0"/>
          <w:sz w:val="20"/>
          <w:szCs w:val="20"/>
          <w:lang w:eastAsia="en-IN"/>
          <w14:ligatures w14:val="none"/>
        </w:rPr>
        <w:t xml:space="preserve">4.3 </w:t>
      </w:r>
      <w:proofErr w:type="spellStart"/>
      <w:r w:rsidRPr="009E1333">
        <w:rPr>
          <w:rFonts w:ascii="Arial" w:eastAsia="Times New Roman" w:hAnsi="Arial" w:cs="Arial"/>
          <w:b/>
          <w:bCs/>
          <w:kern w:val="0"/>
          <w:sz w:val="20"/>
          <w:szCs w:val="20"/>
          <w:lang w:eastAsia="en-IN"/>
          <w14:ligatures w14:val="none"/>
        </w:rPr>
        <w:t>Thrips</w:t>
      </w:r>
      <w:proofErr w:type="spellEnd"/>
      <w:r w:rsidRPr="009E1333">
        <w:rPr>
          <w:rFonts w:ascii="Arial" w:eastAsia="Times New Roman" w:hAnsi="Arial" w:cs="Arial"/>
          <w:b/>
          <w:bCs/>
          <w:kern w:val="0"/>
          <w:sz w:val="20"/>
          <w:szCs w:val="20"/>
          <w:lang w:eastAsia="en-IN"/>
          <w14:ligatures w14:val="none"/>
        </w:rPr>
        <w:t xml:space="preserve"> </w:t>
      </w:r>
    </w:p>
    <w:p w14:paraId="34FDB7DB" w14:textId="5B949AAC" w:rsidR="00400DE6" w:rsidRPr="00A6616B" w:rsidRDefault="00400DE6" w:rsidP="00400DE6">
      <w:pPr>
        <w:pStyle w:val="NormalWeb"/>
        <w:jc w:val="both"/>
        <w:rPr>
          <w:rFonts w:ascii="Arial" w:hAnsi="Arial" w:cs="Arial"/>
          <w:sz w:val="20"/>
          <w:szCs w:val="20"/>
        </w:rPr>
      </w:pPr>
      <w:proofErr w:type="spellStart"/>
      <w:r w:rsidRPr="00A6616B">
        <w:rPr>
          <w:rFonts w:ascii="Arial" w:hAnsi="Arial" w:cs="Arial"/>
          <w:sz w:val="20"/>
          <w:szCs w:val="20"/>
        </w:rPr>
        <w:t>Thrips</w:t>
      </w:r>
      <w:proofErr w:type="spellEnd"/>
      <w:r w:rsidRPr="00A6616B">
        <w:rPr>
          <w:rFonts w:ascii="Arial" w:hAnsi="Arial" w:cs="Arial"/>
          <w:sz w:val="20"/>
          <w:szCs w:val="20"/>
        </w:rPr>
        <w:t xml:space="preserve"> are a significant and challenging pest commonly found in floral nurseries throughout Kerala, where they cause considerable damage to a wide variety of ornamental plants. These tiny, slender insects are often barely visible to the naked eye. They feed on plant tissues by puncturing cells and sucking out their essential contents. This feeding </w:t>
      </w:r>
      <w:proofErr w:type="spellStart"/>
      <w:r w:rsidRPr="00A6616B">
        <w:rPr>
          <w:rFonts w:ascii="Arial" w:hAnsi="Arial" w:cs="Arial"/>
          <w:sz w:val="20"/>
          <w:szCs w:val="20"/>
        </w:rPr>
        <w:t>behavior</w:t>
      </w:r>
      <w:proofErr w:type="spellEnd"/>
      <w:r w:rsidRPr="00A6616B">
        <w:rPr>
          <w:rFonts w:ascii="Arial" w:hAnsi="Arial" w:cs="Arial"/>
          <w:sz w:val="20"/>
          <w:szCs w:val="20"/>
        </w:rPr>
        <w:t xml:space="preserve"> results in various detrimental effects, such as distorted growth patterns, silvering or bronzing of leaves, and deformations in flowers, all of which can severely impact the aesthetic quality of the plants (</w:t>
      </w:r>
      <w:r w:rsidRPr="00A6616B">
        <w:rPr>
          <w:sz w:val="20"/>
          <w:szCs w:val="20"/>
        </w:rPr>
        <w:t>Knapp</w:t>
      </w:r>
      <w:r w:rsidRPr="00A6616B">
        <w:rPr>
          <w:rFonts w:ascii="Arial" w:hAnsi="Arial" w:cs="Arial"/>
          <w:sz w:val="20"/>
          <w:szCs w:val="20"/>
        </w:rPr>
        <w:t xml:space="preserve">, 2020). In the humid and warm climate of Kerala, </w:t>
      </w:r>
      <w:proofErr w:type="spellStart"/>
      <w:r w:rsidRPr="00A6616B">
        <w:rPr>
          <w:rFonts w:ascii="Arial" w:hAnsi="Arial" w:cs="Arial"/>
          <w:sz w:val="20"/>
          <w:szCs w:val="20"/>
        </w:rPr>
        <w:t>thrip</w:t>
      </w:r>
      <w:proofErr w:type="spellEnd"/>
      <w:r w:rsidRPr="00A6616B">
        <w:rPr>
          <w:rFonts w:ascii="Arial" w:hAnsi="Arial" w:cs="Arial"/>
          <w:sz w:val="20"/>
          <w:szCs w:val="20"/>
        </w:rPr>
        <w:t xml:space="preserve"> populations can multiply at an alarming rate, posing a serious threat to the health and viability of nurseries. The plants most commonly affected by infestations include popular varieties such as roses, chrysanthemums, marigolds, and orchids, all of which are highly valued in the floral market. Signs of </w:t>
      </w:r>
      <w:proofErr w:type="spellStart"/>
      <w:r w:rsidRPr="00A6616B">
        <w:rPr>
          <w:rFonts w:ascii="Arial" w:hAnsi="Arial" w:cs="Arial"/>
          <w:sz w:val="20"/>
          <w:szCs w:val="20"/>
        </w:rPr>
        <w:t>thrip</w:t>
      </w:r>
      <w:proofErr w:type="spellEnd"/>
      <w:r w:rsidRPr="00A6616B">
        <w:rPr>
          <w:rFonts w:ascii="Arial" w:hAnsi="Arial" w:cs="Arial"/>
          <w:sz w:val="20"/>
          <w:szCs w:val="20"/>
        </w:rPr>
        <w:t xml:space="preserve"> infestations can often be identified by the presence of tiny black specks, which are </w:t>
      </w:r>
      <w:proofErr w:type="spellStart"/>
      <w:r w:rsidRPr="00A6616B">
        <w:rPr>
          <w:rFonts w:ascii="Arial" w:hAnsi="Arial" w:cs="Arial"/>
          <w:sz w:val="20"/>
          <w:szCs w:val="20"/>
        </w:rPr>
        <w:t>fecal</w:t>
      </w:r>
      <w:proofErr w:type="spellEnd"/>
      <w:r w:rsidRPr="00A6616B">
        <w:rPr>
          <w:rFonts w:ascii="Arial" w:hAnsi="Arial" w:cs="Arial"/>
          <w:sz w:val="20"/>
          <w:szCs w:val="20"/>
        </w:rPr>
        <w:t xml:space="preserve"> droppings left by the insects. Affected leaves may also exhibit silvery discoloration, while flowers can appear curled or scarred, indicating significant damage (Rijn et al., 1995). Additionally, </w:t>
      </w:r>
      <w:proofErr w:type="spellStart"/>
      <w:r w:rsidRPr="00A6616B">
        <w:rPr>
          <w:rFonts w:ascii="Arial" w:hAnsi="Arial" w:cs="Arial"/>
          <w:sz w:val="20"/>
          <w:szCs w:val="20"/>
        </w:rPr>
        <w:t>thrips</w:t>
      </w:r>
      <w:proofErr w:type="spellEnd"/>
      <w:r w:rsidRPr="00A6616B">
        <w:rPr>
          <w:rFonts w:ascii="Arial" w:hAnsi="Arial" w:cs="Arial"/>
          <w:sz w:val="20"/>
          <w:szCs w:val="20"/>
        </w:rPr>
        <w:t xml:space="preserve"> not only cause direct harm to the plants but also act as vectors for several plant viruses, including the notorious Tomato Spotted Wilt Virus (TSWV). This complicates control efforts as managing the pest population becomes increasingly difficult when viral diseases are considered</w:t>
      </w:r>
      <w:r w:rsidR="000F4C41">
        <w:rPr>
          <w:rFonts w:ascii="Arial" w:hAnsi="Arial" w:cs="Arial"/>
          <w:sz w:val="20"/>
          <w:szCs w:val="20"/>
        </w:rPr>
        <w:t xml:space="preserve"> (Fig. 8)</w:t>
      </w:r>
      <w:r w:rsidRPr="00A6616B">
        <w:rPr>
          <w:rFonts w:ascii="Arial" w:hAnsi="Arial" w:cs="Arial"/>
          <w:sz w:val="20"/>
          <w:szCs w:val="20"/>
        </w:rPr>
        <w:t xml:space="preserve">. Overall, the presence of </w:t>
      </w:r>
      <w:proofErr w:type="spellStart"/>
      <w:r w:rsidRPr="00A6616B">
        <w:rPr>
          <w:rFonts w:ascii="Arial" w:hAnsi="Arial" w:cs="Arial"/>
          <w:sz w:val="20"/>
          <w:szCs w:val="20"/>
        </w:rPr>
        <w:t>thrips</w:t>
      </w:r>
      <w:proofErr w:type="spellEnd"/>
      <w:r w:rsidRPr="00A6616B">
        <w:rPr>
          <w:rFonts w:ascii="Arial" w:hAnsi="Arial" w:cs="Arial"/>
          <w:sz w:val="20"/>
          <w:szCs w:val="20"/>
        </w:rPr>
        <w:t xml:space="preserve"> in nurseries requires diligent monitoring and effective management strategies to mitigate their impact on ornamental plants and ensure the success of floral cultivation in the region.</w:t>
      </w:r>
    </w:p>
    <w:p w14:paraId="04830FEC" w14:textId="77777777" w:rsidR="00400DE6" w:rsidRPr="009E1333" w:rsidRDefault="00400DE6" w:rsidP="00400DE6">
      <w:pPr>
        <w:pStyle w:val="NormalWeb"/>
        <w:jc w:val="center"/>
        <w:rPr>
          <w:rFonts w:ascii="Arial" w:hAnsi="Arial" w:cs="Arial"/>
          <w:sz w:val="20"/>
          <w:szCs w:val="20"/>
        </w:rPr>
      </w:pPr>
      <w:r w:rsidRPr="009E1333">
        <w:rPr>
          <w:rFonts w:ascii="Arial" w:hAnsi="Arial" w:cs="Arial"/>
          <w:noProof/>
          <w:sz w:val="20"/>
          <w:szCs w:val="20"/>
        </w:rPr>
        <w:lastRenderedPageBreak/>
        <w:drawing>
          <wp:inline distT="0" distB="0" distL="0" distR="0" wp14:anchorId="4AF0E9DC" wp14:editId="17486A67">
            <wp:extent cx="4978400" cy="2529320"/>
            <wp:effectExtent l="19050" t="19050" r="12700" b="23495"/>
            <wp:docPr id="6079609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60961" name="Picture 607960961"/>
                    <pic:cNvPicPr/>
                  </pic:nvPicPr>
                  <pic:blipFill>
                    <a:blip r:embed="rId14">
                      <a:extLst>
                        <a:ext uri="{28A0092B-C50C-407E-A947-70E740481C1C}">
                          <a14:useLocalDpi xmlns:a14="http://schemas.microsoft.com/office/drawing/2010/main" val="0"/>
                        </a:ext>
                      </a:extLst>
                    </a:blip>
                    <a:stretch>
                      <a:fillRect/>
                    </a:stretch>
                  </pic:blipFill>
                  <pic:spPr>
                    <a:xfrm>
                      <a:off x="0" y="0"/>
                      <a:ext cx="5018570" cy="2549729"/>
                    </a:xfrm>
                    <a:prstGeom prst="rect">
                      <a:avLst/>
                    </a:prstGeom>
                    <a:ln w="3175">
                      <a:solidFill>
                        <a:schemeClr val="tx1"/>
                      </a:solidFill>
                    </a:ln>
                  </pic:spPr>
                </pic:pic>
              </a:graphicData>
            </a:graphic>
          </wp:inline>
        </w:drawing>
      </w:r>
    </w:p>
    <w:p w14:paraId="33068F87" w14:textId="07509A6B" w:rsidR="00400DE6" w:rsidRPr="009E1333" w:rsidRDefault="00400DE6" w:rsidP="00400DE6">
      <w:pPr>
        <w:spacing w:line="240" w:lineRule="auto"/>
        <w:jc w:val="center"/>
        <w:rPr>
          <w:rFonts w:ascii="Arial" w:eastAsia="Times New Roman" w:hAnsi="Arial" w:cs="Arial"/>
          <w:b/>
          <w:kern w:val="0"/>
          <w:sz w:val="20"/>
          <w:szCs w:val="20"/>
          <w:lang w:eastAsia="en-IN"/>
          <w14:ligatures w14:val="none"/>
        </w:rPr>
      </w:pPr>
      <w:r w:rsidRPr="009E1333">
        <w:rPr>
          <w:rFonts w:ascii="Arial" w:eastAsia="Times New Roman" w:hAnsi="Arial" w:cs="Arial"/>
          <w:b/>
          <w:kern w:val="0"/>
          <w:sz w:val="20"/>
          <w:szCs w:val="20"/>
          <w:lang w:eastAsia="en-IN"/>
          <w14:ligatures w14:val="none"/>
        </w:rPr>
        <w:t>Fig</w:t>
      </w:r>
      <w:r>
        <w:rPr>
          <w:rFonts w:ascii="Arial" w:eastAsia="Times New Roman" w:hAnsi="Arial" w:cs="Arial"/>
          <w:b/>
          <w:kern w:val="0"/>
          <w:sz w:val="20"/>
          <w:szCs w:val="20"/>
          <w:lang w:eastAsia="en-IN"/>
          <w14:ligatures w14:val="none"/>
        </w:rPr>
        <w:t xml:space="preserve">. </w:t>
      </w:r>
      <w:r w:rsidRPr="009E1333">
        <w:rPr>
          <w:rFonts w:ascii="Arial" w:eastAsia="Times New Roman" w:hAnsi="Arial" w:cs="Arial"/>
          <w:b/>
          <w:kern w:val="0"/>
          <w:sz w:val="20"/>
          <w:szCs w:val="20"/>
          <w:lang w:eastAsia="en-IN"/>
          <w14:ligatures w14:val="none"/>
        </w:rPr>
        <w:t>8</w:t>
      </w:r>
      <w:r>
        <w:rPr>
          <w:rFonts w:ascii="Arial" w:eastAsia="Times New Roman" w:hAnsi="Arial" w:cs="Arial"/>
          <w:b/>
          <w:kern w:val="0"/>
          <w:sz w:val="20"/>
          <w:szCs w:val="20"/>
          <w:lang w:eastAsia="en-IN"/>
          <w14:ligatures w14:val="none"/>
        </w:rPr>
        <w:t>:</w:t>
      </w:r>
      <w:r w:rsidRPr="009E1333">
        <w:rPr>
          <w:rFonts w:ascii="Arial" w:eastAsia="Times New Roman" w:hAnsi="Arial" w:cs="Arial"/>
          <w:b/>
          <w:kern w:val="0"/>
          <w:sz w:val="20"/>
          <w:szCs w:val="20"/>
          <w:lang w:eastAsia="en-IN"/>
          <w14:ligatures w14:val="none"/>
        </w:rPr>
        <w:t xml:space="preserve"> </w:t>
      </w:r>
      <w:proofErr w:type="spellStart"/>
      <w:r w:rsidRPr="009E1333">
        <w:rPr>
          <w:rFonts w:ascii="Arial" w:eastAsia="Times New Roman" w:hAnsi="Arial" w:cs="Arial"/>
          <w:b/>
          <w:kern w:val="0"/>
          <w:sz w:val="20"/>
          <w:szCs w:val="20"/>
          <w:lang w:eastAsia="en-IN"/>
          <w14:ligatures w14:val="none"/>
        </w:rPr>
        <w:t>Thrips</w:t>
      </w:r>
      <w:proofErr w:type="spellEnd"/>
      <w:r w:rsidRPr="009E1333">
        <w:rPr>
          <w:rFonts w:ascii="Arial" w:eastAsia="Times New Roman" w:hAnsi="Arial" w:cs="Arial"/>
          <w:b/>
          <w:kern w:val="0"/>
          <w:sz w:val="20"/>
          <w:szCs w:val="20"/>
          <w:lang w:eastAsia="en-IN"/>
          <w14:ligatures w14:val="none"/>
        </w:rPr>
        <w:t xml:space="preserve"> in Floral Nurseries </w:t>
      </w:r>
      <w:r w:rsidR="000F4C41">
        <w:rPr>
          <w:rFonts w:ascii="Arial" w:eastAsia="Times New Roman" w:hAnsi="Arial" w:cs="Arial"/>
          <w:b/>
          <w:kern w:val="0"/>
          <w:sz w:val="20"/>
          <w:szCs w:val="20"/>
          <w:lang w:eastAsia="en-IN"/>
          <w14:ligatures w14:val="none"/>
        </w:rPr>
        <w:t xml:space="preserve">and its management </w:t>
      </w:r>
    </w:p>
    <w:p w14:paraId="1DBCE9C3" w14:textId="77777777" w:rsidR="00400DE6" w:rsidRPr="009E1333" w:rsidRDefault="00400DE6" w:rsidP="00400DE6">
      <w:pPr>
        <w:spacing w:line="240" w:lineRule="auto"/>
        <w:rPr>
          <w:rFonts w:ascii="Arial" w:eastAsia="Times New Roman" w:hAnsi="Arial" w:cs="Arial"/>
          <w:b/>
          <w:bCs/>
          <w:kern w:val="0"/>
          <w:sz w:val="20"/>
          <w:szCs w:val="20"/>
          <w:lang w:eastAsia="en-IN"/>
          <w14:ligatures w14:val="none"/>
        </w:rPr>
      </w:pPr>
      <w:r>
        <w:rPr>
          <w:rFonts w:ascii="Arial" w:eastAsia="Times New Roman" w:hAnsi="Arial" w:cs="Arial"/>
          <w:b/>
          <w:bCs/>
          <w:kern w:val="0"/>
          <w:sz w:val="20"/>
          <w:szCs w:val="20"/>
          <w:lang w:eastAsia="en-IN"/>
          <w14:ligatures w14:val="none"/>
        </w:rPr>
        <w:t xml:space="preserve">4.4 </w:t>
      </w:r>
      <w:r w:rsidRPr="009E1333">
        <w:rPr>
          <w:rFonts w:ascii="Arial" w:eastAsia="Times New Roman" w:hAnsi="Arial" w:cs="Arial"/>
          <w:b/>
          <w:bCs/>
          <w:kern w:val="0"/>
          <w:sz w:val="20"/>
          <w:szCs w:val="20"/>
          <w:lang w:eastAsia="en-IN"/>
          <w14:ligatures w14:val="none"/>
        </w:rPr>
        <w:t xml:space="preserve">Mealybugs </w:t>
      </w:r>
    </w:p>
    <w:p w14:paraId="7360AEC2" w14:textId="6D331B6A" w:rsidR="00400DE6" w:rsidRPr="00A6616B" w:rsidRDefault="00400DE6" w:rsidP="00400DE6">
      <w:p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6616B">
        <w:rPr>
          <w:rFonts w:ascii="Arial" w:eastAsia="Times New Roman" w:hAnsi="Arial" w:cs="Arial"/>
          <w:kern w:val="0"/>
          <w:sz w:val="20"/>
          <w:szCs w:val="20"/>
          <w:lang w:eastAsia="en-IN"/>
          <w14:ligatures w14:val="none"/>
        </w:rPr>
        <w:t xml:space="preserve">Mealybug infestations pose a significant threat to floral nurseries in Kerala, resulting in substantial economic losses. These soft-bodied, sap-sucking insects thrive in warm and humid climates, which makes Kerala’s tropical weather particularly suitable for their growth. Mealybugs primarily feed on the sap of plants, leading to weakened plants, stunted growth, leaf yellowing, and wilting. Additionally, they secrete honeydew, which promotes the growth of sooty </w:t>
      </w:r>
      <w:proofErr w:type="spellStart"/>
      <w:r w:rsidRPr="00A6616B">
        <w:rPr>
          <w:rFonts w:ascii="Arial" w:eastAsia="Times New Roman" w:hAnsi="Arial" w:cs="Arial"/>
          <w:kern w:val="0"/>
          <w:sz w:val="20"/>
          <w:szCs w:val="20"/>
          <w:lang w:eastAsia="en-IN"/>
          <w14:ligatures w14:val="none"/>
        </w:rPr>
        <w:t>mold</w:t>
      </w:r>
      <w:proofErr w:type="spellEnd"/>
      <w:r w:rsidRPr="00A6616B">
        <w:rPr>
          <w:rFonts w:ascii="Arial" w:eastAsia="Times New Roman" w:hAnsi="Arial" w:cs="Arial"/>
          <w:kern w:val="0"/>
          <w:sz w:val="20"/>
          <w:szCs w:val="20"/>
          <w:lang w:eastAsia="en-IN"/>
          <w14:ligatures w14:val="none"/>
        </w:rPr>
        <w:t>, further diminishing the aesthetic and commercial value of ornamental plants. Their feeding activities can also transmit harmful plant pathogens, worsening the damage. In Kerala's floral nurseries, mealybugs target a wide variety of ornamental plants, including hibiscus, roses, anthuriums, and orchids. Infestations can spread rapidly due to the densely packed arrangement of plants, creating ideal conditions for pests to move from one plant to another. The presence of ants, which feed on the honeydew excreted by mealybugs, exacerbates the situation by protecting these pests from their natural predators</w:t>
      </w:r>
      <w:r w:rsidR="000F4C41">
        <w:rPr>
          <w:rFonts w:ascii="Arial" w:eastAsia="Times New Roman" w:hAnsi="Arial" w:cs="Arial"/>
          <w:kern w:val="0"/>
          <w:sz w:val="20"/>
          <w:szCs w:val="20"/>
          <w:lang w:eastAsia="en-IN"/>
          <w14:ligatures w14:val="none"/>
        </w:rPr>
        <w:t xml:space="preserve"> (Fig. 9)</w:t>
      </w:r>
      <w:r w:rsidRPr="00A6616B">
        <w:rPr>
          <w:rFonts w:ascii="Arial" w:eastAsia="Times New Roman" w:hAnsi="Arial" w:cs="Arial"/>
          <w:kern w:val="0"/>
          <w:sz w:val="20"/>
          <w:szCs w:val="20"/>
          <w:lang w:eastAsia="en-IN"/>
          <w14:ligatures w14:val="none"/>
        </w:rPr>
        <w:t>.</w:t>
      </w:r>
    </w:p>
    <w:p w14:paraId="5F1D4F45" w14:textId="77777777" w:rsidR="00400DE6" w:rsidRPr="009E1333" w:rsidRDefault="00400DE6" w:rsidP="00400DE6">
      <w:pPr>
        <w:pStyle w:val="NormalWeb"/>
        <w:rPr>
          <w:rFonts w:ascii="Arial" w:hAnsi="Arial" w:cs="Arial"/>
          <w:sz w:val="20"/>
          <w:szCs w:val="20"/>
        </w:rPr>
      </w:pPr>
      <w:r w:rsidRPr="009E1333">
        <w:rPr>
          <w:rFonts w:ascii="Arial" w:hAnsi="Arial" w:cs="Arial"/>
          <w:sz w:val="20"/>
          <w:szCs w:val="20"/>
        </w:rPr>
        <w:t xml:space="preserve">                                            </w:t>
      </w:r>
    </w:p>
    <w:p w14:paraId="02770195" w14:textId="77777777" w:rsidR="00400DE6" w:rsidRDefault="00400DE6" w:rsidP="00400DE6">
      <w:pPr>
        <w:spacing w:before="100" w:beforeAutospacing="1" w:after="100" w:afterAutospacing="1" w:line="240" w:lineRule="auto"/>
        <w:jc w:val="center"/>
        <w:rPr>
          <w:rFonts w:ascii="Arial" w:eastAsia="Times New Roman" w:hAnsi="Arial" w:cs="Arial"/>
          <w:b/>
          <w:bCs/>
          <w:kern w:val="0"/>
          <w:sz w:val="20"/>
          <w:szCs w:val="20"/>
          <w:lang w:eastAsia="en-IN"/>
          <w14:ligatures w14:val="none"/>
        </w:rPr>
      </w:pPr>
      <w:r w:rsidRPr="009E1333">
        <w:rPr>
          <w:rFonts w:ascii="Arial" w:eastAsia="Times New Roman" w:hAnsi="Arial" w:cs="Arial"/>
          <w:b/>
          <w:bCs/>
          <w:noProof/>
          <w:kern w:val="0"/>
          <w:sz w:val="20"/>
          <w:szCs w:val="20"/>
          <w:lang w:eastAsia="en-IN"/>
        </w:rPr>
        <w:drawing>
          <wp:inline distT="0" distB="0" distL="0" distR="0" wp14:anchorId="50269DDA" wp14:editId="5C90DD6B">
            <wp:extent cx="4411980" cy="2457450"/>
            <wp:effectExtent l="19050" t="19050" r="26670" b="19050"/>
            <wp:docPr id="19278832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83233" name="Picture 1927883233"/>
                    <pic:cNvPicPr/>
                  </pic:nvPicPr>
                  <pic:blipFill>
                    <a:blip r:embed="rId15">
                      <a:extLst>
                        <a:ext uri="{28A0092B-C50C-407E-A947-70E740481C1C}">
                          <a14:useLocalDpi xmlns:a14="http://schemas.microsoft.com/office/drawing/2010/main" val="0"/>
                        </a:ext>
                      </a:extLst>
                    </a:blip>
                    <a:stretch>
                      <a:fillRect/>
                    </a:stretch>
                  </pic:blipFill>
                  <pic:spPr>
                    <a:xfrm>
                      <a:off x="0" y="0"/>
                      <a:ext cx="4441166" cy="2473706"/>
                    </a:xfrm>
                    <a:prstGeom prst="rect">
                      <a:avLst/>
                    </a:prstGeom>
                    <a:ln w="3175">
                      <a:solidFill>
                        <a:schemeClr val="tx1"/>
                      </a:solidFill>
                    </a:ln>
                  </pic:spPr>
                </pic:pic>
              </a:graphicData>
            </a:graphic>
          </wp:inline>
        </w:drawing>
      </w:r>
    </w:p>
    <w:p w14:paraId="2A8459BE" w14:textId="77777777" w:rsidR="00400DE6" w:rsidRPr="00A6616B" w:rsidRDefault="00400DE6" w:rsidP="00400DE6">
      <w:pPr>
        <w:spacing w:before="100" w:beforeAutospacing="1" w:after="100" w:afterAutospacing="1" w:line="240" w:lineRule="auto"/>
        <w:jc w:val="center"/>
        <w:rPr>
          <w:rFonts w:ascii="Arial" w:eastAsia="Times New Roman" w:hAnsi="Arial" w:cs="Arial"/>
          <w:b/>
          <w:bCs/>
          <w:kern w:val="0"/>
          <w:sz w:val="20"/>
          <w:szCs w:val="20"/>
          <w:lang w:eastAsia="en-IN"/>
          <w14:ligatures w14:val="none"/>
        </w:rPr>
      </w:pPr>
      <w:r w:rsidRPr="009E1333">
        <w:rPr>
          <w:rFonts w:ascii="Arial" w:eastAsia="Times New Roman" w:hAnsi="Arial" w:cs="Arial"/>
          <w:b/>
          <w:kern w:val="0"/>
          <w:sz w:val="20"/>
          <w:szCs w:val="20"/>
          <w:lang w:eastAsia="en-IN"/>
          <w14:ligatures w14:val="none"/>
        </w:rPr>
        <w:t>Fig</w:t>
      </w:r>
      <w:r>
        <w:rPr>
          <w:rFonts w:ascii="Arial" w:eastAsia="Times New Roman" w:hAnsi="Arial" w:cs="Arial"/>
          <w:b/>
          <w:kern w:val="0"/>
          <w:sz w:val="20"/>
          <w:szCs w:val="20"/>
          <w:lang w:eastAsia="en-IN"/>
          <w14:ligatures w14:val="none"/>
        </w:rPr>
        <w:t xml:space="preserve">. </w:t>
      </w:r>
      <w:r w:rsidRPr="009E1333">
        <w:rPr>
          <w:rFonts w:ascii="Arial" w:eastAsia="Times New Roman" w:hAnsi="Arial" w:cs="Arial"/>
          <w:b/>
          <w:kern w:val="0"/>
          <w:sz w:val="20"/>
          <w:szCs w:val="20"/>
          <w:lang w:eastAsia="en-IN"/>
          <w14:ligatures w14:val="none"/>
        </w:rPr>
        <w:t>9</w:t>
      </w:r>
      <w:r>
        <w:rPr>
          <w:rFonts w:ascii="Arial" w:eastAsia="Times New Roman" w:hAnsi="Arial" w:cs="Arial"/>
          <w:b/>
          <w:kern w:val="0"/>
          <w:sz w:val="20"/>
          <w:szCs w:val="20"/>
          <w:lang w:eastAsia="en-IN"/>
          <w14:ligatures w14:val="none"/>
        </w:rPr>
        <w:t>.</w:t>
      </w:r>
      <w:r w:rsidRPr="009E1333">
        <w:rPr>
          <w:rFonts w:ascii="Arial" w:eastAsia="Times New Roman" w:hAnsi="Arial" w:cs="Arial"/>
          <w:b/>
          <w:bCs/>
          <w:kern w:val="0"/>
          <w:sz w:val="20"/>
          <w:szCs w:val="20"/>
          <w:lang w:eastAsia="en-IN"/>
          <w14:ligatures w14:val="none"/>
        </w:rPr>
        <w:t xml:space="preserve"> </w:t>
      </w:r>
      <w:r w:rsidRPr="009E1333">
        <w:rPr>
          <w:rFonts w:ascii="Arial" w:eastAsia="Times New Roman" w:hAnsi="Arial" w:cs="Arial"/>
          <w:b/>
          <w:kern w:val="0"/>
          <w:sz w:val="20"/>
          <w:szCs w:val="20"/>
          <w:lang w:eastAsia="en-IN"/>
          <w14:ligatures w14:val="none"/>
        </w:rPr>
        <w:t>Mealybugs in Kerala Floral Nurseries</w:t>
      </w:r>
    </w:p>
    <w:p w14:paraId="35289EE0" w14:textId="77777777" w:rsidR="00400DE6" w:rsidRPr="00A6616B" w:rsidRDefault="00400DE6" w:rsidP="00400DE6">
      <w:pPr>
        <w:pStyle w:val="ListParagraph"/>
        <w:numPr>
          <w:ilvl w:val="0"/>
          <w:numId w:val="4"/>
        </w:numPr>
        <w:spacing w:before="100" w:beforeAutospacing="1" w:after="100" w:afterAutospacing="1" w:line="240" w:lineRule="auto"/>
        <w:jc w:val="both"/>
        <w:rPr>
          <w:rFonts w:ascii="Arial" w:eastAsia="Times New Roman" w:hAnsi="Arial" w:cs="Arial"/>
          <w:b/>
          <w:kern w:val="0"/>
          <w:sz w:val="24"/>
          <w:szCs w:val="20"/>
          <w:lang w:eastAsia="en-IN"/>
          <w14:ligatures w14:val="none"/>
        </w:rPr>
      </w:pPr>
      <w:r w:rsidRPr="00A6616B">
        <w:rPr>
          <w:rFonts w:ascii="Arial" w:eastAsia="Times New Roman" w:hAnsi="Arial" w:cs="Arial"/>
          <w:b/>
          <w:bCs/>
          <w:kern w:val="0"/>
          <w:sz w:val="24"/>
          <w:szCs w:val="20"/>
          <w:lang w:eastAsia="en-IN"/>
          <w14:ligatures w14:val="none"/>
        </w:rPr>
        <w:t xml:space="preserve">INTEGRATED PEST MANAGEMENT (IPM) IN NURSERIES </w:t>
      </w:r>
    </w:p>
    <w:p w14:paraId="7263D0D6" w14:textId="5F244FDF" w:rsidR="00400DE6" w:rsidRDefault="00400DE6" w:rsidP="00400DE6">
      <w:pPr>
        <w:spacing w:before="100" w:beforeAutospacing="1" w:after="100" w:afterAutospacing="1" w:line="240" w:lineRule="auto"/>
        <w:jc w:val="both"/>
        <w:outlineLvl w:val="1"/>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lang w:eastAsia="en-IN"/>
          <w14:ligatures w14:val="none"/>
        </w:rPr>
        <w:lastRenderedPageBreak/>
        <w:t xml:space="preserve">Integrated Pest Management (IPM) is a comprehensive and sustainable strategy for managing pests and diseases in nurseries, aimed at reducing environmental impact and minimizing reliance on chemical pesticides. Unlike conventional pest control, which often depends heavily on chemicals, IPM integrates multiple approaches including cultural, biological, physical, and chemical methods to effectively reduce pest populations and prevent resistance </w:t>
      </w:r>
      <w:proofErr w:type="spellStart"/>
      <w:r w:rsidRPr="00D11F16">
        <w:rPr>
          <w:rFonts w:ascii="Arial" w:eastAsia="Times New Roman" w:hAnsi="Arial" w:cs="Arial"/>
          <w:kern w:val="0"/>
          <w:sz w:val="20"/>
          <w:szCs w:val="20"/>
          <w:lang w:eastAsia="en-IN"/>
          <w14:ligatures w14:val="none"/>
        </w:rPr>
        <w:t>buildup</w:t>
      </w:r>
      <w:proofErr w:type="spellEnd"/>
      <w:r w:rsidRPr="00D11F16">
        <w:rPr>
          <w:rFonts w:ascii="Arial" w:eastAsia="Times New Roman" w:hAnsi="Arial" w:cs="Arial"/>
          <w:kern w:val="0"/>
          <w:sz w:val="20"/>
          <w:szCs w:val="20"/>
          <w:lang w:eastAsia="en-IN"/>
          <w14:ligatures w14:val="none"/>
        </w:rPr>
        <w:t>. Cultural practices form the foundation of IPM by creating an environment that is less hospitable for pests and pathogens. In nurseries, this involves measures such as planting disease-resistant varieties, proper plant spacing to enhance air circulation, and regular removal of diseased plant debris. Improved ventilation helps reduce humidity levels, thereby lowering the risk of fungal diseases like powdery mildew and botrytis blight. Moreover, switching from overhead irrigation to drip irrigation is an effective strategy to prevent excessive leaf wetness, which is a major factor contributing to fungal outbreaks (</w:t>
      </w:r>
      <w:proofErr w:type="spellStart"/>
      <w:r w:rsidRPr="00D11F16">
        <w:rPr>
          <w:rFonts w:ascii="Arial" w:eastAsia="Times New Roman" w:hAnsi="Arial" w:cs="Arial"/>
          <w:kern w:val="0"/>
          <w:sz w:val="20"/>
          <w:szCs w:val="20"/>
          <w:lang w:eastAsia="en-IN"/>
          <w14:ligatures w14:val="none"/>
        </w:rPr>
        <w:t>Lamichhane</w:t>
      </w:r>
      <w:proofErr w:type="spellEnd"/>
      <w:r w:rsidRPr="00D11F16">
        <w:rPr>
          <w:rFonts w:ascii="Arial" w:eastAsia="Times New Roman" w:hAnsi="Arial" w:cs="Arial"/>
          <w:kern w:val="0"/>
          <w:sz w:val="20"/>
          <w:szCs w:val="20"/>
          <w:lang w:eastAsia="en-IN"/>
          <w14:ligatures w14:val="none"/>
        </w:rPr>
        <w:t xml:space="preserve"> </w:t>
      </w:r>
      <w:r w:rsidRPr="00D11F16">
        <w:rPr>
          <w:rFonts w:ascii="Arial" w:eastAsia="Times New Roman" w:hAnsi="Arial" w:cs="Arial"/>
          <w:i/>
          <w:iCs/>
          <w:kern w:val="0"/>
          <w:sz w:val="20"/>
          <w:szCs w:val="20"/>
          <w:lang w:eastAsia="en-IN"/>
          <w14:ligatures w14:val="none"/>
        </w:rPr>
        <w:t>et al</w:t>
      </w:r>
      <w:r w:rsidRPr="00D11F16">
        <w:rPr>
          <w:rFonts w:ascii="Arial" w:eastAsia="Times New Roman" w:hAnsi="Arial" w:cs="Arial"/>
          <w:kern w:val="0"/>
          <w:sz w:val="20"/>
          <w:szCs w:val="20"/>
          <w:lang w:eastAsia="en-IN"/>
          <w14:ligatures w14:val="none"/>
        </w:rPr>
        <w:t xml:space="preserve">., 2016). Proper crop rotation and soil </w:t>
      </w:r>
      <w:r w:rsidRPr="000F4C41">
        <w:rPr>
          <w:rFonts w:ascii="Arial" w:eastAsia="Times New Roman" w:hAnsi="Arial" w:cs="Arial"/>
          <w:kern w:val="0"/>
          <w:sz w:val="20"/>
          <w:szCs w:val="20"/>
          <w:highlight w:val="yellow"/>
          <w:lang w:eastAsia="en-IN"/>
          <w14:ligatures w14:val="none"/>
        </w:rPr>
        <w:t xml:space="preserve">sterilization are also widely used practices to prevent the </w:t>
      </w:r>
      <w:proofErr w:type="spellStart"/>
      <w:r w:rsidRPr="000F4C41">
        <w:rPr>
          <w:rFonts w:ascii="Arial" w:eastAsia="Times New Roman" w:hAnsi="Arial" w:cs="Arial"/>
          <w:kern w:val="0"/>
          <w:sz w:val="20"/>
          <w:szCs w:val="20"/>
          <w:highlight w:val="yellow"/>
          <w:lang w:eastAsia="en-IN"/>
          <w14:ligatures w14:val="none"/>
        </w:rPr>
        <w:t>buildup</w:t>
      </w:r>
      <w:proofErr w:type="spellEnd"/>
      <w:r w:rsidRPr="000F4C41">
        <w:rPr>
          <w:rFonts w:ascii="Arial" w:eastAsia="Times New Roman" w:hAnsi="Arial" w:cs="Arial"/>
          <w:kern w:val="0"/>
          <w:sz w:val="20"/>
          <w:szCs w:val="20"/>
          <w:highlight w:val="yellow"/>
          <w:lang w:eastAsia="en-IN"/>
          <w14:ligatures w14:val="none"/>
        </w:rPr>
        <w:t xml:space="preserve"> of soil-borne pathogens. </w:t>
      </w:r>
      <w:r w:rsidR="000F4C41" w:rsidRPr="000F4C41">
        <w:rPr>
          <w:rFonts w:ascii="Arial" w:eastAsia="Times New Roman" w:hAnsi="Arial" w:cs="Arial"/>
          <w:kern w:val="0"/>
          <w:sz w:val="20"/>
          <w:szCs w:val="20"/>
          <w:highlight w:val="yellow"/>
          <w:lang w:eastAsia="en-IN"/>
          <w14:ligatures w14:val="none"/>
        </w:rPr>
        <w:t>Major pests and diseases of Nurseries illustrated in Fig. 10.</w:t>
      </w:r>
    </w:p>
    <w:tbl>
      <w:tblPr>
        <w:tblStyle w:val="TableGrid"/>
        <w:tblW w:w="0" w:type="auto"/>
        <w:jc w:val="center"/>
        <w:tblLook w:val="04A0" w:firstRow="1" w:lastRow="0" w:firstColumn="1" w:lastColumn="0" w:noHBand="0" w:noVBand="1"/>
      </w:tblPr>
      <w:tblGrid>
        <w:gridCol w:w="3282"/>
        <w:gridCol w:w="3074"/>
        <w:gridCol w:w="2660"/>
      </w:tblGrid>
      <w:tr w:rsidR="000F4C41" w14:paraId="129F55ED" w14:textId="77777777" w:rsidTr="00617CE7">
        <w:trPr>
          <w:jc w:val="center"/>
        </w:trPr>
        <w:tc>
          <w:tcPr>
            <w:tcW w:w="3282" w:type="dxa"/>
          </w:tcPr>
          <w:p w14:paraId="17405975" w14:textId="77777777" w:rsidR="000F4C41" w:rsidRDefault="000F4C41" w:rsidP="00617CE7">
            <w:pPr>
              <w:jc w:val="both"/>
              <w:rPr>
                <w:rFonts w:ascii="Arial" w:hAnsi="Arial" w:cs="Arial"/>
                <w:sz w:val="20"/>
                <w:szCs w:val="20"/>
              </w:rPr>
            </w:pPr>
            <w:r w:rsidRPr="009E1333">
              <w:rPr>
                <w:rFonts w:ascii="Arial" w:hAnsi="Arial" w:cs="Arial"/>
                <w:noProof/>
                <w:sz w:val="20"/>
                <w:szCs w:val="20"/>
              </w:rPr>
              <w:drawing>
                <wp:inline distT="0" distB="0" distL="0" distR="0" wp14:anchorId="462B5D91" wp14:editId="08B16C5B">
                  <wp:extent cx="1959350" cy="1295400"/>
                  <wp:effectExtent l="0" t="0" r="3175" b="0"/>
                  <wp:docPr id="88815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82"/>
                          <a:stretch/>
                        </pic:blipFill>
                        <pic:spPr bwMode="auto">
                          <a:xfrm>
                            <a:off x="0" y="0"/>
                            <a:ext cx="2002478" cy="1323914"/>
                          </a:xfrm>
                          <a:prstGeom prst="rect">
                            <a:avLst/>
                          </a:prstGeom>
                          <a:noFill/>
                          <a:ln>
                            <a:noFill/>
                          </a:ln>
                          <a:extLst>
                            <a:ext uri="{53640926-AAD7-44D8-BBD7-CCE9431645EC}">
                              <a14:shadowObscured xmlns:a14="http://schemas.microsoft.com/office/drawing/2010/main"/>
                            </a:ext>
                          </a:extLst>
                        </pic:spPr>
                      </pic:pic>
                    </a:graphicData>
                  </a:graphic>
                </wp:inline>
              </w:drawing>
            </w:r>
          </w:p>
          <w:p w14:paraId="1AB4A1C4" w14:textId="77777777" w:rsidR="000F4C41" w:rsidRDefault="000F4C41" w:rsidP="00617CE7">
            <w:pPr>
              <w:jc w:val="center"/>
              <w:rPr>
                <w:rFonts w:ascii="Arial" w:hAnsi="Arial" w:cs="Arial"/>
                <w:sz w:val="20"/>
                <w:szCs w:val="20"/>
              </w:rPr>
            </w:pPr>
            <w:r w:rsidRPr="009E1333">
              <w:rPr>
                <w:rFonts w:ascii="Arial" w:hAnsi="Arial" w:cs="Arial"/>
                <w:b/>
                <w:sz w:val="20"/>
                <w:szCs w:val="20"/>
              </w:rPr>
              <w:t>Powdery Mildew</w:t>
            </w:r>
          </w:p>
        </w:tc>
        <w:tc>
          <w:tcPr>
            <w:tcW w:w="3074" w:type="dxa"/>
          </w:tcPr>
          <w:p w14:paraId="1EAEA1E4" w14:textId="77777777" w:rsidR="000F4C41" w:rsidRDefault="000F4C41" w:rsidP="00617CE7">
            <w:pPr>
              <w:jc w:val="center"/>
              <w:rPr>
                <w:rFonts w:ascii="Arial" w:hAnsi="Arial" w:cs="Arial"/>
                <w:sz w:val="20"/>
                <w:szCs w:val="20"/>
              </w:rPr>
            </w:pPr>
            <w:r w:rsidRPr="009E1333">
              <w:rPr>
                <w:rFonts w:ascii="Arial" w:eastAsia="Times New Roman" w:hAnsi="Arial" w:cs="Arial"/>
                <w:noProof/>
                <w:kern w:val="0"/>
                <w:sz w:val="20"/>
                <w:szCs w:val="20"/>
                <w:lang w:eastAsia="en-IN"/>
                <w14:ligatures w14:val="none"/>
              </w:rPr>
              <w:drawing>
                <wp:anchor distT="0" distB="0" distL="114300" distR="114300" simplePos="0" relativeHeight="251659264" behindDoc="0" locked="0" layoutInCell="1" allowOverlap="1" wp14:anchorId="19968905" wp14:editId="3F1353DE">
                  <wp:simplePos x="0" y="0"/>
                  <wp:positionH relativeFrom="margin">
                    <wp:posOffset>5080</wp:posOffset>
                  </wp:positionH>
                  <wp:positionV relativeFrom="margin">
                    <wp:posOffset>64770</wp:posOffset>
                  </wp:positionV>
                  <wp:extent cx="1809750" cy="1255084"/>
                  <wp:effectExtent l="0" t="0" r="0" b="2540"/>
                  <wp:wrapSquare wrapText="bothSides"/>
                  <wp:docPr id="665252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4165"/>
                          <a:stretch/>
                        </pic:blipFill>
                        <pic:spPr bwMode="auto">
                          <a:xfrm>
                            <a:off x="0" y="0"/>
                            <a:ext cx="1809750" cy="1255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333">
              <w:rPr>
                <w:rFonts w:ascii="Arial" w:eastAsia="Times New Roman" w:hAnsi="Arial" w:cs="Arial"/>
                <w:b/>
                <w:kern w:val="0"/>
                <w:sz w:val="20"/>
                <w:szCs w:val="20"/>
                <w:lang w:eastAsia="en-IN"/>
                <w14:ligatures w14:val="none"/>
              </w:rPr>
              <w:t>Botrytis Blight</w:t>
            </w:r>
            <w:r w:rsidRPr="009E1333">
              <w:rPr>
                <w:rFonts w:ascii="Arial" w:eastAsia="Times New Roman" w:hAnsi="Arial" w:cs="Arial"/>
                <w:noProof/>
                <w:kern w:val="0"/>
                <w:sz w:val="20"/>
                <w:szCs w:val="20"/>
                <w:lang w:eastAsia="en-IN"/>
                <w14:ligatures w14:val="none"/>
              </w:rPr>
              <w:t xml:space="preserve"> </w:t>
            </w:r>
          </w:p>
        </w:tc>
        <w:tc>
          <w:tcPr>
            <w:tcW w:w="2660" w:type="dxa"/>
          </w:tcPr>
          <w:p w14:paraId="2C855875" w14:textId="77777777" w:rsidR="000F4C41" w:rsidRPr="009E1333" w:rsidRDefault="000F4C41" w:rsidP="00617CE7">
            <w:pPr>
              <w:jc w:val="center"/>
              <w:rPr>
                <w:rFonts w:ascii="Arial" w:eastAsia="Times New Roman" w:hAnsi="Arial" w:cs="Arial"/>
                <w:noProof/>
                <w:kern w:val="0"/>
                <w:sz w:val="20"/>
                <w:szCs w:val="20"/>
                <w:lang w:eastAsia="en-IN"/>
                <w14:ligatures w14:val="none"/>
              </w:rPr>
            </w:pPr>
            <w:r w:rsidRPr="009E1333">
              <w:rPr>
                <w:rFonts w:ascii="Arial" w:hAnsi="Arial" w:cs="Arial"/>
                <w:noProof/>
                <w:sz w:val="20"/>
                <w:szCs w:val="20"/>
              </w:rPr>
              <w:drawing>
                <wp:anchor distT="0" distB="0" distL="114300" distR="114300" simplePos="0" relativeHeight="251660288" behindDoc="0" locked="0" layoutInCell="1" allowOverlap="1" wp14:anchorId="63853753" wp14:editId="08A85687">
                  <wp:simplePos x="0" y="0"/>
                  <wp:positionH relativeFrom="margin">
                    <wp:posOffset>-20955</wp:posOffset>
                  </wp:positionH>
                  <wp:positionV relativeFrom="margin">
                    <wp:posOffset>64770</wp:posOffset>
                  </wp:positionV>
                  <wp:extent cx="1535567" cy="1254760"/>
                  <wp:effectExtent l="0" t="0" r="7620" b="2540"/>
                  <wp:wrapSquare wrapText="bothSides"/>
                  <wp:docPr id="1014207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4408" r="4309"/>
                          <a:stretch/>
                        </pic:blipFill>
                        <pic:spPr bwMode="auto">
                          <a:xfrm>
                            <a:off x="0" y="0"/>
                            <a:ext cx="1535567" cy="125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333">
              <w:rPr>
                <w:rFonts w:ascii="Arial" w:hAnsi="Arial" w:cs="Arial"/>
                <w:b/>
                <w:sz w:val="20"/>
                <w:szCs w:val="20"/>
              </w:rPr>
              <w:t>Leaf Spot</w:t>
            </w:r>
            <w:r w:rsidRPr="009E1333">
              <w:rPr>
                <w:rFonts w:ascii="Arial" w:hAnsi="Arial" w:cs="Arial"/>
                <w:noProof/>
                <w:sz w:val="20"/>
                <w:szCs w:val="20"/>
              </w:rPr>
              <w:t xml:space="preserve"> </w:t>
            </w:r>
          </w:p>
        </w:tc>
      </w:tr>
      <w:tr w:rsidR="000F4C41" w14:paraId="21B4D5C6" w14:textId="77777777" w:rsidTr="00617CE7">
        <w:trPr>
          <w:jc w:val="center"/>
        </w:trPr>
        <w:tc>
          <w:tcPr>
            <w:tcW w:w="3282" w:type="dxa"/>
          </w:tcPr>
          <w:p w14:paraId="05B01B46" w14:textId="77777777" w:rsidR="000F4C41" w:rsidRPr="00D131D0" w:rsidRDefault="000F4C41" w:rsidP="00617CE7">
            <w:pPr>
              <w:jc w:val="center"/>
            </w:pPr>
            <w:r w:rsidRPr="009E1333">
              <w:rPr>
                <w:rFonts w:ascii="Arial" w:hAnsi="Arial" w:cs="Arial"/>
                <w:noProof/>
                <w:sz w:val="20"/>
                <w:szCs w:val="20"/>
              </w:rPr>
              <w:drawing>
                <wp:anchor distT="0" distB="0" distL="114300" distR="114300" simplePos="0" relativeHeight="251661312" behindDoc="0" locked="0" layoutInCell="1" allowOverlap="1" wp14:anchorId="3D0C37AF" wp14:editId="18C108B9">
                  <wp:simplePos x="0" y="0"/>
                  <wp:positionH relativeFrom="margin">
                    <wp:posOffset>-1905</wp:posOffset>
                  </wp:positionH>
                  <wp:positionV relativeFrom="margin">
                    <wp:posOffset>50800</wp:posOffset>
                  </wp:positionV>
                  <wp:extent cx="1943100" cy="1282700"/>
                  <wp:effectExtent l="0" t="0" r="0" b="0"/>
                  <wp:wrapSquare wrapText="bothSides"/>
                  <wp:docPr id="5" name="Picture 2" descr="What Is Root Rot And How To Treat It | The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Root Rot And How To Treat It | The St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333">
              <w:rPr>
                <w:rFonts w:ascii="Arial" w:hAnsi="Arial" w:cs="Arial"/>
                <w:b/>
                <w:sz w:val="20"/>
                <w:szCs w:val="20"/>
              </w:rPr>
              <w:t>Root Rot</w:t>
            </w:r>
          </w:p>
        </w:tc>
        <w:tc>
          <w:tcPr>
            <w:tcW w:w="3074" w:type="dxa"/>
          </w:tcPr>
          <w:p w14:paraId="50130C6B" w14:textId="77777777" w:rsidR="000F4C41" w:rsidRDefault="000F4C41" w:rsidP="00617CE7">
            <w:pPr>
              <w:jc w:val="center"/>
              <w:rPr>
                <w:rFonts w:ascii="Arial" w:hAnsi="Arial" w:cs="Arial"/>
                <w:sz w:val="20"/>
                <w:szCs w:val="20"/>
              </w:rPr>
            </w:pPr>
            <w:r w:rsidRPr="009E1333">
              <w:rPr>
                <w:rFonts w:ascii="Arial" w:eastAsia="Times New Roman" w:hAnsi="Arial" w:cs="Arial"/>
                <w:noProof/>
                <w:kern w:val="0"/>
                <w:sz w:val="20"/>
                <w:szCs w:val="20"/>
                <w:lang w:eastAsia="en-IN"/>
                <w14:ligatures w14:val="none"/>
              </w:rPr>
              <w:drawing>
                <wp:anchor distT="0" distB="0" distL="114300" distR="114300" simplePos="0" relativeHeight="251662336" behindDoc="0" locked="0" layoutInCell="1" allowOverlap="1" wp14:anchorId="40785402" wp14:editId="633BB068">
                  <wp:simplePos x="0" y="0"/>
                  <wp:positionH relativeFrom="margin">
                    <wp:posOffset>-9525</wp:posOffset>
                  </wp:positionH>
                  <wp:positionV relativeFrom="margin">
                    <wp:posOffset>50800</wp:posOffset>
                  </wp:positionV>
                  <wp:extent cx="1825625" cy="1282700"/>
                  <wp:effectExtent l="0" t="0" r="3175" b="0"/>
                  <wp:wrapSquare wrapText="bothSides"/>
                  <wp:docPr id="2029734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2724" r="7375"/>
                          <a:stretch/>
                        </pic:blipFill>
                        <pic:spPr bwMode="auto">
                          <a:xfrm>
                            <a:off x="0" y="0"/>
                            <a:ext cx="1825625" cy="1282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E1333">
              <w:rPr>
                <w:rFonts w:ascii="Arial" w:hAnsi="Arial" w:cs="Arial"/>
                <w:b/>
                <w:bCs/>
                <w:sz w:val="20"/>
                <w:szCs w:val="20"/>
              </w:rPr>
              <w:t>Aphids</w:t>
            </w:r>
          </w:p>
        </w:tc>
        <w:tc>
          <w:tcPr>
            <w:tcW w:w="2660" w:type="dxa"/>
          </w:tcPr>
          <w:p w14:paraId="05D0435C" w14:textId="77777777" w:rsidR="000F4C41" w:rsidRPr="009E1333" w:rsidRDefault="000F4C41" w:rsidP="00617CE7">
            <w:pPr>
              <w:jc w:val="center"/>
              <w:rPr>
                <w:rFonts w:ascii="Arial" w:hAnsi="Arial" w:cs="Arial"/>
                <w:b/>
                <w:sz w:val="20"/>
                <w:szCs w:val="20"/>
              </w:rPr>
            </w:pPr>
            <w:r w:rsidRPr="009E1333">
              <w:rPr>
                <w:rFonts w:ascii="Arial" w:hAnsi="Arial" w:cs="Arial"/>
                <w:b/>
                <w:bCs/>
                <w:sz w:val="20"/>
                <w:szCs w:val="20"/>
              </w:rPr>
              <w:t>Rust</w:t>
            </w:r>
            <w:r w:rsidRPr="009E1333">
              <w:rPr>
                <w:rFonts w:ascii="Arial" w:hAnsi="Arial" w:cs="Arial"/>
                <w:noProof/>
                <w:sz w:val="20"/>
                <w:szCs w:val="20"/>
              </w:rPr>
              <w:drawing>
                <wp:anchor distT="0" distB="0" distL="114300" distR="114300" simplePos="0" relativeHeight="251663360" behindDoc="0" locked="0" layoutInCell="1" allowOverlap="1" wp14:anchorId="03EB8444" wp14:editId="7D3DC931">
                  <wp:simplePos x="0" y="0"/>
                  <wp:positionH relativeFrom="margin">
                    <wp:posOffset>-20320</wp:posOffset>
                  </wp:positionH>
                  <wp:positionV relativeFrom="margin">
                    <wp:posOffset>50800</wp:posOffset>
                  </wp:positionV>
                  <wp:extent cx="1535430" cy="1282700"/>
                  <wp:effectExtent l="0" t="0" r="762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66410" t="1865" r="1707" b="17941"/>
                          <a:stretch/>
                        </pic:blipFill>
                        <pic:spPr bwMode="auto">
                          <a:xfrm>
                            <a:off x="0" y="0"/>
                            <a:ext cx="1535430" cy="128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F4C41" w14:paraId="0BABDFB3" w14:textId="77777777" w:rsidTr="00617CE7">
        <w:trPr>
          <w:jc w:val="center"/>
        </w:trPr>
        <w:tc>
          <w:tcPr>
            <w:tcW w:w="3282" w:type="dxa"/>
          </w:tcPr>
          <w:p w14:paraId="3179CCFF" w14:textId="77777777" w:rsidR="000F4C41" w:rsidRDefault="000F4C41" w:rsidP="00617CE7">
            <w:pPr>
              <w:jc w:val="center"/>
              <w:rPr>
                <w:rFonts w:ascii="Arial" w:hAnsi="Arial" w:cs="Arial"/>
                <w:noProof/>
                <w:sz w:val="20"/>
                <w:szCs w:val="20"/>
              </w:rPr>
            </w:pPr>
            <w:r w:rsidRPr="009E1333">
              <w:rPr>
                <w:rFonts w:ascii="Arial" w:eastAsia="Times New Roman" w:hAnsi="Arial" w:cs="Arial"/>
                <w:b/>
                <w:kern w:val="0"/>
                <w:sz w:val="20"/>
                <w:szCs w:val="20"/>
                <w:lang w:eastAsia="en-IN"/>
                <w14:ligatures w14:val="none"/>
              </w:rPr>
              <w:t>Whitefly</w:t>
            </w:r>
            <w:r w:rsidRPr="009E1333">
              <w:rPr>
                <w:rFonts w:ascii="Arial" w:hAnsi="Arial" w:cs="Arial"/>
                <w:noProof/>
                <w:sz w:val="20"/>
                <w:szCs w:val="20"/>
              </w:rPr>
              <w:t xml:space="preserve"> </w:t>
            </w:r>
            <w:r w:rsidRPr="009E1333">
              <w:rPr>
                <w:rFonts w:ascii="Arial" w:hAnsi="Arial" w:cs="Arial"/>
                <w:noProof/>
                <w:sz w:val="20"/>
                <w:szCs w:val="20"/>
              </w:rPr>
              <w:drawing>
                <wp:anchor distT="0" distB="0" distL="114300" distR="114300" simplePos="0" relativeHeight="251664384" behindDoc="0" locked="0" layoutInCell="1" allowOverlap="1" wp14:anchorId="465C483F" wp14:editId="5D4C8502">
                  <wp:simplePos x="0" y="0"/>
                  <wp:positionH relativeFrom="margin">
                    <wp:posOffset>-1905</wp:posOffset>
                  </wp:positionH>
                  <wp:positionV relativeFrom="margin">
                    <wp:posOffset>63500</wp:posOffset>
                  </wp:positionV>
                  <wp:extent cx="1958340" cy="1174750"/>
                  <wp:effectExtent l="0" t="0" r="3810" b="6350"/>
                  <wp:wrapSquare wrapText="bothSides"/>
                  <wp:docPr id="1797437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8340" cy="1174750"/>
                          </a:xfrm>
                          <a:prstGeom prst="rect">
                            <a:avLst/>
                          </a:prstGeom>
                          <a:noFill/>
                        </pic:spPr>
                      </pic:pic>
                    </a:graphicData>
                  </a:graphic>
                  <wp14:sizeRelV relativeFrom="margin">
                    <wp14:pctHeight>0</wp14:pctHeight>
                  </wp14:sizeRelV>
                </wp:anchor>
              </w:drawing>
            </w:r>
          </w:p>
        </w:tc>
        <w:tc>
          <w:tcPr>
            <w:tcW w:w="3074" w:type="dxa"/>
          </w:tcPr>
          <w:p w14:paraId="28BA11BA" w14:textId="77777777" w:rsidR="000F4C41" w:rsidRDefault="000F4C41" w:rsidP="00617CE7">
            <w:pPr>
              <w:jc w:val="center"/>
              <w:rPr>
                <w:rFonts w:ascii="Arial" w:hAnsi="Arial" w:cs="Arial"/>
                <w:sz w:val="20"/>
                <w:szCs w:val="20"/>
              </w:rPr>
            </w:pPr>
            <w:proofErr w:type="spellStart"/>
            <w:r w:rsidRPr="009E1333">
              <w:rPr>
                <w:rFonts w:ascii="Arial" w:eastAsia="Times New Roman" w:hAnsi="Arial" w:cs="Arial"/>
                <w:b/>
                <w:kern w:val="0"/>
                <w:sz w:val="20"/>
                <w:szCs w:val="20"/>
                <w:lang w:eastAsia="en-IN"/>
                <w14:ligatures w14:val="none"/>
              </w:rPr>
              <w:t>Thrips</w:t>
            </w:r>
            <w:proofErr w:type="spellEnd"/>
            <w:r w:rsidRPr="009E1333">
              <w:rPr>
                <w:rFonts w:ascii="Arial" w:hAnsi="Arial" w:cs="Arial"/>
                <w:noProof/>
                <w:sz w:val="20"/>
                <w:szCs w:val="20"/>
              </w:rPr>
              <w:drawing>
                <wp:anchor distT="0" distB="0" distL="114300" distR="114300" simplePos="0" relativeHeight="251665408" behindDoc="0" locked="0" layoutInCell="1" allowOverlap="1" wp14:anchorId="5B977BAF" wp14:editId="5D70E03C">
                  <wp:simplePos x="0" y="0"/>
                  <wp:positionH relativeFrom="margin">
                    <wp:posOffset>-10795</wp:posOffset>
                  </wp:positionH>
                  <wp:positionV relativeFrom="margin">
                    <wp:posOffset>63500</wp:posOffset>
                  </wp:positionV>
                  <wp:extent cx="1825625" cy="1174750"/>
                  <wp:effectExtent l="0" t="0" r="3175" b="6350"/>
                  <wp:wrapSquare wrapText="bothSides"/>
                  <wp:docPr id="8970222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5625" cy="1174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660" w:type="dxa"/>
          </w:tcPr>
          <w:p w14:paraId="0546E42A" w14:textId="77777777" w:rsidR="000F4C41" w:rsidRPr="009E1333" w:rsidRDefault="000F4C41" w:rsidP="00617CE7">
            <w:pPr>
              <w:pStyle w:val="NormalWeb"/>
              <w:jc w:val="center"/>
              <w:rPr>
                <w:rFonts w:ascii="Arial" w:hAnsi="Arial" w:cs="Arial"/>
                <w:sz w:val="20"/>
                <w:szCs w:val="20"/>
              </w:rPr>
            </w:pPr>
            <w:r w:rsidRPr="009E1333">
              <w:rPr>
                <w:rFonts w:ascii="Arial" w:hAnsi="Arial" w:cs="Arial"/>
                <w:noProof/>
                <w:sz w:val="20"/>
                <w:szCs w:val="20"/>
              </w:rPr>
              <w:drawing>
                <wp:anchor distT="0" distB="0" distL="114300" distR="114300" simplePos="0" relativeHeight="251666432" behindDoc="0" locked="0" layoutInCell="1" allowOverlap="1" wp14:anchorId="4E573AB5" wp14:editId="03741497">
                  <wp:simplePos x="0" y="0"/>
                  <wp:positionH relativeFrom="margin">
                    <wp:posOffset>-5715</wp:posOffset>
                  </wp:positionH>
                  <wp:positionV relativeFrom="margin">
                    <wp:posOffset>63500</wp:posOffset>
                  </wp:positionV>
                  <wp:extent cx="1564005" cy="1174750"/>
                  <wp:effectExtent l="0" t="0" r="0" b="6350"/>
                  <wp:wrapSquare wrapText="bothSides"/>
                  <wp:docPr id="1061182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4005" cy="1174750"/>
                          </a:xfrm>
                          <a:prstGeom prst="rect">
                            <a:avLst/>
                          </a:prstGeom>
                          <a:noFill/>
                        </pic:spPr>
                      </pic:pic>
                    </a:graphicData>
                  </a:graphic>
                  <wp14:sizeRelH relativeFrom="margin">
                    <wp14:pctWidth>0</wp14:pctWidth>
                  </wp14:sizeRelH>
                  <wp14:sizeRelV relativeFrom="margin">
                    <wp14:pctHeight>0</wp14:pctHeight>
                  </wp14:sizeRelV>
                </wp:anchor>
              </w:drawing>
            </w:r>
            <w:r w:rsidRPr="009E1333">
              <w:rPr>
                <w:rFonts w:ascii="Arial" w:hAnsi="Arial" w:cs="Arial"/>
                <w:b/>
                <w:sz w:val="20"/>
                <w:szCs w:val="20"/>
              </w:rPr>
              <w:t>Mealybugs</w:t>
            </w:r>
          </w:p>
        </w:tc>
      </w:tr>
    </w:tbl>
    <w:p w14:paraId="5BB19198" w14:textId="77777777" w:rsidR="000F4C41" w:rsidRPr="009E1333" w:rsidRDefault="000F4C41" w:rsidP="000F4C41">
      <w:pPr>
        <w:spacing w:before="100" w:beforeAutospacing="1" w:after="100" w:afterAutospacing="1" w:line="240" w:lineRule="auto"/>
        <w:jc w:val="center"/>
        <w:rPr>
          <w:rFonts w:ascii="Arial" w:eastAsia="Times New Roman" w:hAnsi="Arial" w:cs="Arial"/>
          <w:b/>
          <w:bCs/>
          <w:kern w:val="0"/>
          <w:sz w:val="20"/>
          <w:szCs w:val="20"/>
          <w:lang w:eastAsia="en-IN"/>
          <w14:ligatures w14:val="none"/>
        </w:rPr>
      </w:pPr>
      <w:r w:rsidRPr="00804FE2">
        <w:rPr>
          <w:rFonts w:ascii="Arial" w:eastAsia="Times New Roman" w:hAnsi="Arial" w:cs="Arial"/>
          <w:b/>
          <w:bCs/>
          <w:kern w:val="0"/>
          <w:sz w:val="20"/>
          <w:szCs w:val="20"/>
          <w:highlight w:val="yellow"/>
          <w:lang w:eastAsia="en-IN"/>
          <w14:ligatures w14:val="none"/>
        </w:rPr>
        <w:t>Fig. 10: Major pests and diseases of Nurseries</w:t>
      </w:r>
    </w:p>
    <w:p w14:paraId="7A4F9D4C" w14:textId="77777777" w:rsidR="00400DE6" w:rsidRPr="00D11F16" w:rsidRDefault="00400DE6" w:rsidP="00400DE6">
      <w:pPr>
        <w:spacing w:before="100" w:beforeAutospacing="1" w:after="100" w:afterAutospacing="1" w:line="240" w:lineRule="auto"/>
        <w:ind w:firstLine="720"/>
        <w:jc w:val="both"/>
        <w:outlineLvl w:val="1"/>
        <w:rPr>
          <w:rFonts w:ascii="Arial" w:eastAsia="Times New Roman" w:hAnsi="Arial" w:cs="Arial"/>
          <w:kern w:val="0"/>
          <w:sz w:val="20"/>
          <w:szCs w:val="20"/>
          <w:lang w:eastAsia="en-IN"/>
          <w14:ligatures w14:val="none"/>
        </w:rPr>
      </w:pPr>
      <w:r w:rsidRPr="00D11F16">
        <w:rPr>
          <w:rFonts w:ascii="Arial" w:eastAsia="Times New Roman" w:hAnsi="Arial" w:cs="Arial"/>
          <w:kern w:val="0"/>
          <w:sz w:val="20"/>
          <w:szCs w:val="20"/>
          <w:lang w:eastAsia="en-IN"/>
          <w14:ligatures w14:val="none"/>
        </w:rPr>
        <w:t xml:space="preserve">Biological control is a cornerstone of IPM, relying on beneficial organisms to suppress pest populations. In nursery settings, predatory insects and parasitic wasps are frequently introduced to control common pests. For example, </w:t>
      </w:r>
      <w:proofErr w:type="spellStart"/>
      <w:r w:rsidRPr="00D11F16">
        <w:rPr>
          <w:rFonts w:ascii="Arial" w:eastAsia="Times New Roman" w:hAnsi="Arial" w:cs="Arial"/>
          <w:kern w:val="0"/>
          <w:sz w:val="20"/>
          <w:szCs w:val="20"/>
          <w:lang w:eastAsia="en-IN"/>
          <w14:ligatures w14:val="none"/>
        </w:rPr>
        <w:t>Aphidius</w:t>
      </w:r>
      <w:proofErr w:type="spellEnd"/>
      <w:r w:rsidRPr="00D11F16">
        <w:rPr>
          <w:rFonts w:ascii="Arial" w:eastAsia="Times New Roman" w:hAnsi="Arial" w:cs="Arial"/>
          <w:kern w:val="0"/>
          <w:sz w:val="20"/>
          <w:szCs w:val="20"/>
          <w:lang w:eastAsia="en-IN"/>
          <w14:ligatures w14:val="none"/>
        </w:rPr>
        <w:t xml:space="preserve"> </w:t>
      </w:r>
      <w:proofErr w:type="spellStart"/>
      <w:r w:rsidRPr="00D11F16">
        <w:rPr>
          <w:rFonts w:ascii="Arial" w:eastAsia="Times New Roman" w:hAnsi="Arial" w:cs="Arial"/>
          <w:kern w:val="0"/>
          <w:sz w:val="20"/>
          <w:szCs w:val="20"/>
          <w:lang w:eastAsia="en-IN"/>
          <w14:ligatures w14:val="none"/>
        </w:rPr>
        <w:t>colemani</w:t>
      </w:r>
      <w:proofErr w:type="spellEnd"/>
      <w:r w:rsidRPr="00D11F16">
        <w:rPr>
          <w:rFonts w:ascii="Arial" w:eastAsia="Times New Roman" w:hAnsi="Arial" w:cs="Arial"/>
          <w:kern w:val="0"/>
          <w:sz w:val="20"/>
          <w:szCs w:val="20"/>
          <w:lang w:eastAsia="en-IN"/>
          <w14:ligatures w14:val="none"/>
        </w:rPr>
        <w:t xml:space="preserve">, a parasitic wasp, effectively reduces aphid infestations, while </w:t>
      </w:r>
      <w:proofErr w:type="spellStart"/>
      <w:r w:rsidRPr="00D11F16">
        <w:rPr>
          <w:rFonts w:ascii="Arial" w:eastAsia="Times New Roman" w:hAnsi="Arial" w:cs="Arial"/>
          <w:kern w:val="0"/>
          <w:sz w:val="20"/>
          <w:szCs w:val="20"/>
          <w:lang w:eastAsia="en-IN"/>
          <w14:ligatures w14:val="none"/>
        </w:rPr>
        <w:t>Encarsia</w:t>
      </w:r>
      <w:proofErr w:type="spellEnd"/>
      <w:r w:rsidRPr="00D11F16">
        <w:rPr>
          <w:rFonts w:ascii="Arial" w:eastAsia="Times New Roman" w:hAnsi="Arial" w:cs="Arial"/>
          <w:kern w:val="0"/>
          <w:sz w:val="20"/>
          <w:szCs w:val="20"/>
          <w:lang w:eastAsia="en-IN"/>
          <w14:ligatures w14:val="none"/>
        </w:rPr>
        <w:t xml:space="preserve"> </w:t>
      </w:r>
      <w:proofErr w:type="spellStart"/>
      <w:r w:rsidRPr="00D11F16">
        <w:rPr>
          <w:rFonts w:ascii="Arial" w:eastAsia="Times New Roman" w:hAnsi="Arial" w:cs="Arial"/>
          <w:kern w:val="0"/>
          <w:sz w:val="20"/>
          <w:szCs w:val="20"/>
          <w:lang w:eastAsia="en-IN"/>
          <w14:ligatures w14:val="none"/>
        </w:rPr>
        <w:t>formosa</w:t>
      </w:r>
      <w:proofErr w:type="spellEnd"/>
      <w:r w:rsidRPr="00D11F16">
        <w:rPr>
          <w:rFonts w:ascii="Arial" w:eastAsia="Times New Roman" w:hAnsi="Arial" w:cs="Arial"/>
          <w:kern w:val="0"/>
          <w:sz w:val="20"/>
          <w:szCs w:val="20"/>
          <w:lang w:eastAsia="en-IN"/>
          <w14:ligatures w14:val="none"/>
        </w:rPr>
        <w:t xml:space="preserve"> parasitizes whiteflies. In addition to insect predators, microbial agents play a crucial role. Fungi like Trichoderma </w:t>
      </w:r>
      <w:proofErr w:type="spellStart"/>
      <w:r w:rsidRPr="00D11F16">
        <w:rPr>
          <w:rFonts w:ascii="Arial" w:eastAsia="Times New Roman" w:hAnsi="Arial" w:cs="Arial"/>
          <w:kern w:val="0"/>
          <w:sz w:val="20"/>
          <w:szCs w:val="20"/>
          <w:lang w:eastAsia="en-IN"/>
          <w14:ligatures w14:val="none"/>
        </w:rPr>
        <w:t>harzianum</w:t>
      </w:r>
      <w:proofErr w:type="spellEnd"/>
      <w:r w:rsidRPr="00D11F16">
        <w:rPr>
          <w:rFonts w:ascii="Arial" w:eastAsia="Times New Roman" w:hAnsi="Arial" w:cs="Arial"/>
          <w:kern w:val="0"/>
          <w:sz w:val="20"/>
          <w:szCs w:val="20"/>
          <w:lang w:eastAsia="en-IN"/>
          <w14:ligatures w14:val="none"/>
        </w:rPr>
        <w:t xml:space="preserve"> and bacteria such as Bacillus subtilis have shown effectiveness against pathogens like Botrytis </w:t>
      </w:r>
      <w:proofErr w:type="spellStart"/>
      <w:r w:rsidRPr="00D11F16">
        <w:rPr>
          <w:rFonts w:ascii="Arial" w:eastAsia="Times New Roman" w:hAnsi="Arial" w:cs="Arial"/>
          <w:kern w:val="0"/>
          <w:sz w:val="20"/>
          <w:szCs w:val="20"/>
          <w:lang w:eastAsia="en-IN"/>
          <w14:ligatures w14:val="none"/>
        </w:rPr>
        <w:t>cinerea</w:t>
      </w:r>
      <w:proofErr w:type="spellEnd"/>
      <w:r w:rsidRPr="00D11F16">
        <w:rPr>
          <w:rFonts w:ascii="Arial" w:eastAsia="Times New Roman" w:hAnsi="Arial" w:cs="Arial"/>
          <w:kern w:val="0"/>
          <w:sz w:val="20"/>
          <w:szCs w:val="20"/>
          <w:lang w:eastAsia="en-IN"/>
          <w14:ligatures w14:val="none"/>
        </w:rPr>
        <w:t xml:space="preserve"> and Phytophthora spp. (El-</w:t>
      </w:r>
      <w:proofErr w:type="spellStart"/>
      <w:proofErr w:type="gramStart"/>
      <w:r w:rsidRPr="00D11F16">
        <w:rPr>
          <w:rFonts w:ascii="Arial" w:eastAsia="Times New Roman" w:hAnsi="Arial" w:cs="Arial"/>
          <w:kern w:val="0"/>
          <w:sz w:val="20"/>
          <w:szCs w:val="20"/>
          <w:lang w:eastAsia="en-IN"/>
          <w14:ligatures w14:val="none"/>
        </w:rPr>
        <w:t>Saadony</w:t>
      </w:r>
      <w:proofErr w:type="spellEnd"/>
      <w:r w:rsidRPr="00D11F16">
        <w:rPr>
          <w:rFonts w:ascii="Arial" w:eastAsia="Times New Roman" w:hAnsi="Arial" w:cs="Arial"/>
          <w:kern w:val="0"/>
          <w:sz w:val="20"/>
          <w:szCs w:val="20"/>
          <w:lang w:eastAsia="en-IN"/>
          <w14:ligatures w14:val="none"/>
        </w:rPr>
        <w:t xml:space="preserve">  et al.</w:t>
      </w:r>
      <w:proofErr w:type="gramEnd"/>
      <w:r w:rsidRPr="00D11F16">
        <w:rPr>
          <w:rFonts w:ascii="Arial" w:eastAsia="Times New Roman" w:hAnsi="Arial" w:cs="Arial"/>
          <w:kern w:val="0"/>
          <w:sz w:val="20"/>
          <w:szCs w:val="20"/>
          <w:lang w:eastAsia="en-IN"/>
          <w14:ligatures w14:val="none"/>
        </w:rPr>
        <w:t xml:space="preserve">, 2021). Beneficial nematodes and mycorrhizal fungi are also applied to improve root health and suppress soil-borne diseases. Physical control methods are widely used in IPM to physically remove or prevent pest infestations. One common practice in nurseries is the use of yellow sticky traps to monitor and capture flying insects such as </w:t>
      </w:r>
      <w:proofErr w:type="spellStart"/>
      <w:r w:rsidRPr="00D11F16">
        <w:rPr>
          <w:rFonts w:ascii="Arial" w:eastAsia="Times New Roman" w:hAnsi="Arial" w:cs="Arial"/>
          <w:kern w:val="0"/>
          <w:sz w:val="20"/>
          <w:szCs w:val="20"/>
          <w:lang w:eastAsia="en-IN"/>
          <w14:ligatures w14:val="none"/>
        </w:rPr>
        <w:t>thrips</w:t>
      </w:r>
      <w:proofErr w:type="spellEnd"/>
      <w:r w:rsidRPr="00D11F16">
        <w:rPr>
          <w:rFonts w:ascii="Arial" w:eastAsia="Times New Roman" w:hAnsi="Arial" w:cs="Arial"/>
          <w:kern w:val="0"/>
          <w:sz w:val="20"/>
          <w:szCs w:val="20"/>
          <w:lang w:eastAsia="en-IN"/>
          <w14:ligatures w14:val="none"/>
        </w:rPr>
        <w:t xml:space="preserve">, whiteflies, and fungus gnats. </w:t>
      </w:r>
    </w:p>
    <w:p w14:paraId="5B525AAD" w14:textId="1BEA5259" w:rsidR="00400DE6" w:rsidRPr="00D11F16" w:rsidRDefault="00400DE6" w:rsidP="00400DE6">
      <w:pPr>
        <w:spacing w:before="100" w:beforeAutospacing="1" w:after="100" w:afterAutospacing="1" w:line="240" w:lineRule="auto"/>
        <w:ind w:firstLine="720"/>
        <w:jc w:val="both"/>
        <w:outlineLvl w:val="1"/>
        <w:rPr>
          <w:rFonts w:ascii="Arial" w:eastAsia="Times New Roman" w:hAnsi="Arial" w:cs="Arial"/>
          <w:kern w:val="0"/>
          <w:sz w:val="20"/>
          <w:szCs w:val="20"/>
          <w:lang w:eastAsia="en-IN"/>
          <w14:ligatures w14:val="none"/>
        </w:rPr>
      </w:pPr>
      <w:r w:rsidRPr="00D11F16">
        <w:rPr>
          <w:rFonts w:ascii="Arial" w:eastAsia="Times New Roman" w:hAnsi="Arial" w:cs="Arial"/>
          <w:kern w:val="0"/>
          <w:sz w:val="20"/>
          <w:szCs w:val="20"/>
          <w:lang w:eastAsia="en-IN"/>
          <w14:ligatures w14:val="none"/>
        </w:rPr>
        <w:lastRenderedPageBreak/>
        <w:t>Soil solarization, where the soil is covered with transparent plastic to trap heat, is another effective method to kill soil-borne pathogens and insect larvae. Additionally, physical barriers like row covers and mesh screens prevent pest entry and reduce the spread of viral diseases (</w:t>
      </w:r>
      <w:proofErr w:type="spellStart"/>
      <w:r w:rsidRPr="00D11F16">
        <w:rPr>
          <w:rFonts w:ascii="Arial" w:eastAsia="Times New Roman" w:hAnsi="Arial" w:cs="Arial"/>
          <w:kern w:val="0"/>
          <w:sz w:val="20"/>
          <w:szCs w:val="20"/>
          <w:lang w:eastAsia="en-IN"/>
          <w14:ligatures w14:val="none"/>
        </w:rPr>
        <w:t>Antignus</w:t>
      </w:r>
      <w:proofErr w:type="spellEnd"/>
      <w:r w:rsidRPr="00D11F16">
        <w:rPr>
          <w:rFonts w:ascii="Arial" w:eastAsia="Times New Roman" w:hAnsi="Arial" w:cs="Arial"/>
          <w:kern w:val="0"/>
          <w:sz w:val="20"/>
          <w:szCs w:val="20"/>
          <w:lang w:eastAsia="en-IN"/>
          <w14:ligatures w14:val="none"/>
        </w:rPr>
        <w:t xml:space="preserve"> et al., 1998). Maintaining high sanitation standards</w:t>
      </w:r>
      <w:r w:rsidR="00804FE2">
        <w:rPr>
          <w:rFonts w:ascii="Arial" w:eastAsia="Times New Roman" w:hAnsi="Arial" w:cs="Arial"/>
          <w:kern w:val="0"/>
          <w:sz w:val="20"/>
          <w:szCs w:val="20"/>
          <w:lang w:eastAsia="en-IN"/>
          <w14:ligatures w14:val="none"/>
        </w:rPr>
        <w:t xml:space="preserve"> </w:t>
      </w:r>
      <w:r w:rsidRPr="00D11F16">
        <w:rPr>
          <w:rFonts w:ascii="Arial" w:eastAsia="Times New Roman" w:hAnsi="Arial" w:cs="Arial"/>
          <w:kern w:val="0"/>
          <w:sz w:val="20"/>
          <w:szCs w:val="20"/>
          <w:lang w:eastAsia="en-IN"/>
          <w14:ligatures w14:val="none"/>
        </w:rPr>
        <w:t>such as cleaning equipment and disinfecting greenhouse structures</w:t>
      </w:r>
      <w:r w:rsidR="00804FE2">
        <w:rPr>
          <w:rFonts w:ascii="Arial" w:eastAsia="Times New Roman" w:hAnsi="Arial" w:cs="Arial"/>
          <w:kern w:val="0"/>
          <w:sz w:val="20"/>
          <w:szCs w:val="20"/>
          <w:lang w:eastAsia="en-IN"/>
          <w14:ligatures w14:val="none"/>
        </w:rPr>
        <w:t xml:space="preserve"> </w:t>
      </w:r>
      <w:r w:rsidRPr="00D11F16">
        <w:rPr>
          <w:rFonts w:ascii="Arial" w:eastAsia="Times New Roman" w:hAnsi="Arial" w:cs="Arial"/>
          <w:kern w:val="0"/>
          <w:sz w:val="20"/>
          <w:szCs w:val="20"/>
          <w:lang w:eastAsia="en-IN"/>
          <w14:ligatures w14:val="none"/>
        </w:rPr>
        <w:t xml:space="preserve">also limits the spread of pathogens. While IPM emphasizes nonchemical strategies, pesticides are occasionally used when pest populations exceed economic thresholds. However, chemical applications in IPM are carefully managed to minimize environmental harm. Target-specific, low-toxicity pesticides are preferred to avoid damaging beneficial insect populations. For fungal diseases, fungicide rotation is implemented to prevent resistance development. For instance, alternating between azoxystrobin and tebuconazole reduces the risk of resistance in pathogens like Alternaria </w:t>
      </w:r>
      <w:proofErr w:type="spellStart"/>
      <w:r w:rsidRPr="00D11F16">
        <w:rPr>
          <w:rFonts w:ascii="Arial" w:eastAsia="Times New Roman" w:hAnsi="Arial" w:cs="Arial"/>
          <w:kern w:val="0"/>
          <w:sz w:val="20"/>
          <w:szCs w:val="20"/>
          <w:lang w:eastAsia="en-IN"/>
          <w14:ligatures w14:val="none"/>
        </w:rPr>
        <w:t>alternata</w:t>
      </w:r>
      <w:proofErr w:type="spellEnd"/>
      <w:r w:rsidRPr="00D11F16">
        <w:rPr>
          <w:rFonts w:ascii="Arial" w:eastAsia="Times New Roman" w:hAnsi="Arial" w:cs="Arial"/>
          <w:kern w:val="0"/>
          <w:sz w:val="20"/>
          <w:szCs w:val="20"/>
          <w:lang w:eastAsia="en-IN"/>
          <w14:ligatures w14:val="none"/>
        </w:rPr>
        <w:t xml:space="preserve"> (Wang </w:t>
      </w:r>
      <w:r w:rsidRPr="00D11F16">
        <w:rPr>
          <w:rFonts w:ascii="Arial" w:eastAsia="Times New Roman" w:hAnsi="Arial" w:cs="Arial"/>
          <w:i/>
          <w:iCs/>
          <w:kern w:val="0"/>
          <w:sz w:val="20"/>
          <w:szCs w:val="20"/>
          <w:lang w:eastAsia="en-IN"/>
          <w14:ligatures w14:val="none"/>
        </w:rPr>
        <w:t>et al.,</w:t>
      </w:r>
      <w:r w:rsidRPr="00D11F16">
        <w:rPr>
          <w:rFonts w:ascii="Arial" w:eastAsia="Times New Roman" w:hAnsi="Arial" w:cs="Arial"/>
          <w:kern w:val="0"/>
          <w:sz w:val="20"/>
          <w:szCs w:val="20"/>
          <w:lang w:eastAsia="en-IN"/>
          <w14:ligatures w14:val="none"/>
        </w:rPr>
        <w:t xml:space="preserve"> 2016). For insect control, botanical pesticides such as neem oil and </w:t>
      </w:r>
      <w:proofErr w:type="spellStart"/>
      <w:r w:rsidRPr="00D11F16">
        <w:rPr>
          <w:rFonts w:ascii="Arial" w:eastAsia="Times New Roman" w:hAnsi="Arial" w:cs="Arial"/>
          <w:kern w:val="0"/>
          <w:sz w:val="20"/>
          <w:szCs w:val="20"/>
          <w:lang w:eastAsia="en-IN"/>
          <w14:ligatures w14:val="none"/>
        </w:rPr>
        <w:t>spinosad</w:t>
      </w:r>
      <w:proofErr w:type="spellEnd"/>
      <w:r w:rsidRPr="00D11F16">
        <w:rPr>
          <w:rFonts w:ascii="Arial" w:eastAsia="Times New Roman" w:hAnsi="Arial" w:cs="Arial"/>
          <w:kern w:val="0"/>
          <w:sz w:val="20"/>
          <w:szCs w:val="20"/>
          <w:lang w:eastAsia="en-IN"/>
          <w14:ligatures w14:val="none"/>
        </w:rPr>
        <w:t xml:space="preserve"> are commonly </w:t>
      </w:r>
      <w:r w:rsidRPr="000F4C41">
        <w:rPr>
          <w:rFonts w:ascii="Arial" w:eastAsia="Times New Roman" w:hAnsi="Arial" w:cs="Arial"/>
          <w:kern w:val="0"/>
          <w:sz w:val="20"/>
          <w:szCs w:val="20"/>
          <w:lang w:eastAsia="en-IN"/>
          <w14:ligatures w14:val="none"/>
        </w:rPr>
        <w:t>applied, as they are less harmful to beneficial insects.</w:t>
      </w:r>
      <w:r w:rsidR="000F4C41" w:rsidRPr="000F4C41">
        <w:rPr>
          <w:rFonts w:ascii="Arial" w:hAnsi="Arial" w:cs="Arial"/>
          <w:sz w:val="20"/>
        </w:rPr>
        <w:t xml:space="preserve"> IPM and its effectiveness tabulated in </w:t>
      </w:r>
      <w:bookmarkStart w:id="0" w:name="_GoBack"/>
      <w:r w:rsidR="000F4C41" w:rsidRPr="000F4C41">
        <w:rPr>
          <w:rFonts w:ascii="Arial" w:hAnsi="Arial" w:cs="Arial"/>
          <w:sz w:val="20"/>
        </w:rPr>
        <w:t>Table</w:t>
      </w:r>
      <w:bookmarkEnd w:id="0"/>
      <w:r w:rsidR="000F4C41" w:rsidRPr="000F4C41">
        <w:rPr>
          <w:rFonts w:ascii="Arial" w:hAnsi="Arial" w:cs="Arial"/>
          <w:sz w:val="20"/>
        </w:rPr>
        <w:t xml:space="preserve"> 1.</w:t>
      </w:r>
    </w:p>
    <w:tbl>
      <w:tblPr>
        <w:tblStyle w:val="TableGrid"/>
        <w:tblpPr w:leftFromText="180" w:rightFromText="180" w:vertAnchor="text" w:horzAnchor="margin" w:tblpY="436"/>
        <w:tblW w:w="8884" w:type="dxa"/>
        <w:tblLook w:val="04A0" w:firstRow="1" w:lastRow="0" w:firstColumn="1" w:lastColumn="0" w:noHBand="0" w:noVBand="1"/>
      </w:tblPr>
      <w:tblGrid>
        <w:gridCol w:w="4442"/>
        <w:gridCol w:w="4442"/>
      </w:tblGrid>
      <w:tr w:rsidR="00400DE6" w:rsidRPr="009E1333" w14:paraId="2E368F5C" w14:textId="77777777" w:rsidTr="000F4C41">
        <w:trPr>
          <w:trHeight w:val="132"/>
        </w:trPr>
        <w:tc>
          <w:tcPr>
            <w:tcW w:w="4442" w:type="dxa"/>
            <w:vAlign w:val="center"/>
          </w:tcPr>
          <w:p w14:paraId="19A798E2" w14:textId="46C36AD6" w:rsidR="00400DE6" w:rsidRPr="000F4C41" w:rsidRDefault="000F4C41" w:rsidP="000F4C41">
            <w:pPr>
              <w:jc w:val="center"/>
              <w:rPr>
                <w:rFonts w:ascii="Arial" w:hAnsi="Arial" w:cs="Arial"/>
                <w:b/>
              </w:rPr>
            </w:pPr>
            <w:r w:rsidRPr="000F4C41">
              <w:rPr>
                <w:rFonts w:ascii="Arial" w:hAnsi="Arial" w:cs="Arial"/>
                <w:b/>
                <w:sz w:val="20"/>
              </w:rPr>
              <w:t>IPM</w:t>
            </w:r>
          </w:p>
        </w:tc>
        <w:tc>
          <w:tcPr>
            <w:tcW w:w="4442" w:type="dxa"/>
            <w:vAlign w:val="center"/>
          </w:tcPr>
          <w:p w14:paraId="4DA0D5CA" w14:textId="77777777" w:rsidR="00400DE6" w:rsidRPr="009E1333" w:rsidRDefault="00400DE6" w:rsidP="000D1EDD">
            <w:pPr>
              <w:spacing w:before="100" w:beforeAutospacing="1" w:after="100" w:afterAutospacing="1"/>
              <w:jc w:val="center"/>
              <w:outlineLvl w:val="1"/>
              <w:rPr>
                <w:rFonts w:ascii="Arial" w:eastAsia="Times New Roman" w:hAnsi="Arial" w:cs="Arial"/>
                <w:b/>
                <w:bCs/>
                <w:kern w:val="0"/>
                <w:sz w:val="20"/>
                <w:szCs w:val="20"/>
                <w:lang w:eastAsia="en-IN"/>
                <w14:ligatures w14:val="none"/>
              </w:rPr>
            </w:pPr>
            <w:r w:rsidRPr="009E1333">
              <w:rPr>
                <w:rFonts w:ascii="Arial" w:eastAsia="Times New Roman" w:hAnsi="Arial" w:cs="Arial"/>
                <w:b/>
                <w:bCs/>
                <w:kern w:val="0"/>
                <w:sz w:val="20"/>
                <w:szCs w:val="20"/>
                <w:lang w:eastAsia="en-IN"/>
                <w14:ligatures w14:val="none"/>
              </w:rPr>
              <w:t>Effectiveness</w:t>
            </w:r>
          </w:p>
        </w:tc>
      </w:tr>
      <w:tr w:rsidR="00400DE6" w:rsidRPr="009E1333" w14:paraId="469C8DBF" w14:textId="77777777" w:rsidTr="000D1EDD">
        <w:trPr>
          <w:trHeight w:val="53"/>
        </w:trPr>
        <w:tc>
          <w:tcPr>
            <w:tcW w:w="4442" w:type="dxa"/>
            <w:vAlign w:val="center"/>
          </w:tcPr>
          <w:p w14:paraId="7E268240" w14:textId="77777777" w:rsidR="00400DE6" w:rsidRPr="009E1333" w:rsidRDefault="00400DE6" w:rsidP="000D1EDD">
            <w:pPr>
              <w:spacing w:before="100" w:beforeAutospacing="1" w:after="100" w:afterAutospacing="1"/>
              <w:jc w:val="center"/>
              <w:outlineLvl w:val="1"/>
              <w:rPr>
                <w:rFonts w:ascii="Arial" w:eastAsia="Times New Roman" w:hAnsi="Arial" w:cs="Arial"/>
                <w:kern w:val="0"/>
                <w:sz w:val="20"/>
                <w:szCs w:val="20"/>
                <w:lang w:eastAsia="en-IN"/>
                <w14:ligatures w14:val="none"/>
              </w:rPr>
            </w:pPr>
            <w:r w:rsidRPr="009E1333">
              <w:rPr>
                <w:rFonts w:ascii="Arial" w:eastAsia="Times New Roman" w:hAnsi="Arial" w:cs="Arial"/>
                <w:kern w:val="0"/>
                <w:sz w:val="20"/>
                <w:szCs w:val="20"/>
                <w:lang w:eastAsia="en-IN"/>
                <w14:ligatures w14:val="none"/>
              </w:rPr>
              <w:t>Biological Control (Trichoderma + Neem Oil + Predators)</w:t>
            </w:r>
          </w:p>
        </w:tc>
        <w:tc>
          <w:tcPr>
            <w:tcW w:w="4442" w:type="dxa"/>
            <w:vAlign w:val="center"/>
          </w:tcPr>
          <w:p w14:paraId="265FDC8B" w14:textId="77777777" w:rsidR="00400DE6" w:rsidRPr="009E1333" w:rsidRDefault="00400DE6" w:rsidP="000D1EDD">
            <w:pPr>
              <w:spacing w:before="100" w:beforeAutospacing="1" w:after="100" w:afterAutospacing="1"/>
              <w:jc w:val="center"/>
              <w:outlineLvl w:val="1"/>
              <w:rPr>
                <w:rFonts w:ascii="Arial" w:eastAsia="Times New Roman" w:hAnsi="Arial" w:cs="Arial"/>
                <w:kern w:val="0"/>
                <w:sz w:val="20"/>
                <w:szCs w:val="20"/>
                <w:lang w:eastAsia="en-IN"/>
                <w14:ligatures w14:val="none"/>
              </w:rPr>
            </w:pPr>
            <w:r w:rsidRPr="009E1333">
              <w:rPr>
                <w:rFonts w:ascii="Arial" w:eastAsia="Times New Roman" w:hAnsi="Arial" w:cs="Arial"/>
                <w:kern w:val="0"/>
                <w:sz w:val="20"/>
                <w:szCs w:val="20"/>
                <w:lang w:eastAsia="en-IN"/>
                <w14:ligatures w14:val="none"/>
              </w:rPr>
              <w:t>85% Population Reduction</w:t>
            </w:r>
          </w:p>
        </w:tc>
      </w:tr>
      <w:tr w:rsidR="00400DE6" w:rsidRPr="009E1333" w14:paraId="229CCD4B" w14:textId="77777777" w:rsidTr="000D1EDD">
        <w:trPr>
          <w:trHeight w:val="50"/>
        </w:trPr>
        <w:tc>
          <w:tcPr>
            <w:tcW w:w="4442" w:type="dxa"/>
            <w:vAlign w:val="center"/>
          </w:tcPr>
          <w:p w14:paraId="7EF6BCA3" w14:textId="77777777" w:rsidR="00400DE6" w:rsidRPr="009E1333" w:rsidRDefault="00400DE6" w:rsidP="000D1EDD">
            <w:pPr>
              <w:spacing w:before="100" w:beforeAutospacing="1" w:after="100" w:afterAutospacing="1"/>
              <w:jc w:val="center"/>
              <w:outlineLvl w:val="1"/>
              <w:rPr>
                <w:rFonts w:ascii="Arial" w:eastAsia="Times New Roman" w:hAnsi="Arial" w:cs="Arial"/>
                <w:kern w:val="0"/>
                <w:sz w:val="20"/>
                <w:szCs w:val="20"/>
                <w:lang w:eastAsia="en-IN"/>
                <w14:ligatures w14:val="none"/>
              </w:rPr>
            </w:pPr>
            <w:r w:rsidRPr="009E1333">
              <w:rPr>
                <w:rFonts w:ascii="Arial" w:eastAsia="Times New Roman" w:hAnsi="Arial" w:cs="Arial"/>
                <w:kern w:val="0"/>
                <w:sz w:val="20"/>
                <w:szCs w:val="20"/>
                <w:lang w:eastAsia="en-IN"/>
                <w14:ligatures w14:val="none"/>
              </w:rPr>
              <w:t>Cultural Control (Proper Ventilation + Removing Infected Leaves)</w:t>
            </w:r>
          </w:p>
        </w:tc>
        <w:tc>
          <w:tcPr>
            <w:tcW w:w="4442" w:type="dxa"/>
            <w:vAlign w:val="center"/>
          </w:tcPr>
          <w:p w14:paraId="5AAFBAC4" w14:textId="77777777" w:rsidR="00400DE6" w:rsidRPr="009E1333" w:rsidRDefault="00400DE6" w:rsidP="000D1EDD">
            <w:pPr>
              <w:spacing w:before="100" w:beforeAutospacing="1" w:after="100" w:afterAutospacing="1"/>
              <w:jc w:val="center"/>
              <w:outlineLvl w:val="1"/>
              <w:rPr>
                <w:rFonts w:ascii="Arial" w:eastAsia="Times New Roman" w:hAnsi="Arial" w:cs="Arial"/>
                <w:kern w:val="0"/>
                <w:sz w:val="20"/>
                <w:szCs w:val="20"/>
                <w:lang w:eastAsia="en-IN"/>
                <w14:ligatures w14:val="none"/>
              </w:rPr>
            </w:pPr>
            <w:r w:rsidRPr="009E1333">
              <w:rPr>
                <w:rFonts w:ascii="Arial" w:eastAsia="Times New Roman" w:hAnsi="Arial" w:cs="Arial"/>
                <w:kern w:val="0"/>
                <w:sz w:val="20"/>
                <w:szCs w:val="20"/>
                <w:lang w:eastAsia="en-IN"/>
                <w14:ligatures w14:val="none"/>
              </w:rPr>
              <w:t>75% Population Reduction</w:t>
            </w:r>
          </w:p>
        </w:tc>
      </w:tr>
      <w:tr w:rsidR="00400DE6" w:rsidRPr="009E1333" w14:paraId="42E030F9" w14:textId="77777777" w:rsidTr="000D1EDD">
        <w:trPr>
          <w:trHeight w:val="53"/>
        </w:trPr>
        <w:tc>
          <w:tcPr>
            <w:tcW w:w="4442" w:type="dxa"/>
            <w:vAlign w:val="center"/>
          </w:tcPr>
          <w:p w14:paraId="747C72C9" w14:textId="77777777" w:rsidR="00400DE6" w:rsidRPr="009E1333" w:rsidRDefault="00400DE6" w:rsidP="000D1EDD">
            <w:pPr>
              <w:spacing w:before="100" w:beforeAutospacing="1" w:after="100" w:afterAutospacing="1"/>
              <w:jc w:val="center"/>
              <w:outlineLvl w:val="1"/>
              <w:rPr>
                <w:rFonts w:ascii="Arial" w:eastAsia="Times New Roman" w:hAnsi="Arial" w:cs="Arial"/>
                <w:kern w:val="0"/>
                <w:sz w:val="20"/>
                <w:szCs w:val="20"/>
                <w:lang w:eastAsia="en-IN"/>
                <w14:ligatures w14:val="none"/>
              </w:rPr>
            </w:pPr>
            <w:r w:rsidRPr="009E1333">
              <w:rPr>
                <w:rFonts w:ascii="Arial" w:eastAsia="Times New Roman" w:hAnsi="Arial" w:cs="Arial"/>
                <w:kern w:val="0"/>
                <w:sz w:val="20"/>
                <w:szCs w:val="20"/>
                <w:lang w:eastAsia="en-IN"/>
                <w14:ligatures w14:val="none"/>
              </w:rPr>
              <w:t>Chemical Control (Rotated Fungicides + Organic Pesticides)</w:t>
            </w:r>
          </w:p>
        </w:tc>
        <w:tc>
          <w:tcPr>
            <w:tcW w:w="4442" w:type="dxa"/>
            <w:vAlign w:val="center"/>
          </w:tcPr>
          <w:p w14:paraId="654C803A" w14:textId="77777777" w:rsidR="00400DE6" w:rsidRPr="009E1333" w:rsidRDefault="00400DE6" w:rsidP="000D1EDD">
            <w:pPr>
              <w:spacing w:before="100" w:beforeAutospacing="1" w:after="100" w:afterAutospacing="1"/>
              <w:jc w:val="center"/>
              <w:outlineLvl w:val="1"/>
              <w:rPr>
                <w:rFonts w:ascii="Arial" w:eastAsia="Times New Roman" w:hAnsi="Arial" w:cs="Arial"/>
                <w:kern w:val="0"/>
                <w:sz w:val="20"/>
                <w:szCs w:val="20"/>
                <w:lang w:eastAsia="en-IN"/>
                <w14:ligatures w14:val="none"/>
              </w:rPr>
            </w:pPr>
            <w:r w:rsidRPr="009E1333">
              <w:rPr>
                <w:rFonts w:ascii="Arial" w:eastAsia="Times New Roman" w:hAnsi="Arial" w:cs="Arial"/>
                <w:kern w:val="0"/>
                <w:sz w:val="20"/>
                <w:szCs w:val="20"/>
                <w:lang w:eastAsia="en-IN"/>
                <w14:ligatures w14:val="none"/>
              </w:rPr>
              <w:t>60% Population Reduction</w:t>
            </w:r>
          </w:p>
        </w:tc>
      </w:tr>
    </w:tbl>
    <w:p w14:paraId="2DC39C9F" w14:textId="60AF420D" w:rsidR="00400DE6" w:rsidRPr="00482227" w:rsidRDefault="00400DE6" w:rsidP="00D11F16">
      <w:pPr>
        <w:spacing w:before="100" w:beforeAutospacing="1" w:after="100" w:afterAutospacing="1" w:line="240" w:lineRule="auto"/>
        <w:jc w:val="center"/>
        <w:outlineLvl w:val="1"/>
        <w:rPr>
          <w:rFonts w:ascii="Arial" w:eastAsia="Times New Roman" w:hAnsi="Arial" w:cs="Arial"/>
          <w:b/>
          <w:kern w:val="0"/>
          <w:sz w:val="18"/>
          <w:szCs w:val="20"/>
          <w:lang w:eastAsia="en-IN"/>
          <w14:ligatures w14:val="none"/>
        </w:rPr>
      </w:pPr>
      <w:r w:rsidRPr="00482227">
        <w:rPr>
          <w:rFonts w:ascii="Arial" w:hAnsi="Arial" w:cs="Arial"/>
          <w:b/>
          <w:sz w:val="20"/>
        </w:rPr>
        <w:t>Table 1:</w:t>
      </w:r>
      <w:r w:rsidR="00D11F16">
        <w:rPr>
          <w:rFonts w:ascii="Arial" w:hAnsi="Arial" w:cs="Arial"/>
          <w:b/>
          <w:sz w:val="20"/>
        </w:rPr>
        <w:t xml:space="preserve"> </w:t>
      </w:r>
      <w:r w:rsidR="000F4C41">
        <w:rPr>
          <w:rFonts w:ascii="Arial" w:hAnsi="Arial" w:cs="Arial"/>
          <w:b/>
          <w:sz w:val="20"/>
        </w:rPr>
        <w:t xml:space="preserve">IPM and its effectiveness </w:t>
      </w:r>
    </w:p>
    <w:p w14:paraId="445C4346" w14:textId="77777777" w:rsidR="00400DE6" w:rsidRPr="00A6616B" w:rsidRDefault="00400DE6" w:rsidP="00400DE6">
      <w:pPr>
        <w:pStyle w:val="NoSpacing"/>
      </w:pPr>
    </w:p>
    <w:p w14:paraId="228DA129" w14:textId="77777777" w:rsidR="00400DE6" w:rsidRPr="00482227" w:rsidRDefault="00400DE6" w:rsidP="00400DE6">
      <w:pPr>
        <w:pStyle w:val="ListParagraph"/>
        <w:numPr>
          <w:ilvl w:val="0"/>
          <w:numId w:val="4"/>
        </w:numPr>
        <w:spacing w:before="100" w:beforeAutospacing="1" w:after="100" w:afterAutospacing="1" w:line="240" w:lineRule="auto"/>
        <w:outlineLvl w:val="1"/>
        <w:rPr>
          <w:rFonts w:ascii="Arial" w:eastAsia="Times New Roman" w:hAnsi="Arial" w:cs="Arial"/>
          <w:b/>
          <w:bCs/>
          <w:kern w:val="0"/>
          <w:sz w:val="24"/>
          <w:szCs w:val="20"/>
          <w:lang w:eastAsia="en-IN"/>
          <w14:ligatures w14:val="none"/>
        </w:rPr>
      </w:pPr>
      <w:r w:rsidRPr="00482227">
        <w:rPr>
          <w:rFonts w:ascii="Arial" w:eastAsia="Times New Roman" w:hAnsi="Arial" w:cs="Arial"/>
          <w:b/>
          <w:bCs/>
          <w:kern w:val="0"/>
          <w:sz w:val="24"/>
          <w:szCs w:val="20"/>
          <w:lang w:eastAsia="en-IN"/>
          <w14:ligatures w14:val="none"/>
        </w:rPr>
        <w:t>IMPLEMENTATION OF IPM</w:t>
      </w:r>
    </w:p>
    <w:p w14:paraId="2E6C555F" w14:textId="77777777" w:rsidR="00400DE6" w:rsidRPr="00482227" w:rsidRDefault="00400DE6" w:rsidP="00400DE6">
      <w:pPr>
        <w:spacing w:line="240" w:lineRule="auto"/>
        <w:jc w:val="both"/>
        <w:rPr>
          <w:rFonts w:ascii="Arial" w:eastAsia="Times New Roman" w:hAnsi="Arial" w:cs="Arial"/>
          <w:kern w:val="0"/>
          <w:sz w:val="20"/>
          <w:szCs w:val="20"/>
          <w:lang w:eastAsia="en-IN"/>
          <w14:ligatures w14:val="none"/>
        </w:rPr>
      </w:pPr>
      <w:r w:rsidRPr="00482227">
        <w:rPr>
          <w:rFonts w:ascii="Arial" w:eastAsia="Times New Roman" w:hAnsi="Arial" w:cs="Arial"/>
          <w:kern w:val="0"/>
          <w:sz w:val="20"/>
          <w:szCs w:val="20"/>
          <w:lang w:eastAsia="en-IN"/>
          <w14:ligatures w14:val="none"/>
        </w:rPr>
        <w:t>Monitoring and Pest Identification in IPM: Regular monitoring and accurate pest identification are essential components of Integrated Pest Management (IPM). Field scouting, which includes visual inspections and the use of sticky or pheromone traps, allows farmers to detect pests early. Monitoring also helps assess the population levels of pest species, guiding decisions about whether to implement control measures (</w:t>
      </w:r>
      <w:proofErr w:type="spellStart"/>
      <w:r w:rsidRPr="00482227">
        <w:rPr>
          <w:rFonts w:ascii="Arial" w:eastAsia="Times New Roman" w:hAnsi="Arial" w:cs="Arial"/>
          <w:kern w:val="0"/>
          <w:sz w:val="20"/>
          <w:szCs w:val="20"/>
          <w:lang w:eastAsia="en-IN"/>
          <w14:ligatures w14:val="none"/>
        </w:rPr>
        <w:t>Tratwal</w:t>
      </w:r>
      <w:proofErr w:type="spellEnd"/>
      <w:r w:rsidRPr="00482227">
        <w:rPr>
          <w:rFonts w:ascii="Arial" w:eastAsia="Times New Roman" w:hAnsi="Arial" w:cs="Arial"/>
          <w:kern w:val="0"/>
          <w:sz w:val="20"/>
          <w:szCs w:val="20"/>
          <w:lang w:eastAsia="en-IN"/>
          <w14:ligatures w14:val="none"/>
        </w:rPr>
        <w:t xml:space="preserve"> &amp; </w:t>
      </w:r>
      <w:proofErr w:type="spellStart"/>
      <w:r w:rsidRPr="00482227">
        <w:rPr>
          <w:rFonts w:ascii="Arial" w:eastAsia="Times New Roman" w:hAnsi="Arial" w:cs="Arial"/>
          <w:kern w:val="0"/>
          <w:sz w:val="20"/>
          <w:szCs w:val="20"/>
          <w:lang w:eastAsia="en-IN"/>
          <w14:ligatures w14:val="none"/>
        </w:rPr>
        <w:t>BAran</w:t>
      </w:r>
      <w:proofErr w:type="spellEnd"/>
      <w:r w:rsidRPr="00482227">
        <w:rPr>
          <w:rFonts w:ascii="Arial" w:eastAsia="Times New Roman" w:hAnsi="Arial" w:cs="Arial"/>
          <w:kern w:val="0"/>
          <w:sz w:val="20"/>
          <w:szCs w:val="20"/>
          <w:lang w:eastAsia="en-IN"/>
          <w14:ligatures w14:val="none"/>
        </w:rPr>
        <w:t>, 1998). Proper pest identification is crucial because different species may require specific management approaches. For instance, distinguishing between beneficial insects and pests can prevent unnecessary pesticide applications, thereby preserving natural enemies that aid in biological control (</w:t>
      </w:r>
      <w:r w:rsidRPr="00482227">
        <w:rPr>
          <w:rFonts w:ascii="Arial" w:hAnsi="Arial" w:cs="Arial"/>
          <w:sz w:val="20"/>
          <w:szCs w:val="20"/>
        </w:rPr>
        <w:t>Flint</w:t>
      </w:r>
      <w:r w:rsidRPr="00482227">
        <w:rPr>
          <w:rFonts w:ascii="Arial" w:eastAsia="Times New Roman" w:hAnsi="Arial" w:cs="Arial"/>
          <w:kern w:val="0"/>
          <w:sz w:val="20"/>
          <w:szCs w:val="20"/>
          <w:lang w:eastAsia="en-IN"/>
          <w14:ligatures w14:val="none"/>
        </w:rPr>
        <w:t xml:space="preserve"> &amp; </w:t>
      </w:r>
      <w:proofErr w:type="spellStart"/>
      <w:r w:rsidRPr="00482227">
        <w:rPr>
          <w:rFonts w:ascii="Arial" w:eastAsia="Times New Roman" w:hAnsi="Arial" w:cs="Arial"/>
          <w:kern w:val="0"/>
          <w:sz w:val="20"/>
          <w:szCs w:val="20"/>
          <w:lang w:eastAsia="en-IN"/>
          <w14:ligatures w14:val="none"/>
        </w:rPr>
        <w:t>Dreistadt</w:t>
      </w:r>
      <w:proofErr w:type="spellEnd"/>
      <w:r w:rsidRPr="00482227">
        <w:rPr>
          <w:rFonts w:ascii="Arial" w:eastAsia="Times New Roman" w:hAnsi="Arial" w:cs="Arial"/>
          <w:kern w:val="0"/>
          <w:sz w:val="20"/>
          <w:szCs w:val="20"/>
          <w:lang w:eastAsia="en-IN"/>
          <w14:ligatures w14:val="none"/>
        </w:rPr>
        <w:t>, 1998). Decision-Making in IPM: Effective decision-making in IPM is based on the principle of applying control measures only when pest populations exceed established action thresholds. These action thresholds are predefined population levels at which pests are likely to cause economic damage, making intervention necessary (</w:t>
      </w:r>
      <w:r w:rsidRPr="00482227">
        <w:rPr>
          <w:rFonts w:ascii="Arial" w:hAnsi="Arial" w:cs="Arial"/>
          <w:sz w:val="20"/>
          <w:szCs w:val="20"/>
        </w:rPr>
        <w:t>Higley</w:t>
      </w:r>
      <w:r w:rsidRPr="00482227">
        <w:rPr>
          <w:rFonts w:ascii="Arial" w:eastAsia="Times New Roman" w:hAnsi="Arial" w:cs="Arial"/>
          <w:i/>
          <w:iCs/>
          <w:kern w:val="0"/>
          <w:sz w:val="20"/>
          <w:szCs w:val="20"/>
          <w:lang w:eastAsia="en-IN"/>
          <w14:ligatures w14:val="none"/>
        </w:rPr>
        <w:t xml:space="preserve"> and </w:t>
      </w:r>
      <w:proofErr w:type="spellStart"/>
      <w:r w:rsidRPr="00482227">
        <w:rPr>
          <w:rFonts w:ascii="Arial" w:eastAsia="Times New Roman" w:hAnsi="Arial" w:cs="Arial"/>
          <w:i/>
          <w:iCs/>
          <w:kern w:val="0"/>
          <w:sz w:val="20"/>
          <w:szCs w:val="20"/>
          <w:lang w:eastAsia="en-IN"/>
          <w14:ligatures w14:val="none"/>
        </w:rPr>
        <w:t>Pedigo</w:t>
      </w:r>
      <w:proofErr w:type="spellEnd"/>
      <w:r w:rsidRPr="00482227">
        <w:rPr>
          <w:rFonts w:ascii="Arial" w:eastAsia="Times New Roman" w:hAnsi="Arial" w:cs="Arial"/>
          <w:i/>
          <w:iCs/>
          <w:kern w:val="0"/>
          <w:sz w:val="20"/>
          <w:szCs w:val="20"/>
          <w:lang w:eastAsia="en-IN"/>
          <w14:ligatures w14:val="none"/>
        </w:rPr>
        <w:t>,</w:t>
      </w:r>
      <w:r w:rsidRPr="00482227">
        <w:rPr>
          <w:rFonts w:ascii="Arial" w:eastAsia="Times New Roman" w:hAnsi="Arial" w:cs="Arial"/>
          <w:kern w:val="0"/>
          <w:sz w:val="20"/>
          <w:szCs w:val="20"/>
          <w:lang w:eastAsia="en-IN"/>
          <w14:ligatures w14:val="none"/>
        </w:rPr>
        <w:t xml:space="preserve"> 1996). By adhering to these thresholds, farmers can avoid unnecessary pesticide use, reducing costs and minimizing environmental impact. This practice also helps prevent the development of pesticide resistance, as pests are not continuously exposed to chemical treatments (Way &amp; Van, 2000).</w:t>
      </w:r>
    </w:p>
    <w:p w14:paraId="50CBB777" w14:textId="55D69A84" w:rsidR="00400DE6" w:rsidRPr="00482227" w:rsidRDefault="00400DE6" w:rsidP="00D11F16">
      <w:pPr>
        <w:spacing w:line="240" w:lineRule="auto"/>
        <w:ind w:firstLine="720"/>
        <w:jc w:val="both"/>
        <w:rPr>
          <w:rFonts w:ascii="Arial" w:hAnsi="Arial" w:cs="Arial"/>
          <w:b/>
          <w:bCs/>
          <w:color w:val="FF0000"/>
          <w:sz w:val="20"/>
          <w:szCs w:val="20"/>
        </w:rPr>
      </w:pPr>
      <w:r w:rsidRPr="00482227">
        <w:rPr>
          <w:rFonts w:ascii="Arial" w:eastAsia="Times New Roman" w:hAnsi="Arial" w:cs="Arial"/>
          <w:kern w:val="0"/>
          <w:sz w:val="20"/>
          <w:szCs w:val="20"/>
          <w:lang w:eastAsia="en-IN"/>
          <w14:ligatures w14:val="none"/>
        </w:rPr>
        <w:t>Combining Control Strategies in IPM: IPM emphasizes the use of multiple control strategies, combining cultural, biological, physical, and chemical methods to achieve sustainable pest management. Cultural practices, such as crop rotation, sanitation, and proper irrigation, disrupt pest life cycles and reduce their habitats (</w:t>
      </w:r>
      <w:r w:rsidRPr="00482227">
        <w:rPr>
          <w:rFonts w:ascii="Arial" w:hAnsi="Arial" w:cs="Arial"/>
          <w:sz w:val="20"/>
          <w:szCs w:val="20"/>
        </w:rPr>
        <w:t>Altieri</w:t>
      </w:r>
      <w:r w:rsidRPr="00482227">
        <w:rPr>
          <w:rFonts w:ascii="Arial" w:eastAsia="Times New Roman" w:hAnsi="Arial" w:cs="Arial"/>
          <w:kern w:val="0"/>
          <w:sz w:val="20"/>
          <w:szCs w:val="20"/>
          <w:lang w:eastAsia="en-IN"/>
          <w14:ligatures w14:val="none"/>
        </w:rPr>
        <w:t xml:space="preserve">, 1993). Biological control involves the introduction or conservation of natural predators and </w:t>
      </w:r>
      <w:proofErr w:type="spellStart"/>
      <w:r w:rsidRPr="00482227">
        <w:rPr>
          <w:rFonts w:ascii="Arial" w:eastAsia="Times New Roman" w:hAnsi="Arial" w:cs="Arial"/>
          <w:kern w:val="0"/>
          <w:sz w:val="20"/>
          <w:szCs w:val="20"/>
          <w:lang w:eastAsia="en-IN"/>
          <w14:ligatures w14:val="none"/>
        </w:rPr>
        <w:t>parasitoids</w:t>
      </w:r>
      <w:proofErr w:type="spellEnd"/>
      <w:r w:rsidRPr="00482227">
        <w:rPr>
          <w:rFonts w:ascii="Arial" w:eastAsia="Times New Roman" w:hAnsi="Arial" w:cs="Arial"/>
          <w:kern w:val="0"/>
          <w:sz w:val="20"/>
          <w:szCs w:val="20"/>
          <w:lang w:eastAsia="en-IN"/>
          <w14:ligatures w14:val="none"/>
        </w:rPr>
        <w:t xml:space="preserve"> to suppress pest populations. Physical controls, such as mulching, netting, or hand-picking pests, provide non-chemical alternatives. Chemical control is used only as a last resort and when necessary. When applying pesticides, farmers should prefer targeted and selective products to minimize harm to non-target organisms (</w:t>
      </w:r>
      <w:proofErr w:type="spellStart"/>
      <w:r w:rsidRPr="00482227">
        <w:rPr>
          <w:rFonts w:ascii="Arial" w:hAnsi="Arial" w:cs="Arial"/>
          <w:sz w:val="20"/>
          <w:szCs w:val="20"/>
        </w:rPr>
        <w:t>Serrão</w:t>
      </w:r>
      <w:proofErr w:type="spellEnd"/>
      <w:r w:rsidRPr="00482227">
        <w:rPr>
          <w:rFonts w:ascii="Arial" w:eastAsia="Times New Roman" w:hAnsi="Arial" w:cs="Arial"/>
          <w:kern w:val="0"/>
          <w:sz w:val="20"/>
          <w:szCs w:val="20"/>
          <w:lang w:eastAsia="en-IN"/>
          <w14:ligatures w14:val="none"/>
        </w:rPr>
        <w:t xml:space="preserve"> et al., 2022).</w:t>
      </w:r>
      <w:r w:rsidR="00D11F16">
        <w:rPr>
          <w:rFonts w:ascii="Arial" w:eastAsia="Times New Roman" w:hAnsi="Arial" w:cs="Arial"/>
          <w:kern w:val="0"/>
          <w:sz w:val="20"/>
          <w:szCs w:val="20"/>
          <w:lang w:eastAsia="en-IN"/>
          <w14:ligatures w14:val="none"/>
        </w:rPr>
        <w:t xml:space="preserve"> </w:t>
      </w:r>
      <w:r w:rsidRPr="00482227">
        <w:rPr>
          <w:rFonts w:ascii="Arial" w:eastAsia="Times New Roman" w:hAnsi="Arial" w:cs="Arial"/>
          <w:kern w:val="0"/>
          <w:sz w:val="20"/>
          <w:szCs w:val="20"/>
          <w:lang w:eastAsia="en-IN"/>
          <w14:ligatures w14:val="none"/>
        </w:rPr>
        <w:t>Evaluation and Adaptation in IPM: Ongoing evaluation of pest management strategies is crucial for the effectiveness of IPM. Regular assessments of field conditions, pest populations, and the effectiveness of control measures allow farmers to make necessary adjustments. For example, if a particular pesticide is no longer effective due to resistance, farmers may need to switch to a different active ingredient or incorporate more biological controls (</w:t>
      </w:r>
      <w:proofErr w:type="spellStart"/>
      <w:r w:rsidRPr="00482227">
        <w:rPr>
          <w:rFonts w:ascii="Arial" w:hAnsi="Arial" w:cs="Arial"/>
          <w:sz w:val="20"/>
          <w:szCs w:val="20"/>
        </w:rPr>
        <w:t>Marrone</w:t>
      </w:r>
      <w:proofErr w:type="spellEnd"/>
      <w:r w:rsidRPr="00482227">
        <w:rPr>
          <w:rFonts w:ascii="Arial" w:eastAsia="Times New Roman" w:hAnsi="Arial" w:cs="Arial"/>
          <w:kern w:val="0"/>
          <w:sz w:val="20"/>
          <w:szCs w:val="20"/>
          <w:lang w:eastAsia="en-IN"/>
          <w14:ligatures w14:val="none"/>
        </w:rPr>
        <w:t>, 2007). By continuously adapting their strategies, farmers can improve pest control efficacy while maintaining environmental sustainability</w:t>
      </w:r>
      <w:r w:rsidRPr="00D11F16">
        <w:rPr>
          <w:rFonts w:ascii="Arial" w:eastAsia="Times New Roman" w:hAnsi="Arial" w:cs="Arial"/>
          <w:kern w:val="0"/>
          <w:sz w:val="20"/>
          <w:szCs w:val="20"/>
          <w:highlight w:val="yellow"/>
          <w:lang w:eastAsia="en-IN"/>
          <w14:ligatures w14:val="none"/>
        </w:rPr>
        <w:t>.</w:t>
      </w:r>
      <w:r w:rsidRPr="00D11F16">
        <w:rPr>
          <w:rFonts w:ascii="Arial" w:hAnsi="Arial" w:cs="Arial"/>
          <w:sz w:val="20"/>
          <w:szCs w:val="20"/>
          <w:highlight w:val="yellow"/>
        </w:rPr>
        <w:t xml:space="preserve"> The </w:t>
      </w:r>
      <w:r w:rsidR="004D2811">
        <w:rPr>
          <w:rFonts w:ascii="Arial" w:hAnsi="Arial" w:cs="Arial"/>
          <w:sz w:val="20"/>
          <w:szCs w:val="20"/>
          <w:highlight w:val="yellow"/>
        </w:rPr>
        <w:t>Fig</w:t>
      </w:r>
      <w:r w:rsidRPr="00D11F16">
        <w:rPr>
          <w:rFonts w:ascii="Arial" w:hAnsi="Arial" w:cs="Arial"/>
          <w:sz w:val="20"/>
          <w:szCs w:val="20"/>
          <w:highlight w:val="yellow"/>
        </w:rPr>
        <w:t xml:space="preserve"> 1</w:t>
      </w:r>
      <w:r w:rsidR="004D2811">
        <w:rPr>
          <w:rFonts w:ascii="Arial" w:hAnsi="Arial" w:cs="Arial"/>
          <w:sz w:val="20"/>
          <w:szCs w:val="20"/>
          <w:highlight w:val="yellow"/>
        </w:rPr>
        <w:t>1</w:t>
      </w:r>
      <w:r w:rsidRPr="00D11F16">
        <w:rPr>
          <w:rFonts w:ascii="Arial" w:hAnsi="Arial" w:cs="Arial"/>
          <w:sz w:val="20"/>
          <w:szCs w:val="20"/>
          <w:highlight w:val="yellow"/>
        </w:rPr>
        <w:t xml:space="preserve"> shows that aphid and whitefly populations dropped sharply within 4-6 weeks of applying biological control, including Trichoderma, Neem Oil, and Predatory Insects. </w:t>
      </w:r>
      <w:proofErr w:type="spellStart"/>
      <w:r w:rsidRPr="00D11F16">
        <w:rPr>
          <w:rFonts w:ascii="Arial" w:hAnsi="Arial" w:cs="Arial"/>
          <w:sz w:val="20"/>
          <w:szCs w:val="20"/>
          <w:highlight w:val="yellow"/>
        </w:rPr>
        <w:t>Thrips</w:t>
      </w:r>
      <w:proofErr w:type="spellEnd"/>
      <w:r w:rsidRPr="00D11F16">
        <w:rPr>
          <w:rFonts w:ascii="Arial" w:hAnsi="Arial" w:cs="Arial"/>
          <w:sz w:val="20"/>
          <w:szCs w:val="20"/>
          <w:highlight w:val="yellow"/>
        </w:rPr>
        <w:t xml:space="preserve"> and mealybugs declined more gradually but still fell below the economic threshold by week 8.</w:t>
      </w:r>
    </w:p>
    <w:p w14:paraId="324A1E75" w14:textId="77777777" w:rsidR="00400DE6" w:rsidRPr="009E1333" w:rsidRDefault="00400DE6" w:rsidP="00400DE6">
      <w:pPr>
        <w:pStyle w:val="ListParagraph"/>
        <w:spacing w:line="240" w:lineRule="auto"/>
        <w:rPr>
          <w:rFonts w:ascii="Arial" w:hAnsi="Arial" w:cs="Arial"/>
          <w:sz w:val="20"/>
          <w:szCs w:val="20"/>
        </w:rPr>
      </w:pPr>
      <w:r w:rsidRPr="009E1333">
        <w:rPr>
          <w:rFonts w:ascii="Arial" w:hAnsi="Arial" w:cs="Arial"/>
          <w:noProof/>
          <w:sz w:val="20"/>
          <w:szCs w:val="20"/>
        </w:rPr>
        <w:lastRenderedPageBreak/>
        <w:drawing>
          <wp:inline distT="0" distB="0" distL="0" distR="0" wp14:anchorId="7AD76FAF" wp14:editId="35E47852">
            <wp:extent cx="4768945" cy="2720340"/>
            <wp:effectExtent l="19050" t="19050" r="12700" b="22860"/>
            <wp:docPr id="143527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0258" cy="2749610"/>
                    </a:xfrm>
                    <a:prstGeom prst="rect">
                      <a:avLst/>
                    </a:prstGeom>
                    <a:noFill/>
                    <a:ln w="3175">
                      <a:solidFill>
                        <a:schemeClr val="tx1"/>
                      </a:solidFill>
                    </a:ln>
                  </pic:spPr>
                </pic:pic>
              </a:graphicData>
            </a:graphic>
          </wp:inline>
        </w:drawing>
      </w:r>
    </w:p>
    <w:p w14:paraId="607F3A41" w14:textId="64C67240" w:rsidR="00400DE6" w:rsidRPr="00753DD7" w:rsidRDefault="004D2811" w:rsidP="00400DE6">
      <w:pPr>
        <w:pStyle w:val="ListParagraph"/>
        <w:spacing w:line="240" w:lineRule="auto"/>
        <w:jc w:val="center"/>
        <w:rPr>
          <w:rFonts w:ascii="Arial" w:hAnsi="Arial" w:cs="Arial"/>
          <w:b/>
          <w:sz w:val="20"/>
          <w:szCs w:val="20"/>
        </w:rPr>
      </w:pPr>
      <w:r>
        <w:rPr>
          <w:rFonts w:ascii="Arial" w:hAnsi="Arial" w:cs="Arial"/>
          <w:b/>
          <w:sz w:val="20"/>
          <w:szCs w:val="20"/>
        </w:rPr>
        <w:t>Fig</w:t>
      </w:r>
      <w:r w:rsidR="00400DE6" w:rsidRPr="00753DD7">
        <w:rPr>
          <w:rFonts w:ascii="Arial" w:hAnsi="Arial" w:cs="Arial"/>
          <w:b/>
          <w:sz w:val="20"/>
          <w:szCs w:val="20"/>
        </w:rPr>
        <w:t xml:space="preserve"> </w:t>
      </w:r>
      <w:r>
        <w:rPr>
          <w:rFonts w:ascii="Arial" w:hAnsi="Arial" w:cs="Arial"/>
          <w:b/>
          <w:sz w:val="20"/>
          <w:szCs w:val="20"/>
        </w:rPr>
        <w:t>11</w:t>
      </w:r>
      <w:r w:rsidR="00400DE6" w:rsidRPr="00753DD7">
        <w:rPr>
          <w:rFonts w:ascii="Arial" w:hAnsi="Arial" w:cs="Arial"/>
          <w:b/>
          <w:sz w:val="20"/>
          <w:szCs w:val="20"/>
        </w:rPr>
        <w:t>. Pest populations reduction through IPM</w:t>
      </w:r>
    </w:p>
    <w:p w14:paraId="0BEAC1F5" w14:textId="77777777" w:rsidR="00400DE6" w:rsidRDefault="00400DE6" w:rsidP="00804FE2">
      <w:pPr>
        <w:pStyle w:val="NoSpacing"/>
        <w:rPr>
          <w:lang w:eastAsia="en-IN"/>
        </w:rPr>
      </w:pPr>
    </w:p>
    <w:p w14:paraId="05096C24" w14:textId="77777777" w:rsidR="00400DE6" w:rsidRPr="00482227" w:rsidRDefault="00400DE6" w:rsidP="00400DE6">
      <w:pPr>
        <w:pStyle w:val="ListParagraph"/>
        <w:numPr>
          <w:ilvl w:val="0"/>
          <w:numId w:val="4"/>
        </w:numPr>
        <w:spacing w:line="240" w:lineRule="auto"/>
        <w:jc w:val="both"/>
        <w:rPr>
          <w:rFonts w:ascii="Arial" w:eastAsia="Times New Roman" w:hAnsi="Arial" w:cs="Arial"/>
          <w:b/>
          <w:bCs/>
          <w:kern w:val="0"/>
          <w:sz w:val="24"/>
          <w:szCs w:val="20"/>
          <w:lang w:eastAsia="en-IN"/>
          <w14:ligatures w14:val="none"/>
        </w:rPr>
      </w:pPr>
      <w:r w:rsidRPr="00482227">
        <w:rPr>
          <w:rFonts w:ascii="Arial" w:eastAsia="Times New Roman" w:hAnsi="Arial" w:cs="Arial"/>
          <w:b/>
          <w:bCs/>
          <w:kern w:val="0"/>
          <w:sz w:val="24"/>
          <w:szCs w:val="20"/>
          <w:lang w:eastAsia="en-IN"/>
          <w14:ligatures w14:val="none"/>
        </w:rPr>
        <w:t xml:space="preserve">CONCLUSION </w:t>
      </w:r>
    </w:p>
    <w:p w14:paraId="55865BAC" w14:textId="77777777" w:rsidR="00400DE6" w:rsidRPr="009E1333" w:rsidRDefault="00400DE6" w:rsidP="00400DE6">
      <w:pPr>
        <w:spacing w:line="240" w:lineRule="auto"/>
        <w:jc w:val="both"/>
        <w:rPr>
          <w:rFonts w:ascii="Arial" w:eastAsia="Times New Roman" w:hAnsi="Arial" w:cs="Arial"/>
          <w:kern w:val="0"/>
          <w:sz w:val="20"/>
          <w:szCs w:val="20"/>
          <w:lang w:eastAsia="en-IN"/>
          <w14:ligatures w14:val="none"/>
        </w:rPr>
      </w:pPr>
      <w:r w:rsidRPr="009E1333">
        <w:rPr>
          <w:rFonts w:ascii="Arial" w:eastAsia="Times New Roman" w:hAnsi="Arial" w:cs="Arial"/>
          <w:kern w:val="0"/>
          <w:sz w:val="20"/>
          <w:szCs w:val="20"/>
          <w:lang w:eastAsia="en-IN"/>
          <w14:ligatures w14:val="none"/>
        </w:rPr>
        <w:t xml:space="preserve">Effective disease and pest management is essential for maintaining productivity, quality, and sustainability in nurseries. Diseases such as powdery mildew, botrytis blight, leaf spot, rust, and root rot pose significant threats to plant health and overall yields. Similarly, pests like aphids, whiteflies, </w:t>
      </w:r>
      <w:proofErr w:type="spellStart"/>
      <w:r w:rsidRPr="009E1333">
        <w:rPr>
          <w:rFonts w:ascii="Arial" w:eastAsia="Times New Roman" w:hAnsi="Arial" w:cs="Arial"/>
          <w:kern w:val="0"/>
          <w:sz w:val="20"/>
          <w:szCs w:val="20"/>
          <w:lang w:eastAsia="en-IN"/>
          <w14:ligatures w14:val="none"/>
        </w:rPr>
        <w:t>thrips</w:t>
      </w:r>
      <w:proofErr w:type="spellEnd"/>
      <w:r w:rsidRPr="009E1333">
        <w:rPr>
          <w:rFonts w:ascii="Arial" w:eastAsia="Times New Roman" w:hAnsi="Arial" w:cs="Arial"/>
          <w:kern w:val="0"/>
          <w:sz w:val="20"/>
          <w:szCs w:val="20"/>
          <w:lang w:eastAsia="en-IN"/>
          <w14:ligatures w14:val="none"/>
        </w:rPr>
        <w:t xml:space="preserve">, and mealybugs can cause extensive damage by feeding on plant tissues, transmitting viruses, and weakening the overall </w:t>
      </w:r>
      <w:proofErr w:type="spellStart"/>
      <w:r w:rsidRPr="009E1333">
        <w:rPr>
          <w:rFonts w:ascii="Arial" w:eastAsia="Times New Roman" w:hAnsi="Arial" w:cs="Arial"/>
          <w:kern w:val="0"/>
          <w:sz w:val="20"/>
          <w:szCs w:val="20"/>
          <w:lang w:eastAsia="en-IN"/>
          <w14:ligatures w14:val="none"/>
        </w:rPr>
        <w:t>vigor</w:t>
      </w:r>
      <w:proofErr w:type="spellEnd"/>
      <w:r w:rsidRPr="009E1333">
        <w:rPr>
          <w:rFonts w:ascii="Arial" w:eastAsia="Times New Roman" w:hAnsi="Arial" w:cs="Arial"/>
          <w:kern w:val="0"/>
          <w:sz w:val="20"/>
          <w:szCs w:val="20"/>
          <w:lang w:eastAsia="en-IN"/>
          <w14:ligatures w14:val="none"/>
        </w:rPr>
        <w:t xml:space="preserve"> of nursery plants. In Kerala, the nursery sector faces specific challenges due to its tropical climate, which creates </w:t>
      </w:r>
      <w:proofErr w:type="spellStart"/>
      <w:r w:rsidRPr="009E1333">
        <w:rPr>
          <w:rFonts w:ascii="Arial" w:eastAsia="Times New Roman" w:hAnsi="Arial" w:cs="Arial"/>
          <w:kern w:val="0"/>
          <w:sz w:val="20"/>
          <w:szCs w:val="20"/>
          <w:lang w:eastAsia="en-IN"/>
          <w14:ligatures w14:val="none"/>
        </w:rPr>
        <w:t>favorable</w:t>
      </w:r>
      <w:proofErr w:type="spellEnd"/>
      <w:r w:rsidRPr="009E1333">
        <w:rPr>
          <w:rFonts w:ascii="Arial" w:eastAsia="Times New Roman" w:hAnsi="Arial" w:cs="Arial"/>
          <w:kern w:val="0"/>
          <w:sz w:val="20"/>
          <w:szCs w:val="20"/>
          <w:lang w:eastAsia="en-IN"/>
          <w14:ligatures w14:val="none"/>
        </w:rPr>
        <w:t xml:space="preserve"> conditions for pests and pathogens. Diseases such as leaf spot, damping-off, and anthracnose frequently affect nursery crops, reducing plant quality and market value. Additionally, pests such as the red palm weevil, rhinoceros beetle, and tea mosquito bug cause significant damage to major crops like coconut, areca nut, and pepper. These infestations not only lower yields but also increase production costs due to the need for intensive management. To combat these issues, Integrated Pest Management (IPM) has emerged as one of the most effective and sustainable approaches. By incorporating cultural, biological, mechanical, and chemical control methods, IPM reduces reliance on synthetic chemicals and promotes long-term pest suppression. Adopting cultural practices such as proper sanitation, crop rotation, and planting disease-resistant varieties helps prevent the establishment and spread of pests and pathogens. Biological control methods, which include the release of beneficial insects and microbial agents, have also shown promising results in suppressing pest populations while minimizing harm to the environment.</w:t>
      </w:r>
    </w:p>
    <w:p w14:paraId="1E77B0F9" w14:textId="07CF3450" w:rsidR="00400DE6" w:rsidRDefault="00400DE6" w:rsidP="00400DE6">
      <w:pPr>
        <w:spacing w:line="240" w:lineRule="auto"/>
        <w:jc w:val="both"/>
        <w:rPr>
          <w:rFonts w:ascii="Arial" w:eastAsia="Times New Roman" w:hAnsi="Arial" w:cs="Arial"/>
          <w:b/>
          <w:bCs/>
          <w:kern w:val="0"/>
          <w:sz w:val="24"/>
          <w:szCs w:val="20"/>
          <w:lang w:eastAsia="en-IN"/>
          <w14:ligatures w14:val="none"/>
        </w:rPr>
      </w:pPr>
    </w:p>
    <w:p w14:paraId="03EB8835" w14:textId="77777777" w:rsidR="00D57060" w:rsidRPr="00804FE2" w:rsidRDefault="00D57060" w:rsidP="00D57060">
      <w:pPr>
        <w:rPr>
          <w:rFonts w:ascii="Arial" w:eastAsia="Calibri" w:hAnsi="Arial" w:cs="Arial"/>
          <w:b/>
          <w:sz w:val="24"/>
          <w:highlight w:val="yellow"/>
        </w:rPr>
      </w:pPr>
      <w:r w:rsidRPr="00804FE2">
        <w:rPr>
          <w:rFonts w:ascii="Arial" w:eastAsia="Calibri" w:hAnsi="Arial" w:cs="Arial"/>
          <w:b/>
          <w:sz w:val="24"/>
          <w:highlight w:val="yellow"/>
        </w:rPr>
        <w:t>DISCLAIMER (ARTIFICIAL INTELLIGENCE)</w:t>
      </w:r>
    </w:p>
    <w:p w14:paraId="7DD4FEF0" w14:textId="77777777" w:rsidR="00D57060" w:rsidRDefault="00D57060" w:rsidP="00D57060">
      <w:pPr>
        <w:jc w:val="both"/>
        <w:rPr>
          <w:rFonts w:ascii="Arial" w:eastAsia="Calibri" w:hAnsi="Arial" w:cs="Arial"/>
          <w:sz w:val="20"/>
          <w:highlight w:val="yellow"/>
        </w:rPr>
      </w:pPr>
      <w:r w:rsidRPr="002F1E82">
        <w:rPr>
          <w:rFonts w:ascii="Arial" w:eastAsia="Calibri" w:hAnsi="Arial" w:cs="Arial"/>
          <w:sz w:val="20"/>
          <w:highlight w:val="yellow"/>
        </w:rPr>
        <w:t>Author(s) hereby declare that NO generative AI technologies such as Large Language Models (</w:t>
      </w:r>
      <w:proofErr w:type="spellStart"/>
      <w:r w:rsidRPr="002F1E82">
        <w:rPr>
          <w:rFonts w:ascii="Arial" w:eastAsia="Calibri" w:hAnsi="Arial" w:cs="Arial"/>
          <w:sz w:val="20"/>
          <w:highlight w:val="yellow"/>
        </w:rPr>
        <w:t>ChatGPT</w:t>
      </w:r>
      <w:proofErr w:type="spellEnd"/>
      <w:r w:rsidRPr="002F1E82">
        <w:rPr>
          <w:rFonts w:ascii="Arial" w:eastAsia="Calibri" w:hAnsi="Arial" w:cs="Arial"/>
          <w:sz w:val="20"/>
          <w:highlight w:val="yellow"/>
        </w:rPr>
        <w:t xml:space="preserve">, COPILOT, etc.) and text-to-image generators have been used during the writing or editing of this manuscript. </w:t>
      </w:r>
    </w:p>
    <w:p w14:paraId="331691FE" w14:textId="77777777" w:rsidR="00D57060" w:rsidRDefault="00D57060" w:rsidP="00400DE6">
      <w:pPr>
        <w:spacing w:line="240" w:lineRule="auto"/>
        <w:jc w:val="both"/>
        <w:rPr>
          <w:rFonts w:ascii="Arial" w:eastAsia="Times New Roman" w:hAnsi="Arial" w:cs="Arial"/>
          <w:b/>
          <w:bCs/>
          <w:kern w:val="0"/>
          <w:sz w:val="24"/>
          <w:szCs w:val="20"/>
          <w:lang w:eastAsia="en-IN"/>
          <w14:ligatures w14:val="none"/>
        </w:rPr>
      </w:pPr>
    </w:p>
    <w:p w14:paraId="70CD11FA" w14:textId="77777777" w:rsidR="00400DE6" w:rsidRPr="00D11F16" w:rsidRDefault="00400DE6" w:rsidP="00400DE6">
      <w:pPr>
        <w:spacing w:line="240" w:lineRule="auto"/>
        <w:jc w:val="both"/>
        <w:rPr>
          <w:rFonts w:ascii="Arial" w:eastAsia="Times New Roman" w:hAnsi="Arial" w:cs="Arial"/>
          <w:b/>
          <w:bCs/>
          <w:kern w:val="0"/>
          <w:sz w:val="20"/>
          <w:szCs w:val="20"/>
          <w:highlight w:val="yellow"/>
          <w:lang w:eastAsia="en-IN"/>
          <w14:ligatures w14:val="none"/>
        </w:rPr>
      </w:pPr>
      <w:r w:rsidRPr="00D11F16">
        <w:rPr>
          <w:rFonts w:ascii="Arial" w:eastAsia="Times New Roman" w:hAnsi="Arial" w:cs="Arial"/>
          <w:b/>
          <w:bCs/>
          <w:kern w:val="0"/>
          <w:sz w:val="24"/>
          <w:szCs w:val="20"/>
          <w:highlight w:val="yellow"/>
          <w:lang w:eastAsia="en-IN"/>
          <w14:ligatures w14:val="none"/>
        </w:rPr>
        <w:t>REFERENCES</w:t>
      </w:r>
      <w:r w:rsidRPr="00D11F16">
        <w:rPr>
          <w:rFonts w:ascii="Arial" w:eastAsia="Times New Roman" w:hAnsi="Arial" w:cs="Arial"/>
          <w:b/>
          <w:bCs/>
          <w:kern w:val="0"/>
          <w:sz w:val="20"/>
          <w:szCs w:val="20"/>
          <w:highlight w:val="yellow"/>
          <w:lang w:eastAsia="en-IN"/>
          <w14:ligatures w14:val="none"/>
        </w:rPr>
        <w:t xml:space="preserve"> </w:t>
      </w:r>
    </w:p>
    <w:p w14:paraId="063795A4"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proofErr w:type="spellStart"/>
      <w:r w:rsidRPr="00D11F16">
        <w:rPr>
          <w:rFonts w:ascii="Arial" w:eastAsia="Times New Roman" w:hAnsi="Arial" w:cs="Arial"/>
          <w:kern w:val="0"/>
          <w:sz w:val="20"/>
          <w:szCs w:val="20"/>
          <w:highlight w:val="yellow"/>
          <w:lang w:eastAsia="en-IN"/>
          <w14:ligatures w14:val="none"/>
        </w:rPr>
        <w:t>Achterbosch</w:t>
      </w:r>
      <w:proofErr w:type="spellEnd"/>
      <w:r w:rsidRPr="00D11F16">
        <w:rPr>
          <w:rFonts w:ascii="Arial" w:eastAsia="Times New Roman" w:hAnsi="Arial" w:cs="Arial"/>
          <w:kern w:val="0"/>
          <w:sz w:val="20"/>
          <w:szCs w:val="20"/>
          <w:highlight w:val="yellow"/>
          <w:lang w:eastAsia="en-IN"/>
          <w14:ligatures w14:val="none"/>
        </w:rPr>
        <w:t xml:space="preserve">, T., van </w:t>
      </w:r>
      <w:proofErr w:type="spellStart"/>
      <w:r w:rsidRPr="00D11F16">
        <w:rPr>
          <w:rFonts w:ascii="Arial" w:eastAsia="Times New Roman" w:hAnsi="Arial" w:cs="Arial"/>
          <w:kern w:val="0"/>
          <w:sz w:val="20"/>
          <w:szCs w:val="20"/>
          <w:highlight w:val="yellow"/>
          <w:lang w:eastAsia="en-IN"/>
          <w14:ligatures w14:val="none"/>
        </w:rPr>
        <w:t>Berkum</w:t>
      </w:r>
      <w:proofErr w:type="spellEnd"/>
      <w:r w:rsidRPr="00D11F16">
        <w:rPr>
          <w:rFonts w:ascii="Arial" w:eastAsia="Times New Roman" w:hAnsi="Arial" w:cs="Arial"/>
          <w:kern w:val="0"/>
          <w:sz w:val="20"/>
          <w:szCs w:val="20"/>
          <w:highlight w:val="yellow"/>
          <w:lang w:eastAsia="en-IN"/>
          <w14:ligatures w14:val="none"/>
        </w:rPr>
        <w:t xml:space="preserve">, S., &amp; </w:t>
      </w:r>
      <w:proofErr w:type="spellStart"/>
      <w:r w:rsidRPr="00D11F16">
        <w:rPr>
          <w:rFonts w:ascii="Arial" w:eastAsia="Times New Roman" w:hAnsi="Arial" w:cs="Arial"/>
          <w:kern w:val="0"/>
          <w:sz w:val="20"/>
          <w:szCs w:val="20"/>
          <w:highlight w:val="yellow"/>
          <w:lang w:eastAsia="en-IN"/>
          <w14:ligatures w14:val="none"/>
        </w:rPr>
        <w:t>Meijerink</w:t>
      </w:r>
      <w:proofErr w:type="spellEnd"/>
      <w:r w:rsidRPr="00D11F16">
        <w:rPr>
          <w:rFonts w:ascii="Arial" w:eastAsia="Times New Roman" w:hAnsi="Arial" w:cs="Arial"/>
          <w:kern w:val="0"/>
          <w:sz w:val="20"/>
          <w:szCs w:val="20"/>
          <w:highlight w:val="yellow"/>
          <w:lang w:eastAsia="en-IN"/>
          <w14:ligatures w14:val="none"/>
        </w:rPr>
        <w:t>, G. (2014). Cash crops and food security. </w:t>
      </w:r>
      <w:r w:rsidRPr="00D11F16">
        <w:rPr>
          <w:rFonts w:ascii="Arial" w:eastAsia="Times New Roman" w:hAnsi="Arial" w:cs="Arial"/>
          <w:i/>
          <w:iCs/>
          <w:kern w:val="0"/>
          <w:sz w:val="20"/>
          <w:szCs w:val="20"/>
          <w:highlight w:val="yellow"/>
          <w:lang w:eastAsia="en-IN"/>
          <w14:ligatures w14:val="none"/>
        </w:rPr>
        <w:t>Contributions to income, livelihood risk and agricultural innovation. LEI Report</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15</w:t>
      </w:r>
      <w:r w:rsidRPr="00D11F16">
        <w:rPr>
          <w:rFonts w:ascii="Arial" w:eastAsia="Times New Roman" w:hAnsi="Arial" w:cs="Arial"/>
          <w:kern w:val="0"/>
          <w:sz w:val="20"/>
          <w:szCs w:val="20"/>
          <w:highlight w:val="yellow"/>
          <w:lang w:eastAsia="en-IN"/>
          <w14:ligatures w14:val="none"/>
        </w:rPr>
        <w:t>, 57.</w:t>
      </w:r>
    </w:p>
    <w:p w14:paraId="1D7464C2"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 xml:space="preserve">Ahmed, S., Abd El-Aziz, G., </w:t>
      </w:r>
      <w:proofErr w:type="spellStart"/>
      <w:r w:rsidRPr="00D11F16">
        <w:rPr>
          <w:rFonts w:ascii="Arial" w:eastAsia="Times New Roman" w:hAnsi="Arial" w:cs="Arial"/>
          <w:kern w:val="0"/>
          <w:sz w:val="20"/>
          <w:szCs w:val="20"/>
          <w:highlight w:val="yellow"/>
          <w:lang w:eastAsia="en-IN"/>
          <w14:ligatures w14:val="none"/>
        </w:rPr>
        <w:t>Abou-Zeid</w:t>
      </w:r>
      <w:proofErr w:type="spellEnd"/>
      <w:r w:rsidRPr="00D11F16">
        <w:rPr>
          <w:rFonts w:ascii="Arial" w:eastAsia="Times New Roman" w:hAnsi="Arial" w:cs="Arial"/>
          <w:kern w:val="0"/>
          <w:sz w:val="20"/>
          <w:szCs w:val="20"/>
          <w:highlight w:val="yellow"/>
          <w:lang w:eastAsia="en-IN"/>
          <w14:ligatures w14:val="none"/>
        </w:rPr>
        <w:t>, M., &amp; Fahmy, A. (2019). Environmental impact of the use of some eco-friendly natural fungicides to resist rust disease in wheat. </w:t>
      </w:r>
      <w:r w:rsidRPr="00D11F16">
        <w:rPr>
          <w:rFonts w:ascii="Arial" w:eastAsia="Times New Roman" w:hAnsi="Arial" w:cs="Arial"/>
          <w:i/>
          <w:iCs/>
          <w:kern w:val="0"/>
          <w:sz w:val="20"/>
          <w:szCs w:val="20"/>
          <w:highlight w:val="yellow"/>
          <w:lang w:eastAsia="en-IN"/>
          <w14:ligatures w14:val="none"/>
        </w:rPr>
        <w:t>Catrina: The International Journal of Environmental Sciences</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18</w:t>
      </w:r>
      <w:r w:rsidRPr="00D11F16">
        <w:rPr>
          <w:rFonts w:ascii="Arial" w:eastAsia="Times New Roman" w:hAnsi="Arial" w:cs="Arial"/>
          <w:kern w:val="0"/>
          <w:sz w:val="20"/>
          <w:szCs w:val="20"/>
          <w:highlight w:val="yellow"/>
          <w:lang w:eastAsia="en-IN"/>
          <w14:ligatures w14:val="none"/>
        </w:rPr>
        <w:t>(1), 87-95.</w:t>
      </w:r>
    </w:p>
    <w:p w14:paraId="154A3873"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lastRenderedPageBreak/>
        <w:t>Altieri, M. A. (1993). Ethnoscience and biodiversity: key elements in the design of sustainable pest management systems for small farmers in developing countries. </w:t>
      </w:r>
      <w:r w:rsidRPr="00D11F16">
        <w:rPr>
          <w:rFonts w:ascii="Arial" w:hAnsi="Arial" w:cs="Arial"/>
          <w:i/>
          <w:iCs/>
          <w:sz w:val="20"/>
          <w:szCs w:val="20"/>
          <w:highlight w:val="yellow"/>
        </w:rPr>
        <w:t>Agriculture, Ecosystems and Environment</w:t>
      </w:r>
      <w:r w:rsidRPr="00D11F16">
        <w:rPr>
          <w:rFonts w:ascii="Arial" w:hAnsi="Arial" w:cs="Arial"/>
          <w:sz w:val="20"/>
          <w:szCs w:val="20"/>
          <w:highlight w:val="yellow"/>
        </w:rPr>
        <w:t>, </w:t>
      </w:r>
      <w:r w:rsidRPr="00D11F16">
        <w:rPr>
          <w:rFonts w:ascii="Arial" w:hAnsi="Arial" w:cs="Arial"/>
          <w:i/>
          <w:iCs/>
          <w:sz w:val="20"/>
          <w:szCs w:val="20"/>
          <w:highlight w:val="yellow"/>
        </w:rPr>
        <w:t>46</w:t>
      </w:r>
      <w:r w:rsidRPr="00D11F16">
        <w:rPr>
          <w:rFonts w:ascii="Arial" w:hAnsi="Arial" w:cs="Arial"/>
          <w:sz w:val="20"/>
          <w:szCs w:val="20"/>
          <w:highlight w:val="yellow"/>
        </w:rPr>
        <w:t>(1-4), 257-272.</w:t>
      </w:r>
    </w:p>
    <w:p w14:paraId="5B6462AD"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proofErr w:type="spellStart"/>
      <w:r w:rsidRPr="00D11F16">
        <w:rPr>
          <w:rFonts w:ascii="Arial" w:eastAsia="Times New Roman" w:hAnsi="Arial" w:cs="Arial"/>
          <w:kern w:val="0"/>
          <w:sz w:val="20"/>
          <w:szCs w:val="20"/>
          <w:highlight w:val="yellow"/>
          <w:lang w:eastAsia="en-IN"/>
          <w14:ligatures w14:val="none"/>
        </w:rPr>
        <w:t>Antier</w:t>
      </w:r>
      <w:proofErr w:type="spellEnd"/>
      <w:r w:rsidRPr="00D11F16">
        <w:rPr>
          <w:rFonts w:ascii="Arial" w:eastAsia="Times New Roman" w:hAnsi="Arial" w:cs="Arial"/>
          <w:kern w:val="0"/>
          <w:sz w:val="20"/>
          <w:szCs w:val="20"/>
          <w:highlight w:val="yellow"/>
          <w:lang w:eastAsia="en-IN"/>
          <w14:ligatures w14:val="none"/>
        </w:rPr>
        <w:t xml:space="preserve">, C., &amp; </w:t>
      </w:r>
      <w:proofErr w:type="spellStart"/>
      <w:r w:rsidRPr="00D11F16">
        <w:rPr>
          <w:rFonts w:ascii="Arial" w:eastAsia="Times New Roman" w:hAnsi="Arial" w:cs="Arial"/>
          <w:kern w:val="0"/>
          <w:sz w:val="20"/>
          <w:szCs w:val="20"/>
          <w:highlight w:val="yellow"/>
          <w:lang w:eastAsia="en-IN"/>
          <w14:ligatures w14:val="none"/>
        </w:rPr>
        <w:t>Baret</w:t>
      </w:r>
      <w:proofErr w:type="spellEnd"/>
      <w:r w:rsidRPr="00D11F16">
        <w:rPr>
          <w:rFonts w:ascii="Arial" w:eastAsia="Times New Roman" w:hAnsi="Arial" w:cs="Arial"/>
          <w:kern w:val="0"/>
          <w:sz w:val="20"/>
          <w:szCs w:val="20"/>
          <w:highlight w:val="yellow"/>
          <w:lang w:eastAsia="en-IN"/>
          <w14:ligatures w14:val="none"/>
        </w:rPr>
        <w:t>, P. V. (2025). Barriers to the adoption of open-pollinated varieties in the organic farming sector: a case study of small-scale vegetable production in France. </w:t>
      </w:r>
      <w:r w:rsidRPr="00D11F16">
        <w:rPr>
          <w:rFonts w:ascii="Arial" w:eastAsia="Times New Roman" w:hAnsi="Arial" w:cs="Arial"/>
          <w:i/>
          <w:iCs/>
          <w:kern w:val="0"/>
          <w:sz w:val="20"/>
          <w:szCs w:val="20"/>
          <w:highlight w:val="yellow"/>
          <w:lang w:eastAsia="en-IN"/>
          <w14:ligatures w14:val="none"/>
        </w:rPr>
        <w:t>Frontiers in Sustainable Food Systems</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9</w:t>
      </w:r>
      <w:r w:rsidRPr="00D11F16">
        <w:rPr>
          <w:rFonts w:ascii="Arial" w:eastAsia="Times New Roman" w:hAnsi="Arial" w:cs="Arial"/>
          <w:kern w:val="0"/>
          <w:sz w:val="20"/>
          <w:szCs w:val="20"/>
          <w:highlight w:val="yellow"/>
          <w:lang w:eastAsia="en-IN"/>
          <w14:ligatures w14:val="none"/>
        </w:rPr>
        <w:t>, 1521332.</w:t>
      </w:r>
    </w:p>
    <w:p w14:paraId="352A6AF4"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proofErr w:type="spellStart"/>
      <w:r w:rsidRPr="00D11F16">
        <w:rPr>
          <w:rFonts w:ascii="Arial" w:eastAsia="Times New Roman" w:hAnsi="Arial" w:cs="Arial"/>
          <w:kern w:val="0"/>
          <w:sz w:val="20"/>
          <w:szCs w:val="20"/>
          <w:highlight w:val="yellow"/>
          <w:lang w:eastAsia="en-IN"/>
          <w14:ligatures w14:val="none"/>
        </w:rPr>
        <w:t>Antignus</w:t>
      </w:r>
      <w:proofErr w:type="spellEnd"/>
      <w:r w:rsidRPr="00D11F16">
        <w:rPr>
          <w:rFonts w:ascii="Arial" w:eastAsia="Times New Roman" w:hAnsi="Arial" w:cs="Arial"/>
          <w:kern w:val="0"/>
          <w:sz w:val="20"/>
          <w:szCs w:val="20"/>
          <w:highlight w:val="yellow"/>
          <w:lang w:eastAsia="en-IN"/>
          <w14:ligatures w14:val="none"/>
        </w:rPr>
        <w:t xml:space="preserve">, Y., Lapidot, M., </w:t>
      </w:r>
      <w:proofErr w:type="spellStart"/>
      <w:r w:rsidRPr="00D11F16">
        <w:rPr>
          <w:rFonts w:ascii="Arial" w:eastAsia="Times New Roman" w:hAnsi="Arial" w:cs="Arial"/>
          <w:kern w:val="0"/>
          <w:sz w:val="20"/>
          <w:szCs w:val="20"/>
          <w:highlight w:val="yellow"/>
          <w:lang w:eastAsia="en-IN"/>
          <w14:ligatures w14:val="none"/>
        </w:rPr>
        <w:t>Hadar</w:t>
      </w:r>
      <w:proofErr w:type="spellEnd"/>
      <w:r w:rsidRPr="00D11F16">
        <w:rPr>
          <w:rFonts w:ascii="Arial" w:eastAsia="Times New Roman" w:hAnsi="Arial" w:cs="Arial"/>
          <w:kern w:val="0"/>
          <w:sz w:val="20"/>
          <w:szCs w:val="20"/>
          <w:highlight w:val="yellow"/>
          <w:lang w:eastAsia="en-IN"/>
          <w14:ligatures w14:val="none"/>
        </w:rPr>
        <w:t xml:space="preserve">, D., </w:t>
      </w:r>
      <w:proofErr w:type="spellStart"/>
      <w:r w:rsidRPr="00D11F16">
        <w:rPr>
          <w:rFonts w:ascii="Arial" w:eastAsia="Times New Roman" w:hAnsi="Arial" w:cs="Arial"/>
          <w:kern w:val="0"/>
          <w:sz w:val="20"/>
          <w:szCs w:val="20"/>
          <w:highlight w:val="yellow"/>
          <w:lang w:eastAsia="en-IN"/>
          <w14:ligatures w14:val="none"/>
        </w:rPr>
        <w:t>Messika</w:t>
      </w:r>
      <w:proofErr w:type="spellEnd"/>
      <w:r w:rsidRPr="00D11F16">
        <w:rPr>
          <w:rFonts w:ascii="Arial" w:eastAsia="Times New Roman" w:hAnsi="Arial" w:cs="Arial"/>
          <w:kern w:val="0"/>
          <w:sz w:val="20"/>
          <w:szCs w:val="20"/>
          <w:highlight w:val="yellow"/>
          <w:lang w:eastAsia="en-IN"/>
          <w14:ligatures w14:val="none"/>
        </w:rPr>
        <w:t>, Y., &amp; Cohen, S. (1998). Ultraviolet-absorbing screens serve as optical barriers to protect crops from virus and insect pests. </w:t>
      </w:r>
      <w:r w:rsidRPr="00D11F16">
        <w:rPr>
          <w:rFonts w:ascii="Arial" w:eastAsia="Times New Roman" w:hAnsi="Arial" w:cs="Arial"/>
          <w:i/>
          <w:iCs/>
          <w:kern w:val="0"/>
          <w:sz w:val="20"/>
          <w:szCs w:val="20"/>
          <w:highlight w:val="yellow"/>
          <w:lang w:eastAsia="en-IN"/>
          <w14:ligatures w14:val="none"/>
        </w:rPr>
        <w:t>Journal of economic Entomology</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91</w:t>
      </w:r>
      <w:r w:rsidRPr="00D11F16">
        <w:rPr>
          <w:rFonts w:ascii="Arial" w:eastAsia="Times New Roman" w:hAnsi="Arial" w:cs="Arial"/>
          <w:kern w:val="0"/>
          <w:sz w:val="20"/>
          <w:szCs w:val="20"/>
          <w:highlight w:val="yellow"/>
          <w:lang w:eastAsia="en-IN"/>
          <w14:ligatures w14:val="none"/>
        </w:rPr>
        <w:t>(6), 1401-1405.</w:t>
      </w:r>
    </w:p>
    <w:p w14:paraId="3755DFE4"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Balliu</w:t>
      </w:r>
      <w:proofErr w:type="spellEnd"/>
      <w:r w:rsidRPr="00D11F16">
        <w:rPr>
          <w:rFonts w:ascii="Arial" w:hAnsi="Arial" w:cs="Arial"/>
          <w:sz w:val="20"/>
          <w:szCs w:val="20"/>
          <w:highlight w:val="yellow"/>
        </w:rPr>
        <w:t xml:space="preserve">, A., </w:t>
      </w:r>
      <w:proofErr w:type="spellStart"/>
      <w:r w:rsidRPr="00D11F16">
        <w:rPr>
          <w:rFonts w:ascii="Arial" w:hAnsi="Arial" w:cs="Arial"/>
          <w:sz w:val="20"/>
          <w:szCs w:val="20"/>
          <w:highlight w:val="yellow"/>
        </w:rPr>
        <w:t>Sallaku</w:t>
      </w:r>
      <w:proofErr w:type="spellEnd"/>
      <w:r w:rsidRPr="00D11F16">
        <w:rPr>
          <w:rFonts w:ascii="Arial" w:hAnsi="Arial" w:cs="Arial"/>
          <w:sz w:val="20"/>
          <w:szCs w:val="20"/>
          <w:highlight w:val="yellow"/>
        </w:rPr>
        <w:t xml:space="preserve">, G., &amp; </w:t>
      </w:r>
      <w:proofErr w:type="spellStart"/>
      <w:r w:rsidRPr="00D11F16">
        <w:rPr>
          <w:rFonts w:ascii="Arial" w:hAnsi="Arial" w:cs="Arial"/>
          <w:sz w:val="20"/>
          <w:szCs w:val="20"/>
          <w:highlight w:val="yellow"/>
        </w:rPr>
        <w:t>Nasto</w:t>
      </w:r>
      <w:proofErr w:type="spellEnd"/>
      <w:r w:rsidRPr="00D11F16">
        <w:rPr>
          <w:rFonts w:ascii="Arial" w:hAnsi="Arial" w:cs="Arial"/>
          <w:sz w:val="20"/>
          <w:szCs w:val="20"/>
          <w:highlight w:val="yellow"/>
        </w:rPr>
        <w:t>, T. (2017). Nursery management practices influence the quality of vegetable seedlings. </w:t>
      </w:r>
      <w:proofErr w:type="spellStart"/>
      <w:r w:rsidRPr="00D11F16">
        <w:rPr>
          <w:rFonts w:ascii="Arial" w:hAnsi="Arial" w:cs="Arial"/>
          <w:i/>
          <w:iCs/>
          <w:sz w:val="20"/>
          <w:szCs w:val="20"/>
          <w:highlight w:val="yellow"/>
        </w:rPr>
        <w:t>Italus</w:t>
      </w:r>
      <w:proofErr w:type="spellEnd"/>
      <w:r w:rsidRPr="00D11F16">
        <w:rPr>
          <w:rFonts w:ascii="Arial" w:hAnsi="Arial" w:cs="Arial"/>
          <w:i/>
          <w:iCs/>
          <w:sz w:val="20"/>
          <w:szCs w:val="20"/>
          <w:highlight w:val="yellow"/>
        </w:rPr>
        <w:t xml:space="preserve"> Hortus</w:t>
      </w:r>
      <w:r w:rsidRPr="00D11F16">
        <w:rPr>
          <w:rFonts w:ascii="Arial" w:hAnsi="Arial" w:cs="Arial"/>
          <w:sz w:val="20"/>
          <w:szCs w:val="20"/>
          <w:highlight w:val="yellow"/>
        </w:rPr>
        <w:t>, </w:t>
      </w:r>
      <w:r w:rsidRPr="00D11F16">
        <w:rPr>
          <w:rFonts w:ascii="Arial" w:hAnsi="Arial" w:cs="Arial"/>
          <w:i/>
          <w:iCs/>
          <w:sz w:val="20"/>
          <w:szCs w:val="20"/>
          <w:highlight w:val="yellow"/>
        </w:rPr>
        <w:t>24</w:t>
      </w:r>
      <w:r w:rsidRPr="00D11F16">
        <w:rPr>
          <w:rFonts w:ascii="Arial" w:hAnsi="Arial" w:cs="Arial"/>
          <w:sz w:val="20"/>
          <w:szCs w:val="20"/>
          <w:highlight w:val="yellow"/>
        </w:rPr>
        <w:t>(3), 39-52.</w:t>
      </w:r>
    </w:p>
    <w:p w14:paraId="747B1214"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Bhattacharjee, S. K., &amp; De, L. C. (2005). Advanced commercial floriculture. Pointer Publishers.</w:t>
      </w:r>
    </w:p>
    <w:p w14:paraId="30718AD1"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Boudh</w:t>
      </w:r>
      <w:proofErr w:type="spellEnd"/>
      <w:r w:rsidRPr="00D11F16">
        <w:rPr>
          <w:rFonts w:ascii="Arial" w:hAnsi="Arial" w:cs="Arial"/>
          <w:sz w:val="20"/>
          <w:szCs w:val="20"/>
          <w:highlight w:val="yellow"/>
        </w:rPr>
        <w:t>, S., &amp; Singh, J. S. (2018). Pesticide contamination: environmental problems and remediation strategies. In </w:t>
      </w:r>
      <w:r w:rsidRPr="00D11F16">
        <w:rPr>
          <w:rFonts w:ascii="Arial" w:hAnsi="Arial" w:cs="Arial"/>
          <w:i/>
          <w:iCs/>
          <w:sz w:val="20"/>
          <w:szCs w:val="20"/>
          <w:highlight w:val="yellow"/>
        </w:rPr>
        <w:t>Emerging and eco-friendly approaches for waste management</w:t>
      </w:r>
      <w:r w:rsidRPr="00D11F16">
        <w:rPr>
          <w:rFonts w:ascii="Arial" w:hAnsi="Arial" w:cs="Arial"/>
          <w:sz w:val="20"/>
          <w:szCs w:val="20"/>
          <w:highlight w:val="yellow"/>
        </w:rPr>
        <w:t> (pp. 245-269). Singapore: Springer Singapore.</w:t>
      </w:r>
    </w:p>
    <w:p w14:paraId="0EE75004"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Chandra, P., &amp; Kumar, J. (2021). Linking the medicinal and aromatic plants business to sustainable resource management and economic prosperity: a value chain analysis. </w:t>
      </w:r>
      <w:r w:rsidRPr="00D11F16">
        <w:rPr>
          <w:rFonts w:ascii="Arial" w:eastAsia="Times New Roman" w:hAnsi="Arial" w:cs="Arial"/>
          <w:i/>
          <w:iCs/>
          <w:kern w:val="0"/>
          <w:sz w:val="20"/>
          <w:szCs w:val="20"/>
          <w:highlight w:val="yellow"/>
          <w:lang w:eastAsia="en-IN"/>
          <w14:ligatures w14:val="none"/>
        </w:rPr>
        <w:t>Area Development and Policy</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6</w:t>
      </w:r>
      <w:r w:rsidRPr="00D11F16">
        <w:rPr>
          <w:rFonts w:ascii="Arial" w:eastAsia="Times New Roman" w:hAnsi="Arial" w:cs="Arial"/>
          <w:kern w:val="0"/>
          <w:sz w:val="20"/>
          <w:szCs w:val="20"/>
          <w:highlight w:val="yellow"/>
          <w:lang w:eastAsia="en-IN"/>
          <w14:ligatures w14:val="none"/>
        </w:rPr>
        <w:t>(4), 470-482.</w:t>
      </w:r>
    </w:p>
    <w:p w14:paraId="5AF565FE"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t>Close, D. C., Beadle, C. L., &amp; Brown, P. H. (2005). The physiological basis of containerised tree seedling ‘transplant shock’: a review. </w:t>
      </w:r>
      <w:r w:rsidRPr="00D11F16">
        <w:rPr>
          <w:rFonts w:ascii="Arial" w:hAnsi="Arial" w:cs="Arial"/>
          <w:i/>
          <w:iCs/>
          <w:sz w:val="20"/>
          <w:szCs w:val="20"/>
          <w:highlight w:val="yellow"/>
        </w:rPr>
        <w:t>Australian Forestry</w:t>
      </w:r>
      <w:r w:rsidRPr="00D11F16">
        <w:rPr>
          <w:rFonts w:ascii="Arial" w:hAnsi="Arial" w:cs="Arial"/>
          <w:sz w:val="20"/>
          <w:szCs w:val="20"/>
          <w:highlight w:val="yellow"/>
        </w:rPr>
        <w:t>, </w:t>
      </w:r>
      <w:r w:rsidRPr="00D11F16">
        <w:rPr>
          <w:rFonts w:ascii="Arial" w:hAnsi="Arial" w:cs="Arial"/>
          <w:i/>
          <w:iCs/>
          <w:sz w:val="20"/>
          <w:szCs w:val="20"/>
          <w:highlight w:val="yellow"/>
        </w:rPr>
        <w:t>68</w:t>
      </w:r>
      <w:r w:rsidRPr="00D11F16">
        <w:rPr>
          <w:rFonts w:ascii="Arial" w:hAnsi="Arial" w:cs="Arial"/>
          <w:sz w:val="20"/>
          <w:szCs w:val="20"/>
          <w:highlight w:val="yellow"/>
        </w:rPr>
        <w:t>(2), 112-120.</w:t>
      </w:r>
    </w:p>
    <w:p w14:paraId="1356B87D"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proofErr w:type="spellStart"/>
      <w:r w:rsidRPr="00D11F16">
        <w:rPr>
          <w:rFonts w:ascii="Arial" w:eastAsia="Times New Roman" w:hAnsi="Arial" w:cs="Arial"/>
          <w:kern w:val="0"/>
          <w:sz w:val="20"/>
          <w:szCs w:val="20"/>
          <w:highlight w:val="yellow"/>
          <w:lang w:eastAsia="en-IN"/>
          <w14:ligatures w14:val="none"/>
        </w:rPr>
        <w:t>Edmeades</w:t>
      </w:r>
      <w:proofErr w:type="spellEnd"/>
      <w:r w:rsidRPr="00D11F16">
        <w:rPr>
          <w:rFonts w:ascii="Arial" w:eastAsia="Times New Roman" w:hAnsi="Arial" w:cs="Arial"/>
          <w:kern w:val="0"/>
          <w:sz w:val="20"/>
          <w:szCs w:val="20"/>
          <w:highlight w:val="yellow"/>
          <w:lang w:eastAsia="en-IN"/>
          <w14:ligatures w14:val="none"/>
        </w:rPr>
        <w:t>, G. O. (2013). Progress in achieving and delivering drought tolerance in maize-an update. </w:t>
      </w:r>
      <w:r w:rsidRPr="00D11F16">
        <w:rPr>
          <w:rFonts w:ascii="Arial" w:eastAsia="Times New Roman" w:hAnsi="Arial" w:cs="Arial"/>
          <w:i/>
          <w:iCs/>
          <w:kern w:val="0"/>
          <w:sz w:val="20"/>
          <w:szCs w:val="20"/>
          <w:highlight w:val="yellow"/>
          <w:lang w:eastAsia="en-IN"/>
          <w14:ligatures w14:val="none"/>
        </w:rPr>
        <w:t>ISAAA: Ithaca, NY</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130</w:t>
      </w:r>
      <w:r w:rsidRPr="00D11F16">
        <w:rPr>
          <w:rFonts w:ascii="Arial" w:eastAsia="Times New Roman" w:hAnsi="Arial" w:cs="Arial"/>
          <w:kern w:val="0"/>
          <w:sz w:val="20"/>
          <w:szCs w:val="20"/>
          <w:highlight w:val="yellow"/>
          <w:lang w:eastAsia="en-IN"/>
          <w14:ligatures w14:val="none"/>
        </w:rPr>
        <w:t>.</w:t>
      </w:r>
    </w:p>
    <w:p w14:paraId="00F04684"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t>El-</w:t>
      </w:r>
      <w:proofErr w:type="spellStart"/>
      <w:r w:rsidRPr="00D11F16">
        <w:rPr>
          <w:rFonts w:ascii="Arial" w:hAnsi="Arial" w:cs="Arial"/>
          <w:sz w:val="20"/>
          <w:szCs w:val="20"/>
          <w:highlight w:val="yellow"/>
        </w:rPr>
        <w:t>Saadony</w:t>
      </w:r>
      <w:proofErr w:type="spellEnd"/>
      <w:r w:rsidRPr="00D11F16">
        <w:rPr>
          <w:rFonts w:ascii="Arial" w:hAnsi="Arial" w:cs="Arial"/>
          <w:sz w:val="20"/>
          <w:szCs w:val="20"/>
          <w:highlight w:val="yellow"/>
        </w:rPr>
        <w:t xml:space="preserve">, M. T., Saad, A. M., Soliman, S. M., Salem, H. M., Ahmed, A. I., Mahmood, M., ... &amp; </w:t>
      </w:r>
      <w:proofErr w:type="spellStart"/>
      <w:r w:rsidRPr="00D11F16">
        <w:rPr>
          <w:rFonts w:ascii="Arial" w:hAnsi="Arial" w:cs="Arial"/>
          <w:sz w:val="20"/>
          <w:szCs w:val="20"/>
          <w:highlight w:val="yellow"/>
        </w:rPr>
        <w:t>AbuQamar</w:t>
      </w:r>
      <w:proofErr w:type="spellEnd"/>
      <w:r w:rsidRPr="00D11F16">
        <w:rPr>
          <w:rFonts w:ascii="Arial" w:hAnsi="Arial" w:cs="Arial"/>
          <w:sz w:val="20"/>
          <w:szCs w:val="20"/>
          <w:highlight w:val="yellow"/>
        </w:rPr>
        <w:t>, S. F. (2022). Plant growth-promoting microorganisms as biocontrol agents of plant diseases: Mechanisms, challenges and future perspectives. </w:t>
      </w:r>
      <w:r w:rsidRPr="00D11F16">
        <w:rPr>
          <w:rFonts w:ascii="Arial" w:hAnsi="Arial" w:cs="Arial"/>
          <w:i/>
          <w:iCs/>
          <w:sz w:val="20"/>
          <w:szCs w:val="20"/>
          <w:highlight w:val="yellow"/>
        </w:rPr>
        <w:t>Frontiers in plant science</w:t>
      </w:r>
      <w:r w:rsidRPr="00D11F16">
        <w:rPr>
          <w:rFonts w:ascii="Arial" w:hAnsi="Arial" w:cs="Arial"/>
          <w:sz w:val="20"/>
          <w:szCs w:val="20"/>
          <w:highlight w:val="yellow"/>
        </w:rPr>
        <w:t>, </w:t>
      </w:r>
      <w:r w:rsidRPr="00D11F16">
        <w:rPr>
          <w:rFonts w:ascii="Arial" w:hAnsi="Arial" w:cs="Arial"/>
          <w:i/>
          <w:iCs/>
          <w:sz w:val="20"/>
          <w:szCs w:val="20"/>
          <w:highlight w:val="yellow"/>
        </w:rPr>
        <w:t>13</w:t>
      </w:r>
      <w:r w:rsidRPr="00D11F16">
        <w:rPr>
          <w:rFonts w:ascii="Arial" w:hAnsi="Arial" w:cs="Arial"/>
          <w:sz w:val="20"/>
          <w:szCs w:val="20"/>
          <w:highlight w:val="yellow"/>
        </w:rPr>
        <w:t>, 923880.</w:t>
      </w:r>
    </w:p>
    <w:p w14:paraId="1CCDE4C9"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t xml:space="preserve">Flint, M. L., &amp; </w:t>
      </w:r>
      <w:proofErr w:type="spellStart"/>
      <w:r w:rsidRPr="00D11F16">
        <w:rPr>
          <w:rFonts w:ascii="Arial" w:hAnsi="Arial" w:cs="Arial"/>
          <w:sz w:val="20"/>
          <w:szCs w:val="20"/>
          <w:highlight w:val="yellow"/>
        </w:rPr>
        <w:t>Dreistadt</w:t>
      </w:r>
      <w:proofErr w:type="spellEnd"/>
      <w:r w:rsidRPr="00D11F16">
        <w:rPr>
          <w:rFonts w:ascii="Arial" w:hAnsi="Arial" w:cs="Arial"/>
          <w:sz w:val="20"/>
          <w:szCs w:val="20"/>
          <w:highlight w:val="yellow"/>
        </w:rPr>
        <w:t>, S. H. (1998). </w:t>
      </w:r>
      <w:r w:rsidRPr="00D11F16">
        <w:rPr>
          <w:rFonts w:ascii="Arial" w:hAnsi="Arial" w:cs="Arial"/>
          <w:i/>
          <w:iCs/>
          <w:sz w:val="20"/>
          <w:szCs w:val="20"/>
          <w:highlight w:val="yellow"/>
        </w:rPr>
        <w:t xml:space="preserve">Natural </w:t>
      </w:r>
      <w:proofErr w:type="gramStart"/>
      <w:r w:rsidRPr="00D11F16">
        <w:rPr>
          <w:rFonts w:ascii="Arial" w:hAnsi="Arial" w:cs="Arial"/>
          <w:i/>
          <w:iCs/>
          <w:sz w:val="20"/>
          <w:szCs w:val="20"/>
          <w:highlight w:val="yellow"/>
        </w:rPr>
        <w:t>enemies</w:t>
      </w:r>
      <w:proofErr w:type="gramEnd"/>
      <w:r w:rsidRPr="00D11F16">
        <w:rPr>
          <w:rFonts w:ascii="Arial" w:hAnsi="Arial" w:cs="Arial"/>
          <w:i/>
          <w:iCs/>
          <w:sz w:val="20"/>
          <w:szCs w:val="20"/>
          <w:highlight w:val="yellow"/>
        </w:rPr>
        <w:t xml:space="preserve"> handbook: the illustrated guide to biological pest control</w:t>
      </w:r>
      <w:r w:rsidRPr="00D11F16">
        <w:rPr>
          <w:rFonts w:ascii="Arial" w:hAnsi="Arial" w:cs="Arial"/>
          <w:sz w:val="20"/>
          <w:szCs w:val="20"/>
          <w:highlight w:val="yellow"/>
        </w:rPr>
        <w:t xml:space="preserve"> (Vol. 3386). </w:t>
      </w:r>
      <w:proofErr w:type="spellStart"/>
      <w:r w:rsidRPr="00D11F16">
        <w:rPr>
          <w:rFonts w:ascii="Arial" w:hAnsi="Arial" w:cs="Arial"/>
          <w:sz w:val="20"/>
          <w:szCs w:val="20"/>
          <w:highlight w:val="yellow"/>
        </w:rPr>
        <w:t>Univ</w:t>
      </w:r>
      <w:proofErr w:type="spellEnd"/>
      <w:r w:rsidRPr="00D11F16">
        <w:rPr>
          <w:rFonts w:ascii="Arial" w:hAnsi="Arial" w:cs="Arial"/>
          <w:sz w:val="20"/>
          <w:szCs w:val="20"/>
          <w:highlight w:val="yellow"/>
        </w:rPr>
        <w:t xml:space="preserve"> of California Press.</w:t>
      </w:r>
    </w:p>
    <w:p w14:paraId="21CEBAA8"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García-</w:t>
      </w:r>
      <w:proofErr w:type="spellStart"/>
      <w:r w:rsidRPr="00D11F16">
        <w:rPr>
          <w:rFonts w:ascii="Arial" w:eastAsia="Times New Roman" w:hAnsi="Arial" w:cs="Arial"/>
          <w:kern w:val="0"/>
          <w:sz w:val="20"/>
          <w:szCs w:val="20"/>
          <w:highlight w:val="yellow"/>
          <w:lang w:eastAsia="en-IN"/>
          <w14:ligatures w14:val="none"/>
        </w:rPr>
        <w:t>Munguía</w:t>
      </w:r>
      <w:proofErr w:type="spellEnd"/>
      <w:r w:rsidRPr="00D11F16">
        <w:rPr>
          <w:rFonts w:ascii="Arial" w:eastAsia="Times New Roman" w:hAnsi="Arial" w:cs="Arial"/>
          <w:kern w:val="0"/>
          <w:sz w:val="20"/>
          <w:szCs w:val="20"/>
          <w:highlight w:val="yellow"/>
          <w:lang w:eastAsia="en-IN"/>
          <w14:ligatures w14:val="none"/>
        </w:rPr>
        <w:t>, A., Guerra-Ávila, P. L., Islas-Ojeda, E., Flores-Sánchez, J. L., Vázquez-Martínez, O., García-</w:t>
      </w:r>
      <w:proofErr w:type="spellStart"/>
      <w:r w:rsidRPr="00D11F16">
        <w:rPr>
          <w:rFonts w:ascii="Arial" w:eastAsia="Times New Roman" w:hAnsi="Arial" w:cs="Arial"/>
          <w:kern w:val="0"/>
          <w:sz w:val="20"/>
          <w:szCs w:val="20"/>
          <w:highlight w:val="yellow"/>
          <w:lang w:eastAsia="en-IN"/>
          <w14:ligatures w14:val="none"/>
        </w:rPr>
        <w:t>Munguía</w:t>
      </w:r>
      <w:proofErr w:type="spellEnd"/>
      <w:r w:rsidRPr="00D11F16">
        <w:rPr>
          <w:rFonts w:ascii="Arial" w:eastAsia="Times New Roman" w:hAnsi="Arial" w:cs="Arial"/>
          <w:kern w:val="0"/>
          <w:sz w:val="20"/>
          <w:szCs w:val="20"/>
          <w:highlight w:val="yellow"/>
          <w:lang w:eastAsia="en-IN"/>
          <w14:ligatures w14:val="none"/>
        </w:rPr>
        <w:t>, A. M., &amp; García-</w:t>
      </w:r>
      <w:proofErr w:type="spellStart"/>
      <w:r w:rsidRPr="00D11F16">
        <w:rPr>
          <w:rFonts w:ascii="Arial" w:eastAsia="Times New Roman" w:hAnsi="Arial" w:cs="Arial"/>
          <w:kern w:val="0"/>
          <w:sz w:val="20"/>
          <w:szCs w:val="20"/>
          <w:highlight w:val="yellow"/>
          <w:lang w:eastAsia="en-IN"/>
          <w14:ligatures w14:val="none"/>
        </w:rPr>
        <w:t>Munguía</w:t>
      </w:r>
      <w:proofErr w:type="spellEnd"/>
      <w:r w:rsidRPr="00D11F16">
        <w:rPr>
          <w:rFonts w:ascii="Arial" w:eastAsia="Times New Roman" w:hAnsi="Arial" w:cs="Arial"/>
          <w:kern w:val="0"/>
          <w:sz w:val="20"/>
          <w:szCs w:val="20"/>
          <w:highlight w:val="yellow"/>
          <w:lang w:eastAsia="en-IN"/>
          <w14:ligatures w14:val="none"/>
        </w:rPr>
        <w:t>, O. (2024). A Review of Drone Technology and Operation Processes in Agricultural Crop Spraying. </w:t>
      </w:r>
      <w:r w:rsidRPr="00D11F16">
        <w:rPr>
          <w:rFonts w:ascii="Arial" w:eastAsia="Times New Roman" w:hAnsi="Arial" w:cs="Arial"/>
          <w:i/>
          <w:iCs/>
          <w:kern w:val="0"/>
          <w:sz w:val="20"/>
          <w:szCs w:val="20"/>
          <w:highlight w:val="yellow"/>
          <w:lang w:eastAsia="en-IN"/>
          <w14:ligatures w14:val="none"/>
        </w:rPr>
        <w:t>Drones</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8</w:t>
      </w:r>
      <w:r w:rsidRPr="00D11F16">
        <w:rPr>
          <w:rFonts w:ascii="Arial" w:eastAsia="Times New Roman" w:hAnsi="Arial" w:cs="Arial"/>
          <w:kern w:val="0"/>
          <w:sz w:val="20"/>
          <w:szCs w:val="20"/>
          <w:highlight w:val="yellow"/>
          <w:lang w:eastAsia="en-IN"/>
          <w14:ligatures w14:val="none"/>
        </w:rPr>
        <w:t>(11), 674.</w:t>
      </w:r>
    </w:p>
    <w:p w14:paraId="12DB7086"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t>Green, J. L. (2011). Diagnosing plant problems. </w:t>
      </w:r>
      <w:r w:rsidRPr="00D11F16">
        <w:rPr>
          <w:rFonts w:ascii="Arial" w:hAnsi="Arial" w:cs="Arial"/>
          <w:i/>
          <w:iCs/>
          <w:sz w:val="20"/>
          <w:szCs w:val="20"/>
          <w:highlight w:val="yellow"/>
        </w:rPr>
        <w:t>Kentucky Master Gardener Manual. ID-194. Cooperative Extension Service, University of Kentucky College of Agriculture, Lexington, UK</w:t>
      </w:r>
      <w:r w:rsidRPr="00D11F16">
        <w:rPr>
          <w:rFonts w:ascii="Arial" w:hAnsi="Arial" w:cs="Arial"/>
          <w:sz w:val="20"/>
          <w:szCs w:val="20"/>
          <w:highlight w:val="yellow"/>
        </w:rPr>
        <w:t>, 96-108.</w:t>
      </w:r>
    </w:p>
    <w:p w14:paraId="07788A54"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 xml:space="preserve">Hartmann, H. T., Kester, D. E., Davies, F. T., &amp; </w:t>
      </w:r>
      <w:proofErr w:type="spellStart"/>
      <w:r w:rsidRPr="00D11F16">
        <w:rPr>
          <w:rFonts w:ascii="Arial" w:eastAsia="Times New Roman" w:hAnsi="Arial" w:cs="Arial"/>
          <w:kern w:val="0"/>
          <w:sz w:val="20"/>
          <w:szCs w:val="20"/>
          <w:highlight w:val="yellow"/>
          <w:lang w:eastAsia="en-IN"/>
          <w14:ligatures w14:val="none"/>
        </w:rPr>
        <w:t>Geneve</w:t>
      </w:r>
      <w:proofErr w:type="spellEnd"/>
      <w:r w:rsidRPr="00D11F16">
        <w:rPr>
          <w:rFonts w:ascii="Arial" w:eastAsia="Times New Roman" w:hAnsi="Arial" w:cs="Arial"/>
          <w:kern w:val="0"/>
          <w:sz w:val="20"/>
          <w:szCs w:val="20"/>
          <w:highlight w:val="yellow"/>
          <w:lang w:eastAsia="en-IN"/>
          <w14:ligatures w14:val="none"/>
        </w:rPr>
        <w:t>, R. L. (2018). Plant propagation: Principles and practices. Pearson Education.</w:t>
      </w:r>
    </w:p>
    <w:p w14:paraId="365F78D8"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t xml:space="preserve">Higley, L. G., &amp; </w:t>
      </w:r>
      <w:proofErr w:type="spellStart"/>
      <w:r w:rsidRPr="00D11F16">
        <w:rPr>
          <w:rFonts w:ascii="Arial" w:hAnsi="Arial" w:cs="Arial"/>
          <w:sz w:val="20"/>
          <w:szCs w:val="20"/>
          <w:highlight w:val="yellow"/>
        </w:rPr>
        <w:t>Pedigo</w:t>
      </w:r>
      <w:proofErr w:type="spellEnd"/>
      <w:r w:rsidRPr="00D11F16">
        <w:rPr>
          <w:rFonts w:ascii="Arial" w:hAnsi="Arial" w:cs="Arial"/>
          <w:sz w:val="20"/>
          <w:szCs w:val="20"/>
          <w:highlight w:val="yellow"/>
        </w:rPr>
        <w:t>, L. P. (Eds.). (1996). </w:t>
      </w:r>
      <w:r w:rsidRPr="00D11F16">
        <w:rPr>
          <w:rFonts w:ascii="Arial" w:hAnsi="Arial" w:cs="Arial"/>
          <w:i/>
          <w:iCs/>
          <w:sz w:val="20"/>
          <w:szCs w:val="20"/>
          <w:highlight w:val="yellow"/>
        </w:rPr>
        <w:t>Economic thresholds for integrated pest management</w:t>
      </w:r>
      <w:r w:rsidRPr="00D11F16">
        <w:rPr>
          <w:rFonts w:ascii="Arial" w:hAnsi="Arial" w:cs="Arial"/>
          <w:sz w:val="20"/>
          <w:szCs w:val="20"/>
          <w:highlight w:val="yellow"/>
        </w:rPr>
        <w:t> (Vol. 9). U of Nebraska Press.</w:t>
      </w:r>
    </w:p>
    <w:p w14:paraId="07ABBAC5"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Joseph, R., Nair, R., &amp; Mathew, T. (2020). Entomopathogenic fungi for whitefly management in tropical floral nurseries. Indian Journal of Agricultural Sciences, 90(6), 345-352.</w:t>
      </w:r>
    </w:p>
    <w:p w14:paraId="6228CD83"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Kains</w:t>
      </w:r>
      <w:proofErr w:type="spellEnd"/>
      <w:r w:rsidRPr="00D11F16">
        <w:rPr>
          <w:rFonts w:ascii="Arial" w:hAnsi="Arial" w:cs="Arial"/>
          <w:sz w:val="20"/>
          <w:szCs w:val="20"/>
          <w:highlight w:val="yellow"/>
        </w:rPr>
        <w:t>, M. G. (2020). </w:t>
      </w:r>
      <w:r w:rsidRPr="00D11F16">
        <w:rPr>
          <w:rFonts w:ascii="Arial" w:hAnsi="Arial" w:cs="Arial"/>
          <w:i/>
          <w:iCs/>
          <w:sz w:val="20"/>
          <w:szCs w:val="20"/>
          <w:highlight w:val="yellow"/>
        </w:rPr>
        <w:t xml:space="preserve">Propagation </w:t>
      </w:r>
      <w:proofErr w:type="gramStart"/>
      <w:r w:rsidRPr="00D11F16">
        <w:rPr>
          <w:rFonts w:ascii="Arial" w:hAnsi="Arial" w:cs="Arial"/>
          <w:i/>
          <w:iCs/>
          <w:sz w:val="20"/>
          <w:szCs w:val="20"/>
          <w:highlight w:val="yellow"/>
        </w:rPr>
        <w:t>Of</w:t>
      </w:r>
      <w:proofErr w:type="gramEnd"/>
      <w:r w:rsidRPr="00D11F16">
        <w:rPr>
          <w:rFonts w:ascii="Arial" w:hAnsi="Arial" w:cs="Arial"/>
          <w:i/>
          <w:iCs/>
          <w:sz w:val="20"/>
          <w:szCs w:val="20"/>
          <w:highlight w:val="yellow"/>
        </w:rPr>
        <w:t xml:space="preserve"> Plants-A Complete Guide For Professional And Amateur Growers Of Plants By Seeds, Layers, Grafting And Budding, With Chapters On Nursery And Greenhouse Management</w:t>
      </w:r>
      <w:r w:rsidRPr="00D11F16">
        <w:rPr>
          <w:rFonts w:ascii="Arial" w:hAnsi="Arial" w:cs="Arial"/>
          <w:sz w:val="20"/>
          <w:szCs w:val="20"/>
          <w:highlight w:val="yellow"/>
        </w:rPr>
        <w:t>. Read Books Ltd.</w:t>
      </w:r>
    </w:p>
    <w:p w14:paraId="52611266"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t xml:space="preserve">Knapp, M., Palevsky, E., &amp; </w:t>
      </w:r>
      <w:proofErr w:type="spellStart"/>
      <w:r w:rsidRPr="00D11F16">
        <w:rPr>
          <w:rFonts w:ascii="Arial" w:hAnsi="Arial" w:cs="Arial"/>
          <w:sz w:val="20"/>
          <w:szCs w:val="20"/>
          <w:highlight w:val="yellow"/>
        </w:rPr>
        <w:t>Rapisarda</w:t>
      </w:r>
      <w:proofErr w:type="spellEnd"/>
      <w:r w:rsidRPr="00D11F16">
        <w:rPr>
          <w:rFonts w:ascii="Arial" w:hAnsi="Arial" w:cs="Arial"/>
          <w:sz w:val="20"/>
          <w:szCs w:val="20"/>
          <w:highlight w:val="yellow"/>
        </w:rPr>
        <w:t>, C. (2020). Insect and mite pests. </w:t>
      </w:r>
      <w:r w:rsidRPr="00D11F16">
        <w:rPr>
          <w:rFonts w:ascii="Arial" w:hAnsi="Arial" w:cs="Arial"/>
          <w:i/>
          <w:iCs/>
          <w:sz w:val="20"/>
          <w:szCs w:val="20"/>
          <w:highlight w:val="yellow"/>
        </w:rPr>
        <w:t>Integrated pest and disease management in greenhouse crops</w:t>
      </w:r>
      <w:r w:rsidRPr="00D11F16">
        <w:rPr>
          <w:rFonts w:ascii="Arial" w:hAnsi="Arial" w:cs="Arial"/>
          <w:sz w:val="20"/>
          <w:szCs w:val="20"/>
          <w:highlight w:val="yellow"/>
        </w:rPr>
        <w:t>, 101-146.</w:t>
      </w:r>
    </w:p>
    <w:p w14:paraId="710BBDE6"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Kumar, V., &amp; Sharma, P. (2019). Production of medicinal and aromatic plants: An overview. Journal of Medicinal Plants Research, 13(7), 289-295.</w:t>
      </w:r>
    </w:p>
    <w:p w14:paraId="6A812181"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proofErr w:type="spellStart"/>
      <w:r w:rsidRPr="00D11F16">
        <w:rPr>
          <w:rFonts w:ascii="Arial" w:eastAsia="Times New Roman" w:hAnsi="Arial" w:cs="Arial"/>
          <w:kern w:val="0"/>
          <w:sz w:val="20"/>
          <w:szCs w:val="20"/>
          <w:highlight w:val="yellow"/>
          <w:lang w:eastAsia="en-IN"/>
          <w14:ligatures w14:val="none"/>
        </w:rPr>
        <w:t>Kundoo</w:t>
      </w:r>
      <w:proofErr w:type="spellEnd"/>
      <w:r w:rsidRPr="00D11F16">
        <w:rPr>
          <w:rFonts w:ascii="Arial" w:eastAsia="Times New Roman" w:hAnsi="Arial" w:cs="Arial"/>
          <w:kern w:val="0"/>
          <w:sz w:val="20"/>
          <w:szCs w:val="20"/>
          <w:highlight w:val="yellow"/>
          <w:lang w:eastAsia="en-IN"/>
          <w14:ligatures w14:val="none"/>
        </w:rPr>
        <w:t>, A. A., &amp; Khan, A. A. (2017). Coccinellids as biological control agents of soft bodied insects: A review. </w:t>
      </w:r>
      <w:r w:rsidRPr="00D11F16">
        <w:rPr>
          <w:rFonts w:ascii="Arial" w:eastAsia="Times New Roman" w:hAnsi="Arial" w:cs="Arial"/>
          <w:i/>
          <w:iCs/>
          <w:kern w:val="0"/>
          <w:sz w:val="20"/>
          <w:szCs w:val="20"/>
          <w:highlight w:val="yellow"/>
          <w:lang w:eastAsia="en-IN"/>
          <w14:ligatures w14:val="none"/>
        </w:rPr>
        <w:t>Journal of Entomology and Zoology Studies</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5</w:t>
      </w:r>
      <w:r w:rsidRPr="00D11F16">
        <w:rPr>
          <w:rFonts w:ascii="Arial" w:eastAsia="Times New Roman" w:hAnsi="Arial" w:cs="Arial"/>
          <w:kern w:val="0"/>
          <w:sz w:val="20"/>
          <w:szCs w:val="20"/>
          <w:highlight w:val="yellow"/>
          <w:lang w:eastAsia="en-IN"/>
          <w14:ligatures w14:val="none"/>
        </w:rPr>
        <w:t>(5), 1362-1373.</w:t>
      </w:r>
    </w:p>
    <w:p w14:paraId="76EF42ED"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Lal, R., &amp; Singh, P. (2017). Impact of mealybug infestations on ornamental plants in tropical climates. Indian Journal of Plant Protection, 45(3), 112-118.</w:t>
      </w:r>
    </w:p>
    <w:p w14:paraId="53E781F8"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lastRenderedPageBreak/>
        <w:t>Lavender, D. P. (1984). Plant physiology and nursery environment: interactions affecting seedling growth. In </w:t>
      </w:r>
      <w:r w:rsidRPr="00D11F16">
        <w:rPr>
          <w:rFonts w:ascii="Arial" w:eastAsia="Times New Roman" w:hAnsi="Arial" w:cs="Arial"/>
          <w:i/>
          <w:iCs/>
          <w:kern w:val="0"/>
          <w:sz w:val="20"/>
          <w:szCs w:val="20"/>
          <w:highlight w:val="yellow"/>
          <w:lang w:eastAsia="en-IN"/>
          <w14:ligatures w14:val="none"/>
        </w:rPr>
        <w:t>Forestry nursery manual: Production of bareroot seedlings</w:t>
      </w:r>
      <w:r w:rsidRPr="00D11F16">
        <w:rPr>
          <w:rFonts w:ascii="Arial" w:eastAsia="Times New Roman" w:hAnsi="Arial" w:cs="Arial"/>
          <w:kern w:val="0"/>
          <w:sz w:val="20"/>
          <w:szCs w:val="20"/>
          <w:highlight w:val="yellow"/>
          <w:lang w:eastAsia="en-IN"/>
          <w14:ligatures w14:val="none"/>
        </w:rPr>
        <w:t> (pp. 133-141). Dordrecht: Springer Netherlands.</w:t>
      </w:r>
    </w:p>
    <w:p w14:paraId="7371FB4E"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Lewis, W. J., &amp; Alexander, D. (2008). </w:t>
      </w:r>
      <w:r w:rsidRPr="00D11F16">
        <w:rPr>
          <w:rFonts w:ascii="Arial" w:eastAsia="Times New Roman" w:hAnsi="Arial" w:cs="Arial"/>
          <w:i/>
          <w:iCs/>
          <w:kern w:val="0"/>
          <w:sz w:val="20"/>
          <w:szCs w:val="20"/>
          <w:highlight w:val="yellow"/>
          <w:lang w:eastAsia="en-IN"/>
          <w14:ligatures w14:val="none"/>
        </w:rPr>
        <w:t>Grafting and budding: A practical guide for fruit and nut plants and ornamentals</w:t>
      </w:r>
      <w:r w:rsidRPr="00D11F16">
        <w:rPr>
          <w:rFonts w:ascii="Arial" w:eastAsia="Times New Roman" w:hAnsi="Arial" w:cs="Arial"/>
          <w:kern w:val="0"/>
          <w:sz w:val="20"/>
          <w:szCs w:val="20"/>
          <w:highlight w:val="yellow"/>
          <w:lang w:eastAsia="en-IN"/>
          <w14:ligatures w14:val="none"/>
        </w:rPr>
        <w:t xml:space="preserve">. </w:t>
      </w:r>
      <w:proofErr w:type="spellStart"/>
      <w:r w:rsidRPr="00D11F16">
        <w:rPr>
          <w:rFonts w:ascii="Arial" w:eastAsia="Times New Roman" w:hAnsi="Arial" w:cs="Arial"/>
          <w:kern w:val="0"/>
          <w:sz w:val="20"/>
          <w:szCs w:val="20"/>
          <w:highlight w:val="yellow"/>
          <w:lang w:eastAsia="en-IN"/>
          <w14:ligatures w14:val="none"/>
        </w:rPr>
        <w:t>Landlinks</w:t>
      </w:r>
      <w:proofErr w:type="spellEnd"/>
      <w:r w:rsidRPr="00D11F16">
        <w:rPr>
          <w:rFonts w:ascii="Arial" w:eastAsia="Times New Roman" w:hAnsi="Arial" w:cs="Arial"/>
          <w:kern w:val="0"/>
          <w:sz w:val="20"/>
          <w:szCs w:val="20"/>
          <w:highlight w:val="yellow"/>
          <w:lang w:eastAsia="en-IN"/>
          <w14:ligatures w14:val="none"/>
        </w:rPr>
        <w:t xml:space="preserve"> Press.</w:t>
      </w:r>
    </w:p>
    <w:p w14:paraId="76C2D4F8"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Marrone</w:t>
      </w:r>
      <w:proofErr w:type="spellEnd"/>
      <w:r w:rsidRPr="00D11F16">
        <w:rPr>
          <w:rFonts w:ascii="Arial" w:hAnsi="Arial" w:cs="Arial"/>
          <w:sz w:val="20"/>
          <w:szCs w:val="20"/>
          <w:highlight w:val="yellow"/>
        </w:rPr>
        <w:t>, P. G. (2007). Barriers to adoption of biological control agents and biological pesticides. </w:t>
      </w:r>
      <w:r w:rsidRPr="00D11F16">
        <w:rPr>
          <w:rFonts w:ascii="Arial" w:hAnsi="Arial" w:cs="Arial"/>
          <w:i/>
          <w:iCs/>
          <w:sz w:val="20"/>
          <w:szCs w:val="20"/>
          <w:highlight w:val="yellow"/>
        </w:rPr>
        <w:t>CABI Reviews</w:t>
      </w:r>
      <w:r w:rsidRPr="00D11F16">
        <w:rPr>
          <w:rFonts w:ascii="Arial" w:hAnsi="Arial" w:cs="Arial"/>
          <w:sz w:val="20"/>
          <w:szCs w:val="20"/>
          <w:highlight w:val="yellow"/>
        </w:rPr>
        <w:t>, (2007), 12-pp.</w:t>
      </w:r>
    </w:p>
    <w:p w14:paraId="2B713531"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 xml:space="preserve">Mir, M. S., </w:t>
      </w:r>
      <w:proofErr w:type="spellStart"/>
      <w:r w:rsidRPr="00D11F16">
        <w:rPr>
          <w:rFonts w:ascii="Arial" w:eastAsia="Times New Roman" w:hAnsi="Arial" w:cs="Arial"/>
          <w:kern w:val="0"/>
          <w:sz w:val="20"/>
          <w:szCs w:val="20"/>
          <w:highlight w:val="yellow"/>
          <w:lang w:eastAsia="en-IN"/>
          <w14:ligatures w14:val="none"/>
        </w:rPr>
        <w:t>Naikoo</w:t>
      </w:r>
      <w:proofErr w:type="spellEnd"/>
      <w:r w:rsidRPr="00D11F16">
        <w:rPr>
          <w:rFonts w:ascii="Arial" w:eastAsia="Times New Roman" w:hAnsi="Arial" w:cs="Arial"/>
          <w:kern w:val="0"/>
          <w:sz w:val="20"/>
          <w:szCs w:val="20"/>
          <w:highlight w:val="yellow"/>
          <w:lang w:eastAsia="en-IN"/>
          <w14:ligatures w14:val="none"/>
        </w:rPr>
        <w:t xml:space="preserve">, N. B., </w:t>
      </w:r>
      <w:proofErr w:type="spellStart"/>
      <w:r w:rsidRPr="00D11F16">
        <w:rPr>
          <w:rFonts w:ascii="Arial" w:eastAsia="Times New Roman" w:hAnsi="Arial" w:cs="Arial"/>
          <w:kern w:val="0"/>
          <w:sz w:val="20"/>
          <w:szCs w:val="20"/>
          <w:highlight w:val="yellow"/>
          <w:lang w:eastAsia="en-IN"/>
          <w14:ligatures w14:val="none"/>
        </w:rPr>
        <w:t>Kanth</w:t>
      </w:r>
      <w:proofErr w:type="spellEnd"/>
      <w:r w:rsidRPr="00D11F16">
        <w:rPr>
          <w:rFonts w:ascii="Arial" w:eastAsia="Times New Roman" w:hAnsi="Arial" w:cs="Arial"/>
          <w:kern w:val="0"/>
          <w:sz w:val="20"/>
          <w:szCs w:val="20"/>
          <w:highlight w:val="yellow"/>
          <w:lang w:eastAsia="en-IN"/>
          <w14:ligatures w14:val="none"/>
        </w:rPr>
        <w:t xml:space="preserve">, R. H., </w:t>
      </w:r>
      <w:proofErr w:type="spellStart"/>
      <w:r w:rsidRPr="00D11F16">
        <w:rPr>
          <w:rFonts w:ascii="Arial" w:eastAsia="Times New Roman" w:hAnsi="Arial" w:cs="Arial"/>
          <w:kern w:val="0"/>
          <w:sz w:val="20"/>
          <w:szCs w:val="20"/>
          <w:highlight w:val="yellow"/>
          <w:lang w:eastAsia="en-IN"/>
          <w14:ligatures w14:val="none"/>
        </w:rPr>
        <w:t>Bahar</w:t>
      </w:r>
      <w:proofErr w:type="spellEnd"/>
      <w:r w:rsidRPr="00D11F16">
        <w:rPr>
          <w:rFonts w:ascii="Arial" w:eastAsia="Times New Roman" w:hAnsi="Arial" w:cs="Arial"/>
          <w:kern w:val="0"/>
          <w:sz w:val="20"/>
          <w:szCs w:val="20"/>
          <w:highlight w:val="yellow"/>
          <w:lang w:eastAsia="en-IN"/>
          <w14:ligatures w14:val="none"/>
        </w:rPr>
        <w:t xml:space="preserve">, F. A., Bhat, M. A., Nazir, A., ... &amp; </w:t>
      </w:r>
      <w:proofErr w:type="spellStart"/>
      <w:r w:rsidRPr="00D11F16">
        <w:rPr>
          <w:rFonts w:ascii="Arial" w:eastAsia="Times New Roman" w:hAnsi="Arial" w:cs="Arial"/>
          <w:kern w:val="0"/>
          <w:sz w:val="20"/>
          <w:szCs w:val="20"/>
          <w:highlight w:val="yellow"/>
          <w:lang w:eastAsia="en-IN"/>
          <w14:ligatures w14:val="none"/>
        </w:rPr>
        <w:t>Ahngar</w:t>
      </w:r>
      <w:proofErr w:type="spellEnd"/>
      <w:r w:rsidRPr="00D11F16">
        <w:rPr>
          <w:rFonts w:ascii="Arial" w:eastAsia="Times New Roman" w:hAnsi="Arial" w:cs="Arial"/>
          <w:kern w:val="0"/>
          <w:sz w:val="20"/>
          <w:szCs w:val="20"/>
          <w:highlight w:val="yellow"/>
          <w:lang w:eastAsia="en-IN"/>
          <w14:ligatures w14:val="none"/>
        </w:rPr>
        <w:t>, T. A. (2022). Vertical farming: The future of agriculture: A review. </w:t>
      </w:r>
      <w:r w:rsidRPr="00D11F16">
        <w:rPr>
          <w:rFonts w:ascii="Arial" w:eastAsia="Times New Roman" w:hAnsi="Arial" w:cs="Arial"/>
          <w:i/>
          <w:iCs/>
          <w:kern w:val="0"/>
          <w:sz w:val="20"/>
          <w:szCs w:val="20"/>
          <w:highlight w:val="yellow"/>
          <w:lang w:eastAsia="en-IN"/>
          <w14:ligatures w14:val="none"/>
        </w:rPr>
        <w:t>The Pharma Innovation Journal</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11</w:t>
      </w:r>
      <w:r w:rsidRPr="00D11F16">
        <w:rPr>
          <w:rFonts w:ascii="Arial" w:eastAsia="Times New Roman" w:hAnsi="Arial" w:cs="Arial"/>
          <w:kern w:val="0"/>
          <w:sz w:val="20"/>
          <w:szCs w:val="20"/>
          <w:highlight w:val="yellow"/>
          <w:lang w:eastAsia="en-IN"/>
          <w14:ligatures w14:val="none"/>
        </w:rPr>
        <w:t>(2), 1175-1195.</w:t>
      </w:r>
    </w:p>
    <w:p w14:paraId="31125F76"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Moricca</w:t>
      </w:r>
      <w:proofErr w:type="spellEnd"/>
      <w:r w:rsidRPr="00D11F16">
        <w:rPr>
          <w:rFonts w:ascii="Arial" w:hAnsi="Arial" w:cs="Arial"/>
          <w:sz w:val="20"/>
          <w:szCs w:val="20"/>
          <w:highlight w:val="yellow"/>
        </w:rPr>
        <w:t xml:space="preserve">, S., &amp; </w:t>
      </w:r>
      <w:proofErr w:type="spellStart"/>
      <w:r w:rsidRPr="00D11F16">
        <w:rPr>
          <w:rFonts w:ascii="Arial" w:hAnsi="Arial" w:cs="Arial"/>
          <w:sz w:val="20"/>
          <w:szCs w:val="20"/>
          <w:highlight w:val="yellow"/>
        </w:rPr>
        <w:t>Ragazzi</w:t>
      </w:r>
      <w:proofErr w:type="spellEnd"/>
      <w:r w:rsidRPr="00D11F16">
        <w:rPr>
          <w:rFonts w:ascii="Arial" w:hAnsi="Arial" w:cs="Arial"/>
          <w:sz w:val="20"/>
          <w:szCs w:val="20"/>
          <w:highlight w:val="yellow"/>
        </w:rPr>
        <w:t>, A. (2008). Biological and integrated means to control rust diseases. </w:t>
      </w:r>
      <w:r w:rsidRPr="00D11F16">
        <w:rPr>
          <w:rFonts w:ascii="Arial" w:hAnsi="Arial" w:cs="Arial"/>
          <w:i/>
          <w:iCs/>
          <w:sz w:val="20"/>
          <w:szCs w:val="20"/>
          <w:highlight w:val="yellow"/>
        </w:rPr>
        <w:t>Integrated Management of Diseases caused by fungi, phytoplasma and bacteria</w:t>
      </w:r>
      <w:r w:rsidRPr="00D11F16">
        <w:rPr>
          <w:rFonts w:ascii="Arial" w:hAnsi="Arial" w:cs="Arial"/>
          <w:sz w:val="20"/>
          <w:szCs w:val="20"/>
          <w:highlight w:val="yellow"/>
        </w:rPr>
        <w:t>, 303-329.</w:t>
      </w:r>
    </w:p>
    <w:p w14:paraId="28E4F05C"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Nair, R., &amp; Krishnan, M. (2020). Biofertilizer application in nursery plants: Growth enhancement and pest resistance. Indian Journal of Plant Physiology, 25(2), 155-162.</w:t>
      </w:r>
    </w:p>
    <w:p w14:paraId="71E5BFA1"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Navia</w:t>
      </w:r>
      <w:proofErr w:type="spellEnd"/>
      <w:r w:rsidRPr="00D11F16">
        <w:rPr>
          <w:rFonts w:ascii="Arial" w:hAnsi="Arial" w:cs="Arial"/>
          <w:sz w:val="20"/>
          <w:szCs w:val="20"/>
          <w:highlight w:val="yellow"/>
        </w:rPr>
        <w:t xml:space="preserve">-Urrutia, M., </w:t>
      </w:r>
      <w:proofErr w:type="spellStart"/>
      <w:r w:rsidRPr="00D11F16">
        <w:rPr>
          <w:rFonts w:ascii="Arial" w:hAnsi="Arial" w:cs="Arial"/>
          <w:sz w:val="20"/>
          <w:szCs w:val="20"/>
          <w:highlight w:val="yellow"/>
        </w:rPr>
        <w:t>Sendoya</w:t>
      </w:r>
      <w:proofErr w:type="spellEnd"/>
      <w:r w:rsidRPr="00D11F16">
        <w:rPr>
          <w:rFonts w:ascii="Arial" w:hAnsi="Arial" w:cs="Arial"/>
          <w:sz w:val="20"/>
          <w:szCs w:val="20"/>
          <w:highlight w:val="yellow"/>
        </w:rPr>
        <w:t xml:space="preserve">-Corrales, C. A., Crane, J. H., &amp; </w:t>
      </w:r>
      <w:proofErr w:type="spellStart"/>
      <w:r w:rsidRPr="00D11F16">
        <w:rPr>
          <w:rFonts w:ascii="Arial" w:hAnsi="Arial" w:cs="Arial"/>
          <w:sz w:val="20"/>
          <w:szCs w:val="20"/>
          <w:highlight w:val="yellow"/>
        </w:rPr>
        <w:t>Gazis</w:t>
      </w:r>
      <w:proofErr w:type="spellEnd"/>
      <w:r w:rsidRPr="00D11F16">
        <w:rPr>
          <w:rFonts w:ascii="Arial" w:hAnsi="Arial" w:cs="Arial"/>
          <w:sz w:val="20"/>
          <w:szCs w:val="20"/>
          <w:highlight w:val="yellow"/>
        </w:rPr>
        <w:t xml:space="preserve">, R. (2023). </w:t>
      </w:r>
      <w:proofErr w:type="spellStart"/>
      <w:r w:rsidRPr="00D11F16">
        <w:rPr>
          <w:rFonts w:ascii="Arial" w:hAnsi="Arial" w:cs="Arial"/>
          <w:sz w:val="20"/>
          <w:szCs w:val="20"/>
          <w:highlight w:val="yellow"/>
        </w:rPr>
        <w:t>Reevaluation</w:t>
      </w:r>
      <w:proofErr w:type="spellEnd"/>
      <w:r w:rsidRPr="00D11F16">
        <w:rPr>
          <w:rFonts w:ascii="Arial" w:hAnsi="Arial" w:cs="Arial"/>
          <w:sz w:val="20"/>
          <w:szCs w:val="20"/>
          <w:highlight w:val="yellow"/>
        </w:rPr>
        <w:t xml:space="preserve"> of the application method and efficacy of propiconazole in controlling laurel wilt in avocado orchards in South Florida. </w:t>
      </w:r>
      <w:proofErr w:type="spellStart"/>
      <w:r w:rsidRPr="00D11F16">
        <w:rPr>
          <w:rFonts w:ascii="Arial" w:hAnsi="Arial" w:cs="Arial"/>
          <w:i/>
          <w:iCs/>
          <w:sz w:val="20"/>
          <w:szCs w:val="20"/>
          <w:highlight w:val="yellow"/>
        </w:rPr>
        <w:t>HortTechnology</w:t>
      </w:r>
      <w:proofErr w:type="spellEnd"/>
      <w:r w:rsidRPr="00D11F16">
        <w:rPr>
          <w:rFonts w:ascii="Arial" w:hAnsi="Arial" w:cs="Arial"/>
          <w:sz w:val="20"/>
          <w:szCs w:val="20"/>
          <w:highlight w:val="yellow"/>
        </w:rPr>
        <w:t>, </w:t>
      </w:r>
      <w:r w:rsidRPr="00D11F16">
        <w:rPr>
          <w:rFonts w:ascii="Arial" w:hAnsi="Arial" w:cs="Arial"/>
          <w:i/>
          <w:iCs/>
          <w:sz w:val="20"/>
          <w:szCs w:val="20"/>
          <w:highlight w:val="yellow"/>
        </w:rPr>
        <w:t>33</w:t>
      </w:r>
      <w:r w:rsidRPr="00D11F16">
        <w:rPr>
          <w:rFonts w:ascii="Arial" w:hAnsi="Arial" w:cs="Arial"/>
          <w:sz w:val="20"/>
          <w:szCs w:val="20"/>
          <w:highlight w:val="yellow"/>
        </w:rPr>
        <w:t>(5), 425-436.</w:t>
      </w:r>
    </w:p>
    <w:p w14:paraId="15F564E6"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Ozbay</w:t>
      </w:r>
      <w:proofErr w:type="spellEnd"/>
      <w:r w:rsidRPr="00D11F16">
        <w:rPr>
          <w:rFonts w:ascii="Arial" w:hAnsi="Arial" w:cs="Arial"/>
          <w:sz w:val="20"/>
          <w:szCs w:val="20"/>
          <w:highlight w:val="yellow"/>
        </w:rPr>
        <w:t xml:space="preserve">, N., &amp; Newman, S. E. (2004). Biological control with Trichoderma spp. with emphasis on T. </w:t>
      </w:r>
      <w:proofErr w:type="spellStart"/>
      <w:r w:rsidRPr="00D11F16">
        <w:rPr>
          <w:rFonts w:ascii="Arial" w:hAnsi="Arial" w:cs="Arial"/>
          <w:sz w:val="20"/>
          <w:szCs w:val="20"/>
          <w:highlight w:val="yellow"/>
        </w:rPr>
        <w:t>harzianum</w:t>
      </w:r>
      <w:proofErr w:type="spellEnd"/>
      <w:r w:rsidRPr="00D11F16">
        <w:rPr>
          <w:rFonts w:ascii="Arial" w:hAnsi="Arial" w:cs="Arial"/>
          <w:sz w:val="20"/>
          <w:szCs w:val="20"/>
          <w:highlight w:val="yellow"/>
        </w:rPr>
        <w:t>. </w:t>
      </w:r>
      <w:r w:rsidRPr="00D11F16">
        <w:rPr>
          <w:rFonts w:ascii="Arial" w:hAnsi="Arial" w:cs="Arial"/>
          <w:i/>
          <w:iCs/>
          <w:sz w:val="20"/>
          <w:szCs w:val="20"/>
          <w:highlight w:val="yellow"/>
        </w:rPr>
        <w:t>Pakistan Journal of Biological Sciences</w:t>
      </w:r>
      <w:r w:rsidRPr="00D11F16">
        <w:rPr>
          <w:rFonts w:ascii="Arial" w:hAnsi="Arial" w:cs="Arial"/>
          <w:sz w:val="20"/>
          <w:szCs w:val="20"/>
          <w:highlight w:val="yellow"/>
        </w:rPr>
        <w:t>, </w:t>
      </w:r>
      <w:r w:rsidRPr="00D11F16">
        <w:rPr>
          <w:rFonts w:ascii="Arial" w:hAnsi="Arial" w:cs="Arial"/>
          <w:i/>
          <w:iCs/>
          <w:sz w:val="20"/>
          <w:szCs w:val="20"/>
          <w:highlight w:val="yellow"/>
        </w:rPr>
        <w:t>7</w:t>
      </w:r>
      <w:r w:rsidRPr="00D11F16">
        <w:rPr>
          <w:rFonts w:ascii="Arial" w:hAnsi="Arial" w:cs="Arial"/>
          <w:sz w:val="20"/>
          <w:szCs w:val="20"/>
          <w:highlight w:val="yellow"/>
        </w:rPr>
        <w:t>(4), 478-484.</w:t>
      </w:r>
    </w:p>
    <w:p w14:paraId="022C8421"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t>Pal, S., &amp; Chakravarthy, A. K. (Eds.). (2020). </w:t>
      </w:r>
      <w:r w:rsidRPr="00D11F16">
        <w:rPr>
          <w:rFonts w:ascii="Arial" w:hAnsi="Arial" w:cs="Arial"/>
          <w:i/>
          <w:iCs/>
          <w:sz w:val="20"/>
          <w:szCs w:val="20"/>
          <w:highlight w:val="yellow"/>
        </w:rPr>
        <w:t>Advances in pest management in commercial flowers</w:t>
      </w:r>
      <w:r w:rsidRPr="00D11F16">
        <w:rPr>
          <w:rFonts w:ascii="Arial" w:hAnsi="Arial" w:cs="Arial"/>
          <w:sz w:val="20"/>
          <w:szCs w:val="20"/>
          <w:highlight w:val="yellow"/>
        </w:rPr>
        <w:t>. CRC Press.</w:t>
      </w:r>
    </w:p>
    <w:p w14:paraId="00D59ECA"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Parrella</w:t>
      </w:r>
      <w:proofErr w:type="spellEnd"/>
      <w:r w:rsidRPr="00D11F16">
        <w:rPr>
          <w:rFonts w:ascii="Arial" w:hAnsi="Arial" w:cs="Arial"/>
          <w:sz w:val="20"/>
          <w:szCs w:val="20"/>
          <w:highlight w:val="yellow"/>
        </w:rPr>
        <w:t>, M. P., &amp; Lewis, E. (2017). Biological control in greenhouse and nursery production: Present status and future directions. </w:t>
      </w:r>
      <w:r w:rsidRPr="00D11F16">
        <w:rPr>
          <w:rFonts w:ascii="Arial" w:hAnsi="Arial" w:cs="Arial"/>
          <w:i/>
          <w:iCs/>
          <w:sz w:val="20"/>
          <w:szCs w:val="20"/>
          <w:highlight w:val="yellow"/>
        </w:rPr>
        <w:t>American Entomologist</w:t>
      </w:r>
      <w:r w:rsidRPr="00D11F16">
        <w:rPr>
          <w:rFonts w:ascii="Arial" w:hAnsi="Arial" w:cs="Arial"/>
          <w:sz w:val="20"/>
          <w:szCs w:val="20"/>
          <w:highlight w:val="yellow"/>
        </w:rPr>
        <w:t>, </w:t>
      </w:r>
      <w:r w:rsidRPr="00D11F16">
        <w:rPr>
          <w:rFonts w:ascii="Arial" w:hAnsi="Arial" w:cs="Arial"/>
          <w:i/>
          <w:iCs/>
          <w:sz w:val="20"/>
          <w:szCs w:val="20"/>
          <w:highlight w:val="yellow"/>
        </w:rPr>
        <w:t>63</w:t>
      </w:r>
      <w:r w:rsidRPr="00D11F16">
        <w:rPr>
          <w:rFonts w:ascii="Arial" w:hAnsi="Arial" w:cs="Arial"/>
          <w:sz w:val="20"/>
          <w:szCs w:val="20"/>
          <w:highlight w:val="yellow"/>
        </w:rPr>
        <w:t>(4), 237-250.</w:t>
      </w:r>
    </w:p>
    <w:p w14:paraId="1E3952BA"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t xml:space="preserve">Platt, H. W. (1983). Effects of </w:t>
      </w:r>
      <w:proofErr w:type="spellStart"/>
      <w:r w:rsidRPr="00D11F16">
        <w:rPr>
          <w:rFonts w:ascii="Arial" w:hAnsi="Arial" w:cs="Arial"/>
          <w:sz w:val="20"/>
          <w:szCs w:val="20"/>
          <w:highlight w:val="yellow"/>
        </w:rPr>
        <w:t>metalaxyl</w:t>
      </w:r>
      <w:proofErr w:type="spellEnd"/>
      <w:r w:rsidRPr="00D11F16">
        <w:rPr>
          <w:rFonts w:ascii="Arial" w:hAnsi="Arial" w:cs="Arial"/>
          <w:sz w:val="20"/>
          <w:szCs w:val="20"/>
          <w:highlight w:val="yellow"/>
        </w:rPr>
        <w:t>, mancozeb, and chlorothalonil on blight, yield, and tuber rot of potato. </w:t>
      </w:r>
      <w:r w:rsidRPr="00D11F16">
        <w:rPr>
          <w:rFonts w:ascii="Arial" w:hAnsi="Arial" w:cs="Arial"/>
          <w:i/>
          <w:iCs/>
          <w:sz w:val="20"/>
          <w:szCs w:val="20"/>
          <w:highlight w:val="yellow"/>
        </w:rPr>
        <w:t>Canadian journal of plant pathology</w:t>
      </w:r>
      <w:r w:rsidRPr="00D11F16">
        <w:rPr>
          <w:rFonts w:ascii="Arial" w:hAnsi="Arial" w:cs="Arial"/>
          <w:sz w:val="20"/>
          <w:szCs w:val="20"/>
          <w:highlight w:val="yellow"/>
        </w:rPr>
        <w:t>, </w:t>
      </w:r>
      <w:r w:rsidRPr="00D11F16">
        <w:rPr>
          <w:rFonts w:ascii="Arial" w:hAnsi="Arial" w:cs="Arial"/>
          <w:i/>
          <w:iCs/>
          <w:sz w:val="20"/>
          <w:szCs w:val="20"/>
          <w:highlight w:val="yellow"/>
        </w:rPr>
        <w:t>5</w:t>
      </w:r>
      <w:r w:rsidRPr="00D11F16">
        <w:rPr>
          <w:rFonts w:ascii="Arial" w:hAnsi="Arial" w:cs="Arial"/>
          <w:sz w:val="20"/>
          <w:szCs w:val="20"/>
          <w:highlight w:val="yellow"/>
        </w:rPr>
        <w:t>(1), 38-42.</w:t>
      </w:r>
    </w:p>
    <w:p w14:paraId="18275B8B"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 xml:space="preserve">Prasad, S., &amp; </w:t>
      </w:r>
      <w:proofErr w:type="spellStart"/>
      <w:r w:rsidRPr="00D11F16">
        <w:rPr>
          <w:rFonts w:ascii="Arial" w:eastAsia="Times New Roman" w:hAnsi="Arial" w:cs="Arial"/>
          <w:kern w:val="0"/>
          <w:sz w:val="20"/>
          <w:szCs w:val="20"/>
          <w:highlight w:val="yellow"/>
          <w:lang w:eastAsia="en-IN"/>
          <w14:ligatures w14:val="none"/>
        </w:rPr>
        <w:t>Rajan</w:t>
      </w:r>
      <w:proofErr w:type="spellEnd"/>
      <w:r w:rsidRPr="00D11F16">
        <w:rPr>
          <w:rFonts w:ascii="Arial" w:eastAsia="Times New Roman" w:hAnsi="Arial" w:cs="Arial"/>
          <w:kern w:val="0"/>
          <w:sz w:val="20"/>
          <w:szCs w:val="20"/>
          <w:highlight w:val="yellow"/>
          <w:lang w:eastAsia="en-IN"/>
          <w14:ligatures w14:val="none"/>
        </w:rPr>
        <w:t>, R. (2021). Impact of monsoon humidity on fungal leaf spot diseases in ornamental nurseries. Plant Pathology Journal, 39(3), 276-289.</w:t>
      </w:r>
    </w:p>
    <w:p w14:paraId="38EFB01C"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 xml:space="preserve">Priya, R. S., </w:t>
      </w:r>
      <w:proofErr w:type="spellStart"/>
      <w:r w:rsidRPr="00D11F16">
        <w:rPr>
          <w:rFonts w:ascii="Arial" w:eastAsia="Times New Roman" w:hAnsi="Arial" w:cs="Arial"/>
          <w:kern w:val="0"/>
          <w:sz w:val="20"/>
          <w:szCs w:val="20"/>
          <w:highlight w:val="yellow"/>
          <w:lang w:eastAsia="en-IN"/>
          <w14:ligatures w14:val="none"/>
        </w:rPr>
        <w:t>Sundarraja</w:t>
      </w:r>
      <w:proofErr w:type="spellEnd"/>
      <w:r w:rsidRPr="00D11F16">
        <w:rPr>
          <w:rFonts w:ascii="Arial" w:eastAsia="Times New Roman" w:hAnsi="Arial" w:cs="Arial"/>
          <w:kern w:val="0"/>
          <w:sz w:val="20"/>
          <w:szCs w:val="20"/>
          <w:highlight w:val="yellow"/>
          <w:lang w:eastAsia="en-IN"/>
          <w14:ligatures w14:val="none"/>
        </w:rPr>
        <w:t xml:space="preserve">, M. C., Radhakrishnan, S., &amp; Vijayalakshmi, L. (2012). Solar passive techniques in the vernacular buildings of coastal regions in </w:t>
      </w:r>
      <w:proofErr w:type="spellStart"/>
      <w:r w:rsidRPr="00D11F16">
        <w:rPr>
          <w:rFonts w:ascii="Arial" w:eastAsia="Times New Roman" w:hAnsi="Arial" w:cs="Arial"/>
          <w:kern w:val="0"/>
          <w:sz w:val="20"/>
          <w:szCs w:val="20"/>
          <w:highlight w:val="yellow"/>
          <w:lang w:eastAsia="en-IN"/>
          <w14:ligatures w14:val="none"/>
        </w:rPr>
        <w:t>Nagapattinam</w:t>
      </w:r>
      <w:proofErr w:type="spellEnd"/>
      <w:r w:rsidRPr="00D11F16">
        <w:rPr>
          <w:rFonts w:ascii="Arial" w:eastAsia="Times New Roman" w:hAnsi="Arial" w:cs="Arial"/>
          <w:kern w:val="0"/>
          <w:sz w:val="20"/>
          <w:szCs w:val="20"/>
          <w:highlight w:val="yellow"/>
          <w:lang w:eastAsia="en-IN"/>
          <w14:ligatures w14:val="none"/>
        </w:rPr>
        <w:t xml:space="preserve">, </w:t>
      </w:r>
      <w:proofErr w:type="spellStart"/>
      <w:r w:rsidRPr="00D11F16">
        <w:rPr>
          <w:rFonts w:ascii="Arial" w:eastAsia="Times New Roman" w:hAnsi="Arial" w:cs="Arial"/>
          <w:kern w:val="0"/>
          <w:sz w:val="20"/>
          <w:szCs w:val="20"/>
          <w:highlight w:val="yellow"/>
          <w:lang w:eastAsia="en-IN"/>
          <w14:ligatures w14:val="none"/>
        </w:rPr>
        <w:t>TamilNadu</w:t>
      </w:r>
      <w:proofErr w:type="spellEnd"/>
      <w:r w:rsidRPr="00D11F16">
        <w:rPr>
          <w:rFonts w:ascii="Arial" w:eastAsia="Times New Roman" w:hAnsi="Arial" w:cs="Arial"/>
          <w:kern w:val="0"/>
          <w:sz w:val="20"/>
          <w:szCs w:val="20"/>
          <w:highlight w:val="yellow"/>
          <w:lang w:eastAsia="en-IN"/>
          <w14:ligatures w14:val="none"/>
        </w:rPr>
        <w:t>-India–a qualitative and quantitative analysis. </w:t>
      </w:r>
      <w:r w:rsidRPr="00D11F16">
        <w:rPr>
          <w:rFonts w:ascii="Arial" w:eastAsia="Times New Roman" w:hAnsi="Arial" w:cs="Arial"/>
          <w:i/>
          <w:iCs/>
          <w:kern w:val="0"/>
          <w:sz w:val="20"/>
          <w:szCs w:val="20"/>
          <w:highlight w:val="yellow"/>
          <w:lang w:eastAsia="en-IN"/>
          <w14:ligatures w14:val="none"/>
        </w:rPr>
        <w:t>Energy and Buildings</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49</w:t>
      </w:r>
      <w:r w:rsidRPr="00D11F16">
        <w:rPr>
          <w:rFonts w:ascii="Arial" w:eastAsia="Times New Roman" w:hAnsi="Arial" w:cs="Arial"/>
          <w:kern w:val="0"/>
          <w:sz w:val="20"/>
          <w:szCs w:val="20"/>
          <w:highlight w:val="yellow"/>
          <w:lang w:eastAsia="en-IN"/>
          <w14:ligatures w14:val="none"/>
        </w:rPr>
        <w:t>, 50-61.</w:t>
      </w:r>
    </w:p>
    <w:p w14:paraId="5E4404BD"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Prudnikova</w:t>
      </w:r>
      <w:proofErr w:type="spellEnd"/>
      <w:r w:rsidRPr="00D11F16">
        <w:rPr>
          <w:rFonts w:ascii="Arial" w:hAnsi="Arial" w:cs="Arial"/>
          <w:sz w:val="20"/>
          <w:szCs w:val="20"/>
          <w:highlight w:val="yellow"/>
        </w:rPr>
        <w:t xml:space="preserve">, S. V., </w:t>
      </w:r>
      <w:proofErr w:type="spellStart"/>
      <w:r w:rsidRPr="00D11F16">
        <w:rPr>
          <w:rFonts w:ascii="Arial" w:hAnsi="Arial" w:cs="Arial"/>
          <w:sz w:val="20"/>
          <w:szCs w:val="20"/>
          <w:highlight w:val="yellow"/>
        </w:rPr>
        <w:t>Menzianova</w:t>
      </w:r>
      <w:proofErr w:type="spellEnd"/>
      <w:r w:rsidRPr="00D11F16">
        <w:rPr>
          <w:rFonts w:ascii="Arial" w:hAnsi="Arial" w:cs="Arial"/>
          <w:sz w:val="20"/>
          <w:szCs w:val="20"/>
          <w:highlight w:val="yellow"/>
        </w:rPr>
        <w:t xml:space="preserve">, N. G., </w:t>
      </w:r>
      <w:proofErr w:type="spellStart"/>
      <w:r w:rsidRPr="00D11F16">
        <w:rPr>
          <w:rFonts w:ascii="Arial" w:hAnsi="Arial" w:cs="Arial"/>
          <w:sz w:val="20"/>
          <w:szCs w:val="20"/>
          <w:highlight w:val="yellow"/>
        </w:rPr>
        <w:t>Pyatina</w:t>
      </w:r>
      <w:proofErr w:type="spellEnd"/>
      <w:r w:rsidRPr="00D11F16">
        <w:rPr>
          <w:rFonts w:ascii="Arial" w:hAnsi="Arial" w:cs="Arial"/>
          <w:sz w:val="20"/>
          <w:szCs w:val="20"/>
          <w:highlight w:val="yellow"/>
        </w:rPr>
        <w:t xml:space="preserve">, S. A., </w:t>
      </w:r>
      <w:proofErr w:type="spellStart"/>
      <w:r w:rsidRPr="00D11F16">
        <w:rPr>
          <w:rFonts w:ascii="Arial" w:hAnsi="Arial" w:cs="Arial"/>
          <w:sz w:val="20"/>
          <w:szCs w:val="20"/>
          <w:highlight w:val="yellow"/>
        </w:rPr>
        <w:t>Streltsova</w:t>
      </w:r>
      <w:proofErr w:type="spellEnd"/>
      <w:r w:rsidRPr="00D11F16">
        <w:rPr>
          <w:rFonts w:ascii="Arial" w:hAnsi="Arial" w:cs="Arial"/>
          <w:sz w:val="20"/>
          <w:szCs w:val="20"/>
          <w:highlight w:val="yellow"/>
        </w:rPr>
        <w:t xml:space="preserve">, N. V., Thomas, S., &amp; </w:t>
      </w:r>
      <w:proofErr w:type="spellStart"/>
      <w:r w:rsidRPr="00D11F16">
        <w:rPr>
          <w:rFonts w:ascii="Arial" w:hAnsi="Arial" w:cs="Arial"/>
          <w:sz w:val="20"/>
          <w:szCs w:val="20"/>
          <w:highlight w:val="yellow"/>
        </w:rPr>
        <w:t>Volova</w:t>
      </w:r>
      <w:proofErr w:type="spellEnd"/>
      <w:r w:rsidRPr="00D11F16">
        <w:rPr>
          <w:rFonts w:ascii="Arial" w:hAnsi="Arial" w:cs="Arial"/>
          <w:sz w:val="20"/>
          <w:szCs w:val="20"/>
          <w:highlight w:val="yellow"/>
        </w:rPr>
        <w:t>, T. G. (2023). Fungicidal activity of slow-release formulations of tebuconazole and epoxiconazole to control root rot pathogens of cereal crops. </w:t>
      </w:r>
      <w:r w:rsidRPr="00D11F16">
        <w:rPr>
          <w:rFonts w:ascii="Arial" w:hAnsi="Arial" w:cs="Arial"/>
          <w:i/>
          <w:iCs/>
          <w:sz w:val="20"/>
          <w:szCs w:val="20"/>
          <w:highlight w:val="yellow"/>
        </w:rPr>
        <w:t>Physiological and Molecular Plant Pathology</w:t>
      </w:r>
      <w:r w:rsidRPr="00D11F16">
        <w:rPr>
          <w:rFonts w:ascii="Arial" w:hAnsi="Arial" w:cs="Arial"/>
          <w:sz w:val="20"/>
          <w:szCs w:val="20"/>
          <w:highlight w:val="yellow"/>
        </w:rPr>
        <w:t>, </w:t>
      </w:r>
      <w:r w:rsidRPr="00D11F16">
        <w:rPr>
          <w:rFonts w:ascii="Arial" w:hAnsi="Arial" w:cs="Arial"/>
          <w:i/>
          <w:iCs/>
          <w:sz w:val="20"/>
          <w:szCs w:val="20"/>
          <w:highlight w:val="yellow"/>
        </w:rPr>
        <w:t>128</w:t>
      </w:r>
      <w:r w:rsidRPr="00D11F16">
        <w:rPr>
          <w:rFonts w:ascii="Arial" w:hAnsi="Arial" w:cs="Arial"/>
          <w:sz w:val="20"/>
          <w:szCs w:val="20"/>
          <w:highlight w:val="yellow"/>
        </w:rPr>
        <w:t>, 102166.</w:t>
      </w:r>
    </w:p>
    <w:p w14:paraId="7276B1A8"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proofErr w:type="spellStart"/>
      <w:r w:rsidRPr="00D11F16">
        <w:rPr>
          <w:rFonts w:ascii="Arial" w:eastAsia="Times New Roman" w:hAnsi="Arial" w:cs="Arial"/>
          <w:kern w:val="0"/>
          <w:sz w:val="20"/>
          <w:szCs w:val="20"/>
          <w:highlight w:val="yellow"/>
          <w:lang w:eastAsia="en-IN"/>
          <w14:ligatures w14:val="none"/>
        </w:rPr>
        <w:t>Rajan</w:t>
      </w:r>
      <w:proofErr w:type="spellEnd"/>
      <w:r w:rsidRPr="00D11F16">
        <w:rPr>
          <w:rFonts w:ascii="Arial" w:eastAsia="Times New Roman" w:hAnsi="Arial" w:cs="Arial"/>
          <w:kern w:val="0"/>
          <w:sz w:val="20"/>
          <w:szCs w:val="20"/>
          <w:highlight w:val="yellow"/>
          <w:lang w:eastAsia="en-IN"/>
          <w14:ligatures w14:val="none"/>
        </w:rPr>
        <w:t>, R., Menon, A., &amp; Nair, P. (2020). Leaf spot diseases in Kerala’s ornamental crops: Fungal pathogens and management. Journal of Plant Pathology and Microbiology, 11(2), 112-119.</w:t>
      </w:r>
    </w:p>
    <w:p w14:paraId="4E8A628E"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 xml:space="preserve">Ramachandran, S., Prakash, T., &amp; Nair, V. (2021). Biological control of whiteflies in floral nurseries using </w:t>
      </w:r>
      <w:proofErr w:type="spellStart"/>
      <w:r w:rsidRPr="00D11F16">
        <w:rPr>
          <w:rFonts w:ascii="Arial" w:eastAsia="Times New Roman" w:hAnsi="Arial" w:cs="Arial"/>
          <w:kern w:val="0"/>
          <w:sz w:val="20"/>
          <w:szCs w:val="20"/>
          <w:highlight w:val="yellow"/>
          <w:lang w:eastAsia="en-IN"/>
          <w14:ligatures w14:val="none"/>
        </w:rPr>
        <w:t>parasitoid</w:t>
      </w:r>
      <w:proofErr w:type="spellEnd"/>
      <w:r w:rsidRPr="00D11F16">
        <w:rPr>
          <w:rFonts w:ascii="Arial" w:eastAsia="Times New Roman" w:hAnsi="Arial" w:cs="Arial"/>
          <w:kern w:val="0"/>
          <w:sz w:val="20"/>
          <w:szCs w:val="20"/>
          <w:highlight w:val="yellow"/>
          <w:lang w:eastAsia="en-IN"/>
          <w14:ligatures w14:val="none"/>
        </w:rPr>
        <w:t xml:space="preserve"> wasps. Journal of Biological Control, 35(4), 201-208.</w:t>
      </w:r>
    </w:p>
    <w:p w14:paraId="2DF3CA69"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proofErr w:type="spellStart"/>
      <w:r w:rsidRPr="00D11F16">
        <w:rPr>
          <w:rFonts w:ascii="Arial" w:eastAsia="Times New Roman" w:hAnsi="Arial" w:cs="Arial"/>
          <w:kern w:val="0"/>
          <w:sz w:val="20"/>
          <w:szCs w:val="20"/>
          <w:highlight w:val="yellow"/>
          <w:lang w:eastAsia="en-IN"/>
          <w14:ligatures w14:val="none"/>
        </w:rPr>
        <w:t>Ramamoorthy</w:t>
      </w:r>
      <w:proofErr w:type="spellEnd"/>
      <w:r w:rsidRPr="00D11F16">
        <w:rPr>
          <w:rFonts w:ascii="Arial" w:eastAsia="Times New Roman" w:hAnsi="Arial" w:cs="Arial"/>
          <w:kern w:val="0"/>
          <w:sz w:val="20"/>
          <w:szCs w:val="20"/>
          <w:highlight w:val="yellow"/>
          <w:lang w:eastAsia="en-IN"/>
          <w14:ligatures w14:val="none"/>
        </w:rPr>
        <w:t xml:space="preserve">, P., </w:t>
      </w:r>
      <w:proofErr w:type="spellStart"/>
      <w:r w:rsidRPr="00D11F16">
        <w:rPr>
          <w:rFonts w:ascii="Arial" w:eastAsia="Times New Roman" w:hAnsi="Arial" w:cs="Arial"/>
          <w:kern w:val="0"/>
          <w:sz w:val="20"/>
          <w:szCs w:val="20"/>
          <w:highlight w:val="yellow"/>
          <w:lang w:eastAsia="en-IN"/>
          <w14:ligatures w14:val="none"/>
        </w:rPr>
        <w:t>Sathiyamurthi</w:t>
      </w:r>
      <w:proofErr w:type="spellEnd"/>
      <w:r w:rsidRPr="00D11F16">
        <w:rPr>
          <w:rFonts w:ascii="Arial" w:eastAsia="Times New Roman" w:hAnsi="Arial" w:cs="Arial"/>
          <w:kern w:val="0"/>
          <w:sz w:val="20"/>
          <w:szCs w:val="20"/>
          <w:highlight w:val="yellow"/>
          <w:lang w:eastAsia="en-IN"/>
          <w14:ligatures w14:val="none"/>
        </w:rPr>
        <w:t xml:space="preserve">, S., Pavithra, A., </w:t>
      </w:r>
      <w:proofErr w:type="spellStart"/>
      <w:r w:rsidRPr="00D11F16">
        <w:rPr>
          <w:rFonts w:ascii="Arial" w:eastAsia="Times New Roman" w:hAnsi="Arial" w:cs="Arial"/>
          <w:kern w:val="0"/>
          <w:sz w:val="20"/>
          <w:szCs w:val="20"/>
          <w:highlight w:val="yellow"/>
          <w:lang w:eastAsia="en-IN"/>
          <w14:ligatures w14:val="none"/>
        </w:rPr>
        <w:t>Sivasakthi</w:t>
      </w:r>
      <w:proofErr w:type="spellEnd"/>
      <w:r w:rsidRPr="00D11F16">
        <w:rPr>
          <w:rFonts w:ascii="Arial" w:eastAsia="Times New Roman" w:hAnsi="Arial" w:cs="Arial"/>
          <w:kern w:val="0"/>
          <w:sz w:val="20"/>
          <w:szCs w:val="20"/>
          <w:highlight w:val="yellow"/>
          <w:lang w:eastAsia="en-IN"/>
          <w14:ligatures w14:val="none"/>
        </w:rPr>
        <w:t>, M., &amp; Praveen Kumar, S. (2024). Impact of Major Nutrients Fertilizer Application on Soil Pollution and Management Measures. In </w:t>
      </w:r>
      <w:r w:rsidRPr="00D11F16">
        <w:rPr>
          <w:rFonts w:ascii="Arial" w:eastAsia="Times New Roman" w:hAnsi="Arial" w:cs="Arial"/>
          <w:i/>
          <w:iCs/>
          <w:kern w:val="0"/>
          <w:sz w:val="20"/>
          <w:szCs w:val="20"/>
          <w:highlight w:val="yellow"/>
          <w:lang w:eastAsia="en-IN"/>
          <w14:ligatures w14:val="none"/>
        </w:rPr>
        <w:t>Soil, Water Pollution and Mitigation Strategies: A Spatial Approach</w:t>
      </w:r>
      <w:r w:rsidRPr="00D11F16">
        <w:rPr>
          <w:rFonts w:ascii="Arial" w:eastAsia="Times New Roman" w:hAnsi="Arial" w:cs="Arial"/>
          <w:kern w:val="0"/>
          <w:sz w:val="20"/>
          <w:szCs w:val="20"/>
          <w:highlight w:val="yellow"/>
          <w:lang w:eastAsia="en-IN"/>
          <w14:ligatures w14:val="none"/>
        </w:rPr>
        <w:t> (pp. 301-314). Cham: Springer Nature Switzerland.</w:t>
      </w:r>
    </w:p>
    <w:p w14:paraId="7CA8FC67"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Rather, G. A., Verma, R., Sharma, B., Sharma, A., &amp; Kumar, A. (2022). Tissue culture: a perpetual source for the conservation of medicinally important endangered plant species. In </w:t>
      </w:r>
      <w:r w:rsidRPr="00D11F16">
        <w:rPr>
          <w:rFonts w:ascii="Arial" w:eastAsia="Times New Roman" w:hAnsi="Arial" w:cs="Arial"/>
          <w:i/>
          <w:iCs/>
          <w:kern w:val="0"/>
          <w:sz w:val="20"/>
          <w:szCs w:val="20"/>
          <w:highlight w:val="yellow"/>
          <w:lang w:eastAsia="en-IN"/>
          <w14:ligatures w14:val="none"/>
        </w:rPr>
        <w:t>Advances in plant tissue culture</w:t>
      </w:r>
      <w:r w:rsidRPr="00D11F16">
        <w:rPr>
          <w:rFonts w:ascii="Arial" w:eastAsia="Times New Roman" w:hAnsi="Arial" w:cs="Arial"/>
          <w:kern w:val="0"/>
          <w:sz w:val="20"/>
          <w:szCs w:val="20"/>
          <w:highlight w:val="yellow"/>
          <w:lang w:eastAsia="en-IN"/>
          <w14:ligatures w14:val="none"/>
        </w:rPr>
        <w:t> (pp. 373-393). Academic Press.</w:t>
      </w:r>
    </w:p>
    <w:p w14:paraId="79E7E896"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 xml:space="preserve">Rijn, P., </w:t>
      </w:r>
      <w:proofErr w:type="spellStart"/>
      <w:r w:rsidRPr="00D11F16">
        <w:rPr>
          <w:rFonts w:ascii="Arial" w:eastAsia="Times New Roman" w:hAnsi="Arial" w:cs="Arial"/>
          <w:kern w:val="0"/>
          <w:sz w:val="20"/>
          <w:szCs w:val="20"/>
          <w:highlight w:val="yellow"/>
          <w:lang w:eastAsia="en-IN"/>
          <w14:ligatures w14:val="none"/>
        </w:rPr>
        <w:t>Mollema</w:t>
      </w:r>
      <w:proofErr w:type="spellEnd"/>
      <w:r w:rsidRPr="00D11F16">
        <w:rPr>
          <w:rFonts w:ascii="Arial" w:eastAsia="Times New Roman" w:hAnsi="Arial" w:cs="Arial"/>
          <w:kern w:val="0"/>
          <w:sz w:val="20"/>
          <w:szCs w:val="20"/>
          <w:highlight w:val="yellow"/>
          <w:lang w:eastAsia="en-IN"/>
          <w14:ligatures w14:val="none"/>
        </w:rPr>
        <w:t xml:space="preserve">, C., &amp; </w:t>
      </w:r>
      <w:proofErr w:type="spellStart"/>
      <w:r w:rsidRPr="00D11F16">
        <w:rPr>
          <w:rFonts w:ascii="Arial" w:eastAsia="Times New Roman" w:hAnsi="Arial" w:cs="Arial"/>
          <w:kern w:val="0"/>
          <w:sz w:val="20"/>
          <w:szCs w:val="20"/>
          <w:highlight w:val="yellow"/>
          <w:lang w:eastAsia="en-IN"/>
          <w14:ligatures w14:val="none"/>
        </w:rPr>
        <w:t>Steenhuis</w:t>
      </w:r>
      <w:r w:rsidRPr="00D11F16">
        <w:rPr>
          <w:rFonts w:ascii="Cambria Math" w:eastAsia="Times New Roman" w:hAnsi="Cambria Math" w:cs="Cambria Math"/>
          <w:kern w:val="0"/>
          <w:sz w:val="20"/>
          <w:szCs w:val="20"/>
          <w:highlight w:val="yellow"/>
          <w:lang w:eastAsia="en-IN"/>
          <w14:ligatures w14:val="none"/>
        </w:rPr>
        <w:t>‐</w:t>
      </w:r>
      <w:r w:rsidRPr="00D11F16">
        <w:rPr>
          <w:rFonts w:ascii="Arial" w:eastAsia="Times New Roman" w:hAnsi="Arial" w:cs="Arial"/>
          <w:kern w:val="0"/>
          <w:sz w:val="20"/>
          <w:szCs w:val="20"/>
          <w:highlight w:val="yellow"/>
          <w:lang w:eastAsia="en-IN"/>
          <w14:ligatures w14:val="none"/>
        </w:rPr>
        <w:t>Broers</w:t>
      </w:r>
      <w:proofErr w:type="spellEnd"/>
      <w:r w:rsidRPr="00D11F16">
        <w:rPr>
          <w:rFonts w:ascii="Arial" w:eastAsia="Times New Roman" w:hAnsi="Arial" w:cs="Arial"/>
          <w:kern w:val="0"/>
          <w:sz w:val="20"/>
          <w:szCs w:val="20"/>
          <w:highlight w:val="yellow"/>
          <w:lang w:eastAsia="en-IN"/>
          <w14:ligatures w14:val="none"/>
        </w:rPr>
        <w:t xml:space="preserve">, G. (1995). Comparative life history studies of </w:t>
      </w:r>
      <w:proofErr w:type="spellStart"/>
      <w:r w:rsidRPr="00D11F16">
        <w:rPr>
          <w:rFonts w:ascii="Arial" w:eastAsia="Times New Roman" w:hAnsi="Arial" w:cs="Arial"/>
          <w:kern w:val="0"/>
          <w:sz w:val="20"/>
          <w:szCs w:val="20"/>
          <w:highlight w:val="yellow"/>
          <w:lang w:eastAsia="en-IN"/>
          <w14:ligatures w14:val="none"/>
        </w:rPr>
        <w:t>Frankliniella</w:t>
      </w:r>
      <w:proofErr w:type="spellEnd"/>
      <w:r w:rsidRPr="00D11F16">
        <w:rPr>
          <w:rFonts w:ascii="Arial" w:eastAsia="Times New Roman" w:hAnsi="Arial" w:cs="Arial"/>
          <w:kern w:val="0"/>
          <w:sz w:val="20"/>
          <w:szCs w:val="20"/>
          <w:highlight w:val="yellow"/>
          <w:lang w:eastAsia="en-IN"/>
          <w14:ligatures w14:val="none"/>
        </w:rPr>
        <w:t xml:space="preserve"> </w:t>
      </w:r>
      <w:proofErr w:type="spellStart"/>
      <w:r w:rsidRPr="00D11F16">
        <w:rPr>
          <w:rFonts w:ascii="Arial" w:eastAsia="Times New Roman" w:hAnsi="Arial" w:cs="Arial"/>
          <w:kern w:val="0"/>
          <w:sz w:val="20"/>
          <w:szCs w:val="20"/>
          <w:highlight w:val="yellow"/>
          <w:lang w:eastAsia="en-IN"/>
          <w14:ligatures w14:val="none"/>
        </w:rPr>
        <w:t>occidentalis</w:t>
      </w:r>
      <w:proofErr w:type="spellEnd"/>
      <w:r w:rsidRPr="00D11F16">
        <w:rPr>
          <w:rFonts w:ascii="Arial" w:eastAsia="Times New Roman" w:hAnsi="Arial" w:cs="Arial"/>
          <w:kern w:val="0"/>
          <w:sz w:val="20"/>
          <w:szCs w:val="20"/>
          <w:highlight w:val="yellow"/>
          <w:lang w:eastAsia="en-IN"/>
          <w14:ligatures w14:val="none"/>
        </w:rPr>
        <w:t xml:space="preserve"> and </w:t>
      </w:r>
      <w:proofErr w:type="spellStart"/>
      <w:r w:rsidRPr="00D11F16">
        <w:rPr>
          <w:rFonts w:ascii="Arial" w:eastAsia="Times New Roman" w:hAnsi="Arial" w:cs="Arial"/>
          <w:kern w:val="0"/>
          <w:sz w:val="20"/>
          <w:szCs w:val="20"/>
          <w:highlight w:val="yellow"/>
          <w:lang w:eastAsia="en-IN"/>
          <w14:ligatures w14:val="none"/>
        </w:rPr>
        <w:t>Thrips</w:t>
      </w:r>
      <w:proofErr w:type="spellEnd"/>
      <w:r w:rsidRPr="00D11F16">
        <w:rPr>
          <w:rFonts w:ascii="Arial" w:eastAsia="Times New Roman" w:hAnsi="Arial" w:cs="Arial"/>
          <w:kern w:val="0"/>
          <w:sz w:val="20"/>
          <w:szCs w:val="20"/>
          <w:highlight w:val="yellow"/>
          <w:lang w:eastAsia="en-IN"/>
          <w14:ligatures w14:val="none"/>
        </w:rPr>
        <w:t xml:space="preserve"> </w:t>
      </w:r>
      <w:proofErr w:type="spellStart"/>
      <w:r w:rsidRPr="00D11F16">
        <w:rPr>
          <w:rFonts w:ascii="Arial" w:eastAsia="Times New Roman" w:hAnsi="Arial" w:cs="Arial"/>
          <w:kern w:val="0"/>
          <w:sz w:val="20"/>
          <w:szCs w:val="20"/>
          <w:highlight w:val="yellow"/>
          <w:lang w:eastAsia="en-IN"/>
          <w14:ligatures w14:val="none"/>
        </w:rPr>
        <w:t>tabaci</w:t>
      </w:r>
      <w:proofErr w:type="spellEnd"/>
      <w:r w:rsidRPr="00D11F16">
        <w:rPr>
          <w:rFonts w:ascii="Arial" w:eastAsia="Times New Roman" w:hAnsi="Arial" w:cs="Arial"/>
          <w:kern w:val="0"/>
          <w:sz w:val="20"/>
          <w:szCs w:val="20"/>
          <w:highlight w:val="yellow"/>
          <w:lang w:eastAsia="en-IN"/>
          <w14:ligatures w14:val="none"/>
        </w:rPr>
        <w:t xml:space="preserve"> (Thysanoptera: Thripidae) on cucumber. Bulletin of Entomological Research, 85(4), 513-520.</w:t>
      </w:r>
    </w:p>
    <w:p w14:paraId="50D2B55B"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Serrão</w:t>
      </w:r>
      <w:proofErr w:type="spellEnd"/>
      <w:r w:rsidRPr="00D11F16">
        <w:rPr>
          <w:rFonts w:ascii="Arial" w:hAnsi="Arial" w:cs="Arial"/>
          <w:sz w:val="20"/>
          <w:szCs w:val="20"/>
          <w:highlight w:val="yellow"/>
        </w:rPr>
        <w:t xml:space="preserve">, J. E., Plata-Rueda, A., Martínez, L. C., &amp; </w:t>
      </w:r>
      <w:proofErr w:type="spellStart"/>
      <w:r w:rsidRPr="00D11F16">
        <w:rPr>
          <w:rFonts w:ascii="Arial" w:hAnsi="Arial" w:cs="Arial"/>
          <w:sz w:val="20"/>
          <w:szCs w:val="20"/>
          <w:highlight w:val="yellow"/>
        </w:rPr>
        <w:t>Zanuncio</w:t>
      </w:r>
      <w:proofErr w:type="spellEnd"/>
      <w:r w:rsidRPr="00D11F16">
        <w:rPr>
          <w:rFonts w:ascii="Arial" w:hAnsi="Arial" w:cs="Arial"/>
          <w:sz w:val="20"/>
          <w:szCs w:val="20"/>
          <w:highlight w:val="yellow"/>
        </w:rPr>
        <w:t>, J. C. (2022). Side-effects of pesticides on non-target insects in agriculture: A mini-review. </w:t>
      </w:r>
      <w:r w:rsidRPr="00D11F16">
        <w:rPr>
          <w:rFonts w:ascii="Arial" w:hAnsi="Arial" w:cs="Arial"/>
          <w:i/>
          <w:iCs/>
          <w:sz w:val="20"/>
          <w:szCs w:val="20"/>
          <w:highlight w:val="yellow"/>
        </w:rPr>
        <w:t>The Science of Nature</w:t>
      </w:r>
      <w:r w:rsidRPr="00D11F16">
        <w:rPr>
          <w:rFonts w:ascii="Arial" w:hAnsi="Arial" w:cs="Arial"/>
          <w:sz w:val="20"/>
          <w:szCs w:val="20"/>
          <w:highlight w:val="yellow"/>
        </w:rPr>
        <w:t>, </w:t>
      </w:r>
      <w:r w:rsidRPr="00D11F16">
        <w:rPr>
          <w:rFonts w:ascii="Arial" w:hAnsi="Arial" w:cs="Arial"/>
          <w:i/>
          <w:iCs/>
          <w:sz w:val="20"/>
          <w:szCs w:val="20"/>
          <w:highlight w:val="yellow"/>
        </w:rPr>
        <w:t>109</w:t>
      </w:r>
      <w:r w:rsidRPr="00D11F16">
        <w:rPr>
          <w:rFonts w:ascii="Arial" w:hAnsi="Arial" w:cs="Arial"/>
          <w:sz w:val="20"/>
          <w:szCs w:val="20"/>
          <w:highlight w:val="yellow"/>
        </w:rPr>
        <w:t>(2), 17.</w:t>
      </w:r>
    </w:p>
    <w:p w14:paraId="3E844F6E"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Shingote</w:t>
      </w:r>
      <w:proofErr w:type="spellEnd"/>
      <w:r w:rsidRPr="00D11F16">
        <w:rPr>
          <w:rFonts w:ascii="Arial" w:hAnsi="Arial" w:cs="Arial"/>
          <w:sz w:val="20"/>
          <w:szCs w:val="20"/>
          <w:highlight w:val="yellow"/>
        </w:rPr>
        <w:t xml:space="preserve">, P. R., </w:t>
      </w:r>
      <w:proofErr w:type="spellStart"/>
      <w:r w:rsidRPr="00D11F16">
        <w:rPr>
          <w:rFonts w:ascii="Arial" w:hAnsi="Arial" w:cs="Arial"/>
          <w:sz w:val="20"/>
          <w:szCs w:val="20"/>
          <w:highlight w:val="yellow"/>
        </w:rPr>
        <w:t>Wasule</w:t>
      </w:r>
      <w:proofErr w:type="spellEnd"/>
      <w:r w:rsidRPr="00D11F16">
        <w:rPr>
          <w:rFonts w:ascii="Arial" w:hAnsi="Arial" w:cs="Arial"/>
          <w:sz w:val="20"/>
          <w:szCs w:val="20"/>
          <w:highlight w:val="yellow"/>
        </w:rPr>
        <w:t xml:space="preserve">, D. L., Parma, V. S., Holkar, S. K., </w:t>
      </w:r>
      <w:proofErr w:type="spellStart"/>
      <w:r w:rsidRPr="00D11F16">
        <w:rPr>
          <w:rFonts w:ascii="Arial" w:hAnsi="Arial" w:cs="Arial"/>
          <w:sz w:val="20"/>
          <w:szCs w:val="20"/>
          <w:highlight w:val="yellow"/>
        </w:rPr>
        <w:t>Karkute</w:t>
      </w:r>
      <w:proofErr w:type="spellEnd"/>
      <w:r w:rsidRPr="00D11F16">
        <w:rPr>
          <w:rFonts w:ascii="Arial" w:hAnsi="Arial" w:cs="Arial"/>
          <w:sz w:val="20"/>
          <w:szCs w:val="20"/>
          <w:highlight w:val="yellow"/>
        </w:rPr>
        <w:t xml:space="preserve">, S. G., </w:t>
      </w:r>
      <w:proofErr w:type="spellStart"/>
      <w:r w:rsidRPr="00D11F16">
        <w:rPr>
          <w:rFonts w:ascii="Arial" w:hAnsi="Arial" w:cs="Arial"/>
          <w:sz w:val="20"/>
          <w:szCs w:val="20"/>
          <w:highlight w:val="yellow"/>
        </w:rPr>
        <w:t>Parlawar</w:t>
      </w:r>
      <w:proofErr w:type="spellEnd"/>
      <w:r w:rsidRPr="00D11F16">
        <w:rPr>
          <w:rFonts w:ascii="Arial" w:hAnsi="Arial" w:cs="Arial"/>
          <w:sz w:val="20"/>
          <w:szCs w:val="20"/>
          <w:highlight w:val="yellow"/>
        </w:rPr>
        <w:t xml:space="preserve">, N. D., &amp; Senanayake, D. M. J. B. (2022). An overview of chili leaf curl disease: Molecular mechanisms, </w:t>
      </w:r>
      <w:r w:rsidRPr="00D11F16">
        <w:rPr>
          <w:rFonts w:ascii="Arial" w:hAnsi="Arial" w:cs="Arial"/>
          <w:sz w:val="20"/>
          <w:szCs w:val="20"/>
          <w:highlight w:val="yellow"/>
        </w:rPr>
        <w:lastRenderedPageBreak/>
        <w:t>impact, challenges, and disease management strategies in Indian subcontinent. </w:t>
      </w:r>
      <w:r w:rsidRPr="00D11F16">
        <w:rPr>
          <w:rFonts w:ascii="Arial" w:hAnsi="Arial" w:cs="Arial"/>
          <w:i/>
          <w:iCs/>
          <w:sz w:val="20"/>
          <w:szCs w:val="20"/>
          <w:highlight w:val="yellow"/>
        </w:rPr>
        <w:t>Frontiers in Microbiology</w:t>
      </w:r>
      <w:r w:rsidRPr="00D11F16">
        <w:rPr>
          <w:rFonts w:ascii="Arial" w:hAnsi="Arial" w:cs="Arial"/>
          <w:sz w:val="20"/>
          <w:szCs w:val="20"/>
          <w:highlight w:val="yellow"/>
        </w:rPr>
        <w:t>, </w:t>
      </w:r>
      <w:r w:rsidRPr="00D11F16">
        <w:rPr>
          <w:rFonts w:ascii="Arial" w:hAnsi="Arial" w:cs="Arial"/>
          <w:i/>
          <w:iCs/>
          <w:sz w:val="20"/>
          <w:szCs w:val="20"/>
          <w:highlight w:val="yellow"/>
        </w:rPr>
        <w:t>13</w:t>
      </w:r>
      <w:r w:rsidRPr="00D11F16">
        <w:rPr>
          <w:rFonts w:ascii="Arial" w:hAnsi="Arial" w:cs="Arial"/>
          <w:sz w:val="20"/>
          <w:szCs w:val="20"/>
          <w:highlight w:val="yellow"/>
        </w:rPr>
        <w:t>, 899512.</w:t>
      </w:r>
    </w:p>
    <w:p w14:paraId="74E813F6"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Singh, P., &amp; Verma, N. (2020). Vegetable nursery management: Techniques and practices. Indian Journal of Horticulture, 77(1), 44-50.</w:t>
      </w:r>
    </w:p>
    <w:p w14:paraId="0652BEE1"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r w:rsidRPr="00D11F16">
        <w:rPr>
          <w:rFonts w:ascii="Arial" w:hAnsi="Arial" w:cs="Arial"/>
          <w:sz w:val="20"/>
          <w:szCs w:val="20"/>
          <w:highlight w:val="yellow"/>
        </w:rPr>
        <w:t>Singh, R., &amp; Singh, G. (2021). Aphids. </w:t>
      </w:r>
      <w:r w:rsidRPr="00D11F16">
        <w:rPr>
          <w:rFonts w:ascii="Arial" w:hAnsi="Arial" w:cs="Arial"/>
          <w:i/>
          <w:iCs/>
          <w:sz w:val="20"/>
          <w:szCs w:val="20"/>
          <w:highlight w:val="yellow"/>
        </w:rPr>
        <w:t>Polyphagous pests of crops</w:t>
      </w:r>
      <w:r w:rsidRPr="00D11F16">
        <w:rPr>
          <w:rFonts w:ascii="Arial" w:hAnsi="Arial" w:cs="Arial"/>
          <w:sz w:val="20"/>
          <w:szCs w:val="20"/>
          <w:highlight w:val="yellow"/>
        </w:rPr>
        <w:t>, 105-182.</w:t>
      </w:r>
    </w:p>
    <w:p w14:paraId="2F71709E"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Snyder, C. S. (2017). Enhanced nitrogen fertiliser technologies support the ‘4R’concept to optimise crop production and minimise environmental losses. </w:t>
      </w:r>
      <w:r w:rsidRPr="00D11F16">
        <w:rPr>
          <w:rFonts w:ascii="Arial" w:eastAsia="Times New Roman" w:hAnsi="Arial" w:cs="Arial"/>
          <w:i/>
          <w:iCs/>
          <w:kern w:val="0"/>
          <w:sz w:val="20"/>
          <w:szCs w:val="20"/>
          <w:highlight w:val="yellow"/>
          <w:lang w:eastAsia="en-IN"/>
          <w14:ligatures w14:val="none"/>
        </w:rPr>
        <w:t>Soil Research</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55</w:t>
      </w:r>
      <w:r w:rsidRPr="00D11F16">
        <w:rPr>
          <w:rFonts w:ascii="Arial" w:eastAsia="Times New Roman" w:hAnsi="Arial" w:cs="Arial"/>
          <w:kern w:val="0"/>
          <w:sz w:val="20"/>
          <w:szCs w:val="20"/>
          <w:highlight w:val="yellow"/>
          <w:lang w:eastAsia="en-IN"/>
          <w14:ligatures w14:val="none"/>
        </w:rPr>
        <w:t>(6), 463-472.</w:t>
      </w:r>
    </w:p>
    <w:p w14:paraId="2DFA1DB0"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Song, X., Liu, M., Wu, D., Griffiths, B. S., Jiao, J., Li, H., &amp; Hu, F. (2015). Interaction matters: Synergy between vermicompost and PGPR agents improves soil quality, crop quality and crop yield in the field. </w:t>
      </w:r>
      <w:r w:rsidRPr="00D11F16">
        <w:rPr>
          <w:rFonts w:ascii="Arial" w:eastAsia="Times New Roman" w:hAnsi="Arial" w:cs="Arial"/>
          <w:i/>
          <w:iCs/>
          <w:kern w:val="0"/>
          <w:sz w:val="20"/>
          <w:szCs w:val="20"/>
          <w:highlight w:val="yellow"/>
          <w:lang w:eastAsia="en-IN"/>
          <w14:ligatures w14:val="none"/>
        </w:rPr>
        <w:t>Applied Soil Ecology</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89</w:t>
      </w:r>
      <w:r w:rsidRPr="00D11F16">
        <w:rPr>
          <w:rFonts w:ascii="Arial" w:eastAsia="Times New Roman" w:hAnsi="Arial" w:cs="Arial"/>
          <w:kern w:val="0"/>
          <w:sz w:val="20"/>
          <w:szCs w:val="20"/>
          <w:highlight w:val="yellow"/>
          <w:lang w:eastAsia="en-IN"/>
          <w14:ligatures w14:val="none"/>
        </w:rPr>
        <w:t>, 25-34.</w:t>
      </w:r>
    </w:p>
    <w:p w14:paraId="2DC9E80E"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proofErr w:type="spellStart"/>
      <w:r w:rsidRPr="00D11F16">
        <w:rPr>
          <w:rFonts w:ascii="Arial" w:eastAsia="Times New Roman" w:hAnsi="Arial" w:cs="Arial"/>
          <w:kern w:val="0"/>
          <w:sz w:val="20"/>
          <w:szCs w:val="20"/>
          <w:highlight w:val="yellow"/>
          <w:lang w:eastAsia="en-IN"/>
          <w14:ligatures w14:val="none"/>
        </w:rPr>
        <w:t>Tratwal</w:t>
      </w:r>
      <w:proofErr w:type="spellEnd"/>
      <w:r w:rsidRPr="00D11F16">
        <w:rPr>
          <w:rFonts w:ascii="Arial" w:eastAsia="Times New Roman" w:hAnsi="Arial" w:cs="Arial"/>
          <w:kern w:val="0"/>
          <w:sz w:val="20"/>
          <w:szCs w:val="20"/>
          <w:highlight w:val="yellow"/>
          <w:lang w:eastAsia="en-IN"/>
          <w14:ligatures w14:val="none"/>
        </w:rPr>
        <w:t>, A., &amp; Baran, M. (2018). The role of guidelines in pest monitoring and warning systems in integrated pest management. </w:t>
      </w:r>
      <w:r w:rsidRPr="00D11F16">
        <w:rPr>
          <w:rFonts w:ascii="Arial" w:eastAsia="Times New Roman" w:hAnsi="Arial" w:cs="Arial"/>
          <w:i/>
          <w:iCs/>
          <w:kern w:val="0"/>
          <w:sz w:val="20"/>
          <w:szCs w:val="20"/>
          <w:highlight w:val="yellow"/>
          <w:lang w:eastAsia="en-IN"/>
          <w14:ligatures w14:val="none"/>
        </w:rPr>
        <w:t>Journal of Plant Protection Research</w:t>
      </w:r>
      <w:r w:rsidRPr="00D11F16">
        <w:rPr>
          <w:rFonts w:ascii="Arial" w:eastAsia="Times New Roman" w:hAnsi="Arial" w:cs="Arial"/>
          <w:kern w:val="0"/>
          <w:sz w:val="20"/>
          <w:szCs w:val="20"/>
          <w:highlight w:val="yellow"/>
          <w:lang w:eastAsia="en-IN"/>
          <w14:ligatures w14:val="none"/>
        </w:rPr>
        <w:t>, 211-214.</w:t>
      </w:r>
    </w:p>
    <w:p w14:paraId="35D822A6" w14:textId="77777777" w:rsidR="00400DE6" w:rsidRPr="00D11F16" w:rsidRDefault="00400DE6" w:rsidP="00400DE6">
      <w:pPr>
        <w:pStyle w:val="NoSpacing"/>
        <w:spacing w:line="276" w:lineRule="auto"/>
        <w:ind w:left="720" w:hanging="720"/>
        <w:jc w:val="both"/>
        <w:rPr>
          <w:rFonts w:ascii="Arial" w:hAnsi="Arial" w:cs="Arial"/>
          <w:sz w:val="20"/>
          <w:szCs w:val="20"/>
          <w:highlight w:val="yellow"/>
        </w:rPr>
      </w:pPr>
      <w:proofErr w:type="spellStart"/>
      <w:r w:rsidRPr="00D11F16">
        <w:rPr>
          <w:rFonts w:ascii="Arial" w:hAnsi="Arial" w:cs="Arial"/>
          <w:sz w:val="20"/>
          <w:szCs w:val="20"/>
          <w:highlight w:val="yellow"/>
        </w:rPr>
        <w:t>Trivellini</w:t>
      </w:r>
      <w:proofErr w:type="spellEnd"/>
      <w:r w:rsidRPr="00D11F16">
        <w:rPr>
          <w:rFonts w:ascii="Arial" w:hAnsi="Arial" w:cs="Arial"/>
          <w:sz w:val="20"/>
          <w:szCs w:val="20"/>
          <w:highlight w:val="yellow"/>
        </w:rPr>
        <w:t>, A., Toscano, S., Romano, D., &amp; Ferrante, A. (2023). LED lighting to produce high-quality ornamental plants. </w:t>
      </w:r>
      <w:r w:rsidRPr="00D11F16">
        <w:rPr>
          <w:rFonts w:ascii="Arial" w:hAnsi="Arial" w:cs="Arial"/>
          <w:i/>
          <w:iCs/>
          <w:sz w:val="20"/>
          <w:szCs w:val="20"/>
          <w:highlight w:val="yellow"/>
        </w:rPr>
        <w:t>Plants</w:t>
      </w:r>
      <w:r w:rsidRPr="00D11F16">
        <w:rPr>
          <w:rFonts w:ascii="Arial" w:hAnsi="Arial" w:cs="Arial"/>
          <w:sz w:val="20"/>
          <w:szCs w:val="20"/>
          <w:highlight w:val="yellow"/>
        </w:rPr>
        <w:t>, </w:t>
      </w:r>
      <w:r w:rsidRPr="00D11F16">
        <w:rPr>
          <w:rFonts w:ascii="Arial" w:hAnsi="Arial" w:cs="Arial"/>
          <w:i/>
          <w:iCs/>
          <w:sz w:val="20"/>
          <w:szCs w:val="20"/>
          <w:highlight w:val="yellow"/>
        </w:rPr>
        <w:t>12</w:t>
      </w:r>
      <w:r w:rsidRPr="00D11F16">
        <w:rPr>
          <w:rFonts w:ascii="Arial" w:hAnsi="Arial" w:cs="Arial"/>
          <w:sz w:val="20"/>
          <w:szCs w:val="20"/>
          <w:highlight w:val="yellow"/>
        </w:rPr>
        <w:t>(8), 1667.</w:t>
      </w:r>
    </w:p>
    <w:p w14:paraId="46D0C562"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 xml:space="preserve">Walters, D. R., </w:t>
      </w:r>
      <w:proofErr w:type="spellStart"/>
      <w:r w:rsidRPr="00D11F16">
        <w:rPr>
          <w:rFonts w:ascii="Arial" w:eastAsia="Times New Roman" w:hAnsi="Arial" w:cs="Arial"/>
          <w:kern w:val="0"/>
          <w:sz w:val="20"/>
          <w:szCs w:val="20"/>
          <w:highlight w:val="yellow"/>
          <w:lang w:eastAsia="en-IN"/>
          <w14:ligatures w14:val="none"/>
        </w:rPr>
        <w:t>Avrova</w:t>
      </w:r>
      <w:proofErr w:type="spellEnd"/>
      <w:r w:rsidRPr="00D11F16">
        <w:rPr>
          <w:rFonts w:ascii="Arial" w:eastAsia="Times New Roman" w:hAnsi="Arial" w:cs="Arial"/>
          <w:kern w:val="0"/>
          <w:sz w:val="20"/>
          <w:szCs w:val="20"/>
          <w:highlight w:val="yellow"/>
          <w:lang w:eastAsia="en-IN"/>
          <w14:ligatures w14:val="none"/>
        </w:rPr>
        <w:t xml:space="preserve">, A., Bingham, I. J., Burnett, F. J., </w:t>
      </w:r>
      <w:proofErr w:type="spellStart"/>
      <w:r w:rsidRPr="00D11F16">
        <w:rPr>
          <w:rFonts w:ascii="Arial" w:eastAsia="Times New Roman" w:hAnsi="Arial" w:cs="Arial"/>
          <w:kern w:val="0"/>
          <w:sz w:val="20"/>
          <w:szCs w:val="20"/>
          <w:highlight w:val="yellow"/>
          <w:lang w:eastAsia="en-IN"/>
          <w14:ligatures w14:val="none"/>
        </w:rPr>
        <w:t>Fountaine</w:t>
      </w:r>
      <w:proofErr w:type="spellEnd"/>
      <w:r w:rsidRPr="00D11F16">
        <w:rPr>
          <w:rFonts w:ascii="Arial" w:eastAsia="Times New Roman" w:hAnsi="Arial" w:cs="Arial"/>
          <w:kern w:val="0"/>
          <w:sz w:val="20"/>
          <w:szCs w:val="20"/>
          <w:highlight w:val="yellow"/>
          <w:lang w:eastAsia="en-IN"/>
          <w14:ligatures w14:val="none"/>
        </w:rPr>
        <w:t xml:space="preserve">, J., </w:t>
      </w:r>
      <w:proofErr w:type="spellStart"/>
      <w:r w:rsidRPr="00D11F16">
        <w:rPr>
          <w:rFonts w:ascii="Arial" w:eastAsia="Times New Roman" w:hAnsi="Arial" w:cs="Arial"/>
          <w:kern w:val="0"/>
          <w:sz w:val="20"/>
          <w:szCs w:val="20"/>
          <w:highlight w:val="yellow"/>
          <w:lang w:eastAsia="en-IN"/>
          <w14:ligatures w14:val="none"/>
        </w:rPr>
        <w:t>Havis</w:t>
      </w:r>
      <w:proofErr w:type="spellEnd"/>
      <w:r w:rsidRPr="00D11F16">
        <w:rPr>
          <w:rFonts w:ascii="Arial" w:eastAsia="Times New Roman" w:hAnsi="Arial" w:cs="Arial"/>
          <w:kern w:val="0"/>
          <w:sz w:val="20"/>
          <w:szCs w:val="20"/>
          <w:highlight w:val="yellow"/>
          <w:lang w:eastAsia="en-IN"/>
          <w14:ligatures w14:val="none"/>
        </w:rPr>
        <w:t>, N. D., ... &amp; Newton, A. C. (2012). Control of foliar diseases in barley: towards an integrated approach. </w:t>
      </w:r>
      <w:r w:rsidRPr="00D11F16">
        <w:rPr>
          <w:rFonts w:ascii="Arial" w:eastAsia="Times New Roman" w:hAnsi="Arial" w:cs="Arial"/>
          <w:i/>
          <w:iCs/>
          <w:kern w:val="0"/>
          <w:sz w:val="20"/>
          <w:szCs w:val="20"/>
          <w:highlight w:val="yellow"/>
          <w:lang w:eastAsia="en-IN"/>
          <w14:ligatures w14:val="none"/>
        </w:rPr>
        <w:t>European Journal of Plant Pathology</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133</w:t>
      </w:r>
      <w:r w:rsidRPr="00D11F16">
        <w:rPr>
          <w:rFonts w:ascii="Arial" w:eastAsia="Times New Roman" w:hAnsi="Arial" w:cs="Arial"/>
          <w:kern w:val="0"/>
          <w:sz w:val="20"/>
          <w:szCs w:val="20"/>
          <w:highlight w:val="yellow"/>
          <w:lang w:eastAsia="en-IN"/>
          <w14:ligatures w14:val="none"/>
        </w:rPr>
        <w:t>, 33-73.</w:t>
      </w:r>
    </w:p>
    <w:p w14:paraId="52310888" w14:textId="77777777" w:rsidR="00400DE6" w:rsidRPr="00D11F16" w:rsidRDefault="00400DE6" w:rsidP="00400DE6">
      <w:pPr>
        <w:pStyle w:val="NoSpacing"/>
        <w:spacing w:line="276" w:lineRule="auto"/>
        <w:ind w:left="720" w:hanging="720"/>
        <w:jc w:val="both"/>
        <w:rPr>
          <w:rFonts w:ascii="Arial" w:eastAsia="Times New Roman" w:hAnsi="Arial" w:cs="Arial"/>
          <w:kern w:val="0"/>
          <w:sz w:val="20"/>
          <w:szCs w:val="20"/>
          <w:highlight w:val="yellow"/>
          <w:lang w:eastAsia="en-IN"/>
          <w14:ligatures w14:val="none"/>
        </w:rPr>
      </w:pPr>
      <w:r w:rsidRPr="00D11F16">
        <w:rPr>
          <w:rFonts w:ascii="Arial" w:eastAsia="Times New Roman" w:hAnsi="Arial" w:cs="Arial"/>
          <w:kern w:val="0"/>
          <w:sz w:val="20"/>
          <w:szCs w:val="20"/>
          <w:highlight w:val="yellow"/>
          <w:lang w:eastAsia="en-IN"/>
          <w14:ligatures w14:val="none"/>
        </w:rPr>
        <w:t xml:space="preserve">Wang, H., Huang, Y., Wang, J., Chen, X., Wei, K., Wang, M., &amp; Shang, S. (2016). Activities of azoxystrobin and difenoconazole against Alternaria </w:t>
      </w:r>
      <w:proofErr w:type="spellStart"/>
      <w:r w:rsidRPr="00D11F16">
        <w:rPr>
          <w:rFonts w:ascii="Arial" w:eastAsia="Times New Roman" w:hAnsi="Arial" w:cs="Arial"/>
          <w:kern w:val="0"/>
          <w:sz w:val="20"/>
          <w:szCs w:val="20"/>
          <w:highlight w:val="yellow"/>
          <w:lang w:eastAsia="en-IN"/>
          <w14:ligatures w14:val="none"/>
        </w:rPr>
        <w:t>alternata</w:t>
      </w:r>
      <w:proofErr w:type="spellEnd"/>
      <w:r w:rsidRPr="00D11F16">
        <w:rPr>
          <w:rFonts w:ascii="Arial" w:eastAsia="Times New Roman" w:hAnsi="Arial" w:cs="Arial"/>
          <w:kern w:val="0"/>
          <w:sz w:val="20"/>
          <w:szCs w:val="20"/>
          <w:highlight w:val="yellow"/>
          <w:lang w:eastAsia="en-IN"/>
          <w14:ligatures w14:val="none"/>
        </w:rPr>
        <w:t xml:space="preserve"> and their control efficacy. </w:t>
      </w:r>
      <w:r w:rsidRPr="00D11F16">
        <w:rPr>
          <w:rFonts w:ascii="Arial" w:eastAsia="Times New Roman" w:hAnsi="Arial" w:cs="Arial"/>
          <w:i/>
          <w:iCs/>
          <w:kern w:val="0"/>
          <w:sz w:val="20"/>
          <w:szCs w:val="20"/>
          <w:highlight w:val="yellow"/>
          <w:lang w:eastAsia="en-IN"/>
          <w14:ligatures w14:val="none"/>
        </w:rPr>
        <w:t>Crop protection</w:t>
      </w:r>
      <w:r w:rsidRPr="00D11F16">
        <w:rPr>
          <w:rFonts w:ascii="Arial" w:eastAsia="Times New Roman" w:hAnsi="Arial" w:cs="Arial"/>
          <w:kern w:val="0"/>
          <w:sz w:val="20"/>
          <w:szCs w:val="20"/>
          <w:highlight w:val="yellow"/>
          <w:lang w:eastAsia="en-IN"/>
          <w14:ligatures w14:val="none"/>
        </w:rPr>
        <w:t>, </w:t>
      </w:r>
      <w:r w:rsidRPr="00D11F16">
        <w:rPr>
          <w:rFonts w:ascii="Arial" w:eastAsia="Times New Roman" w:hAnsi="Arial" w:cs="Arial"/>
          <w:i/>
          <w:iCs/>
          <w:kern w:val="0"/>
          <w:sz w:val="20"/>
          <w:szCs w:val="20"/>
          <w:highlight w:val="yellow"/>
          <w:lang w:eastAsia="en-IN"/>
          <w14:ligatures w14:val="none"/>
        </w:rPr>
        <w:t>90</w:t>
      </w:r>
      <w:r w:rsidRPr="00D11F16">
        <w:rPr>
          <w:rFonts w:ascii="Arial" w:eastAsia="Times New Roman" w:hAnsi="Arial" w:cs="Arial"/>
          <w:kern w:val="0"/>
          <w:sz w:val="20"/>
          <w:szCs w:val="20"/>
          <w:highlight w:val="yellow"/>
          <w:lang w:eastAsia="en-IN"/>
          <w14:ligatures w14:val="none"/>
        </w:rPr>
        <w:t>, 54-58.</w:t>
      </w:r>
    </w:p>
    <w:p w14:paraId="3E2131A2" w14:textId="77777777" w:rsidR="00400DE6" w:rsidRPr="009E1333" w:rsidRDefault="00400DE6" w:rsidP="00400DE6">
      <w:pPr>
        <w:pStyle w:val="NoSpacing"/>
        <w:spacing w:line="276" w:lineRule="auto"/>
        <w:ind w:left="720" w:hanging="720"/>
        <w:jc w:val="both"/>
        <w:rPr>
          <w:rFonts w:ascii="Arial" w:eastAsia="Times New Roman" w:hAnsi="Arial" w:cs="Arial"/>
          <w:b/>
          <w:bCs/>
          <w:kern w:val="0"/>
          <w:sz w:val="20"/>
          <w:szCs w:val="20"/>
          <w:lang w:eastAsia="en-IN"/>
          <w14:ligatures w14:val="none"/>
        </w:rPr>
      </w:pPr>
      <w:r w:rsidRPr="00D11F16">
        <w:rPr>
          <w:rFonts w:ascii="Arial" w:hAnsi="Arial" w:cs="Arial"/>
          <w:sz w:val="20"/>
          <w:szCs w:val="20"/>
          <w:highlight w:val="yellow"/>
        </w:rPr>
        <w:t>Way, M. J., &amp; Van Emden, H. F. (2000). Integrated pest management in practice—pathways towards successful application. </w:t>
      </w:r>
      <w:r w:rsidRPr="00D11F16">
        <w:rPr>
          <w:rFonts w:ascii="Arial" w:hAnsi="Arial" w:cs="Arial"/>
          <w:i/>
          <w:iCs/>
          <w:sz w:val="20"/>
          <w:szCs w:val="20"/>
          <w:highlight w:val="yellow"/>
        </w:rPr>
        <w:t>Crop protection</w:t>
      </w:r>
      <w:r w:rsidRPr="00D11F16">
        <w:rPr>
          <w:rFonts w:ascii="Arial" w:hAnsi="Arial" w:cs="Arial"/>
          <w:sz w:val="20"/>
          <w:szCs w:val="20"/>
          <w:highlight w:val="yellow"/>
        </w:rPr>
        <w:t>, </w:t>
      </w:r>
      <w:r w:rsidRPr="00D11F16">
        <w:rPr>
          <w:rFonts w:ascii="Arial" w:hAnsi="Arial" w:cs="Arial"/>
          <w:i/>
          <w:iCs/>
          <w:sz w:val="20"/>
          <w:szCs w:val="20"/>
          <w:highlight w:val="yellow"/>
        </w:rPr>
        <w:t>19</w:t>
      </w:r>
      <w:r w:rsidRPr="00D11F16">
        <w:rPr>
          <w:rFonts w:ascii="Arial" w:hAnsi="Arial" w:cs="Arial"/>
          <w:sz w:val="20"/>
          <w:szCs w:val="20"/>
          <w:highlight w:val="yellow"/>
        </w:rPr>
        <w:t>(2), 81-103.</w:t>
      </w:r>
    </w:p>
    <w:p w14:paraId="0EDF69E4" w14:textId="77777777" w:rsidR="00A5413F" w:rsidRPr="00400DE6" w:rsidRDefault="00A5413F" w:rsidP="00400DE6"/>
    <w:sectPr w:rsidR="00A5413F" w:rsidRPr="00400DE6">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82E7D" w14:textId="77777777" w:rsidR="008135E5" w:rsidRDefault="008135E5" w:rsidP="00091E6A">
      <w:pPr>
        <w:spacing w:after="0" w:line="240" w:lineRule="auto"/>
      </w:pPr>
      <w:r>
        <w:separator/>
      </w:r>
    </w:p>
  </w:endnote>
  <w:endnote w:type="continuationSeparator" w:id="0">
    <w:p w14:paraId="7A79C725" w14:textId="77777777" w:rsidR="008135E5" w:rsidRDefault="008135E5" w:rsidP="0009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6859" w14:textId="77777777" w:rsidR="00821D7B" w:rsidRDefault="00821D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FC0F1" w14:textId="77777777" w:rsidR="00821D7B" w:rsidRDefault="00821D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52512" w14:textId="77777777" w:rsidR="00821D7B" w:rsidRDefault="00821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917C7" w14:textId="77777777" w:rsidR="008135E5" w:rsidRDefault="008135E5" w:rsidP="00091E6A">
      <w:pPr>
        <w:spacing w:after="0" w:line="240" w:lineRule="auto"/>
      </w:pPr>
      <w:r>
        <w:separator/>
      </w:r>
    </w:p>
  </w:footnote>
  <w:footnote w:type="continuationSeparator" w:id="0">
    <w:p w14:paraId="61F3211B" w14:textId="77777777" w:rsidR="008135E5" w:rsidRDefault="008135E5" w:rsidP="00091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6453A" w14:textId="29D664BD" w:rsidR="00821D7B" w:rsidRDefault="008135E5">
    <w:pPr>
      <w:pStyle w:val="Header"/>
    </w:pPr>
    <w:r>
      <w:rPr>
        <w:noProof/>
      </w:rPr>
      <w:pict w14:anchorId="59C30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671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9BCA2" w14:textId="3735D920" w:rsidR="00821D7B" w:rsidRDefault="008135E5">
    <w:pPr>
      <w:pStyle w:val="Header"/>
    </w:pPr>
    <w:r>
      <w:rPr>
        <w:noProof/>
      </w:rPr>
      <w:pict w14:anchorId="49D2C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671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6B7C2" w14:textId="4F39CE96" w:rsidR="00821D7B" w:rsidRDefault="008135E5">
    <w:pPr>
      <w:pStyle w:val="Header"/>
    </w:pPr>
    <w:r>
      <w:rPr>
        <w:noProof/>
      </w:rPr>
      <w:pict w14:anchorId="6FACB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671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A1C8D"/>
    <w:multiLevelType w:val="hybridMultilevel"/>
    <w:tmpl w:val="3D5434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7D1E04"/>
    <w:multiLevelType w:val="multilevel"/>
    <w:tmpl w:val="79E2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112FEE"/>
    <w:multiLevelType w:val="hybridMultilevel"/>
    <w:tmpl w:val="D1DEE5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6F89177E"/>
    <w:multiLevelType w:val="hybridMultilevel"/>
    <w:tmpl w:val="02D27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AwtjA3MTc1NDEzNTdT0lEKTi0uzszPAykwrAUAx/B7aywAAAA="/>
  </w:docVars>
  <w:rsids>
    <w:rsidRoot w:val="003E7820"/>
    <w:rsid w:val="00011396"/>
    <w:rsid w:val="00011B97"/>
    <w:rsid w:val="00016591"/>
    <w:rsid w:val="00024AD0"/>
    <w:rsid w:val="00027BEA"/>
    <w:rsid w:val="00034B6B"/>
    <w:rsid w:val="00046C24"/>
    <w:rsid w:val="000607F6"/>
    <w:rsid w:val="00077719"/>
    <w:rsid w:val="00085E56"/>
    <w:rsid w:val="00091027"/>
    <w:rsid w:val="00091E6A"/>
    <w:rsid w:val="00094FB3"/>
    <w:rsid w:val="000951F3"/>
    <w:rsid w:val="000B08E8"/>
    <w:rsid w:val="000B4E7A"/>
    <w:rsid w:val="000C596F"/>
    <w:rsid w:val="000C72BB"/>
    <w:rsid w:val="000F4C41"/>
    <w:rsid w:val="00111A48"/>
    <w:rsid w:val="001225BF"/>
    <w:rsid w:val="00130DB5"/>
    <w:rsid w:val="0014759D"/>
    <w:rsid w:val="00171FB6"/>
    <w:rsid w:val="001A6C72"/>
    <w:rsid w:val="001D04E8"/>
    <w:rsid w:val="001D4DE8"/>
    <w:rsid w:val="001D5A4B"/>
    <w:rsid w:val="001E0306"/>
    <w:rsid w:val="001E0F0B"/>
    <w:rsid w:val="001E164B"/>
    <w:rsid w:val="001F7A65"/>
    <w:rsid w:val="00217CFC"/>
    <w:rsid w:val="00221543"/>
    <w:rsid w:val="002337A1"/>
    <w:rsid w:val="0025379E"/>
    <w:rsid w:val="00267D9E"/>
    <w:rsid w:val="0027570B"/>
    <w:rsid w:val="00283ED3"/>
    <w:rsid w:val="00285F53"/>
    <w:rsid w:val="0029106C"/>
    <w:rsid w:val="002A7441"/>
    <w:rsid w:val="002B3E75"/>
    <w:rsid w:val="002B4E28"/>
    <w:rsid w:val="002D060C"/>
    <w:rsid w:val="002E3C1B"/>
    <w:rsid w:val="002F0850"/>
    <w:rsid w:val="002F377E"/>
    <w:rsid w:val="002F49D1"/>
    <w:rsid w:val="00313091"/>
    <w:rsid w:val="0032756E"/>
    <w:rsid w:val="00341E22"/>
    <w:rsid w:val="0036383D"/>
    <w:rsid w:val="00391B85"/>
    <w:rsid w:val="00393B7F"/>
    <w:rsid w:val="003950D7"/>
    <w:rsid w:val="003A0ADE"/>
    <w:rsid w:val="003B4B1C"/>
    <w:rsid w:val="003C4481"/>
    <w:rsid w:val="003D5EE7"/>
    <w:rsid w:val="003D77A1"/>
    <w:rsid w:val="003E7820"/>
    <w:rsid w:val="00400DE6"/>
    <w:rsid w:val="0040115F"/>
    <w:rsid w:val="004052BA"/>
    <w:rsid w:val="00406BA3"/>
    <w:rsid w:val="00420B39"/>
    <w:rsid w:val="00430F3A"/>
    <w:rsid w:val="00437765"/>
    <w:rsid w:val="00440C17"/>
    <w:rsid w:val="004509B3"/>
    <w:rsid w:val="00450C83"/>
    <w:rsid w:val="00463FDE"/>
    <w:rsid w:val="00470108"/>
    <w:rsid w:val="00483616"/>
    <w:rsid w:val="00490FF5"/>
    <w:rsid w:val="004C5D81"/>
    <w:rsid w:val="004C5F0E"/>
    <w:rsid w:val="004D2811"/>
    <w:rsid w:val="004E2E01"/>
    <w:rsid w:val="00505BFA"/>
    <w:rsid w:val="00505DC4"/>
    <w:rsid w:val="00515507"/>
    <w:rsid w:val="00517285"/>
    <w:rsid w:val="00531B2D"/>
    <w:rsid w:val="00533486"/>
    <w:rsid w:val="005412F4"/>
    <w:rsid w:val="005637A6"/>
    <w:rsid w:val="00570BC6"/>
    <w:rsid w:val="0059440A"/>
    <w:rsid w:val="00594D96"/>
    <w:rsid w:val="0059666E"/>
    <w:rsid w:val="005B512B"/>
    <w:rsid w:val="005B54C7"/>
    <w:rsid w:val="005C28B6"/>
    <w:rsid w:val="005D077F"/>
    <w:rsid w:val="005D51A8"/>
    <w:rsid w:val="005E0A59"/>
    <w:rsid w:val="00602484"/>
    <w:rsid w:val="006025F8"/>
    <w:rsid w:val="00644532"/>
    <w:rsid w:val="00656900"/>
    <w:rsid w:val="00671B01"/>
    <w:rsid w:val="00680E42"/>
    <w:rsid w:val="006B635F"/>
    <w:rsid w:val="006C1E79"/>
    <w:rsid w:val="006C4154"/>
    <w:rsid w:val="006D07C6"/>
    <w:rsid w:val="006D0E0F"/>
    <w:rsid w:val="006D3F65"/>
    <w:rsid w:val="00707C25"/>
    <w:rsid w:val="007108D2"/>
    <w:rsid w:val="00712D4D"/>
    <w:rsid w:val="00734BC3"/>
    <w:rsid w:val="0076514D"/>
    <w:rsid w:val="00773B77"/>
    <w:rsid w:val="00777982"/>
    <w:rsid w:val="00786B39"/>
    <w:rsid w:val="00796C21"/>
    <w:rsid w:val="007B2AAB"/>
    <w:rsid w:val="007B7489"/>
    <w:rsid w:val="007C73A8"/>
    <w:rsid w:val="007D78A6"/>
    <w:rsid w:val="00804026"/>
    <w:rsid w:val="00804FE2"/>
    <w:rsid w:val="008112F1"/>
    <w:rsid w:val="008135E5"/>
    <w:rsid w:val="00821D7B"/>
    <w:rsid w:val="00832CBE"/>
    <w:rsid w:val="00847812"/>
    <w:rsid w:val="00852008"/>
    <w:rsid w:val="008600B3"/>
    <w:rsid w:val="00862FF4"/>
    <w:rsid w:val="0086391A"/>
    <w:rsid w:val="00863FBA"/>
    <w:rsid w:val="00875075"/>
    <w:rsid w:val="00877AF4"/>
    <w:rsid w:val="00882D4A"/>
    <w:rsid w:val="008D07E5"/>
    <w:rsid w:val="008E172A"/>
    <w:rsid w:val="008E38C8"/>
    <w:rsid w:val="008F1D8A"/>
    <w:rsid w:val="0090008A"/>
    <w:rsid w:val="00907E3D"/>
    <w:rsid w:val="00914AFE"/>
    <w:rsid w:val="00924E88"/>
    <w:rsid w:val="009253E5"/>
    <w:rsid w:val="00931C79"/>
    <w:rsid w:val="00933036"/>
    <w:rsid w:val="00934F0C"/>
    <w:rsid w:val="00937AF7"/>
    <w:rsid w:val="00990329"/>
    <w:rsid w:val="009A0E8C"/>
    <w:rsid w:val="009B30CF"/>
    <w:rsid w:val="009B3C56"/>
    <w:rsid w:val="009C0443"/>
    <w:rsid w:val="009C2F6F"/>
    <w:rsid w:val="00A023D2"/>
    <w:rsid w:val="00A05FA2"/>
    <w:rsid w:val="00A07424"/>
    <w:rsid w:val="00A15841"/>
    <w:rsid w:val="00A16782"/>
    <w:rsid w:val="00A218D1"/>
    <w:rsid w:val="00A26318"/>
    <w:rsid w:val="00A34897"/>
    <w:rsid w:val="00A41303"/>
    <w:rsid w:val="00A5413F"/>
    <w:rsid w:val="00A56483"/>
    <w:rsid w:val="00A5715D"/>
    <w:rsid w:val="00A76CCF"/>
    <w:rsid w:val="00A84039"/>
    <w:rsid w:val="00AB334E"/>
    <w:rsid w:val="00AC6AC7"/>
    <w:rsid w:val="00AD7460"/>
    <w:rsid w:val="00B304B9"/>
    <w:rsid w:val="00B318BA"/>
    <w:rsid w:val="00B507D7"/>
    <w:rsid w:val="00B52220"/>
    <w:rsid w:val="00B52FFE"/>
    <w:rsid w:val="00B62F81"/>
    <w:rsid w:val="00B82912"/>
    <w:rsid w:val="00BA396B"/>
    <w:rsid w:val="00BD6956"/>
    <w:rsid w:val="00BE6A9B"/>
    <w:rsid w:val="00BF5A9E"/>
    <w:rsid w:val="00BF62DC"/>
    <w:rsid w:val="00C07109"/>
    <w:rsid w:val="00C30EA9"/>
    <w:rsid w:val="00C31FFA"/>
    <w:rsid w:val="00C36F96"/>
    <w:rsid w:val="00C3799C"/>
    <w:rsid w:val="00C405A5"/>
    <w:rsid w:val="00C40BF4"/>
    <w:rsid w:val="00C465E0"/>
    <w:rsid w:val="00C46CFC"/>
    <w:rsid w:val="00C5028B"/>
    <w:rsid w:val="00C67590"/>
    <w:rsid w:val="00C925A4"/>
    <w:rsid w:val="00C93BA8"/>
    <w:rsid w:val="00C96AAA"/>
    <w:rsid w:val="00CB6336"/>
    <w:rsid w:val="00CC686F"/>
    <w:rsid w:val="00D04A2D"/>
    <w:rsid w:val="00D11F16"/>
    <w:rsid w:val="00D13BF6"/>
    <w:rsid w:val="00D21551"/>
    <w:rsid w:val="00D31885"/>
    <w:rsid w:val="00D33A4F"/>
    <w:rsid w:val="00D5006D"/>
    <w:rsid w:val="00D5534B"/>
    <w:rsid w:val="00D57060"/>
    <w:rsid w:val="00D60BC5"/>
    <w:rsid w:val="00D61A1D"/>
    <w:rsid w:val="00D82B07"/>
    <w:rsid w:val="00DA3140"/>
    <w:rsid w:val="00DA4904"/>
    <w:rsid w:val="00DC036D"/>
    <w:rsid w:val="00DC3115"/>
    <w:rsid w:val="00E00329"/>
    <w:rsid w:val="00E034FF"/>
    <w:rsid w:val="00E1458B"/>
    <w:rsid w:val="00E244FD"/>
    <w:rsid w:val="00E24ECD"/>
    <w:rsid w:val="00E45CAC"/>
    <w:rsid w:val="00E63822"/>
    <w:rsid w:val="00E76DEC"/>
    <w:rsid w:val="00E821AC"/>
    <w:rsid w:val="00EE3E20"/>
    <w:rsid w:val="00EF1130"/>
    <w:rsid w:val="00F5018F"/>
    <w:rsid w:val="00F60160"/>
    <w:rsid w:val="00F60914"/>
    <w:rsid w:val="00F758FD"/>
    <w:rsid w:val="00F92FAB"/>
    <w:rsid w:val="00F94083"/>
    <w:rsid w:val="00FB66D7"/>
    <w:rsid w:val="00FD1210"/>
    <w:rsid w:val="00FD1317"/>
    <w:rsid w:val="00FD476F"/>
    <w:rsid w:val="00FD4E7B"/>
    <w:rsid w:val="00FD5BB2"/>
    <w:rsid w:val="00FF2F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4F211D"/>
  <w15:chartTrackingRefBased/>
  <w15:docId w15:val="{88BFC15A-24C5-442D-ADA3-67F22E19D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82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78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782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782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782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78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8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8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8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82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78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782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782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782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78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8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8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820"/>
    <w:rPr>
      <w:rFonts w:eastAsiaTheme="majorEastAsia" w:cstheme="majorBidi"/>
      <w:color w:val="272727" w:themeColor="text1" w:themeTint="D8"/>
    </w:rPr>
  </w:style>
  <w:style w:type="paragraph" w:styleId="Title">
    <w:name w:val="Title"/>
    <w:basedOn w:val="Normal"/>
    <w:next w:val="Normal"/>
    <w:link w:val="TitleChar"/>
    <w:uiPriority w:val="10"/>
    <w:qFormat/>
    <w:rsid w:val="003E78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8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8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8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820"/>
    <w:pPr>
      <w:spacing w:before="160"/>
      <w:jc w:val="center"/>
    </w:pPr>
    <w:rPr>
      <w:i/>
      <w:iCs/>
      <w:color w:val="404040" w:themeColor="text1" w:themeTint="BF"/>
    </w:rPr>
  </w:style>
  <w:style w:type="character" w:customStyle="1" w:styleId="QuoteChar">
    <w:name w:val="Quote Char"/>
    <w:basedOn w:val="DefaultParagraphFont"/>
    <w:link w:val="Quote"/>
    <w:uiPriority w:val="29"/>
    <w:rsid w:val="003E7820"/>
    <w:rPr>
      <w:i/>
      <w:iCs/>
      <w:color w:val="404040" w:themeColor="text1" w:themeTint="BF"/>
    </w:rPr>
  </w:style>
  <w:style w:type="paragraph" w:styleId="ListParagraph">
    <w:name w:val="List Paragraph"/>
    <w:basedOn w:val="Normal"/>
    <w:uiPriority w:val="34"/>
    <w:qFormat/>
    <w:rsid w:val="003E7820"/>
    <w:pPr>
      <w:ind w:left="720"/>
      <w:contextualSpacing/>
    </w:pPr>
  </w:style>
  <w:style w:type="character" w:styleId="IntenseEmphasis">
    <w:name w:val="Intense Emphasis"/>
    <w:basedOn w:val="DefaultParagraphFont"/>
    <w:uiPriority w:val="21"/>
    <w:qFormat/>
    <w:rsid w:val="003E7820"/>
    <w:rPr>
      <w:i/>
      <w:iCs/>
      <w:color w:val="2F5496" w:themeColor="accent1" w:themeShade="BF"/>
    </w:rPr>
  </w:style>
  <w:style w:type="paragraph" w:styleId="IntenseQuote">
    <w:name w:val="Intense Quote"/>
    <w:basedOn w:val="Normal"/>
    <w:next w:val="Normal"/>
    <w:link w:val="IntenseQuoteChar"/>
    <w:uiPriority w:val="30"/>
    <w:qFormat/>
    <w:rsid w:val="003E78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7820"/>
    <w:rPr>
      <w:i/>
      <w:iCs/>
      <w:color w:val="2F5496" w:themeColor="accent1" w:themeShade="BF"/>
    </w:rPr>
  </w:style>
  <w:style w:type="character" w:styleId="IntenseReference">
    <w:name w:val="Intense Reference"/>
    <w:basedOn w:val="DefaultParagraphFont"/>
    <w:uiPriority w:val="32"/>
    <w:qFormat/>
    <w:rsid w:val="003E7820"/>
    <w:rPr>
      <w:b/>
      <w:bCs/>
      <w:smallCaps/>
      <w:color w:val="2F5496" w:themeColor="accent1" w:themeShade="BF"/>
      <w:spacing w:val="5"/>
    </w:rPr>
  </w:style>
  <w:style w:type="paragraph" w:styleId="NormalWeb">
    <w:name w:val="Normal (Web)"/>
    <w:basedOn w:val="Normal"/>
    <w:uiPriority w:val="99"/>
    <w:unhideWhenUsed/>
    <w:rsid w:val="00796C2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091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E6A"/>
  </w:style>
  <w:style w:type="paragraph" w:styleId="Footer">
    <w:name w:val="footer"/>
    <w:basedOn w:val="Normal"/>
    <w:link w:val="FooterChar"/>
    <w:uiPriority w:val="99"/>
    <w:unhideWhenUsed/>
    <w:rsid w:val="00091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E6A"/>
  </w:style>
  <w:style w:type="table" w:styleId="TableGrid">
    <w:name w:val="Table Grid"/>
    <w:basedOn w:val="TableNormal"/>
    <w:uiPriority w:val="39"/>
    <w:rsid w:val="00D21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3822"/>
    <w:rPr>
      <w:color w:val="0563C1" w:themeColor="hyperlink"/>
      <w:u w:val="single"/>
    </w:rPr>
  </w:style>
  <w:style w:type="character" w:customStyle="1" w:styleId="UnresolvedMention1">
    <w:name w:val="Unresolved Mention1"/>
    <w:basedOn w:val="DefaultParagraphFont"/>
    <w:uiPriority w:val="99"/>
    <w:semiHidden/>
    <w:unhideWhenUsed/>
    <w:rsid w:val="0025379E"/>
    <w:rPr>
      <w:color w:val="605E5C"/>
      <w:shd w:val="clear" w:color="auto" w:fill="E1DFDD"/>
    </w:rPr>
  </w:style>
  <w:style w:type="paragraph" w:styleId="NoSpacing">
    <w:name w:val="No Spacing"/>
    <w:uiPriority w:val="1"/>
    <w:qFormat/>
    <w:rsid w:val="00400DE6"/>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1320">
      <w:bodyDiv w:val="1"/>
      <w:marLeft w:val="0"/>
      <w:marRight w:val="0"/>
      <w:marTop w:val="0"/>
      <w:marBottom w:val="0"/>
      <w:divBdr>
        <w:top w:val="none" w:sz="0" w:space="0" w:color="auto"/>
        <w:left w:val="none" w:sz="0" w:space="0" w:color="auto"/>
        <w:bottom w:val="none" w:sz="0" w:space="0" w:color="auto"/>
        <w:right w:val="none" w:sz="0" w:space="0" w:color="auto"/>
      </w:divBdr>
    </w:div>
    <w:div w:id="369960884">
      <w:bodyDiv w:val="1"/>
      <w:marLeft w:val="0"/>
      <w:marRight w:val="0"/>
      <w:marTop w:val="0"/>
      <w:marBottom w:val="0"/>
      <w:divBdr>
        <w:top w:val="none" w:sz="0" w:space="0" w:color="auto"/>
        <w:left w:val="none" w:sz="0" w:space="0" w:color="auto"/>
        <w:bottom w:val="none" w:sz="0" w:space="0" w:color="auto"/>
        <w:right w:val="none" w:sz="0" w:space="0" w:color="auto"/>
      </w:divBdr>
    </w:div>
    <w:div w:id="529563354">
      <w:bodyDiv w:val="1"/>
      <w:marLeft w:val="0"/>
      <w:marRight w:val="0"/>
      <w:marTop w:val="0"/>
      <w:marBottom w:val="0"/>
      <w:divBdr>
        <w:top w:val="none" w:sz="0" w:space="0" w:color="auto"/>
        <w:left w:val="none" w:sz="0" w:space="0" w:color="auto"/>
        <w:bottom w:val="none" w:sz="0" w:space="0" w:color="auto"/>
        <w:right w:val="none" w:sz="0" w:space="0" w:color="auto"/>
      </w:divBdr>
    </w:div>
    <w:div w:id="536353336">
      <w:bodyDiv w:val="1"/>
      <w:marLeft w:val="0"/>
      <w:marRight w:val="0"/>
      <w:marTop w:val="0"/>
      <w:marBottom w:val="0"/>
      <w:divBdr>
        <w:top w:val="none" w:sz="0" w:space="0" w:color="auto"/>
        <w:left w:val="none" w:sz="0" w:space="0" w:color="auto"/>
        <w:bottom w:val="none" w:sz="0" w:space="0" w:color="auto"/>
        <w:right w:val="none" w:sz="0" w:space="0" w:color="auto"/>
      </w:divBdr>
      <w:divsChild>
        <w:div w:id="1286153446">
          <w:marLeft w:val="0"/>
          <w:marRight w:val="0"/>
          <w:marTop w:val="0"/>
          <w:marBottom w:val="0"/>
          <w:divBdr>
            <w:top w:val="none" w:sz="0" w:space="0" w:color="auto"/>
            <w:left w:val="none" w:sz="0" w:space="0" w:color="auto"/>
            <w:bottom w:val="none" w:sz="0" w:space="0" w:color="auto"/>
            <w:right w:val="none" w:sz="0" w:space="0" w:color="auto"/>
          </w:divBdr>
          <w:divsChild>
            <w:div w:id="1555922561">
              <w:marLeft w:val="0"/>
              <w:marRight w:val="0"/>
              <w:marTop w:val="0"/>
              <w:marBottom w:val="0"/>
              <w:divBdr>
                <w:top w:val="none" w:sz="0" w:space="0" w:color="auto"/>
                <w:left w:val="none" w:sz="0" w:space="0" w:color="auto"/>
                <w:bottom w:val="none" w:sz="0" w:space="0" w:color="auto"/>
                <w:right w:val="none" w:sz="0" w:space="0" w:color="auto"/>
              </w:divBdr>
              <w:divsChild>
                <w:div w:id="1498959880">
                  <w:marLeft w:val="0"/>
                  <w:marRight w:val="0"/>
                  <w:marTop w:val="0"/>
                  <w:marBottom w:val="0"/>
                  <w:divBdr>
                    <w:top w:val="none" w:sz="0" w:space="0" w:color="auto"/>
                    <w:left w:val="none" w:sz="0" w:space="0" w:color="auto"/>
                    <w:bottom w:val="none" w:sz="0" w:space="0" w:color="auto"/>
                    <w:right w:val="none" w:sz="0" w:space="0" w:color="auto"/>
                  </w:divBdr>
                  <w:divsChild>
                    <w:div w:id="499738430">
                      <w:marLeft w:val="0"/>
                      <w:marRight w:val="0"/>
                      <w:marTop w:val="0"/>
                      <w:marBottom w:val="0"/>
                      <w:divBdr>
                        <w:top w:val="none" w:sz="0" w:space="0" w:color="auto"/>
                        <w:left w:val="none" w:sz="0" w:space="0" w:color="auto"/>
                        <w:bottom w:val="none" w:sz="0" w:space="0" w:color="auto"/>
                        <w:right w:val="none" w:sz="0" w:space="0" w:color="auto"/>
                      </w:divBdr>
                      <w:divsChild>
                        <w:div w:id="781077577">
                          <w:marLeft w:val="0"/>
                          <w:marRight w:val="0"/>
                          <w:marTop w:val="0"/>
                          <w:marBottom w:val="0"/>
                          <w:divBdr>
                            <w:top w:val="none" w:sz="0" w:space="0" w:color="auto"/>
                            <w:left w:val="none" w:sz="0" w:space="0" w:color="auto"/>
                            <w:bottom w:val="none" w:sz="0" w:space="0" w:color="auto"/>
                            <w:right w:val="none" w:sz="0" w:space="0" w:color="auto"/>
                          </w:divBdr>
                          <w:divsChild>
                            <w:div w:id="98332844">
                              <w:marLeft w:val="0"/>
                              <w:marRight w:val="0"/>
                              <w:marTop w:val="0"/>
                              <w:marBottom w:val="0"/>
                              <w:divBdr>
                                <w:top w:val="none" w:sz="0" w:space="0" w:color="auto"/>
                                <w:left w:val="none" w:sz="0" w:space="0" w:color="auto"/>
                                <w:bottom w:val="none" w:sz="0" w:space="0" w:color="auto"/>
                                <w:right w:val="none" w:sz="0" w:space="0" w:color="auto"/>
                              </w:divBdr>
                              <w:divsChild>
                                <w:div w:id="360592384">
                                  <w:marLeft w:val="0"/>
                                  <w:marRight w:val="0"/>
                                  <w:marTop w:val="0"/>
                                  <w:marBottom w:val="0"/>
                                  <w:divBdr>
                                    <w:top w:val="none" w:sz="0" w:space="0" w:color="auto"/>
                                    <w:left w:val="none" w:sz="0" w:space="0" w:color="auto"/>
                                    <w:bottom w:val="none" w:sz="0" w:space="0" w:color="auto"/>
                                    <w:right w:val="none" w:sz="0" w:space="0" w:color="auto"/>
                                  </w:divBdr>
                                  <w:divsChild>
                                    <w:div w:id="12774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799833">
      <w:bodyDiv w:val="1"/>
      <w:marLeft w:val="0"/>
      <w:marRight w:val="0"/>
      <w:marTop w:val="0"/>
      <w:marBottom w:val="0"/>
      <w:divBdr>
        <w:top w:val="none" w:sz="0" w:space="0" w:color="auto"/>
        <w:left w:val="none" w:sz="0" w:space="0" w:color="auto"/>
        <w:bottom w:val="none" w:sz="0" w:space="0" w:color="auto"/>
        <w:right w:val="none" w:sz="0" w:space="0" w:color="auto"/>
      </w:divBdr>
    </w:div>
    <w:div w:id="694968515">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12064031">
      <w:bodyDiv w:val="1"/>
      <w:marLeft w:val="0"/>
      <w:marRight w:val="0"/>
      <w:marTop w:val="0"/>
      <w:marBottom w:val="0"/>
      <w:divBdr>
        <w:top w:val="none" w:sz="0" w:space="0" w:color="auto"/>
        <w:left w:val="none" w:sz="0" w:space="0" w:color="auto"/>
        <w:bottom w:val="none" w:sz="0" w:space="0" w:color="auto"/>
        <w:right w:val="none" w:sz="0" w:space="0" w:color="auto"/>
      </w:divBdr>
    </w:div>
    <w:div w:id="826096638">
      <w:bodyDiv w:val="1"/>
      <w:marLeft w:val="0"/>
      <w:marRight w:val="0"/>
      <w:marTop w:val="0"/>
      <w:marBottom w:val="0"/>
      <w:divBdr>
        <w:top w:val="none" w:sz="0" w:space="0" w:color="auto"/>
        <w:left w:val="none" w:sz="0" w:space="0" w:color="auto"/>
        <w:bottom w:val="none" w:sz="0" w:space="0" w:color="auto"/>
        <w:right w:val="none" w:sz="0" w:space="0" w:color="auto"/>
      </w:divBdr>
    </w:div>
    <w:div w:id="1081563484">
      <w:bodyDiv w:val="1"/>
      <w:marLeft w:val="0"/>
      <w:marRight w:val="0"/>
      <w:marTop w:val="0"/>
      <w:marBottom w:val="0"/>
      <w:divBdr>
        <w:top w:val="none" w:sz="0" w:space="0" w:color="auto"/>
        <w:left w:val="none" w:sz="0" w:space="0" w:color="auto"/>
        <w:bottom w:val="none" w:sz="0" w:space="0" w:color="auto"/>
        <w:right w:val="none" w:sz="0" w:space="0" w:color="auto"/>
      </w:divBdr>
    </w:div>
    <w:div w:id="1108818648">
      <w:bodyDiv w:val="1"/>
      <w:marLeft w:val="0"/>
      <w:marRight w:val="0"/>
      <w:marTop w:val="0"/>
      <w:marBottom w:val="0"/>
      <w:divBdr>
        <w:top w:val="none" w:sz="0" w:space="0" w:color="auto"/>
        <w:left w:val="none" w:sz="0" w:space="0" w:color="auto"/>
        <w:bottom w:val="none" w:sz="0" w:space="0" w:color="auto"/>
        <w:right w:val="none" w:sz="0" w:space="0" w:color="auto"/>
      </w:divBdr>
    </w:div>
    <w:div w:id="1206214438">
      <w:bodyDiv w:val="1"/>
      <w:marLeft w:val="0"/>
      <w:marRight w:val="0"/>
      <w:marTop w:val="0"/>
      <w:marBottom w:val="0"/>
      <w:divBdr>
        <w:top w:val="none" w:sz="0" w:space="0" w:color="auto"/>
        <w:left w:val="none" w:sz="0" w:space="0" w:color="auto"/>
        <w:bottom w:val="none" w:sz="0" w:space="0" w:color="auto"/>
        <w:right w:val="none" w:sz="0" w:space="0" w:color="auto"/>
      </w:divBdr>
    </w:div>
    <w:div w:id="1288001916">
      <w:bodyDiv w:val="1"/>
      <w:marLeft w:val="0"/>
      <w:marRight w:val="0"/>
      <w:marTop w:val="0"/>
      <w:marBottom w:val="0"/>
      <w:divBdr>
        <w:top w:val="none" w:sz="0" w:space="0" w:color="auto"/>
        <w:left w:val="none" w:sz="0" w:space="0" w:color="auto"/>
        <w:bottom w:val="none" w:sz="0" w:space="0" w:color="auto"/>
        <w:right w:val="none" w:sz="0" w:space="0" w:color="auto"/>
      </w:divBdr>
    </w:div>
    <w:div w:id="1397783638">
      <w:bodyDiv w:val="1"/>
      <w:marLeft w:val="0"/>
      <w:marRight w:val="0"/>
      <w:marTop w:val="0"/>
      <w:marBottom w:val="0"/>
      <w:divBdr>
        <w:top w:val="none" w:sz="0" w:space="0" w:color="auto"/>
        <w:left w:val="none" w:sz="0" w:space="0" w:color="auto"/>
        <w:bottom w:val="none" w:sz="0" w:space="0" w:color="auto"/>
        <w:right w:val="none" w:sz="0" w:space="0" w:color="auto"/>
      </w:divBdr>
    </w:div>
    <w:div w:id="1433085099">
      <w:bodyDiv w:val="1"/>
      <w:marLeft w:val="0"/>
      <w:marRight w:val="0"/>
      <w:marTop w:val="0"/>
      <w:marBottom w:val="0"/>
      <w:divBdr>
        <w:top w:val="none" w:sz="0" w:space="0" w:color="auto"/>
        <w:left w:val="none" w:sz="0" w:space="0" w:color="auto"/>
        <w:bottom w:val="none" w:sz="0" w:space="0" w:color="auto"/>
        <w:right w:val="none" w:sz="0" w:space="0" w:color="auto"/>
      </w:divBdr>
    </w:div>
    <w:div w:id="1480999807">
      <w:bodyDiv w:val="1"/>
      <w:marLeft w:val="0"/>
      <w:marRight w:val="0"/>
      <w:marTop w:val="0"/>
      <w:marBottom w:val="0"/>
      <w:divBdr>
        <w:top w:val="none" w:sz="0" w:space="0" w:color="auto"/>
        <w:left w:val="none" w:sz="0" w:space="0" w:color="auto"/>
        <w:bottom w:val="none" w:sz="0" w:space="0" w:color="auto"/>
        <w:right w:val="none" w:sz="0" w:space="0" w:color="auto"/>
      </w:divBdr>
    </w:div>
    <w:div w:id="1484395052">
      <w:bodyDiv w:val="1"/>
      <w:marLeft w:val="0"/>
      <w:marRight w:val="0"/>
      <w:marTop w:val="0"/>
      <w:marBottom w:val="0"/>
      <w:divBdr>
        <w:top w:val="none" w:sz="0" w:space="0" w:color="auto"/>
        <w:left w:val="none" w:sz="0" w:space="0" w:color="auto"/>
        <w:bottom w:val="none" w:sz="0" w:space="0" w:color="auto"/>
        <w:right w:val="none" w:sz="0" w:space="0" w:color="auto"/>
      </w:divBdr>
    </w:div>
    <w:div w:id="1674844626">
      <w:bodyDiv w:val="1"/>
      <w:marLeft w:val="0"/>
      <w:marRight w:val="0"/>
      <w:marTop w:val="0"/>
      <w:marBottom w:val="0"/>
      <w:divBdr>
        <w:top w:val="none" w:sz="0" w:space="0" w:color="auto"/>
        <w:left w:val="none" w:sz="0" w:space="0" w:color="auto"/>
        <w:bottom w:val="none" w:sz="0" w:space="0" w:color="auto"/>
        <w:right w:val="none" w:sz="0" w:space="0" w:color="auto"/>
      </w:divBdr>
      <w:divsChild>
        <w:div w:id="399057541">
          <w:marLeft w:val="0"/>
          <w:marRight w:val="0"/>
          <w:marTop w:val="0"/>
          <w:marBottom w:val="0"/>
          <w:divBdr>
            <w:top w:val="none" w:sz="0" w:space="0" w:color="auto"/>
            <w:left w:val="none" w:sz="0" w:space="0" w:color="auto"/>
            <w:bottom w:val="none" w:sz="0" w:space="0" w:color="auto"/>
            <w:right w:val="none" w:sz="0" w:space="0" w:color="auto"/>
          </w:divBdr>
          <w:divsChild>
            <w:div w:id="134950976">
              <w:marLeft w:val="0"/>
              <w:marRight w:val="0"/>
              <w:marTop w:val="0"/>
              <w:marBottom w:val="0"/>
              <w:divBdr>
                <w:top w:val="none" w:sz="0" w:space="0" w:color="auto"/>
                <w:left w:val="none" w:sz="0" w:space="0" w:color="auto"/>
                <w:bottom w:val="none" w:sz="0" w:space="0" w:color="auto"/>
                <w:right w:val="none" w:sz="0" w:space="0" w:color="auto"/>
              </w:divBdr>
              <w:divsChild>
                <w:div w:id="910969364">
                  <w:marLeft w:val="0"/>
                  <w:marRight w:val="0"/>
                  <w:marTop w:val="0"/>
                  <w:marBottom w:val="0"/>
                  <w:divBdr>
                    <w:top w:val="none" w:sz="0" w:space="0" w:color="auto"/>
                    <w:left w:val="none" w:sz="0" w:space="0" w:color="auto"/>
                    <w:bottom w:val="none" w:sz="0" w:space="0" w:color="auto"/>
                    <w:right w:val="none" w:sz="0" w:space="0" w:color="auto"/>
                  </w:divBdr>
                  <w:divsChild>
                    <w:div w:id="21130969">
                      <w:marLeft w:val="0"/>
                      <w:marRight w:val="0"/>
                      <w:marTop w:val="0"/>
                      <w:marBottom w:val="0"/>
                      <w:divBdr>
                        <w:top w:val="none" w:sz="0" w:space="0" w:color="auto"/>
                        <w:left w:val="none" w:sz="0" w:space="0" w:color="auto"/>
                        <w:bottom w:val="none" w:sz="0" w:space="0" w:color="auto"/>
                        <w:right w:val="none" w:sz="0" w:space="0" w:color="auto"/>
                      </w:divBdr>
                      <w:divsChild>
                        <w:div w:id="1718238776">
                          <w:marLeft w:val="0"/>
                          <w:marRight w:val="0"/>
                          <w:marTop w:val="0"/>
                          <w:marBottom w:val="0"/>
                          <w:divBdr>
                            <w:top w:val="none" w:sz="0" w:space="0" w:color="auto"/>
                            <w:left w:val="none" w:sz="0" w:space="0" w:color="auto"/>
                            <w:bottom w:val="none" w:sz="0" w:space="0" w:color="auto"/>
                            <w:right w:val="none" w:sz="0" w:space="0" w:color="auto"/>
                          </w:divBdr>
                          <w:divsChild>
                            <w:div w:id="384567483">
                              <w:marLeft w:val="0"/>
                              <w:marRight w:val="0"/>
                              <w:marTop w:val="0"/>
                              <w:marBottom w:val="0"/>
                              <w:divBdr>
                                <w:top w:val="none" w:sz="0" w:space="0" w:color="auto"/>
                                <w:left w:val="none" w:sz="0" w:space="0" w:color="auto"/>
                                <w:bottom w:val="none" w:sz="0" w:space="0" w:color="auto"/>
                                <w:right w:val="none" w:sz="0" w:space="0" w:color="auto"/>
                              </w:divBdr>
                              <w:divsChild>
                                <w:div w:id="1559242355">
                                  <w:marLeft w:val="0"/>
                                  <w:marRight w:val="0"/>
                                  <w:marTop w:val="0"/>
                                  <w:marBottom w:val="0"/>
                                  <w:divBdr>
                                    <w:top w:val="none" w:sz="0" w:space="0" w:color="auto"/>
                                    <w:left w:val="none" w:sz="0" w:space="0" w:color="auto"/>
                                    <w:bottom w:val="none" w:sz="0" w:space="0" w:color="auto"/>
                                    <w:right w:val="none" w:sz="0" w:space="0" w:color="auto"/>
                                  </w:divBdr>
                                  <w:divsChild>
                                    <w:div w:id="9148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200936">
      <w:bodyDiv w:val="1"/>
      <w:marLeft w:val="0"/>
      <w:marRight w:val="0"/>
      <w:marTop w:val="0"/>
      <w:marBottom w:val="0"/>
      <w:divBdr>
        <w:top w:val="none" w:sz="0" w:space="0" w:color="auto"/>
        <w:left w:val="none" w:sz="0" w:space="0" w:color="auto"/>
        <w:bottom w:val="none" w:sz="0" w:space="0" w:color="auto"/>
        <w:right w:val="none" w:sz="0" w:space="0" w:color="auto"/>
      </w:divBdr>
    </w:div>
    <w:div w:id="199552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1076</TotalTime>
  <Pages>15</Pages>
  <Words>7021</Words>
  <Characters>40025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sekhar</dc:creator>
  <cp:keywords/>
  <dc:description/>
  <cp:lastModifiedBy>SDI 1183</cp:lastModifiedBy>
  <cp:revision>38</cp:revision>
  <dcterms:created xsi:type="dcterms:W3CDTF">2025-04-11T06:52:00Z</dcterms:created>
  <dcterms:modified xsi:type="dcterms:W3CDTF">2025-05-02T12:25:00Z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3144d255-906d-431f-a31f-586085620d14</vt:lpwstr>
  </property>
</Properties>
</file>