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6F988">
      <w:pPr>
        <w:pStyle w:val="19"/>
        <w:spacing w:after="0"/>
        <w:jc w:val="both"/>
        <w:rPr>
          <w:rFonts w:ascii="Arial" w:hAnsi="Arial" w:cs="Arial"/>
        </w:rPr>
      </w:pPr>
    </w:p>
    <w:p w14:paraId="358E5FEB">
      <w:pPr>
        <w:pStyle w:val="20"/>
        <w:ind w:right="-200" w:rightChars="-100"/>
        <w:rPr>
          <w:rFonts w:ascii="Arial" w:hAnsi="Arial" w:eastAsia="SimSun" w:cs="Arial"/>
          <w:bCs/>
          <w:i/>
          <w:iCs/>
          <w:sz w:val="18"/>
          <w:szCs w:val="18"/>
          <w:u w:val="single"/>
        </w:rPr>
      </w:pPr>
      <w:r>
        <w:rPr>
          <w:rFonts w:ascii="Arial" w:hAnsi="Arial" w:eastAsia="SimSun" w:cs="Arial"/>
          <w:bCs/>
          <w:i/>
          <w:iCs/>
          <w:sz w:val="18"/>
          <w:szCs w:val="18"/>
          <w:u w:val="single"/>
        </w:rPr>
        <w:t>Original Research Article</w:t>
      </w:r>
    </w:p>
    <w:p w14:paraId="013A0F06">
      <w:pPr>
        <w:pStyle w:val="20"/>
        <w:ind w:right="-200" w:rightChars="-100"/>
        <w:rPr>
          <w:rFonts w:ascii="Arial" w:hAnsi="Arial" w:eastAsia="SimSun" w:cs="Arial"/>
          <w:bCs/>
          <w:i/>
          <w:iCs/>
          <w:sz w:val="18"/>
          <w:szCs w:val="18"/>
          <w:u w:val="single"/>
        </w:rPr>
      </w:pPr>
    </w:p>
    <w:p w14:paraId="415FC06E">
      <w:pPr>
        <w:pStyle w:val="20"/>
        <w:spacing w:line="240" w:lineRule="auto"/>
        <w:ind w:right="-200" w:rightChars="-100"/>
        <w:rPr>
          <w:rFonts w:ascii="Arial" w:hAnsi="Arial" w:eastAsia="SimSun" w:cs="Arial"/>
          <w:bCs/>
          <w:sz w:val="36"/>
          <w:szCs w:val="36"/>
        </w:rPr>
      </w:pPr>
      <w:r>
        <w:rPr>
          <w:rFonts w:ascii="Arial" w:hAnsi="Arial" w:eastAsia="SimSun" w:cs="Arial"/>
          <w:bCs/>
          <w:sz w:val="36"/>
          <w:szCs w:val="36"/>
        </w:rPr>
        <w:t>Exploring the Therapeutic potential of Bromelain from Pineapple fruit peel: Enzymatic activity, stability and Antibiotic synergy</w:t>
      </w:r>
    </w:p>
    <w:p w14:paraId="116616A1">
      <w:pPr>
        <w:pStyle w:val="20"/>
        <w:spacing w:line="240" w:lineRule="auto"/>
        <w:jc w:val="both"/>
        <w:rPr>
          <w:rFonts w:ascii="Arial" w:hAnsi="Arial" w:eastAsia="TimesNewRomanPS-BoldMT" w:cs="Arial"/>
          <w:b w:val="0"/>
          <w:color w:val="000000"/>
          <w:sz w:val="18"/>
          <w:szCs w:val="18"/>
          <w:lang w:eastAsia="zh-CN"/>
        </w:rPr>
      </w:pPr>
    </w:p>
    <w:p w14:paraId="131BB929">
      <w:pPr>
        <w:pStyle w:val="12"/>
      </w:pPr>
    </w:p>
    <w:p w14:paraId="110E809C">
      <w:pPr>
        <w:pStyle w:val="12"/>
      </w:pPr>
    </w:p>
    <w:p w14:paraId="6ECE1C05">
      <w:pPr>
        <w:pStyle w:val="12"/>
      </w:pPr>
    </w:p>
    <w:p w14:paraId="3D36A860">
      <w:pPr>
        <w:pStyle w:val="32"/>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24" w:bottom="2016" w:left="1616" w:header="720" w:footer="1296" w:gutter="0"/>
          <w:cols w:space="720" w:num="1"/>
          <w:docGrid w:linePitch="272" w:charSpace="0"/>
        </w:sectPr>
      </w:pPr>
      <w:r>
        <w:rPr>
          <w:rFonts w:ascii="Arial" w:hAnsi="Arial" w:cs="Arial"/>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p>
    <w:p w14:paraId="74E65220">
      <w:pPr>
        <w:pStyle w:val="23"/>
        <w:spacing w:after="0"/>
        <w:ind w:left="15" w:hanging="15" w:hangingChars="7"/>
        <w:jc w:val="both"/>
        <w:rPr>
          <w:rFonts w:ascii="Arial" w:hAnsi="Arial" w:cs="Arial"/>
        </w:rPr>
      </w:pPr>
      <w:r>
        <w:rPr>
          <w:rFonts w:ascii="Arial" w:hAnsi="Arial" w:cs="Arial"/>
        </w:rPr>
        <w:t>ABSTRACT</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216"/>
      </w:tblGrid>
      <w:tr w14:paraId="6EE47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rPr>
          <w:jc w:val="center"/>
        </w:trPr>
        <w:tc>
          <w:tcPr>
            <w:tcW w:w="9576" w:type="dxa"/>
            <w:shd w:val="clear" w:color="auto" w:fill="F2F2F2"/>
          </w:tcPr>
          <w:p w14:paraId="42E97B01">
            <w:pPr>
              <w:pStyle w:val="22"/>
              <w:spacing w:after="0"/>
              <w:rPr>
                <w:rFonts w:ascii="Arial" w:hAnsi="Arial" w:eastAsia="Calibri" w:cs="Arial"/>
                <w:szCs w:val="22"/>
              </w:rPr>
            </w:pPr>
            <w:r>
              <w:rPr>
                <w:rFonts w:ascii="Arial" w:hAnsi="Arial" w:eastAsia="Calibri" w:cs="Arial"/>
                <w:b/>
                <w:szCs w:val="22"/>
              </w:rPr>
              <w:t xml:space="preserve">Aims: </w:t>
            </w:r>
            <w:r>
              <w:rPr>
                <w:rFonts w:ascii="Arial" w:hAnsi="Arial" w:cs="Arial"/>
              </w:rPr>
              <w:t>This study investigates the therapeutic potential of bromelain extracted from pineapple fruit peel (</w:t>
            </w:r>
            <w:r>
              <w:rPr>
                <w:rFonts w:ascii="Arial" w:hAnsi="Arial" w:cs="Arial"/>
                <w:i/>
                <w:iCs/>
              </w:rPr>
              <w:t>Ananas comosus</w:t>
            </w:r>
            <w:r>
              <w:rPr>
                <w:rFonts w:ascii="Arial" w:hAnsi="Arial" w:cs="Arial"/>
              </w:rPr>
              <w:t>), focusing on its enzymatic activity, stability, and ability to enhance antibiotic efficacy.</w:t>
            </w:r>
          </w:p>
          <w:p w14:paraId="1220A610">
            <w:pPr>
              <w:pStyle w:val="22"/>
              <w:spacing w:after="0"/>
              <w:rPr>
                <w:rFonts w:ascii="Arial" w:hAnsi="Arial" w:eastAsia="Calibri" w:cs="Arial"/>
                <w:szCs w:val="22"/>
              </w:rPr>
            </w:pPr>
            <w:r>
              <w:rPr>
                <w:rFonts w:ascii="Arial" w:hAnsi="Arial" w:eastAsia="Calibri" w:cs="Arial"/>
                <w:b/>
                <w:szCs w:val="22"/>
              </w:rPr>
              <w:t xml:space="preserve">Study design: </w:t>
            </w:r>
            <w:r>
              <w:rPr>
                <w:rFonts w:ascii="Arial" w:hAnsi="Arial" w:cs="Arial"/>
              </w:rPr>
              <w:t>This was an experimental laboratory-based study designed to explore the extraction, characterization, and antimicrobial effects of bromelain.</w:t>
            </w:r>
          </w:p>
          <w:p w14:paraId="098F7F58">
            <w:pPr>
              <w:pStyle w:val="22"/>
              <w:spacing w:after="0"/>
              <w:rPr>
                <w:rFonts w:ascii="Arial" w:hAnsi="Arial" w:eastAsia="Calibri" w:cs="Arial"/>
                <w:szCs w:val="22"/>
              </w:rPr>
            </w:pPr>
            <w:r>
              <w:rPr>
                <w:rFonts w:ascii="Arial" w:hAnsi="Arial" w:eastAsia="Calibri" w:cs="Arial"/>
                <w:b/>
                <w:szCs w:val="22"/>
              </w:rPr>
              <w:t xml:space="preserve">Place and Duration of Study: </w:t>
            </w:r>
            <w:r>
              <w:rPr>
                <w:rFonts w:ascii="Arial" w:hAnsi="Arial" w:cs="Arial"/>
              </w:rPr>
              <w:t>The study was conducted at the Enzymology unit laboratory FUTA over a period of 4 months that allowed for extraction, purification, and analysis of bromelain's properties, including its antibiotic-enhancing effects.</w:t>
            </w:r>
          </w:p>
          <w:p w14:paraId="61150A0A">
            <w:pPr>
              <w:pStyle w:val="22"/>
              <w:spacing w:after="0"/>
              <w:rPr>
                <w:rFonts w:ascii="Arial" w:hAnsi="Arial" w:eastAsia="Calibri" w:cs="Arial"/>
                <w:szCs w:val="22"/>
              </w:rPr>
            </w:pPr>
            <w:r>
              <w:rPr>
                <w:rFonts w:ascii="Arial" w:hAnsi="Arial" w:eastAsia="Calibri" w:cs="Arial"/>
                <w:b/>
                <w:bCs/>
                <w:szCs w:val="22"/>
              </w:rPr>
              <w:t>Methodology:</w:t>
            </w:r>
            <w:r>
              <w:rPr>
                <w:rFonts w:ascii="Arial" w:hAnsi="Arial" w:eastAsia="Calibri" w:cs="Arial"/>
                <w:szCs w:val="22"/>
              </w:rPr>
              <w:t xml:space="preserve"> </w:t>
            </w:r>
            <w:r>
              <w:rPr>
                <w:rFonts w:ascii="Arial" w:hAnsi="Arial" w:cs="Arial"/>
              </w:rPr>
              <w:t xml:space="preserve">Bromelain was extracted from pineapple fruit peel and assayed as crude enzyme. The enzyme was then purified using ammonium sulphate precipitation and dialysis. Enzymatic activity was assessed at different temperatures (20-90°C) and pH levels (pH 1.0-12.0), with optimum conditions determined. The antibiotic-enhancing effects were evaluated by testing bromelain against </w:t>
            </w:r>
            <w:r>
              <w:rPr>
                <w:rFonts w:ascii="Arial" w:hAnsi="Arial" w:cs="Arial"/>
                <w:i/>
                <w:iCs/>
              </w:rPr>
              <w:t>Staphylococcus aureus</w:t>
            </w:r>
            <w:r>
              <w:rPr>
                <w:rFonts w:ascii="Arial" w:hAnsi="Arial" w:cs="Arial"/>
              </w:rPr>
              <w:t xml:space="preserve"> and </w:t>
            </w:r>
            <w:r>
              <w:rPr>
                <w:rFonts w:ascii="Arial" w:hAnsi="Arial" w:cs="Arial"/>
                <w:i/>
                <w:iCs/>
              </w:rPr>
              <w:t>Staphylococcus epidermidis</w:t>
            </w:r>
            <w:r>
              <w:rPr>
                <w:rFonts w:ascii="Arial" w:hAnsi="Arial" w:cs="Arial"/>
              </w:rPr>
              <w:t>, examining its impact on antibiotic absorption and its synergistic activity when combined with 14 various antibiotics including Ampiclox, Erythromycin, Amoxicillin, Septrin, Augmentin, and Tarivid.</w:t>
            </w:r>
          </w:p>
          <w:p w14:paraId="7F2F0EE0">
            <w:pPr>
              <w:pStyle w:val="22"/>
              <w:spacing w:after="0"/>
              <w:rPr>
                <w:rFonts w:ascii="Arial" w:hAnsi="Arial" w:eastAsia="Calibri" w:cs="Arial"/>
                <w:b/>
                <w:bCs/>
                <w:szCs w:val="22"/>
              </w:rPr>
            </w:pPr>
            <w:r>
              <w:rPr>
                <w:rFonts w:ascii="Arial" w:hAnsi="Arial" w:eastAsia="Calibri" w:cs="Arial"/>
                <w:b/>
                <w:bCs/>
                <w:szCs w:val="22"/>
              </w:rPr>
              <w:t>Results:</w:t>
            </w:r>
            <w:r>
              <w:rPr>
                <w:rFonts w:ascii="Arial" w:hAnsi="Arial" w:cs="Arial"/>
              </w:rPr>
              <w:t xml:space="preserve"> The one step purification of bromelain achieved a 2.33-fold purification, the optimum enzymatic activity of occurred at 40°C, with stability maintained between 30-60°C while activity declined at 70°C. The maximum enzymatic activity was observed at pH 7.0, with reduced activity at extreme pH values. Bromelain significantly enhanced the absorption of antibiotics, showing synergistic effects, particularly against </w:t>
            </w:r>
            <w:r>
              <w:rPr>
                <w:rFonts w:ascii="Arial" w:hAnsi="Arial" w:cs="Arial"/>
                <w:i/>
                <w:iCs/>
              </w:rPr>
              <w:t>Staphylococcus aureus</w:t>
            </w:r>
            <w:r>
              <w:rPr>
                <w:rFonts w:ascii="Arial" w:hAnsi="Arial" w:cs="Arial"/>
              </w:rPr>
              <w:t>. Additionally, bromelain exhibited inherent antibacterial properties and greater efficacy when used alongside antibiotics susceptible to Gram-negative bacteria.</w:t>
            </w:r>
          </w:p>
          <w:p w14:paraId="4B5AA122">
            <w:pPr>
              <w:pStyle w:val="22"/>
              <w:spacing w:after="0"/>
              <w:rPr>
                <w:rFonts w:ascii="Arial" w:hAnsi="Arial" w:eastAsia="Calibri" w:cs="Arial"/>
                <w:szCs w:val="22"/>
              </w:rPr>
            </w:pPr>
            <w:r>
              <w:rPr>
                <w:rFonts w:ascii="Arial" w:hAnsi="Arial" w:eastAsia="Calibri" w:cs="Arial"/>
                <w:b/>
                <w:bCs/>
                <w:szCs w:val="22"/>
              </w:rPr>
              <w:t>Conclusion:</w:t>
            </w:r>
            <w:r>
              <w:rPr>
                <w:rFonts w:ascii="Arial" w:hAnsi="Arial" w:eastAsia="Calibri" w:cs="Arial"/>
                <w:szCs w:val="22"/>
              </w:rPr>
              <w:t xml:space="preserve"> </w:t>
            </w:r>
            <w:r>
              <w:rPr>
                <w:rFonts w:ascii="Arial" w:hAnsi="Arial" w:cs="Arial"/>
              </w:rPr>
              <w:t>This study highlights the potential of bromelain as an antimicrobial agent, particularly for combating bacterial infections caused by Gram-negative bacteria. The enzyme's antibiotic-enhancing and inherent antibacterial properties suggest its possible clinical applications, warranting further research to understand its mechanism of action and explore therapeutic uses.</w:t>
            </w:r>
          </w:p>
        </w:tc>
      </w:tr>
    </w:tbl>
    <w:p w14:paraId="4D81B15A">
      <w:pPr>
        <w:pStyle w:val="22"/>
        <w:spacing w:after="0"/>
        <w:rPr>
          <w:rFonts w:ascii="Arial" w:hAnsi="Arial" w:cs="Arial"/>
          <w:i/>
        </w:rPr>
      </w:pPr>
    </w:p>
    <w:p w14:paraId="037D99F3">
      <w:pPr>
        <w:pStyle w:val="22"/>
        <w:spacing w:after="0"/>
        <w:rPr>
          <w:rFonts w:ascii="Arial" w:hAnsi="Arial" w:cs="Arial"/>
          <w:i/>
        </w:rPr>
      </w:pPr>
      <w:r>
        <w:rPr>
          <w:rFonts w:ascii="Arial" w:hAnsi="Arial" w:cs="Arial"/>
          <w:i/>
        </w:rPr>
        <w:t>Keywords: Bromelain, Pineapple fruit peel, Enzymatic activity, Antibiotic potential, Gram-negative and positive bacteria</w:t>
      </w:r>
      <w:r>
        <w:rPr>
          <w:rFonts w:ascii="Arial" w:hAnsi="Arial" w:cs="Arial"/>
          <w:bCs/>
          <w:i/>
        </w:rPr>
        <w:t>.</w:t>
      </w:r>
    </w:p>
    <w:p w14:paraId="0487A100">
      <w:pPr>
        <w:pStyle w:val="22"/>
        <w:spacing w:after="0"/>
        <w:rPr>
          <w:rFonts w:ascii="Arial" w:hAnsi="Arial" w:cs="Arial"/>
          <w:i/>
        </w:rPr>
      </w:pPr>
    </w:p>
    <w:p w14:paraId="6238266F">
      <w:pPr>
        <w:pStyle w:val="23"/>
        <w:numPr>
          <w:ilvl w:val="0"/>
          <w:numId w:val="2"/>
        </w:numPr>
        <w:spacing w:after="0"/>
        <w:jc w:val="both"/>
        <w:rPr>
          <w:rFonts w:ascii="Arial" w:hAnsi="Arial" w:cs="Arial"/>
          <w:sz w:val="20"/>
        </w:rPr>
      </w:pPr>
      <w:r>
        <w:rPr>
          <w:rFonts w:ascii="Arial" w:hAnsi="Arial" w:cs="Arial"/>
          <w:szCs w:val="22"/>
        </w:rPr>
        <w:t>INTRODUCTION</w:t>
      </w:r>
    </w:p>
    <w:p w14:paraId="1F275B53">
      <w:pPr>
        <w:pStyle w:val="23"/>
        <w:spacing w:after="0"/>
        <w:jc w:val="both"/>
        <w:rPr>
          <w:rFonts w:ascii="Arial" w:hAnsi="Arial" w:cs="Arial"/>
          <w:sz w:val="20"/>
        </w:rPr>
      </w:pPr>
    </w:p>
    <w:p w14:paraId="43E74150">
      <w:pPr>
        <w:jc w:val="both"/>
        <w:rPr>
          <w:rFonts w:ascii="Arial" w:hAnsi="Arial" w:cs="Arial"/>
        </w:rPr>
      </w:pPr>
      <w:r>
        <w:rPr>
          <w:rFonts w:ascii="Arial" w:hAnsi="Arial" w:cs="Arial"/>
        </w:rPr>
        <w:t xml:space="preserve">Bromelain is a group of proteolytic enzymes found in the Bromeliaceae family, primarily in the pineapple (Ananas comosus) plant. While bromelain was initially identified in 1876 (Tochi et al., 2008), it was not fully isolated, purified, and characterized until later (Upadhyay et al., 2010). The term "bromelain" often refers to a mixture of thiol endopeptidases, including other bioactive components like phosphatases, glucosidases, peroxidases, cellulases, glycoproteins, carbohydrates, and protease inhibitors (Bhattacharyya, 2008). It is primarily found in the pineapple stem, although </w:t>
      </w:r>
      <w:r>
        <w:rPr>
          <w:rFonts w:hint="default" w:ascii="Arial" w:hAnsi="Arial" w:cs="Arial"/>
          <w:lang w:val="en-US"/>
        </w:rPr>
        <w:t>it has been also  reported t</w:t>
      </w:r>
      <w:r>
        <w:rPr>
          <w:rFonts w:ascii="Arial" w:hAnsi="Arial" w:cs="Arial"/>
        </w:rPr>
        <w:t>o</w:t>
      </w:r>
      <w:r>
        <w:rPr>
          <w:rFonts w:hint="default" w:ascii="Arial" w:hAnsi="Arial" w:cs="Arial"/>
          <w:lang w:val="en-US"/>
        </w:rPr>
        <w:t xml:space="preserve"> be</w:t>
      </w:r>
      <w:r>
        <w:rPr>
          <w:rFonts w:ascii="Arial" w:hAnsi="Arial" w:cs="Arial"/>
        </w:rPr>
        <w:t xml:space="preserve"> present in the fruit and other plant parts, such as the </w:t>
      </w:r>
      <w:r>
        <w:rPr>
          <w:rFonts w:hint="default" w:ascii="Arial" w:hAnsi="Arial" w:cs="Arial"/>
          <w:lang w:val="en-US"/>
        </w:rPr>
        <w:t xml:space="preserve">peel, </w:t>
      </w:r>
      <w:r>
        <w:rPr>
          <w:rFonts w:ascii="Arial" w:hAnsi="Arial" w:cs="Arial"/>
        </w:rPr>
        <w:t>roots, leaflets, and rind (</w:t>
      </w:r>
      <w:r>
        <w:rPr>
          <w:rFonts w:hint="default" w:ascii="Arial" w:hAnsi="Arial" w:cs="Arial"/>
          <w:highlight w:val="cyan"/>
          <w:lang w:val="en-US"/>
        </w:rPr>
        <w:t xml:space="preserve">Omotoyinbo and Sanni, 2017; Varilla </w:t>
      </w:r>
      <w:r>
        <w:rPr>
          <w:rFonts w:ascii="Arial" w:hAnsi="Arial" w:cs="Arial"/>
          <w:highlight w:val="cyan"/>
        </w:rPr>
        <w:t xml:space="preserve">et al., </w:t>
      </w:r>
      <w:r>
        <w:rPr>
          <w:rFonts w:hint="default" w:ascii="Arial" w:hAnsi="Arial" w:cs="Arial"/>
          <w:highlight w:val="cyan"/>
          <w:lang w:val="en-US"/>
        </w:rPr>
        <w:t>2021</w:t>
      </w:r>
      <w:r>
        <w:rPr>
          <w:rFonts w:ascii="Arial" w:hAnsi="Arial" w:cs="Arial"/>
        </w:rPr>
        <w:t>). The enzyme is categorized into two main types: stem bromelain (EC 3.4.22.32) and fruit bromelain (EC 3.4.22.33) (</w:t>
      </w:r>
      <w:r>
        <w:rPr>
          <w:rFonts w:hint="default" w:ascii="Arial" w:hAnsi="Arial" w:cs="Arial"/>
          <w:lang w:val="en-US"/>
        </w:rPr>
        <w:t>Pavan et al., 2012</w:t>
      </w:r>
      <w:r>
        <w:rPr>
          <w:rFonts w:ascii="Arial" w:hAnsi="Arial" w:cs="Arial"/>
        </w:rPr>
        <w:t>). The stem of the pineapple plant contains multiple proteolytically active components, with the most notable being the F9 proteinase fraction, accounting for about 2% of the total proteins (</w:t>
      </w:r>
      <w:r>
        <w:rPr>
          <w:rFonts w:hint="default" w:ascii="Arial" w:hAnsi="Arial" w:cs="Arial"/>
          <w:highlight w:val="cyan"/>
          <w:lang w:val="en-US"/>
        </w:rPr>
        <w:t>Matagne</w:t>
      </w:r>
      <w:r>
        <w:rPr>
          <w:rFonts w:ascii="Arial" w:hAnsi="Arial" w:cs="Arial"/>
          <w:highlight w:val="cyan"/>
        </w:rPr>
        <w:t xml:space="preserve"> et al., </w:t>
      </w:r>
      <w:r>
        <w:rPr>
          <w:rFonts w:hint="default" w:ascii="Arial" w:hAnsi="Arial" w:cs="Arial"/>
          <w:highlight w:val="cyan"/>
          <w:lang w:val="en-US"/>
        </w:rPr>
        <w:t>2017</w:t>
      </w:r>
      <w:r>
        <w:rPr>
          <w:rFonts w:ascii="Arial" w:hAnsi="Arial" w:cs="Arial"/>
        </w:rPr>
        <w:t>).</w:t>
      </w:r>
    </w:p>
    <w:p w14:paraId="19C182D1">
      <w:pPr>
        <w:jc w:val="both"/>
        <w:rPr>
          <w:rFonts w:ascii="Arial" w:hAnsi="Arial" w:cs="Arial"/>
        </w:rPr>
      </w:pPr>
    </w:p>
    <w:p w14:paraId="2FC43CDB">
      <w:pPr>
        <w:jc w:val="both"/>
        <w:rPr>
          <w:rFonts w:ascii="Arial" w:hAnsi="Arial" w:cs="Arial"/>
        </w:rPr>
      </w:pPr>
      <w:r>
        <w:rPr>
          <w:rFonts w:ascii="Arial" w:hAnsi="Arial" w:cs="Arial"/>
        </w:rPr>
        <w:t>Bromelain has garnered considerable attention due to its extensive clinical applications and therapeutic potential. These include its roles in modulating tumor growth, promoting wound healing, reducing inflammation, enhancing antibiotic action, and improving blood coagulation (</w:t>
      </w:r>
      <w:r>
        <w:rPr>
          <w:rFonts w:ascii="Arial" w:hAnsi="Arial" w:cs="Arial"/>
          <w:highlight w:val="cyan"/>
        </w:rPr>
        <w:t>Rathnavelu</w:t>
      </w:r>
      <w:r>
        <w:rPr>
          <w:rFonts w:hint="default" w:ascii="Arial" w:hAnsi="Arial" w:cs="Arial"/>
          <w:highlight w:val="cyan"/>
          <w:lang w:val="en-US"/>
        </w:rPr>
        <w:t xml:space="preserve"> et al., </w:t>
      </w:r>
      <w:r>
        <w:rPr>
          <w:rFonts w:ascii="Arial" w:hAnsi="Arial" w:cs="Arial"/>
          <w:highlight w:val="cyan"/>
        </w:rPr>
        <w:t>2</w:t>
      </w:r>
      <w:r>
        <w:rPr>
          <w:rFonts w:hint="default" w:ascii="Arial" w:hAnsi="Arial" w:cs="Arial"/>
          <w:highlight w:val="cyan"/>
          <w:lang w:val="en-US"/>
        </w:rPr>
        <w:t>016</w:t>
      </w:r>
      <w:r>
        <w:rPr>
          <w:rFonts w:ascii="Arial" w:hAnsi="Arial" w:cs="Arial"/>
        </w:rPr>
        <w:t>). The enzyme has been shown to reduce joint swelling in arthritis patients and alleviate symptoms such as pain, numbness, and tingling (Bhattacharyya, 2008). Beyond its clinical applications, bromelain has diverse industrial uses, including meat tenderization, beer chill-proofing, and roles in the leather, latex, cosmetics, and pharmaceutical industries (Ketnawa, 2011; Varilla et al., 2021). Its biological activities, such as anti-inflammatory, platelet aggregation inhibition, fibrinolytic, anticancer, and antimicrobial effects, further highlight its broad therapeutic and commercial potential (Manzoor et al., 2016).</w:t>
      </w:r>
    </w:p>
    <w:p w14:paraId="165F687D">
      <w:pPr>
        <w:jc w:val="both"/>
        <w:rPr>
          <w:rFonts w:ascii="Arial" w:hAnsi="Arial" w:cs="Arial"/>
        </w:rPr>
      </w:pPr>
    </w:p>
    <w:p w14:paraId="65384F76">
      <w:pPr>
        <w:jc w:val="both"/>
        <w:rPr>
          <w:rFonts w:ascii="Arial" w:hAnsi="Arial" w:cs="Arial"/>
        </w:rPr>
      </w:pPr>
      <w:r>
        <w:rPr>
          <w:rFonts w:ascii="Arial" w:hAnsi="Arial" w:cs="Arial"/>
        </w:rPr>
        <w:t>Bromelain's clinical efficacy extends to inhibiting platelet aggregation (MacKay et al., 2003), promoting fibrinolysis, and exerting anti-thrombotic effects (Errasti et al., 2016). Additionally, its ability to enhance the absorption of drugs, particularly antibiotics, presents significant clinical interest (Manzoor et al., 2016). Bromelain’s impact on inflammatory processes, cancer cell proliferation (Pillai et al., 2013), wound healing and cardiovascular health (</w:t>
      </w:r>
      <w:r>
        <w:rPr>
          <w:rFonts w:ascii="Arial" w:hAnsi="Arial" w:cs="Arial"/>
          <w:highlight w:val="cyan"/>
        </w:rPr>
        <w:t>Kansakar et al., 20</w:t>
      </w:r>
      <w:r>
        <w:rPr>
          <w:rFonts w:hint="default" w:ascii="Arial" w:hAnsi="Arial" w:cs="Arial"/>
          <w:highlight w:val="cyan"/>
          <w:lang w:val="en-US"/>
        </w:rPr>
        <w:t>24</w:t>
      </w:r>
      <w:r>
        <w:rPr>
          <w:rFonts w:ascii="Arial" w:hAnsi="Arial" w:cs="Arial"/>
        </w:rPr>
        <w:t>) further underscores its therapeutic versatility. This broad range of biological activities makes bromelain a valuable candidate for use in both clinical and industrial applications.</w:t>
      </w:r>
    </w:p>
    <w:p w14:paraId="3C4D49B8">
      <w:pPr>
        <w:jc w:val="both"/>
        <w:rPr>
          <w:rFonts w:ascii="Arial" w:hAnsi="Arial" w:cs="Arial"/>
        </w:rPr>
      </w:pPr>
    </w:p>
    <w:p w14:paraId="7C11E83D">
      <w:pPr>
        <w:jc w:val="both"/>
        <w:rPr>
          <w:rFonts w:ascii="Arial" w:hAnsi="Arial" w:cs="Arial"/>
        </w:rPr>
      </w:pPr>
      <w:r>
        <w:rPr>
          <w:rFonts w:ascii="Arial" w:hAnsi="Arial" w:cs="Arial"/>
        </w:rPr>
        <w:t>The processing of pineapples generates significant waste, particularly in the form of peels and cores, which can constitute up to 50% of the total weight of the fruit (Kamusoko and Mukumba, 2025). Despite their bioactive content, including bromelain, these pineapple by-products are often discarded or used as animal feed or fertilizer, resulting in substantial waste. However, these pineapple waste materials present an opportunity to extract valuable bioactive compounds such as bromelain, thereby contributing to both waste reduction and the development of high-value products.</w:t>
      </w:r>
    </w:p>
    <w:p w14:paraId="5607688A">
      <w:pPr>
        <w:jc w:val="both"/>
        <w:rPr>
          <w:rFonts w:ascii="Arial" w:hAnsi="Arial" w:cs="Arial"/>
        </w:rPr>
      </w:pPr>
    </w:p>
    <w:p w14:paraId="7542640D">
      <w:pPr>
        <w:jc w:val="both"/>
        <w:rPr>
          <w:rFonts w:ascii="Arial" w:hAnsi="Arial" w:eastAsia="SimSun" w:cs="Arial"/>
        </w:rPr>
      </w:pPr>
      <w:r>
        <w:rPr>
          <w:rFonts w:ascii="Arial" w:hAnsi="Arial" w:cs="Arial"/>
        </w:rPr>
        <w:t>Bromelain, with its diverse bioactive properties, has demonstrated therapeutic potential in several disorders, including inflammatory conditions, thrombosis, and bacterial infections. Clinical studies have shown that bromelain may help in treating conditions like bronchitis, angina pectoris, surgical trauma, sinusitis, and pyelonephritis. Additionally, it is known to enhance the absorption of drugs, especially antibiotics, making it a promising adjunct in antibiotic therapy (Manzoor et al., 2016). This study aims to investigate the antibacterial properties of crude bromelain extracts from pineapple peels, particularly focusing on its potential to enhance the action of antibiotics.</w:t>
      </w:r>
      <w:r>
        <w:rPr>
          <w:rFonts w:ascii="Arial" w:hAnsi="Arial" w:eastAsia="SimSun" w:cs="Arial"/>
        </w:rPr>
        <w:t xml:space="preserve"> </w:t>
      </w:r>
    </w:p>
    <w:p w14:paraId="0F053279">
      <w:pPr>
        <w:jc w:val="both"/>
        <w:rPr>
          <w:rFonts w:ascii="Arial" w:hAnsi="Arial" w:eastAsia="SimSun" w:cs="Arial"/>
        </w:rPr>
      </w:pPr>
    </w:p>
    <w:p w14:paraId="556E0739">
      <w:pPr>
        <w:numPr>
          <w:ilvl w:val="0"/>
          <w:numId w:val="2"/>
        </w:numPr>
        <w:jc w:val="both"/>
        <w:rPr>
          <w:rFonts w:ascii="Arial" w:hAnsi="Arial" w:eastAsia="SimSun" w:cs="Arial"/>
          <w:b/>
          <w:bCs/>
        </w:rPr>
      </w:pPr>
      <w:r>
        <w:rPr>
          <w:rFonts w:ascii="Arial" w:hAnsi="Arial" w:eastAsia="SimSun" w:cs="Arial"/>
          <w:b/>
          <w:bCs/>
          <w:sz w:val="22"/>
          <w:szCs w:val="22"/>
        </w:rPr>
        <w:t>MATERIALS AND METHODS</w:t>
      </w:r>
    </w:p>
    <w:p w14:paraId="7918098B">
      <w:pPr>
        <w:jc w:val="both"/>
        <w:rPr>
          <w:rFonts w:ascii="Arial" w:hAnsi="Arial" w:eastAsia="SimSun" w:cs="Arial"/>
          <w:b/>
          <w:bCs/>
        </w:rPr>
      </w:pPr>
    </w:p>
    <w:p w14:paraId="2A3312A8">
      <w:pPr>
        <w:numPr>
          <w:ilvl w:val="1"/>
          <w:numId w:val="2"/>
        </w:numPr>
        <w:jc w:val="both"/>
        <w:rPr>
          <w:rFonts w:ascii="Arial" w:hAnsi="Arial" w:eastAsia="SimSun" w:cs="Arial"/>
          <w:b/>
          <w:bCs/>
        </w:rPr>
      </w:pPr>
      <w:r>
        <w:rPr>
          <w:rFonts w:ascii="Arial" w:hAnsi="Arial" w:eastAsia="SimSun" w:cs="Arial"/>
          <w:b/>
          <w:bCs/>
          <w:sz w:val="22"/>
          <w:szCs w:val="22"/>
        </w:rPr>
        <w:t>Materials</w:t>
      </w:r>
    </w:p>
    <w:p w14:paraId="045F85EF">
      <w:pPr>
        <w:jc w:val="both"/>
        <w:rPr>
          <w:rFonts w:ascii="Arial" w:hAnsi="Arial" w:cs="Arial"/>
          <w:b/>
          <w:bCs/>
          <w:u w:val="single"/>
        </w:rPr>
      </w:pPr>
    </w:p>
    <w:p w14:paraId="5FA1DF90">
      <w:pPr>
        <w:jc w:val="both"/>
        <w:rPr>
          <w:rFonts w:ascii="Arial" w:hAnsi="Arial" w:eastAsia="SimSun" w:cs="Arial"/>
          <w:b/>
          <w:bCs/>
          <w:u w:val="single"/>
        </w:rPr>
      </w:pPr>
      <w:r>
        <w:rPr>
          <w:rFonts w:ascii="Arial" w:hAnsi="Arial" w:cs="Arial"/>
          <w:b/>
          <w:bCs/>
          <w:u w:val="single"/>
        </w:rPr>
        <w:t>2.1.1. Sample Collection</w:t>
      </w:r>
    </w:p>
    <w:p w14:paraId="600A8AED">
      <w:pPr>
        <w:jc w:val="both"/>
        <w:rPr>
          <w:rFonts w:ascii="Arial" w:hAnsi="Arial" w:cs="Arial"/>
        </w:rPr>
      </w:pPr>
      <w:r>
        <w:rPr>
          <w:rFonts w:ascii="Arial" w:hAnsi="Arial" w:cs="Arial"/>
        </w:rPr>
        <w:t>A fresh, mature pineapple fruit (</w:t>
      </w:r>
      <w:r>
        <w:rPr>
          <w:rFonts w:ascii="Arial" w:hAnsi="Arial" w:cs="Arial"/>
          <w:i/>
        </w:rPr>
        <w:t>Ananas comosus</w:t>
      </w:r>
      <w:r>
        <w:rPr>
          <w:rFonts w:ascii="Arial" w:hAnsi="Arial" w:cs="Arial"/>
        </w:rPr>
        <w:t xml:space="preserve">) was purchased from a local market in Ondo town, Ondo State, Nigeria (GPS coordinates: 7.09463, 4.83834) in April 2023. The fruit was identified and verified at the herbarium of the University of Medical Sciences, Ondo. Food isolates of </w:t>
      </w:r>
      <w:r>
        <w:rPr>
          <w:rFonts w:ascii="Arial" w:hAnsi="Arial" w:cs="Arial"/>
          <w:i/>
        </w:rPr>
        <w:t>Staphylococcus aureus</w:t>
      </w:r>
      <w:r>
        <w:rPr>
          <w:rFonts w:ascii="Arial" w:hAnsi="Arial" w:cs="Arial"/>
          <w:iCs/>
        </w:rPr>
        <w:t xml:space="preserve"> and </w:t>
      </w:r>
      <w:r>
        <w:rPr>
          <w:rFonts w:ascii="Arial" w:hAnsi="Arial" w:cs="Arial"/>
          <w:i/>
        </w:rPr>
        <w:t>Staphylococcus epidermidis</w:t>
      </w:r>
      <w:r>
        <w:rPr>
          <w:rFonts w:ascii="Arial" w:hAnsi="Arial" w:cs="Arial"/>
        </w:rPr>
        <w:t xml:space="preserve"> were obtained from the Postgraduate Laboratory of the Department of Biology, Federal University of Technology, Akure (FUTA). The pure bacterial isolates were maintained on agar slants stored at 4°C.</w:t>
      </w:r>
    </w:p>
    <w:p w14:paraId="0F808A5B">
      <w:pPr>
        <w:jc w:val="both"/>
        <w:rPr>
          <w:rFonts w:ascii="Arial" w:hAnsi="Arial" w:cs="Arial"/>
        </w:rPr>
      </w:pPr>
    </w:p>
    <w:p w14:paraId="514879E2">
      <w:pPr>
        <w:jc w:val="both"/>
        <w:rPr>
          <w:rFonts w:ascii="Arial" w:hAnsi="Arial" w:cs="Arial"/>
          <w:b/>
          <w:iCs/>
        </w:rPr>
      </w:pPr>
      <w:r>
        <w:rPr>
          <w:rFonts w:ascii="Arial" w:hAnsi="Arial" w:cs="Arial"/>
          <w:b/>
          <w:u w:val="single"/>
        </w:rPr>
        <w:t>2.1.2. Chemicals and Reagents</w:t>
      </w:r>
      <w:r>
        <w:rPr>
          <w:rFonts w:ascii="Arial" w:hAnsi="Arial" w:cs="Arial"/>
          <w:b/>
          <w:iCs/>
        </w:rPr>
        <w:t xml:space="preserve"> </w:t>
      </w:r>
    </w:p>
    <w:p w14:paraId="6478AF1D">
      <w:pPr>
        <w:jc w:val="both"/>
        <w:rPr>
          <w:rFonts w:ascii="Arial" w:hAnsi="Arial" w:cs="Arial"/>
        </w:rPr>
      </w:pPr>
      <w:r>
        <w:rPr>
          <w:rFonts w:ascii="Arial" w:hAnsi="Arial" w:cs="Arial"/>
        </w:rPr>
        <w:t>The chemicals used in this study included ammonium sulfate, sodium dihydrogen phosphate, dihydrogen sodium phosphate, sodium carbonate, casein, hydrogen peroxide, Folin-Ciocalteau reagent, trichloroacetic acid, ethanol, distilled water, Bradford reagent, gelatin, ethylenediamine tetraacetic acid (EDTA), and bovine serum albumin (BSA). All chemicals and reagents were of analytical grade.</w:t>
      </w:r>
    </w:p>
    <w:p w14:paraId="04E2C77A">
      <w:pPr>
        <w:jc w:val="both"/>
        <w:rPr>
          <w:rFonts w:ascii="Arial" w:hAnsi="Arial" w:cs="Arial"/>
        </w:rPr>
      </w:pPr>
    </w:p>
    <w:p w14:paraId="0B0B41EE">
      <w:pPr>
        <w:jc w:val="both"/>
        <w:rPr>
          <w:rFonts w:ascii="Arial" w:hAnsi="Arial" w:cs="Arial"/>
          <w:b/>
          <w:iCs/>
        </w:rPr>
      </w:pPr>
      <w:r>
        <w:rPr>
          <w:rFonts w:ascii="Arial" w:hAnsi="Arial" w:cs="Arial"/>
          <w:b/>
          <w:u w:val="single"/>
        </w:rPr>
        <w:t xml:space="preserve">2.1.3. </w:t>
      </w:r>
      <w:r>
        <w:rPr>
          <w:rFonts w:ascii="Arial" w:hAnsi="Arial" w:cs="Arial"/>
          <w:b/>
          <w:bCs/>
          <w:u w:val="single"/>
        </w:rPr>
        <w:t>Equipment and Glassware</w:t>
      </w:r>
      <w:r>
        <w:rPr>
          <w:rFonts w:ascii="Arial" w:hAnsi="Arial" w:cs="Arial"/>
          <w:b/>
          <w:iCs/>
        </w:rPr>
        <w:t xml:space="preserve"> </w:t>
      </w:r>
    </w:p>
    <w:p w14:paraId="49ECFA30">
      <w:pPr>
        <w:jc w:val="both"/>
        <w:rPr>
          <w:rFonts w:ascii="Arial" w:hAnsi="Arial" w:cs="Arial"/>
        </w:rPr>
      </w:pPr>
      <w:r>
        <w:rPr>
          <w:rFonts w:ascii="Arial" w:hAnsi="Arial" w:cs="Arial"/>
        </w:rPr>
        <w:t>The equipment and glassware used included a blender, pH meter, analytical weighing balance, filter paper, knife, bowl, cotton wool, funnel, test tubes, beakers, micropipettes, UV-Visible spectrophotometer (BOSCH, Germany), wash bottles, dialysis bags, cold centrifuge, volumetric flasks, glass rod, Whatman No. 1 filter paper, autoclave, inoculating loop, and spirit lamp. All equipment was in proper working condition.</w:t>
      </w:r>
    </w:p>
    <w:p w14:paraId="2346DC28">
      <w:pPr>
        <w:jc w:val="both"/>
        <w:rPr>
          <w:rFonts w:ascii="Arial" w:hAnsi="Arial" w:cs="Arial"/>
          <w:b/>
        </w:rPr>
      </w:pPr>
    </w:p>
    <w:p w14:paraId="7078A067">
      <w:pPr>
        <w:numPr>
          <w:ilvl w:val="1"/>
          <w:numId w:val="2"/>
        </w:numPr>
        <w:jc w:val="both"/>
        <w:rPr>
          <w:rFonts w:ascii="Arial" w:hAnsi="Arial" w:eastAsia="SimSun" w:cs="Arial"/>
          <w:b/>
          <w:bCs/>
        </w:rPr>
      </w:pPr>
      <w:r>
        <w:rPr>
          <w:rFonts w:ascii="Arial" w:hAnsi="Arial" w:eastAsia="SimSun" w:cs="Arial"/>
          <w:b/>
          <w:bCs/>
          <w:sz w:val="22"/>
          <w:szCs w:val="22"/>
        </w:rPr>
        <w:t>Methods</w:t>
      </w:r>
    </w:p>
    <w:p w14:paraId="5EAE8042">
      <w:pPr>
        <w:jc w:val="both"/>
        <w:rPr>
          <w:rFonts w:ascii="Arial" w:hAnsi="Arial" w:cs="Arial"/>
          <w:b/>
        </w:rPr>
      </w:pPr>
    </w:p>
    <w:p w14:paraId="677B5318">
      <w:pPr>
        <w:jc w:val="both"/>
        <w:rPr>
          <w:rFonts w:ascii="Arial" w:hAnsi="Arial" w:cs="Arial"/>
        </w:rPr>
      </w:pPr>
      <w:r>
        <w:rPr>
          <w:rFonts w:ascii="Arial" w:hAnsi="Arial" w:cs="Arial"/>
          <w:b/>
          <w:u w:val="single"/>
        </w:rPr>
        <w:t>2.2.1. Sample Preparation</w:t>
      </w:r>
    </w:p>
    <w:p w14:paraId="012FA7E0">
      <w:pPr>
        <w:jc w:val="both"/>
        <w:rPr>
          <w:rFonts w:ascii="Arial" w:hAnsi="Arial" w:cs="Arial"/>
        </w:rPr>
      </w:pPr>
      <w:r>
        <w:rPr>
          <w:rFonts w:ascii="Arial" w:hAnsi="Arial" w:cs="Arial"/>
        </w:rPr>
        <w:t>The pineapple fruit was thoroughly washed with 1% hydrogen peroxide and peeled. The crown, core, flesh, and peel of the pineapple were weighed. The peel was separated for bromelain extraction. It was then suspended in a 0.2M sodium phosphate buffer (pH 7.0) at a 2:1 ratio, blended, and the juice was extracted using cheesecloth. The filtrate was collected for further processing.</w:t>
      </w:r>
    </w:p>
    <w:p w14:paraId="1C47DBEC">
      <w:pPr>
        <w:jc w:val="both"/>
        <w:rPr>
          <w:rFonts w:ascii="Arial" w:hAnsi="Arial" w:cs="Arial"/>
          <w:b/>
          <w:bCs/>
        </w:rPr>
      </w:pPr>
    </w:p>
    <w:p w14:paraId="0BCCB246">
      <w:pPr>
        <w:jc w:val="both"/>
        <w:rPr>
          <w:rFonts w:ascii="Arial" w:hAnsi="Arial" w:cs="Arial"/>
        </w:rPr>
      </w:pPr>
      <w:r>
        <w:rPr>
          <w:rFonts w:ascii="Arial" w:hAnsi="Arial" w:cs="Arial"/>
          <w:b/>
          <w:bCs/>
          <w:u w:val="single"/>
        </w:rPr>
        <w:t>2.2.2. Extraction of Crude Enzyme</w:t>
      </w:r>
    </w:p>
    <w:p w14:paraId="46DFD59F">
      <w:pPr>
        <w:jc w:val="both"/>
        <w:rPr>
          <w:rFonts w:ascii="Arial" w:hAnsi="Arial" w:cs="Arial"/>
        </w:rPr>
      </w:pPr>
      <w:r>
        <w:rPr>
          <w:rFonts w:ascii="Arial" w:hAnsi="Arial" w:cs="Arial"/>
        </w:rPr>
        <w:t>The homogenized filtrate was centrifuged at 15,000 rpm for 15 minutes at 4°C using a cold centrifuge. The supernatant, which contained the crude extract, was collected and stored at 4°C to preserve enzyme activity until further use.</w:t>
      </w:r>
    </w:p>
    <w:p w14:paraId="14132113">
      <w:pPr>
        <w:jc w:val="both"/>
        <w:rPr>
          <w:rFonts w:ascii="Arial" w:hAnsi="Arial" w:cs="Arial"/>
          <w:b/>
          <w:bCs/>
        </w:rPr>
      </w:pPr>
    </w:p>
    <w:p w14:paraId="0A36A7AE">
      <w:pPr>
        <w:jc w:val="both"/>
        <w:rPr>
          <w:rFonts w:ascii="Arial" w:hAnsi="Arial" w:cs="Arial"/>
          <w:b/>
          <w:bCs/>
          <w:u w:val="single"/>
        </w:rPr>
      </w:pPr>
      <w:r>
        <w:rPr>
          <w:rFonts w:ascii="Arial" w:hAnsi="Arial" w:cs="Arial"/>
          <w:b/>
          <w:bCs/>
          <w:u w:val="single"/>
        </w:rPr>
        <w:t>2.2.3. Determination of Proteolytic Activity</w:t>
      </w:r>
    </w:p>
    <w:p w14:paraId="67833BAB">
      <w:pPr>
        <w:jc w:val="both"/>
        <w:rPr>
          <w:rFonts w:hint="default" w:ascii="Arial" w:hAnsi="Arial" w:eastAsia="SimSun" w:cs="Arial"/>
          <w:sz w:val="20"/>
          <w:szCs w:val="20"/>
          <w:highlight w:val="cyan"/>
        </w:rPr>
      </w:pPr>
      <w:r>
        <w:rPr>
          <w:rFonts w:hint="default" w:ascii="Arial" w:hAnsi="Arial" w:eastAsia="SimSun" w:cs="Arial"/>
          <w:sz w:val="20"/>
          <w:szCs w:val="20"/>
          <w:highlight w:val="cyan"/>
        </w:rPr>
        <w:t>Proteolytic activity was determined using a modified casein digestion method. A 0.65% casein solution was prepared in distilled water and pre-equilibrated at 37°C for 5 minutes. Three test tubes were labeled: blank, 1, and 2. To each tube, 5 mL of the casein solution was added. One milliliter of the enzyme extract was added to tubes 1 and 2 (duplicates), while in the blank, 5 mL of 0.11 M trichloroacetic acid (TCA) was added before adding the enzyme to immediately stop the reaction and serve as a control for non-enzymatic hydrolysis. All tubes were incubated at 37°C for 10 minutes (except the blank). After incubation, 5 mL of 0.11 M TCA was added to tubes 1 and 2 to stop the reaction, and all tubes were left at room temperature for 30 minutes to ensure complete protein precipitation.</w:t>
      </w:r>
    </w:p>
    <w:p w14:paraId="0F90189A">
      <w:pPr>
        <w:jc w:val="both"/>
        <w:rPr>
          <w:rFonts w:hint="default" w:ascii="Arial" w:hAnsi="Arial" w:eastAsia="SimSun" w:cs="Arial"/>
          <w:sz w:val="20"/>
          <w:szCs w:val="20"/>
          <w:highlight w:val="cyan"/>
        </w:rPr>
      </w:pPr>
    </w:p>
    <w:p w14:paraId="35448931">
      <w:pPr>
        <w:jc w:val="both"/>
        <w:rPr>
          <w:rFonts w:hint="default" w:ascii="Arial" w:hAnsi="Arial" w:cs="Arial"/>
          <w:sz w:val="20"/>
          <w:szCs w:val="20"/>
          <w:highlight w:val="cyan"/>
        </w:rPr>
      </w:pPr>
      <w:r>
        <w:rPr>
          <w:rFonts w:hint="default" w:ascii="Arial" w:hAnsi="Arial" w:eastAsia="SimSun" w:cs="Arial"/>
          <w:sz w:val="20"/>
          <w:szCs w:val="20"/>
          <w:highlight w:val="cyan"/>
        </w:rPr>
        <w:t>The mixtures were filtered using Whatman No. 1 filter paper, and 2.5 mL of sodium carbonate solution was added to each filtrate, followed by 0.5 mL of diluted (1:1) Folin–Ciocalteu reagent. Tubes were incubated at 37°C for 30 minutes, and absorbance was measured at 660 nm using a UV-Vis spectrophotometer. A tyrosine standard curve (0–100 µg/mL) was used to quantify the amount of tyrosine released.</w:t>
      </w:r>
    </w:p>
    <w:p w14:paraId="6D12B0EC">
      <w:pPr>
        <w:pStyle w:val="16"/>
        <w:keepNext w:val="0"/>
        <w:keepLines w:val="0"/>
        <w:widowControl/>
        <w:suppressLineNumbers w:val="0"/>
        <w:tabs>
          <w:tab w:val="left" w:pos="9000"/>
        </w:tabs>
        <w:spacing w:before="0" w:beforeAutospacing="1" w:after="0" w:afterAutospacing="1"/>
        <w:ind w:right="0" w:rightChars="0"/>
        <w:jc w:val="both"/>
        <w:rPr>
          <w:rFonts w:hint="default" w:ascii="Arial" w:hAnsi="Arial" w:cs="Arial"/>
          <w:sz w:val="20"/>
          <w:szCs w:val="20"/>
        </w:rPr>
      </w:pPr>
      <w:r>
        <w:rPr>
          <w:rFonts w:hint="default" w:ascii="Arial" w:hAnsi="Arial" w:eastAsia="SimSun" w:cs="Arial"/>
          <w:sz w:val="20"/>
          <w:szCs w:val="20"/>
          <w:highlight w:val="cyan"/>
        </w:rPr>
        <w:t>One unit (U) of proteolytic activity was defined as the amount of enzyme that liberates 1 µmol of tyrosine per minute under the assay conditions. Results were expressed as U/mL of enzyme extract.</w:t>
      </w:r>
    </w:p>
    <w:p w14:paraId="5F3C68C7">
      <w:pPr>
        <w:jc w:val="both"/>
        <w:rPr>
          <w:rFonts w:ascii="Arial" w:hAnsi="Arial" w:cs="Arial"/>
        </w:rPr>
      </w:pPr>
      <w:r>
        <w:rPr>
          <w:rFonts w:ascii="Arial" w:hAnsi="Arial" w:cs="Arial"/>
        </w:rPr>
        <w:t xml:space="preserve">Enzyme activity (Units/ml) was determined using the formula:  </w:t>
      </w:r>
    </w:p>
    <w:p w14:paraId="2B8C9254">
      <w:pPr>
        <w:rPr>
          <w:rFonts w:ascii="Arial" w:hAnsi="Arial" w:cs="Arial"/>
        </w:rPr>
      </w:pPr>
      <m:oMathPara>
        <m:oMath>
          <m:r>
            <m:rPr>
              <m:sty m:val="p"/>
            </m:rPr>
            <w:rPr>
              <w:rFonts w:ascii="Cambria Math" w:hAnsi="Cambria Math" w:cs="Arial"/>
            </w:rPr>
            <m:t>Enzyme activity (Units/ml)=</m:t>
          </m:r>
          <m:f>
            <m:fPr>
              <m:ctrlPr>
                <w:rPr>
                  <w:rFonts w:ascii="Cambria Math" w:hAnsi="Cambria Math" w:cs="Arial"/>
                </w:rPr>
              </m:ctrlPr>
            </m:fPr>
            <m:num>
              <m:r>
                <m:rPr>
                  <m:sty m:val="p"/>
                </m:rPr>
                <w:rPr>
                  <w:rFonts w:ascii="Cambria Math" w:hAnsi="Cambria Math" w:cs="Arial"/>
                </w:rPr>
                <m:t>μmol of tyrosine released ×total volume of assay</m:t>
              </m:r>
              <m:ctrlPr>
                <w:rPr>
                  <w:rFonts w:ascii="Cambria Math" w:hAnsi="Cambria Math" w:cs="Arial"/>
                </w:rPr>
              </m:ctrlPr>
            </m:num>
            <m:den>
              <m:r>
                <m:rPr>
                  <m:sty m:val="p"/>
                </m:rPr>
                <w:rPr>
                  <w:rFonts w:ascii="Cambria Math" w:hAnsi="Cambria Math" w:cs="Arial"/>
                </w:rPr>
                <m:t>vol. of sample ×reaction time×vol. of cuvette</m:t>
              </m:r>
              <m:ctrlPr>
                <w:rPr>
                  <w:rFonts w:ascii="Cambria Math" w:hAnsi="Cambria Math" w:cs="Arial"/>
                </w:rPr>
              </m:ctrlPr>
            </m:den>
          </m:f>
        </m:oMath>
      </m:oMathPara>
    </w:p>
    <w:p w14:paraId="4D863DFD">
      <w:pPr>
        <w:jc w:val="both"/>
        <w:rPr>
          <w:rFonts w:ascii="Arial" w:hAnsi="Arial" w:cs="Arial"/>
        </w:rPr>
      </w:pPr>
    </w:p>
    <w:p w14:paraId="3204DEBD">
      <w:pPr>
        <w:jc w:val="both"/>
        <w:rPr>
          <w:rFonts w:ascii="Arial" w:hAnsi="Arial" w:cs="Arial"/>
        </w:rPr>
      </w:pPr>
      <w:r>
        <w:rPr>
          <w:rFonts w:ascii="Arial" w:hAnsi="Arial" w:cs="Arial"/>
          <w:b/>
          <w:bCs/>
          <w:u w:val="single"/>
        </w:rPr>
        <w:t>2.2.4. Determination of Protein Concentration</w:t>
      </w:r>
    </w:p>
    <w:p w14:paraId="7FE1CB9A">
      <w:pPr>
        <w:jc w:val="both"/>
        <w:rPr>
          <w:rFonts w:ascii="Arial" w:hAnsi="Arial" w:cs="Arial"/>
        </w:rPr>
      </w:pPr>
      <w:r>
        <w:rPr>
          <w:rFonts w:ascii="Arial" w:hAnsi="Arial" w:cs="Arial"/>
        </w:rPr>
        <w:t>Protein concentration was determined using the Bradford method (Bradford, 1976), with Bovine Serum Albumin (BSA) as the standard. Absorbance was measured at 595 nm at each purification step.</w:t>
      </w:r>
    </w:p>
    <w:p w14:paraId="144CD613">
      <w:pPr>
        <w:jc w:val="both"/>
        <w:rPr>
          <w:rFonts w:ascii="Arial" w:hAnsi="Arial" w:cs="Arial"/>
          <w:b/>
          <w:bCs/>
        </w:rPr>
      </w:pPr>
    </w:p>
    <w:p w14:paraId="62BD4595">
      <w:pPr>
        <w:jc w:val="both"/>
        <w:rPr>
          <w:rFonts w:ascii="Arial" w:hAnsi="Arial" w:cs="Arial"/>
        </w:rPr>
      </w:pPr>
      <w:r>
        <w:rPr>
          <w:rFonts w:ascii="Arial" w:hAnsi="Arial" w:cs="Arial"/>
          <w:b/>
          <w:bCs/>
          <w:u w:val="single"/>
        </w:rPr>
        <w:t>2.2.5. Preparation of Tyrosine Standard</w:t>
      </w:r>
    </w:p>
    <w:p w14:paraId="12234531">
      <w:pPr>
        <w:jc w:val="both"/>
        <w:rPr>
          <w:rFonts w:ascii="Arial" w:hAnsi="Arial" w:cs="Arial"/>
        </w:rPr>
      </w:pPr>
      <w:r>
        <w:rPr>
          <w:rFonts w:ascii="Arial" w:hAnsi="Arial" w:cs="Arial"/>
        </w:rPr>
        <w:t>A standard 1.1 mM tyrosine solution was diluted to prepare a series of concentrations: 0.0275, 0.055, 0.11, 0.22, 0.44, and 0.88 mM. Each standard was prepared by diluting 0.05, 0.10, 0.20, 0.40, 0.80, and 1.6 ml of tyrosine solution to a final volume of 2 ml with water.</w:t>
      </w:r>
    </w:p>
    <w:p w14:paraId="6E221707">
      <w:pPr>
        <w:jc w:val="both"/>
        <w:rPr>
          <w:rFonts w:ascii="Arial" w:hAnsi="Arial" w:cs="Arial"/>
          <w:b/>
          <w:bCs/>
        </w:rPr>
      </w:pPr>
    </w:p>
    <w:p w14:paraId="2CDA6A85">
      <w:pPr>
        <w:jc w:val="both"/>
        <w:rPr>
          <w:rFonts w:ascii="Arial" w:hAnsi="Arial" w:cs="Arial"/>
        </w:rPr>
      </w:pPr>
      <w:r>
        <w:rPr>
          <w:rFonts w:ascii="Arial" w:hAnsi="Arial" w:cs="Arial"/>
          <w:b/>
          <w:bCs/>
          <w:u w:val="single"/>
        </w:rPr>
        <w:t>2.2.6. Purification of Crude Extract</w:t>
      </w:r>
    </w:p>
    <w:p w14:paraId="52353746">
      <w:pPr>
        <w:jc w:val="both"/>
        <w:rPr>
          <w:rFonts w:ascii="Arial" w:hAnsi="Arial" w:cs="Arial"/>
          <w:i/>
          <w:iCs/>
        </w:rPr>
      </w:pPr>
    </w:p>
    <w:p w14:paraId="5E9652CB">
      <w:pPr>
        <w:jc w:val="both"/>
        <w:rPr>
          <w:rFonts w:ascii="Arial" w:hAnsi="Arial" w:cs="Arial"/>
        </w:rPr>
      </w:pPr>
      <w:r>
        <w:rPr>
          <w:rFonts w:ascii="Arial" w:hAnsi="Arial" w:cs="Arial"/>
          <w:i/>
          <w:iCs/>
        </w:rPr>
        <w:t>2.2.6.1. Precipitation of the Crude Extract</w:t>
      </w:r>
    </w:p>
    <w:p w14:paraId="47F311D5">
      <w:pPr>
        <w:jc w:val="both"/>
        <w:rPr>
          <w:rFonts w:ascii="Arial" w:hAnsi="Arial" w:cs="Arial"/>
        </w:rPr>
      </w:pPr>
      <w:r>
        <w:rPr>
          <w:rFonts w:ascii="Arial" w:hAnsi="Arial" w:cs="Arial"/>
        </w:rPr>
        <w:t>Ammonium sulfate was used to precipitate proteins from the crude extract. The extract was cooled to 4°C, and ammonium sulfate was added to achieve 0-50% saturation. The solution was stirred for 30 minutes at 4°C and left to stand for 24 hours. The solution was then centrifuged at 10,000 rpm for 15 minutes at 4°C. The supernatant was discarded, and the pellet was resolubilized in 0.05M phosphate buffer (pH 7.0) for further purification.</w:t>
      </w:r>
    </w:p>
    <w:p w14:paraId="52FFFB49">
      <w:pPr>
        <w:jc w:val="both"/>
        <w:rPr>
          <w:rFonts w:ascii="Arial" w:hAnsi="Arial" w:cs="Arial"/>
        </w:rPr>
      </w:pPr>
    </w:p>
    <w:p w14:paraId="4157F05E">
      <w:pPr>
        <w:jc w:val="both"/>
        <w:rPr>
          <w:rFonts w:ascii="Arial" w:hAnsi="Arial" w:cs="Arial"/>
        </w:rPr>
      </w:pPr>
      <w:r>
        <w:rPr>
          <w:rFonts w:ascii="Arial" w:hAnsi="Arial" w:cs="Arial"/>
          <w:i/>
          <w:iCs/>
        </w:rPr>
        <w:t>2.2.6.2. Desalting and concentration of enzyme</w:t>
      </w:r>
    </w:p>
    <w:p w14:paraId="65AD1F9C">
      <w:pPr>
        <w:jc w:val="both"/>
        <w:rPr>
          <w:rFonts w:ascii="Arial" w:hAnsi="Arial" w:cs="Arial"/>
        </w:rPr>
      </w:pPr>
      <w:r>
        <w:rPr>
          <w:rFonts w:ascii="Arial" w:hAnsi="Arial" w:cs="Arial"/>
        </w:rPr>
        <w:t>The resolubilized sample was placed in a dialysis bag, which was suspended in 100 mM phosphate buffer with hourly change of buffer for six hours at 10°C. The setup helped enhance desalting of the precipitated bromelain. Thereafter desalted enzyme in dialysis bag was placed in in 2M sucrose solution; this setup was also kept in refrigerated conditions overnight to allow for concentration.</w:t>
      </w:r>
    </w:p>
    <w:p w14:paraId="3DA29F3B">
      <w:pPr>
        <w:jc w:val="both"/>
        <w:rPr>
          <w:rFonts w:ascii="Arial" w:hAnsi="Arial" w:cs="Arial"/>
        </w:rPr>
      </w:pPr>
    </w:p>
    <w:p w14:paraId="22C36211">
      <w:pPr>
        <w:jc w:val="both"/>
        <w:rPr>
          <w:rFonts w:ascii="Arial" w:hAnsi="Arial" w:cs="Arial"/>
        </w:rPr>
      </w:pPr>
      <w:r>
        <w:rPr>
          <w:rFonts w:ascii="Arial" w:hAnsi="Arial" w:cs="Arial"/>
          <w:b/>
          <w:bCs/>
          <w:u w:val="single"/>
        </w:rPr>
        <w:t>2.2.7. Physiochemical Properties of Purified Bromelain</w:t>
      </w:r>
    </w:p>
    <w:p w14:paraId="3C95F287">
      <w:pPr>
        <w:jc w:val="both"/>
        <w:rPr>
          <w:rFonts w:ascii="Arial" w:hAnsi="Arial" w:cs="Arial"/>
          <w:i/>
          <w:iCs/>
        </w:rPr>
      </w:pPr>
    </w:p>
    <w:p w14:paraId="5F860267">
      <w:pPr>
        <w:jc w:val="both"/>
        <w:rPr>
          <w:rFonts w:ascii="Arial" w:hAnsi="Arial" w:cs="Arial"/>
        </w:rPr>
      </w:pPr>
      <w:r>
        <w:rPr>
          <w:rFonts w:ascii="Arial" w:hAnsi="Arial" w:cs="Arial"/>
          <w:i/>
          <w:iCs/>
        </w:rPr>
        <w:t>2.2.7.1. Effect of Temperature on Bromelain Activity</w:t>
      </w:r>
    </w:p>
    <w:p w14:paraId="33170FB2">
      <w:pPr>
        <w:jc w:val="both"/>
        <w:rPr>
          <w:rFonts w:ascii="Arial" w:hAnsi="Arial" w:cs="Arial"/>
        </w:rPr>
      </w:pPr>
      <w:r>
        <w:rPr>
          <w:rFonts w:ascii="Arial" w:hAnsi="Arial" w:cs="Arial"/>
        </w:rPr>
        <w:t>The optimal temperature for bromelain activity was determined by incubating the enzyme at temperatures ranging from 20°C to 90°C for 30 minutes. Bromelain activity was measured using the standard assay procedure described in section 2.2.3, varying the incubation time to assess the temperature effect.</w:t>
      </w:r>
    </w:p>
    <w:p w14:paraId="16C1F72F">
      <w:pPr>
        <w:jc w:val="both"/>
        <w:rPr>
          <w:rFonts w:ascii="Arial" w:hAnsi="Arial" w:cs="Arial"/>
        </w:rPr>
      </w:pPr>
    </w:p>
    <w:p w14:paraId="2A347F8C">
      <w:pPr>
        <w:jc w:val="both"/>
        <w:rPr>
          <w:rFonts w:ascii="Arial" w:hAnsi="Arial" w:cs="Arial"/>
        </w:rPr>
      </w:pPr>
      <w:r>
        <w:rPr>
          <w:rFonts w:ascii="Arial" w:hAnsi="Arial" w:cs="Arial"/>
          <w:i/>
          <w:iCs/>
        </w:rPr>
        <w:t>2.2.7.2. Effect of pH on Bromelain Activity</w:t>
      </w:r>
    </w:p>
    <w:p w14:paraId="3B0DDD8D">
      <w:pPr>
        <w:jc w:val="both"/>
        <w:rPr>
          <w:rFonts w:ascii="Arial" w:hAnsi="Arial" w:cs="Arial"/>
        </w:rPr>
      </w:pPr>
      <w:r>
        <w:rPr>
          <w:rFonts w:ascii="Arial" w:hAnsi="Arial" w:cs="Arial"/>
        </w:rPr>
        <w:t>The effect of pH on bromelain activity was assessed by incubating 1 ml of the enzyme with 1 ml of buffer solutions of varying pH:  50 mM glycine-HCl buffer (pH 2.0–3.0), 50 mM sodium acetate buffer (pH 4.0–5.0), 50 mM phosphate buffer (pH 6.0–7.0), 50 mM Tris-HCl buffer (pH 8.0–9.0), 50 mM glycine-NaOH buffer (pH 10.0) and 50 mM sodium hydroxide buffer (pH 11.0–12.0). Bromelain activity was determined for each pH using the standard assay procedure (2.2.3).</w:t>
      </w:r>
    </w:p>
    <w:p w14:paraId="1DF92CD6">
      <w:pPr>
        <w:jc w:val="both"/>
        <w:rPr>
          <w:rFonts w:ascii="Arial" w:hAnsi="Arial" w:cs="Arial"/>
        </w:rPr>
      </w:pPr>
    </w:p>
    <w:p w14:paraId="7B39D392">
      <w:pPr>
        <w:jc w:val="both"/>
        <w:rPr>
          <w:rFonts w:ascii="Arial" w:hAnsi="Arial" w:cs="Arial"/>
        </w:rPr>
      </w:pPr>
      <w:r>
        <w:rPr>
          <w:rFonts w:ascii="Arial" w:hAnsi="Arial" w:cs="Arial"/>
          <w:b/>
          <w:bCs/>
          <w:u w:val="single"/>
        </w:rPr>
        <w:t>2.2.7.  Anti-Bacterial effect of Bromelain</w:t>
      </w:r>
    </w:p>
    <w:p w14:paraId="74769354">
      <w:pPr>
        <w:jc w:val="both"/>
        <w:rPr>
          <w:rFonts w:ascii="Arial" w:hAnsi="Arial" w:cs="Arial"/>
          <w:i/>
          <w:iCs/>
        </w:rPr>
      </w:pPr>
    </w:p>
    <w:p w14:paraId="03FEF122">
      <w:pPr>
        <w:jc w:val="both"/>
        <w:rPr>
          <w:rFonts w:ascii="Arial" w:hAnsi="Arial" w:cs="Arial"/>
        </w:rPr>
      </w:pPr>
      <w:r>
        <w:rPr>
          <w:rFonts w:ascii="Arial" w:hAnsi="Arial" w:cs="Arial"/>
          <w:i/>
          <w:iCs/>
        </w:rPr>
        <w:t>2.2.7.1. Preparation of Culture Medium</w:t>
      </w:r>
    </w:p>
    <w:p w14:paraId="66756351">
      <w:pPr>
        <w:jc w:val="both"/>
        <w:rPr>
          <w:rFonts w:ascii="Arial" w:hAnsi="Arial" w:cs="Arial"/>
        </w:rPr>
      </w:pPr>
      <w:r>
        <w:rPr>
          <w:rFonts w:ascii="Arial" w:hAnsi="Arial" w:cs="Arial"/>
        </w:rPr>
        <w:t>Muller Hinton Agar (MHA) was used for bacterial growth and maintenance. MHA was prepared according to the manufacturer’s specifications, sterilized by autoclaving at 121°C and 15 psi for 20 minutes, and allowed to cool to 42-45°C. Approximately 15 ml of the medium was poured into each sterile Petri dish (8.6 cm diameter) to solidify. The plates were incubated at ambient temperature (35°C) for 24 hours to check for sterility.</w:t>
      </w:r>
    </w:p>
    <w:p w14:paraId="406FFC95">
      <w:pPr>
        <w:jc w:val="both"/>
        <w:rPr>
          <w:rFonts w:ascii="Arial" w:hAnsi="Arial" w:cs="Arial"/>
        </w:rPr>
      </w:pPr>
    </w:p>
    <w:p w14:paraId="2339B806">
      <w:pPr>
        <w:jc w:val="both"/>
        <w:rPr>
          <w:rFonts w:ascii="Arial" w:hAnsi="Arial" w:cs="Arial"/>
        </w:rPr>
      </w:pPr>
      <w:r>
        <w:rPr>
          <w:rFonts w:ascii="Arial" w:hAnsi="Arial" w:cs="Arial"/>
          <w:i/>
          <w:iCs/>
        </w:rPr>
        <w:t>2.2.7.2. Invitro Testing and Data Collection</w:t>
      </w:r>
    </w:p>
    <w:p w14:paraId="78557420">
      <w:pPr>
        <w:jc w:val="both"/>
        <w:rPr>
          <w:rFonts w:ascii="Arial" w:hAnsi="Arial" w:cs="Arial"/>
        </w:rPr>
      </w:pPr>
      <w:r>
        <w:rPr>
          <w:rFonts w:ascii="Arial" w:hAnsi="Arial" w:cs="Arial"/>
        </w:rPr>
        <w:t>For antibacterial testing, bacterial cultures were suspended in MHA and spread evenly using a sterile swab. Wells were created in the agar using a glass pipette, and 1 ml of bromelain was added to each well. The plates were incubated at 30°C for 24 hours, and inhibition zones were measured visually. The zone of inhibition was measured in centimeters.</w:t>
      </w:r>
    </w:p>
    <w:p w14:paraId="0154E771">
      <w:pPr>
        <w:jc w:val="both"/>
        <w:rPr>
          <w:rFonts w:ascii="Arial" w:hAnsi="Arial" w:cs="Arial"/>
        </w:rPr>
      </w:pPr>
    </w:p>
    <w:p w14:paraId="313F7840">
      <w:pPr>
        <w:numPr>
          <w:ilvl w:val="0"/>
          <w:numId w:val="2"/>
        </w:numPr>
        <w:jc w:val="both"/>
        <w:rPr>
          <w:rFonts w:ascii="Arial" w:hAnsi="Arial" w:eastAsia="SimSun" w:cs="Arial"/>
          <w:b/>
          <w:bCs/>
        </w:rPr>
      </w:pPr>
      <w:r>
        <w:rPr>
          <w:rFonts w:ascii="Arial" w:hAnsi="Arial" w:eastAsia="SimSun" w:cs="Arial"/>
          <w:b/>
          <w:bCs/>
          <w:sz w:val="22"/>
          <w:szCs w:val="22"/>
        </w:rPr>
        <w:t>RESULTS AND DISCUSSION</w:t>
      </w:r>
      <w:r>
        <w:rPr>
          <w:rFonts w:ascii="Arial" w:hAnsi="Arial" w:eastAsia="SimSun" w:cs="Arial"/>
          <w:b/>
          <w:bCs/>
        </w:rPr>
        <w:t xml:space="preserve"> </w:t>
      </w:r>
    </w:p>
    <w:p w14:paraId="6AF4EA71">
      <w:pPr>
        <w:jc w:val="both"/>
        <w:rPr>
          <w:rFonts w:ascii="Arial" w:hAnsi="Arial" w:eastAsia="SimSun" w:cs="Arial"/>
          <w:b/>
          <w:bCs/>
        </w:rPr>
      </w:pPr>
    </w:p>
    <w:p w14:paraId="50D2E96C">
      <w:pPr>
        <w:tabs>
          <w:tab w:val="center" w:pos="4680"/>
        </w:tabs>
        <w:jc w:val="both"/>
        <w:rPr>
          <w:rFonts w:ascii="Arial" w:hAnsi="Arial" w:cs="Arial"/>
          <w:b/>
        </w:rPr>
      </w:pPr>
      <w:r>
        <w:rPr>
          <w:rFonts w:ascii="Arial" w:hAnsi="Arial" w:cs="Arial"/>
          <w:b/>
          <w:sz w:val="22"/>
          <w:szCs w:val="22"/>
        </w:rPr>
        <w:t xml:space="preserve">3.1 </w:t>
      </w:r>
      <w:r>
        <w:rPr>
          <w:rFonts w:ascii="Arial" w:hAnsi="Arial" w:cs="Arial"/>
          <w:b/>
          <w:bCs/>
          <w:sz w:val="22"/>
          <w:szCs w:val="22"/>
        </w:rPr>
        <w:t>Purification of Bromelain</w:t>
      </w:r>
    </w:p>
    <w:p w14:paraId="4651B9E9">
      <w:pPr>
        <w:jc w:val="both"/>
        <w:rPr>
          <w:rFonts w:ascii="Arial" w:hAnsi="Arial" w:cs="Arial"/>
        </w:rPr>
      </w:pPr>
    </w:p>
    <w:p w14:paraId="48560C24">
      <w:pPr>
        <w:jc w:val="both"/>
        <w:rPr>
          <w:rFonts w:ascii="Arial" w:hAnsi="Arial" w:eastAsia="SimSun" w:cs="Arial"/>
        </w:rPr>
      </w:pPr>
      <w:r>
        <w:rPr>
          <w:rFonts w:ascii="Arial" w:hAnsi="Arial" w:cs="Arial"/>
        </w:rPr>
        <w:t>The purification process of bromelain was monitored through the enzyme activity, protein concentration, and specific activity at each step. The crude enzyme extracted from pineapple exhibited an enzyme activity of 32 µmol, a protein concentration of 12.7 µg/ml, and a specific activity of 2.52 U/µg.</w:t>
      </w:r>
    </w:p>
    <w:p w14:paraId="281C9B85">
      <w:pPr>
        <w:jc w:val="both"/>
        <w:rPr>
          <w:rFonts w:ascii="Arial" w:hAnsi="Arial" w:eastAsia="SimSun" w:cs="Arial"/>
          <w:b/>
          <w:bCs/>
        </w:rPr>
      </w:pPr>
    </w:p>
    <w:p w14:paraId="6C86FA02">
      <w:pPr>
        <w:jc w:val="both"/>
        <w:rPr>
          <w:rFonts w:ascii="Arial" w:hAnsi="Arial" w:eastAsia="SimSun" w:cs="Arial"/>
        </w:rPr>
      </w:pPr>
      <w:r>
        <w:rPr>
          <w:rFonts w:ascii="Arial" w:hAnsi="Arial" w:eastAsia="SimSun" w:cs="Arial"/>
          <w:b/>
          <w:bCs/>
        </w:rPr>
        <w:t xml:space="preserve">Table 1: </w:t>
      </w:r>
      <w:r>
        <w:rPr>
          <w:rFonts w:ascii="Arial" w:hAnsi="Arial" w:cs="Arial"/>
        </w:rPr>
        <w:t>Purification table of bromelain extraction from pineapple peel</w:t>
      </w:r>
    </w:p>
    <w:tbl>
      <w:tblPr>
        <w:tblStyle w:val="18"/>
        <w:tblW w:w="96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3"/>
        <w:gridCol w:w="1035"/>
        <w:gridCol w:w="945"/>
        <w:gridCol w:w="945"/>
        <w:gridCol w:w="1350"/>
        <w:gridCol w:w="975"/>
        <w:gridCol w:w="990"/>
        <w:gridCol w:w="1230"/>
        <w:gridCol w:w="795"/>
      </w:tblGrid>
      <w:tr w14:paraId="3762B5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363" w:type="dxa"/>
            <w:tcBorders>
              <w:top w:val="single" w:color="auto" w:sz="4" w:space="0"/>
              <w:left w:val="nil"/>
              <w:bottom w:val="single" w:color="auto" w:sz="4" w:space="0"/>
              <w:right w:val="nil"/>
            </w:tcBorders>
          </w:tcPr>
          <w:p w14:paraId="1131FD84">
            <w:pPr>
              <w:rPr>
                <w:rFonts w:ascii="Arial" w:hAnsi="Arial" w:eastAsia="Calibri" w:cs="Arial"/>
                <w:sz w:val="20"/>
                <w:szCs w:val="20"/>
              </w:rPr>
            </w:pPr>
            <w:r>
              <w:rPr>
                <w:rFonts w:ascii="Arial" w:hAnsi="Arial" w:eastAsia="Calibri" w:cs="Arial"/>
                <w:sz w:val="20"/>
                <w:szCs w:val="20"/>
              </w:rPr>
              <w:t>Purification steps</w:t>
            </w:r>
          </w:p>
        </w:tc>
        <w:tc>
          <w:tcPr>
            <w:tcW w:w="1035" w:type="dxa"/>
            <w:tcBorders>
              <w:top w:val="single" w:color="auto" w:sz="4" w:space="0"/>
              <w:left w:val="nil"/>
              <w:bottom w:val="single" w:color="auto" w:sz="4" w:space="0"/>
              <w:right w:val="nil"/>
            </w:tcBorders>
          </w:tcPr>
          <w:p w14:paraId="45D75BE3">
            <w:pPr>
              <w:rPr>
                <w:rFonts w:ascii="Arial" w:hAnsi="Arial" w:eastAsia="Calibri" w:cs="Arial"/>
                <w:sz w:val="20"/>
                <w:szCs w:val="20"/>
              </w:rPr>
            </w:pPr>
            <w:r>
              <w:rPr>
                <w:rFonts w:ascii="Arial" w:hAnsi="Arial" w:eastAsia="Calibri" w:cs="Arial"/>
                <w:sz w:val="20"/>
                <w:szCs w:val="20"/>
              </w:rPr>
              <w:t>Total Vol (ml)</w:t>
            </w:r>
          </w:p>
        </w:tc>
        <w:tc>
          <w:tcPr>
            <w:tcW w:w="945" w:type="dxa"/>
            <w:tcBorders>
              <w:top w:val="single" w:color="auto" w:sz="4" w:space="0"/>
              <w:left w:val="nil"/>
              <w:bottom w:val="single" w:color="auto" w:sz="4" w:space="0"/>
              <w:right w:val="nil"/>
            </w:tcBorders>
          </w:tcPr>
          <w:p w14:paraId="71ECF060">
            <w:pPr>
              <w:rPr>
                <w:rFonts w:ascii="Arial" w:hAnsi="Arial" w:eastAsia="Calibri" w:cs="Arial"/>
                <w:sz w:val="20"/>
                <w:szCs w:val="20"/>
              </w:rPr>
            </w:pPr>
            <w:r>
              <w:rPr>
                <w:rFonts w:ascii="Arial" w:hAnsi="Arial" w:eastAsia="Calibri" w:cs="Arial"/>
                <w:sz w:val="20"/>
                <w:szCs w:val="20"/>
              </w:rPr>
              <w:t>Activity (U/ml)</w:t>
            </w:r>
          </w:p>
        </w:tc>
        <w:tc>
          <w:tcPr>
            <w:tcW w:w="945" w:type="dxa"/>
            <w:tcBorders>
              <w:top w:val="single" w:color="auto" w:sz="4" w:space="0"/>
              <w:left w:val="nil"/>
              <w:bottom w:val="single" w:color="auto" w:sz="4" w:space="0"/>
              <w:right w:val="nil"/>
            </w:tcBorders>
          </w:tcPr>
          <w:p w14:paraId="29CE75B5">
            <w:pPr>
              <w:rPr>
                <w:rFonts w:ascii="Arial" w:hAnsi="Arial" w:eastAsia="Calibri" w:cs="Arial"/>
                <w:sz w:val="20"/>
                <w:szCs w:val="20"/>
              </w:rPr>
            </w:pPr>
            <w:r>
              <w:rPr>
                <w:rFonts w:ascii="Arial" w:hAnsi="Arial" w:eastAsia="Calibri" w:cs="Arial"/>
                <w:sz w:val="20"/>
                <w:szCs w:val="20"/>
              </w:rPr>
              <w:t>Protein (µg/ml)</w:t>
            </w:r>
          </w:p>
        </w:tc>
        <w:tc>
          <w:tcPr>
            <w:tcW w:w="1350" w:type="dxa"/>
            <w:tcBorders>
              <w:top w:val="single" w:color="auto" w:sz="4" w:space="0"/>
              <w:left w:val="nil"/>
              <w:bottom w:val="single" w:color="auto" w:sz="4" w:space="0"/>
              <w:right w:val="nil"/>
            </w:tcBorders>
          </w:tcPr>
          <w:p w14:paraId="70866AB5">
            <w:pPr>
              <w:rPr>
                <w:rFonts w:ascii="Arial" w:hAnsi="Arial" w:eastAsia="Calibri" w:cs="Arial"/>
                <w:sz w:val="20"/>
                <w:szCs w:val="20"/>
              </w:rPr>
            </w:pPr>
            <w:r>
              <w:rPr>
                <w:rFonts w:ascii="Arial" w:hAnsi="Arial" w:eastAsia="Calibri" w:cs="Arial"/>
                <w:sz w:val="20"/>
                <w:szCs w:val="20"/>
              </w:rPr>
              <w:t>Total activity (U)</w:t>
            </w:r>
          </w:p>
        </w:tc>
        <w:tc>
          <w:tcPr>
            <w:tcW w:w="975" w:type="dxa"/>
            <w:tcBorders>
              <w:top w:val="single" w:color="auto" w:sz="4" w:space="0"/>
              <w:left w:val="nil"/>
              <w:bottom w:val="single" w:color="auto" w:sz="4" w:space="0"/>
              <w:right w:val="nil"/>
            </w:tcBorders>
          </w:tcPr>
          <w:p w14:paraId="6FB8864E">
            <w:pPr>
              <w:rPr>
                <w:rFonts w:ascii="Arial" w:hAnsi="Arial" w:eastAsia="Calibri" w:cs="Arial"/>
                <w:sz w:val="20"/>
                <w:szCs w:val="20"/>
              </w:rPr>
            </w:pPr>
            <w:r>
              <w:rPr>
                <w:rFonts w:ascii="Arial" w:hAnsi="Arial" w:eastAsia="Calibri" w:cs="Arial"/>
                <w:sz w:val="20"/>
                <w:szCs w:val="20"/>
              </w:rPr>
              <w:t>Total protein (µg)</w:t>
            </w:r>
          </w:p>
        </w:tc>
        <w:tc>
          <w:tcPr>
            <w:tcW w:w="990" w:type="dxa"/>
            <w:tcBorders>
              <w:top w:val="single" w:color="auto" w:sz="4" w:space="0"/>
              <w:left w:val="nil"/>
              <w:bottom w:val="single" w:color="auto" w:sz="4" w:space="0"/>
              <w:right w:val="nil"/>
            </w:tcBorders>
          </w:tcPr>
          <w:p w14:paraId="1505558D">
            <w:pPr>
              <w:rPr>
                <w:rFonts w:ascii="Arial" w:hAnsi="Arial" w:eastAsia="Calibri" w:cs="Arial"/>
                <w:sz w:val="20"/>
                <w:szCs w:val="20"/>
              </w:rPr>
            </w:pPr>
            <w:r>
              <w:rPr>
                <w:rFonts w:ascii="Arial" w:hAnsi="Arial" w:eastAsia="Calibri" w:cs="Arial"/>
                <w:sz w:val="20"/>
                <w:szCs w:val="20"/>
              </w:rPr>
              <w:t>Specific activity (U/µg)</w:t>
            </w:r>
          </w:p>
        </w:tc>
        <w:tc>
          <w:tcPr>
            <w:tcW w:w="1230" w:type="dxa"/>
            <w:tcBorders>
              <w:top w:val="single" w:color="auto" w:sz="4" w:space="0"/>
              <w:left w:val="nil"/>
              <w:bottom w:val="single" w:color="auto" w:sz="4" w:space="0"/>
              <w:right w:val="nil"/>
            </w:tcBorders>
          </w:tcPr>
          <w:p w14:paraId="08AFB567">
            <w:pPr>
              <w:rPr>
                <w:rFonts w:ascii="Arial" w:hAnsi="Arial" w:eastAsia="Calibri" w:cs="Arial"/>
                <w:sz w:val="20"/>
                <w:szCs w:val="20"/>
              </w:rPr>
            </w:pPr>
            <w:r>
              <w:rPr>
                <w:rFonts w:ascii="Arial" w:hAnsi="Arial" w:eastAsia="Calibri" w:cs="Arial"/>
                <w:sz w:val="20"/>
                <w:szCs w:val="20"/>
              </w:rPr>
              <w:t>Purification fold</w:t>
            </w:r>
          </w:p>
        </w:tc>
        <w:tc>
          <w:tcPr>
            <w:tcW w:w="795" w:type="dxa"/>
            <w:tcBorders>
              <w:top w:val="single" w:color="auto" w:sz="4" w:space="0"/>
              <w:left w:val="nil"/>
              <w:bottom w:val="single" w:color="auto" w:sz="4" w:space="0"/>
              <w:right w:val="nil"/>
            </w:tcBorders>
          </w:tcPr>
          <w:p w14:paraId="57CEE637">
            <w:pPr>
              <w:rPr>
                <w:rFonts w:ascii="Arial" w:hAnsi="Arial" w:eastAsia="Calibri" w:cs="Arial"/>
                <w:sz w:val="20"/>
                <w:szCs w:val="20"/>
              </w:rPr>
            </w:pPr>
            <w:r>
              <w:rPr>
                <w:rFonts w:ascii="Arial" w:hAnsi="Arial" w:eastAsia="Calibri" w:cs="Arial"/>
                <w:sz w:val="20"/>
                <w:szCs w:val="20"/>
              </w:rPr>
              <w:t>Yield (%)</w:t>
            </w:r>
          </w:p>
        </w:tc>
      </w:tr>
      <w:tr w14:paraId="0F1C0B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2" w:hRule="atLeast"/>
        </w:trPr>
        <w:tc>
          <w:tcPr>
            <w:tcW w:w="1363" w:type="dxa"/>
            <w:tcBorders>
              <w:top w:val="single" w:color="auto" w:sz="4" w:space="0"/>
              <w:left w:val="nil"/>
              <w:bottom w:val="nil"/>
              <w:right w:val="nil"/>
            </w:tcBorders>
          </w:tcPr>
          <w:p w14:paraId="60E75F49">
            <w:pPr>
              <w:rPr>
                <w:rFonts w:ascii="Arial" w:hAnsi="Arial" w:eastAsia="Calibri" w:cs="Arial"/>
                <w:sz w:val="20"/>
                <w:szCs w:val="20"/>
              </w:rPr>
            </w:pPr>
            <w:r>
              <w:rPr>
                <w:rFonts w:ascii="Arial" w:hAnsi="Arial" w:eastAsia="Calibri" w:cs="Arial"/>
                <w:sz w:val="20"/>
                <w:szCs w:val="20"/>
              </w:rPr>
              <w:t>Crude enzyme</w:t>
            </w:r>
          </w:p>
        </w:tc>
        <w:tc>
          <w:tcPr>
            <w:tcW w:w="1035" w:type="dxa"/>
            <w:tcBorders>
              <w:top w:val="single" w:color="auto" w:sz="4" w:space="0"/>
              <w:left w:val="nil"/>
              <w:bottom w:val="nil"/>
              <w:right w:val="nil"/>
            </w:tcBorders>
          </w:tcPr>
          <w:p w14:paraId="273F4D5C">
            <w:pPr>
              <w:rPr>
                <w:rFonts w:ascii="Arial" w:hAnsi="Arial" w:eastAsia="Calibri" w:cs="Arial"/>
                <w:sz w:val="20"/>
                <w:szCs w:val="20"/>
              </w:rPr>
            </w:pPr>
            <w:r>
              <w:rPr>
                <w:rFonts w:ascii="Arial" w:hAnsi="Arial" w:eastAsia="Calibri" w:cs="Arial"/>
                <w:sz w:val="20"/>
                <w:szCs w:val="20"/>
              </w:rPr>
              <w:t>300</w:t>
            </w:r>
          </w:p>
        </w:tc>
        <w:tc>
          <w:tcPr>
            <w:tcW w:w="945" w:type="dxa"/>
            <w:tcBorders>
              <w:top w:val="single" w:color="auto" w:sz="4" w:space="0"/>
              <w:left w:val="nil"/>
              <w:bottom w:val="nil"/>
              <w:right w:val="nil"/>
            </w:tcBorders>
          </w:tcPr>
          <w:p w14:paraId="42879418">
            <w:pPr>
              <w:rPr>
                <w:rFonts w:ascii="Arial" w:hAnsi="Arial" w:eastAsia="Calibri" w:cs="Arial"/>
                <w:sz w:val="20"/>
                <w:szCs w:val="20"/>
              </w:rPr>
            </w:pPr>
            <w:r>
              <w:rPr>
                <w:rFonts w:ascii="Arial" w:hAnsi="Arial" w:eastAsia="Calibri" w:cs="Arial"/>
                <w:sz w:val="20"/>
                <w:szCs w:val="20"/>
              </w:rPr>
              <w:t>20</w:t>
            </w:r>
          </w:p>
        </w:tc>
        <w:tc>
          <w:tcPr>
            <w:tcW w:w="945" w:type="dxa"/>
            <w:tcBorders>
              <w:top w:val="single" w:color="auto" w:sz="4" w:space="0"/>
              <w:left w:val="nil"/>
              <w:bottom w:val="nil"/>
              <w:right w:val="nil"/>
            </w:tcBorders>
          </w:tcPr>
          <w:p w14:paraId="6649361B">
            <w:pPr>
              <w:rPr>
                <w:rFonts w:ascii="Arial" w:hAnsi="Arial" w:eastAsia="Calibri" w:cs="Arial"/>
                <w:sz w:val="20"/>
                <w:szCs w:val="20"/>
              </w:rPr>
            </w:pPr>
            <w:r>
              <w:rPr>
                <w:rFonts w:ascii="Arial" w:hAnsi="Arial" w:eastAsia="Calibri" w:cs="Arial"/>
                <w:sz w:val="20"/>
                <w:szCs w:val="20"/>
              </w:rPr>
              <w:t>18.5</w:t>
            </w:r>
          </w:p>
        </w:tc>
        <w:tc>
          <w:tcPr>
            <w:tcW w:w="1350" w:type="dxa"/>
            <w:tcBorders>
              <w:top w:val="single" w:color="auto" w:sz="4" w:space="0"/>
              <w:left w:val="nil"/>
              <w:bottom w:val="nil"/>
              <w:right w:val="nil"/>
            </w:tcBorders>
          </w:tcPr>
          <w:p w14:paraId="21AD9E66">
            <w:pPr>
              <w:rPr>
                <w:rFonts w:ascii="Arial" w:hAnsi="Arial" w:eastAsia="Calibri" w:cs="Arial"/>
                <w:sz w:val="20"/>
                <w:szCs w:val="20"/>
              </w:rPr>
            </w:pPr>
            <w:r>
              <w:rPr>
                <w:rFonts w:ascii="Arial" w:hAnsi="Arial" w:eastAsia="Calibri" w:cs="Arial"/>
                <w:sz w:val="20"/>
                <w:szCs w:val="20"/>
              </w:rPr>
              <w:t>6000</w:t>
            </w:r>
          </w:p>
        </w:tc>
        <w:tc>
          <w:tcPr>
            <w:tcW w:w="975" w:type="dxa"/>
            <w:tcBorders>
              <w:top w:val="single" w:color="auto" w:sz="4" w:space="0"/>
              <w:left w:val="nil"/>
              <w:bottom w:val="nil"/>
              <w:right w:val="nil"/>
            </w:tcBorders>
          </w:tcPr>
          <w:p w14:paraId="1CA27ACF">
            <w:pPr>
              <w:rPr>
                <w:rFonts w:ascii="Arial" w:hAnsi="Arial" w:eastAsia="Calibri" w:cs="Arial"/>
                <w:sz w:val="20"/>
                <w:szCs w:val="20"/>
              </w:rPr>
            </w:pPr>
            <w:r>
              <w:rPr>
                <w:rFonts w:ascii="Arial" w:hAnsi="Arial" w:eastAsia="Calibri" w:cs="Arial"/>
                <w:sz w:val="20"/>
                <w:szCs w:val="20"/>
              </w:rPr>
              <w:t>5550</w:t>
            </w:r>
          </w:p>
        </w:tc>
        <w:tc>
          <w:tcPr>
            <w:tcW w:w="990" w:type="dxa"/>
            <w:tcBorders>
              <w:top w:val="single" w:color="auto" w:sz="4" w:space="0"/>
              <w:left w:val="nil"/>
              <w:bottom w:val="nil"/>
              <w:right w:val="nil"/>
            </w:tcBorders>
          </w:tcPr>
          <w:p w14:paraId="204E232E">
            <w:pPr>
              <w:rPr>
                <w:rFonts w:ascii="Arial" w:hAnsi="Arial" w:eastAsia="Calibri" w:cs="Arial"/>
                <w:sz w:val="20"/>
                <w:szCs w:val="20"/>
              </w:rPr>
            </w:pPr>
            <w:r>
              <w:rPr>
                <w:rFonts w:ascii="Arial" w:hAnsi="Arial" w:eastAsia="Calibri" w:cs="Arial"/>
                <w:sz w:val="20"/>
                <w:szCs w:val="20"/>
              </w:rPr>
              <w:t>1.08</w:t>
            </w:r>
          </w:p>
        </w:tc>
        <w:tc>
          <w:tcPr>
            <w:tcW w:w="1230" w:type="dxa"/>
            <w:tcBorders>
              <w:top w:val="single" w:color="auto" w:sz="4" w:space="0"/>
              <w:left w:val="nil"/>
              <w:bottom w:val="nil"/>
              <w:right w:val="nil"/>
            </w:tcBorders>
          </w:tcPr>
          <w:p w14:paraId="70A8563A">
            <w:pPr>
              <w:rPr>
                <w:rFonts w:ascii="Arial" w:hAnsi="Arial" w:eastAsia="Calibri" w:cs="Arial"/>
                <w:sz w:val="20"/>
                <w:szCs w:val="20"/>
              </w:rPr>
            </w:pPr>
            <w:r>
              <w:rPr>
                <w:rFonts w:ascii="Arial" w:hAnsi="Arial" w:eastAsia="Calibri" w:cs="Arial"/>
                <w:sz w:val="20"/>
                <w:szCs w:val="20"/>
              </w:rPr>
              <w:t>1</w:t>
            </w:r>
          </w:p>
        </w:tc>
        <w:tc>
          <w:tcPr>
            <w:tcW w:w="795" w:type="dxa"/>
            <w:tcBorders>
              <w:top w:val="single" w:color="auto" w:sz="4" w:space="0"/>
              <w:left w:val="nil"/>
              <w:bottom w:val="nil"/>
              <w:right w:val="nil"/>
            </w:tcBorders>
          </w:tcPr>
          <w:p w14:paraId="0500E9F5">
            <w:pPr>
              <w:rPr>
                <w:rFonts w:ascii="Arial" w:hAnsi="Arial" w:eastAsia="Calibri" w:cs="Arial"/>
                <w:sz w:val="20"/>
                <w:szCs w:val="20"/>
              </w:rPr>
            </w:pPr>
            <w:r>
              <w:rPr>
                <w:rFonts w:ascii="Arial" w:hAnsi="Arial" w:eastAsia="Calibri" w:cs="Arial"/>
                <w:sz w:val="20"/>
                <w:szCs w:val="20"/>
              </w:rPr>
              <w:t>100</w:t>
            </w:r>
          </w:p>
        </w:tc>
      </w:tr>
      <w:tr w14:paraId="31281B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363" w:type="dxa"/>
            <w:tcBorders>
              <w:top w:val="nil"/>
              <w:left w:val="nil"/>
              <w:bottom w:val="single" w:color="auto" w:sz="4" w:space="0"/>
              <w:right w:val="nil"/>
            </w:tcBorders>
          </w:tcPr>
          <w:p w14:paraId="41E9BA99">
            <w:pPr>
              <w:rPr>
                <w:rFonts w:ascii="Arial" w:hAnsi="Arial" w:eastAsia="Calibri" w:cs="Arial"/>
                <w:sz w:val="20"/>
                <w:szCs w:val="20"/>
              </w:rPr>
            </w:pPr>
            <w:r>
              <w:rPr>
                <w:rFonts w:ascii="Arial" w:hAnsi="Arial" w:eastAsia="Calibri" w:cs="Arial"/>
                <w:sz w:val="20"/>
                <w:szCs w:val="20"/>
              </w:rPr>
              <w:t>(NH</w:t>
            </w:r>
            <w:r>
              <w:rPr>
                <w:rFonts w:ascii="Arial" w:hAnsi="Arial" w:eastAsia="Calibri" w:cs="Arial"/>
                <w:sz w:val="20"/>
                <w:szCs w:val="20"/>
                <w:vertAlign w:val="subscript"/>
              </w:rPr>
              <w:t>4</w:t>
            </w:r>
            <w:r>
              <w:rPr>
                <w:rFonts w:ascii="Arial" w:hAnsi="Arial" w:eastAsia="Calibri" w:cs="Arial"/>
                <w:sz w:val="20"/>
                <w:szCs w:val="20"/>
              </w:rPr>
              <w:t>)</w:t>
            </w:r>
            <w:r>
              <w:rPr>
                <w:rFonts w:ascii="Arial" w:hAnsi="Arial" w:eastAsia="Calibri" w:cs="Arial"/>
                <w:sz w:val="20"/>
                <w:szCs w:val="20"/>
                <w:vertAlign w:val="subscript"/>
              </w:rPr>
              <w:t>2</w:t>
            </w:r>
            <w:r>
              <w:rPr>
                <w:rFonts w:ascii="Arial" w:hAnsi="Arial" w:eastAsia="Calibri" w:cs="Arial"/>
                <w:sz w:val="20"/>
                <w:szCs w:val="20"/>
              </w:rPr>
              <w:t>SO</w:t>
            </w:r>
            <w:r>
              <w:rPr>
                <w:rFonts w:ascii="Arial" w:hAnsi="Arial" w:eastAsia="Calibri" w:cs="Arial"/>
                <w:sz w:val="20"/>
                <w:szCs w:val="20"/>
                <w:vertAlign w:val="subscript"/>
              </w:rPr>
              <w:t>4</w:t>
            </w:r>
            <w:r>
              <w:rPr>
                <w:rFonts w:ascii="Arial" w:hAnsi="Arial" w:eastAsia="Calibri" w:cs="Arial"/>
                <w:sz w:val="20"/>
                <w:szCs w:val="20"/>
              </w:rPr>
              <w:t xml:space="preserve"> Precipitation</w:t>
            </w:r>
          </w:p>
        </w:tc>
        <w:tc>
          <w:tcPr>
            <w:tcW w:w="1035" w:type="dxa"/>
            <w:tcBorders>
              <w:top w:val="nil"/>
              <w:left w:val="nil"/>
              <w:bottom w:val="single" w:color="auto" w:sz="4" w:space="0"/>
              <w:right w:val="nil"/>
            </w:tcBorders>
          </w:tcPr>
          <w:p w14:paraId="3EA85992">
            <w:pPr>
              <w:rPr>
                <w:rFonts w:ascii="Arial" w:hAnsi="Arial" w:eastAsia="Calibri" w:cs="Arial"/>
                <w:sz w:val="20"/>
                <w:szCs w:val="20"/>
              </w:rPr>
            </w:pPr>
            <w:r>
              <w:rPr>
                <w:rFonts w:ascii="Arial" w:hAnsi="Arial" w:eastAsia="Calibri" w:cs="Arial"/>
                <w:sz w:val="20"/>
                <w:szCs w:val="20"/>
              </w:rPr>
              <w:t>60</w:t>
            </w:r>
          </w:p>
        </w:tc>
        <w:tc>
          <w:tcPr>
            <w:tcW w:w="945" w:type="dxa"/>
            <w:tcBorders>
              <w:top w:val="nil"/>
              <w:left w:val="nil"/>
              <w:bottom w:val="single" w:color="auto" w:sz="4" w:space="0"/>
              <w:right w:val="nil"/>
            </w:tcBorders>
          </w:tcPr>
          <w:p w14:paraId="5B8115A5">
            <w:pPr>
              <w:rPr>
                <w:rFonts w:ascii="Arial" w:hAnsi="Arial" w:eastAsia="Calibri" w:cs="Arial"/>
                <w:sz w:val="20"/>
                <w:szCs w:val="20"/>
              </w:rPr>
            </w:pPr>
            <w:r>
              <w:rPr>
                <w:rFonts w:ascii="Arial" w:hAnsi="Arial" w:eastAsia="Calibri" w:cs="Arial"/>
                <w:sz w:val="20"/>
                <w:szCs w:val="20"/>
              </w:rPr>
              <w:t>32</w:t>
            </w:r>
          </w:p>
        </w:tc>
        <w:tc>
          <w:tcPr>
            <w:tcW w:w="945" w:type="dxa"/>
            <w:tcBorders>
              <w:top w:val="nil"/>
              <w:left w:val="nil"/>
              <w:bottom w:val="single" w:color="auto" w:sz="4" w:space="0"/>
              <w:right w:val="nil"/>
            </w:tcBorders>
          </w:tcPr>
          <w:p w14:paraId="02285275">
            <w:pPr>
              <w:rPr>
                <w:rFonts w:ascii="Arial" w:hAnsi="Arial" w:eastAsia="Calibri" w:cs="Arial"/>
                <w:sz w:val="20"/>
                <w:szCs w:val="20"/>
              </w:rPr>
            </w:pPr>
            <w:r>
              <w:rPr>
                <w:rFonts w:ascii="Arial" w:hAnsi="Arial" w:eastAsia="Calibri" w:cs="Arial"/>
                <w:sz w:val="20"/>
                <w:szCs w:val="20"/>
              </w:rPr>
              <w:t>12.7</w:t>
            </w:r>
          </w:p>
        </w:tc>
        <w:tc>
          <w:tcPr>
            <w:tcW w:w="1350" w:type="dxa"/>
            <w:tcBorders>
              <w:top w:val="nil"/>
              <w:left w:val="nil"/>
              <w:bottom w:val="single" w:color="auto" w:sz="4" w:space="0"/>
              <w:right w:val="nil"/>
            </w:tcBorders>
          </w:tcPr>
          <w:p w14:paraId="5FEFFB1D">
            <w:pPr>
              <w:rPr>
                <w:rFonts w:ascii="Arial" w:hAnsi="Arial" w:eastAsia="Calibri" w:cs="Arial"/>
                <w:sz w:val="20"/>
                <w:szCs w:val="20"/>
              </w:rPr>
            </w:pPr>
            <w:r>
              <w:rPr>
                <w:rFonts w:ascii="Arial" w:hAnsi="Arial" w:eastAsia="Calibri" w:cs="Arial"/>
                <w:sz w:val="20"/>
                <w:szCs w:val="20"/>
              </w:rPr>
              <w:t>1920</w:t>
            </w:r>
          </w:p>
        </w:tc>
        <w:tc>
          <w:tcPr>
            <w:tcW w:w="975" w:type="dxa"/>
            <w:tcBorders>
              <w:top w:val="nil"/>
              <w:left w:val="nil"/>
              <w:bottom w:val="single" w:color="auto" w:sz="4" w:space="0"/>
              <w:right w:val="nil"/>
            </w:tcBorders>
          </w:tcPr>
          <w:p w14:paraId="1481729D">
            <w:pPr>
              <w:rPr>
                <w:rFonts w:ascii="Arial" w:hAnsi="Arial" w:eastAsia="Calibri" w:cs="Arial"/>
                <w:sz w:val="20"/>
                <w:szCs w:val="20"/>
              </w:rPr>
            </w:pPr>
            <w:r>
              <w:rPr>
                <w:rFonts w:ascii="Arial" w:hAnsi="Arial" w:eastAsia="Calibri" w:cs="Arial"/>
                <w:sz w:val="20"/>
                <w:szCs w:val="20"/>
              </w:rPr>
              <w:t>762.0</w:t>
            </w:r>
          </w:p>
        </w:tc>
        <w:tc>
          <w:tcPr>
            <w:tcW w:w="990" w:type="dxa"/>
            <w:tcBorders>
              <w:top w:val="nil"/>
              <w:left w:val="nil"/>
              <w:bottom w:val="single" w:color="auto" w:sz="4" w:space="0"/>
              <w:right w:val="nil"/>
            </w:tcBorders>
          </w:tcPr>
          <w:p w14:paraId="4516AACE">
            <w:pPr>
              <w:rPr>
                <w:rFonts w:ascii="Arial" w:hAnsi="Arial" w:eastAsia="Calibri" w:cs="Arial"/>
                <w:sz w:val="20"/>
                <w:szCs w:val="20"/>
              </w:rPr>
            </w:pPr>
            <w:r>
              <w:rPr>
                <w:rFonts w:ascii="Arial" w:hAnsi="Arial" w:eastAsia="Calibri" w:cs="Arial"/>
                <w:sz w:val="20"/>
                <w:szCs w:val="20"/>
              </w:rPr>
              <w:t>2.52</w:t>
            </w:r>
          </w:p>
        </w:tc>
        <w:tc>
          <w:tcPr>
            <w:tcW w:w="1230" w:type="dxa"/>
            <w:tcBorders>
              <w:top w:val="nil"/>
              <w:left w:val="nil"/>
              <w:bottom w:val="single" w:color="auto" w:sz="4" w:space="0"/>
              <w:right w:val="nil"/>
            </w:tcBorders>
          </w:tcPr>
          <w:p w14:paraId="11A37C67">
            <w:pPr>
              <w:rPr>
                <w:rFonts w:ascii="Arial" w:hAnsi="Arial" w:eastAsia="Calibri" w:cs="Arial"/>
                <w:sz w:val="20"/>
                <w:szCs w:val="20"/>
              </w:rPr>
            </w:pPr>
            <w:r>
              <w:rPr>
                <w:rFonts w:ascii="Arial" w:hAnsi="Arial" w:eastAsia="Calibri" w:cs="Arial"/>
                <w:sz w:val="20"/>
                <w:szCs w:val="20"/>
              </w:rPr>
              <w:t>2.33</w:t>
            </w:r>
          </w:p>
        </w:tc>
        <w:tc>
          <w:tcPr>
            <w:tcW w:w="795" w:type="dxa"/>
            <w:tcBorders>
              <w:top w:val="nil"/>
              <w:left w:val="nil"/>
              <w:bottom w:val="single" w:color="auto" w:sz="4" w:space="0"/>
              <w:right w:val="nil"/>
            </w:tcBorders>
          </w:tcPr>
          <w:p w14:paraId="47E82D8B">
            <w:pPr>
              <w:rPr>
                <w:rFonts w:ascii="Arial" w:hAnsi="Arial" w:eastAsia="Calibri" w:cs="Arial"/>
                <w:sz w:val="20"/>
                <w:szCs w:val="20"/>
              </w:rPr>
            </w:pPr>
            <w:r>
              <w:rPr>
                <w:rFonts w:ascii="Arial" w:hAnsi="Arial" w:eastAsia="Calibri" w:cs="Arial"/>
                <w:sz w:val="20"/>
                <w:szCs w:val="20"/>
              </w:rPr>
              <w:t>32.0</w:t>
            </w:r>
          </w:p>
        </w:tc>
      </w:tr>
    </w:tbl>
    <w:p w14:paraId="6AA7FDA4">
      <w:pPr>
        <w:jc w:val="both"/>
        <w:rPr>
          <w:rFonts w:ascii="Arial" w:hAnsi="Arial" w:cs="Arial"/>
          <w:b/>
          <w:bCs/>
        </w:rPr>
      </w:pPr>
    </w:p>
    <w:p w14:paraId="49BA6A6C">
      <w:pPr>
        <w:jc w:val="both"/>
        <w:rPr>
          <w:rFonts w:ascii="Arial" w:hAnsi="Arial" w:cs="Arial"/>
        </w:rPr>
      </w:pPr>
      <w:r>
        <w:rPr>
          <w:rFonts w:ascii="Arial" w:hAnsi="Arial" w:cs="Arial"/>
          <w:b/>
          <w:bCs/>
          <w:sz w:val="22"/>
          <w:szCs w:val="22"/>
        </w:rPr>
        <w:t>3.2. Effect of Temperature on Bromelain Activity</w:t>
      </w:r>
    </w:p>
    <w:p w14:paraId="0F919604">
      <w:pPr>
        <w:jc w:val="both"/>
        <w:rPr>
          <w:rFonts w:ascii="Arial" w:hAnsi="Arial" w:cs="Arial"/>
        </w:rPr>
      </w:pPr>
    </w:p>
    <w:p w14:paraId="5F34D6B1">
      <w:pPr>
        <w:jc w:val="both"/>
        <w:rPr>
          <w:rFonts w:ascii="Arial" w:hAnsi="Arial" w:eastAsia="SimSun" w:cs="Arial"/>
        </w:rPr>
      </w:pPr>
      <w:r>
        <w:rPr>
          <w:rFonts w:ascii="Arial" w:hAnsi="Arial" w:cs="Arial"/>
        </w:rPr>
        <w:t>The optimal temperature for bromelain activity was determined by evaluating its performance across a temperature range of 20°C to 90°C</w:t>
      </w:r>
      <w:r>
        <w:rPr>
          <w:rFonts w:ascii="Arial" w:hAnsi="Arial" w:eastAsia="SimSun" w:cs="Arial"/>
        </w:rPr>
        <w:t xml:space="preserve">. </w:t>
      </w:r>
      <w:r>
        <w:rPr>
          <w:rFonts w:ascii="Arial" w:hAnsi="Arial" w:cs="Arial"/>
        </w:rPr>
        <w:t xml:space="preserve">The enzyme displayed peak activity at 40°C, with a notable decrease in activity observed at higher temperatures. This temperature profile is consistent with previous studies, which have reported an optimum temperature range of 40-65°C for stem bromelain (Amid et al., 2011) and bromelain from different parts of pineapple (Omotoyinbo and Sanni, 2017). </w:t>
      </w:r>
    </w:p>
    <w:p w14:paraId="091D29D5">
      <w:pPr>
        <w:jc w:val="center"/>
        <w:rPr>
          <w:rFonts w:ascii="Arial" w:hAnsi="Arial" w:eastAsia="SimSun" w:cs="Arial"/>
          <w:b/>
          <w:bCs/>
        </w:rPr>
      </w:pPr>
      <w:r>
        <w:rPr>
          <w:rFonts w:ascii="Arial" w:hAnsi="Arial" w:cs="Arial"/>
          <w:szCs w:val="24"/>
        </w:rPr>
        <w:drawing>
          <wp:inline distT="0" distB="0" distL="0" distR="0">
            <wp:extent cx="4024630" cy="2641600"/>
            <wp:effectExtent l="9525" t="9525" r="23495" b="15875"/>
            <wp:docPr id="196590056" name="Picture 19659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0056" name="Picture 196590056"/>
                    <pic:cNvPicPr>
                      <a:picLocks noChangeAspect="1"/>
                    </pic:cNvPicPr>
                  </pic:nvPicPr>
                  <pic:blipFill>
                    <a:blip r:embed="rId14">
                      <a:extLst>
                        <a:ext uri="{28A0092B-C50C-407E-A947-70E740481C1C}">
                          <a14:useLocalDpi xmlns:a14="http://schemas.microsoft.com/office/drawing/2010/main" val="0"/>
                        </a:ext>
                      </a:extLst>
                    </a:blip>
                    <a:srcRect l="1627" t="1725" r="976" b="1479"/>
                    <a:stretch>
                      <a:fillRect/>
                    </a:stretch>
                  </pic:blipFill>
                  <pic:spPr>
                    <a:xfrm>
                      <a:off x="0" y="0"/>
                      <a:ext cx="4024630" cy="2641600"/>
                    </a:xfrm>
                    <a:prstGeom prst="rect">
                      <a:avLst/>
                    </a:prstGeom>
                    <a:ln>
                      <a:solidFill>
                        <a:schemeClr val="bg1"/>
                      </a:solidFill>
                    </a:ln>
                  </pic:spPr>
                </pic:pic>
              </a:graphicData>
            </a:graphic>
          </wp:inline>
        </w:drawing>
      </w:r>
    </w:p>
    <w:p w14:paraId="3EDA8893">
      <w:pPr>
        <w:jc w:val="center"/>
        <w:rPr>
          <w:rFonts w:ascii="Arial" w:hAnsi="Arial" w:eastAsia="SimSun" w:cs="Arial"/>
        </w:rPr>
      </w:pPr>
      <w:r>
        <w:rPr>
          <w:rFonts w:ascii="Arial" w:hAnsi="Arial" w:eastAsia="SimSun" w:cs="Arial"/>
          <w:b/>
          <w:bCs/>
        </w:rPr>
        <w:t xml:space="preserve">Figure 1: </w:t>
      </w:r>
      <w:r>
        <w:rPr>
          <w:rStyle w:val="64"/>
          <w:rFonts w:ascii="Arial" w:hAnsi="Arial" w:cs="Arial" w:eastAsiaTheme="minorHAnsi"/>
          <w:b/>
          <w:bCs/>
        </w:rPr>
        <w:t>The effect of temperature on the activity of bromelain</w:t>
      </w:r>
    </w:p>
    <w:p w14:paraId="60B65215">
      <w:pPr>
        <w:jc w:val="both"/>
        <w:rPr>
          <w:rFonts w:ascii="Arial" w:hAnsi="Arial" w:eastAsia="SimSun" w:cs="Arial"/>
        </w:rPr>
      </w:pPr>
    </w:p>
    <w:p w14:paraId="4D77D1EF">
      <w:pPr>
        <w:jc w:val="both"/>
        <w:rPr>
          <w:rFonts w:ascii="Arial" w:hAnsi="Arial" w:cs="Arial"/>
        </w:rPr>
      </w:pPr>
      <w:r>
        <w:rPr>
          <w:rFonts w:ascii="Arial" w:hAnsi="Arial" w:cs="Arial"/>
        </w:rPr>
        <w:t>In this study, bromelain activity remained stable at approximately 50% between 30-60°C, before gradually declining at 70°C. This temperature dependence is consistent with the general behavior of enzymes, where an increase in temperature initially enhances activity but ultimately leads to denaturation at higher temperatures (Halpern, 1997).</w:t>
      </w:r>
    </w:p>
    <w:p w14:paraId="08BDA3A8">
      <w:pPr>
        <w:jc w:val="both"/>
        <w:rPr>
          <w:rFonts w:ascii="Arial" w:hAnsi="Arial" w:cs="Arial"/>
          <w:b/>
          <w:bCs/>
        </w:rPr>
      </w:pPr>
    </w:p>
    <w:p w14:paraId="6E3C11BC">
      <w:pPr>
        <w:jc w:val="both"/>
        <w:rPr>
          <w:rFonts w:ascii="Arial" w:hAnsi="Arial" w:cs="Arial"/>
        </w:rPr>
      </w:pPr>
      <w:r>
        <w:rPr>
          <w:rFonts w:ascii="Arial" w:hAnsi="Arial" w:cs="Arial"/>
          <w:b/>
          <w:bCs/>
          <w:sz w:val="22"/>
          <w:szCs w:val="22"/>
        </w:rPr>
        <w:t>3.2.  Effect of pH on Bromelain Activity</w:t>
      </w:r>
    </w:p>
    <w:p w14:paraId="118151DC">
      <w:pPr>
        <w:jc w:val="both"/>
        <w:rPr>
          <w:rFonts w:ascii="Arial" w:hAnsi="Arial" w:cs="Arial"/>
        </w:rPr>
      </w:pPr>
    </w:p>
    <w:p w14:paraId="292E2271">
      <w:pPr>
        <w:jc w:val="both"/>
        <w:rPr>
          <w:rFonts w:ascii="Arial" w:hAnsi="Arial" w:eastAsia="SimSun" w:cs="Arial"/>
        </w:rPr>
      </w:pPr>
      <w:r>
        <w:rPr>
          <w:rFonts w:ascii="Arial" w:hAnsi="Arial" w:cs="Arial"/>
        </w:rPr>
        <w:t>Bromelain activity was also assessed across a pH range from 1 to 12. The enzyme showed optimal activity at pH 7, with notable activity between pH 4 and 7. A decline in activity was observed beyond this pH range.</w:t>
      </w:r>
    </w:p>
    <w:p w14:paraId="69EC0165">
      <w:pPr>
        <w:jc w:val="both"/>
        <w:rPr>
          <w:rFonts w:ascii="Arial" w:hAnsi="Arial" w:eastAsia="SimSun" w:cs="Arial"/>
          <w:b/>
          <w:bCs/>
        </w:rPr>
      </w:pPr>
    </w:p>
    <w:p w14:paraId="1DFE7050">
      <w:pPr>
        <w:jc w:val="center"/>
        <w:rPr>
          <w:rFonts w:ascii="Arial" w:hAnsi="Arial" w:eastAsia="SimSun" w:cs="Arial"/>
          <w:b/>
          <w:bCs/>
        </w:rPr>
      </w:pPr>
      <w:r>
        <w:rPr>
          <w:rFonts w:ascii="Arial" w:hAnsi="Arial" w:cs="Arial"/>
          <w:szCs w:val="24"/>
        </w:rPr>
        <w:drawing>
          <wp:inline distT="0" distB="0" distL="0" distR="0">
            <wp:extent cx="4192270" cy="2968625"/>
            <wp:effectExtent l="0" t="0" r="17780" b="3175"/>
            <wp:docPr id="82258475" name="Picture 82258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8475" name="Picture 82258475"/>
                    <pic:cNvPicPr>
                      <a:picLocks noChangeAspect="1"/>
                    </pic:cNvPicPr>
                  </pic:nvPicPr>
                  <pic:blipFill>
                    <a:blip r:embed="rId15">
                      <a:extLst>
                        <a:ext uri="{28A0092B-C50C-407E-A947-70E740481C1C}">
                          <a14:useLocalDpi xmlns:a14="http://schemas.microsoft.com/office/drawing/2010/main" val="0"/>
                        </a:ext>
                      </a:extLst>
                    </a:blip>
                    <a:srcRect l="1300" t="3436" r="975" b="1121"/>
                    <a:stretch>
                      <a:fillRect/>
                    </a:stretch>
                  </pic:blipFill>
                  <pic:spPr>
                    <a:xfrm>
                      <a:off x="0" y="0"/>
                      <a:ext cx="4192270" cy="2968625"/>
                    </a:xfrm>
                    <a:prstGeom prst="rect">
                      <a:avLst/>
                    </a:prstGeom>
                  </pic:spPr>
                </pic:pic>
              </a:graphicData>
            </a:graphic>
          </wp:inline>
        </w:drawing>
      </w:r>
    </w:p>
    <w:p w14:paraId="452760C3">
      <w:pPr>
        <w:jc w:val="center"/>
        <w:rPr>
          <w:rFonts w:ascii="Arial" w:hAnsi="Arial" w:eastAsia="SimSun" w:cs="Arial"/>
        </w:rPr>
      </w:pPr>
      <w:r>
        <w:rPr>
          <w:rFonts w:ascii="Arial" w:hAnsi="Arial" w:eastAsia="SimSun" w:cs="Arial"/>
          <w:b/>
          <w:bCs/>
        </w:rPr>
        <w:t xml:space="preserve">Figure 2: </w:t>
      </w:r>
      <w:r>
        <w:rPr>
          <w:rFonts w:ascii="Arial" w:hAnsi="Arial" w:cs="Arial"/>
          <w:b/>
          <w:szCs w:val="24"/>
        </w:rPr>
        <w:t>The effect of pH on the activity of bromelain</w:t>
      </w:r>
    </w:p>
    <w:p w14:paraId="12B7FF6B">
      <w:pPr>
        <w:jc w:val="both"/>
        <w:rPr>
          <w:rFonts w:ascii="Arial" w:hAnsi="Arial" w:eastAsia="SimSun" w:cs="Arial"/>
        </w:rPr>
      </w:pPr>
    </w:p>
    <w:p w14:paraId="37CE78E6">
      <w:pPr>
        <w:jc w:val="both"/>
        <w:rPr>
          <w:rFonts w:ascii="Arial" w:hAnsi="Arial" w:cs="Arial"/>
        </w:rPr>
      </w:pPr>
      <w:r>
        <w:rPr>
          <w:rFonts w:ascii="Arial" w:hAnsi="Arial" w:cs="Arial"/>
        </w:rPr>
        <w:t>These findings are in agreement with previous research indicating that bromelain retains maximal activity between pH 3 and pH 8 (Corzo et al., 2012; Manzoor et al., 2016; Fissore</w:t>
      </w:r>
      <w:r>
        <w:rPr>
          <w:rFonts w:hint="default" w:ascii="Arial" w:hAnsi="Arial" w:cs="Arial"/>
          <w:lang w:val="en-US"/>
        </w:rPr>
        <w:t xml:space="preserve"> et al., 2023</w:t>
      </w:r>
      <w:r>
        <w:rPr>
          <w:rFonts w:ascii="Arial" w:hAnsi="Arial" w:cs="Arial"/>
        </w:rPr>
        <w:t>). The enzyme’s performance at pH 7 supports its stability in neutral conditions, which is common for many enzymes. The observed decline in activity at higher pH levels may be attributed to the enzyme’s isoelectric point (9.55), at which point electrostatic interactions diminish, reducing activity (Zhou and Pang, 2018).</w:t>
      </w:r>
    </w:p>
    <w:p w14:paraId="0700DEE8">
      <w:pPr>
        <w:jc w:val="both"/>
        <w:rPr>
          <w:rFonts w:ascii="Arial" w:hAnsi="Arial" w:cs="Arial"/>
          <w:b/>
          <w:bCs/>
        </w:rPr>
      </w:pPr>
    </w:p>
    <w:p w14:paraId="47742B78">
      <w:pPr>
        <w:jc w:val="both"/>
        <w:rPr>
          <w:rFonts w:ascii="Arial" w:hAnsi="Arial" w:cs="Arial"/>
        </w:rPr>
      </w:pPr>
      <w:r>
        <w:rPr>
          <w:rFonts w:ascii="Arial" w:hAnsi="Arial" w:cs="Arial"/>
          <w:b/>
          <w:bCs/>
          <w:sz w:val="22"/>
          <w:szCs w:val="22"/>
        </w:rPr>
        <w:t>3.3. Antibiotic Synergy and Antibacterial Activity of Bromelain</w:t>
      </w:r>
    </w:p>
    <w:p w14:paraId="4EB4757B">
      <w:pPr>
        <w:jc w:val="both"/>
        <w:rPr>
          <w:rFonts w:ascii="Arial" w:hAnsi="Arial" w:cs="Arial"/>
        </w:rPr>
      </w:pPr>
    </w:p>
    <w:p w14:paraId="7C0BD62F">
      <w:pPr>
        <w:jc w:val="both"/>
        <w:rPr>
          <w:rFonts w:ascii="Arial" w:hAnsi="Arial" w:cs="Arial"/>
        </w:rPr>
      </w:pPr>
      <w:r>
        <w:rPr>
          <w:rFonts w:ascii="Arial" w:hAnsi="Arial" w:cs="Arial"/>
        </w:rPr>
        <w:t xml:space="preserve">The potential of bromelain to enhance the effectiveness of antibiotics was tested against </w:t>
      </w:r>
      <w:r>
        <w:rPr>
          <w:rFonts w:ascii="Arial" w:hAnsi="Arial" w:cs="Arial"/>
          <w:i/>
          <w:iCs/>
        </w:rPr>
        <w:t>Staphylococcus aureus</w:t>
      </w:r>
      <w:r>
        <w:rPr>
          <w:rFonts w:ascii="Arial" w:hAnsi="Arial" w:cs="Arial"/>
        </w:rPr>
        <w:t xml:space="preserve"> and </w:t>
      </w:r>
      <w:r>
        <w:rPr>
          <w:rFonts w:ascii="Arial" w:hAnsi="Arial" w:cs="Arial"/>
          <w:i/>
          <w:iCs/>
        </w:rPr>
        <w:t>Staphylococcus epidermidis</w:t>
      </w:r>
      <w:r>
        <w:rPr>
          <w:rFonts w:ascii="Arial" w:hAnsi="Arial" w:cs="Arial"/>
        </w:rPr>
        <w:t xml:space="preserve">. Bromelain demonstrated intrinsic antibacterial activity, with </w:t>
      </w:r>
      <w:r>
        <w:rPr>
          <w:rFonts w:ascii="Arial" w:hAnsi="Arial" w:cs="Arial"/>
          <w:i/>
        </w:rPr>
        <w:t>S. aureus</w:t>
      </w:r>
      <w:r>
        <w:rPr>
          <w:rFonts w:ascii="Arial" w:hAnsi="Arial" w:cs="Arial"/>
        </w:rPr>
        <w:t xml:space="preserve"> showing greater susceptibility (zone of inhibition: 0.3 cm) compared to </w:t>
      </w:r>
      <w:r>
        <w:rPr>
          <w:rFonts w:ascii="Arial" w:hAnsi="Arial" w:cs="Arial"/>
          <w:i/>
        </w:rPr>
        <w:t>S. epidermidis</w:t>
      </w:r>
      <w:r>
        <w:rPr>
          <w:rFonts w:ascii="Arial" w:hAnsi="Arial" w:cs="Arial"/>
        </w:rPr>
        <w:t xml:space="preserve"> (0.1 cm), consistent with previous findings (Mohamad</w:t>
      </w:r>
      <w:r>
        <w:rPr>
          <w:rFonts w:hint="default" w:ascii="Arial" w:hAnsi="Arial" w:cs="Arial"/>
        </w:rPr>
        <w:t xml:space="preserve"> </w:t>
      </w:r>
      <w:r>
        <w:rPr>
          <w:rFonts w:hint="default" w:ascii="Arial" w:hAnsi="Arial" w:cs="Arial"/>
          <w:szCs w:val="24"/>
          <w:shd w:val="clear" w:color="auto" w:fill="FFFFFF"/>
        </w:rPr>
        <w:t>and Abdulrahman</w:t>
      </w:r>
      <w:r>
        <w:rPr>
          <w:rFonts w:ascii="Arial" w:hAnsi="Arial" w:cs="Arial"/>
        </w:rPr>
        <w:t xml:space="preserve">, 2023). </w:t>
      </w:r>
    </w:p>
    <w:p w14:paraId="6D24B57E">
      <w:pPr>
        <w:jc w:val="both"/>
        <w:rPr>
          <w:rFonts w:ascii="Arial" w:hAnsi="Arial" w:cs="Arial"/>
        </w:rPr>
      </w:pPr>
    </w:p>
    <w:p w14:paraId="34539CAF">
      <w:pPr>
        <w:jc w:val="both"/>
        <w:rPr>
          <w:rFonts w:ascii="Arial" w:hAnsi="Arial" w:cs="Arial"/>
        </w:rPr>
      </w:pPr>
      <w:r>
        <w:rPr>
          <w:rFonts w:ascii="Arial" w:hAnsi="Arial" w:cs="Arial"/>
        </w:rPr>
        <w:t>Fourteen antibiotics were tested for both individual and synergistic activity with bromelain. These included Gram-negative-specific antibiotics: Sparfloxacin (SP, 10 µg), Tarivid (OFX, 10 µg), Chloramphenicol (CH, 30 µg), and Augmentin (AU, 10 µg), Gram-positive-specific antibiotics: Ampiclox (APX, 30 µg), Rocephin (R, 25 µg), Zinnacef (Z, 20 µg), and Erythromycin (E, 10 µg), and broad-spectrum antibiotics: Amoxicillin (AM, 30 µg), Gentamycin (CN, 10 µg), Ciprofloxacin (CPX, 10 µg), Pefloxacin (PEF, 10 µg), Streptomycin (S, 30 µg), and Septrin (SXT, 30 µg).</w:t>
      </w:r>
    </w:p>
    <w:p w14:paraId="06AEAD6F">
      <w:pPr>
        <w:jc w:val="both"/>
        <w:rPr>
          <w:rFonts w:ascii="Arial" w:hAnsi="Arial" w:eastAsia="SimSun" w:cs="Arial"/>
          <w:b/>
          <w:bCs/>
        </w:rPr>
      </w:pPr>
    </w:p>
    <w:p w14:paraId="76403637">
      <w:pPr>
        <w:pStyle w:val="65"/>
        <w:spacing w:after="0"/>
        <w:rPr>
          <w:rFonts w:ascii="Arial" w:hAnsi="Arial" w:cs="Arial"/>
        </w:rPr>
      </w:pPr>
      <w:bookmarkStart w:id="0" w:name="_Toc144595870"/>
      <w:bookmarkStart w:id="1" w:name="_Toc144596088"/>
      <w:r>
        <w:rPr>
          <w:rFonts w:ascii="Arial" w:hAnsi="Arial" w:cs="Arial"/>
          <w:b/>
          <w:bCs/>
        </w:rPr>
        <w:t>Table 2:</w:t>
      </w:r>
      <w:bookmarkEnd w:id="0"/>
      <w:bookmarkEnd w:id="1"/>
      <w:r>
        <w:rPr>
          <w:rFonts w:ascii="Arial" w:hAnsi="Arial" w:cs="Arial"/>
          <w:b/>
          <w:bCs/>
        </w:rPr>
        <w:t xml:space="preserve"> Antibacterial and </w:t>
      </w:r>
      <w:r>
        <w:rPr>
          <w:rFonts w:ascii="Arial" w:hAnsi="Arial" w:cs="Arial"/>
          <w:b/>
          <w:bCs/>
          <w:szCs w:val="24"/>
        </w:rPr>
        <w:t xml:space="preserve">Gram negative group </w:t>
      </w:r>
      <w:r>
        <w:rPr>
          <w:rFonts w:ascii="Arial" w:hAnsi="Arial" w:cs="Arial"/>
          <w:b/>
          <w:bCs/>
        </w:rPr>
        <w:t xml:space="preserve">Antibiotics effect of bromelain on </w:t>
      </w:r>
      <w:r>
        <w:rPr>
          <w:rFonts w:ascii="Arial" w:hAnsi="Arial" w:cs="Arial"/>
          <w:b/>
          <w:bCs/>
          <w:i/>
        </w:rPr>
        <w:t>Staphylococcus aureus</w:t>
      </w:r>
    </w:p>
    <w:tbl>
      <w:tblPr>
        <w:tblStyle w:val="18"/>
        <w:tblW w:w="81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40"/>
        <w:gridCol w:w="1590"/>
        <w:gridCol w:w="1918"/>
        <w:gridCol w:w="1410"/>
        <w:gridCol w:w="1457"/>
      </w:tblGrid>
      <w:tr w14:paraId="585404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8" w:hRule="atLeast"/>
        </w:trPr>
        <w:tc>
          <w:tcPr>
            <w:tcW w:w="1740" w:type="dxa"/>
            <w:vMerge w:val="restart"/>
          </w:tcPr>
          <w:p w14:paraId="186CD358">
            <w:pPr>
              <w:spacing w:line="360" w:lineRule="auto"/>
              <w:jc w:val="both"/>
              <w:rPr>
                <w:rFonts w:ascii="Arial" w:hAnsi="Arial" w:eastAsia="Calibri" w:cs="Arial"/>
                <w:sz w:val="20"/>
                <w:szCs w:val="20"/>
              </w:rPr>
            </w:pPr>
            <w:r>
              <w:rPr>
                <w:rFonts w:ascii="Arial" w:hAnsi="Arial" w:eastAsia="Calibri" w:cs="Arial"/>
                <w:sz w:val="20"/>
                <w:szCs w:val="20"/>
              </w:rPr>
              <w:t>Bacteria</w:t>
            </w:r>
          </w:p>
        </w:tc>
        <w:tc>
          <w:tcPr>
            <w:tcW w:w="1590" w:type="dxa"/>
            <w:vMerge w:val="restart"/>
          </w:tcPr>
          <w:p w14:paraId="21F49815">
            <w:pPr>
              <w:spacing w:line="360" w:lineRule="auto"/>
              <w:jc w:val="both"/>
              <w:rPr>
                <w:rFonts w:ascii="Arial" w:hAnsi="Arial" w:eastAsia="Calibri" w:cs="Arial"/>
                <w:sz w:val="20"/>
                <w:szCs w:val="20"/>
              </w:rPr>
            </w:pPr>
            <w:r>
              <w:rPr>
                <w:rFonts w:ascii="Arial" w:hAnsi="Arial" w:eastAsia="Calibri" w:cs="Arial"/>
                <w:sz w:val="20"/>
                <w:szCs w:val="20"/>
              </w:rPr>
              <w:t>Enzyme Zone of inhibition</w:t>
            </w:r>
          </w:p>
        </w:tc>
        <w:tc>
          <w:tcPr>
            <w:tcW w:w="1918" w:type="dxa"/>
            <w:vMerge w:val="restart"/>
          </w:tcPr>
          <w:p w14:paraId="3F7B318D">
            <w:pPr>
              <w:spacing w:line="360" w:lineRule="auto"/>
              <w:rPr>
                <w:rFonts w:ascii="Arial" w:hAnsi="Arial" w:eastAsia="Calibri" w:cs="Arial"/>
                <w:sz w:val="20"/>
                <w:szCs w:val="20"/>
              </w:rPr>
            </w:pPr>
            <w:r>
              <w:rPr>
                <w:rFonts w:ascii="Arial" w:hAnsi="Arial" w:eastAsia="Calibri" w:cs="Arial"/>
                <w:sz w:val="20"/>
                <w:szCs w:val="20"/>
              </w:rPr>
              <w:t>Gram negative group Antibiotics (B)</w:t>
            </w:r>
          </w:p>
        </w:tc>
        <w:tc>
          <w:tcPr>
            <w:tcW w:w="2867" w:type="dxa"/>
            <w:gridSpan w:val="2"/>
            <w:tcBorders>
              <w:bottom w:val="single" w:color="auto" w:sz="4" w:space="0"/>
            </w:tcBorders>
          </w:tcPr>
          <w:p w14:paraId="7428B27B">
            <w:pPr>
              <w:spacing w:line="360" w:lineRule="auto"/>
              <w:jc w:val="both"/>
              <w:rPr>
                <w:rFonts w:ascii="Arial" w:hAnsi="Arial" w:eastAsia="Calibri" w:cs="Arial"/>
                <w:sz w:val="20"/>
                <w:szCs w:val="20"/>
              </w:rPr>
            </w:pPr>
            <w:r>
              <w:rPr>
                <w:rFonts w:ascii="Arial" w:hAnsi="Arial" w:eastAsia="Calibri" w:cs="Arial"/>
                <w:sz w:val="20"/>
                <w:szCs w:val="20"/>
              </w:rPr>
              <w:t>Zone of inhibition</w:t>
            </w:r>
          </w:p>
        </w:tc>
      </w:tr>
      <w:tr w14:paraId="2E2F82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trPr>
        <w:tc>
          <w:tcPr>
            <w:tcW w:w="1740" w:type="dxa"/>
            <w:vMerge w:val="continue"/>
          </w:tcPr>
          <w:p w14:paraId="2A465114">
            <w:pPr>
              <w:spacing w:line="360" w:lineRule="auto"/>
              <w:jc w:val="both"/>
              <w:rPr>
                <w:rFonts w:ascii="Arial" w:hAnsi="Arial" w:eastAsia="Calibri" w:cs="Arial"/>
                <w:sz w:val="20"/>
                <w:szCs w:val="20"/>
              </w:rPr>
            </w:pPr>
          </w:p>
        </w:tc>
        <w:tc>
          <w:tcPr>
            <w:tcW w:w="1590" w:type="dxa"/>
            <w:vMerge w:val="continue"/>
          </w:tcPr>
          <w:p w14:paraId="66A12941">
            <w:pPr>
              <w:spacing w:line="360" w:lineRule="auto"/>
              <w:jc w:val="both"/>
              <w:rPr>
                <w:rFonts w:ascii="Arial" w:hAnsi="Arial" w:eastAsia="Calibri" w:cs="Arial"/>
                <w:sz w:val="20"/>
                <w:szCs w:val="20"/>
              </w:rPr>
            </w:pPr>
          </w:p>
        </w:tc>
        <w:tc>
          <w:tcPr>
            <w:tcW w:w="1918" w:type="dxa"/>
            <w:vMerge w:val="continue"/>
          </w:tcPr>
          <w:p w14:paraId="4FB89D45">
            <w:pPr>
              <w:spacing w:line="360" w:lineRule="auto"/>
              <w:jc w:val="both"/>
              <w:rPr>
                <w:rFonts w:ascii="Arial" w:hAnsi="Arial" w:eastAsia="Calibri" w:cs="Arial"/>
                <w:sz w:val="20"/>
                <w:szCs w:val="20"/>
              </w:rPr>
            </w:pPr>
          </w:p>
        </w:tc>
        <w:tc>
          <w:tcPr>
            <w:tcW w:w="1410" w:type="dxa"/>
            <w:tcBorders>
              <w:top w:val="single" w:color="auto" w:sz="4" w:space="0"/>
            </w:tcBorders>
          </w:tcPr>
          <w:p w14:paraId="7876472A">
            <w:pPr>
              <w:spacing w:line="360" w:lineRule="auto"/>
              <w:jc w:val="both"/>
              <w:rPr>
                <w:rFonts w:ascii="Arial" w:hAnsi="Arial" w:eastAsia="Calibri" w:cs="Arial"/>
                <w:sz w:val="20"/>
                <w:szCs w:val="20"/>
              </w:rPr>
            </w:pPr>
            <w:r>
              <w:rPr>
                <w:rFonts w:ascii="Arial" w:hAnsi="Arial" w:eastAsia="Calibri" w:cs="Arial"/>
                <w:sz w:val="20"/>
                <w:szCs w:val="20"/>
              </w:rPr>
              <w:t>Grp B</w:t>
            </w:r>
          </w:p>
        </w:tc>
        <w:tc>
          <w:tcPr>
            <w:tcW w:w="1457" w:type="dxa"/>
            <w:tcBorders>
              <w:top w:val="single" w:color="auto" w:sz="4" w:space="0"/>
            </w:tcBorders>
          </w:tcPr>
          <w:p w14:paraId="6C95140F">
            <w:pPr>
              <w:spacing w:line="360" w:lineRule="auto"/>
              <w:jc w:val="both"/>
              <w:rPr>
                <w:rFonts w:ascii="Arial" w:hAnsi="Arial" w:eastAsia="Calibri" w:cs="Arial"/>
                <w:sz w:val="20"/>
                <w:szCs w:val="20"/>
              </w:rPr>
            </w:pPr>
            <w:r>
              <w:rPr>
                <w:rFonts w:ascii="Arial" w:hAnsi="Arial" w:eastAsia="Calibri" w:cs="Arial"/>
                <w:sz w:val="20"/>
                <w:szCs w:val="20"/>
              </w:rPr>
              <w:t>Grp B + Enzyme</w:t>
            </w:r>
          </w:p>
        </w:tc>
      </w:tr>
      <w:tr w14:paraId="3B80BE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restart"/>
          </w:tcPr>
          <w:p w14:paraId="6FB7F0F7">
            <w:pPr>
              <w:numPr>
                <w:ilvl w:val="0"/>
                <w:numId w:val="3"/>
              </w:numPr>
              <w:spacing w:line="360" w:lineRule="auto"/>
              <w:jc w:val="both"/>
              <w:rPr>
                <w:rFonts w:ascii="Arial" w:hAnsi="Arial" w:eastAsia="Calibri" w:cs="Arial"/>
                <w:i/>
                <w:sz w:val="20"/>
                <w:szCs w:val="20"/>
              </w:rPr>
            </w:pPr>
            <w:r>
              <w:rPr>
                <w:rFonts w:ascii="Arial" w:hAnsi="Arial" w:eastAsia="Calibri" w:cs="Arial"/>
                <w:i/>
                <w:sz w:val="20"/>
                <w:szCs w:val="20"/>
              </w:rPr>
              <w:t>aureus</w:t>
            </w:r>
          </w:p>
        </w:tc>
        <w:tc>
          <w:tcPr>
            <w:tcW w:w="1590" w:type="dxa"/>
            <w:vMerge w:val="restart"/>
          </w:tcPr>
          <w:p w14:paraId="7EA41F2D">
            <w:pPr>
              <w:spacing w:line="360" w:lineRule="auto"/>
              <w:jc w:val="both"/>
              <w:rPr>
                <w:rFonts w:ascii="Arial" w:hAnsi="Arial" w:eastAsia="Calibri" w:cs="Arial"/>
                <w:sz w:val="20"/>
                <w:szCs w:val="20"/>
              </w:rPr>
            </w:pPr>
            <w:r>
              <w:rPr>
                <w:rFonts w:ascii="Arial" w:hAnsi="Arial" w:eastAsia="Calibri" w:cs="Arial"/>
                <w:bCs/>
                <w:sz w:val="20"/>
                <w:szCs w:val="20"/>
              </w:rPr>
              <w:t>0.3</w:t>
            </w:r>
            <w:r>
              <w:rPr>
                <w:rFonts w:ascii="Arial" w:hAnsi="Arial" w:eastAsia="Calibri" w:cs="Arial"/>
                <w:sz w:val="20"/>
                <w:szCs w:val="20"/>
              </w:rPr>
              <w:t>±0.00</w:t>
            </w:r>
            <w:r>
              <w:rPr>
                <w:rFonts w:ascii="Arial" w:hAnsi="Arial" w:eastAsia="Calibri" w:cs="Arial"/>
                <w:bCs/>
                <w:sz w:val="20"/>
                <w:szCs w:val="20"/>
              </w:rPr>
              <w:t>cm</w:t>
            </w:r>
          </w:p>
        </w:tc>
        <w:tc>
          <w:tcPr>
            <w:tcW w:w="1918" w:type="dxa"/>
          </w:tcPr>
          <w:p w14:paraId="794CED77">
            <w:pPr>
              <w:spacing w:line="360" w:lineRule="auto"/>
              <w:jc w:val="both"/>
              <w:rPr>
                <w:rFonts w:ascii="Arial" w:hAnsi="Arial" w:eastAsia="Calibri" w:cs="Arial"/>
                <w:sz w:val="20"/>
                <w:szCs w:val="20"/>
              </w:rPr>
            </w:pPr>
            <w:r>
              <w:rPr>
                <w:rFonts w:ascii="Arial" w:hAnsi="Arial" w:eastAsia="Calibri" w:cs="Arial"/>
                <w:sz w:val="20"/>
                <w:szCs w:val="20"/>
              </w:rPr>
              <w:t>SXT</w:t>
            </w:r>
          </w:p>
        </w:tc>
        <w:tc>
          <w:tcPr>
            <w:tcW w:w="1410" w:type="dxa"/>
          </w:tcPr>
          <w:p w14:paraId="173EF2A2">
            <w:pPr>
              <w:spacing w:line="360" w:lineRule="auto"/>
              <w:jc w:val="both"/>
              <w:rPr>
                <w:rFonts w:ascii="Arial" w:hAnsi="Arial" w:eastAsia="Calibri" w:cs="Arial"/>
                <w:sz w:val="20"/>
                <w:szCs w:val="20"/>
              </w:rPr>
            </w:pPr>
            <w:r>
              <w:rPr>
                <w:rFonts w:ascii="Arial" w:hAnsi="Arial" w:eastAsia="Calibri" w:cs="Arial"/>
                <w:sz w:val="20"/>
                <w:szCs w:val="20"/>
              </w:rPr>
              <w:t>R</w:t>
            </w:r>
          </w:p>
        </w:tc>
        <w:tc>
          <w:tcPr>
            <w:tcW w:w="1457" w:type="dxa"/>
          </w:tcPr>
          <w:p w14:paraId="64EEE2D4">
            <w:pPr>
              <w:spacing w:line="360" w:lineRule="auto"/>
              <w:jc w:val="both"/>
              <w:rPr>
                <w:rFonts w:ascii="Arial" w:hAnsi="Arial" w:eastAsia="Calibri" w:cs="Arial"/>
                <w:sz w:val="20"/>
                <w:szCs w:val="20"/>
              </w:rPr>
            </w:pPr>
            <w:r>
              <w:rPr>
                <w:rFonts w:ascii="Arial" w:hAnsi="Arial" w:eastAsia="Calibri" w:cs="Arial"/>
                <w:sz w:val="20"/>
                <w:szCs w:val="20"/>
              </w:rPr>
              <w:t>0.6±0.01cm</w:t>
            </w:r>
          </w:p>
        </w:tc>
      </w:tr>
      <w:tr w14:paraId="1AC551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55239103">
            <w:pPr>
              <w:spacing w:line="360" w:lineRule="auto"/>
              <w:jc w:val="both"/>
              <w:rPr>
                <w:rFonts w:ascii="Arial" w:hAnsi="Arial" w:eastAsia="Calibri" w:cs="Arial"/>
                <w:sz w:val="20"/>
                <w:szCs w:val="20"/>
              </w:rPr>
            </w:pPr>
          </w:p>
        </w:tc>
        <w:tc>
          <w:tcPr>
            <w:tcW w:w="1590" w:type="dxa"/>
            <w:vMerge w:val="continue"/>
          </w:tcPr>
          <w:p w14:paraId="507F0D2F">
            <w:pPr>
              <w:spacing w:line="360" w:lineRule="auto"/>
              <w:jc w:val="both"/>
              <w:rPr>
                <w:rFonts w:ascii="Arial" w:hAnsi="Arial" w:eastAsia="Calibri" w:cs="Arial"/>
                <w:sz w:val="20"/>
                <w:szCs w:val="20"/>
              </w:rPr>
            </w:pPr>
          </w:p>
        </w:tc>
        <w:tc>
          <w:tcPr>
            <w:tcW w:w="1918" w:type="dxa"/>
          </w:tcPr>
          <w:p w14:paraId="3529AFE6">
            <w:pPr>
              <w:spacing w:line="360" w:lineRule="auto"/>
              <w:jc w:val="both"/>
              <w:rPr>
                <w:rFonts w:ascii="Arial" w:hAnsi="Arial" w:eastAsia="Calibri" w:cs="Arial"/>
                <w:sz w:val="20"/>
                <w:szCs w:val="20"/>
              </w:rPr>
            </w:pPr>
            <w:r>
              <w:rPr>
                <w:rFonts w:ascii="Arial" w:hAnsi="Arial" w:eastAsia="Calibri" w:cs="Arial"/>
                <w:sz w:val="20"/>
                <w:szCs w:val="20"/>
              </w:rPr>
              <w:t>CH</w:t>
            </w:r>
          </w:p>
        </w:tc>
        <w:tc>
          <w:tcPr>
            <w:tcW w:w="1410" w:type="dxa"/>
          </w:tcPr>
          <w:p w14:paraId="1B4DCCA5">
            <w:pPr>
              <w:spacing w:line="360" w:lineRule="auto"/>
              <w:jc w:val="both"/>
              <w:rPr>
                <w:rFonts w:ascii="Arial" w:hAnsi="Arial" w:eastAsia="Calibri" w:cs="Arial"/>
                <w:sz w:val="20"/>
                <w:szCs w:val="20"/>
              </w:rPr>
            </w:pPr>
            <w:r>
              <w:rPr>
                <w:rFonts w:ascii="Arial" w:hAnsi="Arial" w:eastAsia="Calibri" w:cs="Arial"/>
                <w:sz w:val="20"/>
                <w:szCs w:val="20"/>
              </w:rPr>
              <w:t>R</w:t>
            </w:r>
          </w:p>
        </w:tc>
        <w:tc>
          <w:tcPr>
            <w:tcW w:w="1457" w:type="dxa"/>
          </w:tcPr>
          <w:p w14:paraId="12B0915D">
            <w:pPr>
              <w:spacing w:line="360" w:lineRule="auto"/>
              <w:jc w:val="both"/>
              <w:rPr>
                <w:rFonts w:ascii="Arial" w:hAnsi="Arial" w:eastAsia="Calibri" w:cs="Arial"/>
                <w:sz w:val="20"/>
                <w:szCs w:val="20"/>
              </w:rPr>
            </w:pPr>
            <w:r>
              <w:rPr>
                <w:rFonts w:ascii="Arial" w:hAnsi="Arial" w:eastAsia="Calibri" w:cs="Arial"/>
                <w:sz w:val="20"/>
                <w:szCs w:val="20"/>
              </w:rPr>
              <w:t>0.2±0.00cm</w:t>
            </w:r>
          </w:p>
        </w:tc>
      </w:tr>
      <w:tr w14:paraId="49D112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1EE1494C">
            <w:pPr>
              <w:spacing w:line="360" w:lineRule="auto"/>
              <w:jc w:val="both"/>
              <w:rPr>
                <w:rFonts w:ascii="Arial" w:hAnsi="Arial" w:eastAsia="Calibri" w:cs="Arial"/>
                <w:sz w:val="20"/>
                <w:szCs w:val="20"/>
              </w:rPr>
            </w:pPr>
          </w:p>
        </w:tc>
        <w:tc>
          <w:tcPr>
            <w:tcW w:w="1590" w:type="dxa"/>
            <w:vMerge w:val="continue"/>
          </w:tcPr>
          <w:p w14:paraId="43C5B82F">
            <w:pPr>
              <w:spacing w:line="360" w:lineRule="auto"/>
              <w:jc w:val="both"/>
              <w:rPr>
                <w:rFonts w:ascii="Arial" w:hAnsi="Arial" w:eastAsia="Calibri" w:cs="Arial"/>
                <w:sz w:val="20"/>
                <w:szCs w:val="20"/>
              </w:rPr>
            </w:pPr>
          </w:p>
        </w:tc>
        <w:tc>
          <w:tcPr>
            <w:tcW w:w="1918" w:type="dxa"/>
          </w:tcPr>
          <w:p w14:paraId="1337B92B">
            <w:pPr>
              <w:spacing w:line="360" w:lineRule="auto"/>
              <w:jc w:val="both"/>
              <w:rPr>
                <w:rFonts w:ascii="Arial" w:hAnsi="Arial" w:eastAsia="Calibri" w:cs="Arial"/>
                <w:sz w:val="20"/>
                <w:szCs w:val="20"/>
              </w:rPr>
            </w:pPr>
            <w:r>
              <w:rPr>
                <w:rFonts w:ascii="Arial" w:hAnsi="Arial" w:eastAsia="Calibri" w:cs="Arial"/>
                <w:sz w:val="20"/>
                <w:szCs w:val="20"/>
              </w:rPr>
              <w:t>SP</w:t>
            </w:r>
          </w:p>
        </w:tc>
        <w:tc>
          <w:tcPr>
            <w:tcW w:w="1410" w:type="dxa"/>
          </w:tcPr>
          <w:p w14:paraId="5BC77525">
            <w:pPr>
              <w:spacing w:line="360" w:lineRule="auto"/>
              <w:jc w:val="both"/>
              <w:rPr>
                <w:rFonts w:ascii="Arial" w:hAnsi="Arial" w:eastAsia="Calibri" w:cs="Arial"/>
                <w:sz w:val="20"/>
                <w:szCs w:val="20"/>
              </w:rPr>
            </w:pPr>
            <w:r>
              <w:rPr>
                <w:rFonts w:ascii="Arial" w:hAnsi="Arial" w:eastAsia="Calibri" w:cs="Arial"/>
                <w:sz w:val="20"/>
                <w:szCs w:val="20"/>
              </w:rPr>
              <w:t>R</w:t>
            </w:r>
          </w:p>
        </w:tc>
        <w:tc>
          <w:tcPr>
            <w:tcW w:w="1457" w:type="dxa"/>
          </w:tcPr>
          <w:p w14:paraId="0DE5F412">
            <w:pPr>
              <w:spacing w:line="360" w:lineRule="auto"/>
              <w:jc w:val="both"/>
              <w:rPr>
                <w:rFonts w:ascii="Arial" w:hAnsi="Arial" w:eastAsia="Calibri" w:cs="Arial"/>
                <w:sz w:val="20"/>
                <w:szCs w:val="20"/>
              </w:rPr>
            </w:pPr>
            <w:r>
              <w:rPr>
                <w:rFonts w:ascii="Arial" w:hAnsi="Arial" w:eastAsia="Calibri" w:cs="Arial"/>
                <w:sz w:val="20"/>
                <w:szCs w:val="20"/>
              </w:rPr>
              <w:t>R</w:t>
            </w:r>
          </w:p>
        </w:tc>
      </w:tr>
      <w:tr w14:paraId="0F2093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74AD9F49">
            <w:pPr>
              <w:spacing w:line="360" w:lineRule="auto"/>
              <w:jc w:val="both"/>
              <w:rPr>
                <w:rFonts w:ascii="Arial" w:hAnsi="Arial" w:eastAsia="Calibri" w:cs="Arial"/>
                <w:sz w:val="20"/>
                <w:szCs w:val="20"/>
              </w:rPr>
            </w:pPr>
          </w:p>
        </w:tc>
        <w:tc>
          <w:tcPr>
            <w:tcW w:w="1590" w:type="dxa"/>
            <w:vMerge w:val="continue"/>
          </w:tcPr>
          <w:p w14:paraId="43C4A051">
            <w:pPr>
              <w:spacing w:line="360" w:lineRule="auto"/>
              <w:jc w:val="both"/>
              <w:rPr>
                <w:rFonts w:ascii="Arial" w:hAnsi="Arial" w:eastAsia="Calibri" w:cs="Arial"/>
                <w:sz w:val="20"/>
                <w:szCs w:val="20"/>
              </w:rPr>
            </w:pPr>
          </w:p>
        </w:tc>
        <w:tc>
          <w:tcPr>
            <w:tcW w:w="1918" w:type="dxa"/>
          </w:tcPr>
          <w:p w14:paraId="6947135F">
            <w:pPr>
              <w:spacing w:line="360" w:lineRule="auto"/>
              <w:jc w:val="both"/>
              <w:rPr>
                <w:rFonts w:ascii="Arial" w:hAnsi="Arial" w:eastAsia="Calibri" w:cs="Arial"/>
                <w:sz w:val="20"/>
                <w:szCs w:val="20"/>
              </w:rPr>
            </w:pPr>
            <w:r>
              <w:rPr>
                <w:rFonts w:ascii="Arial" w:hAnsi="Arial" w:eastAsia="Calibri" w:cs="Arial"/>
                <w:sz w:val="20"/>
                <w:szCs w:val="20"/>
              </w:rPr>
              <w:t>CPX</w:t>
            </w:r>
          </w:p>
        </w:tc>
        <w:tc>
          <w:tcPr>
            <w:tcW w:w="1410" w:type="dxa"/>
          </w:tcPr>
          <w:p w14:paraId="66BF1C72">
            <w:pPr>
              <w:spacing w:line="360" w:lineRule="auto"/>
              <w:jc w:val="both"/>
              <w:rPr>
                <w:rFonts w:ascii="Arial" w:hAnsi="Arial" w:eastAsia="Calibri" w:cs="Arial"/>
                <w:sz w:val="20"/>
                <w:szCs w:val="20"/>
              </w:rPr>
            </w:pPr>
            <w:r>
              <w:rPr>
                <w:rFonts w:ascii="Arial" w:hAnsi="Arial" w:eastAsia="Calibri" w:cs="Arial"/>
                <w:sz w:val="20"/>
                <w:szCs w:val="20"/>
              </w:rPr>
              <w:t>0.1±0.00cm</w:t>
            </w:r>
          </w:p>
        </w:tc>
        <w:tc>
          <w:tcPr>
            <w:tcW w:w="1457" w:type="dxa"/>
          </w:tcPr>
          <w:p w14:paraId="4CB321B2">
            <w:pPr>
              <w:spacing w:line="360" w:lineRule="auto"/>
              <w:jc w:val="both"/>
              <w:rPr>
                <w:rFonts w:ascii="Arial" w:hAnsi="Arial" w:eastAsia="Calibri" w:cs="Arial"/>
                <w:sz w:val="20"/>
                <w:szCs w:val="20"/>
              </w:rPr>
            </w:pPr>
            <w:r>
              <w:rPr>
                <w:rFonts w:ascii="Arial" w:hAnsi="Arial" w:eastAsia="Calibri" w:cs="Arial"/>
                <w:sz w:val="20"/>
                <w:szCs w:val="20"/>
              </w:rPr>
              <w:t>0.6±0.00cm</w:t>
            </w:r>
          </w:p>
        </w:tc>
      </w:tr>
      <w:tr w14:paraId="316730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6FBA8281">
            <w:pPr>
              <w:spacing w:line="360" w:lineRule="auto"/>
              <w:jc w:val="both"/>
              <w:rPr>
                <w:rFonts w:ascii="Arial" w:hAnsi="Arial" w:eastAsia="Calibri" w:cs="Arial"/>
                <w:sz w:val="20"/>
                <w:szCs w:val="20"/>
              </w:rPr>
            </w:pPr>
          </w:p>
        </w:tc>
        <w:tc>
          <w:tcPr>
            <w:tcW w:w="1590" w:type="dxa"/>
            <w:vMerge w:val="continue"/>
          </w:tcPr>
          <w:p w14:paraId="612D7D4E">
            <w:pPr>
              <w:spacing w:line="360" w:lineRule="auto"/>
              <w:jc w:val="both"/>
              <w:rPr>
                <w:rFonts w:ascii="Arial" w:hAnsi="Arial" w:eastAsia="Calibri" w:cs="Arial"/>
                <w:sz w:val="20"/>
                <w:szCs w:val="20"/>
              </w:rPr>
            </w:pPr>
          </w:p>
        </w:tc>
        <w:tc>
          <w:tcPr>
            <w:tcW w:w="1918" w:type="dxa"/>
          </w:tcPr>
          <w:p w14:paraId="292D0FA6">
            <w:pPr>
              <w:spacing w:line="360" w:lineRule="auto"/>
              <w:jc w:val="both"/>
              <w:rPr>
                <w:rFonts w:ascii="Arial" w:hAnsi="Arial" w:eastAsia="Calibri" w:cs="Arial"/>
                <w:sz w:val="20"/>
                <w:szCs w:val="20"/>
              </w:rPr>
            </w:pPr>
            <w:r>
              <w:rPr>
                <w:rFonts w:ascii="Arial" w:hAnsi="Arial" w:eastAsia="Calibri" w:cs="Arial"/>
                <w:sz w:val="20"/>
                <w:szCs w:val="20"/>
              </w:rPr>
              <w:t>AM</w:t>
            </w:r>
          </w:p>
        </w:tc>
        <w:tc>
          <w:tcPr>
            <w:tcW w:w="1410" w:type="dxa"/>
          </w:tcPr>
          <w:p w14:paraId="40BE25E0">
            <w:pPr>
              <w:spacing w:line="360" w:lineRule="auto"/>
              <w:jc w:val="both"/>
              <w:rPr>
                <w:rFonts w:ascii="Arial" w:hAnsi="Arial" w:eastAsia="Calibri" w:cs="Arial"/>
                <w:sz w:val="20"/>
                <w:szCs w:val="20"/>
              </w:rPr>
            </w:pPr>
            <w:r>
              <w:rPr>
                <w:rFonts w:ascii="Arial" w:hAnsi="Arial" w:eastAsia="Calibri" w:cs="Arial"/>
                <w:sz w:val="20"/>
                <w:szCs w:val="20"/>
              </w:rPr>
              <w:t>R</w:t>
            </w:r>
          </w:p>
        </w:tc>
        <w:tc>
          <w:tcPr>
            <w:tcW w:w="1457" w:type="dxa"/>
          </w:tcPr>
          <w:p w14:paraId="59BFE2A8">
            <w:pPr>
              <w:spacing w:line="360" w:lineRule="auto"/>
              <w:jc w:val="both"/>
              <w:rPr>
                <w:rFonts w:ascii="Arial" w:hAnsi="Arial" w:eastAsia="Calibri" w:cs="Arial"/>
                <w:bCs/>
                <w:sz w:val="20"/>
                <w:szCs w:val="20"/>
              </w:rPr>
            </w:pPr>
            <w:r>
              <w:rPr>
                <w:rFonts w:ascii="Arial" w:hAnsi="Arial" w:eastAsia="Calibri" w:cs="Arial"/>
                <w:bCs/>
                <w:sz w:val="20"/>
                <w:szCs w:val="20"/>
              </w:rPr>
              <w:t>0.4</w:t>
            </w:r>
            <w:r>
              <w:rPr>
                <w:rFonts w:ascii="Arial" w:hAnsi="Arial" w:eastAsia="Calibri" w:cs="Arial"/>
                <w:sz w:val="20"/>
                <w:szCs w:val="20"/>
              </w:rPr>
              <w:t>±0.00</w:t>
            </w:r>
            <w:r>
              <w:rPr>
                <w:rFonts w:ascii="Arial" w:hAnsi="Arial" w:eastAsia="Calibri" w:cs="Arial"/>
                <w:bCs/>
                <w:sz w:val="20"/>
                <w:szCs w:val="20"/>
              </w:rPr>
              <w:t>cm</w:t>
            </w:r>
          </w:p>
        </w:tc>
      </w:tr>
      <w:tr w14:paraId="0D664E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5EBDA1A7">
            <w:pPr>
              <w:spacing w:line="360" w:lineRule="auto"/>
              <w:jc w:val="both"/>
              <w:rPr>
                <w:rFonts w:ascii="Arial" w:hAnsi="Arial" w:eastAsia="Calibri" w:cs="Arial"/>
                <w:sz w:val="20"/>
                <w:szCs w:val="20"/>
              </w:rPr>
            </w:pPr>
          </w:p>
        </w:tc>
        <w:tc>
          <w:tcPr>
            <w:tcW w:w="1590" w:type="dxa"/>
            <w:vMerge w:val="continue"/>
          </w:tcPr>
          <w:p w14:paraId="2BEF721D">
            <w:pPr>
              <w:spacing w:line="360" w:lineRule="auto"/>
              <w:jc w:val="both"/>
              <w:rPr>
                <w:rFonts w:ascii="Arial" w:hAnsi="Arial" w:eastAsia="Calibri" w:cs="Arial"/>
                <w:sz w:val="20"/>
                <w:szCs w:val="20"/>
              </w:rPr>
            </w:pPr>
          </w:p>
        </w:tc>
        <w:tc>
          <w:tcPr>
            <w:tcW w:w="1918" w:type="dxa"/>
          </w:tcPr>
          <w:p w14:paraId="1BF99256">
            <w:pPr>
              <w:spacing w:line="360" w:lineRule="auto"/>
              <w:jc w:val="both"/>
              <w:rPr>
                <w:rFonts w:ascii="Arial" w:hAnsi="Arial" w:eastAsia="Calibri" w:cs="Arial"/>
                <w:sz w:val="20"/>
                <w:szCs w:val="20"/>
              </w:rPr>
            </w:pPr>
            <w:r>
              <w:rPr>
                <w:rFonts w:ascii="Arial" w:hAnsi="Arial" w:eastAsia="Calibri" w:cs="Arial"/>
                <w:sz w:val="20"/>
                <w:szCs w:val="20"/>
              </w:rPr>
              <w:t>AU</w:t>
            </w:r>
          </w:p>
        </w:tc>
        <w:tc>
          <w:tcPr>
            <w:tcW w:w="1410" w:type="dxa"/>
          </w:tcPr>
          <w:p w14:paraId="506FB1E0">
            <w:pPr>
              <w:spacing w:line="360" w:lineRule="auto"/>
              <w:jc w:val="both"/>
              <w:rPr>
                <w:rFonts w:ascii="Arial" w:hAnsi="Arial" w:eastAsia="Calibri" w:cs="Arial"/>
                <w:sz w:val="20"/>
                <w:szCs w:val="20"/>
              </w:rPr>
            </w:pPr>
            <w:r>
              <w:rPr>
                <w:rFonts w:ascii="Arial" w:hAnsi="Arial" w:eastAsia="Calibri" w:cs="Arial"/>
                <w:sz w:val="20"/>
                <w:szCs w:val="20"/>
              </w:rPr>
              <w:t>0.2±0.00cm</w:t>
            </w:r>
          </w:p>
        </w:tc>
        <w:tc>
          <w:tcPr>
            <w:tcW w:w="1457" w:type="dxa"/>
          </w:tcPr>
          <w:p w14:paraId="6807C6E6">
            <w:pPr>
              <w:spacing w:line="360" w:lineRule="auto"/>
              <w:jc w:val="both"/>
              <w:rPr>
                <w:rFonts w:ascii="Arial" w:hAnsi="Arial" w:eastAsia="Calibri" w:cs="Arial"/>
                <w:bCs/>
                <w:sz w:val="20"/>
                <w:szCs w:val="20"/>
              </w:rPr>
            </w:pPr>
            <w:r>
              <w:rPr>
                <w:rFonts w:ascii="Arial" w:hAnsi="Arial" w:eastAsia="Calibri" w:cs="Arial"/>
                <w:bCs/>
                <w:sz w:val="20"/>
                <w:szCs w:val="20"/>
              </w:rPr>
              <w:t>0.8</w:t>
            </w:r>
            <w:r>
              <w:rPr>
                <w:rFonts w:ascii="Arial" w:hAnsi="Arial" w:eastAsia="Calibri" w:cs="Arial"/>
                <w:sz w:val="20"/>
                <w:szCs w:val="20"/>
              </w:rPr>
              <w:t>±0.01</w:t>
            </w:r>
            <w:r>
              <w:rPr>
                <w:rFonts w:ascii="Arial" w:hAnsi="Arial" w:eastAsia="Calibri" w:cs="Arial"/>
                <w:bCs/>
                <w:sz w:val="20"/>
                <w:szCs w:val="20"/>
              </w:rPr>
              <w:t>cm</w:t>
            </w:r>
          </w:p>
        </w:tc>
      </w:tr>
      <w:tr w14:paraId="26EBA7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28D6DDA1">
            <w:pPr>
              <w:spacing w:line="360" w:lineRule="auto"/>
              <w:jc w:val="both"/>
              <w:rPr>
                <w:rFonts w:ascii="Arial" w:hAnsi="Arial" w:eastAsia="Calibri" w:cs="Arial"/>
                <w:sz w:val="20"/>
                <w:szCs w:val="20"/>
              </w:rPr>
            </w:pPr>
          </w:p>
        </w:tc>
        <w:tc>
          <w:tcPr>
            <w:tcW w:w="1590" w:type="dxa"/>
            <w:vMerge w:val="continue"/>
          </w:tcPr>
          <w:p w14:paraId="5601346A">
            <w:pPr>
              <w:spacing w:line="360" w:lineRule="auto"/>
              <w:jc w:val="both"/>
              <w:rPr>
                <w:rFonts w:ascii="Arial" w:hAnsi="Arial" w:eastAsia="Calibri" w:cs="Arial"/>
                <w:sz w:val="20"/>
                <w:szCs w:val="20"/>
              </w:rPr>
            </w:pPr>
          </w:p>
        </w:tc>
        <w:tc>
          <w:tcPr>
            <w:tcW w:w="1918" w:type="dxa"/>
          </w:tcPr>
          <w:p w14:paraId="0744B8ED">
            <w:pPr>
              <w:spacing w:line="360" w:lineRule="auto"/>
              <w:jc w:val="both"/>
              <w:rPr>
                <w:rFonts w:ascii="Arial" w:hAnsi="Arial" w:eastAsia="Calibri" w:cs="Arial"/>
                <w:sz w:val="20"/>
                <w:szCs w:val="20"/>
              </w:rPr>
            </w:pPr>
            <w:r>
              <w:rPr>
                <w:rFonts w:ascii="Arial" w:hAnsi="Arial" w:eastAsia="Calibri" w:cs="Arial"/>
                <w:sz w:val="20"/>
                <w:szCs w:val="20"/>
              </w:rPr>
              <w:t>CN</w:t>
            </w:r>
          </w:p>
        </w:tc>
        <w:tc>
          <w:tcPr>
            <w:tcW w:w="1410" w:type="dxa"/>
          </w:tcPr>
          <w:p w14:paraId="72771D95">
            <w:pPr>
              <w:spacing w:line="360" w:lineRule="auto"/>
              <w:jc w:val="both"/>
              <w:rPr>
                <w:rFonts w:ascii="Arial" w:hAnsi="Arial" w:eastAsia="Calibri" w:cs="Arial"/>
                <w:sz w:val="20"/>
                <w:szCs w:val="20"/>
              </w:rPr>
            </w:pPr>
            <w:r>
              <w:rPr>
                <w:rFonts w:ascii="Arial" w:hAnsi="Arial" w:eastAsia="Calibri" w:cs="Arial"/>
                <w:sz w:val="20"/>
                <w:szCs w:val="20"/>
              </w:rPr>
              <w:t>0.3±0.00cm</w:t>
            </w:r>
          </w:p>
        </w:tc>
        <w:tc>
          <w:tcPr>
            <w:tcW w:w="1457" w:type="dxa"/>
          </w:tcPr>
          <w:p w14:paraId="5EB6D3E4">
            <w:pPr>
              <w:spacing w:line="360" w:lineRule="auto"/>
              <w:jc w:val="both"/>
              <w:rPr>
                <w:rFonts w:ascii="Arial" w:hAnsi="Arial" w:eastAsia="Calibri" w:cs="Arial"/>
                <w:bCs/>
                <w:sz w:val="20"/>
                <w:szCs w:val="20"/>
              </w:rPr>
            </w:pPr>
            <w:r>
              <w:rPr>
                <w:rFonts w:ascii="Arial" w:hAnsi="Arial" w:eastAsia="Calibri" w:cs="Arial"/>
                <w:bCs/>
                <w:sz w:val="20"/>
                <w:szCs w:val="20"/>
              </w:rPr>
              <w:t>0.6</w:t>
            </w:r>
            <w:r>
              <w:rPr>
                <w:rFonts w:ascii="Arial" w:hAnsi="Arial" w:eastAsia="Calibri" w:cs="Arial"/>
                <w:sz w:val="20"/>
                <w:szCs w:val="20"/>
              </w:rPr>
              <w:t>±0.00</w:t>
            </w:r>
            <w:r>
              <w:rPr>
                <w:rFonts w:ascii="Arial" w:hAnsi="Arial" w:eastAsia="Calibri" w:cs="Arial"/>
                <w:bCs/>
                <w:sz w:val="20"/>
                <w:szCs w:val="20"/>
              </w:rPr>
              <w:t>cm</w:t>
            </w:r>
          </w:p>
        </w:tc>
      </w:tr>
      <w:tr w14:paraId="5E1B34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3995D743">
            <w:pPr>
              <w:spacing w:line="360" w:lineRule="auto"/>
              <w:jc w:val="both"/>
              <w:rPr>
                <w:rFonts w:ascii="Arial" w:hAnsi="Arial" w:eastAsia="Calibri" w:cs="Arial"/>
                <w:sz w:val="20"/>
                <w:szCs w:val="20"/>
              </w:rPr>
            </w:pPr>
          </w:p>
        </w:tc>
        <w:tc>
          <w:tcPr>
            <w:tcW w:w="1590" w:type="dxa"/>
            <w:vMerge w:val="continue"/>
          </w:tcPr>
          <w:p w14:paraId="446FE69A">
            <w:pPr>
              <w:spacing w:line="360" w:lineRule="auto"/>
              <w:jc w:val="both"/>
              <w:rPr>
                <w:rFonts w:ascii="Arial" w:hAnsi="Arial" w:eastAsia="Calibri" w:cs="Arial"/>
                <w:sz w:val="20"/>
                <w:szCs w:val="20"/>
              </w:rPr>
            </w:pPr>
          </w:p>
        </w:tc>
        <w:tc>
          <w:tcPr>
            <w:tcW w:w="1918" w:type="dxa"/>
          </w:tcPr>
          <w:p w14:paraId="13EE83CE">
            <w:pPr>
              <w:spacing w:line="360" w:lineRule="auto"/>
              <w:jc w:val="both"/>
              <w:rPr>
                <w:rFonts w:ascii="Arial" w:hAnsi="Arial" w:eastAsia="Calibri" w:cs="Arial"/>
                <w:sz w:val="20"/>
                <w:szCs w:val="20"/>
              </w:rPr>
            </w:pPr>
            <w:r>
              <w:rPr>
                <w:rFonts w:ascii="Arial" w:hAnsi="Arial" w:eastAsia="Calibri" w:cs="Arial"/>
                <w:sz w:val="20"/>
                <w:szCs w:val="20"/>
              </w:rPr>
              <w:t>PEF</w:t>
            </w:r>
          </w:p>
        </w:tc>
        <w:tc>
          <w:tcPr>
            <w:tcW w:w="1410" w:type="dxa"/>
          </w:tcPr>
          <w:p w14:paraId="404331DB">
            <w:pPr>
              <w:spacing w:line="360" w:lineRule="auto"/>
              <w:jc w:val="both"/>
              <w:rPr>
                <w:rFonts w:ascii="Arial" w:hAnsi="Arial" w:eastAsia="Calibri" w:cs="Arial"/>
                <w:sz w:val="20"/>
                <w:szCs w:val="20"/>
              </w:rPr>
            </w:pPr>
            <w:r>
              <w:rPr>
                <w:rFonts w:ascii="Arial" w:hAnsi="Arial" w:eastAsia="Calibri" w:cs="Arial"/>
                <w:sz w:val="20"/>
                <w:szCs w:val="20"/>
              </w:rPr>
              <w:t>0.5±0.00cm</w:t>
            </w:r>
          </w:p>
        </w:tc>
        <w:tc>
          <w:tcPr>
            <w:tcW w:w="1457" w:type="dxa"/>
          </w:tcPr>
          <w:p w14:paraId="6CDC64FD">
            <w:pPr>
              <w:spacing w:line="360" w:lineRule="auto"/>
              <w:jc w:val="both"/>
              <w:rPr>
                <w:rFonts w:ascii="Arial" w:hAnsi="Arial" w:eastAsia="Calibri" w:cs="Arial"/>
                <w:bCs/>
                <w:sz w:val="20"/>
                <w:szCs w:val="20"/>
              </w:rPr>
            </w:pPr>
            <w:r>
              <w:rPr>
                <w:rFonts w:ascii="Arial" w:hAnsi="Arial" w:eastAsia="Calibri" w:cs="Arial"/>
                <w:bCs/>
                <w:sz w:val="20"/>
                <w:szCs w:val="20"/>
              </w:rPr>
              <w:t>0.7</w:t>
            </w:r>
            <w:r>
              <w:rPr>
                <w:rFonts w:ascii="Arial" w:hAnsi="Arial" w:eastAsia="Calibri" w:cs="Arial"/>
                <w:sz w:val="20"/>
                <w:szCs w:val="20"/>
              </w:rPr>
              <w:t>±0.01</w:t>
            </w:r>
            <w:r>
              <w:rPr>
                <w:rFonts w:ascii="Arial" w:hAnsi="Arial" w:eastAsia="Calibri" w:cs="Arial"/>
                <w:bCs/>
                <w:sz w:val="20"/>
                <w:szCs w:val="20"/>
              </w:rPr>
              <w:t>cm</w:t>
            </w:r>
          </w:p>
        </w:tc>
      </w:tr>
      <w:tr w14:paraId="31B7D7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54AF415A">
            <w:pPr>
              <w:spacing w:line="360" w:lineRule="auto"/>
              <w:jc w:val="both"/>
              <w:rPr>
                <w:rFonts w:ascii="Arial" w:hAnsi="Arial" w:eastAsia="Calibri" w:cs="Arial"/>
                <w:sz w:val="20"/>
                <w:szCs w:val="20"/>
              </w:rPr>
            </w:pPr>
          </w:p>
        </w:tc>
        <w:tc>
          <w:tcPr>
            <w:tcW w:w="1590" w:type="dxa"/>
            <w:vMerge w:val="continue"/>
          </w:tcPr>
          <w:p w14:paraId="626B00F2">
            <w:pPr>
              <w:spacing w:line="360" w:lineRule="auto"/>
              <w:jc w:val="both"/>
              <w:rPr>
                <w:rFonts w:ascii="Arial" w:hAnsi="Arial" w:eastAsia="Calibri" w:cs="Arial"/>
                <w:sz w:val="20"/>
                <w:szCs w:val="20"/>
              </w:rPr>
            </w:pPr>
          </w:p>
        </w:tc>
        <w:tc>
          <w:tcPr>
            <w:tcW w:w="1918" w:type="dxa"/>
          </w:tcPr>
          <w:p w14:paraId="3E10294B">
            <w:pPr>
              <w:spacing w:line="360" w:lineRule="auto"/>
              <w:jc w:val="both"/>
              <w:rPr>
                <w:rFonts w:ascii="Arial" w:hAnsi="Arial" w:eastAsia="Calibri" w:cs="Arial"/>
                <w:sz w:val="20"/>
                <w:szCs w:val="20"/>
              </w:rPr>
            </w:pPr>
            <w:r>
              <w:rPr>
                <w:rFonts w:ascii="Arial" w:hAnsi="Arial" w:eastAsia="Calibri" w:cs="Arial"/>
                <w:sz w:val="20"/>
                <w:szCs w:val="20"/>
              </w:rPr>
              <w:t>OFX</w:t>
            </w:r>
          </w:p>
        </w:tc>
        <w:tc>
          <w:tcPr>
            <w:tcW w:w="1410" w:type="dxa"/>
          </w:tcPr>
          <w:p w14:paraId="0D0CF2DF">
            <w:pPr>
              <w:spacing w:line="360" w:lineRule="auto"/>
              <w:jc w:val="both"/>
              <w:rPr>
                <w:rFonts w:ascii="Arial" w:hAnsi="Arial" w:eastAsia="Calibri" w:cs="Arial"/>
                <w:sz w:val="20"/>
                <w:szCs w:val="20"/>
              </w:rPr>
            </w:pPr>
            <w:r>
              <w:rPr>
                <w:rFonts w:ascii="Arial" w:hAnsi="Arial" w:eastAsia="Calibri" w:cs="Arial"/>
                <w:sz w:val="20"/>
                <w:szCs w:val="20"/>
              </w:rPr>
              <w:t>0.8±0.01cm</w:t>
            </w:r>
          </w:p>
        </w:tc>
        <w:tc>
          <w:tcPr>
            <w:tcW w:w="1457" w:type="dxa"/>
          </w:tcPr>
          <w:p w14:paraId="44CE1992">
            <w:pPr>
              <w:spacing w:line="360" w:lineRule="auto"/>
              <w:jc w:val="both"/>
              <w:rPr>
                <w:rFonts w:ascii="Arial" w:hAnsi="Arial" w:eastAsia="Calibri" w:cs="Arial"/>
                <w:bCs/>
                <w:sz w:val="20"/>
                <w:szCs w:val="20"/>
              </w:rPr>
            </w:pPr>
            <w:r>
              <w:rPr>
                <w:rFonts w:ascii="Arial" w:hAnsi="Arial" w:eastAsia="Calibri" w:cs="Arial"/>
                <w:bCs/>
                <w:sz w:val="20"/>
                <w:szCs w:val="20"/>
              </w:rPr>
              <w:t>R</w:t>
            </w:r>
          </w:p>
        </w:tc>
      </w:tr>
      <w:tr w14:paraId="1F31DF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74D6CF16">
            <w:pPr>
              <w:spacing w:line="360" w:lineRule="auto"/>
              <w:jc w:val="both"/>
              <w:rPr>
                <w:rFonts w:ascii="Arial" w:hAnsi="Arial" w:eastAsia="Calibri" w:cs="Arial"/>
                <w:sz w:val="20"/>
                <w:szCs w:val="20"/>
              </w:rPr>
            </w:pPr>
          </w:p>
        </w:tc>
        <w:tc>
          <w:tcPr>
            <w:tcW w:w="1590" w:type="dxa"/>
            <w:vMerge w:val="continue"/>
          </w:tcPr>
          <w:p w14:paraId="6FD37C45">
            <w:pPr>
              <w:spacing w:line="360" w:lineRule="auto"/>
              <w:jc w:val="both"/>
              <w:rPr>
                <w:rFonts w:ascii="Arial" w:hAnsi="Arial" w:eastAsia="Calibri" w:cs="Arial"/>
                <w:sz w:val="20"/>
                <w:szCs w:val="20"/>
              </w:rPr>
            </w:pPr>
          </w:p>
        </w:tc>
        <w:tc>
          <w:tcPr>
            <w:tcW w:w="1918" w:type="dxa"/>
          </w:tcPr>
          <w:p w14:paraId="1F5357E2">
            <w:pPr>
              <w:spacing w:line="360" w:lineRule="auto"/>
              <w:jc w:val="both"/>
              <w:rPr>
                <w:rFonts w:ascii="Arial" w:hAnsi="Arial" w:eastAsia="Calibri" w:cs="Arial"/>
                <w:sz w:val="20"/>
                <w:szCs w:val="20"/>
              </w:rPr>
            </w:pPr>
            <w:r>
              <w:rPr>
                <w:rFonts w:ascii="Arial" w:hAnsi="Arial" w:eastAsia="Calibri" w:cs="Arial"/>
                <w:sz w:val="20"/>
                <w:szCs w:val="20"/>
              </w:rPr>
              <w:t>S</w:t>
            </w:r>
          </w:p>
        </w:tc>
        <w:tc>
          <w:tcPr>
            <w:tcW w:w="1410" w:type="dxa"/>
          </w:tcPr>
          <w:p w14:paraId="5B5F3378">
            <w:pPr>
              <w:spacing w:line="360" w:lineRule="auto"/>
              <w:jc w:val="both"/>
              <w:rPr>
                <w:rFonts w:ascii="Arial" w:hAnsi="Arial" w:eastAsia="Calibri" w:cs="Arial"/>
                <w:sz w:val="20"/>
                <w:szCs w:val="20"/>
              </w:rPr>
            </w:pPr>
            <w:r>
              <w:rPr>
                <w:rFonts w:ascii="Arial" w:hAnsi="Arial" w:eastAsia="Calibri" w:cs="Arial"/>
                <w:sz w:val="20"/>
                <w:szCs w:val="20"/>
              </w:rPr>
              <w:t>R</w:t>
            </w:r>
          </w:p>
        </w:tc>
        <w:tc>
          <w:tcPr>
            <w:tcW w:w="1457" w:type="dxa"/>
          </w:tcPr>
          <w:p w14:paraId="6E466F89">
            <w:pPr>
              <w:spacing w:line="360" w:lineRule="auto"/>
              <w:jc w:val="both"/>
              <w:rPr>
                <w:rFonts w:ascii="Arial" w:hAnsi="Arial" w:eastAsia="Calibri" w:cs="Arial"/>
                <w:bCs/>
                <w:sz w:val="20"/>
                <w:szCs w:val="20"/>
              </w:rPr>
            </w:pPr>
            <w:r>
              <w:rPr>
                <w:rFonts w:ascii="Arial" w:hAnsi="Arial" w:eastAsia="Calibri" w:cs="Arial"/>
                <w:bCs/>
                <w:sz w:val="20"/>
                <w:szCs w:val="20"/>
              </w:rPr>
              <w:t>0.3</w:t>
            </w:r>
            <w:r>
              <w:rPr>
                <w:rFonts w:ascii="Arial" w:hAnsi="Arial" w:eastAsia="Calibri" w:cs="Arial"/>
                <w:sz w:val="20"/>
                <w:szCs w:val="20"/>
              </w:rPr>
              <w:t>±0.00</w:t>
            </w:r>
            <w:r>
              <w:rPr>
                <w:rFonts w:ascii="Arial" w:hAnsi="Arial" w:eastAsia="Calibri" w:cs="Arial"/>
                <w:bCs/>
                <w:sz w:val="20"/>
                <w:szCs w:val="20"/>
              </w:rPr>
              <w:t>cm</w:t>
            </w:r>
          </w:p>
        </w:tc>
      </w:tr>
    </w:tbl>
    <w:p w14:paraId="57458D38">
      <w:pPr>
        <w:spacing w:line="360" w:lineRule="auto"/>
        <w:jc w:val="both"/>
        <w:rPr>
          <w:rFonts w:ascii="Arial" w:hAnsi="Arial" w:cs="Arial"/>
          <w:bCs/>
          <w:szCs w:val="24"/>
        </w:rPr>
      </w:pPr>
      <w:r>
        <w:rPr>
          <w:rFonts w:ascii="Arial" w:hAnsi="Arial" w:cs="Arial"/>
          <w:sz w:val="16"/>
          <w:szCs w:val="16"/>
        </w:rPr>
        <w:t xml:space="preserve">n = mean ± SD values of independent experiment performed in duplicate. </w:t>
      </w:r>
      <w:r>
        <w:rPr>
          <w:rFonts w:ascii="Arial" w:hAnsi="Arial" w:cs="Arial"/>
          <w:sz w:val="16"/>
          <w:szCs w:val="21"/>
        </w:rPr>
        <w:t xml:space="preserve">Key: R= Resistant, </w:t>
      </w:r>
      <w:r>
        <w:rPr>
          <w:rFonts w:ascii="Arial" w:hAnsi="Arial" w:cs="Arial"/>
          <w:sz w:val="16"/>
          <w:szCs w:val="16"/>
        </w:rPr>
        <w:t>Antibiotics group (B) specific for Gram negative bacteria: SXT= Septrin, CH= Chloranphenicol, SP= Sparfloxacin, CPX= Ciprofloxacin, AM= Amoxacillin, AU= Augmentin, CN= Gentamycin, PEF= Pefloxacin, OFX= Tarivid, S= Streptomycin</w:t>
      </w:r>
      <w:r>
        <w:rPr>
          <w:rFonts w:ascii="Arial" w:hAnsi="Arial" w:cs="Arial"/>
          <w:bCs/>
          <w:sz w:val="16"/>
          <w:szCs w:val="16"/>
        </w:rPr>
        <w:t xml:space="preserve"> </w:t>
      </w:r>
      <w:r>
        <w:rPr>
          <w:rFonts w:ascii="Arial" w:hAnsi="Arial" w:cs="Arial"/>
          <w:bCs/>
          <w:szCs w:val="24"/>
        </w:rPr>
        <w:t xml:space="preserve">                              </w:t>
      </w:r>
    </w:p>
    <w:p w14:paraId="22478559">
      <w:pPr>
        <w:spacing w:line="360" w:lineRule="auto"/>
        <w:jc w:val="both"/>
        <w:rPr>
          <w:rFonts w:ascii="Arial" w:hAnsi="Arial" w:cs="Arial"/>
          <w:szCs w:val="24"/>
        </w:rPr>
      </w:pPr>
    </w:p>
    <w:p w14:paraId="2CD35F4E">
      <w:pPr>
        <w:pStyle w:val="65"/>
        <w:spacing w:after="0"/>
        <w:rPr>
          <w:rFonts w:ascii="Arial" w:hAnsi="Arial" w:cs="Arial"/>
        </w:rPr>
      </w:pPr>
      <w:bookmarkStart w:id="2" w:name="_Toc144595871"/>
      <w:bookmarkStart w:id="3" w:name="_Toc144596089"/>
      <w:r>
        <w:rPr>
          <w:rFonts w:ascii="Arial" w:hAnsi="Arial" w:cs="Arial"/>
          <w:b/>
          <w:bCs/>
        </w:rPr>
        <w:t>Table 3:</w:t>
      </w:r>
      <w:bookmarkEnd w:id="2"/>
      <w:bookmarkEnd w:id="3"/>
      <w:r>
        <w:rPr>
          <w:rFonts w:ascii="Arial" w:hAnsi="Arial" w:cs="Arial"/>
          <w:b/>
          <w:bCs/>
        </w:rPr>
        <w:t xml:space="preserve"> Antibacterial and </w:t>
      </w:r>
      <w:r>
        <w:rPr>
          <w:rFonts w:ascii="Arial" w:hAnsi="Arial" w:cs="Arial"/>
          <w:b/>
          <w:bCs/>
          <w:szCs w:val="24"/>
        </w:rPr>
        <w:t>Gram positive group</w:t>
      </w:r>
      <w:r>
        <w:rPr>
          <w:rFonts w:ascii="Arial" w:hAnsi="Arial" w:cs="Arial"/>
          <w:szCs w:val="24"/>
        </w:rPr>
        <w:t xml:space="preserve"> </w:t>
      </w:r>
      <w:r>
        <w:rPr>
          <w:rFonts w:ascii="Arial" w:hAnsi="Arial" w:cs="Arial"/>
          <w:b/>
          <w:bCs/>
        </w:rPr>
        <w:t xml:space="preserve">Antibiotics effect of bromelain on </w:t>
      </w:r>
      <w:r>
        <w:rPr>
          <w:rFonts w:ascii="Arial" w:hAnsi="Arial" w:cs="Arial"/>
          <w:b/>
          <w:bCs/>
          <w:i/>
        </w:rPr>
        <w:t>Staphylococcus aureus</w:t>
      </w:r>
    </w:p>
    <w:tbl>
      <w:tblPr>
        <w:tblStyle w:val="18"/>
        <w:tblW w:w="828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40"/>
        <w:gridCol w:w="1590"/>
        <w:gridCol w:w="1933"/>
        <w:gridCol w:w="1380"/>
        <w:gridCol w:w="1641"/>
      </w:tblGrid>
      <w:tr w14:paraId="5360B9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8" w:hRule="atLeast"/>
        </w:trPr>
        <w:tc>
          <w:tcPr>
            <w:tcW w:w="1740" w:type="dxa"/>
            <w:vMerge w:val="restart"/>
          </w:tcPr>
          <w:p w14:paraId="43FC011D">
            <w:pPr>
              <w:spacing w:line="360" w:lineRule="auto"/>
              <w:jc w:val="both"/>
              <w:rPr>
                <w:rFonts w:ascii="Arial" w:hAnsi="Arial" w:eastAsia="Calibri" w:cs="Arial"/>
                <w:sz w:val="20"/>
                <w:szCs w:val="20"/>
              </w:rPr>
            </w:pPr>
            <w:r>
              <w:rPr>
                <w:rFonts w:ascii="Arial" w:hAnsi="Arial" w:eastAsia="Calibri" w:cs="Arial"/>
                <w:sz w:val="20"/>
                <w:szCs w:val="20"/>
              </w:rPr>
              <w:t>Bacteria</w:t>
            </w:r>
          </w:p>
        </w:tc>
        <w:tc>
          <w:tcPr>
            <w:tcW w:w="1590" w:type="dxa"/>
            <w:vMerge w:val="restart"/>
          </w:tcPr>
          <w:p w14:paraId="35C37DD8">
            <w:pPr>
              <w:spacing w:line="360" w:lineRule="auto"/>
              <w:jc w:val="both"/>
              <w:rPr>
                <w:rFonts w:ascii="Arial" w:hAnsi="Arial" w:eastAsia="Calibri" w:cs="Arial"/>
                <w:sz w:val="20"/>
                <w:szCs w:val="20"/>
              </w:rPr>
            </w:pPr>
            <w:r>
              <w:rPr>
                <w:rFonts w:ascii="Arial" w:hAnsi="Arial" w:eastAsia="Calibri" w:cs="Arial"/>
                <w:sz w:val="20"/>
                <w:szCs w:val="20"/>
              </w:rPr>
              <w:t>Enzyme Zone of inhibition</w:t>
            </w:r>
          </w:p>
        </w:tc>
        <w:tc>
          <w:tcPr>
            <w:tcW w:w="1933" w:type="dxa"/>
            <w:vMerge w:val="restart"/>
          </w:tcPr>
          <w:p w14:paraId="27BF85D0">
            <w:pPr>
              <w:spacing w:line="360" w:lineRule="auto"/>
              <w:jc w:val="both"/>
              <w:rPr>
                <w:rFonts w:ascii="Arial" w:hAnsi="Arial" w:eastAsia="Calibri" w:cs="Arial"/>
                <w:sz w:val="20"/>
                <w:szCs w:val="20"/>
              </w:rPr>
            </w:pPr>
            <w:r>
              <w:rPr>
                <w:rFonts w:ascii="Arial" w:hAnsi="Arial" w:eastAsia="Calibri" w:cs="Arial"/>
                <w:sz w:val="20"/>
                <w:szCs w:val="20"/>
              </w:rPr>
              <w:t>Gram positive group Antibiotics (A)</w:t>
            </w:r>
          </w:p>
        </w:tc>
        <w:tc>
          <w:tcPr>
            <w:tcW w:w="3021" w:type="dxa"/>
            <w:gridSpan w:val="2"/>
            <w:tcBorders>
              <w:bottom w:val="single" w:color="auto" w:sz="4" w:space="0"/>
            </w:tcBorders>
          </w:tcPr>
          <w:p w14:paraId="797D34D5">
            <w:pPr>
              <w:spacing w:line="360" w:lineRule="auto"/>
              <w:jc w:val="both"/>
              <w:rPr>
                <w:rFonts w:ascii="Arial" w:hAnsi="Arial" w:eastAsia="Calibri" w:cs="Arial"/>
                <w:sz w:val="20"/>
                <w:szCs w:val="20"/>
              </w:rPr>
            </w:pPr>
            <w:r>
              <w:rPr>
                <w:rFonts w:ascii="Arial" w:hAnsi="Arial" w:eastAsia="Calibri" w:cs="Arial"/>
                <w:sz w:val="20"/>
                <w:szCs w:val="20"/>
              </w:rPr>
              <w:t>Zone of inhibition</w:t>
            </w:r>
          </w:p>
        </w:tc>
      </w:tr>
      <w:tr w14:paraId="66BFF5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trPr>
        <w:tc>
          <w:tcPr>
            <w:tcW w:w="1740" w:type="dxa"/>
            <w:vMerge w:val="continue"/>
          </w:tcPr>
          <w:p w14:paraId="40A71FE1">
            <w:pPr>
              <w:spacing w:line="360" w:lineRule="auto"/>
              <w:jc w:val="both"/>
              <w:rPr>
                <w:rFonts w:ascii="Arial" w:hAnsi="Arial" w:eastAsia="Calibri" w:cs="Arial"/>
                <w:sz w:val="20"/>
                <w:szCs w:val="20"/>
              </w:rPr>
            </w:pPr>
          </w:p>
        </w:tc>
        <w:tc>
          <w:tcPr>
            <w:tcW w:w="1590" w:type="dxa"/>
            <w:vMerge w:val="continue"/>
          </w:tcPr>
          <w:p w14:paraId="667EC883">
            <w:pPr>
              <w:spacing w:line="360" w:lineRule="auto"/>
              <w:jc w:val="both"/>
              <w:rPr>
                <w:rFonts w:ascii="Arial" w:hAnsi="Arial" w:eastAsia="Calibri" w:cs="Arial"/>
                <w:sz w:val="20"/>
                <w:szCs w:val="20"/>
              </w:rPr>
            </w:pPr>
          </w:p>
        </w:tc>
        <w:tc>
          <w:tcPr>
            <w:tcW w:w="1933" w:type="dxa"/>
            <w:vMerge w:val="continue"/>
          </w:tcPr>
          <w:p w14:paraId="28DF3843">
            <w:pPr>
              <w:spacing w:line="360" w:lineRule="auto"/>
              <w:jc w:val="both"/>
              <w:rPr>
                <w:rFonts w:ascii="Arial" w:hAnsi="Arial" w:eastAsia="Calibri" w:cs="Arial"/>
                <w:sz w:val="20"/>
                <w:szCs w:val="20"/>
              </w:rPr>
            </w:pPr>
          </w:p>
        </w:tc>
        <w:tc>
          <w:tcPr>
            <w:tcW w:w="1380" w:type="dxa"/>
            <w:tcBorders>
              <w:top w:val="single" w:color="auto" w:sz="4" w:space="0"/>
            </w:tcBorders>
          </w:tcPr>
          <w:p w14:paraId="167E20AF">
            <w:pPr>
              <w:spacing w:line="360" w:lineRule="auto"/>
              <w:jc w:val="both"/>
              <w:rPr>
                <w:rFonts w:ascii="Arial" w:hAnsi="Arial" w:eastAsia="Calibri" w:cs="Arial"/>
                <w:sz w:val="20"/>
                <w:szCs w:val="20"/>
              </w:rPr>
            </w:pPr>
            <w:r>
              <w:rPr>
                <w:rFonts w:ascii="Arial" w:hAnsi="Arial" w:eastAsia="Calibri" w:cs="Arial"/>
                <w:sz w:val="20"/>
                <w:szCs w:val="20"/>
              </w:rPr>
              <w:t>Grp A</w:t>
            </w:r>
          </w:p>
        </w:tc>
        <w:tc>
          <w:tcPr>
            <w:tcW w:w="1641" w:type="dxa"/>
            <w:tcBorders>
              <w:top w:val="single" w:color="auto" w:sz="4" w:space="0"/>
            </w:tcBorders>
          </w:tcPr>
          <w:p w14:paraId="7FB891D8">
            <w:pPr>
              <w:spacing w:line="360" w:lineRule="auto"/>
              <w:jc w:val="both"/>
              <w:rPr>
                <w:rFonts w:ascii="Arial" w:hAnsi="Arial" w:eastAsia="Calibri" w:cs="Arial"/>
                <w:sz w:val="20"/>
                <w:szCs w:val="20"/>
              </w:rPr>
            </w:pPr>
            <w:r>
              <w:rPr>
                <w:rFonts w:ascii="Arial" w:hAnsi="Arial" w:eastAsia="Calibri" w:cs="Arial"/>
                <w:sz w:val="20"/>
                <w:szCs w:val="20"/>
              </w:rPr>
              <w:t>Grp A + Enzyme</w:t>
            </w:r>
          </w:p>
        </w:tc>
      </w:tr>
      <w:tr w14:paraId="3E6B23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restart"/>
          </w:tcPr>
          <w:p w14:paraId="6D2B5E3B">
            <w:pPr>
              <w:spacing w:line="360" w:lineRule="auto"/>
              <w:jc w:val="both"/>
              <w:rPr>
                <w:rFonts w:ascii="Arial" w:hAnsi="Arial" w:eastAsia="Calibri" w:cs="Arial"/>
                <w:i/>
                <w:sz w:val="20"/>
                <w:szCs w:val="20"/>
              </w:rPr>
            </w:pPr>
            <w:r>
              <w:rPr>
                <w:rFonts w:ascii="Arial" w:hAnsi="Arial" w:eastAsia="Calibri" w:cs="Arial"/>
                <w:i/>
                <w:sz w:val="20"/>
                <w:szCs w:val="20"/>
              </w:rPr>
              <w:t>S. aureus</w:t>
            </w:r>
          </w:p>
        </w:tc>
        <w:tc>
          <w:tcPr>
            <w:tcW w:w="1590" w:type="dxa"/>
            <w:vMerge w:val="restart"/>
          </w:tcPr>
          <w:p w14:paraId="33CAF193">
            <w:pPr>
              <w:spacing w:line="360" w:lineRule="auto"/>
              <w:jc w:val="both"/>
              <w:rPr>
                <w:rFonts w:ascii="Arial" w:hAnsi="Arial" w:eastAsia="Calibri" w:cs="Arial"/>
                <w:sz w:val="20"/>
                <w:szCs w:val="20"/>
              </w:rPr>
            </w:pPr>
            <w:r>
              <w:rPr>
                <w:rFonts w:ascii="Arial" w:hAnsi="Arial" w:eastAsia="Calibri" w:cs="Arial"/>
                <w:bCs/>
                <w:sz w:val="20"/>
                <w:szCs w:val="20"/>
              </w:rPr>
              <w:t>0.3</w:t>
            </w:r>
            <w:r>
              <w:rPr>
                <w:rFonts w:ascii="Arial" w:hAnsi="Arial" w:eastAsia="Calibri" w:cs="Arial"/>
                <w:sz w:val="20"/>
                <w:szCs w:val="20"/>
              </w:rPr>
              <w:t>±0.00</w:t>
            </w:r>
            <w:r>
              <w:rPr>
                <w:rFonts w:ascii="Arial" w:hAnsi="Arial" w:eastAsia="Calibri" w:cs="Arial"/>
                <w:bCs/>
                <w:sz w:val="20"/>
                <w:szCs w:val="20"/>
              </w:rPr>
              <w:t>cm</w:t>
            </w:r>
          </w:p>
        </w:tc>
        <w:tc>
          <w:tcPr>
            <w:tcW w:w="1933" w:type="dxa"/>
          </w:tcPr>
          <w:p w14:paraId="0BA25CDD">
            <w:pPr>
              <w:spacing w:line="360" w:lineRule="auto"/>
              <w:jc w:val="both"/>
              <w:rPr>
                <w:rFonts w:ascii="Arial" w:hAnsi="Arial" w:eastAsia="Calibri" w:cs="Arial"/>
                <w:sz w:val="20"/>
                <w:szCs w:val="20"/>
              </w:rPr>
            </w:pPr>
            <w:r>
              <w:rPr>
                <w:rFonts w:ascii="Arial" w:hAnsi="Arial" w:eastAsia="Calibri" w:cs="Arial"/>
                <w:sz w:val="20"/>
                <w:szCs w:val="20"/>
              </w:rPr>
              <w:t>PEF</w:t>
            </w:r>
          </w:p>
        </w:tc>
        <w:tc>
          <w:tcPr>
            <w:tcW w:w="1380" w:type="dxa"/>
          </w:tcPr>
          <w:p w14:paraId="6ED13032">
            <w:pPr>
              <w:spacing w:line="360" w:lineRule="auto"/>
              <w:jc w:val="both"/>
              <w:rPr>
                <w:rFonts w:ascii="Arial" w:hAnsi="Arial" w:eastAsia="Calibri" w:cs="Arial"/>
                <w:sz w:val="20"/>
                <w:szCs w:val="20"/>
              </w:rPr>
            </w:pPr>
            <w:r>
              <w:rPr>
                <w:rFonts w:ascii="Arial" w:hAnsi="Arial" w:eastAsia="Calibri" w:cs="Arial"/>
                <w:sz w:val="20"/>
                <w:szCs w:val="20"/>
              </w:rPr>
              <w:t>0.6±0.00cm</w:t>
            </w:r>
          </w:p>
        </w:tc>
        <w:tc>
          <w:tcPr>
            <w:tcW w:w="1641" w:type="dxa"/>
          </w:tcPr>
          <w:p w14:paraId="6A32EAEB">
            <w:pPr>
              <w:spacing w:line="360" w:lineRule="auto"/>
              <w:jc w:val="both"/>
              <w:rPr>
                <w:rFonts w:ascii="Arial" w:hAnsi="Arial" w:eastAsia="Calibri" w:cs="Arial"/>
                <w:sz w:val="20"/>
                <w:szCs w:val="20"/>
              </w:rPr>
            </w:pPr>
            <w:r>
              <w:rPr>
                <w:rFonts w:ascii="Arial" w:hAnsi="Arial" w:eastAsia="Calibri" w:cs="Arial"/>
                <w:sz w:val="20"/>
                <w:szCs w:val="20"/>
              </w:rPr>
              <w:t>0.6±0.02cm</w:t>
            </w:r>
          </w:p>
        </w:tc>
      </w:tr>
      <w:tr w14:paraId="02F34A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2F4AF394">
            <w:pPr>
              <w:spacing w:line="360" w:lineRule="auto"/>
              <w:jc w:val="both"/>
              <w:rPr>
                <w:rFonts w:ascii="Arial" w:hAnsi="Arial" w:eastAsia="Calibri" w:cs="Arial"/>
                <w:sz w:val="20"/>
                <w:szCs w:val="20"/>
              </w:rPr>
            </w:pPr>
          </w:p>
        </w:tc>
        <w:tc>
          <w:tcPr>
            <w:tcW w:w="1590" w:type="dxa"/>
            <w:vMerge w:val="continue"/>
          </w:tcPr>
          <w:p w14:paraId="696F53FF">
            <w:pPr>
              <w:spacing w:line="360" w:lineRule="auto"/>
              <w:jc w:val="both"/>
              <w:rPr>
                <w:rFonts w:ascii="Arial" w:hAnsi="Arial" w:eastAsia="Calibri" w:cs="Arial"/>
                <w:sz w:val="20"/>
                <w:szCs w:val="20"/>
              </w:rPr>
            </w:pPr>
          </w:p>
        </w:tc>
        <w:tc>
          <w:tcPr>
            <w:tcW w:w="1933" w:type="dxa"/>
          </w:tcPr>
          <w:p w14:paraId="6EF658AB">
            <w:pPr>
              <w:spacing w:line="360" w:lineRule="auto"/>
              <w:jc w:val="both"/>
              <w:rPr>
                <w:rFonts w:ascii="Arial" w:hAnsi="Arial" w:eastAsia="Calibri" w:cs="Arial"/>
                <w:sz w:val="20"/>
                <w:szCs w:val="20"/>
              </w:rPr>
            </w:pPr>
            <w:r>
              <w:rPr>
                <w:rFonts w:ascii="Arial" w:hAnsi="Arial" w:eastAsia="Calibri" w:cs="Arial"/>
                <w:sz w:val="20"/>
                <w:szCs w:val="20"/>
              </w:rPr>
              <w:t>CN</w:t>
            </w:r>
          </w:p>
        </w:tc>
        <w:tc>
          <w:tcPr>
            <w:tcW w:w="1380" w:type="dxa"/>
          </w:tcPr>
          <w:p w14:paraId="7BB47BB3">
            <w:pPr>
              <w:spacing w:line="360" w:lineRule="auto"/>
              <w:jc w:val="both"/>
              <w:rPr>
                <w:rFonts w:ascii="Arial" w:hAnsi="Arial" w:eastAsia="Calibri" w:cs="Arial"/>
                <w:sz w:val="20"/>
                <w:szCs w:val="20"/>
              </w:rPr>
            </w:pPr>
            <w:r>
              <w:rPr>
                <w:rFonts w:ascii="Arial" w:hAnsi="Arial" w:eastAsia="Calibri" w:cs="Arial"/>
                <w:sz w:val="20"/>
                <w:szCs w:val="20"/>
              </w:rPr>
              <w:t>R</w:t>
            </w:r>
          </w:p>
        </w:tc>
        <w:tc>
          <w:tcPr>
            <w:tcW w:w="1641" w:type="dxa"/>
          </w:tcPr>
          <w:p w14:paraId="55FA6B4D">
            <w:pPr>
              <w:spacing w:line="360" w:lineRule="auto"/>
              <w:jc w:val="both"/>
              <w:rPr>
                <w:rFonts w:ascii="Arial" w:hAnsi="Arial" w:eastAsia="Calibri" w:cs="Arial"/>
                <w:sz w:val="20"/>
                <w:szCs w:val="20"/>
              </w:rPr>
            </w:pPr>
            <w:r>
              <w:rPr>
                <w:rFonts w:ascii="Arial" w:hAnsi="Arial" w:eastAsia="Calibri" w:cs="Arial"/>
                <w:sz w:val="20"/>
                <w:szCs w:val="20"/>
              </w:rPr>
              <w:t>0.2±0.00cm</w:t>
            </w:r>
          </w:p>
        </w:tc>
      </w:tr>
      <w:tr w14:paraId="7D094D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4A87A987">
            <w:pPr>
              <w:spacing w:line="360" w:lineRule="auto"/>
              <w:jc w:val="both"/>
              <w:rPr>
                <w:rFonts w:ascii="Arial" w:hAnsi="Arial" w:eastAsia="Calibri" w:cs="Arial"/>
                <w:sz w:val="20"/>
                <w:szCs w:val="20"/>
              </w:rPr>
            </w:pPr>
          </w:p>
        </w:tc>
        <w:tc>
          <w:tcPr>
            <w:tcW w:w="1590" w:type="dxa"/>
            <w:vMerge w:val="continue"/>
          </w:tcPr>
          <w:p w14:paraId="517F6A99">
            <w:pPr>
              <w:spacing w:line="360" w:lineRule="auto"/>
              <w:jc w:val="both"/>
              <w:rPr>
                <w:rFonts w:ascii="Arial" w:hAnsi="Arial" w:eastAsia="Calibri" w:cs="Arial"/>
                <w:sz w:val="20"/>
                <w:szCs w:val="20"/>
              </w:rPr>
            </w:pPr>
          </w:p>
        </w:tc>
        <w:tc>
          <w:tcPr>
            <w:tcW w:w="1933" w:type="dxa"/>
          </w:tcPr>
          <w:p w14:paraId="20295629">
            <w:pPr>
              <w:spacing w:line="360" w:lineRule="auto"/>
              <w:jc w:val="both"/>
              <w:rPr>
                <w:rFonts w:ascii="Arial" w:hAnsi="Arial" w:eastAsia="Calibri" w:cs="Arial"/>
                <w:sz w:val="20"/>
                <w:szCs w:val="20"/>
              </w:rPr>
            </w:pPr>
            <w:r>
              <w:rPr>
                <w:rFonts w:ascii="Arial" w:hAnsi="Arial" w:eastAsia="Calibri" w:cs="Arial"/>
                <w:sz w:val="20"/>
                <w:szCs w:val="20"/>
              </w:rPr>
              <w:t>APX</w:t>
            </w:r>
          </w:p>
        </w:tc>
        <w:tc>
          <w:tcPr>
            <w:tcW w:w="1380" w:type="dxa"/>
          </w:tcPr>
          <w:p w14:paraId="6CDB2FEB">
            <w:pPr>
              <w:spacing w:line="360" w:lineRule="auto"/>
              <w:jc w:val="both"/>
              <w:rPr>
                <w:rFonts w:ascii="Arial" w:hAnsi="Arial" w:eastAsia="Calibri" w:cs="Arial"/>
                <w:sz w:val="20"/>
                <w:szCs w:val="20"/>
              </w:rPr>
            </w:pPr>
            <w:r>
              <w:rPr>
                <w:rFonts w:ascii="Arial" w:hAnsi="Arial" w:eastAsia="Calibri" w:cs="Arial"/>
                <w:sz w:val="20"/>
                <w:szCs w:val="20"/>
              </w:rPr>
              <w:t>R</w:t>
            </w:r>
          </w:p>
        </w:tc>
        <w:tc>
          <w:tcPr>
            <w:tcW w:w="1641" w:type="dxa"/>
          </w:tcPr>
          <w:p w14:paraId="2FCA4016">
            <w:pPr>
              <w:spacing w:line="360" w:lineRule="auto"/>
              <w:jc w:val="both"/>
              <w:rPr>
                <w:rFonts w:ascii="Arial" w:hAnsi="Arial" w:eastAsia="Calibri" w:cs="Arial"/>
                <w:sz w:val="20"/>
                <w:szCs w:val="20"/>
              </w:rPr>
            </w:pPr>
            <w:r>
              <w:rPr>
                <w:rFonts w:ascii="Arial" w:hAnsi="Arial" w:eastAsia="Calibri" w:cs="Arial"/>
                <w:sz w:val="20"/>
                <w:szCs w:val="20"/>
              </w:rPr>
              <w:t>R</w:t>
            </w:r>
          </w:p>
        </w:tc>
      </w:tr>
      <w:tr w14:paraId="02CF86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68E59878">
            <w:pPr>
              <w:spacing w:line="360" w:lineRule="auto"/>
              <w:jc w:val="both"/>
              <w:rPr>
                <w:rFonts w:ascii="Arial" w:hAnsi="Arial" w:eastAsia="Calibri" w:cs="Arial"/>
                <w:sz w:val="20"/>
                <w:szCs w:val="20"/>
              </w:rPr>
            </w:pPr>
          </w:p>
        </w:tc>
        <w:tc>
          <w:tcPr>
            <w:tcW w:w="1590" w:type="dxa"/>
            <w:vMerge w:val="continue"/>
          </w:tcPr>
          <w:p w14:paraId="4B171620">
            <w:pPr>
              <w:spacing w:line="360" w:lineRule="auto"/>
              <w:jc w:val="both"/>
              <w:rPr>
                <w:rFonts w:ascii="Arial" w:hAnsi="Arial" w:eastAsia="Calibri" w:cs="Arial"/>
                <w:sz w:val="20"/>
                <w:szCs w:val="20"/>
              </w:rPr>
            </w:pPr>
          </w:p>
        </w:tc>
        <w:tc>
          <w:tcPr>
            <w:tcW w:w="1933" w:type="dxa"/>
          </w:tcPr>
          <w:p w14:paraId="4FB89DFE">
            <w:pPr>
              <w:spacing w:line="360" w:lineRule="auto"/>
              <w:jc w:val="both"/>
              <w:rPr>
                <w:rFonts w:ascii="Arial" w:hAnsi="Arial" w:eastAsia="Calibri" w:cs="Arial"/>
                <w:sz w:val="20"/>
                <w:szCs w:val="20"/>
              </w:rPr>
            </w:pPr>
            <w:r>
              <w:rPr>
                <w:rFonts w:ascii="Arial" w:hAnsi="Arial" w:eastAsia="Calibri" w:cs="Arial"/>
                <w:sz w:val="20"/>
                <w:szCs w:val="20"/>
              </w:rPr>
              <w:t>Z</w:t>
            </w:r>
          </w:p>
        </w:tc>
        <w:tc>
          <w:tcPr>
            <w:tcW w:w="1380" w:type="dxa"/>
          </w:tcPr>
          <w:p w14:paraId="78920757">
            <w:pPr>
              <w:spacing w:line="360" w:lineRule="auto"/>
              <w:jc w:val="both"/>
              <w:rPr>
                <w:rFonts w:ascii="Arial" w:hAnsi="Arial" w:eastAsia="Calibri" w:cs="Arial"/>
                <w:sz w:val="20"/>
                <w:szCs w:val="20"/>
              </w:rPr>
            </w:pPr>
            <w:r>
              <w:rPr>
                <w:rFonts w:ascii="Arial" w:hAnsi="Arial" w:eastAsia="Calibri" w:cs="Arial"/>
                <w:sz w:val="20"/>
                <w:szCs w:val="20"/>
              </w:rPr>
              <w:t>R</w:t>
            </w:r>
          </w:p>
        </w:tc>
        <w:tc>
          <w:tcPr>
            <w:tcW w:w="1641" w:type="dxa"/>
          </w:tcPr>
          <w:p w14:paraId="15308E4B">
            <w:pPr>
              <w:spacing w:line="360" w:lineRule="auto"/>
              <w:jc w:val="both"/>
              <w:rPr>
                <w:rFonts w:ascii="Arial" w:hAnsi="Arial" w:eastAsia="Calibri" w:cs="Arial"/>
                <w:sz w:val="20"/>
                <w:szCs w:val="20"/>
              </w:rPr>
            </w:pPr>
            <w:r>
              <w:rPr>
                <w:rFonts w:ascii="Arial" w:hAnsi="Arial" w:eastAsia="Calibri" w:cs="Arial"/>
                <w:sz w:val="20"/>
                <w:szCs w:val="20"/>
              </w:rPr>
              <w:t>R</w:t>
            </w:r>
          </w:p>
        </w:tc>
      </w:tr>
      <w:tr w14:paraId="03CF17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6E5939E9">
            <w:pPr>
              <w:spacing w:line="360" w:lineRule="auto"/>
              <w:jc w:val="both"/>
              <w:rPr>
                <w:rFonts w:ascii="Arial" w:hAnsi="Arial" w:eastAsia="Calibri" w:cs="Arial"/>
                <w:sz w:val="20"/>
                <w:szCs w:val="20"/>
              </w:rPr>
            </w:pPr>
          </w:p>
        </w:tc>
        <w:tc>
          <w:tcPr>
            <w:tcW w:w="1590" w:type="dxa"/>
            <w:vMerge w:val="continue"/>
          </w:tcPr>
          <w:p w14:paraId="700F9A01">
            <w:pPr>
              <w:spacing w:line="360" w:lineRule="auto"/>
              <w:jc w:val="both"/>
              <w:rPr>
                <w:rFonts w:ascii="Arial" w:hAnsi="Arial" w:eastAsia="Calibri" w:cs="Arial"/>
                <w:sz w:val="20"/>
                <w:szCs w:val="20"/>
              </w:rPr>
            </w:pPr>
          </w:p>
        </w:tc>
        <w:tc>
          <w:tcPr>
            <w:tcW w:w="1933" w:type="dxa"/>
          </w:tcPr>
          <w:p w14:paraId="2193FA99">
            <w:pPr>
              <w:spacing w:line="360" w:lineRule="auto"/>
              <w:jc w:val="both"/>
              <w:rPr>
                <w:rFonts w:ascii="Arial" w:hAnsi="Arial" w:eastAsia="Calibri" w:cs="Arial"/>
                <w:sz w:val="20"/>
                <w:szCs w:val="20"/>
              </w:rPr>
            </w:pPr>
            <w:r>
              <w:rPr>
                <w:rFonts w:ascii="Arial" w:hAnsi="Arial" w:eastAsia="Calibri" w:cs="Arial"/>
                <w:sz w:val="20"/>
                <w:szCs w:val="20"/>
              </w:rPr>
              <w:t>AM</w:t>
            </w:r>
          </w:p>
        </w:tc>
        <w:tc>
          <w:tcPr>
            <w:tcW w:w="1380" w:type="dxa"/>
          </w:tcPr>
          <w:p w14:paraId="45017827">
            <w:pPr>
              <w:spacing w:line="360" w:lineRule="auto"/>
              <w:jc w:val="both"/>
              <w:rPr>
                <w:rFonts w:ascii="Arial" w:hAnsi="Arial" w:eastAsia="Calibri" w:cs="Arial"/>
                <w:sz w:val="20"/>
                <w:szCs w:val="20"/>
              </w:rPr>
            </w:pPr>
            <w:r>
              <w:rPr>
                <w:rFonts w:ascii="Arial" w:hAnsi="Arial" w:eastAsia="Calibri" w:cs="Arial"/>
                <w:sz w:val="20"/>
                <w:szCs w:val="20"/>
              </w:rPr>
              <w:t>R</w:t>
            </w:r>
          </w:p>
        </w:tc>
        <w:tc>
          <w:tcPr>
            <w:tcW w:w="1641" w:type="dxa"/>
          </w:tcPr>
          <w:p w14:paraId="646B4F53">
            <w:pPr>
              <w:spacing w:line="360" w:lineRule="auto"/>
              <w:jc w:val="both"/>
              <w:rPr>
                <w:rFonts w:ascii="Arial" w:hAnsi="Arial" w:eastAsia="Calibri" w:cs="Arial"/>
                <w:bCs/>
                <w:sz w:val="20"/>
                <w:szCs w:val="20"/>
              </w:rPr>
            </w:pPr>
            <w:r>
              <w:rPr>
                <w:rFonts w:ascii="Arial" w:hAnsi="Arial" w:eastAsia="Calibri" w:cs="Arial"/>
                <w:bCs/>
                <w:sz w:val="20"/>
                <w:szCs w:val="20"/>
              </w:rPr>
              <w:t>0.3</w:t>
            </w:r>
            <w:r>
              <w:rPr>
                <w:rFonts w:ascii="Arial" w:hAnsi="Arial" w:eastAsia="Calibri" w:cs="Arial"/>
                <w:sz w:val="20"/>
                <w:szCs w:val="20"/>
              </w:rPr>
              <w:t>±0.00</w:t>
            </w:r>
            <w:r>
              <w:rPr>
                <w:rFonts w:ascii="Arial" w:hAnsi="Arial" w:eastAsia="Calibri" w:cs="Arial"/>
                <w:bCs/>
                <w:sz w:val="20"/>
                <w:szCs w:val="20"/>
              </w:rPr>
              <w:t>cm</w:t>
            </w:r>
          </w:p>
        </w:tc>
      </w:tr>
      <w:tr w14:paraId="56ECD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3ABA80AF">
            <w:pPr>
              <w:spacing w:line="360" w:lineRule="auto"/>
              <w:jc w:val="both"/>
              <w:rPr>
                <w:rFonts w:ascii="Arial" w:hAnsi="Arial" w:eastAsia="Calibri" w:cs="Arial"/>
                <w:sz w:val="20"/>
                <w:szCs w:val="20"/>
              </w:rPr>
            </w:pPr>
          </w:p>
        </w:tc>
        <w:tc>
          <w:tcPr>
            <w:tcW w:w="1590" w:type="dxa"/>
            <w:vMerge w:val="continue"/>
          </w:tcPr>
          <w:p w14:paraId="1FE77C0A">
            <w:pPr>
              <w:spacing w:line="360" w:lineRule="auto"/>
              <w:jc w:val="both"/>
              <w:rPr>
                <w:rFonts w:ascii="Arial" w:hAnsi="Arial" w:eastAsia="Calibri" w:cs="Arial"/>
                <w:sz w:val="20"/>
                <w:szCs w:val="20"/>
              </w:rPr>
            </w:pPr>
          </w:p>
        </w:tc>
        <w:tc>
          <w:tcPr>
            <w:tcW w:w="1933" w:type="dxa"/>
          </w:tcPr>
          <w:p w14:paraId="0E8E4388">
            <w:pPr>
              <w:spacing w:line="360" w:lineRule="auto"/>
              <w:jc w:val="both"/>
              <w:rPr>
                <w:rFonts w:ascii="Arial" w:hAnsi="Arial" w:eastAsia="Calibri" w:cs="Arial"/>
                <w:sz w:val="20"/>
                <w:szCs w:val="20"/>
              </w:rPr>
            </w:pPr>
            <w:r>
              <w:rPr>
                <w:rFonts w:ascii="Arial" w:hAnsi="Arial" w:eastAsia="Calibri" w:cs="Arial"/>
                <w:sz w:val="20"/>
                <w:szCs w:val="20"/>
              </w:rPr>
              <w:t>R</w:t>
            </w:r>
          </w:p>
        </w:tc>
        <w:tc>
          <w:tcPr>
            <w:tcW w:w="1380" w:type="dxa"/>
          </w:tcPr>
          <w:p w14:paraId="02C17F38">
            <w:pPr>
              <w:spacing w:line="360" w:lineRule="auto"/>
              <w:jc w:val="both"/>
              <w:rPr>
                <w:rFonts w:ascii="Arial" w:hAnsi="Arial" w:eastAsia="Calibri" w:cs="Arial"/>
                <w:sz w:val="20"/>
                <w:szCs w:val="20"/>
              </w:rPr>
            </w:pPr>
            <w:r>
              <w:rPr>
                <w:rFonts w:ascii="Arial" w:hAnsi="Arial" w:eastAsia="Calibri" w:cs="Arial"/>
                <w:sz w:val="20"/>
                <w:szCs w:val="20"/>
              </w:rPr>
              <w:t>0.6±0.01cm</w:t>
            </w:r>
          </w:p>
        </w:tc>
        <w:tc>
          <w:tcPr>
            <w:tcW w:w="1641" w:type="dxa"/>
          </w:tcPr>
          <w:p w14:paraId="543A2D68">
            <w:pPr>
              <w:spacing w:line="360" w:lineRule="auto"/>
              <w:jc w:val="both"/>
              <w:rPr>
                <w:rFonts w:ascii="Arial" w:hAnsi="Arial" w:eastAsia="Calibri" w:cs="Arial"/>
                <w:bCs/>
                <w:sz w:val="20"/>
                <w:szCs w:val="20"/>
              </w:rPr>
            </w:pPr>
            <w:r>
              <w:rPr>
                <w:rFonts w:ascii="Arial" w:hAnsi="Arial" w:eastAsia="Calibri" w:cs="Arial"/>
                <w:bCs/>
                <w:sz w:val="20"/>
                <w:szCs w:val="20"/>
              </w:rPr>
              <w:t>0.7</w:t>
            </w:r>
            <w:r>
              <w:rPr>
                <w:rFonts w:ascii="Arial" w:hAnsi="Arial" w:eastAsia="Calibri" w:cs="Arial"/>
                <w:sz w:val="20"/>
                <w:szCs w:val="20"/>
              </w:rPr>
              <w:t>±0.01</w:t>
            </w:r>
            <w:r>
              <w:rPr>
                <w:rFonts w:ascii="Arial" w:hAnsi="Arial" w:eastAsia="Calibri" w:cs="Arial"/>
                <w:bCs/>
                <w:sz w:val="20"/>
                <w:szCs w:val="20"/>
              </w:rPr>
              <w:t>cm</w:t>
            </w:r>
          </w:p>
        </w:tc>
      </w:tr>
      <w:tr w14:paraId="1E41ED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566BD254">
            <w:pPr>
              <w:spacing w:line="360" w:lineRule="auto"/>
              <w:jc w:val="both"/>
              <w:rPr>
                <w:rFonts w:ascii="Arial" w:hAnsi="Arial" w:eastAsia="Calibri" w:cs="Arial"/>
                <w:sz w:val="20"/>
                <w:szCs w:val="20"/>
              </w:rPr>
            </w:pPr>
          </w:p>
        </w:tc>
        <w:tc>
          <w:tcPr>
            <w:tcW w:w="1590" w:type="dxa"/>
            <w:vMerge w:val="continue"/>
          </w:tcPr>
          <w:p w14:paraId="0170D5B5">
            <w:pPr>
              <w:spacing w:line="360" w:lineRule="auto"/>
              <w:jc w:val="both"/>
              <w:rPr>
                <w:rFonts w:ascii="Arial" w:hAnsi="Arial" w:eastAsia="Calibri" w:cs="Arial"/>
                <w:sz w:val="20"/>
                <w:szCs w:val="20"/>
              </w:rPr>
            </w:pPr>
          </w:p>
        </w:tc>
        <w:tc>
          <w:tcPr>
            <w:tcW w:w="1933" w:type="dxa"/>
          </w:tcPr>
          <w:p w14:paraId="60C33786">
            <w:pPr>
              <w:spacing w:line="360" w:lineRule="auto"/>
              <w:jc w:val="both"/>
              <w:rPr>
                <w:rFonts w:ascii="Arial" w:hAnsi="Arial" w:eastAsia="Calibri" w:cs="Arial"/>
                <w:sz w:val="20"/>
                <w:szCs w:val="20"/>
              </w:rPr>
            </w:pPr>
            <w:r>
              <w:rPr>
                <w:rFonts w:ascii="Arial" w:hAnsi="Arial" w:eastAsia="Calibri" w:cs="Arial"/>
                <w:sz w:val="20"/>
                <w:szCs w:val="20"/>
              </w:rPr>
              <w:t>CPX</w:t>
            </w:r>
          </w:p>
        </w:tc>
        <w:tc>
          <w:tcPr>
            <w:tcW w:w="1380" w:type="dxa"/>
          </w:tcPr>
          <w:p w14:paraId="3C36076B">
            <w:pPr>
              <w:spacing w:line="360" w:lineRule="auto"/>
              <w:jc w:val="both"/>
              <w:rPr>
                <w:rFonts w:ascii="Arial" w:hAnsi="Arial" w:eastAsia="Calibri" w:cs="Arial"/>
                <w:sz w:val="20"/>
                <w:szCs w:val="20"/>
              </w:rPr>
            </w:pPr>
            <w:r>
              <w:rPr>
                <w:rFonts w:ascii="Arial" w:hAnsi="Arial" w:eastAsia="Calibri" w:cs="Arial"/>
                <w:sz w:val="20"/>
                <w:szCs w:val="20"/>
              </w:rPr>
              <w:t>0.1±0.00cm</w:t>
            </w:r>
          </w:p>
        </w:tc>
        <w:tc>
          <w:tcPr>
            <w:tcW w:w="1641" w:type="dxa"/>
          </w:tcPr>
          <w:p w14:paraId="7FC75CD9">
            <w:pPr>
              <w:spacing w:line="360" w:lineRule="auto"/>
              <w:jc w:val="both"/>
              <w:rPr>
                <w:rFonts w:ascii="Arial" w:hAnsi="Arial" w:eastAsia="Calibri" w:cs="Arial"/>
                <w:bCs/>
                <w:sz w:val="20"/>
                <w:szCs w:val="20"/>
              </w:rPr>
            </w:pPr>
            <w:r>
              <w:rPr>
                <w:rFonts w:ascii="Arial" w:hAnsi="Arial" w:eastAsia="Calibri" w:cs="Arial"/>
                <w:bCs/>
                <w:sz w:val="20"/>
                <w:szCs w:val="20"/>
              </w:rPr>
              <w:t>0.8</w:t>
            </w:r>
            <w:r>
              <w:rPr>
                <w:rFonts w:ascii="Arial" w:hAnsi="Arial" w:eastAsia="Calibri" w:cs="Arial"/>
                <w:sz w:val="20"/>
                <w:szCs w:val="20"/>
              </w:rPr>
              <w:t>±0.02</w:t>
            </w:r>
            <w:r>
              <w:rPr>
                <w:rFonts w:ascii="Arial" w:hAnsi="Arial" w:eastAsia="Calibri" w:cs="Arial"/>
                <w:bCs/>
                <w:sz w:val="20"/>
                <w:szCs w:val="20"/>
              </w:rPr>
              <w:t>cm</w:t>
            </w:r>
          </w:p>
        </w:tc>
      </w:tr>
      <w:tr w14:paraId="30CC5E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624FFD72">
            <w:pPr>
              <w:spacing w:line="360" w:lineRule="auto"/>
              <w:jc w:val="both"/>
              <w:rPr>
                <w:rFonts w:ascii="Arial" w:hAnsi="Arial" w:eastAsia="Calibri" w:cs="Arial"/>
                <w:sz w:val="20"/>
                <w:szCs w:val="20"/>
              </w:rPr>
            </w:pPr>
          </w:p>
        </w:tc>
        <w:tc>
          <w:tcPr>
            <w:tcW w:w="1590" w:type="dxa"/>
            <w:vMerge w:val="continue"/>
          </w:tcPr>
          <w:p w14:paraId="31BAF267">
            <w:pPr>
              <w:spacing w:line="360" w:lineRule="auto"/>
              <w:jc w:val="both"/>
              <w:rPr>
                <w:rFonts w:ascii="Arial" w:hAnsi="Arial" w:eastAsia="Calibri" w:cs="Arial"/>
                <w:sz w:val="20"/>
                <w:szCs w:val="20"/>
              </w:rPr>
            </w:pPr>
          </w:p>
        </w:tc>
        <w:tc>
          <w:tcPr>
            <w:tcW w:w="1933" w:type="dxa"/>
          </w:tcPr>
          <w:p w14:paraId="6BF23A26">
            <w:pPr>
              <w:spacing w:line="360" w:lineRule="auto"/>
              <w:jc w:val="both"/>
              <w:rPr>
                <w:rFonts w:ascii="Arial" w:hAnsi="Arial" w:eastAsia="Calibri" w:cs="Arial"/>
                <w:sz w:val="20"/>
                <w:szCs w:val="20"/>
              </w:rPr>
            </w:pPr>
            <w:r>
              <w:rPr>
                <w:rFonts w:ascii="Arial" w:hAnsi="Arial" w:eastAsia="Calibri" w:cs="Arial"/>
                <w:sz w:val="20"/>
                <w:szCs w:val="20"/>
              </w:rPr>
              <w:t>S</w:t>
            </w:r>
          </w:p>
        </w:tc>
        <w:tc>
          <w:tcPr>
            <w:tcW w:w="1380" w:type="dxa"/>
          </w:tcPr>
          <w:p w14:paraId="46ADB0C0">
            <w:pPr>
              <w:spacing w:line="360" w:lineRule="auto"/>
              <w:jc w:val="both"/>
              <w:rPr>
                <w:rFonts w:ascii="Arial" w:hAnsi="Arial" w:eastAsia="Calibri" w:cs="Arial"/>
                <w:sz w:val="20"/>
                <w:szCs w:val="20"/>
              </w:rPr>
            </w:pPr>
            <w:r>
              <w:rPr>
                <w:rFonts w:ascii="Arial" w:hAnsi="Arial" w:eastAsia="Calibri" w:cs="Arial"/>
                <w:sz w:val="20"/>
                <w:szCs w:val="20"/>
              </w:rPr>
              <w:t>R</w:t>
            </w:r>
          </w:p>
        </w:tc>
        <w:tc>
          <w:tcPr>
            <w:tcW w:w="1641" w:type="dxa"/>
          </w:tcPr>
          <w:p w14:paraId="106293CA">
            <w:pPr>
              <w:spacing w:line="360" w:lineRule="auto"/>
              <w:jc w:val="both"/>
              <w:rPr>
                <w:rFonts w:ascii="Arial" w:hAnsi="Arial" w:eastAsia="Calibri" w:cs="Arial"/>
                <w:bCs/>
                <w:sz w:val="20"/>
                <w:szCs w:val="20"/>
              </w:rPr>
            </w:pPr>
            <w:r>
              <w:rPr>
                <w:rFonts w:ascii="Arial" w:hAnsi="Arial" w:eastAsia="Calibri" w:cs="Arial"/>
                <w:bCs/>
                <w:sz w:val="20"/>
                <w:szCs w:val="20"/>
              </w:rPr>
              <w:t>0.5</w:t>
            </w:r>
            <w:r>
              <w:rPr>
                <w:rFonts w:ascii="Arial" w:hAnsi="Arial" w:eastAsia="Calibri" w:cs="Arial"/>
                <w:sz w:val="20"/>
                <w:szCs w:val="20"/>
              </w:rPr>
              <w:t>±0.00</w:t>
            </w:r>
            <w:r>
              <w:rPr>
                <w:rFonts w:ascii="Arial" w:hAnsi="Arial" w:eastAsia="Calibri" w:cs="Arial"/>
                <w:bCs/>
                <w:sz w:val="20"/>
                <w:szCs w:val="20"/>
              </w:rPr>
              <w:t>cm</w:t>
            </w:r>
          </w:p>
        </w:tc>
      </w:tr>
      <w:tr w14:paraId="024378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2B49EF50">
            <w:pPr>
              <w:spacing w:line="360" w:lineRule="auto"/>
              <w:jc w:val="both"/>
              <w:rPr>
                <w:rFonts w:ascii="Arial" w:hAnsi="Arial" w:eastAsia="Calibri" w:cs="Arial"/>
                <w:sz w:val="20"/>
                <w:szCs w:val="20"/>
              </w:rPr>
            </w:pPr>
          </w:p>
        </w:tc>
        <w:tc>
          <w:tcPr>
            <w:tcW w:w="1590" w:type="dxa"/>
            <w:vMerge w:val="continue"/>
          </w:tcPr>
          <w:p w14:paraId="4E6E8CE7">
            <w:pPr>
              <w:spacing w:line="360" w:lineRule="auto"/>
              <w:jc w:val="both"/>
              <w:rPr>
                <w:rFonts w:ascii="Arial" w:hAnsi="Arial" w:eastAsia="Calibri" w:cs="Arial"/>
                <w:sz w:val="20"/>
                <w:szCs w:val="20"/>
              </w:rPr>
            </w:pPr>
          </w:p>
        </w:tc>
        <w:tc>
          <w:tcPr>
            <w:tcW w:w="1933" w:type="dxa"/>
          </w:tcPr>
          <w:p w14:paraId="022066A5">
            <w:pPr>
              <w:spacing w:line="360" w:lineRule="auto"/>
              <w:jc w:val="both"/>
              <w:rPr>
                <w:rFonts w:ascii="Arial" w:hAnsi="Arial" w:eastAsia="Calibri" w:cs="Arial"/>
                <w:sz w:val="20"/>
                <w:szCs w:val="20"/>
              </w:rPr>
            </w:pPr>
            <w:r>
              <w:rPr>
                <w:rFonts w:ascii="Arial" w:hAnsi="Arial" w:eastAsia="Calibri" w:cs="Arial"/>
                <w:sz w:val="20"/>
                <w:szCs w:val="20"/>
              </w:rPr>
              <w:t>SXT</w:t>
            </w:r>
          </w:p>
        </w:tc>
        <w:tc>
          <w:tcPr>
            <w:tcW w:w="1380" w:type="dxa"/>
          </w:tcPr>
          <w:p w14:paraId="300E6A8F">
            <w:pPr>
              <w:spacing w:line="360" w:lineRule="auto"/>
              <w:jc w:val="both"/>
              <w:rPr>
                <w:rFonts w:ascii="Arial" w:hAnsi="Arial" w:eastAsia="Calibri" w:cs="Arial"/>
                <w:sz w:val="20"/>
                <w:szCs w:val="20"/>
              </w:rPr>
            </w:pPr>
            <w:r>
              <w:rPr>
                <w:rFonts w:ascii="Arial" w:hAnsi="Arial" w:eastAsia="Calibri" w:cs="Arial"/>
                <w:sz w:val="20"/>
                <w:szCs w:val="20"/>
              </w:rPr>
              <w:t>R</w:t>
            </w:r>
          </w:p>
        </w:tc>
        <w:tc>
          <w:tcPr>
            <w:tcW w:w="1641" w:type="dxa"/>
          </w:tcPr>
          <w:p w14:paraId="341AC6A5">
            <w:pPr>
              <w:spacing w:line="360" w:lineRule="auto"/>
              <w:jc w:val="both"/>
              <w:rPr>
                <w:rFonts w:ascii="Arial" w:hAnsi="Arial" w:eastAsia="Calibri" w:cs="Arial"/>
                <w:bCs/>
                <w:sz w:val="20"/>
                <w:szCs w:val="20"/>
              </w:rPr>
            </w:pPr>
            <w:r>
              <w:rPr>
                <w:rFonts w:ascii="Arial" w:hAnsi="Arial" w:eastAsia="Calibri" w:cs="Arial"/>
                <w:bCs/>
                <w:sz w:val="20"/>
                <w:szCs w:val="20"/>
              </w:rPr>
              <w:t>R</w:t>
            </w:r>
          </w:p>
        </w:tc>
      </w:tr>
      <w:tr w14:paraId="613C4F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7172375D">
            <w:pPr>
              <w:spacing w:line="360" w:lineRule="auto"/>
              <w:jc w:val="both"/>
              <w:rPr>
                <w:rFonts w:ascii="Arial" w:hAnsi="Arial" w:eastAsia="Calibri" w:cs="Arial"/>
                <w:sz w:val="20"/>
                <w:szCs w:val="20"/>
              </w:rPr>
            </w:pPr>
          </w:p>
        </w:tc>
        <w:tc>
          <w:tcPr>
            <w:tcW w:w="1590" w:type="dxa"/>
            <w:vMerge w:val="continue"/>
          </w:tcPr>
          <w:p w14:paraId="45C2D077">
            <w:pPr>
              <w:spacing w:line="360" w:lineRule="auto"/>
              <w:jc w:val="both"/>
              <w:rPr>
                <w:rFonts w:ascii="Arial" w:hAnsi="Arial" w:eastAsia="Calibri" w:cs="Arial"/>
                <w:sz w:val="20"/>
                <w:szCs w:val="20"/>
              </w:rPr>
            </w:pPr>
          </w:p>
        </w:tc>
        <w:tc>
          <w:tcPr>
            <w:tcW w:w="1933" w:type="dxa"/>
          </w:tcPr>
          <w:p w14:paraId="5DC4425D">
            <w:pPr>
              <w:spacing w:line="360" w:lineRule="auto"/>
              <w:jc w:val="both"/>
              <w:rPr>
                <w:rFonts w:ascii="Arial" w:hAnsi="Arial" w:eastAsia="Calibri" w:cs="Arial"/>
                <w:sz w:val="20"/>
                <w:szCs w:val="20"/>
              </w:rPr>
            </w:pPr>
            <w:r>
              <w:rPr>
                <w:rFonts w:ascii="Arial" w:hAnsi="Arial" w:eastAsia="Calibri" w:cs="Arial"/>
                <w:sz w:val="20"/>
                <w:szCs w:val="20"/>
              </w:rPr>
              <w:t>E</w:t>
            </w:r>
          </w:p>
        </w:tc>
        <w:tc>
          <w:tcPr>
            <w:tcW w:w="1380" w:type="dxa"/>
          </w:tcPr>
          <w:p w14:paraId="4D32E185">
            <w:pPr>
              <w:spacing w:line="360" w:lineRule="auto"/>
              <w:jc w:val="both"/>
              <w:rPr>
                <w:rFonts w:ascii="Arial" w:hAnsi="Arial" w:eastAsia="Calibri" w:cs="Arial"/>
                <w:sz w:val="20"/>
                <w:szCs w:val="20"/>
              </w:rPr>
            </w:pPr>
            <w:r>
              <w:rPr>
                <w:rFonts w:ascii="Arial" w:hAnsi="Arial" w:eastAsia="Calibri" w:cs="Arial"/>
                <w:sz w:val="20"/>
                <w:szCs w:val="20"/>
              </w:rPr>
              <w:t>R</w:t>
            </w:r>
          </w:p>
        </w:tc>
        <w:tc>
          <w:tcPr>
            <w:tcW w:w="1641" w:type="dxa"/>
          </w:tcPr>
          <w:p w14:paraId="34028F32">
            <w:pPr>
              <w:spacing w:line="360" w:lineRule="auto"/>
              <w:jc w:val="both"/>
              <w:rPr>
                <w:rFonts w:ascii="Arial" w:hAnsi="Arial" w:eastAsia="Calibri" w:cs="Arial"/>
                <w:bCs/>
                <w:sz w:val="20"/>
                <w:szCs w:val="20"/>
              </w:rPr>
            </w:pPr>
            <w:r>
              <w:rPr>
                <w:rFonts w:ascii="Arial" w:hAnsi="Arial" w:eastAsia="Calibri" w:cs="Arial"/>
                <w:bCs/>
                <w:sz w:val="20"/>
                <w:szCs w:val="20"/>
              </w:rPr>
              <w:t>0.8</w:t>
            </w:r>
            <w:r>
              <w:rPr>
                <w:rFonts w:ascii="Arial" w:hAnsi="Arial" w:eastAsia="Calibri" w:cs="Arial"/>
                <w:sz w:val="20"/>
                <w:szCs w:val="20"/>
              </w:rPr>
              <w:t>±0.01</w:t>
            </w:r>
            <w:r>
              <w:rPr>
                <w:rFonts w:ascii="Arial" w:hAnsi="Arial" w:eastAsia="Calibri" w:cs="Arial"/>
                <w:bCs/>
                <w:sz w:val="20"/>
                <w:szCs w:val="20"/>
              </w:rPr>
              <w:t>cm</w:t>
            </w:r>
          </w:p>
        </w:tc>
      </w:tr>
    </w:tbl>
    <w:p w14:paraId="61D10EA1">
      <w:pPr>
        <w:spacing w:line="360" w:lineRule="auto"/>
        <w:jc w:val="both"/>
        <w:rPr>
          <w:rFonts w:ascii="Arial" w:hAnsi="Arial" w:cs="Arial"/>
          <w:bCs/>
          <w:szCs w:val="24"/>
        </w:rPr>
      </w:pPr>
      <w:r>
        <w:rPr>
          <w:rFonts w:ascii="Arial" w:hAnsi="Arial" w:cs="Arial"/>
          <w:sz w:val="16"/>
          <w:szCs w:val="16"/>
        </w:rPr>
        <w:t xml:space="preserve">n = mean ± SD values of independent experiment performed in duplicate. Key: R= Resistant, Antibiotics group (A) specific for Gram positive bacteria: </w:t>
      </w:r>
      <w:r>
        <w:rPr>
          <w:rFonts w:ascii="Arial" w:hAnsi="Arial" w:cs="Arial"/>
          <w:bCs/>
          <w:sz w:val="16"/>
          <w:szCs w:val="16"/>
        </w:rPr>
        <w:t xml:space="preserve">PEF= Pefloxacin, CN= Gentamycin, APX= Ampiclox, Z= Zinnacef, AM= Amoxacillin, CPX= Ciprofloxacin, R= Rocephin, S= Streptomycin, </w:t>
      </w:r>
      <w:r>
        <w:rPr>
          <w:rFonts w:ascii="Arial" w:hAnsi="Arial" w:cs="Arial"/>
          <w:sz w:val="16"/>
          <w:szCs w:val="16"/>
        </w:rPr>
        <w:t xml:space="preserve">SXT= Septrin, </w:t>
      </w:r>
      <w:r>
        <w:rPr>
          <w:rFonts w:ascii="Arial" w:hAnsi="Arial" w:cs="Arial"/>
          <w:bCs/>
          <w:sz w:val="16"/>
          <w:szCs w:val="16"/>
        </w:rPr>
        <w:t>E= Erythromycin</w:t>
      </w:r>
    </w:p>
    <w:p w14:paraId="2C2B108E">
      <w:pPr>
        <w:spacing w:line="360" w:lineRule="auto"/>
        <w:jc w:val="both"/>
        <w:rPr>
          <w:rFonts w:ascii="Arial" w:hAnsi="Arial" w:cs="Arial"/>
          <w:bCs/>
          <w:szCs w:val="24"/>
        </w:rPr>
      </w:pPr>
    </w:p>
    <w:p w14:paraId="0B26D7CE">
      <w:pPr>
        <w:pStyle w:val="65"/>
        <w:spacing w:after="0"/>
        <w:rPr>
          <w:rFonts w:ascii="Arial" w:hAnsi="Arial" w:cs="Arial"/>
        </w:rPr>
      </w:pPr>
      <w:bookmarkStart w:id="4" w:name="_Toc144596091"/>
      <w:bookmarkStart w:id="5" w:name="_Toc144595873"/>
      <w:r>
        <w:rPr>
          <w:rFonts w:ascii="Arial" w:hAnsi="Arial" w:cs="Arial"/>
          <w:b/>
          <w:bCs/>
        </w:rPr>
        <w:t>Table 4:</w:t>
      </w:r>
      <w:bookmarkEnd w:id="4"/>
      <w:bookmarkEnd w:id="5"/>
      <w:r>
        <w:rPr>
          <w:rFonts w:ascii="Arial" w:hAnsi="Arial" w:cs="Arial"/>
          <w:b/>
          <w:bCs/>
        </w:rPr>
        <w:t xml:space="preserve"> Antibacterial and </w:t>
      </w:r>
      <w:r>
        <w:rPr>
          <w:rFonts w:ascii="Arial" w:hAnsi="Arial" w:cs="Arial"/>
          <w:b/>
          <w:bCs/>
          <w:szCs w:val="24"/>
        </w:rPr>
        <w:t xml:space="preserve">Gram negative group </w:t>
      </w:r>
      <w:r>
        <w:rPr>
          <w:rFonts w:ascii="Arial" w:hAnsi="Arial" w:cs="Arial"/>
          <w:b/>
          <w:bCs/>
        </w:rPr>
        <w:t xml:space="preserve">Antibiotics effect of bromelain on </w:t>
      </w:r>
      <w:r>
        <w:rPr>
          <w:rFonts w:ascii="Arial" w:hAnsi="Arial" w:cs="Arial"/>
          <w:b/>
          <w:bCs/>
          <w:i/>
        </w:rPr>
        <w:t>Staphylococcus epidermidis</w:t>
      </w:r>
    </w:p>
    <w:tbl>
      <w:tblPr>
        <w:tblStyle w:val="18"/>
        <w:tblW w:w="828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40"/>
        <w:gridCol w:w="1590"/>
        <w:gridCol w:w="1918"/>
        <w:gridCol w:w="1395"/>
        <w:gridCol w:w="1641"/>
      </w:tblGrid>
      <w:tr w14:paraId="44748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8" w:hRule="atLeast"/>
        </w:trPr>
        <w:tc>
          <w:tcPr>
            <w:tcW w:w="1740" w:type="dxa"/>
            <w:vMerge w:val="restart"/>
          </w:tcPr>
          <w:p w14:paraId="6C31A07F">
            <w:pPr>
              <w:spacing w:line="360" w:lineRule="auto"/>
              <w:jc w:val="both"/>
              <w:rPr>
                <w:rFonts w:ascii="Arial" w:hAnsi="Arial" w:eastAsia="Calibri" w:cs="Arial"/>
                <w:sz w:val="20"/>
                <w:szCs w:val="20"/>
              </w:rPr>
            </w:pPr>
            <w:r>
              <w:rPr>
                <w:rFonts w:ascii="Arial" w:hAnsi="Arial" w:eastAsia="Calibri" w:cs="Arial"/>
                <w:sz w:val="20"/>
                <w:szCs w:val="20"/>
              </w:rPr>
              <w:t>Bacteria</w:t>
            </w:r>
          </w:p>
        </w:tc>
        <w:tc>
          <w:tcPr>
            <w:tcW w:w="1590" w:type="dxa"/>
            <w:vMerge w:val="restart"/>
          </w:tcPr>
          <w:p w14:paraId="46E71DD9">
            <w:pPr>
              <w:spacing w:line="360" w:lineRule="auto"/>
              <w:jc w:val="both"/>
              <w:rPr>
                <w:rFonts w:ascii="Arial" w:hAnsi="Arial" w:eastAsia="Calibri" w:cs="Arial"/>
                <w:sz w:val="20"/>
                <w:szCs w:val="20"/>
              </w:rPr>
            </w:pPr>
            <w:r>
              <w:rPr>
                <w:rFonts w:ascii="Arial" w:hAnsi="Arial" w:eastAsia="Calibri" w:cs="Arial"/>
                <w:sz w:val="20"/>
                <w:szCs w:val="20"/>
              </w:rPr>
              <w:t>Enzyme Zone of inhibition</w:t>
            </w:r>
          </w:p>
        </w:tc>
        <w:tc>
          <w:tcPr>
            <w:tcW w:w="1918" w:type="dxa"/>
            <w:vMerge w:val="restart"/>
          </w:tcPr>
          <w:p w14:paraId="2B70F576">
            <w:pPr>
              <w:spacing w:line="360" w:lineRule="auto"/>
              <w:jc w:val="both"/>
              <w:rPr>
                <w:rFonts w:ascii="Arial" w:hAnsi="Arial" w:eastAsia="Calibri" w:cs="Arial"/>
                <w:sz w:val="20"/>
                <w:szCs w:val="20"/>
              </w:rPr>
            </w:pPr>
            <w:r>
              <w:rPr>
                <w:rFonts w:ascii="Arial" w:hAnsi="Arial" w:eastAsia="Calibri" w:cs="Arial"/>
                <w:sz w:val="20"/>
                <w:szCs w:val="20"/>
              </w:rPr>
              <w:t xml:space="preserve">Gram negative group Antibiotics (B) </w:t>
            </w:r>
          </w:p>
        </w:tc>
        <w:tc>
          <w:tcPr>
            <w:tcW w:w="3036" w:type="dxa"/>
            <w:gridSpan w:val="2"/>
            <w:tcBorders>
              <w:bottom w:val="single" w:color="auto" w:sz="4" w:space="0"/>
            </w:tcBorders>
          </w:tcPr>
          <w:p w14:paraId="27856B5D">
            <w:pPr>
              <w:spacing w:line="360" w:lineRule="auto"/>
              <w:jc w:val="both"/>
              <w:rPr>
                <w:rFonts w:ascii="Arial" w:hAnsi="Arial" w:eastAsia="Calibri" w:cs="Arial"/>
                <w:sz w:val="20"/>
                <w:szCs w:val="20"/>
              </w:rPr>
            </w:pPr>
            <w:r>
              <w:rPr>
                <w:rFonts w:ascii="Arial" w:hAnsi="Arial" w:eastAsia="Calibri" w:cs="Arial"/>
                <w:sz w:val="20"/>
                <w:szCs w:val="20"/>
              </w:rPr>
              <w:t>Zone of inhibition</w:t>
            </w:r>
          </w:p>
        </w:tc>
      </w:tr>
      <w:tr w14:paraId="6516C2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trPr>
        <w:tc>
          <w:tcPr>
            <w:tcW w:w="1740" w:type="dxa"/>
            <w:vMerge w:val="continue"/>
          </w:tcPr>
          <w:p w14:paraId="45FDC745">
            <w:pPr>
              <w:spacing w:line="360" w:lineRule="auto"/>
              <w:jc w:val="both"/>
              <w:rPr>
                <w:rFonts w:ascii="Arial" w:hAnsi="Arial" w:eastAsia="Calibri" w:cs="Arial"/>
                <w:sz w:val="20"/>
                <w:szCs w:val="20"/>
              </w:rPr>
            </w:pPr>
          </w:p>
        </w:tc>
        <w:tc>
          <w:tcPr>
            <w:tcW w:w="1590" w:type="dxa"/>
            <w:vMerge w:val="continue"/>
          </w:tcPr>
          <w:p w14:paraId="33D27204">
            <w:pPr>
              <w:spacing w:line="360" w:lineRule="auto"/>
              <w:jc w:val="both"/>
              <w:rPr>
                <w:rFonts w:ascii="Arial" w:hAnsi="Arial" w:eastAsia="Calibri" w:cs="Arial"/>
                <w:sz w:val="20"/>
                <w:szCs w:val="20"/>
              </w:rPr>
            </w:pPr>
          </w:p>
        </w:tc>
        <w:tc>
          <w:tcPr>
            <w:tcW w:w="1918" w:type="dxa"/>
            <w:vMerge w:val="continue"/>
          </w:tcPr>
          <w:p w14:paraId="2B6CD607">
            <w:pPr>
              <w:spacing w:line="360" w:lineRule="auto"/>
              <w:jc w:val="both"/>
              <w:rPr>
                <w:rFonts w:ascii="Arial" w:hAnsi="Arial" w:eastAsia="Calibri" w:cs="Arial"/>
                <w:sz w:val="20"/>
                <w:szCs w:val="20"/>
              </w:rPr>
            </w:pPr>
          </w:p>
        </w:tc>
        <w:tc>
          <w:tcPr>
            <w:tcW w:w="1395" w:type="dxa"/>
            <w:tcBorders>
              <w:top w:val="single" w:color="auto" w:sz="4" w:space="0"/>
            </w:tcBorders>
          </w:tcPr>
          <w:p w14:paraId="095B8477">
            <w:pPr>
              <w:spacing w:line="360" w:lineRule="auto"/>
              <w:jc w:val="both"/>
              <w:rPr>
                <w:rFonts w:ascii="Arial" w:hAnsi="Arial" w:eastAsia="Calibri" w:cs="Arial"/>
                <w:sz w:val="20"/>
                <w:szCs w:val="20"/>
              </w:rPr>
            </w:pPr>
            <w:r>
              <w:rPr>
                <w:rFonts w:ascii="Arial" w:hAnsi="Arial" w:eastAsia="Calibri" w:cs="Arial"/>
                <w:sz w:val="20"/>
                <w:szCs w:val="20"/>
              </w:rPr>
              <w:t>Grp B</w:t>
            </w:r>
          </w:p>
        </w:tc>
        <w:tc>
          <w:tcPr>
            <w:tcW w:w="1641" w:type="dxa"/>
            <w:tcBorders>
              <w:top w:val="single" w:color="auto" w:sz="4" w:space="0"/>
            </w:tcBorders>
          </w:tcPr>
          <w:p w14:paraId="16F58C5E">
            <w:pPr>
              <w:spacing w:line="360" w:lineRule="auto"/>
              <w:jc w:val="both"/>
              <w:rPr>
                <w:rFonts w:ascii="Arial" w:hAnsi="Arial" w:eastAsia="Calibri" w:cs="Arial"/>
                <w:sz w:val="20"/>
                <w:szCs w:val="20"/>
              </w:rPr>
            </w:pPr>
            <w:r>
              <w:rPr>
                <w:rFonts w:ascii="Arial" w:hAnsi="Arial" w:eastAsia="Calibri" w:cs="Arial"/>
                <w:sz w:val="20"/>
                <w:szCs w:val="20"/>
              </w:rPr>
              <w:t>Grp B + Enzyme</w:t>
            </w:r>
          </w:p>
        </w:tc>
      </w:tr>
      <w:tr w14:paraId="1CDE50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restart"/>
          </w:tcPr>
          <w:p w14:paraId="352C8B23">
            <w:pPr>
              <w:spacing w:line="360" w:lineRule="auto"/>
              <w:jc w:val="both"/>
              <w:rPr>
                <w:rFonts w:ascii="Arial" w:hAnsi="Arial" w:eastAsia="Calibri" w:cs="Arial"/>
                <w:i/>
                <w:sz w:val="20"/>
                <w:szCs w:val="20"/>
              </w:rPr>
            </w:pPr>
            <w:r>
              <w:rPr>
                <w:rFonts w:ascii="Arial" w:hAnsi="Arial" w:eastAsia="Calibri" w:cs="Arial"/>
                <w:i/>
                <w:sz w:val="20"/>
                <w:szCs w:val="20"/>
              </w:rPr>
              <w:t>S. epidermidis</w:t>
            </w:r>
          </w:p>
        </w:tc>
        <w:tc>
          <w:tcPr>
            <w:tcW w:w="1590" w:type="dxa"/>
            <w:vMerge w:val="restart"/>
          </w:tcPr>
          <w:p w14:paraId="08E28D84">
            <w:pPr>
              <w:spacing w:line="360" w:lineRule="auto"/>
              <w:jc w:val="both"/>
              <w:rPr>
                <w:rFonts w:ascii="Arial" w:hAnsi="Arial" w:eastAsia="Calibri" w:cs="Arial"/>
                <w:sz w:val="20"/>
                <w:szCs w:val="20"/>
              </w:rPr>
            </w:pPr>
            <w:r>
              <w:rPr>
                <w:rFonts w:ascii="Arial" w:hAnsi="Arial" w:eastAsia="Calibri" w:cs="Arial"/>
                <w:bCs/>
                <w:sz w:val="20"/>
                <w:szCs w:val="20"/>
              </w:rPr>
              <w:t>0.1</w:t>
            </w:r>
            <w:r>
              <w:rPr>
                <w:rFonts w:ascii="Arial" w:hAnsi="Arial" w:eastAsia="Calibri" w:cs="Arial"/>
                <w:sz w:val="20"/>
                <w:szCs w:val="20"/>
              </w:rPr>
              <w:t>±0.00</w:t>
            </w:r>
            <w:r>
              <w:rPr>
                <w:rFonts w:ascii="Arial" w:hAnsi="Arial" w:eastAsia="Calibri" w:cs="Arial"/>
                <w:bCs/>
                <w:sz w:val="20"/>
                <w:szCs w:val="20"/>
              </w:rPr>
              <w:t>cm</w:t>
            </w:r>
          </w:p>
        </w:tc>
        <w:tc>
          <w:tcPr>
            <w:tcW w:w="1918" w:type="dxa"/>
          </w:tcPr>
          <w:p w14:paraId="765BC596">
            <w:pPr>
              <w:spacing w:line="360" w:lineRule="auto"/>
              <w:jc w:val="both"/>
              <w:rPr>
                <w:rFonts w:ascii="Arial" w:hAnsi="Arial" w:eastAsia="Calibri" w:cs="Arial"/>
                <w:sz w:val="20"/>
                <w:szCs w:val="20"/>
              </w:rPr>
            </w:pPr>
            <w:r>
              <w:rPr>
                <w:rFonts w:ascii="Arial" w:hAnsi="Arial" w:eastAsia="Calibri" w:cs="Arial"/>
                <w:sz w:val="20"/>
                <w:szCs w:val="20"/>
              </w:rPr>
              <w:t>SXT</w:t>
            </w:r>
          </w:p>
        </w:tc>
        <w:tc>
          <w:tcPr>
            <w:tcW w:w="1395" w:type="dxa"/>
          </w:tcPr>
          <w:p w14:paraId="39B7F405">
            <w:pPr>
              <w:spacing w:line="360" w:lineRule="auto"/>
              <w:jc w:val="both"/>
              <w:rPr>
                <w:rFonts w:ascii="Arial" w:hAnsi="Arial" w:eastAsia="Calibri" w:cs="Arial"/>
                <w:sz w:val="20"/>
                <w:szCs w:val="20"/>
              </w:rPr>
            </w:pPr>
            <w:r>
              <w:rPr>
                <w:rFonts w:ascii="Arial" w:hAnsi="Arial" w:eastAsia="Calibri" w:cs="Arial"/>
                <w:sz w:val="20"/>
                <w:szCs w:val="20"/>
              </w:rPr>
              <w:t>0.4±0.00cm</w:t>
            </w:r>
          </w:p>
        </w:tc>
        <w:tc>
          <w:tcPr>
            <w:tcW w:w="1641" w:type="dxa"/>
          </w:tcPr>
          <w:p w14:paraId="61192647">
            <w:pPr>
              <w:spacing w:line="360" w:lineRule="auto"/>
              <w:jc w:val="both"/>
              <w:rPr>
                <w:rFonts w:ascii="Arial" w:hAnsi="Arial" w:eastAsia="Calibri" w:cs="Arial"/>
                <w:sz w:val="20"/>
                <w:szCs w:val="20"/>
              </w:rPr>
            </w:pPr>
            <w:r>
              <w:rPr>
                <w:rFonts w:ascii="Arial" w:hAnsi="Arial" w:eastAsia="Calibri" w:cs="Arial"/>
                <w:sz w:val="20"/>
                <w:szCs w:val="20"/>
              </w:rPr>
              <w:t>0.4±0.02cm</w:t>
            </w:r>
          </w:p>
        </w:tc>
      </w:tr>
      <w:tr w14:paraId="5BEE54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17B1EFE5">
            <w:pPr>
              <w:spacing w:line="360" w:lineRule="auto"/>
              <w:jc w:val="both"/>
              <w:rPr>
                <w:rFonts w:ascii="Arial" w:hAnsi="Arial" w:eastAsia="Calibri" w:cs="Arial"/>
                <w:sz w:val="20"/>
                <w:szCs w:val="20"/>
              </w:rPr>
            </w:pPr>
          </w:p>
        </w:tc>
        <w:tc>
          <w:tcPr>
            <w:tcW w:w="1590" w:type="dxa"/>
            <w:vMerge w:val="continue"/>
          </w:tcPr>
          <w:p w14:paraId="204CF09F">
            <w:pPr>
              <w:spacing w:line="360" w:lineRule="auto"/>
              <w:jc w:val="both"/>
              <w:rPr>
                <w:rFonts w:ascii="Arial" w:hAnsi="Arial" w:eastAsia="Calibri" w:cs="Arial"/>
                <w:sz w:val="20"/>
                <w:szCs w:val="20"/>
              </w:rPr>
            </w:pPr>
          </w:p>
        </w:tc>
        <w:tc>
          <w:tcPr>
            <w:tcW w:w="1918" w:type="dxa"/>
          </w:tcPr>
          <w:p w14:paraId="42B7C1BA">
            <w:pPr>
              <w:spacing w:line="360" w:lineRule="auto"/>
              <w:jc w:val="both"/>
              <w:rPr>
                <w:rFonts w:ascii="Arial" w:hAnsi="Arial" w:eastAsia="Calibri" w:cs="Arial"/>
                <w:sz w:val="20"/>
                <w:szCs w:val="20"/>
              </w:rPr>
            </w:pPr>
            <w:r>
              <w:rPr>
                <w:rFonts w:ascii="Arial" w:hAnsi="Arial" w:eastAsia="Calibri" w:cs="Arial"/>
                <w:sz w:val="20"/>
                <w:szCs w:val="20"/>
              </w:rPr>
              <w:t>CH</w:t>
            </w:r>
          </w:p>
        </w:tc>
        <w:tc>
          <w:tcPr>
            <w:tcW w:w="1395" w:type="dxa"/>
          </w:tcPr>
          <w:p w14:paraId="1E8FDEBB">
            <w:pPr>
              <w:spacing w:line="360" w:lineRule="auto"/>
              <w:jc w:val="both"/>
              <w:rPr>
                <w:rFonts w:ascii="Arial" w:hAnsi="Arial" w:eastAsia="Calibri" w:cs="Arial"/>
                <w:sz w:val="20"/>
                <w:szCs w:val="20"/>
              </w:rPr>
            </w:pPr>
            <w:r>
              <w:rPr>
                <w:rFonts w:ascii="Arial" w:hAnsi="Arial" w:eastAsia="Calibri" w:cs="Arial"/>
                <w:sz w:val="20"/>
                <w:szCs w:val="20"/>
              </w:rPr>
              <w:t>0.2±0.00cm</w:t>
            </w:r>
          </w:p>
        </w:tc>
        <w:tc>
          <w:tcPr>
            <w:tcW w:w="1641" w:type="dxa"/>
          </w:tcPr>
          <w:p w14:paraId="10605D77">
            <w:pPr>
              <w:spacing w:line="360" w:lineRule="auto"/>
              <w:jc w:val="both"/>
              <w:rPr>
                <w:rFonts w:ascii="Arial" w:hAnsi="Arial" w:eastAsia="Calibri" w:cs="Arial"/>
                <w:sz w:val="20"/>
                <w:szCs w:val="20"/>
              </w:rPr>
            </w:pPr>
            <w:r>
              <w:rPr>
                <w:rFonts w:ascii="Arial" w:hAnsi="Arial" w:eastAsia="Calibri" w:cs="Arial"/>
                <w:sz w:val="20"/>
                <w:szCs w:val="20"/>
              </w:rPr>
              <w:t>0.4±0.00cm</w:t>
            </w:r>
          </w:p>
        </w:tc>
      </w:tr>
      <w:tr w14:paraId="5531D8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61203A28">
            <w:pPr>
              <w:spacing w:line="360" w:lineRule="auto"/>
              <w:jc w:val="both"/>
              <w:rPr>
                <w:rFonts w:ascii="Arial" w:hAnsi="Arial" w:eastAsia="Calibri" w:cs="Arial"/>
                <w:sz w:val="20"/>
                <w:szCs w:val="20"/>
              </w:rPr>
            </w:pPr>
          </w:p>
        </w:tc>
        <w:tc>
          <w:tcPr>
            <w:tcW w:w="1590" w:type="dxa"/>
            <w:vMerge w:val="continue"/>
          </w:tcPr>
          <w:p w14:paraId="2C63FB61">
            <w:pPr>
              <w:spacing w:line="360" w:lineRule="auto"/>
              <w:jc w:val="both"/>
              <w:rPr>
                <w:rFonts w:ascii="Arial" w:hAnsi="Arial" w:eastAsia="Calibri" w:cs="Arial"/>
                <w:sz w:val="20"/>
                <w:szCs w:val="20"/>
              </w:rPr>
            </w:pPr>
          </w:p>
        </w:tc>
        <w:tc>
          <w:tcPr>
            <w:tcW w:w="1918" w:type="dxa"/>
          </w:tcPr>
          <w:p w14:paraId="12AF92D4">
            <w:pPr>
              <w:spacing w:line="360" w:lineRule="auto"/>
              <w:jc w:val="both"/>
              <w:rPr>
                <w:rFonts w:ascii="Arial" w:hAnsi="Arial" w:eastAsia="Calibri" w:cs="Arial"/>
                <w:sz w:val="20"/>
                <w:szCs w:val="20"/>
              </w:rPr>
            </w:pPr>
            <w:r>
              <w:rPr>
                <w:rFonts w:ascii="Arial" w:hAnsi="Arial" w:eastAsia="Calibri" w:cs="Arial"/>
                <w:sz w:val="20"/>
                <w:szCs w:val="20"/>
              </w:rPr>
              <w:t>SP</w:t>
            </w:r>
          </w:p>
        </w:tc>
        <w:tc>
          <w:tcPr>
            <w:tcW w:w="1395" w:type="dxa"/>
          </w:tcPr>
          <w:p w14:paraId="74A099A4">
            <w:pPr>
              <w:spacing w:line="360" w:lineRule="auto"/>
              <w:jc w:val="both"/>
              <w:rPr>
                <w:rFonts w:ascii="Arial" w:hAnsi="Arial" w:eastAsia="Calibri" w:cs="Arial"/>
                <w:sz w:val="20"/>
                <w:szCs w:val="20"/>
              </w:rPr>
            </w:pPr>
            <w:r>
              <w:rPr>
                <w:rFonts w:ascii="Arial" w:hAnsi="Arial" w:eastAsia="Calibri" w:cs="Arial"/>
                <w:sz w:val="20"/>
                <w:szCs w:val="20"/>
              </w:rPr>
              <w:t>0.2±0.00cm</w:t>
            </w:r>
          </w:p>
        </w:tc>
        <w:tc>
          <w:tcPr>
            <w:tcW w:w="1641" w:type="dxa"/>
          </w:tcPr>
          <w:p w14:paraId="5033257C">
            <w:pPr>
              <w:spacing w:line="360" w:lineRule="auto"/>
              <w:jc w:val="both"/>
              <w:rPr>
                <w:rFonts w:ascii="Arial" w:hAnsi="Arial" w:eastAsia="Calibri" w:cs="Arial"/>
                <w:sz w:val="20"/>
                <w:szCs w:val="20"/>
              </w:rPr>
            </w:pPr>
            <w:r>
              <w:rPr>
                <w:rFonts w:ascii="Arial" w:hAnsi="Arial" w:eastAsia="Calibri" w:cs="Arial"/>
                <w:sz w:val="20"/>
                <w:szCs w:val="20"/>
              </w:rPr>
              <w:t>0.5±0.01cm</w:t>
            </w:r>
          </w:p>
        </w:tc>
      </w:tr>
      <w:tr w14:paraId="3B679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743BE695">
            <w:pPr>
              <w:spacing w:line="360" w:lineRule="auto"/>
              <w:jc w:val="both"/>
              <w:rPr>
                <w:rFonts w:ascii="Arial" w:hAnsi="Arial" w:eastAsia="Calibri" w:cs="Arial"/>
                <w:sz w:val="20"/>
                <w:szCs w:val="20"/>
              </w:rPr>
            </w:pPr>
          </w:p>
        </w:tc>
        <w:tc>
          <w:tcPr>
            <w:tcW w:w="1590" w:type="dxa"/>
            <w:vMerge w:val="continue"/>
          </w:tcPr>
          <w:p w14:paraId="3909E87A">
            <w:pPr>
              <w:spacing w:line="360" w:lineRule="auto"/>
              <w:jc w:val="both"/>
              <w:rPr>
                <w:rFonts w:ascii="Arial" w:hAnsi="Arial" w:eastAsia="Calibri" w:cs="Arial"/>
                <w:sz w:val="20"/>
                <w:szCs w:val="20"/>
              </w:rPr>
            </w:pPr>
          </w:p>
        </w:tc>
        <w:tc>
          <w:tcPr>
            <w:tcW w:w="1918" w:type="dxa"/>
          </w:tcPr>
          <w:p w14:paraId="4C285E05">
            <w:pPr>
              <w:spacing w:line="360" w:lineRule="auto"/>
              <w:jc w:val="both"/>
              <w:rPr>
                <w:rFonts w:ascii="Arial" w:hAnsi="Arial" w:eastAsia="Calibri" w:cs="Arial"/>
                <w:sz w:val="20"/>
                <w:szCs w:val="20"/>
              </w:rPr>
            </w:pPr>
            <w:r>
              <w:rPr>
                <w:rFonts w:ascii="Arial" w:hAnsi="Arial" w:eastAsia="Calibri" w:cs="Arial"/>
                <w:sz w:val="20"/>
                <w:szCs w:val="20"/>
              </w:rPr>
              <w:t>CPX</w:t>
            </w:r>
          </w:p>
        </w:tc>
        <w:tc>
          <w:tcPr>
            <w:tcW w:w="1395" w:type="dxa"/>
          </w:tcPr>
          <w:p w14:paraId="43ABCD84">
            <w:pPr>
              <w:spacing w:line="360" w:lineRule="auto"/>
              <w:jc w:val="both"/>
              <w:rPr>
                <w:rFonts w:ascii="Arial" w:hAnsi="Arial" w:eastAsia="Calibri" w:cs="Arial"/>
                <w:sz w:val="20"/>
                <w:szCs w:val="20"/>
              </w:rPr>
            </w:pPr>
            <w:r>
              <w:rPr>
                <w:rFonts w:ascii="Arial" w:hAnsi="Arial" w:eastAsia="Calibri" w:cs="Arial"/>
                <w:sz w:val="20"/>
                <w:szCs w:val="20"/>
              </w:rPr>
              <w:t>0.5±0.01cm</w:t>
            </w:r>
          </w:p>
        </w:tc>
        <w:tc>
          <w:tcPr>
            <w:tcW w:w="1641" w:type="dxa"/>
          </w:tcPr>
          <w:p w14:paraId="30F829C7">
            <w:pPr>
              <w:spacing w:line="360" w:lineRule="auto"/>
              <w:jc w:val="both"/>
              <w:rPr>
                <w:rFonts w:ascii="Arial" w:hAnsi="Arial" w:eastAsia="Calibri" w:cs="Arial"/>
                <w:sz w:val="20"/>
                <w:szCs w:val="20"/>
              </w:rPr>
            </w:pPr>
            <w:r>
              <w:rPr>
                <w:rFonts w:ascii="Arial" w:hAnsi="Arial" w:eastAsia="Calibri" w:cs="Arial"/>
                <w:sz w:val="20"/>
                <w:szCs w:val="20"/>
              </w:rPr>
              <w:t>0.6±0.00cm</w:t>
            </w:r>
          </w:p>
        </w:tc>
      </w:tr>
      <w:tr w14:paraId="7B4E1D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0FE12F65">
            <w:pPr>
              <w:spacing w:line="360" w:lineRule="auto"/>
              <w:jc w:val="both"/>
              <w:rPr>
                <w:rFonts w:ascii="Arial" w:hAnsi="Arial" w:eastAsia="Calibri" w:cs="Arial"/>
                <w:sz w:val="20"/>
                <w:szCs w:val="20"/>
              </w:rPr>
            </w:pPr>
          </w:p>
        </w:tc>
        <w:tc>
          <w:tcPr>
            <w:tcW w:w="1590" w:type="dxa"/>
            <w:vMerge w:val="continue"/>
          </w:tcPr>
          <w:p w14:paraId="4CE4021E">
            <w:pPr>
              <w:spacing w:line="360" w:lineRule="auto"/>
              <w:jc w:val="both"/>
              <w:rPr>
                <w:rFonts w:ascii="Arial" w:hAnsi="Arial" w:eastAsia="Calibri" w:cs="Arial"/>
                <w:sz w:val="20"/>
                <w:szCs w:val="20"/>
              </w:rPr>
            </w:pPr>
          </w:p>
        </w:tc>
        <w:tc>
          <w:tcPr>
            <w:tcW w:w="1918" w:type="dxa"/>
          </w:tcPr>
          <w:p w14:paraId="62321D3A">
            <w:pPr>
              <w:spacing w:line="360" w:lineRule="auto"/>
              <w:jc w:val="both"/>
              <w:rPr>
                <w:rFonts w:ascii="Arial" w:hAnsi="Arial" w:eastAsia="Calibri" w:cs="Arial"/>
                <w:sz w:val="20"/>
                <w:szCs w:val="20"/>
              </w:rPr>
            </w:pPr>
            <w:r>
              <w:rPr>
                <w:rFonts w:ascii="Arial" w:hAnsi="Arial" w:eastAsia="Calibri" w:cs="Arial"/>
                <w:sz w:val="20"/>
                <w:szCs w:val="20"/>
              </w:rPr>
              <w:t>AM</w:t>
            </w:r>
          </w:p>
        </w:tc>
        <w:tc>
          <w:tcPr>
            <w:tcW w:w="1395" w:type="dxa"/>
          </w:tcPr>
          <w:p w14:paraId="37981C3A">
            <w:pPr>
              <w:spacing w:line="360" w:lineRule="auto"/>
              <w:jc w:val="both"/>
              <w:rPr>
                <w:rFonts w:ascii="Arial" w:hAnsi="Arial" w:eastAsia="Calibri" w:cs="Arial"/>
                <w:sz w:val="20"/>
                <w:szCs w:val="20"/>
              </w:rPr>
            </w:pPr>
            <w:r>
              <w:rPr>
                <w:rFonts w:ascii="Arial" w:hAnsi="Arial" w:eastAsia="Calibri" w:cs="Arial"/>
                <w:sz w:val="20"/>
                <w:szCs w:val="20"/>
              </w:rPr>
              <w:t>R</w:t>
            </w:r>
          </w:p>
        </w:tc>
        <w:tc>
          <w:tcPr>
            <w:tcW w:w="1641" w:type="dxa"/>
          </w:tcPr>
          <w:p w14:paraId="617FB4F6">
            <w:pPr>
              <w:spacing w:line="360" w:lineRule="auto"/>
              <w:jc w:val="both"/>
              <w:rPr>
                <w:rFonts w:ascii="Arial" w:hAnsi="Arial" w:eastAsia="Calibri" w:cs="Arial"/>
                <w:bCs/>
                <w:sz w:val="20"/>
                <w:szCs w:val="20"/>
              </w:rPr>
            </w:pPr>
            <w:r>
              <w:rPr>
                <w:rFonts w:ascii="Arial" w:hAnsi="Arial" w:eastAsia="Calibri" w:cs="Arial"/>
                <w:bCs/>
                <w:sz w:val="20"/>
                <w:szCs w:val="20"/>
              </w:rPr>
              <w:t>0.4</w:t>
            </w:r>
            <w:r>
              <w:rPr>
                <w:rFonts w:ascii="Arial" w:hAnsi="Arial" w:eastAsia="Calibri" w:cs="Arial"/>
                <w:sz w:val="20"/>
                <w:szCs w:val="20"/>
              </w:rPr>
              <w:t>±0.00</w:t>
            </w:r>
            <w:r>
              <w:rPr>
                <w:rFonts w:ascii="Arial" w:hAnsi="Arial" w:eastAsia="Calibri" w:cs="Arial"/>
                <w:bCs/>
                <w:sz w:val="20"/>
                <w:szCs w:val="20"/>
              </w:rPr>
              <w:t>cm</w:t>
            </w:r>
          </w:p>
        </w:tc>
      </w:tr>
      <w:tr w14:paraId="72B1A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7ED56DA8">
            <w:pPr>
              <w:spacing w:line="360" w:lineRule="auto"/>
              <w:jc w:val="both"/>
              <w:rPr>
                <w:rFonts w:ascii="Arial" w:hAnsi="Arial" w:eastAsia="Calibri" w:cs="Arial"/>
                <w:sz w:val="20"/>
                <w:szCs w:val="20"/>
              </w:rPr>
            </w:pPr>
          </w:p>
        </w:tc>
        <w:tc>
          <w:tcPr>
            <w:tcW w:w="1590" w:type="dxa"/>
            <w:vMerge w:val="continue"/>
          </w:tcPr>
          <w:p w14:paraId="5CDCB0F4">
            <w:pPr>
              <w:spacing w:line="360" w:lineRule="auto"/>
              <w:jc w:val="both"/>
              <w:rPr>
                <w:rFonts w:ascii="Arial" w:hAnsi="Arial" w:eastAsia="Calibri" w:cs="Arial"/>
                <w:sz w:val="20"/>
                <w:szCs w:val="20"/>
              </w:rPr>
            </w:pPr>
          </w:p>
        </w:tc>
        <w:tc>
          <w:tcPr>
            <w:tcW w:w="1918" w:type="dxa"/>
          </w:tcPr>
          <w:p w14:paraId="197D6246">
            <w:pPr>
              <w:spacing w:line="360" w:lineRule="auto"/>
              <w:jc w:val="both"/>
              <w:rPr>
                <w:rFonts w:ascii="Arial" w:hAnsi="Arial" w:eastAsia="Calibri" w:cs="Arial"/>
                <w:sz w:val="20"/>
                <w:szCs w:val="20"/>
              </w:rPr>
            </w:pPr>
            <w:r>
              <w:rPr>
                <w:rFonts w:ascii="Arial" w:hAnsi="Arial" w:eastAsia="Calibri" w:cs="Arial"/>
                <w:sz w:val="20"/>
                <w:szCs w:val="20"/>
              </w:rPr>
              <w:t>AU</w:t>
            </w:r>
          </w:p>
        </w:tc>
        <w:tc>
          <w:tcPr>
            <w:tcW w:w="1395" w:type="dxa"/>
          </w:tcPr>
          <w:p w14:paraId="7A2FE4E7">
            <w:pPr>
              <w:spacing w:line="360" w:lineRule="auto"/>
              <w:jc w:val="both"/>
              <w:rPr>
                <w:rFonts w:ascii="Arial" w:hAnsi="Arial" w:eastAsia="Calibri" w:cs="Arial"/>
                <w:sz w:val="20"/>
                <w:szCs w:val="20"/>
              </w:rPr>
            </w:pPr>
            <w:r>
              <w:rPr>
                <w:rFonts w:ascii="Arial" w:hAnsi="Arial" w:eastAsia="Calibri" w:cs="Arial"/>
                <w:sz w:val="20"/>
                <w:szCs w:val="20"/>
              </w:rPr>
              <w:t>R</w:t>
            </w:r>
          </w:p>
        </w:tc>
        <w:tc>
          <w:tcPr>
            <w:tcW w:w="1641" w:type="dxa"/>
          </w:tcPr>
          <w:p w14:paraId="1A6D6B14">
            <w:pPr>
              <w:spacing w:line="360" w:lineRule="auto"/>
              <w:jc w:val="both"/>
              <w:rPr>
                <w:rFonts w:ascii="Arial" w:hAnsi="Arial" w:eastAsia="Calibri" w:cs="Arial"/>
                <w:bCs/>
                <w:sz w:val="20"/>
                <w:szCs w:val="20"/>
              </w:rPr>
            </w:pPr>
            <w:r>
              <w:rPr>
                <w:rFonts w:ascii="Arial" w:hAnsi="Arial" w:eastAsia="Calibri" w:cs="Arial"/>
                <w:bCs/>
                <w:sz w:val="20"/>
                <w:szCs w:val="20"/>
              </w:rPr>
              <w:t>R</w:t>
            </w:r>
          </w:p>
        </w:tc>
      </w:tr>
      <w:tr w14:paraId="3CF55C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254D085D">
            <w:pPr>
              <w:spacing w:line="360" w:lineRule="auto"/>
              <w:jc w:val="both"/>
              <w:rPr>
                <w:rFonts w:ascii="Arial" w:hAnsi="Arial" w:eastAsia="Calibri" w:cs="Arial"/>
                <w:sz w:val="20"/>
                <w:szCs w:val="20"/>
              </w:rPr>
            </w:pPr>
          </w:p>
        </w:tc>
        <w:tc>
          <w:tcPr>
            <w:tcW w:w="1590" w:type="dxa"/>
            <w:vMerge w:val="continue"/>
          </w:tcPr>
          <w:p w14:paraId="1746A50A">
            <w:pPr>
              <w:spacing w:line="360" w:lineRule="auto"/>
              <w:jc w:val="both"/>
              <w:rPr>
                <w:rFonts w:ascii="Arial" w:hAnsi="Arial" w:eastAsia="Calibri" w:cs="Arial"/>
                <w:sz w:val="20"/>
                <w:szCs w:val="20"/>
              </w:rPr>
            </w:pPr>
          </w:p>
        </w:tc>
        <w:tc>
          <w:tcPr>
            <w:tcW w:w="1918" w:type="dxa"/>
          </w:tcPr>
          <w:p w14:paraId="0C362E87">
            <w:pPr>
              <w:spacing w:line="360" w:lineRule="auto"/>
              <w:jc w:val="both"/>
              <w:rPr>
                <w:rFonts w:ascii="Arial" w:hAnsi="Arial" w:eastAsia="Calibri" w:cs="Arial"/>
                <w:sz w:val="20"/>
                <w:szCs w:val="20"/>
              </w:rPr>
            </w:pPr>
            <w:r>
              <w:rPr>
                <w:rFonts w:ascii="Arial" w:hAnsi="Arial" w:eastAsia="Calibri" w:cs="Arial"/>
                <w:sz w:val="20"/>
                <w:szCs w:val="20"/>
              </w:rPr>
              <w:t>CN</w:t>
            </w:r>
          </w:p>
        </w:tc>
        <w:tc>
          <w:tcPr>
            <w:tcW w:w="1395" w:type="dxa"/>
          </w:tcPr>
          <w:p w14:paraId="15A3A5DF">
            <w:pPr>
              <w:spacing w:line="360" w:lineRule="auto"/>
              <w:jc w:val="both"/>
              <w:rPr>
                <w:rFonts w:ascii="Arial" w:hAnsi="Arial" w:eastAsia="Calibri" w:cs="Arial"/>
                <w:sz w:val="20"/>
                <w:szCs w:val="20"/>
              </w:rPr>
            </w:pPr>
            <w:r>
              <w:rPr>
                <w:rFonts w:ascii="Arial" w:hAnsi="Arial" w:eastAsia="Calibri" w:cs="Arial"/>
                <w:sz w:val="20"/>
                <w:szCs w:val="20"/>
              </w:rPr>
              <w:t>R</w:t>
            </w:r>
          </w:p>
        </w:tc>
        <w:tc>
          <w:tcPr>
            <w:tcW w:w="1641" w:type="dxa"/>
          </w:tcPr>
          <w:p w14:paraId="421F11A9">
            <w:pPr>
              <w:spacing w:line="360" w:lineRule="auto"/>
              <w:jc w:val="both"/>
              <w:rPr>
                <w:rFonts w:ascii="Arial" w:hAnsi="Arial" w:eastAsia="Calibri" w:cs="Arial"/>
                <w:bCs/>
                <w:sz w:val="20"/>
                <w:szCs w:val="20"/>
              </w:rPr>
            </w:pPr>
            <w:r>
              <w:rPr>
                <w:rFonts w:ascii="Arial" w:hAnsi="Arial" w:eastAsia="Calibri" w:cs="Arial"/>
                <w:bCs/>
                <w:sz w:val="20"/>
                <w:szCs w:val="20"/>
              </w:rPr>
              <w:t>0.1</w:t>
            </w:r>
            <w:r>
              <w:rPr>
                <w:rFonts w:ascii="Arial" w:hAnsi="Arial" w:eastAsia="Calibri" w:cs="Arial"/>
                <w:sz w:val="20"/>
                <w:szCs w:val="20"/>
              </w:rPr>
              <w:t>±0.00</w:t>
            </w:r>
            <w:r>
              <w:rPr>
                <w:rFonts w:ascii="Arial" w:hAnsi="Arial" w:eastAsia="Calibri" w:cs="Arial"/>
                <w:bCs/>
                <w:sz w:val="20"/>
                <w:szCs w:val="20"/>
              </w:rPr>
              <w:t>cm</w:t>
            </w:r>
          </w:p>
        </w:tc>
      </w:tr>
      <w:tr w14:paraId="208A9C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2BE3FDD9">
            <w:pPr>
              <w:spacing w:line="360" w:lineRule="auto"/>
              <w:jc w:val="both"/>
              <w:rPr>
                <w:rFonts w:ascii="Arial" w:hAnsi="Arial" w:eastAsia="Calibri" w:cs="Arial"/>
                <w:sz w:val="20"/>
                <w:szCs w:val="20"/>
              </w:rPr>
            </w:pPr>
          </w:p>
        </w:tc>
        <w:tc>
          <w:tcPr>
            <w:tcW w:w="1590" w:type="dxa"/>
            <w:vMerge w:val="continue"/>
          </w:tcPr>
          <w:p w14:paraId="648E46EB">
            <w:pPr>
              <w:spacing w:line="360" w:lineRule="auto"/>
              <w:jc w:val="both"/>
              <w:rPr>
                <w:rFonts w:ascii="Arial" w:hAnsi="Arial" w:eastAsia="Calibri" w:cs="Arial"/>
                <w:sz w:val="20"/>
                <w:szCs w:val="20"/>
              </w:rPr>
            </w:pPr>
          </w:p>
        </w:tc>
        <w:tc>
          <w:tcPr>
            <w:tcW w:w="1918" w:type="dxa"/>
          </w:tcPr>
          <w:p w14:paraId="4143A473">
            <w:pPr>
              <w:spacing w:line="360" w:lineRule="auto"/>
              <w:jc w:val="both"/>
              <w:rPr>
                <w:rFonts w:ascii="Arial" w:hAnsi="Arial" w:eastAsia="Calibri" w:cs="Arial"/>
                <w:sz w:val="20"/>
                <w:szCs w:val="20"/>
              </w:rPr>
            </w:pPr>
            <w:r>
              <w:rPr>
                <w:rFonts w:ascii="Arial" w:hAnsi="Arial" w:eastAsia="Calibri" w:cs="Arial"/>
                <w:sz w:val="20"/>
                <w:szCs w:val="20"/>
              </w:rPr>
              <w:t>PEF</w:t>
            </w:r>
          </w:p>
        </w:tc>
        <w:tc>
          <w:tcPr>
            <w:tcW w:w="1395" w:type="dxa"/>
          </w:tcPr>
          <w:p w14:paraId="5B08AC03">
            <w:pPr>
              <w:spacing w:line="360" w:lineRule="auto"/>
              <w:jc w:val="both"/>
              <w:rPr>
                <w:rFonts w:ascii="Arial" w:hAnsi="Arial" w:eastAsia="Calibri" w:cs="Arial"/>
                <w:sz w:val="20"/>
                <w:szCs w:val="20"/>
              </w:rPr>
            </w:pPr>
            <w:r>
              <w:rPr>
                <w:rFonts w:ascii="Arial" w:hAnsi="Arial" w:eastAsia="Calibri" w:cs="Arial"/>
                <w:sz w:val="20"/>
                <w:szCs w:val="20"/>
              </w:rPr>
              <w:t>0.3±0.00cm</w:t>
            </w:r>
          </w:p>
        </w:tc>
        <w:tc>
          <w:tcPr>
            <w:tcW w:w="1641" w:type="dxa"/>
          </w:tcPr>
          <w:p w14:paraId="76BBDFEE">
            <w:pPr>
              <w:spacing w:line="360" w:lineRule="auto"/>
              <w:jc w:val="both"/>
              <w:rPr>
                <w:rFonts w:ascii="Arial" w:hAnsi="Arial" w:eastAsia="Calibri" w:cs="Arial"/>
                <w:bCs/>
                <w:sz w:val="20"/>
                <w:szCs w:val="20"/>
              </w:rPr>
            </w:pPr>
            <w:r>
              <w:rPr>
                <w:rFonts w:ascii="Arial" w:hAnsi="Arial" w:eastAsia="Calibri" w:cs="Arial"/>
                <w:bCs/>
                <w:sz w:val="20"/>
                <w:szCs w:val="20"/>
              </w:rPr>
              <w:t>0.4</w:t>
            </w:r>
            <w:r>
              <w:rPr>
                <w:rFonts w:ascii="Arial" w:hAnsi="Arial" w:eastAsia="Calibri" w:cs="Arial"/>
                <w:sz w:val="20"/>
                <w:szCs w:val="20"/>
              </w:rPr>
              <w:t>±0.00</w:t>
            </w:r>
            <w:r>
              <w:rPr>
                <w:rFonts w:ascii="Arial" w:hAnsi="Arial" w:eastAsia="Calibri" w:cs="Arial"/>
                <w:bCs/>
                <w:sz w:val="20"/>
                <w:szCs w:val="20"/>
              </w:rPr>
              <w:t>cm</w:t>
            </w:r>
          </w:p>
        </w:tc>
      </w:tr>
      <w:tr w14:paraId="0AC2CB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00A00241">
            <w:pPr>
              <w:spacing w:line="360" w:lineRule="auto"/>
              <w:jc w:val="both"/>
              <w:rPr>
                <w:rFonts w:ascii="Arial" w:hAnsi="Arial" w:eastAsia="Calibri" w:cs="Arial"/>
                <w:sz w:val="20"/>
                <w:szCs w:val="20"/>
              </w:rPr>
            </w:pPr>
          </w:p>
        </w:tc>
        <w:tc>
          <w:tcPr>
            <w:tcW w:w="1590" w:type="dxa"/>
            <w:vMerge w:val="continue"/>
          </w:tcPr>
          <w:p w14:paraId="1583265F">
            <w:pPr>
              <w:spacing w:line="360" w:lineRule="auto"/>
              <w:jc w:val="both"/>
              <w:rPr>
                <w:rFonts w:ascii="Arial" w:hAnsi="Arial" w:eastAsia="Calibri" w:cs="Arial"/>
                <w:sz w:val="20"/>
                <w:szCs w:val="20"/>
              </w:rPr>
            </w:pPr>
          </w:p>
        </w:tc>
        <w:tc>
          <w:tcPr>
            <w:tcW w:w="1918" w:type="dxa"/>
          </w:tcPr>
          <w:p w14:paraId="6363CB2D">
            <w:pPr>
              <w:spacing w:line="360" w:lineRule="auto"/>
              <w:jc w:val="both"/>
              <w:rPr>
                <w:rFonts w:ascii="Arial" w:hAnsi="Arial" w:eastAsia="Calibri" w:cs="Arial"/>
                <w:sz w:val="20"/>
                <w:szCs w:val="20"/>
              </w:rPr>
            </w:pPr>
            <w:r>
              <w:rPr>
                <w:rFonts w:ascii="Arial" w:hAnsi="Arial" w:eastAsia="Calibri" w:cs="Arial"/>
                <w:sz w:val="20"/>
                <w:szCs w:val="20"/>
              </w:rPr>
              <w:t>OFX</w:t>
            </w:r>
          </w:p>
        </w:tc>
        <w:tc>
          <w:tcPr>
            <w:tcW w:w="1395" w:type="dxa"/>
          </w:tcPr>
          <w:p w14:paraId="06765953">
            <w:pPr>
              <w:spacing w:line="360" w:lineRule="auto"/>
              <w:jc w:val="both"/>
              <w:rPr>
                <w:rFonts w:ascii="Arial" w:hAnsi="Arial" w:eastAsia="Calibri" w:cs="Arial"/>
                <w:sz w:val="20"/>
                <w:szCs w:val="20"/>
              </w:rPr>
            </w:pPr>
            <w:r>
              <w:rPr>
                <w:rFonts w:ascii="Arial" w:hAnsi="Arial" w:eastAsia="Calibri" w:cs="Arial"/>
                <w:sz w:val="20"/>
                <w:szCs w:val="20"/>
              </w:rPr>
              <w:t>0.3±0.00cm</w:t>
            </w:r>
          </w:p>
        </w:tc>
        <w:tc>
          <w:tcPr>
            <w:tcW w:w="1641" w:type="dxa"/>
          </w:tcPr>
          <w:p w14:paraId="054D8A64">
            <w:pPr>
              <w:spacing w:line="360" w:lineRule="auto"/>
              <w:jc w:val="both"/>
              <w:rPr>
                <w:rFonts w:ascii="Arial" w:hAnsi="Arial" w:eastAsia="Calibri" w:cs="Arial"/>
                <w:bCs/>
                <w:sz w:val="20"/>
                <w:szCs w:val="20"/>
              </w:rPr>
            </w:pPr>
            <w:r>
              <w:rPr>
                <w:rFonts w:ascii="Arial" w:hAnsi="Arial" w:eastAsia="Calibri" w:cs="Arial"/>
                <w:bCs/>
                <w:sz w:val="20"/>
                <w:szCs w:val="20"/>
              </w:rPr>
              <w:t>0.3</w:t>
            </w:r>
            <w:r>
              <w:rPr>
                <w:rFonts w:ascii="Arial" w:hAnsi="Arial" w:eastAsia="Calibri" w:cs="Arial"/>
                <w:sz w:val="20"/>
                <w:szCs w:val="20"/>
              </w:rPr>
              <w:t>±0.01</w:t>
            </w:r>
            <w:r>
              <w:rPr>
                <w:rFonts w:ascii="Arial" w:hAnsi="Arial" w:eastAsia="Calibri" w:cs="Arial"/>
                <w:bCs/>
                <w:sz w:val="20"/>
                <w:szCs w:val="20"/>
              </w:rPr>
              <w:t>cm</w:t>
            </w:r>
          </w:p>
        </w:tc>
      </w:tr>
      <w:tr w14:paraId="3A1A92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6E06285E">
            <w:pPr>
              <w:spacing w:line="360" w:lineRule="auto"/>
              <w:jc w:val="both"/>
              <w:rPr>
                <w:rFonts w:ascii="Arial" w:hAnsi="Arial" w:eastAsia="Calibri" w:cs="Arial"/>
                <w:sz w:val="20"/>
                <w:szCs w:val="20"/>
              </w:rPr>
            </w:pPr>
          </w:p>
        </w:tc>
        <w:tc>
          <w:tcPr>
            <w:tcW w:w="1590" w:type="dxa"/>
            <w:vMerge w:val="continue"/>
          </w:tcPr>
          <w:p w14:paraId="7D479ECC">
            <w:pPr>
              <w:spacing w:line="360" w:lineRule="auto"/>
              <w:jc w:val="both"/>
              <w:rPr>
                <w:rFonts w:ascii="Arial" w:hAnsi="Arial" w:eastAsia="Calibri" w:cs="Arial"/>
                <w:sz w:val="20"/>
                <w:szCs w:val="20"/>
              </w:rPr>
            </w:pPr>
          </w:p>
        </w:tc>
        <w:tc>
          <w:tcPr>
            <w:tcW w:w="1918" w:type="dxa"/>
          </w:tcPr>
          <w:p w14:paraId="3FA3F3AB">
            <w:pPr>
              <w:spacing w:line="360" w:lineRule="auto"/>
              <w:jc w:val="both"/>
              <w:rPr>
                <w:rFonts w:ascii="Arial" w:hAnsi="Arial" w:eastAsia="Calibri" w:cs="Arial"/>
                <w:sz w:val="20"/>
                <w:szCs w:val="20"/>
              </w:rPr>
            </w:pPr>
            <w:r>
              <w:rPr>
                <w:rFonts w:ascii="Arial" w:hAnsi="Arial" w:eastAsia="Calibri" w:cs="Arial"/>
                <w:sz w:val="20"/>
                <w:szCs w:val="20"/>
              </w:rPr>
              <w:t>S</w:t>
            </w:r>
          </w:p>
        </w:tc>
        <w:tc>
          <w:tcPr>
            <w:tcW w:w="1395" w:type="dxa"/>
          </w:tcPr>
          <w:p w14:paraId="0FC7AED5">
            <w:pPr>
              <w:spacing w:line="360" w:lineRule="auto"/>
              <w:jc w:val="both"/>
              <w:rPr>
                <w:rFonts w:ascii="Arial" w:hAnsi="Arial" w:eastAsia="Calibri" w:cs="Arial"/>
                <w:sz w:val="20"/>
                <w:szCs w:val="20"/>
              </w:rPr>
            </w:pPr>
            <w:r>
              <w:rPr>
                <w:rFonts w:ascii="Arial" w:hAnsi="Arial" w:eastAsia="Calibri" w:cs="Arial"/>
                <w:sz w:val="20"/>
                <w:szCs w:val="20"/>
              </w:rPr>
              <w:t>0.2±0.00cm</w:t>
            </w:r>
          </w:p>
        </w:tc>
        <w:tc>
          <w:tcPr>
            <w:tcW w:w="1641" w:type="dxa"/>
          </w:tcPr>
          <w:p w14:paraId="7A8ACE55">
            <w:pPr>
              <w:spacing w:line="360" w:lineRule="auto"/>
              <w:jc w:val="both"/>
              <w:rPr>
                <w:rFonts w:ascii="Arial" w:hAnsi="Arial" w:eastAsia="Calibri" w:cs="Arial"/>
                <w:bCs/>
                <w:sz w:val="20"/>
                <w:szCs w:val="20"/>
              </w:rPr>
            </w:pPr>
            <w:r>
              <w:rPr>
                <w:rFonts w:ascii="Arial" w:hAnsi="Arial" w:eastAsia="Calibri" w:cs="Arial"/>
                <w:bCs/>
                <w:sz w:val="20"/>
                <w:szCs w:val="20"/>
              </w:rPr>
              <w:t>0.5</w:t>
            </w:r>
            <w:r>
              <w:rPr>
                <w:rFonts w:ascii="Arial" w:hAnsi="Arial" w:eastAsia="Calibri" w:cs="Arial"/>
                <w:sz w:val="20"/>
                <w:szCs w:val="20"/>
              </w:rPr>
              <w:t>±0.01</w:t>
            </w:r>
            <w:r>
              <w:rPr>
                <w:rFonts w:ascii="Arial" w:hAnsi="Arial" w:eastAsia="Calibri" w:cs="Arial"/>
                <w:bCs/>
                <w:sz w:val="20"/>
                <w:szCs w:val="20"/>
              </w:rPr>
              <w:t>cm</w:t>
            </w:r>
          </w:p>
        </w:tc>
      </w:tr>
    </w:tbl>
    <w:p w14:paraId="28725F69">
      <w:pPr>
        <w:spacing w:line="360" w:lineRule="auto"/>
        <w:jc w:val="both"/>
        <w:rPr>
          <w:rFonts w:ascii="Arial" w:hAnsi="Arial" w:cs="Arial"/>
          <w:bCs/>
          <w:szCs w:val="24"/>
        </w:rPr>
      </w:pPr>
      <w:r>
        <w:rPr>
          <w:rFonts w:ascii="Arial" w:hAnsi="Arial" w:cs="Arial"/>
          <w:sz w:val="16"/>
          <w:szCs w:val="16"/>
        </w:rPr>
        <w:t xml:space="preserve">n = mean ± SD values of independent experiment performed in duplicate. </w:t>
      </w:r>
      <w:r>
        <w:rPr>
          <w:rFonts w:ascii="Arial" w:hAnsi="Arial" w:cs="Arial"/>
          <w:sz w:val="16"/>
          <w:szCs w:val="21"/>
        </w:rPr>
        <w:t xml:space="preserve">Key: R= Resistant, </w:t>
      </w:r>
      <w:r>
        <w:rPr>
          <w:rFonts w:ascii="Arial" w:hAnsi="Arial" w:cs="Arial"/>
          <w:sz w:val="16"/>
          <w:szCs w:val="16"/>
        </w:rPr>
        <w:t>Antibiotics group (B) specific for Gram negative bacteria: SXT= Septrin, CH= Chloranphenicol, SP= Sparfloxacin, CPX= Ciprofloxacin, AM= Amoxacillin, AU= Augmentin, CN= Gentamycin, PEF= Pefloxacin, OFX= Tarivid, S= Streptomycin</w:t>
      </w:r>
    </w:p>
    <w:p w14:paraId="46C31A1B">
      <w:pPr>
        <w:pStyle w:val="65"/>
        <w:spacing w:after="0"/>
        <w:rPr>
          <w:rFonts w:ascii="Arial" w:hAnsi="Arial" w:cs="Arial"/>
          <w:b/>
          <w:bCs/>
        </w:rPr>
      </w:pPr>
      <w:bookmarkStart w:id="6" w:name="_Toc144595872"/>
      <w:bookmarkStart w:id="7" w:name="_Toc144596090"/>
    </w:p>
    <w:p w14:paraId="45CD6B47">
      <w:pPr>
        <w:pStyle w:val="65"/>
        <w:spacing w:after="0"/>
        <w:rPr>
          <w:rFonts w:ascii="Arial" w:hAnsi="Arial" w:cs="Arial"/>
        </w:rPr>
      </w:pPr>
      <w:r>
        <w:rPr>
          <w:rFonts w:ascii="Arial" w:hAnsi="Arial" w:cs="Arial"/>
          <w:b/>
          <w:bCs/>
        </w:rPr>
        <w:t>Table 5:</w:t>
      </w:r>
      <w:bookmarkEnd w:id="6"/>
      <w:bookmarkEnd w:id="7"/>
      <w:r>
        <w:rPr>
          <w:rFonts w:ascii="Arial" w:hAnsi="Arial" w:cs="Arial"/>
          <w:b/>
          <w:bCs/>
        </w:rPr>
        <w:t xml:space="preserve"> Antibacterial and </w:t>
      </w:r>
      <w:r>
        <w:rPr>
          <w:rFonts w:ascii="Arial" w:hAnsi="Arial" w:cs="Arial"/>
          <w:b/>
          <w:bCs/>
          <w:szCs w:val="24"/>
        </w:rPr>
        <w:t xml:space="preserve">Gram positive group </w:t>
      </w:r>
      <w:r>
        <w:rPr>
          <w:rFonts w:ascii="Arial" w:hAnsi="Arial" w:cs="Arial"/>
          <w:b/>
          <w:bCs/>
        </w:rPr>
        <w:t xml:space="preserve">Antibiotics effect of bromelain on  </w:t>
      </w:r>
      <w:r>
        <w:rPr>
          <w:rFonts w:ascii="Arial" w:hAnsi="Arial" w:cs="Arial"/>
          <w:b/>
          <w:bCs/>
          <w:i/>
        </w:rPr>
        <w:t>Staphylococcus epidermidis</w:t>
      </w:r>
    </w:p>
    <w:tbl>
      <w:tblPr>
        <w:tblStyle w:val="18"/>
        <w:tblW w:w="828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40"/>
        <w:gridCol w:w="1590"/>
        <w:gridCol w:w="1918"/>
        <w:gridCol w:w="1380"/>
        <w:gridCol w:w="1656"/>
      </w:tblGrid>
      <w:tr w14:paraId="0896E5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8" w:hRule="atLeast"/>
        </w:trPr>
        <w:tc>
          <w:tcPr>
            <w:tcW w:w="1740" w:type="dxa"/>
            <w:vMerge w:val="restart"/>
          </w:tcPr>
          <w:p w14:paraId="74996B17">
            <w:pPr>
              <w:spacing w:line="360" w:lineRule="auto"/>
              <w:jc w:val="both"/>
              <w:rPr>
                <w:rFonts w:ascii="Arial" w:hAnsi="Arial" w:eastAsia="Calibri" w:cs="Arial"/>
                <w:sz w:val="20"/>
                <w:szCs w:val="20"/>
              </w:rPr>
            </w:pPr>
            <w:r>
              <w:rPr>
                <w:rFonts w:ascii="Arial" w:hAnsi="Arial" w:eastAsia="Calibri" w:cs="Arial"/>
                <w:sz w:val="20"/>
                <w:szCs w:val="20"/>
              </w:rPr>
              <w:t>Bacteria</w:t>
            </w:r>
          </w:p>
        </w:tc>
        <w:tc>
          <w:tcPr>
            <w:tcW w:w="1590" w:type="dxa"/>
            <w:vMerge w:val="restart"/>
          </w:tcPr>
          <w:p w14:paraId="3CAE4B90">
            <w:pPr>
              <w:spacing w:line="360" w:lineRule="auto"/>
              <w:jc w:val="both"/>
              <w:rPr>
                <w:rFonts w:ascii="Arial" w:hAnsi="Arial" w:eastAsia="Calibri" w:cs="Arial"/>
                <w:sz w:val="20"/>
                <w:szCs w:val="20"/>
              </w:rPr>
            </w:pPr>
            <w:r>
              <w:rPr>
                <w:rFonts w:ascii="Arial" w:hAnsi="Arial" w:eastAsia="Calibri" w:cs="Arial"/>
                <w:sz w:val="20"/>
                <w:szCs w:val="20"/>
              </w:rPr>
              <w:t>Enzyme Zone of inhibition</w:t>
            </w:r>
          </w:p>
        </w:tc>
        <w:tc>
          <w:tcPr>
            <w:tcW w:w="1918" w:type="dxa"/>
            <w:vMerge w:val="restart"/>
          </w:tcPr>
          <w:p w14:paraId="0595B70C">
            <w:pPr>
              <w:spacing w:line="360" w:lineRule="auto"/>
              <w:jc w:val="both"/>
              <w:rPr>
                <w:rFonts w:ascii="Arial" w:hAnsi="Arial" w:eastAsia="Calibri" w:cs="Arial"/>
                <w:sz w:val="20"/>
                <w:szCs w:val="20"/>
              </w:rPr>
            </w:pPr>
            <w:r>
              <w:rPr>
                <w:rFonts w:ascii="Arial" w:hAnsi="Arial" w:eastAsia="Calibri" w:cs="Arial"/>
                <w:sz w:val="20"/>
                <w:szCs w:val="20"/>
              </w:rPr>
              <w:t>Gram positive group Antibiotics (A)</w:t>
            </w:r>
          </w:p>
        </w:tc>
        <w:tc>
          <w:tcPr>
            <w:tcW w:w="3036" w:type="dxa"/>
            <w:gridSpan w:val="2"/>
            <w:tcBorders>
              <w:bottom w:val="single" w:color="auto" w:sz="4" w:space="0"/>
            </w:tcBorders>
          </w:tcPr>
          <w:p w14:paraId="5B9BF1C4">
            <w:pPr>
              <w:spacing w:line="360" w:lineRule="auto"/>
              <w:jc w:val="both"/>
              <w:rPr>
                <w:rFonts w:ascii="Arial" w:hAnsi="Arial" w:eastAsia="Calibri" w:cs="Arial"/>
                <w:sz w:val="20"/>
                <w:szCs w:val="20"/>
              </w:rPr>
            </w:pPr>
            <w:r>
              <w:rPr>
                <w:rFonts w:ascii="Arial" w:hAnsi="Arial" w:eastAsia="Calibri" w:cs="Arial"/>
                <w:sz w:val="20"/>
                <w:szCs w:val="20"/>
              </w:rPr>
              <w:t>Zone of inhibition</w:t>
            </w:r>
          </w:p>
        </w:tc>
      </w:tr>
      <w:tr w14:paraId="36BB0F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trPr>
        <w:tc>
          <w:tcPr>
            <w:tcW w:w="1740" w:type="dxa"/>
            <w:vMerge w:val="continue"/>
          </w:tcPr>
          <w:p w14:paraId="1FDE7021">
            <w:pPr>
              <w:spacing w:line="360" w:lineRule="auto"/>
              <w:jc w:val="both"/>
              <w:rPr>
                <w:rFonts w:ascii="Arial" w:hAnsi="Arial" w:eastAsia="Calibri" w:cs="Arial"/>
                <w:sz w:val="20"/>
                <w:szCs w:val="20"/>
              </w:rPr>
            </w:pPr>
          </w:p>
        </w:tc>
        <w:tc>
          <w:tcPr>
            <w:tcW w:w="1590" w:type="dxa"/>
            <w:vMerge w:val="continue"/>
          </w:tcPr>
          <w:p w14:paraId="3380693F">
            <w:pPr>
              <w:spacing w:line="360" w:lineRule="auto"/>
              <w:jc w:val="both"/>
              <w:rPr>
                <w:rFonts w:ascii="Arial" w:hAnsi="Arial" w:eastAsia="Calibri" w:cs="Arial"/>
                <w:sz w:val="20"/>
                <w:szCs w:val="20"/>
              </w:rPr>
            </w:pPr>
          </w:p>
        </w:tc>
        <w:tc>
          <w:tcPr>
            <w:tcW w:w="1918" w:type="dxa"/>
            <w:vMerge w:val="continue"/>
          </w:tcPr>
          <w:p w14:paraId="605265C2">
            <w:pPr>
              <w:spacing w:line="360" w:lineRule="auto"/>
              <w:jc w:val="both"/>
              <w:rPr>
                <w:rFonts w:ascii="Arial" w:hAnsi="Arial" w:eastAsia="Calibri" w:cs="Arial"/>
                <w:sz w:val="20"/>
                <w:szCs w:val="20"/>
              </w:rPr>
            </w:pPr>
          </w:p>
        </w:tc>
        <w:tc>
          <w:tcPr>
            <w:tcW w:w="1380" w:type="dxa"/>
            <w:tcBorders>
              <w:top w:val="single" w:color="auto" w:sz="4" w:space="0"/>
            </w:tcBorders>
          </w:tcPr>
          <w:p w14:paraId="5416B571">
            <w:pPr>
              <w:spacing w:line="360" w:lineRule="auto"/>
              <w:jc w:val="both"/>
              <w:rPr>
                <w:rFonts w:ascii="Arial" w:hAnsi="Arial" w:eastAsia="Calibri" w:cs="Arial"/>
                <w:sz w:val="20"/>
                <w:szCs w:val="20"/>
              </w:rPr>
            </w:pPr>
            <w:r>
              <w:rPr>
                <w:rFonts w:ascii="Arial" w:hAnsi="Arial" w:eastAsia="Calibri" w:cs="Arial"/>
                <w:sz w:val="20"/>
                <w:szCs w:val="20"/>
              </w:rPr>
              <w:t>Grp A</w:t>
            </w:r>
          </w:p>
        </w:tc>
        <w:tc>
          <w:tcPr>
            <w:tcW w:w="1656" w:type="dxa"/>
            <w:tcBorders>
              <w:top w:val="single" w:color="auto" w:sz="4" w:space="0"/>
            </w:tcBorders>
          </w:tcPr>
          <w:p w14:paraId="063B9475">
            <w:pPr>
              <w:spacing w:line="360" w:lineRule="auto"/>
              <w:jc w:val="both"/>
              <w:rPr>
                <w:rFonts w:ascii="Arial" w:hAnsi="Arial" w:eastAsia="Calibri" w:cs="Arial"/>
                <w:sz w:val="20"/>
                <w:szCs w:val="20"/>
              </w:rPr>
            </w:pPr>
            <w:r>
              <w:rPr>
                <w:rFonts w:ascii="Arial" w:hAnsi="Arial" w:eastAsia="Calibri" w:cs="Arial"/>
                <w:sz w:val="20"/>
                <w:szCs w:val="20"/>
              </w:rPr>
              <w:t>Grp A + Enzyme</w:t>
            </w:r>
          </w:p>
        </w:tc>
      </w:tr>
      <w:tr w14:paraId="0A0217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restart"/>
          </w:tcPr>
          <w:p w14:paraId="41457779">
            <w:pPr>
              <w:spacing w:line="360" w:lineRule="auto"/>
              <w:jc w:val="both"/>
              <w:rPr>
                <w:rFonts w:ascii="Arial" w:hAnsi="Arial" w:eastAsia="Calibri" w:cs="Arial"/>
                <w:i/>
                <w:sz w:val="20"/>
                <w:szCs w:val="20"/>
              </w:rPr>
            </w:pPr>
            <w:r>
              <w:rPr>
                <w:rFonts w:ascii="Arial" w:hAnsi="Arial" w:eastAsia="Calibri" w:cs="Arial"/>
                <w:i/>
                <w:sz w:val="20"/>
                <w:szCs w:val="20"/>
              </w:rPr>
              <w:t>S. epidermidis</w:t>
            </w:r>
          </w:p>
        </w:tc>
        <w:tc>
          <w:tcPr>
            <w:tcW w:w="1590" w:type="dxa"/>
            <w:vMerge w:val="restart"/>
          </w:tcPr>
          <w:p w14:paraId="210539A5">
            <w:pPr>
              <w:spacing w:line="360" w:lineRule="auto"/>
              <w:jc w:val="both"/>
              <w:rPr>
                <w:rFonts w:ascii="Arial" w:hAnsi="Arial" w:eastAsia="Calibri" w:cs="Arial"/>
                <w:sz w:val="20"/>
                <w:szCs w:val="20"/>
              </w:rPr>
            </w:pPr>
            <w:r>
              <w:rPr>
                <w:rFonts w:ascii="Arial" w:hAnsi="Arial" w:eastAsia="Calibri" w:cs="Arial"/>
                <w:bCs/>
                <w:sz w:val="20"/>
                <w:szCs w:val="20"/>
              </w:rPr>
              <w:t>0.1</w:t>
            </w:r>
            <w:r>
              <w:rPr>
                <w:rFonts w:ascii="Arial" w:hAnsi="Arial" w:eastAsia="Calibri" w:cs="Arial"/>
                <w:sz w:val="20"/>
                <w:szCs w:val="20"/>
              </w:rPr>
              <w:t>±0.00</w:t>
            </w:r>
            <w:r>
              <w:rPr>
                <w:rFonts w:ascii="Arial" w:hAnsi="Arial" w:eastAsia="Calibri" w:cs="Arial"/>
                <w:bCs/>
                <w:sz w:val="20"/>
                <w:szCs w:val="20"/>
              </w:rPr>
              <w:t>cm</w:t>
            </w:r>
          </w:p>
        </w:tc>
        <w:tc>
          <w:tcPr>
            <w:tcW w:w="1918" w:type="dxa"/>
          </w:tcPr>
          <w:p w14:paraId="60813CDD">
            <w:pPr>
              <w:spacing w:line="360" w:lineRule="auto"/>
              <w:jc w:val="both"/>
              <w:rPr>
                <w:rFonts w:ascii="Arial" w:hAnsi="Arial" w:eastAsia="Calibri" w:cs="Arial"/>
                <w:sz w:val="20"/>
                <w:szCs w:val="20"/>
              </w:rPr>
            </w:pPr>
            <w:r>
              <w:rPr>
                <w:rFonts w:ascii="Arial" w:hAnsi="Arial" w:eastAsia="Calibri" w:cs="Arial"/>
                <w:sz w:val="20"/>
                <w:szCs w:val="20"/>
              </w:rPr>
              <w:t>PEF</w:t>
            </w:r>
          </w:p>
        </w:tc>
        <w:tc>
          <w:tcPr>
            <w:tcW w:w="1380" w:type="dxa"/>
          </w:tcPr>
          <w:p w14:paraId="5908E6E4">
            <w:pPr>
              <w:spacing w:line="360" w:lineRule="auto"/>
              <w:jc w:val="both"/>
              <w:rPr>
                <w:rFonts w:ascii="Arial" w:hAnsi="Arial" w:eastAsia="Calibri" w:cs="Arial"/>
                <w:sz w:val="20"/>
                <w:szCs w:val="20"/>
              </w:rPr>
            </w:pPr>
            <w:r>
              <w:rPr>
                <w:rFonts w:ascii="Arial" w:hAnsi="Arial" w:eastAsia="Calibri" w:cs="Arial"/>
                <w:sz w:val="20"/>
                <w:szCs w:val="20"/>
              </w:rPr>
              <w:t>0.5±0.00cm</w:t>
            </w:r>
          </w:p>
        </w:tc>
        <w:tc>
          <w:tcPr>
            <w:tcW w:w="1656" w:type="dxa"/>
          </w:tcPr>
          <w:p w14:paraId="458E954A">
            <w:pPr>
              <w:spacing w:line="360" w:lineRule="auto"/>
              <w:jc w:val="both"/>
              <w:rPr>
                <w:rFonts w:ascii="Arial" w:hAnsi="Arial" w:eastAsia="Calibri" w:cs="Arial"/>
                <w:sz w:val="20"/>
                <w:szCs w:val="20"/>
              </w:rPr>
            </w:pPr>
            <w:r>
              <w:rPr>
                <w:rFonts w:ascii="Arial" w:hAnsi="Arial" w:eastAsia="Calibri" w:cs="Arial"/>
                <w:sz w:val="20"/>
                <w:szCs w:val="20"/>
              </w:rPr>
              <w:t>0.5±0.01cm</w:t>
            </w:r>
          </w:p>
        </w:tc>
      </w:tr>
      <w:tr w14:paraId="661672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0D436E50">
            <w:pPr>
              <w:spacing w:line="360" w:lineRule="auto"/>
              <w:jc w:val="both"/>
              <w:rPr>
                <w:rFonts w:ascii="Arial" w:hAnsi="Arial" w:eastAsia="Calibri" w:cs="Arial"/>
                <w:sz w:val="20"/>
                <w:szCs w:val="20"/>
              </w:rPr>
            </w:pPr>
          </w:p>
        </w:tc>
        <w:tc>
          <w:tcPr>
            <w:tcW w:w="1590" w:type="dxa"/>
            <w:vMerge w:val="continue"/>
          </w:tcPr>
          <w:p w14:paraId="6EEBA809">
            <w:pPr>
              <w:spacing w:line="360" w:lineRule="auto"/>
              <w:jc w:val="both"/>
              <w:rPr>
                <w:rFonts w:ascii="Arial" w:hAnsi="Arial" w:eastAsia="Calibri" w:cs="Arial"/>
                <w:sz w:val="20"/>
                <w:szCs w:val="20"/>
              </w:rPr>
            </w:pPr>
          </w:p>
        </w:tc>
        <w:tc>
          <w:tcPr>
            <w:tcW w:w="1918" w:type="dxa"/>
          </w:tcPr>
          <w:p w14:paraId="619A4B37">
            <w:pPr>
              <w:spacing w:line="360" w:lineRule="auto"/>
              <w:jc w:val="both"/>
              <w:rPr>
                <w:rFonts w:ascii="Arial" w:hAnsi="Arial" w:eastAsia="Calibri" w:cs="Arial"/>
                <w:sz w:val="20"/>
                <w:szCs w:val="20"/>
              </w:rPr>
            </w:pPr>
            <w:r>
              <w:rPr>
                <w:rFonts w:ascii="Arial" w:hAnsi="Arial" w:eastAsia="Calibri" w:cs="Arial"/>
                <w:sz w:val="20"/>
                <w:szCs w:val="20"/>
              </w:rPr>
              <w:t>CN</w:t>
            </w:r>
          </w:p>
        </w:tc>
        <w:tc>
          <w:tcPr>
            <w:tcW w:w="1380" w:type="dxa"/>
          </w:tcPr>
          <w:p w14:paraId="7744772F">
            <w:pPr>
              <w:spacing w:line="360" w:lineRule="auto"/>
              <w:jc w:val="both"/>
              <w:rPr>
                <w:rFonts w:ascii="Arial" w:hAnsi="Arial" w:eastAsia="Calibri" w:cs="Arial"/>
                <w:sz w:val="20"/>
                <w:szCs w:val="20"/>
              </w:rPr>
            </w:pPr>
            <w:r>
              <w:rPr>
                <w:rFonts w:ascii="Arial" w:hAnsi="Arial" w:eastAsia="Calibri" w:cs="Arial"/>
                <w:sz w:val="20"/>
                <w:szCs w:val="20"/>
              </w:rPr>
              <w:t>R</w:t>
            </w:r>
          </w:p>
        </w:tc>
        <w:tc>
          <w:tcPr>
            <w:tcW w:w="1656" w:type="dxa"/>
          </w:tcPr>
          <w:p w14:paraId="189D5018">
            <w:pPr>
              <w:spacing w:line="360" w:lineRule="auto"/>
              <w:jc w:val="both"/>
              <w:rPr>
                <w:rFonts w:ascii="Arial" w:hAnsi="Arial" w:eastAsia="Calibri" w:cs="Arial"/>
                <w:sz w:val="20"/>
                <w:szCs w:val="20"/>
              </w:rPr>
            </w:pPr>
            <w:r>
              <w:rPr>
                <w:rFonts w:ascii="Arial" w:hAnsi="Arial" w:eastAsia="Calibri" w:cs="Arial"/>
                <w:sz w:val="20"/>
                <w:szCs w:val="20"/>
              </w:rPr>
              <w:t>R</w:t>
            </w:r>
          </w:p>
        </w:tc>
      </w:tr>
      <w:tr w14:paraId="4938B7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063A150B">
            <w:pPr>
              <w:spacing w:line="360" w:lineRule="auto"/>
              <w:jc w:val="both"/>
              <w:rPr>
                <w:rFonts w:ascii="Arial" w:hAnsi="Arial" w:eastAsia="Calibri" w:cs="Arial"/>
                <w:sz w:val="20"/>
                <w:szCs w:val="20"/>
              </w:rPr>
            </w:pPr>
          </w:p>
        </w:tc>
        <w:tc>
          <w:tcPr>
            <w:tcW w:w="1590" w:type="dxa"/>
            <w:vMerge w:val="continue"/>
          </w:tcPr>
          <w:p w14:paraId="7D45F154">
            <w:pPr>
              <w:spacing w:line="360" w:lineRule="auto"/>
              <w:jc w:val="both"/>
              <w:rPr>
                <w:rFonts w:ascii="Arial" w:hAnsi="Arial" w:eastAsia="Calibri" w:cs="Arial"/>
                <w:sz w:val="20"/>
                <w:szCs w:val="20"/>
              </w:rPr>
            </w:pPr>
          </w:p>
        </w:tc>
        <w:tc>
          <w:tcPr>
            <w:tcW w:w="1918" w:type="dxa"/>
          </w:tcPr>
          <w:p w14:paraId="7F481567">
            <w:pPr>
              <w:spacing w:line="360" w:lineRule="auto"/>
              <w:jc w:val="both"/>
              <w:rPr>
                <w:rFonts w:ascii="Arial" w:hAnsi="Arial" w:eastAsia="Calibri" w:cs="Arial"/>
                <w:sz w:val="20"/>
                <w:szCs w:val="20"/>
              </w:rPr>
            </w:pPr>
            <w:r>
              <w:rPr>
                <w:rFonts w:ascii="Arial" w:hAnsi="Arial" w:eastAsia="Calibri" w:cs="Arial"/>
                <w:sz w:val="20"/>
                <w:szCs w:val="20"/>
              </w:rPr>
              <w:t>APX</w:t>
            </w:r>
          </w:p>
        </w:tc>
        <w:tc>
          <w:tcPr>
            <w:tcW w:w="1380" w:type="dxa"/>
          </w:tcPr>
          <w:p w14:paraId="0B6A1438">
            <w:pPr>
              <w:spacing w:line="360" w:lineRule="auto"/>
              <w:jc w:val="both"/>
              <w:rPr>
                <w:rFonts w:ascii="Arial" w:hAnsi="Arial" w:eastAsia="Calibri" w:cs="Arial"/>
                <w:sz w:val="20"/>
                <w:szCs w:val="20"/>
              </w:rPr>
            </w:pPr>
            <w:r>
              <w:rPr>
                <w:rFonts w:ascii="Arial" w:hAnsi="Arial" w:eastAsia="Calibri" w:cs="Arial"/>
                <w:sz w:val="20"/>
                <w:szCs w:val="20"/>
              </w:rPr>
              <w:t>R</w:t>
            </w:r>
          </w:p>
        </w:tc>
        <w:tc>
          <w:tcPr>
            <w:tcW w:w="1656" w:type="dxa"/>
          </w:tcPr>
          <w:p w14:paraId="7F966F4C">
            <w:pPr>
              <w:spacing w:line="360" w:lineRule="auto"/>
              <w:jc w:val="both"/>
              <w:rPr>
                <w:rFonts w:ascii="Arial" w:hAnsi="Arial" w:eastAsia="Calibri" w:cs="Arial"/>
                <w:sz w:val="20"/>
                <w:szCs w:val="20"/>
              </w:rPr>
            </w:pPr>
            <w:r>
              <w:rPr>
                <w:rFonts w:ascii="Arial" w:hAnsi="Arial" w:eastAsia="Calibri" w:cs="Arial"/>
                <w:sz w:val="20"/>
                <w:szCs w:val="20"/>
              </w:rPr>
              <w:t>R</w:t>
            </w:r>
          </w:p>
        </w:tc>
      </w:tr>
      <w:tr w14:paraId="0F53A9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1FDE3A7B">
            <w:pPr>
              <w:spacing w:line="360" w:lineRule="auto"/>
              <w:jc w:val="both"/>
              <w:rPr>
                <w:rFonts w:ascii="Arial" w:hAnsi="Arial" w:eastAsia="Calibri" w:cs="Arial"/>
                <w:sz w:val="20"/>
                <w:szCs w:val="20"/>
              </w:rPr>
            </w:pPr>
          </w:p>
        </w:tc>
        <w:tc>
          <w:tcPr>
            <w:tcW w:w="1590" w:type="dxa"/>
            <w:vMerge w:val="continue"/>
          </w:tcPr>
          <w:p w14:paraId="2B764B2A">
            <w:pPr>
              <w:spacing w:line="360" w:lineRule="auto"/>
              <w:jc w:val="both"/>
              <w:rPr>
                <w:rFonts w:ascii="Arial" w:hAnsi="Arial" w:eastAsia="Calibri" w:cs="Arial"/>
                <w:sz w:val="20"/>
                <w:szCs w:val="20"/>
              </w:rPr>
            </w:pPr>
          </w:p>
        </w:tc>
        <w:tc>
          <w:tcPr>
            <w:tcW w:w="1918" w:type="dxa"/>
          </w:tcPr>
          <w:p w14:paraId="742E52DC">
            <w:pPr>
              <w:spacing w:line="360" w:lineRule="auto"/>
              <w:jc w:val="both"/>
              <w:rPr>
                <w:rFonts w:ascii="Arial" w:hAnsi="Arial" w:eastAsia="Calibri" w:cs="Arial"/>
                <w:sz w:val="20"/>
                <w:szCs w:val="20"/>
              </w:rPr>
            </w:pPr>
            <w:r>
              <w:rPr>
                <w:rFonts w:ascii="Arial" w:hAnsi="Arial" w:eastAsia="Calibri" w:cs="Arial"/>
                <w:sz w:val="20"/>
                <w:szCs w:val="20"/>
              </w:rPr>
              <w:t>Z</w:t>
            </w:r>
          </w:p>
        </w:tc>
        <w:tc>
          <w:tcPr>
            <w:tcW w:w="1380" w:type="dxa"/>
          </w:tcPr>
          <w:p w14:paraId="302DC280">
            <w:pPr>
              <w:spacing w:line="360" w:lineRule="auto"/>
              <w:jc w:val="both"/>
              <w:rPr>
                <w:rFonts w:ascii="Arial" w:hAnsi="Arial" w:eastAsia="Calibri" w:cs="Arial"/>
                <w:sz w:val="20"/>
                <w:szCs w:val="20"/>
              </w:rPr>
            </w:pPr>
            <w:r>
              <w:rPr>
                <w:rFonts w:ascii="Arial" w:hAnsi="Arial" w:eastAsia="Calibri" w:cs="Arial"/>
                <w:sz w:val="20"/>
                <w:szCs w:val="20"/>
              </w:rPr>
              <w:t>R</w:t>
            </w:r>
          </w:p>
        </w:tc>
        <w:tc>
          <w:tcPr>
            <w:tcW w:w="1656" w:type="dxa"/>
          </w:tcPr>
          <w:p w14:paraId="668B76A6">
            <w:pPr>
              <w:spacing w:line="360" w:lineRule="auto"/>
              <w:jc w:val="both"/>
              <w:rPr>
                <w:rFonts w:ascii="Arial" w:hAnsi="Arial" w:eastAsia="Calibri" w:cs="Arial"/>
                <w:sz w:val="20"/>
                <w:szCs w:val="20"/>
              </w:rPr>
            </w:pPr>
            <w:r>
              <w:rPr>
                <w:rFonts w:ascii="Arial" w:hAnsi="Arial" w:eastAsia="Calibri" w:cs="Arial"/>
                <w:sz w:val="20"/>
                <w:szCs w:val="20"/>
              </w:rPr>
              <w:t>R</w:t>
            </w:r>
          </w:p>
        </w:tc>
      </w:tr>
      <w:tr w14:paraId="2D8D5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1798973E">
            <w:pPr>
              <w:spacing w:line="360" w:lineRule="auto"/>
              <w:jc w:val="both"/>
              <w:rPr>
                <w:rFonts w:ascii="Arial" w:hAnsi="Arial" w:eastAsia="Calibri" w:cs="Arial"/>
                <w:sz w:val="20"/>
                <w:szCs w:val="20"/>
              </w:rPr>
            </w:pPr>
          </w:p>
        </w:tc>
        <w:tc>
          <w:tcPr>
            <w:tcW w:w="1590" w:type="dxa"/>
            <w:vMerge w:val="continue"/>
          </w:tcPr>
          <w:p w14:paraId="53EEDFAB">
            <w:pPr>
              <w:spacing w:line="360" w:lineRule="auto"/>
              <w:jc w:val="both"/>
              <w:rPr>
                <w:rFonts w:ascii="Arial" w:hAnsi="Arial" w:eastAsia="Calibri" w:cs="Arial"/>
                <w:sz w:val="20"/>
                <w:szCs w:val="20"/>
              </w:rPr>
            </w:pPr>
          </w:p>
        </w:tc>
        <w:tc>
          <w:tcPr>
            <w:tcW w:w="1918" w:type="dxa"/>
          </w:tcPr>
          <w:p w14:paraId="0E077B2A">
            <w:pPr>
              <w:spacing w:line="360" w:lineRule="auto"/>
              <w:jc w:val="both"/>
              <w:rPr>
                <w:rFonts w:ascii="Arial" w:hAnsi="Arial" w:eastAsia="Calibri" w:cs="Arial"/>
                <w:sz w:val="20"/>
                <w:szCs w:val="20"/>
              </w:rPr>
            </w:pPr>
            <w:r>
              <w:rPr>
                <w:rFonts w:ascii="Arial" w:hAnsi="Arial" w:eastAsia="Calibri" w:cs="Arial"/>
                <w:sz w:val="20"/>
                <w:szCs w:val="20"/>
              </w:rPr>
              <w:t>AM</w:t>
            </w:r>
          </w:p>
        </w:tc>
        <w:tc>
          <w:tcPr>
            <w:tcW w:w="1380" w:type="dxa"/>
          </w:tcPr>
          <w:p w14:paraId="500CBE24">
            <w:pPr>
              <w:spacing w:line="360" w:lineRule="auto"/>
              <w:jc w:val="both"/>
              <w:rPr>
                <w:rFonts w:ascii="Arial" w:hAnsi="Arial" w:eastAsia="Calibri" w:cs="Arial"/>
                <w:sz w:val="20"/>
                <w:szCs w:val="20"/>
              </w:rPr>
            </w:pPr>
            <w:r>
              <w:rPr>
                <w:rFonts w:ascii="Arial" w:hAnsi="Arial" w:eastAsia="Calibri" w:cs="Arial"/>
                <w:sz w:val="20"/>
                <w:szCs w:val="20"/>
              </w:rPr>
              <w:t>R</w:t>
            </w:r>
          </w:p>
        </w:tc>
        <w:tc>
          <w:tcPr>
            <w:tcW w:w="1656" w:type="dxa"/>
          </w:tcPr>
          <w:p w14:paraId="13E75AA6">
            <w:pPr>
              <w:spacing w:line="360" w:lineRule="auto"/>
              <w:jc w:val="both"/>
              <w:rPr>
                <w:rFonts w:ascii="Arial" w:hAnsi="Arial" w:eastAsia="Calibri" w:cs="Arial"/>
                <w:bCs/>
                <w:sz w:val="20"/>
                <w:szCs w:val="20"/>
              </w:rPr>
            </w:pPr>
            <w:r>
              <w:rPr>
                <w:rFonts w:ascii="Arial" w:hAnsi="Arial" w:eastAsia="Calibri" w:cs="Arial"/>
                <w:bCs/>
                <w:sz w:val="20"/>
                <w:szCs w:val="20"/>
              </w:rPr>
              <w:t>0.2</w:t>
            </w:r>
            <w:r>
              <w:rPr>
                <w:rFonts w:ascii="Arial" w:hAnsi="Arial" w:eastAsia="Calibri" w:cs="Arial"/>
                <w:sz w:val="20"/>
                <w:szCs w:val="20"/>
              </w:rPr>
              <w:t>±0.00</w:t>
            </w:r>
            <w:r>
              <w:rPr>
                <w:rFonts w:ascii="Arial" w:hAnsi="Arial" w:eastAsia="Calibri" w:cs="Arial"/>
                <w:bCs/>
                <w:sz w:val="20"/>
                <w:szCs w:val="20"/>
              </w:rPr>
              <w:t>cm</w:t>
            </w:r>
          </w:p>
        </w:tc>
      </w:tr>
      <w:tr w14:paraId="68B5A7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22641CAE">
            <w:pPr>
              <w:spacing w:line="360" w:lineRule="auto"/>
              <w:jc w:val="both"/>
              <w:rPr>
                <w:rFonts w:ascii="Arial" w:hAnsi="Arial" w:eastAsia="Calibri" w:cs="Arial"/>
                <w:sz w:val="20"/>
                <w:szCs w:val="20"/>
              </w:rPr>
            </w:pPr>
          </w:p>
        </w:tc>
        <w:tc>
          <w:tcPr>
            <w:tcW w:w="1590" w:type="dxa"/>
            <w:vMerge w:val="continue"/>
          </w:tcPr>
          <w:p w14:paraId="75AD06FD">
            <w:pPr>
              <w:spacing w:line="360" w:lineRule="auto"/>
              <w:jc w:val="both"/>
              <w:rPr>
                <w:rFonts w:ascii="Arial" w:hAnsi="Arial" w:eastAsia="Calibri" w:cs="Arial"/>
                <w:sz w:val="20"/>
                <w:szCs w:val="20"/>
              </w:rPr>
            </w:pPr>
          </w:p>
        </w:tc>
        <w:tc>
          <w:tcPr>
            <w:tcW w:w="1918" w:type="dxa"/>
          </w:tcPr>
          <w:p w14:paraId="09F21891">
            <w:pPr>
              <w:spacing w:line="360" w:lineRule="auto"/>
              <w:jc w:val="both"/>
              <w:rPr>
                <w:rFonts w:ascii="Arial" w:hAnsi="Arial" w:eastAsia="Calibri" w:cs="Arial"/>
                <w:sz w:val="20"/>
                <w:szCs w:val="20"/>
              </w:rPr>
            </w:pPr>
            <w:r>
              <w:rPr>
                <w:rFonts w:ascii="Arial" w:hAnsi="Arial" w:eastAsia="Calibri" w:cs="Arial"/>
                <w:sz w:val="20"/>
                <w:szCs w:val="20"/>
              </w:rPr>
              <w:t>R</w:t>
            </w:r>
          </w:p>
        </w:tc>
        <w:tc>
          <w:tcPr>
            <w:tcW w:w="1380" w:type="dxa"/>
          </w:tcPr>
          <w:p w14:paraId="27A52182">
            <w:pPr>
              <w:spacing w:line="360" w:lineRule="auto"/>
              <w:jc w:val="both"/>
              <w:rPr>
                <w:rFonts w:ascii="Arial" w:hAnsi="Arial" w:eastAsia="Calibri" w:cs="Arial"/>
                <w:sz w:val="20"/>
                <w:szCs w:val="20"/>
              </w:rPr>
            </w:pPr>
            <w:r>
              <w:rPr>
                <w:rFonts w:ascii="Arial" w:hAnsi="Arial" w:eastAsia="Calibri" w:cs="Arial"/>
                <w:sz w:val="20"/>
                <w:szCs w:val="20"/>
              </w:rPr>
              <w:t>0.5±0.00cm</w:t>
            </w:r>
          </w:p>
        </w:tc>
        <w:tc>
          <w:tcPr>
            <w:tcW w:w="1656" w:type="dxa"/>
          </w:tcPr>
          <w:p w14:paraId="05033FDD">
            <w:pPr>
              <w:spacing w:line="360" w:lineRule="auto"/>
              <w:jc w:val="both"/>
              <w:rPr>
                <w:rFonts w:ascii="Arial" w:hAnsi="Arial" w:eastAsia="Calibri" w:cs="Arial"/>
                <w:bCs/>
                <w:sz w:val="20"/>
                <w:szCs w:val="20"/>
              </w:rPr>
            </w:pPr>
            <w:r>
              <w:rPr>
                <w:rFonts w:ascii="Arial" w:hAnsi="Arial" w:eastAsia="Calibri" w:cs="Arial"/>
                <w:bCs/>
                <w:sz w:val="20"/>
                <w:szCs w:val="20"/>
              </w:rPr>
              <w:t>0.6</w:t>
            </w:r>
            <w:r>
              <w:rPr>
                <w:rFonts w:ascii="Arial" w:hAnsi="Arial" w:eastAsia="Calibri" w:cs="Arial"/>
                <w:sz w:val="20"/>
                <w:szCs w:val="20"/>
              </w:rPr>
              <w:t>±0.01</w:t>
            </w:r>
            <w:r>
              <w:rPr>
                <w:rFonts w:ascii="Arial" w:hAnsi="Arial" w:eastAsia="Calibri" w:cs="Arial"/>
                <w:bCs/>
                <w:sz w:val="20"/>
                <w:szCs w:val="20"/>
              </w:rPr>
              <w:t>cm</w:t>
            </w:r>
          </w:p>
        </w:tc>
      </w:tr>
      <w:tr w14:paraId="4B2803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1BDF05CB">
            <w:pPr>
              <w:spacing w:line="360" w:lineRule="auto"/>
              <w:jc w:val="both"/>
              <w:rPr>
                <w:rFonts w:ascii="Arial" w:hAnsi="Arial" w:eastAsia="Calibri" w:cs="Arial"/>
                <w:sz w:val="20"/>
                <w:szCs w:val="20"/>
              </w:rPr>
            </w:pPr>
          </w:p>
        </w:tc>
        <w:tc>
          <w:tcPr>
            <w:tcW w:w="1590" w:type="dxa"/>
            <w:vMerge w:val="continue"/>
          </w:tcPr>
          <w:p w14:paraId="55EDFCA9">
            <w:pPr>
              <w:spacing w:line="360" w:lineRule="auto"/>
              <w:jc w:val="both"/>
              <w:rPr>
                <w:rFonts w:ascii="Arial" w:hAnsi="Arial" w:eastAsia="Calibri" w:cs="Arial"/>
                <w:sz w:val="20"/>
                <w:szCs w:val="20"/>
              </w:rPr>
            </w:pPr>
          </w:p>
        </w:tc>
        <w:tc>
          <w:tcPr>
            <w:tcW w:w="1918" w:type="dxa"/>
          </w:tcPr>
          <w:p w14:paraId="2602B6EA">
            <w:pPr>
              <w:spacing w:line="360" w:lineRule="auto"/>
              <w:jc w:val="both"/>
              <w:rPr>
                <w:rFonts w:ascii="Arial" w:hAnsi="Arial" w:eastAsia="Calibri" w:cs="Arial"/>
                <w:sz w:val="20"/>
                <w:szCs w:val="20"/>
              </w:rPr>
            </w:pPr>
            <w:r>
              <w:rPr>
                <w:rFonts w:ascii="Arial" w:hAnsi="Arial" w:eastAsia="Calibri" w:cs="Arial"/>
                <w:sz w:val="20"/>
                <w:szCs w:val="20"/>
              </w:rPr>
              <w:t>CPX</w:t>
            </w:r>
          </w:p>
        </w:tc>
        <w:tc>
          <w:tcPr>
            <w:tcW w:w="1380" w:type="dxa"/>
          </w:tcPr>
          <w:p w14:paraId="512FE87A">
            <w:pPr>
              <w:spacing w:line="360" w:lineRule="auto"/>
              <w:jc w:val="both"/>
              <w:rPr>
                <w:rFonts w:ascii="Arial" w:hAnsi="Arial" w:eastAsia="Calibri" w:cs="Arial"/>
                <w:sz w:val="20"/>
                <w:szCs w:val="20"/>
              </w:rPr>
            </w:pPr>
            <w:r>
              <w:rPr>
                <w:rFonts w:ascii="Arial" w:hAnsi="Arial" w:eastAsia="Calibri" w:cs="Arial"/>
                <w:sz w:val="20"/>
                <w:szCs w:val="20"/>
              </w:rPr>
              <w:t>0.6±0.01cm</w:t>
            </w:r>
          </w:p>
        </w:tc>
        <w:tc>
          <w:tcPr>
            <w:tcW w:w="1656" w:type="dxa"/>
          </w:tcPr>
          <w:p w14:paraId="35F67660">
            <w:pPr>
              <w:spacing w:line="360" w:lineRule="auto"/>
              <w:jc w:val="both"/>
              <w:rPr>
                <w:rFonts w:ascii="Arial" w:hAnsi="Arial" w:eastAsia="Calibri" w:cs="Arial"/>
                <w:bCs/>
                <w:sz w:val="20"/>
                <w:szCs w:val="20"/>
              </w:rPr>
            </w:pPr>
            <w:r>
              <w:rPr>
                <w:rFonts w:ascii="Arial" w:hAnsi="Arial" w:eastAsia="Calibri" w:cs="Arial"/>
                <w:bCs/>
                <w:sz w:val="20"/>
                <w:szCs w:val="20"/>
              </w:rPr>
              <w:t>0.7</w:t>
            </w:r>
            <w:r>
              <w:rPr>
                <w:rFonts w:ascii="Arial" w:hAnsi="Arial" w:eastAsia="Calibri" w:cs="Arial"/>
                <w:sz w:val="20"/>
                <w:szCs w:val="20"/>
              </w:rPr>
              <w:t>±0.00</w:t>
            </w:r>
            <w:r>
              <w:rPr>
                <w:rFonts w:ascii="Arial" w:hAnsi="Arial" w:eastAsia="Calibri" w:cs="Arial"/>
                <w:bCs/>
                <w:sz w:val="20"/>
                <w:szCs w:val="20"/>
              </w:rPr>
              <w:t>cm</w:t>
            </w:r>
          </w:p>
        </w:tc>
      </w:tr>
      <w:tr w14:paraId="1EF178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591A983E">
            <w:pPr>
              <w:spacing w:line="360" w:lineRule="auto"/>
              <w:jc w:val="both"/>
              <w:rPr>
                <w:rFonts w:ascii="Arial" w:hAnsi="Arial" w:eastAsia="Calibri" w:cs="Arial"/>
                <w:sz w:val="20"/>
                <w:szCs w:val="20"/>
              </w:rPr>
            </w:pPr>
          </w:p>
        </w:tc>
        <w:tc>
          <w:tcPr>
            <w:tcW w:w="1590" w:type="dxa"/>
            <w:vMerge w:val="continue"/>
          </w:tcPr>
          <w:p w14:paraId="6C4F6773">
            <w:pPr>
              <w:spacing w:line="360" w:lineRule="auto"/>
              <w:jc w:val="both"/>
              <w:rPr>
                <w:rFonts w:ascii="Arial" w:hAnsi="Arial" w:eastAsia="Calibri" w:cs="Arial"/>
                <w:sz w:val="20"/>
                <w:szCs w:val="20"/>
              </w:rPr>
            </w:pPr>
          </w:p>
        </w:tc>
        <w:tc>
          <w:tcPr>
            <w:tcW w:w="1918" w:type="dxa"/>
          </w:tcPr>
          <w:p w14:paraId="3D409A51">
            <w:pPr>
              <w:spacing w:line="360" w:lineRule="auto"/>
              <w:jc w:val="both"/>
              <w:rPr>
                <w:rFonts w:ascii="Arial" w:hAnsi="Arial" w:eastAsia="Calibri" w:cs="Arial"/>
                <w:sz w:val="20"/>
                <w:szCs w:val="20"/>
              </w:rPr>
            </w:pPr>
            <w:r>
              <w:rPr>
                <w:rFonts w:ascii="Arial" w:hAnsi="Arial" w:eastAsia="Calibri" w:cs="Arial"/>
                <w:sz w:val="20"/>
                <w:szCs w:val="20"/>
              </w:rPr>
              <w:t>S</w:t>
            </w:r>
          </w:p>
        </w:tc>
        <w:tc>
          <w:tcPr>
            <w:tcW w:w="1380" w:type="dxa"/>
          </w:tcPr>
          <w:p w14:paraId="726CF2DC">
            <w:pPr>
              <w:spacing w:line="360" w:lineRule="auto"/>
              <w:jc w:val="both"/>
              <w:rPr>
                <w:rFonts w:ascii="Arial" w:hAnsi="Arial" w:eastAsia="Calibri" w:cs="Arial"/>
                <w:sz w:val="20"/>
                <w:szCs w:val="20"/>
              </w:rPr>
            </w:pPr>
            <w:r>
              <w:rPr>
                <w:rFonts w:ascii="Arial" w:hAnsi="Arial" w:eastAsia="Calibri" w:cs="Arial"/>
                <w:sz w:val="20"/>
                <w:szCs w:val="20"/>
              </w:rPr>
              <w:t>0.2±0.01cm</w:t>
            </w:r>
          </w:p>
        </w:tc>
        <w:tc>
          <w:tcPr>
            <w:tcW w:w="1656" w:type="dxa"/>
          </w:tcPr>
          <w:p w14:paraId="58ADCF2B">
            <w:pPr>
              <w:spacing w:line="360" w:lineRule="auto"/>
              <w:jc w:val="both"/>
              <w:rPr>
                <w:rFonts w:ascii="Arial" w:hAnsi="Arial" w:eastAsia="Calibri" w:cs="Arial"/>
                <w:bCs/>
                <w:sz w:val="20"/>
                <w:szCs w:val="20"/>
              </w:rPr>
            </w:pPr>
            <w:r>
              <w:rPr>
                <w:rFonts w:ascii="Arial" w:hAnsi="Arial" w:eastAsia="Calibri" w:cs="Arial"/>
                <w:bCs/>
                <w:sz w:val="20"/>
                <w:szCs w:val="20"/>
              </w:rPr>
              <w:t>R</w:t>
            </w:r>
          </w:p>
        </w:tc>
      </w:tr>
      <w:tr w14:paraId="40A734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309BD167">
            <w:pPr>
              <w:spacing w:line="360" w:lineRule="auto"/>
              <w:jc w:val="both"/>
              <w:rPr>
                <w:rFonts w:ascii="Arial" w:hAnsi="Arial" w:eastAsia="Calibri" w:cs="Arial"/>
                <w:sz w:val="20"/>
                <w:szCs w:val="20"/>
              </w:rPr>
            </w:pPr>
          </w:p>
        </w:tc>
        <w:tc>
          <w:tcPr>
            <w:tcW w:w="1590" w:type="dxa"/>
            <w:vMerge w:val="continue"/>
          </w:tcPr>
          <w:p w14:paraId="64BD36B4">
            <w:pPr>
              <w:spacing w:line="360" w:lineRule="auto"/>
              <w:jc w:val="both"/>
              <w:rPr>
                <w:rFonts w:ascii="Arial" w:hAnsi="Arial" w:eastAsia="Calibri" w:cs="Arial"/>
                <w:sz w:val="20"/>
                <w:szCs w:val="20"/>
              </w:rPr>
            </w:pPr>
          </w:p>
        </w:tc>
        <w:tc>
          <w:tcPr>
            <w:tcW w:w="1918" w:type="dxa"/>
          </w:tcPr>
          <w:p w14:paraId="49E892DF">
            <w:pPr>
              <w:spacing w:line="360" w:lineRule="auto"/>
              <w:jc w:val="both"/>
              <w:rPr>
                <w:rFonts w:ascii="Arial" w:hAnsi="Arial" w:eastAsia="Calibri" w:cs="Arial"/>
                <w:sz w:val="20"/>
                <w:szCs w:val="20"/>
              </w:rPr>
            </w:pPr>
            <w:r>
              <w:rPr>
                <w:rFonts w:ascii="Arial" w:hAnsi="Arial" w:eastAsia="Calibri" w:cs="Arial"/>
                <w:sz w:val="20"/>
                <w:szCs w:val="20"/>
              </w:rPr>
              <w:t>SXT</w:t>
            </w:r>
          </w:p>
        </w:tc>
        <w:tc>
          <w:tcPr>
            <w:tcW w:w="1380" w:type="dxa"/>
          </w:tcPr>
          <w:p w14:paraId="7A575C09">
            <w:pPr>
              <w:spacing w:line="360" w:lineRule="auto"/>
              <w:jc w:val="both"/>
              <w:rPr>
                <w:rFonts w:ascii="Arial" w:hAnsi="Arial" w:eastAsia="Calibri" w:cs="Arial"/>
                <w:sz w:val="20"/>
                <w:szCs w:val="20"/>
              </w:rPr>
            </w:pPr>
            <w:r>
              <w:rPr>
                <w:rFonts w:ascii="Arial" w:hAnsi="Arial" w:eastAsia="Calibri" w:cs="Arial"/>
                <w:sz w:val="20"/>
                <w:szCs w:val="20"/>
              </w:rPr>
              <w:t>R</w:t>
            </w:r>
          </w:p>
        </w:tc>
        <w:tc>
          <w:tcPr>
            <w:tcW w:w="1656" w:type="dxa"/>
          </w:tcPr>
          <w:p w14:paraId="0472BC1C">
            <w:pPr>
              <w:spacing w:line="360" w:lineRule="auto"/>
              <w:jc w:val="both"/>
              <w:rPr>
                <w:rFonts w:ascii="Arial" w:hAnsi="Arial" w:eastAsia="Calibri" w:cs="Arial"/>
                <w:bCs/>
                <w:sz w:val="20"/>
                <w:szCs w:val="20"/>
              </w:rPr>
            </w:pPr>
            <w:r>
              <w:rPr>
                <w:rFonts w:ascii="Arial" w:hAnsi="Arial" w:eastAsia="Calibri" w:cs="Arial"/>
                <w:bCs/>
                <w:sz w:val="20"/>
                <w:szCs w:val="20"/>
              </w:rPr>
              <w:t>R</w:t>
            </w:r>
          </w:p>
        </w:tc>
      </w:tr>
      <w:tr w14:paraId="0F4FA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740" w:type="dxa"/>
            <w:vMerge w:val="continue"/>
          </w:tcPr>
          <w:p w14:paraId="69A6F949">
            <w:pPr>
              <w:spacing w:line="360" w:lineRule="auto"/>
              <w:jc w:val="both"/>
              <w:rPr>
                <w:rFonts w:ascii="Arial" w:hAnsi="Arial" w:eastAsia="Calibri" w:cs="Arial"/>
                <w:sz w:val="20"/>
                <w:szCs w:val="20"/>
              </w:rPr>
            </w:pPr>
          </w:p>
        </w:tc>
        <w:tc>
          <w:tcPr>
            <w:tcW w:w="1590" w:type="dxa"/>
            <w:vMerge w:val="continue"/>
          </w:tcPr>
          <w:p w14:paraId="45B64966">
            <w:pPr>
              <w:spacing w:line="360" w:lineRule="auto"/>
              <w:jc w:val="both"/>
              <w:rPr>
                <w:rFonts w:ascii="Arial" w:hAnsi="Arial" w:eastAsia="Calibri" w:cs="Arial"/>
                <w:sz w:val="20"/>
                <w:szCs w:val="20"/>
              </w:rPr>
            </w:pPr>
          </w:p>
        </w:tc>
        <w:tc>
          <w:tcPr>
            <w:tcW w:w="1918" w:type="dxa"/>
          </w:tcPr>
          <w:p w14:paraId="7D2AACC3">
            <w:pPr>
              <w:spacing w:line="360" w:lineRule="auto"/>
              <w:jc w:val="both"/>
              <w:rPr>
                <w:rFonts w:ascii="Arial" w:hAnsi="Arial" w:eastAsia="Calibri" w:cs="Arial"/>
                <w:sz w:val="20"/>
                <w:szCs w:val="20"/>
              </w:rPr>
            </w:pPr>
            <w:r>
              <w:rPr>
                <w:rFonts w:ascii="Arial" w:hAnsi="Arial" w:eastAsia="Calibri" w:cs="Arial"/>
                <w:sz w:val="20"/>
                <w:szCs w:val="20"/>
              </w:rPr>
              <w:t>E</w:t>
            </w:r>
          </w:p>
        </w:tc>
        <w:tc>
          <w:tcPr>
            <w:tcW w:w="1380" w:type="dxa"/>
          </w:tcPr>
          <w:p w14:paraId="6932A574">
            <w:pPr>
              <w:spacing w:line="360" w:lineRule="auto"/>
              <w:jc w:val="both"/>
              <w:rPr>
                <w:rFonts w:ascii="Arial" w:hAnsi="Arial" w:eastAsia="Calibri" w:cs="Arial"/>
                <w:sz w:val="20"/>
                <w:szCs w:val="20"/>
              </w:rPr>
            </w:pPr>
            <w:r>
              <w:rPr>
                <w:rFonts w:ascii="Arial" w:hAnsi="Arial" w:eastAsia="Calibri" w:cs="Arial"/>
                <w:sz w:val="20"/>
                <w:szCs w:val="20"/>
              </w:rPr>
              <w:t>R</w:t>
            </w:r>
          </w:p>
        </w:tc>
        <w:tc>
          <w:tcPr>
            <w:tcW w:w="1656" w:type="dxa"/>
          </w:tcPr>
          <w:p w14:paraId="570253A4">
            <w:pPr>
              <w:spacing w:line="360" w:lineRule="auto"/>
              <w:jc w:val="both"/>
              <w:rPr>
                <w:rFonts w:ascii="Arial" w:hAnsi="Arial" w:eastAsia="Calibri" w:cs="Arial"/>
                <w:bCs/>
                <w:sz w:val="20"/>
                <w:szCs w:val="20"/>
              </w:rPr>
            </w:pPr>
            <w:r>
              <w:rPr>
                <w:rFonts w:ascii="Arial" w:hAnsi="Arial" w:eastAsia="Calibri" w:cs="Arial"/>
                <w:bCs/>
                <w:sz w:val="20"/>
                <w:szCs w:val="20"/>
              </w:rPr>
              <w:t>0.8</w:t>
            </w:r>
            <w:r>
              <w:rPr>
                <w:rFonts w:ascii="Arial" w:hAnsi="Arial" w:eastAsia="Calibri" w:cs="Arial"/>
                <w:sz w:val="20"/>
                <w:szCs w:val="20"/>
              </w:rPr>
              <w:t>±0.03</w:t>
            </w:r>
            <w:r>
              <w:rPr>
                <w:rFonts w:ascii="Arial" w:hAnsi="Arial" w:eastAsia="Calibri" w:cs="Arial"/>
                <w:bCs/>
                <w:sz w:val="20"/>
                <w:szCs w:val="20"/>
              </w:rPr>
              <w:t>cm</w:t>
            </w:r>
          </w:p>
        </w:tc>
      </w:tr>
    </w:tbl>
    <w:p w14:paraId="7DF19C87">
      <w:pPr>
        <w:spacing w:line="360" w:lineRule="auto"/>
        <w:jc w:val="both"/>
        <w:rPr>
          <w:rFonts w:ascii="Arial" w:hAnsi="Arial" w:cs="Arial"/>
          <w:bCs/>
          <w:szCs w:val="24"/>
        </w:rPr>
      </w:pPr>
      <w:r>
        <w:rPr>
          <w:rFonts w:ascii="Arial" w:hAnsi="Arial" w:cs="Arial"/>
          <w:sz w:val="16"/>
          <w:szCs w:val="16"/>
        </w:rPr>
        <w:t xml:space="preserve">n = mean ± SD values of independent experiment performed in duplicate. Key: R= Resistant, Antibiotics group (A) specific for Gram positive bacteria: </w:t>
      </w:r>
      <w:r>
        <w:rPr>
          <w:rFonts w:ascii="Arial" w:hAnsi="Arial" w:cs="Arial"/>
          <w:bCs/>
          <w:sz w:val="16"/>
          <w:szCs w:val="16"/>
        </w:rPr>
        <w:t xml:space="preserve">PEF= Pefloxacin, CN= Gentamycin, APX= Ampiclox, Z= Zinnacef, AM= Amoxacillin, CPX= Ciprofloxacin, R= Rocephin, S= Streptomycin, </w:t>
      </w:r>
      <w:r>
        <w:rPr>
          <w:rFonts w:ascii="Arial" w:hAnsi="Arial" w:cs="Arial"/>
          <w:sz w:val="16"/>
          <w:szCs w:val="16"/>
        </w:rPr>
        <w:t xml:space="preserve">SXT= Septrin, </w:t>
      </w:r>
      <w:r>
        <w:rPr>
          <w:rFonts w:ascii="Arial" w:hAnsi="Arial" w:cs="Arial"/>
          <w:bCs/>
          <w:sz w:val="16"/>
          <w:szCs w:val="16"/>
        </w:rPr>
        <w:t>E= Erythromycin</w:t>
      </w:r>
    </w:p>
    <w:p w14:paraId="390EDD21">
      <w:pPr>
        <w:jc w:val="both"/>
        <w:rPr>
          <w:rFonts w:ascii="Arial" w:hAnsi="Arial" w:eastAsia="SimSun" w:cs="Arial"/>
        </w:rPr>
      </w:pPr>
    </w:p>
    <w:p w14:paraId="0A461F05">
      <w:pPr>
        <w:jc w:val="both"/>
        <w:rPr>
          <w:rFonts w:ascii="Arial" w:hAnsi="Arial" w:cs="Arial"/>
        </w:rPr>
      </w:pPr>
      <w:r>
        <w:rPr>
          <w:rFonts w:ascii="Arial" w:hAnsi="Arial" w:cs="Arial"/>
        </w:rPr>
        <w:t xml:space="preserve">Some of the key findings firstly was the enhancement of antibiotic activity. Bromelain improved the efficacy of antibiotics that were ineffective on their own, such as SXT, CH, AM, R, CN, S, and E against </w:t>
      </w:r>
      <w:r>
        <w:rPr>
          <w:rFonts w:ascii="Arial" w:hAnsi="Arial" w:cs="Arial"/>
          <w:i/>
        </w:rPr>
        <w:t>S. aureus</w:t>
      </w:r>
      <w:r>
        <w:rPr>
          <w:rFonts w:ascii="Arial" w:hAnsi="Arial" w:cs="Arial"/>
        </w:rPr>
        <w:t xml:space="preserve">, and AM, E, and CN against </w:t>
      </w:r>
      <w:r>
        <w:rPr>
          <w:rFonts w:ascii="Arial" w:hAnsi="Arial" w:cs="Arial"/>
          <w:i/>
        </w:rPr>
        <w:t>S. epidermidis</w:t>
      </w:r>
      <w:r>
        <w:rPr>
          <w:rFonts w:ascii="Arial" w:hAnsi="Arial" w:cs="Arial"/>
        </w:rPr>
        <w:t xml:space="preserve">. Secondly, for antibiotics like SP, APX, Z, and SXT against </w:t>
      </w:r>
      <w:r>
        <w:rPr>
          <w:rFonts w:ascii="Arial" w:hAnsi="Arial" w:cs="Arial"/>
          <w:i/>
        </w:rPr>
        <w:t>S. aureus</w:t>
      </w:r>
      <w:r>
        <w:rPr>
          <w:rFonts w:ascii="Arial" w:hAnsi="Arial" w:cs="Arial"/>
        </w:rPr>
        <w:t xml:space="preserve">, and CN, APX, Z, SXT, and AU against </w:t>
      </w:r>
      <w:r>
        <w:rPr>
          <w:rFonts w:ascii="Arial" w:hAnsi="Arial" w:cs="Arial"/>
          <w:i/>
        </w:rPr>
        <w:t>S. epidermidis</w:t>
      </w:r>
      <w:r>
        <w:rPr>
          <w:rFonts w:ascii="Arial" w:hAnsi="Arial" w:cs="Arial"/>
        </w:rPr>
        <w:t xml:space="preserve">, bromelain acted synergistically, suggesting enhanced antibiotic efficacy without directly enhancing individual antibiotic effectiveness. Thirdly, several antibiotics, including CPX, AU, CN, PEF, and R for </w:t>
      </w:r>
      <w:r>
        <w:rPr>
          <w:rFonts w:ascii="Arial" w:hAnsi="Arial" w:cs="Arial"/>
          <w:i/>
        </w:rPr>
        <w:t>S. aureus</w:t>
      </w:r>
      <w:r>
        <w:rPr>
          <w:rFonts w:ascii="Arial" w:hAnsi="Arial" w:cs="Arial"/>
        </w:rPr>
        <w:t xml:space="preserve">, and R, CPX, CH, SP, PEF, and S for </w:t>
      </w:r>
      <w:r>
        <w:rPr>
          <w:rFonts w:ascii="Arial" w:hAnsi="Arial" w:cs="Arial"/>
          <w:i/>
        </w:rPr>
        <w:t>S. epidermidis</w:t>
      </w:r>
      <w:r>
        <w:rPr>
          <w:rFonts w:ascii="Arial" w:hAnsi="Arial" w:cs="Arial"/>
        </w:rPr>
        <w:t xml:space="preserve">, showed increased inhibition when combined with bromelain, potentially due to enhanced antibiotic penetration (Mamo and Assefa, 2019; Chakraborty et al., 2021). Finally, PEF showed no improvement in activity against either organism with bromelain, while OFX lost its activity against </w:t>
      </w:r>
      <w:r>
        <w:rPr>
          <w:rFonts w:ascii="Arial" w:hAnsi="Arial" w:cs="Arial"/>
          <w:i/>
        </w:rPr>
        <w:t>S. aureus</w:t>
      </w:r>
      <w:r>
        <w:rPr>
          <w:rFonts w:ascii="Arial" w:hAnsi="Arial" w:cs="Arial"/>
        </w:rPr>
        <w:t xml:space="preserve">, and S lost its effectiveness against </w:t>
      </w:r>
      <w:r>
        <w:rPr>
          <w:rFonts w:ascii="Arial" w:hAnsi="Arial" w:cs="Arial"/>
          <w:i/>
        </w:rPr>
        <w:t>S. epidermidis</w:t>
      </w:r>
      <w:r>
        <w:rPr>
          <w:rFonts w:ascii="Arial" w:hAnsi="Arial" w:cs="Arial"/>
        </w:rPr>
        <w:t>, indicating that bromelain's interaction with some antibiotics may be inhibitory.</w:t>
      </w:r>
    </w:p>
    <w:p w14:paraId="3F20C919">
      <w:pPr>
        <w:jc w:val="both"/>
        <w:rPr>
          <w:rFonts w:ascii="Arial" w:hAnsi="Arial" w:cs="Arial"/>
        </w:rPr>
      </w:pPr>
    </w:p>
    <w:p w14:paraId="67CFAC74">
      <w:pPr>
        <w:jc w:val="both"/>
        <w:rPr>
          <w:rFonts w:ascii="Arial" w:hAnsi="Arial" w:cs="Arial"/>
        </w:rPr>
      </w:pPr>
      <w:r>
        <w:rPr>
          <w:rFonts w:ascii="Arial" w:hAnsi="Arial" w:cs="Arial"/>
        </w:rPr>
        <w:t xml:space="preserve">These results support the notion that bromelain enhances antibiotic activity by increasing bacterial membrane permeability, facilitating greater antibiotic penetration (Bradbrook et al., 1978). The differential response between </w:t>
      </w:r>
      <w:r>
        <w:rPr>
          <w:rFonts w:ascii="Arial" w:hAnsi="Arial" w:cs="Arial"/>
          <w:i/>
        </w:rPr>
        <w:t>S. aureus</w:t>
      </w:r>
      <w:r>
        <w:rPr>
          <w:rFonts w:ascii="Arial" w:hAnsi="Arial" w:cs="Arial"/>
        </w:rPr>
        <w:t xml:space="preserve"> and </w:t>
      </w:r>
      <w:r>
        <w:rPr>
          <w:rFonts w:ascii="Arial" w:hAnsi="Arial" w:cs="Arial"/>
          <w:i/>
        </w:rPr>
        <w:t>S. epidermidis</w:t>
      </w:r>
      <w:r>
        <w:rPr>
          <w:rFonts w:ascii="Arial" w:hAnsi="Arial" w:cs="Arial"/>
        </w:rPr>
        <w:t xml:space="preserve"> likely reflects differences in cell wall composition and protective mechanisms such as biofilm formation (Koo et al., 2017). </w:t>
      </w:r>
      <w:r>
        <w:rPr>
          <w:rFonts w:ascii="Arial" w:hAnsi="Arial" w:cs="Arial"/>
          <w:i/>
        </w:rPr>
        <w:t>S. aureus</w:t>
      </w:r>
      <w:r>
        <w:rPr>
          <w:rFonts w:ascii="Arial" w:hAnsi="Arial" w:cs="Arial"/>
        </w:rPr>
        <w:t>'s greater susceptibility may be due to its cell wall structure, which allows better interaction with bromelain, enhancing antibiotic absorption.</w:t>
      </w:r>
    </w:p>
    <w:p w14:paraId="2517DF52">
      <w:pPr>
        <w:rPr>
          <w:rFonts w:ascii="Arial" w:hAnsi="Arial" w:cs="Arial"/>
        </w:rPr>
      </w:pPr>
    </w:p>
    <w:p w14:paraId="1FDF05F6">
      <w:pPr>
        <w:jc w:val="both"/>
        <w:rPr>
          <w:rFonts w:ascii="Arial" w:hAnsi="Arial" w:cs="Arial"/>
        </w:rPr>
      </w:pPr>
      <w:r>
        <w:rPr>
          <w:rFonts w:ascii="Arial" w:hAnsi="Arial" w:cs="Arial"/>
        </w:rPr>
        <w:t xml:space="preserve">This study also highlights bromelain's potential as an adjunctive therapy to improve the effectiveness of antibiotics, particularly for Gram-positive bacteria. The synergy observed between bromelain and antibiotics like AM, E, and CN in </w:t>
      </w:r>
      <w:r>
        <w:rPr>
          <w:rFonts w:ascii="Arial" w:hAnsi="Arial" w:cs="Arial"/>
          <w:i/>
        </w:rPr>
        <w:t>S. aureus</w:t>
      </w:r>
      <w:r>
        <w:rPr>
          <w:rFonts w:ascii="Arial" w:hAnsi="Arial" w:cs="Arial"/>
        </w:rPr>
        <w:t xml:space="preserve">, and R, CPX, and SP in </w:t>
      </w:r>
      <w:r>
        <w:rPr>
          <w:rFonts w:ascii="Arial" w:hAnsi="Arial" w:cs="Arial"/>
          <w:i/>
        </w:rPr>
        <w:t>S. epidermidis</w:t>
      </w:r>
      <w:r>
        <w:rPr>
          <w:rFonts w:ascii="Arial" w:hAnsi="Arial" w:cs="Arial"/>
        </w:rPr>
        <w:t xml:space="preserve"> suggests that bromelain may be beneficial for combating antibiotic-resistant bacterial infections. However, the variability in bromelain's effects across antibiotics and bacterial species calls for further investigation into the mechanisms behind these interactions and the clinical implications of combining bromelain with antibiotics (Mohamad</w:t>
      </w:r>
      <w:r>
        <w:rPr>
          <w:rFonts w:hint="default" w:ascii="Arial" w:hAnsi="Arial" w:cs="Arial"/>
        </w:rPr>
        <w:t xml:space="preserve"> </w:t>
      </w:r>
      <w:r>
        <w:rPr>
          <w:rFonts w:hint="default" w:ascii="Arial" w:hAnsi="Arial" w:cs="Arial"/>
          <w:szCs w:val="24"/>
          <w:shd w:val="clear" w:color="auto" w:fill="FFFFFF"/>
        </w:rPr>
        <w:t>and Abdulrahman</w:t>
      </w:r>
      <w:r>
        <w:rPr>
          <w:rFonts w:hint="default" w:ascii="Arial" w:hAnsi="Arial" w:cs="Arial"/>
        </w:rPr>
        <w:t>, 2023</w:t>
      </w:r>
      <w:r>
        <w:rPr>
          <w:rFonts w:ascii="Arial" w:hAnsi="Arial" w:cs="Arial"/>
        </w:rPr>
        <w:t>).</w:t>
      </w:r>
    </w:p>
    <w:p w14:paraId="49F4788C">
      <w:pPr>
        <w:jc w:val="both"/>
        <w:rPr>
          <w:rFonts w:ascii="Arial" w:hAnsi="Arial" w:cs="Arial"/>
        </w:rPr>
      </w:pPr>
    </w:p>
    <w:p w14:paraId="42C165F4">
      <w:pPr>
        <w:jc w:val="both"/>
        <w:rPr>
          <w:rFonts w:ascii="Arial" w:hAnsi="Arial" w:eastAsia="SimSun" w:cs="Arial"/>
        </w:rPr>
      </w:pPr>
      <w:r>
        <w:rPr>
          <w:rFonts w:ascii="Arial" w:hAnsi="Arial" w:eastAsia="SimSun" w:cs="Arial"/>
          <w:b/>
          <w:bCs/>
          <w:sz w:val="22"/>
          <w:szCs w:val="22"/>
        </w:rPr>
        <w:t>4. CONCLUSION</w:t>
      </w:r>
    </w:p>
    <w:p w14:paraId="10712C57">
      <w:pPr>
        <w:jc w:val="both"/>
        <w:rPr>
          <w:rFonts w:ascii="Arial" w:hAnsi="Arial" w:eastAsia="SimSun" w:cs="Arial"/>
        </w:rPr>
      </w:pPr>
    </w:p>
    <w:p w14:paraId="60BED241">
      <w:pPr>
        <w:jc w:val="both"/>
        <w:rPr>
          <w:rFonts w:ascii="Arial" w:hAnsi="Arial" w:cs="Arial"/>
        </w:rPr>
      </w:pPr>
      <w:r>
        <w:rPr>
          <w:rFonts w:ascii="Arial" w:hAnsi="Arial" w:cs="Arial"/>
        </w:rPr>
        <w:t xml:space="preserve">This study demonstrates that bromelain extracted from pineapple exhibits optimal enzymatic activity at 40°C and pH 7. Furthermore, bromelain not only possesses antibacterial activity but also enhances the effectiveness of various antibiotics, particularly in </w:t>
      </w:r>
      <w:r>
        <w:rPr>
          <w:rFonts w:ascii="Arial" w:hAnsi="Arial" w:cs="Arial"/>
          <w:i/>
          <w:iCs/>
        </w:rPr>
        <w:t>S. aureus</w:t>
      </w:r>
      <w:r>
        <w:rPr>
          <w:rFonts w:ascii="Arial" w:hAnsi="Arial" w:cs="Arial"/>
        </w:rPr>
        <w:t xml:space="preserve"> and </w:t>
      </w:r>
      <w:r>
        <w:rPr>
          <w:rFonts w:ascii="Arial" w:hAnsi="Arial" w:cs="Arial"/>
          <w:i/>
          <w:iCs/>
        </w:rPr>
        <w:t>S. epidermidis</w:t>
      </w:r>
      <w:r>
        <w:rPr>
          <w:rFonts w:ascii="Arial" w:hAnsi="Arial" w:cs="Arial"/>
        </w:rPr>
        <w:t>. The synergistic effects observed suggest that bromelain could play a valuable role in improving antibiotic absorption and efficacy. Given these findings, further investigations into the dose-dependent effects of bromelain in combination with antibiotics, especially against resistant strains, are warranted. Additionally, clinical trials exploring the potential of bromelain as an adjunct therapy alongside antibiotics would be an important next step in evaluating its therapeutic potential.</w:t>
      </w:r>
    </w:p>
    <w:p w14:paraId="1C2259E5">
      <w:pPr>
        <w:jc w:val="both"/>
        <w:rPr>
          <w:rFonts w:ascii="Arial" w:hAnsi="Arial" w:cs="Arial"/>
        </w:rPr>
      </w:pPr>
    </w:p>
    <w:p w14:paraId="448FBFCC">
      <w:pPr>
        <w:jc w:val="both"/>
        <w:rPr>
          <w:rFonts w:ascii="Arial" w:hAnsi="Arial" w:cs="Arial"/>
          <w:highlight w:val="cyan"/>
        </w:rPr>
      </w:pPr>
      <w:r>
        <w:rPr>
          <w:rFonts w:ascii="Arial" w:hAnsi="Arial" w:cs="Arial"/>
          <w:b/>
          <w:bCs/>
          <w:highlight w:val="cyan"/>
        </w:rPr>
        <w:t>Disclaimer</w:t>
      </w:r>
    </w:p>
    <w:p w14:paraId="457C1E39">
      <w:pPr>
        <w:jc w:val="both"/>
        <w:rPr>
          <w:rFonts w:ascii="Arial" w:hAnsi="Arial" w:cs="Arial"/>
          <w:highlight w:val="cyan"/>
        </w:rPr>
      </w:pPr>
    </w:p>
    <w:p w14:paraId="139500DA">
      <w:pPr>
        <w:jc w:val="both"/>
        <w:rPr>
          <w:rFonts w:ascii="Arial" w:hAnsi="Arial" w:eastAsia="SimSun" w:cs="Arial"/>
        </w:rPr>
      </w:pPr>
      <w:r>
        <w:rPr>
          <w:rFonts w:hint="default" w:ascii="Arial" w:hAnsi="Arial" w:eastAsia="SimSun" w:cs="Arial"/>
          <w:sz w:val="20"/>
          <w:szCs w:val="20"/>
          <w:highlight w:val="cyan"/>
        </w:rPr>
        <w:t xml:space="preserve">The authors hereby declare that two generative AI tools — Grammarly and ChatGPT (version 3.5) — were used to assist with grammar correction and summarization during the editing of the manuscript. All scientific content, analysis, and interpretations are </w:t>
      </w:r>
      <w:bookmarkStart w:id="8" w:name="_GoBack"/>
      <w:bookmarkEnd w:id="8"/>
      <w:r>
        <w:rPr>
          <w:rFonts w:hint="default" w:ascii="Arial" w:hAnsi="Arial" w:eastAsia="SimSun" w:cs="Arial"/>
          <w:sz w:val="20"/>
          <w:szCs w:val="20"/>
          <w:highlight w:val="cyan"/>
        </w:rPr>
        <w:t>solely the work of the authors.</w:t>
      </w:r>
    </w:p>
    <w:p w14:paraId="28C5DF14">
      <w:pPr>
        <w:jc w:val="both"/>
        <w:rPr>
          <w:rFonts w:ascii="Arial" w:hAnsi="Arial" w:eastAsia="SimSun" w:cs="Arial"/>
        </w:rPr>
      </w:pPr>
    </w:p>
    <w:p w14:paraId="4A0BD68F">
      <w:pPr>
        <w:ind w:left="442" w:hanging="442" w:hangingChars="200"/>
        <w:jc w:val="both"/>
        <w:rPr>
          <w:rFonts w:ascii="Arial" w:hAnsi="Arial" w:eastAsia="SimSun" w:cs="Arial"/>
          <w:b/>
          <w:bCs/>
          <w:i/>
          <w:iCs/>
        </w:rPr>
      </w:pPr>
      <w:r>
        <w:rPr>
          <w:rFonts w:ascii="Arial" w:hAnsi="Arial" w:eastAsia="SimSun" w:cs="Arial"/>
          <w:b/>
          <w:bCs/>
          <w:sz w:val="22"/>
          <w:szCs w:val="22"/>
        </w:rPr>
        <w:t>REFERENCES</w:t>
      </w:r>
    </w:p>
    <w:p w14:paraId="4333130D">
      <w:pPr>
        <w:jc w:val="both"/>
        <w:rPr>
          <w:rFonts w:ascii="Arial" w:hAnsi="Arial" w:eastAsia="SimSun" w:cs="Arial"/>
        </w:rPr>
      </w:pPr>
    </w:p>
    <w:p w14:paraId="1371D8FF">
      <w:pPr>
        <w:rPr>
          <w:rFonts w:ascii="Arial" w:hAnsi="Arial" w:cs="Arial"/>
        </w:rPr>
      </w:pPr>
      <w:r>
        <w:rPr>
          <w:rFonts w:ascii="Arial" w:hAnsi="Arial" w:cs="Arial"/>
        </w:rPr>
        <w:t>Amid, A., Ismail, N. A., Yusof, F. &amp; Salleh, H. M. (2011). Expression, purification, &amp; characterization of a recombinant stem bromelain from Ananas comosus. Process Biochemistry, 46(12), 2232-2239.</w:t>
      </w:r>
    </w:p>
    <w:p w14:paraId="248DDC03">
      <w:pPr>
        <w:rPr>
          <w:rFonts w:ascii="Arial" w:hAnsi="Arial" w:cs="Arial"/>
        </w:rPr>
      </w:pPr>
    </w:p>
    <w:p w14:paraId="55D61731">
      <w:pPr>
        <w:rPr>
          <w:rFonts w:ascii="Arial" w:hAnsi="Arial" w:cs="Arial"/>
        </w:rPr>
      </w:pPr>
      <w:r>
        <w:rPr>
          <w:rFonts w:ascii="Arial" w:hAnsi="Arial" w:cs="Arial"/>
        </w:rPr>
        <w:t>Bhattacharyya, B. K. (2008). Bromelain: an overview. Natural Product Radiance, 7(4), 359–363.</w:t>
      </w:r>
    </w:p>
    <w:p w14:paraId="0443B67A">
      <w:pPr>
        <w:rPr>
          <w:rFonts w:ascii="Arial" w:hAnsi="Arial" w:cs="Arial"/>
        </w:rPr>
      </w:pPr>
      <w:r>
        <w:rPr>
          <w:rFonts w:ascii="Arial" w:hAnsi="Arial" w:cs="Arial"/>
        </w:rPr>
        <w:t>Biotechnology, 20(5), 1219-1226.</w:t>
      </w:r>
    </w:p>
    <w:p w14:paraId="6554E558">
      <w:pPr>
        <w:rPr>
          <w:rFonts w:ascii="Arial" w:hAnsi="Arial" w:cs="Arial"/>
        </w:rPr>
      </w:pPr>
    </w:p>
    <w:p w14:paraId="163141C0">
      <w:pPr>
        <w:rPr>
          <w:rFonts w:ascii="Arial" w:hAnsi="Arial" w:cs="Arial"/>
        </w:rPr>
      </w:pPr>
      <w:r>
        <w:rPr>
          <w:rFonts w:ascii="Arial" w:hAnsi="Arial" w:cs="Arial"/>
        </w:rPr>
        <w:t>Bradbrook, I. D., Morrison, P. J. &amp; Rogers, H. J. (1978). The effect of bromelain on the absorption of orally administered tetracycline. British Journal of Clinical Pharmacology, 6(6), 552.</w:t>
      </w:r>
    </w:p>
    <w:p w14:paraId="79C00521">
      <w:pPr>
        <w:rPr>
          <w:rFonts w:ascii="Arial" w:hAnsi="Arial" w:cs="Arial"/>
        </w:rPr>
      </w:pPr>
    </w:p>
    <w:p w14:paraId="7449037E">
      <w:pPr>
        <w:rPr>
          <w:rFonts w:ascii="Arial" w:hAnsi="Arial" w:cs="Arial"/>
        </w:rPr>
      </w:pPr>
      <w:r>
        <w:rPr>
          <w:rFonts w:ascii="Arial" w:hAnsi="Arial" w:cs="Arial"/>
        </w:rPr>
        <w:t>Bradford, M. M. (1976). A rapid and sensitive method for the quantitation of microgram quantities of protein utilizing the principle of protein-dye binding. Analytical Biochemistry, 72(1-2), 248-254.</w:t>
      </w:r>
    </w:p>
    <w:p w14:paraId="4C2812DA">
      <w:pPr>
        <w:rPr>
          <w:rFonts w:ascii="Arial" w:hAnsi="Arial" w:cs="Arial"/>
        </w:rPr>
      </w:pPr>
    </w:p>
    <w:p w14:paraId="45FDF922">
      <w:pPr>
        <w:rPr>
          <w:rFonts w:ascii="Arial" w:hAnsi="Arial" w:cs="Arial"/>
        </w:rPr>
      </w:pPr>
      <w:r>
        <w:rPr>
          <w:rFonts w:ascii="Arial" w:hAnsi="Arial" w:cs="Arial"/>
        </w:rPr>
        <w:t>Chakraborty, A. J., Mitra, S., Tallei, T. E., Tareq, A. M., Nainu, F., Cicia, D. &amp; Capasso, R. (2021). Bromelain: a potential bioactive compound – a comprehensive overview from a pharmacological perspective. Life, 11(4), 317.</w:t>
      </w:r>
    </w:p>
    <w:p w14:paraId="257E9F81">
      <w:pPr>
        <w:rPr>
          <w:rFonts w:ascii="Arial" w:hAnsi="Arial" w:cs="Arial"/>
        </w:rPr>
      </w:pPr>
    </w:p>
    <w:p w14:paraId="1D513313">
      <w:pPr>
        <w:rPr>
          <w:rFonts w:ascii="Arial" w:hAnsi="Arial" w:cs="Arial"/>
        </w:rPr>
      </w:pPr>
      <w:r>
        <w:rPr>
          <w:rFonts w:ascii="Arial" w:hAnsi="Arial" w:cs="Arial"/>
        </w:rPr>
        <w:t>Corzo, C. A., Waliszewski, K. N. &amp; Welti-Chanes, J. (2012). Pineapple fruit bromelain affinity to different protein substrates. Food Chemistry, 133(3), 631-635.</w:t>
      </w:r>
    </w:p>
    <w:p w14:paraId="7EA4D788">
      <w:pPr>
        <w:rPr>
          <w:rFonts w:ascii="Arial" w:hAnsi="Arial" w:cs="Arial"/>
        </w:rPr>
      </w:pPr>
    </w:p>
    <w:p w14:paraId="316FF773">
      <w:pPr>
        <w:rPr>
          <w:rFonts w:ascii="Arial" w:hAnsi="Arial" w:cs="Arial"/>
        </w:rPr>
      </w:pPr>
      <w:r>
        <w:rPr>
          <w:rFonts w:ascii="Arial" w:hAnsi="Arial" w:cs="Arial"/>
        </w:rPr>
        <w:t>Errasti, M. E., Prospitti, A., Viana, C. A., Gonzalez, M. M., Ramos, M. V., Rotelli, A. E. &amp; Caffini, N. O. (2016). Effects on fibrinogen, fibrin, and blood coagulation of proteolytic extracts from fruits of Pseudananas macrodontes, Bromelia balansae, and B. hieronymi (Bromeliaceae) in comparison with bromelain. Blood Coagulation &amp; Fibrinolysis, 27(4), 441-449.</w:t>
      </w:r>
    </w:p>
    <w:p w14:paraId="4B459AE5">
      <w:pPr>
        <w:jc w:val="both"/>
        <w:rPr>
          <w:rFonts w:ascii="Arial" w:hAnsi="Arial" w:cs="Arial"/>
          <w:highlight w:val="cyan"/>
        </w:rPr>
      </w:pPr>
    </w:p>
    <w:p w14:paraId="64D90548">
      <w:pPr>
        <w:jc w:val="both"/>
        <w:rPr>
          <w:rFonts w:hint="default" w:ascii="Arial" w:hAnsi="Arial" w:cs="Arial"/>
          <w:lang w:val="en-US"/>
        </w:rPr>
      </w:pPr>
      <w:r>
        <w:rPr>
          <w:rFonts w:ascii="Arial" w:hAnsi="Arial" w:cs="Arial"/>
          <w:highlight w:val="cyan"/>
        </w:rPr>
        <w:t>Fissore, A., Marengo, M., Santoro, V., Grillo, G., Oliaro-Bosso, S., Cravotto, G., Dal Piaz, F. and Adinolfi, S. (2023). Extraction and Characterization of Bromelain from Pineapple Core: A Strategy for Pineapple Waste Valorization. Processes, 11, 1-10</w:t>
      </w:r>
      <w:r>
        <w:rPr>
          <w:rFonts w:hint="default" w:ascii="Arial" w:hAnsi="Arial" w:cs="Arial"/>
          <w:highlight w:val="cyan"/>
          <w:lang w:val="en-US"/>
        </w:rPr>
        <w:t>.</w:t>
      </w:r>
    </w:p>
    <w:p w14:paraId="61C5AE73">
      <w:pPr>
        <w:rPr>
          <w:rFonts w:ascii="Arial" w:hAnsi="Arial" w:cs="Arial"/>
        </w:rPr>
      </w:pPr>
    </w:p>
    <w:p w14:paraId="30778758">
      <w:pPr>
        <w:rPr>
          <w:rFonts w:ascii="Arial" w:hAnsi="Arial" w:cs="Arial"/>
        </w:rPr>
      </w:pPr>
      <w:r>
        <w:rPr>
          <w:rFonts w:ascii="Arial" w:hAnsi="Arial" w:cs="Arial"/>
        </w:rPr>
        <w:t>Halpern, V. (1997). The significance of temperature-dependent distributions of activation energies. Journal of Physics: Condensed Matter, 9(25), 5479.</w:t>
      </w:r>
    </w:p>
    <w:p w14:paraId="0132405F">
      <w:pPr>
        <w:rPr>
          <w:rFonts w:ascii="Arial" w:hAnsi="Arial" w:cs="Arial"/>
        </w:rPr>
      </w:pPr>
    </w:p>
    <w:p w14:paraId="1127BB96">
      <w:pPr>
        <w:rPr>
          <w:rFonts w:ascii="Arial" w:hAnsi="Arial" w:cs="Arial"/>
        </w:rPr>
      </w:pPr>
      <w:r>
        <w:rPr>
          <w:rFonts w:ascii="Arial" w:hAnsi="Arial" w:cs="Arial"/>
        </w:rPr>
        <w:t>Kamusoko, R. &amp; Mukumba, P. (2025). Pineapple waste biorefinery: An integrated system for production of biogas and marketable products in South Africa. Biomass, 5(2), 17.</w:t>
      </w:r>
    </w:p>
    <w:p w14:paraId="6C352772">
      <w:pPr>
        <w:rPr>
          <w:rFonts w:ascii="Arial" w:hAnsi="Arial" w:cs="Arial"/>
          <w:highlight w:val="cyan"/>
        </w:rPr>
      </w:pPr>
    </w:p>
    <w:p w14:paraId="21B6C973">
      <w:pPr>
        <w:rPr>
          <w:rFonts w:ascii="Arial" w:hAnsi="Arial" w:cs="Arial"/>
          <w:highlight w:val="cyan"/>
        </w:rPr>
      </w:pPr>
      <w:r>
        <w:rPr>
          <w:rFonts w:ascii="Arial" w:hAnsi="Arial" w:cs="Arial"/>
          <w:highlight w:val="cyan"/>
        </w:rPr>
        <w:t>Kansakar, U., Trimarco, V., Manzi, M. V., Cervi, E., Mone, P., &amp; Santulli, G. (2024). Exploring the Therapeutic Potential of Bromelain: Applications, Benefits, and Mechanisms. Nutrients, 16(13), 2060.</w:t>
      </w:r>
    </w:p>
    <w:p w14:paraId="49CE1185">
      <w:pPr>
        <w:rPr>
          <w:rFonts w:ascii="Arial" w:hAnsi="Arial" w:cs="Arial"/>
        </w:rPr>
      </w:pPr>
    </w:p>
    <w:p w14:paraId="5EC3369A">
      <w:pPr>
        <w:rPr>
          <w:rFonts w:ascii="Arial" w:hAnsi="Arial" w:cs="Arial"/>
        </w:rPr>
      </w:pPr>
      <w:r>
        <w:rPr>
          <w:rFonts w:ascii="Arial" w:hAnsi="Arial" w:cs="Arial"/>
        </w:rPr>
        <w:t xml:space="preserve">Ketnawa, S., Chaiwut, P. &amp; Rawdkuen, S. (2011). Aqueous two-phase extraction of bromelain from pineapple peels and its biochemical properties. Food Science &amp; </w:t>
      </w:r>
    </w:p>
    <w:p w14:paraId="4820CC92">
      <w:pPr>
        <w:rPr>
          <w:rFonts w:ascii="Arial" w:hAnsi="Arial" w:eastAsia="SimSun" w:cs="Arial"/>
        </w:rPr>
      </w:pPr>
    </w:p>
    <w:p w14:paraId="0A4E7994">
      <w:pPr>
        <w:rPr>
          <w:rFonts w:ascii="Arial" w:hAnsi="Arial" w:cs="Arial"/>
        </w:rPr>
      </w:pPr>
      <w:r>
        <w:rPr>
          <w:rFonts w:ascii="Arial" w:hAnsi="Arial" w:eastAsia="SimSun" w:cs="Arial"/>
        </w:rPr>
        <w:t>Koo, H., Allan, R. N., Howlin, R. P., Stoodley, P. &amp; HallStoodley, L. (2017). Targeting microbial biofilms: current and prospective therapeutic strategies. Nature Reviews Microbiology, 15(12): 740–755.</w:t>
      </w:r>
    </w:p>
    <w:p w14:paraId="552CCE7C">
      <w:pPr>
        <w:rPr>
          <w:rFonts w:ascii="Arial" w:hAnsi="Arial" w:cs="Arial"/>
        </w:rPr>
      </w:pPr>
    </w:p>
    <w:p w14:paraId="2C63B11C">
      <w:pPr>
        <w:rPr>
          <w:rFonts w:ascii="Arial" w:hAnsi="Arial" w:cs="Arial"/>
        </w:rPr>
      </w:pPr>
      <w:r>
        <w:rPr>
          <w:rFonts w:ascii="Arial" w:hAnsi="Arial" w:cs="Arial"/>
        </w:rPr>
        <w:t>MacKay, D. &amp; Miller, A. L. (2003). Nutritional support for wound healing. Alternative Medicine Review, 8(4), 359-370.</w:t>
      </w:r>
    </w:p>
    <w:p w14:paraId="441D075E">
      <w:pPr>
        <w:rPr>
          <w:rFonts w:ascii="Arial" w:hAnsi="Arial" w:cs="Arial"/>
        </w:rPr>
      </w:pPr>
    </w:p>
    <w:p w14:paraId="50AD68AA">
      <w:pPr>
        <w:rPr>
          <w:rFonts w:ascii="Arial" w:hAnsi="Arial" w:cs="Arial"/>
        </w:rPr>
      </w:pPr>
      <w:r>
        <w:rPr>
          <w:rFonts w:ascii="Arial" w:hAnsi="Arial" w:cs="Arial"/>
        </w:rPr>
        <w:t>Mamo, J. &amp; Assefa, F. (2019). Antibacterial and anticancer property of bromelain: a plant protease enzyme from pineapples (Ananas comosus). Current Trends in Biomedical Engineering &amp; Biosciences, 19, 60-68.</w:t>
      </w:r>
    </w:p>
    <w:p w14:paraId="2C76FDA3">
      <w:pPr>
        <w:rPr>
          <w:rFonts w:ascii="Arial" w:hAnsi="Arial" w:cs="Arial"/>
        </w:rPr>
      </w:pPr>
    </w:p>
    <w:p w14:paraId="12F4D859">
      <w:pPr>
        <w:rPr>
          <w:rFonts w:ascii="Arial" w:hAnsi="Arial" w:cs="Arial"/>
        </w:rPr>
      </w:pPr>
      <w:r>
        <w:rPr>
          <w:rFonts w:ascii="Arial" w:hAnsi="Arial" w:cs="Arial"/>
        </w:rPr>
        <w:t>Manzoor, Z., Nawaz, A., Mukhtar, H. &amp; Haq, I. (2016). Bromelain: Methods of extraction, purification and therapeutic applications. Brazilian Archives of Biology and Technology, 59.</w:t>
      </w:r>
    </w:p>
    <w:p w14:paraId="0093E98A">
      <w:pPr>
        <w:rPr>
          <w:rFonts w:ascii="Arial" w:hAnsi="Arial" w:cs="Arial"/>
          <w:highlight w:val="cyan"/>
        </w:rPr>
      </w:pPr>
    </w:p>
    <w:p w14:paraId="7ECE9BC3">
      <w:pPr>
        <w:rPr>
          <w:rFonts w:ascii="Arial" w:hAnsi="Arial" w:cs="Arial"/>
          <w:highlight w:val="cyan"/>
        </w:rPr>
      </w:pPr>
      <w:r>
        <w:rPr>
          <w:rFonts w:ascii="Arial" w:hAnsi="Arial" w:cs="Arial"/>
          <w:highlight w:val="cyan"/>
        </w:rPr>
        <w:t>Matagne, A., Bolle, L., El Mahyaoui, R., Baeyens-Volant, D., &amp; Azarkan, M. (2017). The proteolytic system of pineapple stems revisited: Purification and characterization of multiple catalytically active forms. Phytochemistry, 138, 29–51.</w:t>
      </w:r>
    </w:p>
    <w:p w14:paraId="7AE193B9">
      <w:pPr>
        <w:rPr>
          <w:rFonts w:ascii="Arial" w:hAnsi="Arial" w:cs="Arial"/>
        </w:rPr>
      </w:pPr>
    </w:p>
    <w:p w14:paraId="40210EED">
      <w:pPr>
        <w:rPr>
          <w:rFonts w:ascii="Arial" w:hAnsi="Arial" w:cs="Arial"/>
        </w:rPr>
      </w:pPr>
      <w:r>
        <w:rPr>
          <w:rFonts w:ascii="Arial" w:hAnsi="Arial" w:cs="Arial"/>
        </w:rPr>
        <w:t>Mohamad, E. S. &amp; Abdulrahman, G. Y. (2023). Efficacy of silver nanoparticles synthesized from pineapple fruit extracts against Enterococcus faecalis and Streptococcus sanguis (an in vitro study). HIV Nursing, 23(2), 715-720.</w:t>
      </w:r>
    </w:p>
    <w:p w14:paraId="68EB5481">
      <w:pPr>
        <w:rPr>
          <w:rFonts w:ascii="Arial" w:hAnsi="Arial" w:cs="Arial"/>
          <w:iCs/>
        </w:rPr>
      </w:pPr>
    </w:p>
    <w:p w14:paraId="703C91D2">
      <w:pPr>
        <w:rPr>
          <w:rFonts w:ascii="Arial" w:hAnsi="Arial" w:cs="Arial"/>
        </w:rPr>
      </w:pPr>
      <w:r>
        <w:rPr>
          <w:rFonts w:ascii="Arial" w:hAnsi="Arial" w:cs="Arial"/>
          <w:iCs/>
        </w:rPr>
        <w:t xml:space="preserve">Omotoyinbo, O. V. &amp; Sanni, D. M. (2017). </w:t>
      </w:r>
      <w:r>
        <w:rPr>
          <w:rFonts w:ascii="Arial" w:hAnsi="Arial" w:cs="Arial"/>
        </w:rPr>
        <w:t>Characterization of Bromelain from Parts of Three Different Pineapple Varieties in Nigeria</w:t>
      </w:r>
      <w:r>
        <w:rPr>
          <w:rFonts w:ascii="Arial" w:hAnsi="Arial" w:cs="Arial"/>
          <w:iCs/>
        </w:rPr>
        <w:t>. American Journal of Bioscience, 5(3): 35-41.</w:t>
      </w:r>
    </w:p>
    <w:p w14:paraId="35F2D734">
      <w:pPr>
        <w:jc w:val="left"/>
        <w:rPr>
          <w:rFonts w:ascii="Arial" w:hAnsi="Arial" w:cs="Arial"/>
          <w:highlight w:val="cyan"/>
        </w:rPr>
      </w:pPr>
    </w:p>
    <w:p w14:paraId="12909BE4">
      <w:pPr>
        <w:jc w:val="left"/>
        <w:rPr>
          <w:rFonts w:ascii="Arial" w:hAnsi="Arial" w:cs="Arial"/>
        </w:rPr>
      </w:pPr>
      <w:r>
        <w:rPr>
          <w:rFonts w:ascii="Arial" w:hAnsi="Arial" w:cs="Arial"/>
          <w:highlight w:val="cyan"/>
        </w:rPr>
        <w:t>Pavan, R., Jain, S., Shraddha, &amp; Kumar, A. (2012). Properties and therapeutic application of bromelain: a review. Biotechnology research international, 2012, 976203. https://doi.org/10.1155/2012/976203</w:t>
      </w:r>
    </w:p>
    <w:p w14:paraId="7D82344E">
      <w:pPr>
        <w:rPr>
          <w:rFonts w:ascii="Arial" w:hAnsi="Arial" w:cs="Arial"/>
        </w:rPr>
      </w:pPr>
    </w:p>
    <w:p w14:paraId="262DF951">
      <w:pPr>
        <w:rPr>
          <w:rFonts w:ascii="Arial" w:hAnsi="Arial" w:cs="Arial"/>
        </w:rPr>
      </w:pPr>
      <w:r>
        <w:rPr>
          <w:rFonts w:ascii="Arial" w:hAnsi="Arial" w:cs="Arial"/>
        </w:rPr>
        <w:t>Pillai, K., Akhter, J., Chua, T. C. &amp; Morris, D. L. (2013). Anticancer property of bromelain with therapeutic potential in malignant peritoneal mesothelioma. Cancer Investigation, 31(4), 241-250.</w:t>
      </w:r>
    </w:p>
    <w:p w14:paraId="0DA87552">
      <w:pPr>
        <w:rPr>
          <w:rFonts w:ascii="Arial" w:hAnsi="Arial" w:cs="Arial"/>
          <w:highlight w:val="cyan"/>
        </w:rPr>
      </w:pPr>
    </w:p>
    <w:p w14:paraId="0E7FF366">
      <w:pPr>
        <w:rPr>
          <w:rFonts w:ascii="Arial" w:hAnsi="Arial" w:cs="Arial"/>
          <w:highlight w:val="cyan"/>
        </w:rPr>
      </w:pPr>
      <w:r>
        <w:rPr>
          <w:rFonts w:ascii="Arial" w:hAnsi="Arial" w:cs="Arial"/>
          <w:highlight w:val="cyan"/>
        </w:rPr>
        <w:t>Rathnavelu, V., Alitheen, N. B., Sohila, S., Kanagesan, S., &amp; Ramesh, R. (2016). Potential role of bromelain in clinical and therapeutic applications. Biomedical reports, 5(3), 283–288. https://doi.org/10.3892/br.2016.720</w:t>
      </w:r>
    </w:p>
    <w:p w14:paraId="42885920">
      <w:pPr>
        <w:rPr>
          <w:rFonts w:ascii="Arial" w:hAnsi="Arial" w:cs="Arial"/>
        </w:rPr>
      </w:pPr>
    </w:p>
    <w:p w14:paraId="06084B70">
      <w:pPr>
        <w:rPr>
          <w:rFonts w:ascii="Arial" w:hAnsi="Arial" w:cs="Arial"/>
        </w:rPr>
      </w:pPr>
      <w:r>
        <w:rPr>
          <w:rFonts w:ascii="Arial" w:hAnsi="Arial" w:cs="Arial"/>
        </w:rPr>
        <w:t>Tochi, B. N., Wang, Z., Xu, S. Y. &amp; Zhang, W. (2008). Therapeutic application of pineapple protease (bromelain): A review. Pakistan Journal of Nutrition, 7(4), 513-520.</w:t>
      </w:r>
    </w:p>
    <w:p w14:paraId="58C00241">
      <w:pPr>
        <w:rPr>
          <w:rFonts w:ascii="Arial" w:hAnsi="Arial" w:cs="Arial"/>
        </w:rPr>
      </w:pPr>
    </w:p>
    <w:p w14:paraId="137FEE01">
      <w:pPr>
        <w:rPr>
          <w:rFonts w:ascii="Arial" w:hAnsi="Arial" w:cs="Arial"/>
        </w:rPr>
      </w:pPr>
      <w:r>
        <w:rPr>
          <w:rFonts w:ascii="Arial" w:hAnsi="Arial" w:cs="Arial"/>
        </w:rPr>
        <w:t>Upadhyay, A., Lama, J. P. &amp; Tawata, S. (2010). Utilization of pineapple waste: A review. Journal of Food Science and Technology Nepal, 6, 10-18.</w:t>
      </w:r>
    </w:p>
    <w:p w14:paraId="34889B04">
      <w:pPr>
        <w:rPr>
          <w:rFonts w:ascii="Arial" w:hAnsi="Arial" w:cs="Arial"/>
          <w:highlight w:val="cyan"/>
        </w:rPr>
      </w:pPr>
    </w:p>
    <w:p w14:paraId="75A7E061">
      <w:pPr>
        <w:rPr>
          <w:rFonts w:ascii="Arial" w:hAnsi="Arial" w:cs="Arial"/>
        </w:rPr>
      </w:pPr>
      <w:r>
        <w:rPr>
          <w:rFonts w:ascii="Arial" w:hAnsi="Arial" w:cs="Arial"/>
        </w:rPr>
        <w:t>Varilla, C., Marcone, M., Paiva, L. &amp; Baptista, J. (2021). Bromelain, a group of pineapple proteolytic complex enzymes (</w:t>
      </w:r>
      <w:r>
        <w:rPr>
          <w:rFonts w:ascii="Arial" w:hAnsi="Arial" w:cs="Arial"/>
          <w:i/>
          <w:iCs/>
        </w:rPr>
        <w:t>Ananas comosus</w:t>
      </w:r>
      <w:r>
        <w:rPr>
          <w:rFonts w:ascii="Arial" w:hAnsi="Arial" w:cs="Arial"/>
        </w:rPr>
        <w:t>) and their possible therapeutic and clinical effects: A summary. Foods, 10, 2249.</w:t>
      </w:r>
    </w:p>
    <w:p w14:paraId="36753DD9">
      <w:pPr>
        <w:rPr>
          <w:rFonts w:ascii="Arial" w:hAnsi="Arial" w:cs="Arial"/>
        </w:rPr>
      </w:pPr>
    </w:p>
    <w:p w14:paraId="1971FFDA">
      <w:pPr>
        <w:rPr>
          <w:rFonts w:ascii="Arial" w:hAnsi="Arial" w:cs="Arial"/>
        </w:rPr>
      </w:pPr>
      <w:r>
        <w:rPr>
          <w:rFonts w:ascii="Arial" w:hAnsi="Arial" w:cs="Arial"/>
        </w:rPr>
        <w:t>Zhou, H. X. &amp; Pang, X. (2018). Electrostatic interactions in protein structure, folding, binding, and condensation. Chemical Reviews, 118(4), 1691–1741.</w:t>
      </w:r>
    </w:p>
    <w:p w14:paraId="06B473AA">
      <w:pPr>
        <w:pStyle w:val="41"/>
        <w:spacing w:after="0"/>
        <w:jc w:val="both"/>
        <w:rPr>
          <w:rFonts w:ascii="Arial" w:hAnsi="Arial" w:cs="Arial"/>
          <w:b w:val="0"/>
        </w:rPr>
      </w:pPr>
    </w:p>
    <w:sectPr>
      <w:headerReference r:id="rId11" w:type="first"/>
      <w:headerReference r:id="rId9" w:type="default"/>
      <w:footerReference r:id="rId12" w:type="default"/>
      <w:headerReference r:id="rId10" w:type="even"/>
      <w:type w:val="continuous"/>
      <w:pgSz w:w="12240" w:h="15840"/>
      <w:pgMar w:top="720" w:right="1720" w:bottom="720" w:left="15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Sylfaen"/>
    <w:panose1 w:val="020B05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TimesNewRomanPS-BoldMT">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ylfaen">
    <w:panose1 w:val="010A0502050306030303"/>
    <w:charset w:val="00"/>
    <w:family w:val="auto"/>
    <w:pitch w:val="default"/>
    <w:sig w:usb0="040006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 w:name="Algerian">
    <w:panose1 w:val="04020705040A020607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CCB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3C8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6F342">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027D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F6FED">
    <w:pPr>
      <w:pStyle w:val="13"/>
    </w:pPr>
    <w:r>
      <w:pict>
        <v:shape id="PowerPlusWaterMarkObject1760447189" o:spid="_x0000_s2050" o:spt="136" type="#_x0000_t136" style="position:absolute;left:0pt;height:29.8pt;width:268.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7F7E1">
    <w:pPr>
      <w:pStyle w:val="13"/>
    </w:pPr>
    <w:r>
      <w:pict>
        <v:shape id="PowerPlusWaterMarkObject1760447188" o:spid="_x0000_s2049" o:spt="136" type="#_x0000_t136" style="position:absolute;left:0pt;height:29.8pt;width:268.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1D3AD">
    <w:pPr>
      <w:ind w:left="2160"/>
      <w:jc w:val="center"/>
      <w:rPr>
        <w:rFonts w:ascii="Times New Roman" w:hAnsi="Times New Roman" w:eastAsia="Calibri"/>
        <w:i/>
        <w:sz w:val="18"/>
        <w:szCs w:val="22"/>
      </w:rPr>
    </w:pPr>
    <w:r>
      <w:pict>
        <v:shape id="PowerPlusWaterMarkObject1760447187" o:spid="_x0000_s2051" o:spt="136" type="#_x0000_t136" style="position:absolute;left:0pt;height:29.8pt;width:268.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307295C6">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36E8A592">
    <w:pPr>
      <w:jc w:val="center"/>
      <w:rPr>
        <w:rFonts w:ascii="Times New Roman" w:hAnsi="Times New Roman" w:eastAsia="Calibri"/>
        <w:i/>
        <w:sz w:val="18"/>
        <w:szCs w:val="22"/>
      </w:rPr>
    </w:pPr>
    <w:r>
      <w:rPr>
        <w:rFonts w:ascii="Times New Roman" w:hAnsi="Times New Roman" w:eastAsia="Calibri"/>
        <w:i/>
        <w:sz w:val="18"/>
        <w:szCs w:val="22"/>
      </w:rPr>
      <w:t>.</w:t>
    </w:r>
  </w:p>
  <w:p w14:paraId="1624A74F">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1733504D">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269C6235">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587042A0">
    <w:pPr>
      <w:pStyle w:val="13"/>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2CAD">
    <w:pPr>
      <w:pStyle w:val="13"/>
    </w:pPr>
    <w:r>
      <w:pict>
        <v:shape id="PowerPlusWaterMarkObject1760447192" o:spid="_x0000_s2053" o:spt="136" type="#_x0000_t136" style="position:absolute;left:0pt;height:29.8pt;width:268.3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3D472">
    <w:pPr>
      <w:pStyle w:val="13"/>
    </w:pPr>
    <w:r>
      <w:pict>
        <v:shape id="PowerPlusWaterMarkObject1760447191" o:spid="_x0000_s2052" o:spt="136" type="#_x0000_t136" style="position:absolute;left:0pt;height:29.8pt;width:268.3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BBD1">
    <w:pPr>
      <w:pStyle w:val="13"/>
    </w:pPr>
    <w:r>
      <w:pict>
        <v:shape id="PowerPlusWaterMarkObject1760447190" o:spid="_x0000_s2054" o:spt="136" type="#_x0000_t136" style="position:absolute;left:0pt;height:29.8pt;width:268.3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F0A0D"/>
    <w:multiLevelType w:val="multilevel"/>
    <w:tmpl w:val="EF5F0A0D"/>
    <w:lvl w:ilvl="0" w:tentative="0">
      <w:start w:val="1"/>
      <w:numFmt w:val="decimal"/>
      <w:suff w:val="space"/>
      <w:lvlText w:val="%1."/>
      <w:lvlJc w:val="left"/>
      <w:rPr>
        <w:rFonts w:hint="default"/>
        <w:sz w:val="22"/>
        <w:szCs w:val="22"/>
      </w:rPr>
    </w:lvl>
    <w:lvl w:ilvl="1" w:tentative="0">
      <w:start w:val="1"/>
      <w:numFmt w:val="decimal"/>
      <w:suff w:val="space"/>
      <w:lvlText w:val="%1.%2."/>
      <w:lvlJc w:val="left"/>
      <w:pPr>
        <w:ind w:left="0" w:firstLine="0"/>
      </w:pPr>
      <w:rPr>
        <w:rFonts w:hint="default"/>
        <w:sz w:val="22"/>
        <w:szCs w:val="22"/>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259B771F"/>
    <w:multiLevelType w:val="singleLevel"/>
    <w:tmpl w:val="259B771F"/>
    <w:lvl w:ilvl="0" w:tentative="0">
      <w:start w:val="19"/>
      <w:numFmt w:val="upperLetter"/>
      <w:suff w:val="space"/>
      <w:lvlText w:val="%1."/>
      <w:lvlJc w:val="left"/>
    </w:lvl>
  </w:abstractNum>
  <w:abstractNum w:abstractNumId="2">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0AE"/>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330E"/>
    <w:rsid w:val="002C57D2"/>
    <w:rsid w:val="002E0D56"/>
    <w:rsid w:val="00315186"/>
    <w:rsid w:val="00321C20"/>
    <w:rsid w:val="0033343E"/>
    <w:rsid w:val="003512C2"/>
    <w:rsid w:val="00371FB6"/>
    <w:rsid w:val="003763C1"/>
    <w:rsid w:val="00376BBE"/>
    <w:rsid w:val="0039224F"/>
    <w:rsid w:val="003A43A4"/>
    <w:rsid w:val="003A7E18"/>
    <w:rsid w:val="003C4C86"/>
    <w:rsid w:val="003C6258"/>
    <w:rsid w:val="003C77B8"/>
    <w:rsid w:val="003E2904"/>
    <w:rsid w:val="00401927"/>
    <w:rsid w:val="0041027F"/>
    <w:rsid w:val="00412475"/>
    <w:rsid w:val="00423789"/>
    <w:rsid w:val="004362AB"/>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77AE5"/>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239C"/>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2AD1"/>
    <w:rsid w:val="008F69D6"/>
    <w:rsid w:val="00902823"/>
    <w:rsid w:val="00915CA6"/>
    <w:rsid w:val="00927834"/>
    <w:rsid w:val="009500A6"/>
    <w:rsid w:val="00952E8D"/>
    <w:rsid w:val="00957C18"/>
    <w:rsid w:val="009659BA"/>
    <w:rsid w:val="00983040"/>
    <w:rsid w:val="009B1DA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B8F"/>
    <w:rsid w:val="00A51431"/>
    <w:rsid w:val="00A539AD"/>
    <w:rsid w:val="00A94063"/>
    <w:rsid w:val="00AA6219"/>
    <w:rsid w:val="00AA74E0"/>
    <w:rsid w:val="00AB703F"/>
    <w:rsid w:val="00AC6BB8"/>
    <w:rsid w:val="00AE008F"/>
    <w:rsid w:val="00B01FCD"/>
    <w:rsid w:val="00B1776C"/>
    <w:rsid w:val="00B51B37"/>
    <w:rsid w:val="00B52583"/>
    <w:rsid w:val="00B52896"/>
    <w:rsid w:val="00B95236"/>
    <w:rsid w:val="00B96BD9"/>
    <w:rsid w:val="00BA1B01"/>
    <w:rsid w:val="00BA2641"/>
    <w:rsid w:val="00BA6B2F"/>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7950"/>
    <w:rsid w:val="00D74CB0"/>
    <w:rsid w:val="00D8295D"/>
    <w:rsid w:val="00DC2A65"/>
    <w:rsid w:val="00DE15F0"/>
    <w:rsid w:val="00DE5663"/>
    <w:rsid w:val="00DE78AA"/>
    <w:rsid w:val="00DF16D3"/>
    <w:rsid w:val="00E053D0"/>
    <w:rsid w:val="00E15994"/>
    <w:rsid w:val="00E3114E"/>
    <w:rsid w:val="00E31A70"/>
    <w:rsid w:val="00E35B02"/>
    <w:rsid w:val="00E66496"/>
    <w:rsid w:val="00E66B35"/>
    <w:rsid w:val="00E66E10"/>
    <w:rsid w:val="00E769F6"/>
    <w:rsid w:val="00E8407C"/>
    <w:rsid w:val="00E84F3C"/>
    <w:rsid w:val="00E932F7"/>
    <w:rsid w:val="00EA012C"/>
    <w:rsid w:val="00EA7386"/>
    <w:rsid w:val="00EC6A55"/>
    <w:rsid w:val="00ED0288"/>
    <w:rsid w:val="00EE52CB"/>
    <w:rsid w:val="00EF581D"/>
    <w:rsid w:val="00EF7FD8"/>
    <w:rsid w:val="00F06F59"/>
    <w:rsid w:val="00F17988"/>
    <w:rsid w:val="00F469F0"/>
    <w:rsid w:val="00F53273"/>
    <w:rsid w:val="00F755E4"/>
    <w:rsid w:val="00F77D02"/>
    <w:rsid w:val="00FB3A86"/>
    <w:rsid w:val="00FD36C8"/>
    <w:rsid w:val="0F2A5940"/>
    <w:rsid w:val="0FEA38BB"/>
    <w:rsid w:val="217C2F6D"/>
    <w:rsid w:val="26FA0637"/>
    <w:rsid w:val="285D4936"/>
    <w:rsid w:val="2AE9177C"/>
    <w:rsid w:val="2B3808F6"/>
    <w:rsid w:val="2C785762"/>
    <w:rsid w:val="3C186202"/>
    <w:rsid w:val="3C9D5CC3"/>
    <w:rsid w:val="3DAF01C0"/>
    <w:rsid w:val="3E027FCA"/>
    <w:rsid w:val="403331C8"/>
    <w:rsid w:val="42397C03"/>
    <w:rsid w:val="44A052C8"/>
    <w:rsid w:val="490B053F"/>
    <w:rsid w:val="49434C96"/>
    <w:rsid w:val="54797415"/>
    <w:rsid w:val="57821420"/>
    <w:rsid w:val="57F01655"/>
    <w:rsid w:val="5C680437"/>
    <w:rsid w:val="6109189F"/>
    <w:rsid w:val="633E75DD"/>
    <w:rsid w:val="64BA26C3"/>
    <w:rsid w:val="65171FE8"/>
    <w:rsid w:val="66050D1B"/>
    <w:rsid w:val="67A9489F"/>
    <w:rsid w:val="6842701C"/>
    <w:rsid w:val="784B6A5E"/>
    <w:rsid w:val="78F244F2"/>
    <w:rsid w:val="7BAB2BB9"/>
    <w:rsid w:val="7C81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1"/>
    <w:qFormat/>
    <w:uiPriority w:val="0"/>
    <w:rPr>
      <w:rFonts w:ascii="Tahoma" w:hAnsi="Tahoma" w:cs="Tahoma"/>
      <w:sz w:val="16"/>
      <w:szCs w:val="16"/>
    </w:rPr>
  </w:style>
  <w:style w:type="paragraph" w:styleId="6">
    <w:name w:val="Body Text 2"/>
    <w:basedOn w:val="1"/>
    <w:link w:val="59"/>
    <w:qFormat/>
    <w:uiPriority w:val="0"/>
    <w:pPr>
      <w:spacing w:after="120" w:line="480" w:lineRule="auto"/>
    </w:pPr>
  </w:style>
  <w:style w:type="paragraph" w:styleId="7">
    <w:name w:val="Body Text 3"/>
    <w:basedOn w:val="1"/>
    <w:link w:val="62"/>
    <w:qFormat/>
    <w:uiPriority w:val="0"/>
    <w:pPr>
      <w:spacing w:after="120"/>
    </w:pPr>
    <w:rPr>
      <w:sz w:val="16"/>
      <w:szCs w:val="16"/>
    </w:rPr>
  </w:style>
  <w:style w:type="character" w:styleId="8">
    <w:name w:val="annotation reference"/>
    <w:basedOn w:val="3"/>
    <w:unhideWhenUsed/>
    <w:qFormat/>
    <w:uiPriority w:val="99"/>
    <w:rPr>
      <w:sz w:val="16"/>
      <w:szCs w:val="16"/>
    </w:rPr>
  </w:style>
  <w:style w:type="paragraph" w:styleId="9">
    <w:name w:val="annotation text"/>
    <w:basedOn w:val="1"/>
    <w:link w:val="60"/>
    <w:unhideWhenUsed/>
    <w:qFormat/>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qFormat/>
    <w:uiPriority w:val="0"/>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Normal (Web)"/>
    <w:basedOn w:val="1"/>
    <w:semiHidden/>
    <w:unhideWhenUsed/>
    <w:uiPriority w:val="0"/>
    <w:rPr>
      <w:sz w:val="24"/>
      <w:szCs w:val="24"/>
    </w:rPr>
  </w:style>
  <w:style w:type="paragraph" w:styleId="17">
    <w:name w:val="Signature"/>
    <w:basedOn w:val="1"/>
    <w:qFormat/>
    <w:uiPriority w:val="0"/>
    <w:pPr>
      <w:ind w:left="4320"/>
    </w:pPr>
  </w:style>
  <w:style w:type="table" w:styleId="18">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qFormat/>
    <w:uiPriority w:val="0"/>
    <w:rPr>
      <w:sz w:val="22"/>
    </w:rPr>
  </w:style>
  <w:style w:type="paragraph" w:customStyle="1" w:styleId="42">
    <w:name w:val="Term"/>
    <w:basedOn w:val="22"/>
    <w:qFormat/>
    <w:uiPriority w:val="0"/>
    <w:pPr>
      <w:spacing w:after="0"/>
    </w:pPr>
    <w:rPr>
      <w:b/>
    </w:rPr>
  </w:style>
  <w:style w:type="paragraph" w:customStyle="1" w:styleId="43">
    <w:name w:val="Definition"/>
    <w:basedOn w:val="22"/>
    <w:qFormat/>
    <w:uiPriority w:val="0"/>
  </w:style>
  <w:style w:type="character" w:customStyle="1" w:styleId="44">
    <w:name w:val="Bold"/>
    <w:qFormat/>
    <w:uiPriority w:val="0"/>
    <w:rPr>
      <w:b/>
    </w:rPr>
  </w:style>
  <w:style w:type="character" w:customStyle="1" w:styleId="45">
    <w:name w:val="Italic"/>
    <w:qFormat/>
    <w:uiPriority w:val="0"/>
    <w:rPr>
      <w:i/>
    </w:rPr>
  </w:style>
  <w:style w:type="character" w:customStyle="1" w:styleId="46">
    <w:name w:val="Underline"/>
    <w:qFormat/>
    <w:uiPriority w:val="0"/>
    <w:rPr>
      <w:u w:val="single"/>
    </w:rPr>
  </w:style>
  <w:style w:type="paragraph" w:customStyle="1" w:styleId="47">
    <w:name w:val="Equation"/>
    <w:basedOn w:val="22"/>
    <w:qFormat/>
    <w:uiPriority w:val="0"/>
  </w:style>
  <w:style w:type="paragraph" w:customStyle="1" w:styleId="48">
    <w:name w:val="Figure"/>
    <w:basedOn w:val="32"/>
    <w:link w:val="64"/>
    <w:qFormat/>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qForma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3"/>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3"/>
    <w:link w:val="6"/>
    <w:qFormat/>
    <w:uiPriority w:val="0"/>
    <w:rPr>
      <w:rFonts w:ascii="Helvetica" w:hAnsi="Helvetica"/>
    </w:rPr>
  </w:style>
  <w:style w:type="character" w:customStyle="1" w:styleId="60">
    <w:name w:val="Comment Text Char"/>
    <w:basedOn w:val="3"/>
    <w:link w:val="9"/>
    <w:qFormat/>
    <w:uiPriority w:val="99"/>
    <w:rPr>
      <w:lang w:val="nb-NO" w:eastAsia="nb-NO"/>
    </w:rPr>
  </w:style>
  <w:style w:type="character" w:customStyle="1" w:styleId="61">
    <w:name w:val="Balloon Text Char"/>
    <w:basedOn w:val="3"/>
    <w:link w:val="5"/>
    <w:qFormat/>
    <w:uiPriority w:val="0"/>
    <w:rPr>
      <w:rFonts w:ascii="Tahoma" w:hAnsi="Tahoma" w:cs="Tahoma"/>
      <w:sz w:val="16"/>
      <w:szCs w:val="16"/>
    </w:rPr>
  </w:style>
  <w:style w:type="character" w:customStyle="1" w:styleId="62">
    <w:name w:val="Body Text 3 Char"/>
    <w:basedOn w:val="3"/>
    <w:link w:val="7"/>
    <w:qFormat/>
    <w:uiPriority w:val="0"/>
    <w:rPr>
      <w:rFonts w:ascii="Helvetica" w:hAnsi="Helvetica"/>
      <w:sz w:val="16"/>
      <w:szCs w:val="16"/>
    </w:rPr>
  </w:style>
  <w:style w:type="character" w:customStyle="1" w:styleId="63">
    <w:name w:val="Unresolved Mention1"/>
    <w:basedOn w:val="3"/>
    <w:semiHidden/>
    <w:unhideWhenUsed/>
    <w:qFormat/>
    <w:uiPriority w:val="99"/>
    <w:rPr>
      <w:color w:val="605E5C"/>
      <w:shd w:val="clear" w:color="auto" w:fill="E1DFDD"/>
    </w:rPr>
  </w:style>
  <w:style w:type="character" w:customStyle="1" w:styleId="64">
    <w:name w:val="Figure Char"/>
    <w:basedOn w:val="3"/>
    <w:link w:val="48"/>
    <w:qFormat/>
    <w:uiPriority w:val="0"/>
    <w:rPr>
      <w:sz w:val="20"/>
    </w:rPr>
  </w:style>
  <w:style w:type="paragraph" w:customStyle="1" w:styleId="65">
    <w:name w:val="Table"/>
    <w:basedOn w:val="48"/>
    <w:qFormat/>
    <w:uiPriority w:val="0"/>
  </w:style>
  <w:style w:type="character" w:customStyle="1" w:styleId="66">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Info spid="_x0000_s2053"/>
    <customShpInfo spid="_x0000_s2052"/>
    <customShpInfo spid="_x0000_s2054"/>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78430-B98D-4109-953E-1B1A57075FBD}">
  <ds:schemaRefs/>
</ds:datastoreItem>
</file>

<file path=docProps/app.xml><?xml version="1.0" encoding="utf-8"?>
<Properties xmlns="http://schemas.openxmlformats.org/officeDocument/2006/extended-properties" xmlns:vt="http://schemas.openxmlformats.org/officeDocument/2006/docPropsVTypes">
  <Template>2007%20paper%20template.dot</Template>
  <Company>aaaa</Company>
  <Pages>10</Pages>
  <Words>4226</Words>
  <Characters>25266</Characters>
  <Lines>210</Lines>
  <Paragraphs>58</Paragraphs>
  <TotalTime>15</TotalTime>
  <ScaleCrop>false</ScaleCrop>
  <LinksUpToDate>false</LinksUpToDate>
  <CharactersWithSpaces>29434</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2025-04-11T18:45:00Z</dcterms:created>
  <dc:creator>SDI</dc:creator>
  <cp:lastModifiedBy>USER</cp:lastModifiedBy>
  <cp:lastPrinted>1999-07-06T11:00:00Z</cp:lastPrinted>
  <dcterms:modified xsi:type="dcterms:W3CDTF">2025-04-13T19:34:24Z</dcterms:modified>
  <dc:title>Paper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5C84A1396E624F1D8069ED70571417F6_13</vt:lpwstr>
  </property>
</Properties>
</file>