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5EB" w:rsidRDefault="0002780A" w:rsidP="00F945EB">
      <w:pPr>
        <w:spacing w:line="240" w:lineRule="auto"/>
        <w:jc w:val="both"/>
        <w:rPr>
          <w:rFonts w:ascii="Times New Roman" w:hAnsi="Times New Roman" w:cs="Times New Roman"/>
          <w:b/>
          <w:sz w:val="24"/>
          <w:szCs w:val="24"/>
        </w:rPr>
      </w:pPr>
      <w:bookmarkStart w:id="0" w:name="_Toc377301722"/>
      <w:bookmarkStart w:id="1" w:name="_Toc164113356"/>
      <w:r w:rsidRPr="00F945EB">
        <w:rPr>
          <w:rFonts w:ascii="Times New Roman" w:hAnsi="Times New Roman" w:cs="Times New Roman"/>
          <w:b/>
          <w:sz w:val="24"/>
          <w:szCs w:val="24"/>
        </w:rPr>
        <w:t xml:space="preserve">Comparative Analysis of </w:t>
      </w:r>
      <w:proofErr w:type="spellStart"/>
      <w:r w:rsidRPr="00F945EB">
        <w:rPr>
          <w:rFonts w:ascii="Times New Roman" w:hAnsi="Times New Roman" w:cs="Times New Roman"/>
          <w:b/>
          <w:sz w:val="24"/>
          <w:szCs w:val="24"/>
        </w:rPr>
        <w:t>Haemolysis</w:t>
      </w:r>
      <w:proofErr w:type="spellEnd"/>
      <w:r w:rsidRPr="00F945EB">
        <w:rPr>
          <w:rFonts w:ascii="Times New Roman" w:hAnsi="Times New Roman" w:cs="Times New Roman"/>
          <w:b/>
          <w:sz w:val="24"/>
          <w:szCs w:val="24"/>
        </w:rPr>
        <w:t xml:space="preserve"> Levels in Packed Red Blood Cells Prepared via Whole Blood Settling versus Centrifugation Methods: A Study at the Zo</w:t>
      </w:r>
      <w:r w:rsidR="00BF3258" w:rsidRPr="00F945EB">
        <w:rPr>
          <w:rFonts w:ascii="Times New Roman" w:hAnsi="Times New Roman" w:cs="Times New Roman"/>
          <w:b/>
          <w:sz w:val="24"/>
          <w:szCs w:val="24"/>
        </w:rPr>
        <w:t>nal Blood Bank, Mbeya, Tanzania</w:t>
      </w:r>
    </w:p>
    <w:p w:rsidR="00F82B72" w:rsidRPr="00F82B72" w:rsidRDefault="00F82B72" w:rsidP="00F945EB">
      <w:pPr>
        <w:spacing w:line="240" w:lineRule="auto"/>
        <w:jc w:val="both"/>
        <w:rPr>
          <w:rFonts w:ascii="Times New Roman" w:hAnsi="Times New Roman" w:cs="Times New Roman"/>
          <w:b/>
          <w:sz w:val="24"/>
          <w:szCs w:val="24"/>
        </w:rPr>
      </w:pPr>
    </w:p>
    <w:p w:rsidR="00483C13" w:rsidRDefault="007A3ED6" w:rsidP="00F945EB">
      <w:pPr>
        <w:pStyle w:val="Heading1"/>
        <w:spacing w:line="240" w:lineRule="auto"/>
        <w:jc w:val="both"/>
        <w:rPr>
          <w:rFonts w:ascii="Times New Roman" w:hAnsi="Times New Roman" w:cs="Times New Roman"/>
          <w:sz w:val="24"/>
          <w:szCs w:val="24"/>
        </w:rPr>
      </w:pPr>
      <w:bookmarkStart w:id="2" w:name="_Toc193290997"/>
      <w:bookmarkEnd w:id="0"/>
      <w:bookmarkEnd w:id="1"/>
      <w:r w:rsidRPr="00F945EB">
        <w:rPr>
          <w:rFonts w:ascii="Times New Roman" w:hAnsi="Times New Roman" w:cs="Times New Roman"/>
          <w:sz w:val="24"/>
          <w:szCs w:val="24"/>
        </w:rPr>
        <w:t>ABSTR</w:t>
      </w:r>
      <w:r w:rsidR="006B4681">
        <w:rPr>
          <w:rFonts w:ascii="Times New Roman" w:hAnsi="Times New Roman" w:cs="Times New Roman"/>
          <w:sz w:val="24"/>
          <w:szCs w:val="24"/>
        </w:rPr>
        <w:t>A</w:t>
      </w:r>
      <w:r w:rsidRPr="00F945EB">
        <w:rPr>
          <w:rFonts w:ascii="Times New Roman" w:hAnsi="Times New Roman" w:cs="Times New Roman"/>
          <w:sz w:val="24"/>
          <w:szCs w:val="24"/>
        </w:rPr>
        <w:t>CT</w:t>
      </w:r>
      <w:bookmarkEnd w:id="2"/>
    </w:p>
    <w:p w:rsidR="00F82B72" w:rsidRPr="00F82B72" w:rsidRDefault="00F82B72" w:rsidP="00F82B72"/>
    <w:p w:rsidR="00730E5E" w:rsidRPr="00F945EB" w:rsidRDefault="007A3ED6" w:rsidP="00F945EB">
      <w:pPr>
        <w:spacing w:line="240" w:lineRule="auto"/>
        <w:jc w:val="both"/>
        <w:rPr>
          <w:rFonts w:ascii="Times New Roman" w:hAnsi="Times New Roman" w:cs="Times New Roman"/>
          <w:sz w:val="24"/>
          <w:szCs w:val="24"/>
        </w:rPr>
      </w:pPr>
      <w:r w:rsidRPr="00F945EB">
        <w:rPr>
          <w:rFonts w:ascii="Times New Roman" w:hAnsi="Times New Roman" w:cs="Times New Roman"/>
          <w:b/>
          <w:sz w:val="24"/>
          <w:szCs w:val="24"/>
        </w:rPr>
        <w:t xml:space="preserve">Introduction: </w:t>
      </w:r>
      <w:r w:rsidR="00730E5E" w:rsidRPr="00F945EB">
        <w:rPr>
          <w:rFonts w:ascii="Times New Roman" w:hAnsi="Times New Roman" w:cs="Times New Roman"/>
          <w:sz w:val="24"/>
          <w:szCs w:val="24"/>
        </w:rPr>
        <w:t>The term "blood transfusion" describes the safe administration of blood and blood products into a recipient's vein, including packed red blood cells, plasma, platelets, and whole blood. It is necessary for blood transfusion services to offer patients who need blood products safe and affordable blood and blood components for transfusion. Transfusions of red cell concentrate (RCC) are an essential part of contemporary medicine and are administered to hospitalized patients. When PRBC is stored, changes occur called red blood cell storage lesions which affect the quality of packed red blood cells.</w:t>
      </w:r>
    </w:p>
    <w:p w:rsidR="00730E5E" w:rsidRPr="00F945EB" w:rsidRDefault="00641847" w:rsidP="00F945EB">
      <w:pPr>
        <w:spacing w:line="240" w:lineRule="auto"/>
        <w:jc w:val="both"/>
        <w:rPr>
          <w:rFonts w:ascii="Times New Roman" w:hAnsi="Times New Roman" w:cs="Times New Roman"/>
          <w:sz w:val="24"/>
          <w:szCs w:val="24"/>
        </w:rPr>
      </w:pPr>
      <w:proofErr w:type="spellStart"/>
      <w:proofErr w:type="gramStart"/>
      <w:r w:rsidRPr="00F945EB">
        <w:rPr>
          <w:rFonts w:ascii="Times New Roman" w:hAnsi="Times New Roman" w:cs="Times New Roman"/>
          <w:b/>
          <w:iCs/>
          <w:sz w:val="24"/>
          <w:szCs w:val="24"/>
        </w:rPr>
        <w:t>Objective:</w:t>
      </w:r>
      <w:r w:rsidR="00730E5E" w:rsidRPr="00F945EB">
        <w:rPr>
          <w:rFonts w:ascii="Times New Roman" w:hAnsi="Times New Roman" w:cs="Times New Roman"/>
          <w:sz w:val="24"/>
          <w:szCs w:val="24"/>
        </w:rPr>
        <w:t>To</w:t>
      </w:r>
      <w:proofErr w:type="spellEnd"/>
      <w:proofErr w:type="gramEnd"/>
      <w:r w:rsidR="00730E5E" w:rsidRPr="00F945EB">
        <w:rPr>
          <w:rFonts w:ascii="Times New Roman" w:hAnsi="Times New Roman" w:cs="Times New Roman"/>
          <w:sz w:val="24"/>
          <w:szCs w:val="24"/>
        </w:rPr>
        <w:t xml:space="preserve"> evaluate the </w:t>
      </w:r>
      <w:proofErr w:type="spellStart"/>
      <w:r w:rsidR="00730E5E" w:rsidRPr="00F945EB">
        <w:rPr>
          <w:rFonts w:ascii="Times New Roman" w:hAnsi="Times New Roman" w:cs="Times New Roman"/>
          <w:sz w:val="24"/>
          <w:szCs w:val="24"/>
        </w:rPr>
        <w:t>haemolysis</w:t>
      </w:r>
      <w:proofErr w:type="spellEnd"/>
      <w:r w:rsidR="00730E5E" w:rsidRPr="00F945EB">
        <w:rPr>
          <w:rFonts w:ascii="Times New Roman" w:hAnsi="Times New Roman" w:cs="Times New Roman"/>
          <w:sz w:val="24"/>
          <w:szCs w:val="24"/>
        </w:rPr>
        <w:t xml:space="preserve"> status of packed red blood cells prepared by the whole blood settling method and centrifugation method obtained in a zonal blood bank at -Mbeya, Tanzania.</w:t>
      </w:r>
    </w:p>
    <w:p w:rsidR="00641847" w:rsidRPr="00F945EB" w:rsidRDefault="00641847" w:rsidP="00F945EB">
      <w:pPr>
        <w:spacing w:line="240" w:lineRule="auto"/>
        <w:jc w:val="both"/>
        <w:rPr>
          <w:rFonts w:ascii="Times New Roman" w:hAnsi="Times New Roman" w:cs="Times New Roman"/>
          <w:iCs/>
          <w:sz w:val="24"/>
          <w:szCs w:val="24"/>
        </w:rPr>
      </w:pPr>
      <w:r w:rsidRPr="00F945EB">
        <w:rPr>
          <w:rFonts w:ascii="Times New Roman" w:hAnsi="Times New Roman" w:cs="Times New Roman"/>
          <w:b/>
          <w:iCs/>
          <w:sz w:val="24"/>
          <w:szCs w:val="24"/>
        </w:rPr>
        <w:t xml:space="preserve">Methods: </w:t>
      </w:r>
      <w:r w:rsidR="00730E5E" w:rsidRPr="00F945EB">
        <w:rPr>
          <w:rFonts w:ascii="Times New Roman" w:hAnsi="Times New Roman" w:cs="Times New Roman"/>
          <w:iCs/>
          <w:sz w:val="24"/>
          <w:szCs w:val="24"/>
        </w:rPr>
        <w:t xml:space="preserve">A quasi-experimental study design was adopted, blood units were selected, and a complete blood count (CBC) was done at day zero. Blood units were divided into two groups of 16 units each for centrifugation method and sedimentation method for PRBC. Data were recorded, entered into Excel and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with SPSS version 23 for statistical interpretation. The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data were presented in the form of tables, charts and line graphs.  </w:t>
      </w:r>
    </w:p>
    <w:p w:rsidR="00730E5E" w:rsidRPr="00F945EB" w:rsidRDefault="00730E5E" w:rsidP="00F945EB">
      <w:pPr>
        <w:spacing w:after="200" w:line="240" w:lineRule="auto"/>
        <w:jc w:val="both"/>
        <w:rPr>
          <w:rFonts w:ascii="Times New Roman" w:hAnsi="Times New Roman" w:cs="Times New Roman"/>
          <w:sz w:val="24"/>
          <w:szCs w:val="24"/>
        </w:rPr>
      </w:pPr>
      <w:bookmarkStart w:id="3" w:name="_Toc164113360"/>
      <w:bookmarkStart w:id="4" w:name="_Toc377301727"/>
      <w:bookmarkStart w:id="5" w:name="_Toc13169"/>
      <w:bookmarkStart w:id="6" w:name="_Toc92764142"/>
      <w:r w:rsidRPr="00F945EB">
        <w:rPr>
          <w:rFonts w:ascii="Times New Roman" w:hAnsi="Times New Roman" w:cs="Times New Roman"/>
          <w:b/>
          <w:sz w:val="24"/>
          <w:szCs w:val="24"/>
        </w:rPr>
        <w:t>Results</w:t>
      </w:r>
      <w:r w:rsidRPr="00F945EB">
        <w:rPr>
          <w:rFonts w:ascii="Times New Roman" w:hAnsi="Times New Roman" w:cs="Times New Roman"/>
          <w:sz w:val="24"/>
          <w:szCs w:val="24"/>
        </w:rPr>
        <w:t xml:space="preserve">: In this study, from day 7th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method, by the 28th day storage period, the hemolysis levels increased to 0.52 ± 0.12% in the centrifugation and 0.39 ± 0.10% in the settling.  </w:t>
      </w:r>
    </w:p>
    <w:p w:rsidR="00FF15D7"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b/>
          <w:sz w:val="24"/>
          <w:szCs w:val="24"/>
        </w:rPr>
        <w:t>Conclusion:</w:t>
      </w:r>
      <w:r w:rsidRPr="00F945EB">
        <w:rPr>
          <w:rFonts w:ascii="Times New Roman" w:hAnsi="Times New Roman" w:cs="Times New Roman"/>
          <w:sz w:val="24"/>
          <w:szCs w:val="24"/>
        </w:rPr>
        <w:t xml:space="preserv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 the settling method is lower than in the centrifugation method. The study found that centrifugation resulted in slightly higher hemolysis compared to settling, but the difference was not significant enough to affect the clinical efficacy of the </w:t>
      </w:r>
      <w:proofErr w:type="spellStart"/>
      <w:proofErr w:type="gramStart"/>
      <w:r w:rsidRPr="00F945EB">
        <w:rPr>
          <w:rFonts w:ascii="Times New Roman" w:hAnsi="Times New Roman" w:cs="Times New Roman"/>
          <w:sz w:val="24"/>
          <w:szCs w:val="24"/>
        </w:rPr>
        <w:t>transfusions.</w:t>
      </w:r>
      <w:r w:rsidR="00DA1F26" w:rsidRPr="00F945EB">
        <w:rPr>
          <w:rFonts w:ascii="Times New Roman" w:hAnsi="Times New Roman" w:cs="Times New Roman"/>
          <w:sz w:val="24"/>
          <w:szCs w:val="24"/>
        </w:rPr>
        <w:t>Highlight</w:t>
      </w:r>
      <w:proofErr w:type="spellEnd"/>
      <w:proofErr w:type="gramEnd"/>
      <w:r w:rsidR="00DA1F26" w:rsidRPr="00F945EB">
        <w:rPr>
          <w:rFonts w:ascii="Times New Roman" w:hAnsi="Times New Roman" w:cs="Times New Roman"/>
          <w:sz w:val="24"/>
          <w:szCs w:val="24"/>
        </w:rPr>
        <w:t xml:space="preserve"> that differences were statistically insignificant.</w:t>
      </w:r>
    </w:p>
    <w:p w:rsidR="006A4008" w:rsidRPr="00F945EB" w:rsidRDefault="0091203D" w:rsidP="00F945EB">
      <w:pPr>
        <w:spacing w:after="200" w:line="240" w:lineRule="auto"/>
        <w:jc w:val="both"/>
        <w:rPr>
          <w:rFonts w:ascii="Times New Roman" w:hAnsi="Times New Roman" w:cs="Times New Roman"/>
          <w:sz w:val="24"/>
          <w:szCs w:val="24"/>
        </w:rPr>
        <w:sectPr w:rsidR="006A4008" w:rsidRPr="00F945EB" w:rsidSect="00641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upperRoman" w:start="1"/>
          <w:cols w:space="720"/>
          <w:docGrid w:linePitch="360"/>
        </w:sectPr>
      </w:pPr>
      <w:r w:rsidRPr="00F945EB">
        <w:rPr>
          <w:rFonts w:ascii="Times New Roman" w:eastAsia="Times New Roman" w:hAnsi="Times New Roman" w:cs="Times New Roman"/>
          <w:b/>
          <w:sz w:val="24"/>
          <w:szCs w:val="24"/>
        </w:rPr>
        <w:t>Key</w:t>
      </w:r>
      <w:r w:rsidR="00BC631E">
        <w:rPr>
          <w:rFonts w:ascii="Times New Roman" w:eastAsia="Times New Roman" w:hAnsi="Times New Roman" w:cs="Times New Roman"/>
          <w:b/>
          <w:sz w:val="24"/>
          <w:szCs w:val="24"/>
        </w:rPr>
        <w:t>words</w:t>
      </w:r>
      <w:r w:rsidRPr="00F945EB">
        <w:rPr>
          <w:rFonts w:ascii="Times New Roman" w:eastAsia="Times New Roman" w:hAnsi="Times New Roman" w:cs="Times New Roman"/>
          <w:b/>
          <w:sz w:val="24"/>
          <w:szCs w:val="24"/>
        </w:rPr>
        <w:t xml:space="preserve">: </w:t>
      </w:r>
      <w:r w:rsidRPr="00F945EB">
        <w:rPr>
          <w:rFonts w:ascii="Times New Roman" w:eastAsia="Times New Roman" w:hAnsi="Times New Roman" w:cs="Times New Roman"/>
          <w:sz w:val="24"/>
          <w:szCs w:val="24"/>
        </w:rPr>
        <w:t xml:space="preserve">Packed red blood cells, Whole blood, </w:t>
      </w:r>
      <w:proofErr w:type="spellStart"/>
      <w:r w:rsidRPr="00F945EB">
        <w:rPr>
          <w:rFonts w:ascii="Times New Roman" w:eastAsia="Times New Roman" w:hAnsi="Times New Roman" w:cs="Times New Roman"/>
          <w:sz w:val="24"/>
          <w:szCs w:val="24"/>
        </w:rPr>
        <w:t>Haemolysis</w:t>
      </w:r>
      <w:proofErr w:type="spellEnd"/>
      <w:r w:rsidRPr="00F945EB">
        <w:rPr>
          <w:rFonts w:ascii="Times New Roman" w:eastAsia="Times New Roman" w:hAnsi="Times New Roman" w:cs="Times New Roman"/>
          <w:sz w:val="24"/>
          <w:szCs w:val="24"/>
        </w:rPr>
        <w:t>, Transfusion, blood storage lesion, blood components</w:t>
      </w:r>
    </w:p>
    <w:p w:rsidR="003220A8" w:rsidRPr="00F945EB" w:rsidRDefault="003220A8" w:rsidP="00F945EB">
      <w:pPr>
        <w:pStyle w:val="Heading1"/>
        <w:spacing w:line="240" w:lineRule="auto"/>
        <w:jc w:val="both"/>
        <w:rPr>
          <w:rFonts w:ascii="Times New Roman" w:hAnsi="Times New Roman" w:cs="Times New Roman"/>
          <w:sz w:val="24"/>
          <w:szCs w:val="24"/>
        </w:rPr>
      </w:pPr>
      <w:bookmarkStart w:id="7" w:name="_Toc164113361"/>
      <w:bookmarkStart w:id="8" w:name="_Toc193290999"/>
      <w:bookmarkEnd w:id="3"/>
      <w:bookmarkEnd w:id="4"/>
      <w:bookmarkEnd w:id="5"/>
      <w:bookmarkEnd w:id="6"/>
      <w:r w:rsidRPr="00F945EB">
        <w:rPr>
          <w:rFonts w:ascii="Times New Roman" w:hAnsi="Times New Roman" w:cs="Times New Roman"/>
          <w:sz w:val="24"/>
          <w:szCs w:val="24"/>
        </w:rPr>
        <w:lastRenderedPageBreak/>
        <w:t>INTRODUCTION</w:t>
      </w:r>
      <w:bookmarkEnd w:id="7"/>
      <w:bookmarkEnd w:id="8"/>
    </w:p>
    <w:p w:rsidR="00EB07C0" w:rsidRPr="00F945EB" w:rsidRDefault="006530FB" w:rsidP="00F945EB">
      <w:pPr>
        <w:tabs>
          <w:tab w:val="left" w:pos="3204"/>
        </w:tabs>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A blood transfusion refers to the safe process of intravenously delivering blood or its components, such as packed red blood cells, plasma, platelets,</w:t>
      </w:r>
      <w:r w:rsidR="0018552B" w:rsidRPr="00F945EB">
        <w:rPr>
          <w:rFonts w:ascii="Times New Roman" w:hAnsi="Times New Roman" w:cs="Times New Roman"/>
          <w:sz w:val="24"/>
          <w:szCs w:val="24"/>
        </w:rPr>
        <w:t xml:space="preserve"> or whole blood, to a recipient </w:t>
      </w:r>
      <w:r w:rsidR="00541204" w:rsidRPr="00F945EB">
        <w:rPr>
          <w:rFonts w:ascii="Times New Roman" w:hAnsi="Times New Roman" w:cs="Times New Roman"/>
          <w:sz w:val="24"/>
          <w:szCs w:val="24"/>
        </w:rPr>
        <w:fldChar w:fldCharType="begin" w:fldLock="1"/>
      </w:r>
      <w:r w:rsidR="00573F2C" w:rsidRPr="00F945EB">
        <w:rPr>
          <w:rFonts w:ascii="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EB07C0" w:rsidRPr="00F945EB">
        <w:rPr>
          <w:rFonts w:ascii="Times New Roman" w:hAnsi="Times New Roman" w:cs="Times New Roman"/>
          <w:noProof/>
          <w:sz w:val="24"/>
          <w:szCs w:val="24"/>
        </w:rPr>
        <w:t>(1)</w:t>
      </w:r>
      <w:r w:rsidR="00541204" w:rsidRPr="00F945EB">
        <w:rPr>
          <w:rFonts w:ascii="Times New Roman" w:hAnsi="Times New Roman" w:cs="Times New Roman"/>
          <w:sz w:val="24"/>
          <w:szCs w:val="24"/>
        </w:rPr>
        <w:fldChar w:fldCharType="end"/>
      </w:r>
      <w:r w:rsidR="00B34C5A" w:rsidRPr="00F945EB">
        <w:rPr>
          <w:rFonts w:ascii="Times New Roman" w:hAnsi="Times New Roman" w:cs="Times New Roman"/>
          <w:sz w:val="24"/>
          <w:szCs w:val="24"/>
        </w:rPr>
        <w:t>.</w:t>
      </w:r>
      <w:r w:rsidRPr="00F945EB">
        <w:rPr>
          <w:rFonts w:ascii="Times New Roman" w:hAnsi="Times New Roman" w:cs="Times New Roman"/>
          <w:sz w:val="24"/>
          <w:szCs w:val="24"/>
        </w:rPr>
        <w:t xml:space="preserve">Safe blood transfusions rely on ensuring donor safety, addressing patient-specific needs, conducting accurate laboratory cross-matching, and maintaining the integrity of stored red blood cells (RBCs). According to the World Health Organization (WHO), countries should maintain a blood supply equivalent to at least 1% of their population to adequately meet clinical demands </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{"citationItems":[{"id":"ITEM-1","itemData":{"DOI":"10.31983/jrk.v11i1.8506","ISSN":"2252-5068","abstract":"Blood Transfusion Service Standards aim to ensure the safety high quality and sufficient blood services sufficient blood reserve. The standard for blood requirements for each country according to WHO is at least 2% of the total population. The population in Indonesia has increased every year so the need for blood is also increasing causing demands for causing the quality of blood services to be better. One of the demands for the quality of blood services by knowing is to know the quality control of the blood produced. One of the blood products produced is PRC. PRC Packed Red Cells quality control checks must be carried out to determine the quality of the PRCs produced.  This study aims to determine the overall quality control of PRC and the results of PRC quality control based on (volume, hemoglobin, hematocrit, hemolysis, and bacterial contamination) in the Blood Donation Unit of Banyumas Regency in 2020. This type of research is descriptive. Sampling technique with a sample quota as much as the total sample quality control packed red cell test obtained 1% of the total production of PRC components every month in the Blood Donation Unit of Banyumas. The QC research results were obtained from 430 PRC samples that met the passing standards: 426 samples (99%) volume, 426 samples (99%) hemoglobin, 380 samples (88%) hematocrit, 429 samples (99.7%) hemolysis, and 426 samples (99%) passed from bacterial contamination. The number of QCs who qualified was 373 samples (87%). These results indicate that the 2020 PRC QC obtained good and satisfying results.","author":[{"dropping-particle":"","family":"Astutiningtiyas","given":"Silvi","non-dropping-particle":"","parse-names":false,"suffix":""},{"dropping-particle":"","family":"Rusyadi","given":"Luthfi","non-dropping-particle":"","parse-names":false,"suffix":""},{"dropping-particle":"","family":"Kartikasari","given":"Yeti","non-dropping-particle":"","parse-names":false,"suffix":""}],"container-title":"Jurnal Riset Kesehatan","id":"ITEM-1","issued":{"date-parts":[["2022"]]},"title":"QUALITY CONTROL OF PACKED RED CELL (PRC) PRODUCT IN BLOOD DONATION UNIT","type":"article-journal"},"uris":["http://www.mendeley.com/documents/?uuid=83b71a55-99a8-44b9-84b3-be29d01505b3","http://www.mendeley.com/documents/?uuid=0c441794-7d4e-4edb-9887-ed3305b26945"]}],"mendeley":{"formattedCitation":"(2)","plainTextFormattedCitation":"(2)","previouslyFormattedCitation":"(2)"},"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(2)</w:t>
      </w:r>
      <w:r w:rsidR="00541204" w:rsidRPr="00F945EB">
        <w:rPr>
          <w:rFonts w:ascii="Times New Roman" w:eastAsia="Times New Roman" w:hAnsi="Times New Roman" w:cs="Times New Roman"/>
          <w:sz w:val="24"/>
          <w:szCs w:val="24"/>
        </w:rPr>
        <w:fldChar w:fldCharType="end"/>
      </w:r>
      <w:r w:rsidR="00A371C9" w:rsidRPr="00F945EB">
        <w:rPr>
          <w:rFonts w:ascii="Times New Roman" w:hAnsi="Times New Roman" w:cs="Times New Roman"/>
          <w:sz w:val="24"/>
          <w:szCs w:val="24"/>
        </w:rPr>
        <w:t>.</w:t>
      </w:r>
      <w:r w:rsidRPr="00F945EB">
        <w:rPr>
          <w:rFonts w:ascii="Times New Roman" w:hAnsi="Times New Roman" w:cs="Times New Roman"/>
          <w:sz w:val="24"/>
          <w:szCs w:val="24"/>
        </w:rPr>
        <w:t xml:space="preserve">Blood transfusion services must prioritize providing safe, accessible blood products tailored to patient requirements </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{"citationItems":[{"id":"ITEM-1","itemData":{"DOI":"10.4314/asan.v24i1.2","ISSN":"1560-8646","abstract":"Background: The global scarcity of blood with imbalanced level of safety is not an exception in Tanzania. This necessitates rational use of blood components to optimise the usage of the available blood components to save lives while instituting safety measures to ensure that blood transfusion is safe. This audit aimed to determine current hospital practices about the appropriateness of transfusions of red cells, platelet and fresh-frozen plasma (FFP) in referral hospitals.Methods: This was a retrospective cross-sectional study involving secondary data of 1,150 index transfusions from twelve referral hospitals. Multistage cluster and random sampling procedures were used to obtain referral hospitals and index transfusions from blood bank registers respectively. Data were analysed using Stata version 14.1. The categorical variables were summarised into frequency and percentages, while continuous variables were summarised into median with their interquartile range.Results: In the present audit, 1 150 index blood transfusion episodes were recorded, with only (n=468; 40.7%) indicating the type of blood component in the request form. Among blood component indicated by type, 460 whole blood/red cells units were requested and transfused. Out of 460 blood units, less than one third (n=151; 32.8%) were appropriately transfused. The rest of the blood components FFP (n=3) and platelet concentrate (n=5) were inappropriately transfused.Conclusions: The study highlighted a low proportion of appropriate usage of blood and blood component. Educational efforts addressing appropriate use of blood component should be strengthened in transfusing hospitals with emphasis on proper documentation along with scale-up blood component production in the country.\r Contexte : La pénurie mondiale de sang avec un niveau de sécurité déséquilibré n'est pas une exception en Tanzanie. Cela nécessite une utilisation rationnelle des composants sanguins pour optimiser l'utilisation des composants sanguins disponibles pour sauver des vies tout en instituant des mesures de sécurité pour garantir la sécurité de la transfusion sanguine. Cet audit visait à déterminer les pratiques hospitalières actuelles quant à la pertinence des transfusions de globules rouges, de plaquettes et de plasma frais congelé (PFC) dans les hôpitaux de référence.Méthodes : Il s'agissait d'une étude transversale rétrospective impliquant des données secondaires de 1 150 transfusions index de douzehôpitaux de référence. Des …","author":[{"dropping-particle":"","family":"Bhombo","given":"AJ","non-dropping-particle":"","parse-names":false,"suffix":""},{"dropping-particle":"","family":"Mwashiuya","given":"O","non-dropping-particle":"","parse-names":false,"suffix":""},{"dropping-particle":"","family":"Mauka","given":"WI","non-dropping-particle":"","parse-names":false,"suffix":""},{"dropping-particle":"","family":"Mgasa","given":"A","non-dropping-particle":"","parse-names":false,"suffix":""},{"dropping-particle":"","family":"Ngerageza","given":"IM","non-dropping-particle":"","parse-names":false,"suffix":""},{"dropping-particle":"","family":"Mogella","given":"D.","non-dropping-particle":"","parse-names":false,"suffix":""},{"dropping-particle":"","family":"Lyimo","given":"MA","non-dropping-particle":"","parse-names":false,"suffix":""}],"container-title":"Africa Sanguine","id":"ITEM-1","issued":{"date-parts":[["2022"]]},"title":"Appropriateness of transfusions of red cells, platelets and fresh frozen plasma: An audit in referral hospitals in Tanzania","type":"article-journal"},"uris":["http://www.mendeley.com/documents/?uuid=917b9f0c-f0fa-48c5-b772-68fa1d40870b"]}],"mendeley":{"formattedCitation":"(3)","plainTextFormattedCitation":"(3)","previouslyFormattedCitation":"(3)"},"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(3)</w:t>
      </w:r>
      <w:r w:rsidR="00541204" w:rsidRPr="00F945EB">
        <w:rPr>
          <w:rFonts w:ascii="Times New Roman" w:eastAsia="Times New Roman" w:hAnsi="Times New Roman" w:cs="Times New Roman"/>
          <w:sz w:val="24"/>
          <w:szCs w:val="24"/>
        </w:rPr>
        <w:fldChar w:fldCharType="end"/>
      </w:r>
      <w:r w:rsidR="00D30D35" w:rsidRPr="00F945EB">
        <w:rPr>
          <w:rFonts w:ascii="Times New Roman" w:hAnsi="Times New Roman" w:cs="Times New Roman"/>
          <w:sz w:val="24"/>
          <w:szCs w:val="24"/>
        </w:rPr>
        <w:t>.</w:t>
      </w:r>
      <w:r w:rsidRPr="00F945EB">
        <w:rPr>
          <w:rFonts w:ascii="Times New Roman" w:hAnsi="Times New Roman" w:cs="Times New Roman"/>
          <w:sz w:val="24"/>
          <w:szCs w:val="24"/>
        </w:rPr>
        <w:t>These components, including packed red blood cells (PRBCs), are derived from whole blood using techniques like centrifugation or apheresis</w:t>
      </w:r>
      <w:r w:rsidR="00541204"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(1)</w:t>
      </w:r>
      <w:r w:rsidR="00541204" w:rsidRPr="00F945EB">
        <w:rPr>
          <w:rFonts w:ascii="Times New Roman" w:eastAsia="Times New Roman" w:hAnsi="Times New Roman" w:cs="Times New Roman"/>
          <w:sz w:val="24"/>
          <w:szCs w:val="24"/>
        </w:rPr>
        <w:fldChar w:fldCharType="end"/>
      </w:r>
      <w:r w:rsidR="00157BCD"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Historically, whole blood was the primary source for platelets, plasma, and RBCs, but modern processing now emphasizes plasma removal to mitigate risks associated with leukoreduction—reducing white blood cells to lower transmission of viruses such as cytomegalovirus, HTLV I/II, Epstein-Barr virus, and herpes virus-8, as well as minimizing immune reactions in recipients </w:t>
      </w:r>
      <w:r w:rsidR="00541204"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{"citationItems":[{"id":"ITEM-1","itemData":{"DOI":"10.1016/j.transci.2020.102738","ISSN":"18781683","PMID":"32051099","abstract":"Background: Donated blood is stored in the blood bank as packed red blood cell units. In the process of packed cells preparation, the red blood cells (RBCs) are subjectedto high level of shear stress, which can induce alterations in their properties. In the present study, we examined the effect of packed RBCs preparation (which included leuko-filtration) on red cell deformability. Methods: Blood samples were collected from 25 healthy donors and from corresponding units of packed RBCs. The portion of undeformable cells (%UDFC) was determined for each sample. Results: The median value of %UDFC was equal to 6.75 ± 0.70 %, for freshly-donated RBCs, and to 6.36 ± 0.51 %, for packed cells. Wherein, %UDFC may increase or decrease following packed cells preparation, depending upon the initial portion of undeformable cells. Conclusion: Likely, exposure of RBCs to high shear stress, during packed cells preparation, induces opposing effects: (a) removal/destruction of rigid (undeformable) cells, thereby reducing their total amount (i.e., decreasing the %UDFC) on the one hand, and (b) mechanical damage to the cell membrane and subsequent reduction of the cell deformability (thereby increasing the %UDFC) on the other. As a consequence, the final impact of packed cells preparation is primarily determined by the initial state of erythrocytes in the blood of the donor.","author":[{"dropping-particle":"","family":"Barshtein","given":"Gregory","non-dropping-particle":"","parse-names":false,"suffix":""},{"dropping-particle":"","family":"Gural","given":"Alexander","non-dropping-particle":"","parse-names":false,"suffix":""},{"dropping-particle":"","family":"Zelig","given":"Orly","non-dropping-particle":"","parse-names":false,"suffix":""},{"dropping-particle":"","family":"Arbell","given":"Dan","non-dropping-particle":"","parse-names":false,"suffix":""},{"dropping-particle":"","family":"Yedgar","given":"Saul","non-dropping-particle":"","parse-names":false,"suffix":""}],"container-title":"Transfusion and Apheresis Science","id":"ITEM-1","issued":{"date-parts":[["2020"]]},"title":"Preparation of packed red blood cell units in the blood bank: Alteration in red blood cell deformability","type":"article-journal"},"uris":["http://www.mendeley.com/documents/?uuid=fb311516-7fbb-4d14-8e91-0e1bc06fe6c7"]}],"mendeley":{"formattedCitation":"(5)","plainTextFormattedCitation":"(5)","previouslyFormattedCitation":"(5)"},"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(5)</w:t>
      </w:r>
      <w:r w:rsidR="00541204" w:rsidRPr="00F945EB">
        <w:rPr>
          <w:rFonts w:ascii="Times New Roman" w:eastAsia="Times New Roman" w:hAnsi="Times New Roman" w:cs="Times New Roman"/>
          <w:sz w:val="24"/>
          <w:szCs w:val="24"/>
        </w:rPr>
        <w:fldChar w:fldCharType="end"/>
      </w:r>
      <w:r w:rsidR="00384E4C"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Red cell concentrate (RCC) transfusions are critical in modern healthcare, particularly in Sub-Saharan Africa, where anemia from malaria, malnutrition, sickle cell disease, and thalassemia drives demand. PRBCs are vital for restoring oxygen transport in such cases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{"citationItems":[{"id":"ITEM-1","itemData":{"DOI":"10.1111/voxs.12507","ISSN":"1751-2816","abstract":"In many countries in sub‐Saharan Africa ( sSA ) whole blood is more commonly available from blood transfusion services than red cell concentrates. Although in recent years, many countries have made significant progress in the implementing component preparation, this has largely been facilitated by external funding support. The large majority of rather than none of the sSA countries are leucocyte‐reducing or irradiating blood for transfusion. Systems for the routine detection of adverse consequences of blood transfusions (haemovigilance) only exist where transfusion safety has been identified as a health priority by the government. As a resource, the availability of blood transfusion in these countries is limited since less than 5 units of blood were donated per 1000 population far below the recommended requirement of 20 units/1000 per year. Young children are the main users of blood for transfusion in these sSA regions, largely due severe anaemia secondary to infection and sickle cell anaemia. Outcomes for children with severe anaemia are poor, even in those receiving a transfusion. Although it has been speculated that this may be due to transfusion‐related cardiac or pulmonary events, available data from observational studies and clinical trials indicate that these are rare complications of transfusion. Evidence from clinical physiology studies including those examining myocardial functions before and after the receipt of whole blood provide reassuring evidence that volume overload is rare and clinical trials reporting outcomes in children receiving whole blood transfusion, including a Phase II trial examining higher volumes, indicate that there is no evidence of cardiac or pulmonary overload events.","author":[{"dropping-particle":"","family":"Uyoga","given":"Sophie","non-dropping-particle":"","parse-names":false,"suffix":""},{"dropping-particle":"","family":"Maitland","given":"Kathryn","non-dropping-particle":"","parse-names":false,"suffix":""}],"container-title":"ISBT Science Series","id":"ITEM-1","issue":"3","issued":{"date-parts":[["2019"]]},"page":"300-307","title":"Use of whole blood as the routine transfusion product in Africa","type":"article-journal","volume":"14"},"uris":["http://www.mendeley.com/documents/?uuid=2c487d7c-b401-4aef-adf3-b432224be195"]}],"mendeley":{"formattedCitation":"(9)","plainTextFormattedCitation":"(9)","previouslyFormattedCitation":"(9)"},"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(9)</w:t>
      </w:r>
      <w:r w:rsidR="00541204" w:rsidRPr="00F945EB">
        <w:rPr>
          <w:rFonts w:ascii="Times New Roman" w:hAnsi="Times New Roman" w:cs="Times New Roman"/>
          <w:sz w:val="24"/>
          <w:szCs w:val="24"/>
        </w:rPr>
        <w:fldChar w:fldCharType="end"/>
      </w:r>
      <w:r w:rsidR="00ED2ABC"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However, resource constraints in low-income regions often limit access to advanced blood-processing equipment </w:t>
      </w:r>
      <w:r w:rsidR="00541204"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541204"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(10)</w:t>
      </w:r>
      <w:r w:rsidR="00541204" w:rsidRPr="00F945EB">
        <w:rPr>
          <w:rFonts w:ascii="Times New Roman" w:eastAsia="Times New Roman" w:hAnsi="Times New Roman" w:cs="Times New Roman"/>
          <w:sz w:val="24"/>
          <w:szCs w:val="24"/>
        </w:rPr>
        <w:fldChar w:fldCharType="end"/>
      </w:r>
      <w:r w:rsidR="00D4301F" w:rsidRPr="00F945EB">
        <w:rPr>
          <w:rFonts w:ascii="Times New Roman" w:eastAsia="Times New Roman" w:hAnsi="Times New Roman" w:cs="Times New Roman"/>
          <w:b/>
          <w:sz w:val="24"/>
          <w:szCs w:val="24"/>
        </w:rPr>
        <w:t>.</w:t>
      </w:r>
      <w:r w:rsidR="004E370F" w:rsidRPr="00F945EB">
        <w:rPr>
          <w:rFonts w:ascii="Times New Roman" w:hAnsi="Times New Roman" w:cs="Times New Roman"/>
          <w:sz w:val="24"/>
          <w:szCs w:val="24"/>
        </w:rPr>
        <w:t xml:space="preserve">This research examines diverse techniques for processing blood and their influence on the quality of packed red blood cells (PRBCs). By analyzing levels of </w:t>
      </w:r>
      <w:proofErr w:type="spellStart"/>
      <w:r w:rsidR="004E370F" w:rsidRPr="00F945EB">
        <w:rPr>
          <w:rFonts w:ascii="Times New Roman" w:hAnsi="Times New Roman" w:cs="Times New Roman"/>
          <w:sz w:val="24"/>
          <w:szCs w:val="24"/>
        </w:rPr>
        <w:t>haemolysis</w:t>
      </w:r>
      <w:proofErr w:type="spellEnd"/>
      <w:r w:rsidR="004E370F" w:rsidRPr="00F945EB">
        <w:rPr>
          <w:rFonts w:ascii="Times New Roman" w:hAnsi="Times New Roman" w:cs="Times New Roman"/>
          <w:sz w:val="24"/>
          <w:szCs w:val="24"/>
        </w:rPr>
        <w:t xml:space="preserve"> in PRBCs generated through distinct methods, the study seeks to uncover variations in the integrity of the blood product and its subsequent effectiveness in transfusion scenario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(6)</w:t>
      </w:r>
      <w:r w:rsidR="00541204" w:rsidRPr="00F945EB">
        <w:rPr>
          <w:rFonts w:ascii="Times New Roman" w:hAnsi="Times New Roman" w:cs="Times New Roman"/>
          <w:sz w:val="24"/>
          <w:szCs w:val="24"/>
        </w:rPr>
        <w:fldChar w:fldCharType="end"/>
      </w:r>
      <w:r w:rsidR="00034C25"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This study evaluates the storage stability of packed red blood cells (PRBCs) in comparison, analyzing aspects such as hemolytic characteristics to optimize transfusion protocols and guide </w:t>
      </w:r>
      <w:r w:rsidR="0018552B" w:rsidRPr="00F945EB">
        <w:rPr>
          <w:rFonts w:ascii="Times New Roman" w:hAnsi="Times New Roman" w:cs="Times New Roman"/>
          <w:sz w:val="24"/>
          <w:szCs w:val="24"/>
        </w:rPr>
        <w:t xml:space="preserve">the selection of blood products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{"citationItems":[{"id":"ITEM-1","itemData":{"DOI":"10.3389/fphys.2021.722896","ISSN":"1664042X","abstract":"Red blood cells (RBCs) deformability refers to the cells’ ability to adapt their shape to the dynamically changing flow conditions so as to minimize their resistance to flow. The high red cell deformability enables it to pass through small blood vessels and significantly determines erythrocyte survival. Under normal physiological states, the RBCs are attuned to allow for adequate blood flow. However, rigid erythrocytes can disrupt the perfusion of peripheral tissues and directly block microvessels. Therefore, RBC deformability has been recognized as a sensitive indicator of RBC functionality. The loss of deformability, which a change in the cell shape can cause, modification of cell membrane or a shift in cytosol composition, can occur due to various pathological conditions or as a part of normal RBC aging (in vitro or in vivo). However, despite extensive research, we still do not fully understand the processes leading to increased cell rigidity under cold storage conditions in a blood bank (in vitro aging), In the present review, we discuss publications that examined the effect of RBCs’ cold storage on their deformability and the biological mechanisms governing this change. We first discuss the change in the deformability of cells during their cold storage. After that, we consider storage-related alterations in RBCs features, which can lead to impaired cell deformation. Finally, we attempt to trace a causal relationship between the observed phenomena and offer recommendations for improving the functionality of stored cells.","author":[{"dropping-particle":"","family":"Barshtein","given":"Gregory","non-dropping-particle":"","parse-names":false,"suffix":""},{"dropping-particle":"","family":"Pajic-Lijakovic","given":"Ivana","non-dropping-particle":"","parse-names":false,"suffix":""},{"dropping-particle":"","family":"Gural","given":"Alexander","non-dropping-particle":"","parse-names":false,"suffix":""}],"container-title":"Frontiers in Physiology","id":"ITEM-1","issued":{"date-parts":[["2021"]]},"title":"Deformability of Stored Red Blood Cells","type":"article"},"uris":["http://www.mendeley.com/documents/?uuid=0821ae73-ca90-4c3f-98b1-a7e8f1119a2b"]}],"mendeley":{"formattedCitation":"(11)","plainTextFormattedCitation":"(11)","previouslyFormattedCitation":"(11)"},"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(11)</w:t>
      </w:r>
      <w:r w:rsidR="00541204" w:rsidRPr="00F945EB">
        <w:rPr>
          <w:rFonts w:ascii="Times New Roman" w:hAnsi="Times New Roman" w:cs="Times New Roman"/>
          <w:sz w:val="24"/>
          <w:szCs w:val="24"/>
        </w:rPr>
        <w:fldChar w:fldCharType="end"/>
      </w:r>
      <w:r w:rsidR="00E3317B"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The whole blood settling technique functions by utilizing gravitational force to enable the natural sedimentation process, during which red blood cells gradually descend and collect at the base of the storag</w:t>
      </w:r>
      <w:r w:rsidR="009E3F25" w:rsidRPr="00F945EB">
        <w:rPr>
          <w:rFonts w:ascii="Times New Roman" w:hAnsi="Times New Roman" w:cs="Times New Roman"/>
          <w:sz w:val="24"/>
          <w:szCs w:val="24"/>
        </w:rPr>
        <w:t xml:space="preserve">e container as time progresses </w:t>
      </w:r>
      <w:r w:rsidR="00541204"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541204"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(10)</w:t>
      </w:r>
      <w:r w:rsidR="00541204" w:rsidRPr="00F945EB">
        <w:rPr>
          <w:rFonts w:ascii="Times New Roman" w:eastAsia="Times New Roman" w:hAnsi="Times New Roman" w:cs="Times New Roman"/>
          <w:color w:val="000000" w:themeColor="text1"/>
          <w:sz w:val="24"/>
          <w:szCs w:val="24"/>
        </w:rPr>
        <w:fldChar w:fldCharType="end"/>
      </w:r>
      <w:r w:rsidR="00730E5E"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Unlike other methods, centrifugation uses centrifugal force to quickly separate blood into its components, offering exact control over the parameters of the separation process</w:t>
      </w:r>
      <w:r w:rsidR="00541204"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{"citationItems":[{"id":"ITEM-1","itemData":{"DOI":"10.4103/gfsc.gfsc_15_19","ISSN":"2589-7330","abstract":"&lt;br&gt;Investigations of endogenous blood-derived growth factors have increased in the past two decades. The initial protocols for blood concentrates, such as platelet-rich-plasma, utilized anticoagulants followed by bovine thrombin to catalyze fibrin polymerization. Subsequently, platelet-rich-fibrin (PRF) protocol was developed to eliminate anticoagulants and thrombin. The PRF production was described in a vertical rotor centrifuge with an angle of ~33°. Many commercial enterprises have attempted to replicate this protocol with a multitude of different centrifuges. These attempts have utilized revolutions per minute (RPM) to develop their protocol to generate PRF. However, RPM is a variable parameter, as it depends on the design and radius of the centrifuge. The separation of blood components is highly dependent on the relative centrifugal force (RCF) generated, which is based on the applied centrifugal force, expressed as multiples of earth's gravitation (&lt;i&gt;g&lt;/i&gt;) field. RCF is a function of the acceleration due to the gravity of the earth, &lt;i&gt;g&lt;/i&gt; = 9.81 m/s&lt;sup&gt;2&lt;/sup&gt; RCF, not RPM, is the key factor for the sedimentation of the cells and proteins within blood concentrates. RCF is determined using the maximum centrifuge radius for calculation. The initial PRF was generated by applying an RCF of 700 &lt;i&gt;×g&lt;/i&gt;. Accordingly, so far, a large number of studies existing about PRF are not comparable, as they were technically prepared with different RCFs. In addition, due to the nonstandardized measurement methods, in some published studies, incorrect RCF values are published as the authors did not know how to calculate the RCF correctly. This is the case for a widespread blood concentrate called leukocyte-PRF, which is commercially available. Recently, we introduced the low-speed centrifugation concept (LSCC) for the production for solid and liquid PRF matrices. This concept is based on the above-mentioned initial PRF protocols, which represents a relatively high RCF. It shows that a systematic reduction of 700 &lt;i&gt;×g&lt;/i&gt; to 44 &lt;i&gt;×g&lt;/i&gt; can significantly increase the cells and growth factors within the same blood concentrates. The LSCC concept was established initially for a fixed rotor centrifuge with a radius of ~110 mm. The present narrative review highlights the necessity of standardization in the generation of blood concentrates, which utilizes RCF, rather than commercial protocols.&lt;br&gt;","author":[{"dropping-particle":"","family":"Ghanaati","given":"Shahram","non-dropping-particle":"","parse-names":false,"suffix":""},{"dropping-particle":"","family":"Mourão","given":"CarlosFernando","non-dropping-particle":"","parse-names":false,"suffix":""},{"dropping-particle":"","family":"Adam","given":"ElisabethH","non-dropping-particle":"","parse-names":false,"suffix":""},{"dropping-particle":"","family":"Sader","given":"Robert","non-dropping-particle":"","parse-names":false,"suffix":""},{"dropping-particle":"","family":"Zadeh","given":"HomayounH","non-dropping-particle":"","parse-names":false,"suffix":""},{"dropping-particle":"","family":"Al-Maawi","given":"Sarah","non-dropping-particle":"","parse-names":false,"suffix":""}],"container-title":"International Journal of Growth Factors and Stem Cells in Dentistry","id":"ITEM-1","issued":{"date-parts":[["2019"]]},"title":"The role of centrifugation process in the preparation of therapeutic blood concentrates: Standardization of the protocols to improve reproducibility","type":"article-journal"},"uris":["http://www.mendeley.com/documents/?uuid=cd8b889c-5a7a-44fd-8f8f-68d0db7e9c2c","http://www.mendeley.com/documents/?uuid=9312459d-330f-499b-8795-a0038d0477be"]}],"mendeley":{"formattedCitation":"(12)","plainTextFormattedCitation":"(12)","previouslyFormattedCitation":"(12)"},"properties":{"noteIndex":0},"schema":"https://github.com/citation-style-language/schema/raw/master/csl-citation.json"}</w:instrText>
      </w:r>
      <w:r w:rsidR="00541204"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(12)</w:t>
      </w:r>
      <w:r w:rsidR="00541204" w:rsidRPr="00F945EB">
        <w:rPr>
          <w:rFonts w:ascii="Times New Roman" w:eastAsia="Times New Roman" w:hAnsi="Times New Roman" w:cs="Times New Roman"/>
          <w:color w:val="000000" w:themeColor="text1"/>
          <w:sz w:val="24"/>
          <w:szCs w:val="24"/>
        </w:rPr>
        <w:fldChar w:fldCharType="end"/>
      </w:r>
      <w:r w:rsidR="00E3317B"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 xml:space="preserve">When blood cells are refrigerated between 1°C and 6°C, they may undergo transformations termed storage lesions, encompassing both metabolic and physical alterations. Over time, metabolic shifts manifest as a decline in pH, reduced concentrations of 2,3-diphosphoglycerate (2,3-DPG) and adenosine triphosphate (ATP), and a rise in extracellular potassium levels. Concurrently, physical degradation involves the breakdown of erythrocyte integrity and structural deformities. Collectively, these changes can result in hemolysis, shifts in hematocrit, pH instability, morphological abnormalities in red blood cells, and alterations in hemoglobin properties. Such effects underscore the progressive deterioration of stored blood components under these conditions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{"citationItems":[{"id":"ITEM-1","itemData":{"DOI":"10.56511/jipbs.2022.9401","abstract":"Background: Unit for Blood Donors, The Indonesian Red Cross Society of Medan City has established a two-day maximum storage period for PRC that has been processed from Whole Blood (WB). The quality of the blood is affected by how long the PCR is stored. Objective: To analyze the effect of Packed Red Cell (PRC) storage time on changes in routine blood values. Method: This type of research is a quantitative analytical study with comparative numerical more than two groups to analyze the storage time of PRC blood on changes in routine blood values. Result: 40 study participants participated in the investigation. Leukocytes, hemoglobin, and haematocrit were the measured parameters. The value of the erythrocyte decreases with storage time. The value of the erythrocytes was lower when compared to the storage of erythrocytes on day 11 than it was on day 1 of storage. When the hemoglobin examination findings have a p-value of less than 0.05, this means that the haemoglobin against PRC storage on day 1 and day 1 differ significantly. If the storage time is prolonged, the haemoglobin value will rise. P-value 0.05 for the findings of the analysis of haematocrit levels shows a significant difference between PRC storage on days 1 through day 11 and haematocrit, with the haematocrit value rising as storage duration increases. Conclusion: Haemoglobin and haematocrit levels, there was a significant increase in changes and erythrocytes during the eleven-day storage process, a significant decrease but still within normal limits","author":[{"dropping-particle":"","family":"Syafrida","given":"Eka","non-dropping-particle":"","parse-names":false,"suffix":""},{"dropping-particle":"","family":"Suyono","given":"Tan","non-dropping-particle":"","parse-names":false,"suffix":""},{"dropping-particle":"","family":"Nasution","given":"Ali Napiah","non-dropping-particle":"","parse-names":false,"suffix":""},{"dropping-particle":"","family":"Ginting","given":"Sahna Ferdinand","non-dropping-particle":"","parse-names":false,"suffix":""}],"container-title":"Journal of Innovations in Pharmaceutical and Biological Sciences","id":"ITEM-1","issued":{"date-parts":[["2022"]]},"title":"Analysis of Packed Red Cell (PCR) storage time against changes in routine blood values in the blood donor unit of Indonesian Red Cross Society Medan City","type":"article-journal"},"uris":["http://www.mendeley.com/documents/?uuid=ea56279e-86e8-4c4a-8890-b62d803d5e34","http://www.mendeley.com/documents/?uuid=ffb02424-0f6d-4b13-b8b7-0e1f560e6aac"]}],"mendeley":{"formattedCitation":"(13)","plainTextFormattedCitation":"(13)","previouslyFormattedCitation":"(13)"},"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(13)</w:t>
      </w:r>
      <w:r w:rsidR="00541204" w:rsidRPr="00F945EB">
        <w:rPr>
          <w:rFonts w:ascii="Times New Roman" w:hAnsi="Times New Roman" w:cs="Times New Roman"/>
          <w:sz w:val="24"/>
          <w:szCs w:val="24"/>
        </w:rPr>
        <w:fldChar w:fldCharType="end"/>
      </w:r>
      <w:r w:rsidR="002C0015" w:rsidRPr="00F945EB">
        <w:rPr>
          <w:rFonts w:ascii="Times New Roman" w:hAnsi="Times New Roman" w:cs="Times New Roman"/>
          <w:sz w:val="24"/>
          <w:szCs w:val="24"/>
        </w:rPr>
        <w:t xml:space="preserve">. </w:t>
      </w:r>
      <w:r w:rsidR="009E3F25" w:rsidRPr="00F945EB">
        <w:rPr>
          <w:rFonts w:ascii="Times New Roman" w:hAnsi="Times New Roman" w:cs="Times New Roman"/>
          <w:sz w:val="24"/>
          <w:szCs w:val="24"/>
        </w:rPr>
        <w:t xml:space="preserve">These modifications impact the characteristics and functionality of normal red blood cells, rendering them unfit for transfusion and potentially leading to adverse reactions linked to blood transfusions </w:t>
      </w:r>
      <w:r w:rsidR="00541204"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{"citationItems":[{"id":"ITEM-1","itemData":{"DOI":"10.3389/fphys.2022.1021553","ISSN":"1664042X","abstract":"Storage of packed red blood cells is associated with changes in erythrocytes that over time increasingly impair cellular function and potentially contribute to adverse effects associated with blood transfusion. Exposure of phosphatidylserine at the outer membrane leaflet of erythrocytes and shedding of microvesicles (MVs) during packed red blood cell storage are alterations assumed to increase the risk of prothrombotic events in recipients. Here, we used rotational thromboelastometry to study the coagulation process in blood samples with erythrocytes from stored PRBCs reconstituted with freshly prepared platelet-rich plasma. We explored the influence of following effects on the coagulation process: 1) PRBC storage duration, 2) differences between erythrocytes from stored PRBCs compared to freshly drawn erythrocytes, and 3) the contribution of added MVs. Interestingly, despite of a higher fraction of PS-positive cells, erythrocytes from PRBCs stored for 6 weeks revealed longer clotting times than samples with erythrocytes stored for 2 or 4 weeks. Further, clotting times and clot formation times were considerably increased in samples reconstituted with erythrocytes from stored PRBCs as compared to fresh erythrocytes. Moreover, MVs added to reconstituted samples elicited only comparably small and ambiguous effects on coagulation. Thus, this study provides no evidence for an amplified clotting process from prolonged storage of PRBCs but on the contrary implicates a loss of function, which may be of clinical significance in massive transfusion. Our observations add to the increasing body of evidence viewing erythrocytes as active players in the clotting process.","author":[{"dropping-particle":"","family":"Öhlinger","given":"Thomas","non-dropping-particle":"","parse-names":false,"suffix":""},{"dropping-particle":"","family":"Müllner","given":"Ernst W.","non-dropping-particle":"","parse-names":false,"suffix":""},{"dropping-particle":"","family":"Fritz","given":"Magdalena","non-dropping-particle":"","parse-names":false,"suffix":""},{"dropping-particle":"","family":"Werning","given":"Maike","non-dropping-particle":"","parse-names":false,"suffix":""},{"dropping-particle":"","family":"Baron-Stefaniak","given":"Joanna","non-dropping-particle":"","parse-names":false,"suffix":""},{"dropping-particle":"","family":"Jungbauer","given":"Christof","non-dropping-particle":"","parse-names":false,"suffix":""},{"dropping-particle":"","family":"Baron","given":"David M.","non-dropping-particle":"","parse-names":false,"suffix":""},{"dropping-particle":"","family":"Salzer","given":"Ulrich","non-dropping-particle":"","parse-names":false,"suffix":""}],"container-title":"Frontiers in Physiology","id":"ITEM-1","issued":{"date-parts":[["2022"]]},"title":"Storage of packed red blood cells impairs an inherent coagulation property of erythrocytes","type":"article-journal"},"uris":["http://www.mendeley.com/documents/?uuid=fae3aa85-3c5b-44ed-b912-e1b5ecc45091","http://www.mendeley.com/documents/?uuid=b8b9dac0-fe4c-4ffb-892e-333ae5b55d5a"]}],"mendeley":{"formattedCitation":"(14)","plainTextFormattedCitation":"(14)","previouslyFormattedCitation":"(14)"},"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(14)</w:t>
      </w:r>
      <w:r w:rsidR="00541204" w:rsidRPr="00F945EB">
        <w:rPr>
          <w:rFonts w:ascii="Times New Roman" w:hAnsi="Times New Roman" w:cs="Times New Roman"/>
          <w:sz w:val="24"/>
          <w:szCs w:val="24"/>
        </w:rPr>
        <w:fldChar w:fldCharType="end"/>
      </w:r>
      <w:r w:rsidR="00692A16" w:rsidRPr="00F945EB">
        <w:rPr>
          <w:rFonts w:ascii="Times New Roman" w:hAnsi="Times New Roman" w:cs="Times New Roman"/>
          <w:sz w:val="24"/>
          <w:szCs w:val="24"/>
        </w:rPr>
        <w:t>.</w:t>
      </w:r>
      <w:r w:rsidR="0018552B" w:rsidRPr="00F945EB">
        <w:rPr>
          <w:rFonts w:ascii="Times New Roman" w:hAnsi="Times New Roman" w:cs="Times New Roman"/>
          <w:sz w:val="24"/>
          <w:szCs w:val="24"/>
        </w:rPr>
        <w:t>This research aims to determine whether red blood cell (RBC) concentrates prepared using a gravity-based whole blood settling technique exhibit comparable quality to those produced via conventional centrifugation. By analyzing the hematological stability of packed RBCs during storage, the study will specifically evaluate hemolysis levels in stored units to assess the effectiveness and equivalence of these two preparation methods.</w:t>
      </w:r>
    </w:p>
    <w:p w:rsidR="00EC577E" w:rsidRPr="00F945EB" w:rsidRDefault="00EC577E" w:rsidP="00F945EB">
      <w:pPr>
        <w:tabs>
          <w:tab w:val="left" w:pos="3204"/>
        </w:tabs>
        <w:spacing w:after="0" w:line="240" w:lineRule="auto"/>
        <w:jc w:val="both"/>
        <w:rPr>
          <w:rFonts w:ascii="Times New Roman" w:hAnsi="Times New Roman" w:cs="Times New Roman"/>
          <w:sz w:val="24"/>
          <w:szCs w:val="24"/>
        </w:rPr>
      </w:pPr>
    </w:p>
    <w:p w:rsidR="00AF19CF" w:rsidRPr="00F945EB" w:rsidRDefault="00F51B58" w:rsidP="00F945EB">
      <w:pPr>
        <w:pStyle w:val="Heading1"/>
        <w:spacing w:line="240" w:lineRule="auto"/>
        <w:jc w:val="both"/>
        <w:rPr>
          <w:rFonts w:ascii="Times New Roman" w:hAnsi="Times New Roman" w:cs="Times New Roman"/>
          <w:sz w:val="24"/>
          <w:szCs w:val="24"/>
        </w:rPr>
      </w:pPr>
      <w:bookmarkStart w:id="9" w:name="_Toc193291011"/>
      <w:r w:rsidRPr="00F945EB">
        <w:rPr>
          <w:rFonts w:ascii="Times New Roman" w:hAnsi="Times New Roman" w:cs="Times New Roman"/>
          <w:sz w:val="24"/>
          <w:szCs w:val="24"/>
        </w:rPr>
        <w:lastRenderedPageBreak/>
        <w:t>METHODOLOGY</w:t>
      </w:r>
      <w:bookmarkEnd w:id="9"/>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Study design</w:t>
      </w:r>
    </w:p>
    <w:p w:rsidR="0018552B" w:rsidRPr="00F945EB" w:rsidRDefault="0018552B"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The research employs a quasi-experimental design to evaluate and compare the storage stability of packed red blood cells derived from two preparation techniques: whole blood settling and centrifugation. Key parameters under investigation include hemolysis levels, red blood cell indices (such as hemoglobin concentration and cell volume), and the morphological integrity of erythrocytes during storage.</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 Study area</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was conducted at Southern Highland Blood Transfusion Service -Mbeya, Tanzania. </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Sample techniques: </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This was a purposive sample technique </w:t>
      </w:r>
      <w:r w:rsidR="00691809" w:rsidRPr="00F945EB">
        <w:rPr>
          <w:rFonts w:ascii="Times New Roman" w:hAnsi="Times New Roman" w:cs="Times New Roman"/>
          <w:sz w:val="24"/>
          <w:szCs w:val="24"/>
        </w:rPr>
        <w:t>involving qualified whole blood unit.</w:t>
      </w:r>
    </w:p>
    <w:p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Target sample</w:t>
      </w:r>
    </w:p>
    <w:p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All whole blood units which</w:t>
      </w:r>
      <w:r w:rsidR="003F6B9A" w:rsidRPr="00F945EB">
        <w:rPr>
          <w:rFonts w:ascii="Times New Roman" w:hAnsi="Times New Roman" w:cs="Times New Roman"/>
          <w:sz w:val="24"/>
          <w:szCs w:val="24"/>
        </w:rPr>
        <w:t xml:space="preserve"> meet the criteria collected by </w:t>
      </w:r>
      <w:r w:rsidRPr="00F945EB">
        <w:rPr>
          <w:rFonts w:ascii="Times New Roman" w:hAnsi="Times New Roman" w:cs="Times New Roman"/>
          <w:sz w:val="24"/>
          <w:szCs w:val="24"/>
        </w:rPr>
        <w:t xml:space="preserve">SHZBTS –Mbeya </w:t>
      </w:r>
    </w:p>
    <w:p w:rsidR="00FD7BF7" w:rsidRPr="00F945EB" w:rsidRDefault="00FD7BF7"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Data Collection and Procedures</w:t>
      </w:r>
    </w:p>
    <w:p w:rsidR="00EC577E" w:rsidRPr="00F945EB" w:rsidRDefault="00FD7BF7"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Informed consent wa</w:t>
      </w:r>
      <w:r w:rsidR="003F6B9A" w:rsidRPr="00F945EB">
        <w:rPr>
          <w:rFonts w:ascii="Times New Roman" w:hAnsi="Times New Roman" w:cs="Times New Roman"/>
          <w:sz w:val="24"/>
          <w:szCs w:val="24"/>
        </w:rPr>
        <w:t xml:space="preserve">s obtained from the Zonal blood transfusion service </w:t>
      </w:r>
      <w:proofErr w:type="gramStart"/>
      <w:r w:rsidR="003F6B9A" w:rsidRPr="00F945EB">
        <w:rPr>
          <w:rFonts w:ascii="Times New Roman" w:hAnsi="Times New Roman" w:cs="Times New Roman"/>
          <w:sz w:val="24"/>
          <w:szCs w:val="24"/>
        </w:rPr>
        <w:t xml:space="preserve">manager </w:t>
      </w:r>
      <w:r w:rsidRPr="00F945EB">
        <w:rPr>
          <w:rFonts w:ascii="Times New Roman" w:hAnsi="Times New Roman" w:cs="Times New Roman"/>
          <w:sz w:val="24"/>
          <w:szCs w:val="24"/>
        </w:rPr>
        <w:t xml:space="preserve"> after</w:t>
      </w:r>
      <w:proofErr w:type="gramEnd"/>
      <w:r w:rsidRPr="00F945EB">
        <w:rPr>
          <w:rFonts w:ascii="Times New Roman" w:hAnsi="Times New Roman" w:cs="Times New Roman"/>
          <w:sz w:val="24"/>
          <w:szCs w:val="24"/>
        </w:rPr>
        <w:t xml:space="preserve"> explaining the importance of the research to them. All precaution measures as stated in Good Clinical Laboratory Practice (GCLP)</w:t>
      </w:r>
    </w:p>
    <w:p w:rsidR="003E0E0E" w:rsidRPr="00F945EB" w:rsidRDefault="005C4DF2" w:rsidP="00F945EB">
      <w:pPr>
        <w:pStyle w:val="Heading2"/>
        <w:spacing w:line="240" w:lineRule="auto"/>
        <w:jc w:val="both"/>
        <w:rPr>
          <w:rFonts w:ascii="Times New Roman" w:hAnsi="Times New Roman" w:cs="Times New Roman"/>
          <w:sz w:val="24"/>
          <w:szCs w:val="24"/>
        </w:rPr>
      </w:pPr>
      <w:bookmarkStart w:id="10" w:name="_Toc193291023"/>
      <w:r w:rsidRPr="00F945EB">
        <w:rPr>
          <w:rFonts w:ascii="Times New Roman" w:hAnsi="Times New Roman" w:cs="Times New Roman"/>
          <w:sz w:val="24"/>
          <w:szCs w:val="24"/>
        </w:rPr>
        <w:t>Data</w:t>
      </w:r>
      <w:r w:rsidR="005C3918" w:rsidRPr="00F945EB">
        <w:rPr>
          <w:rFonts w:ascii="Times New Roman" w:hAnsi="Times New Roman" w:cs="Times New Roman"/>
          <w:sz w:val="24"/>
          <w:szCs w:val="24"/>
        </w:rPr>
        <w:t xml:space="preserve"> ana</w:t>
      </w:r>
      <w:r w:rsidR="003819FD" w:rsidRPr="00F945EB">
        <w:rPr>
          <w:rFonts w:ascii="Times New Roman" w:hAnsi="Times New Roman" w:cs="Times New Roman"/>
          <w:sz w:val="24"/>
          <w:szCs w:val="24"/>
        </w:rPr>
        <w:t>lysis</w:t>
      </w:r>
      <w:bookmarkEnd w:id="10"/>
    </w:p>
    <w:p w:rsidR="0039301A" w:rsidRPr="00F945EB" w:rsidRDefault="00EC577E"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data were initially input into spreadsheets using SPSS (Statistical Package for the Social Sciences) and subsequently analyzed via the analyst module in SPSS version 23. Day 0 whole blood samples were designated as the control group, and paired t-tests were performed to evaluate differences observed on days 7, 14, 21, and 28 </w:t>
      </w:r>
      <w:proofErr w:type="gramStart"/>
      <w:r w:rsidRPr="00F945EB">
        <w:rPr>
          <w:rFonts w:ascii="Times New Roman" w:hAnsi="Times New Roman" w:cs="Times New Roman"/>
          <w:sz w:val="24"/>
          <w:szCs w:val="24"/>
        </w:rPr>
        <w:t>relative</w:t>
      </w:r>
      <w:proofErr w:type="gramEnd"/>
      <w:r w:rsidRPr="00F945EB">
        <w:rPr>
          <w:rFonts w:ascii="Times New Roman" w:hAnsi="Times New Roman" w:cs="Times New Roman"/>
          <w:sz w:val="24"/>
          <w:szCs w:val="24"/>
        </w:rPr>
        <w:t xml:space="preserve"> to this baseline. Additionally, the mean differences between day 7 and day 28 measurements for centrifuged packed red blood cells and settling packed red blood cells were statistically compared using a paired t-test, with a significance threshold set at p &lt; 0.05.</w:t>
      </w:r>
    </w:p>
    <w:p w:rsidR="00EC577E" w:rsidRPr="00F945EB" w:rsidRDefault="00EC577E" w:rsidP="00F945EB">
      <w:pPr>
        <w:spacing w:line="240" w:lineRule="auto"/>
        <w:jc w:val="both"/>
        <w:rPr>
          <w:rFonts w:ascii="Times New Roman" w:hAnsi="Times New Roman" w:cs="Times New Roman"/>
          <w:sz w:val="24"/>
          <w:szCs w:val="24"/>
        </w:rPr>
      </w:pPr>
    </w:p>
    <w:p w:rsidR="00EB5475" w:rsidRDefault="00EB5475" w:rsidP="00F945EB">
      <w:pPr>
        <w:pStyle w:val="Heading1"/>
        <w:spacing w:line="240" w:lineRule="auto"/>
        <w:jc w:val="both"/>
        <w:rPr>
          <w:rFonts w:ascii="Times New Roman" w:eastAsia="Times New Roman" w:hAnsi="Times New Roman" w:cs="Times New Roman"/>
          <w:sz w:val="24"/>
          <w:szCs w:val="24"/>
        </w:rPr>
      </w:pPr>
      <w:bookmarkStart w:id="11" w:name="_Toc193291028"/>
      <w:bookmarkStart w:id="12" w:name="_Toc146122063"/>
    </w:p>
    <w:p w:rsidR="0041530F" w:rsidRPr="00F945EB" w:rsidRDefault="00A5093A" w:rsidP="00F945EB">
      <w:pPr>
        <w:pStyle w:val="Heading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RESULTS</w:t>
      </w:r>
      <w:bookmarkEnd w:id="11"/>
    </w:p>
    <w:p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Study profile </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In February 2025, a total of 32 qualified blood units were included in this study, all blood units were tested at day 0 for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The blood unit was accepted due to free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which was for confirmation that all units qualified for normal parameters before being included in our study. About 32 blood units were separated into two groups, 16 blood units for the settling method and 16 blood units for the centrifugation method.</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lastRenderedPageBreak/>
        <w:t xml:space="preserve">Presents the mean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the different storage periods.  On Day 7,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By Day 14, hemolysis increased to 0.23 ± 0.15% in the centrifugation group and 0.06 ± 0.07% in the settling group. This upward trend continued on Day 21, with hemolysis reaching 0.37 ± 0.12% for centrifugation and 0.21 ± 0.11% for settling. At the end of the storage period (Day 28), hemolysis levels were 0.52 ± 0.12% for centrifugation and 0.39 ± 0.10% for settling. </w:t>
      </w:r>
    </w:p>
    <w:p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1: comparison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w:t>
      </w:r>
    </w:p>
    <w:tbl>
      <w:tblPr>
        <w:tblW w:w="9198" w:type="dxa"/>
        <w:tblLook w:val="04A0" w:firstRow="1" w:lastRow="0" w:firstColumn="1" w:lastColumn="0" w:noHBand="0" w:noVBand="1"/>
      </w:tblPr>
      <w:tblGrid>
        <w:gridCol w:w="1200"/>
        <w:gridCol w:w="3498"/>
        <w:gridCol w:w="4500"/>
      </w:tblGrid>
      <w:tr w:rsidR="00A5093A" w:rsidRPr="00F945EB" w:rsidTr="00A50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3498"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Mean (±SD)</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 Mean (±SD)</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0.03</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0.00</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 ± 0.15</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 ± 0.07</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 ± 0.12</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 ± 0.11</w:t>
            </w:r>
          </w:p>
        </w:tc>
      </w:tr>
      <w:tr w:rsidR="00A5093A" w:rsidRPr="00F945EB"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3498"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 ± 0.12</w:t>
            </w:r>
          </w:p>
        </w:tc>
        <w:tc>
          <w:tcPr>
            <w:tcW w:w="450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 ± 0.10</w:t>
            </w:r>
          </w:p>
        </w:tc>
      </w:tr>
    </w:tbl>
    <w:p w:rsidR="00483C13" w:rsidRPr="00F945EB" w:rsidRDefault="00483C13" w:rsidP="00F945EB">
      <w:pPr>
        <w:spacing w:after="136" w:line="240" w:lineRule="auto"/>
        <w:jc w:val="both"/>
        <w:rPr>
          <w:rFonts w:ascii="Times New Roman" w:eastAsia="Times New Roman" w:hAnsi="Times New Roman" w:cs="Times New Roman"/>
          <w:color w:val="000000"/>
          <w:sz w:val="24"/>
          <w:szCs w:val="24"/>
        </w:rPr>
      </w:pPr>
    </w:p>
    <w:p w:rsidR="003515C1" w:rsidRPr="00F945EB" w:rsidRDefault="003515C1" w:rsidP="00F945EB">
      <w:pPr>
        <w:spacing w:after="136" w:line="240" w:lineRule="auto"/>
        <w:jc w:val="both"/>
        <w:rPr>
          <w:rFonts w:ascii="Times New Roman" w:eastAsia="Times New Roman" w:hAnsi="Times New Roman" w:cs="Times New Roman"/>
          <w:color w:val="000000"/>
          <w:sz w:val="24"/>
          <w:szCs w:val="24"/>
        </w:rPr>
      </w:pPr>
    </w:p>
    <w:p w:rsidR="00A5093A" w:rsidRPr="00F945EB" w:rsidRDefault="00483C13" w:rsidP="00F945EB">
      <w:pPr>
        <w:spacing w:after="136" w:line="240" w:lineRule="auto"/>
        <w:jc w:val="both"/>
        <w:rPr>
          <w:rFonts w:ascii="Times New Roman" w:eastAsia="Times New Roman" w:hAnsi="Times New Roman" w:cs="Times New Roman"/>
          <w:color w:val="000000"/>
          <w:sz w:val="24"/>
          <w:szCs w:val="24"/>
        </w:rPr>
      </w:pPr>
      <w:r w:rsidRPr="00F945EB">
        <w:rPr>
          <w:rFonts w:ascii="Times New Roman" w:hAnsi="Times New Roman" w:cs="Times New Roman"/>
          <w:noProof/>
          <w:sz w:val="24"/>
          <w:szCs w:val="24"/>
        </w:rPr>
        <w:drawing>
          <wp:inline distT="0" distB="0" distL="0" distR="0">
            <wp:extent cx="5768340" cy="3268980"/>
            <wp:effectExtent l="0" t="0" r="2286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15C1" w:rsidRPr="00F945EB" w:rsidRDefault="00517AA4" w:rsidP="00F945EB">
      <w:pPr>
        <w:spacing w:after="136" w:line="240" w:lineRule="auto"/>
        <w:jc w:val="both"/>
        <w:rPr>
          <w:rFonts w:ascii="Times New Roman" w:eastAsia="Times New Roman" w:hAnsi="Times New Roman" w:cs="Times New Roman"/>
          <w:b/>
          <w:color w:val="000000"/>
          <w:sz w:val="24"/>
          <w:szCs w:val="24"/>
        </w:rPr>
      </w:pPr>
      <w:r w:rsidRPr="00F945EB">
        <w:rPr>
          <w:rFonts w:ascii="Times New Roman" w:eastAsia="Times New Roman" w:hAnsi="Times New Roman" w:cs="Times New Roman"/>
          <w:b/>
          <w:color w:val="000000"/>
          <w:sz w:val="24"/>
          <w:szCs w:val="24"/>
        </w:rPr>
        <w:t xml:space="preserve">Figure </w:t>
      </w:r>
      <w:r w:rsidR="007B429D" w:rsidRPr="00F945EB">
        <w:rPr>
          <w:rFonts w:ascii="Times New Roman" w:eastAsia="Times New Roman" w:hAnsi="Times New Roman" w:cs="Times New Roman"/>
          <w:b/>
          <w:color w:val="000000"/>
          <w:sz w:val="24"/>
          <w:szCs w:val="24"/>
        </w:rPr>
        <w:t>1</w:t>
      </w:r>
      <w:r w:rsidRPr="00F945EB">
        <w:rPr>
          <w:rFonts w:ascii="Times New Roman" w:eastAsia="Times New Roman" w:hAnsi="Times New Roman" w:cs="Times New Roman"/>
          <w:b/>
          <w:color w:val="000000"/>
          <w:sz w:val="24"/>
          <w:szCs w:val="24"/>
        </w:rPr>
        <w:t xml:space="preserve">: </w:t>
      </w:r>
      <w:r w:rsidR="00BC631E">
        <w:rPr>
          <w:rFonts w:ascii="Times New Roman" w:eastAsia="Times New Roman" w:hAnsi="Times New Roman" w:cs="Times New Roman"/>
          <w:b/>
          <w:color w:val="000000"/>
          <w:sz w:val="24"/>
          <w:szCs w:val="24"/>
        </w:rPr>
        <w:t xml:space="preserve">Line graph of </w:t>
      </w:r>
      <w:r w:rsidR="003515C1" w:rsidRPr="00F945EB">
        <w:rPr>
          <w:rFonts w:ascii="Times New Roman" w:eastAsia="Times New Roman" w:hAnsi="Times New Roman" w:cs="Times New Roman"/>
          <w:b/>
          <w:color w:val="000000"/>
          <w:sz w:val="24"/>
          <w:szCs w:val="24"/>
        </w:rPr>
        <w:t xml:space="preserve">Comparison of </w:t>
      </w:r>
      <w:proofErr w:type="spellStart"/>
      <w:r w:rsidR="003515C1" w:rsidRPr="00F945EB">
        <w:rPr>
          <w:rFonts w:ascii="Times New Roman" w:eastAsia="Times New Roman" w:hAnsi="Times New Roman" w:cs="Times New Roman"/>
          <w:b/>
          <w:color w:val="000000"/>
          <w:sz w:val="24"/>
          <w:szCs w:val="24"/>
        </w:rPr>
        <w:t>haemolysis</w:t>
      </w:r>
      <w:proofErr w:type="spellEnd"/>
      <w:r w:rsidR="003515C1" w:rsidRPr="00F945EB">
        <w:rPr>
          <w:rFonts w:ascii="Times New Roman" w:eastAsia="Times New Roman" w:hAnsi="Times New Roman" w:cs="Times New Roman"/>
          <w:b/>
          <w:color w:val="000000"/>
          <w:sz w:val="24"/>
          <w:szCs w:val="24"/>
        </w:rPr>
        <w:t xml:space="preserve"> between centrifugation and settling method</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line graph depicting these trends illustrates a steady increase in hemolysis over time for both methods. Centrifugation consistently showed higher mean hemolysis percentages compared to the settling method at each time point. These observations suggest that while both methods are associated with increased hemolysis over time, the settling method may offer a slight advantage in preserving RBC integrity during storage. </w:t>
      </w: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lastRenderedPageBreak/>
        <w:t xml:space="preserve">When subjected to a paired sample t-test, no significant difference was observed at day 7 (p &gt; 0.05), from day 14 onward,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was significantly higher in the centrifugation method. We explored the influence of storage time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for blood samples processed by centrifugation and settling methods. </w:t>
      </w:r>
    </w:p>
    <w:p w:rsidR="007B429D"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w:t>
      </w:r>
      <w:proofErr w:type="gramStart"/>
      <w:r w:rsidRPr="00F945EB">
        <w:rPr>
          <w:rFonts w:ascii="Times New Roman" w:hAnsi="Times New Roman" w:cs="Times New Roman"/>
          <w:b/>
          <w:i w:val="0"/>
          <w:sz w:val="24"/>
          <w:szCs w:val="24"/>
        </w:rPr>
        <w:t>2:Comparison</w:t>
      </w:r>
      <w:proofErr w:type="gramEnd"/>
      <w:r w:rsidRPr="00F945EB">
        <w:rPr>
          <w:rFonts w:ascii="Times New Roman" w:hAnsi="Times New Roman" w:cs="Times New Roman"/>
          <w:b/>
          <w:i w:val="0"/>
          <w:sz w:val="24"/>
          <w:szCs w:val="24"/>
        </w:rPr>
        <w:t xml:space="preserve">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 (Paired t-test)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410"/>
        <w:gridCol w:w="1791"/>
      </w:tblGrid>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Cent.</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SM</w:t>
            </w:r>
          </w:p>
        </w:tc>
        <w:tc>
          <w:tcPr>
            <w:tcW w:w="1791" w:type="dxa"/>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t-test (p-value)</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0.00 </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7B429D" w:rsidRPr="00F945EB" w:rsidTr="006C4CB5">
        <w:trPr>
          <w:trHeight w:val="300"/>
        </w:trPr>
        <w:tc>
          <w:tcPr>
            <w:tcW w:w="1838"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2977"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w:t>
            </w:r>
          </w:p>
        </w:tc>
        <w:tc>
          <w:tcPr>
            <w:tcW w:w="2410" w:type="dxa"/>
            <w:shd w:val="clear" w:color="auto" w:fill="auto"/>
            <w:noWrap/>
            <w:vAlign w:val="bottom"/>
            <w:hideMark/>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w:t>
            </w:r>
          </w:p>
        </w:tc>
        <w:tc>
          <w:tcPr>
            <w:tcW w:w="1791" w:type="dxa"/>
            <w:shd w:val="clear" w:color="auto" w:fill="auto"/>
            <w:vAlign w:val="bottom"/>
          </w:tcPr>
          <w:p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0.001</w:t>
            </w:r>
          </w:p>
        </w:tc>
      </w:tr>
    </w:tbl>
    <w:p w:rsidR="00A5093A" w:rsidRPr="00F945EB" w:rsidRDefault="00A5093A" w:rsidP="00F945EB">
      <w:pPr>
        <w:spacing w:line="240" w:lineRule="auto"/>
        <w:jc w:val="both"/>
        <w:rPr>
          <w:rFonts w:ascii="Times New Roman" w:hAnsi="Times New Roman" w:cs="Times New Roman"/>
          <w:sz w:val="24"/>
          <w:szCs w:val="24"/>
        </w:rPr>
      </w:pPr>
    </w:p>
    <w:p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analysis reveals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and blood samples processed by the centrifugation method tend to exhibit an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 To predict the effect of each processing method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we conducted a multiple regression analysis incorporating storage time, processing method (centrifugation vs. settling), and their interaction (Storage time vs Method).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The centrifugation method tends to increase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w:t>
      </w:r>
    </w:p>
    <w:p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3: Comparison of correlation between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and storage time in centrifugation and settling method</w:t>
      </w:r>
    </w:p>
    <w:tbl>
      <w:tblPr>
        <w:tblW w:w="9198" w:type="dxa"/>
        <w:tblLook w:val="04A0" w:firstRow="1" w:lastRow="0" w:firstColumn="1" w:lastColumn="0" w:noHBand="0" w:noVBand="1"/>
      </w:tblPr>
      <w:tblGrid>
        <w:gridCol w:w="1616"/>
        <w:gridCol w:w="2620"/>
        <w:gridCol w:w="4962"/>
      </w:tblGrid>
      <w:tr w:rsidR="00A5093A" w:rsidRPr="00F945EB" w:rsidTr="00AC49E8">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Method</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Pearson Correlation (r)</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rsidTr="00F81D5F">
        <w:trPr>
          <w:trHeight w:val="1187"/>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w:t>
            </w:r>
          </w:p>
        </w:tc>
        <w:tc>
          <w:tcPr>
            <w:tcW w:w="262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0.83</w:t>
            </w:r>
          </w:p>
        </w:tc>
        <w:tc>
          <w:tcPr>
            <w:tcW w:w="4962"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rsidTr="00F81D5F">
        <w:trPr>
          <w:trHeight w:val="1079"/>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w:t>
            </w:r>
          </w:p>
        </w:tc>
        <w:tc>
          <w:tcPr>
            <w:tcW w:w="2620"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0.69</w:t>
            </w:r>
          </w:p>
        </w:tc>
        <w:tc>
          <w:tcPr>
            <w:tcW w:w="4962"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bl>
    <w:p w:rsidR="00A5093A" w:rsidRPr="00F945EB" w:rsidRDefault="00A5093A" w:rsidP="00F945EB">
      <w:pPr>
        <w:spacing w:line="240" w:lineRule="auto"/>
        <w:jc w:val="both"/>
        <w:rPr>
          <w:rFonts w:ascii="Times New Roman" w:hAnsi="Times New Roman" w:cs="Times New Roman"/>
          <w:sz w:val="24"/>
          <w:szCs w:val="24"/>
        </w:rPr>
      </w:pPr>
    </w:p>
    <w:p w:rsidR="006C4CB5" w:rsidRPr="00F945EB" w:rsidRDefault="00FF4398"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regression model revealed that 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(β = 0.021, p &lt; 0.001), indicating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increases over time regardless of the processing method. Furthermore, centrifugation is associated with a significant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the settling method (β = 0.12, p = 0.002). The significant interaction term (β = 0.015, p = 0.005) suggests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over time is greater with centrifugation compared to </w:t>
      </w:r>
      <w:proofErr w:type="spellStart"/>
      <w:proofErr w:type="gramStart"/>
      <w:r w:rsidRPr="00F945EB">
        <w:rPr>
          <w:rFonts w:ascii="Times New Roman" w:hAnsi="Times New Roman" w:cs="Times New Roman"/>
          <w:sz w:val="24"/>
          <w:szCs w:val="24"/>
        </w:rPr>
        <w:t>settling.Storage</w:t>
      </w:r>
      <w:proofErr w:type="spellEnd"/>
      <w:proofErr w:type="gramEnd"/>
      <w:r w:rsidRPr="00F945EB">
        <w:rPr>
          <w:rFonts w:ascii="Times New Roman" w:hAnsi="Times New Roman" w:cs="Times New Roman"/>
          <w:sz w:val="24"/>
          <w:szCs w:val="24"/>
        </w:rPr>
        <w:t xml:space="preserv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Centrifugation significantly increases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settling. The interaction term is significant, indicating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 is higher in centrifugation.</w:t>
      </w:r>
    </w:p>
    <w:p w:rsidR="00BF3258" w:rsidRPr="00F945EB" w:rsidRDefault="00BF3258" w:rsidP="00F945EB">
      <w:pPr>
        <w:pStyle w:val="Caption"/>
        <w:jc w:val="both"/>
        <w:rPr>
          <w:rFonts w:ascii="Times New Roman" w:hAnsi="Times New Roman" w:cs="Times New Roman"/>
          <w:b/>
          <w:i w:val="0"/>
          <w:sz w:val="24"/>
          <w:szCs w:val="24"/>
        </w:rPr>
      </w:pPr>
      <w:bookmarkStart w:id="13" w:name="_GoBack"/>
      <w:r w:rsidRPr="00F945EB">
        <w:rPr>
          <w:rFonts w:ascii="Times New Roman" w:hAnsi="Times New Roman" w:cs="Times New Roman"/>
          <w:b/>
          <w:i w:val="0"/>
          <w:sz w:val="24"/>
          <w:szCs w:val="24"/>
        </w:rPr>
        <w:t>Table</w:t>
      </w:r>
      <w:bookmarkEnd w:id="13"/>
      <w:r w:rsidRPr="00F945EB">
        <w:rPr>
          <w:rFonts w:ascii="Times New Roman" w:hAnsi="Times New Roman" w:cs="Times New Roman"/>
          <w:b/>
          <w:i w:val="0"/>
          <w:sz w:val="24"/>
          <w:szCs w:val="24"/>
        </w:rPr>
        <w:t xml:space="preserve"> 4</w:t>
      </w:r>
      <w:r w:rsidRPr="00F945EB">
        <w:rPr>
          <w:rFonts w:ascii="Times New Roman" w:hAnsi="Times New Roman" w:cs="Times New Roman"/>
          <w:b/>
          <w:sz w:val="24"/>
          <w:szCs w:val="24"/>
        </w:rPr>
        <w:t xml:space="preserve">: </w:t>
      </w:r>
      <w:r w:rsidRPr="00F945EB">
        <w:rPr>
          <w:rFonts w:ascii="Times New Roman" w:hAnsi="Times New Roman" w:cs="Times New Roman"/>
          <w:b/>
          <w:i w:val="0"/>
          <w:sz w:val="24"/>
          <w:szCs w:val="24"/>
        </w:rPr>
        <w:t xml:space="preserve">Comparison of storage time to predicts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progression between centrifugation and settling method</w:t>
      </w:r>
    </w:p>
    <w:tbl>
      <w:tblPr>
        <w:tblW w:w="9198" w:type="dxa"/>
        <w:tblLook w:val="04A0" w:firstRow="1" w:lastRow="0" w:firstColumn="1" w:lastColumn="0" w:noHBand="0" w:noVBand="1"/>
      </w:tblPr>
      <w:tblGrid>
        <w:gridCol w:w="2830"/>
        <w:gridCol w:w="2359"/>
        <w:gridCol w:w="4009"/>
      </w:tblGrid>
      <w:tr w:rsidR="00A5093A" w:rsidRPr="00F945EB" w:rsidTr="00AC49E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lastRenderedPageBreak/>
              <w:t>Variable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Coefficient (β)</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rsidTr="00F81D5F">
        <w:trPr>
          <w:trHeight w:val="73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Intercept</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0.82</w:t>
            </w:r>
          </w:p>
        </w:tc>
      </w:tr>
      <w:tr w:rsidR="00A5093A" w:rsidRPr="00F945EB" w:rsidTr="00F81D5F">
        <w:trPr>
          <w:trHeight w:val="112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Storage Time (Days)</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0.021</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rsidTr="00F81D5F">
        <w:trPr>
          <w:trHeight w:val="142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(vs. Settling)</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0.12</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A5093A" w:rsidRPr="00F945EB" w:rsidTr="00F81D5F">
        <w:trPr>
          <w:trHeight w:val="18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Interaction (Time × Method)</w:t>
            </w:r>
          </w:p>
        </w:tc>
        <w:tc>
          <w:tcPr>
            <w:tcW w:w="235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c>
          <w:tcPr>
            <w:tcW w:w="4009" w:type="dxa"/>
            <w:tcBorders>
              <w:top w:val="nil"/>
              <w:left w:val="nil"/>
              <w:bottom w:val="single" w:sz="4" w:space="0" w:color="auto"/>
              <w:right w:val="single" w:sz="4" w:space="0" w:color="auto"/>
            </w:tcBorders>
            <w:shd w:val="clear" w:color="auto" w:fill="auto"/>
            <w:noWrap/>
            <w:vAlign w:val="bottom"/>
            <w:hideMark/>
          </w:tcPr>
          <w:p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0.005</w:t>
            </w:r>
          </w:p>
        </w:tc>
      </w:tr>
    </w:tbl>
    <w:p w:rsidR="00A5093A" w:rsidRPr="00F945EB" w:rsidRDefault="00A5093A" w:rsidP="00F945EB">
      <w:pPr>
        <w:spacing w:line="240" w:lineRule="auto"/>
        <w:jc w:val="both"/>
        <w:rPr>
          <w:rFonts w:ascii="Times New Roman" w:hAnsi="Times New Roman" w:cs="Times New Roman"/>
          <w:sz w:val="24"/>
          <w:szCs w:val="24"/>
        </w:rPr>
      </w:pPr>
    </w:p>
    <w:p w:rsidR="00354A8C" w:rsidRPr="00F945EB" w:rsidRDefault="00354A8C" w:rsidP="00BB01D8">
      <w:pPr>
        <w:pStyle w:val="Heading1"/>
        <w:spacing w:line="240" w:lineRule="auto"/>
        <w:jc w:val="both"/>
        <w:rPr>
          <w:rFonts w:ascii="Times New Roman" w:eastAsia="Times New Roman" w:hAnsi="Times New Roman" w:cs="Times New Roman"/>
          <w:sz w:val="24"/>
          <w:szCs w:val="24"/>
        </w:rPr>
      </w:pPr>
      <w:bookmarkStart w:id="14" w:name="_Toc193291031"/>
      <w:r w:rsidRPr="00F945EB">
        <w:rPr>
          <w:rFonts w:ascii="Times New Roman" w:eastAsia="Times New Roman" w:hAnsi="Times New Roman" w:cs="Times New Roman"/>
          <w:sz w:val="24"/>
          <w:szCs w:val="24"/>
        </w:rPr>
        <w:t>DISCUSSION</w:t>
      </w:r>
      <w:bookmarkEnd w:id="14"/>
    </w:p>
    <w:p w:rsidR="00203AEF" w:rsidRPr="00F945EB" w:rsidRDefault="00203AEF" w:rsidP="00F945EB">
      <w:pPr>
        <w:spacing w:after="0" w:line="240" w:lineRule="auto"/>
        <w:jc w:val="both"/>
        <w:rPr>
          <w:rFonts w:ascii="Times New Roman" w:hAnsi="Times New Roman" w:cs="Times New Roman"/>
          <w:sz w:val="24"/>
          <w:szCs w:val="24"/>
        </w:rPr>
      </w:pPr>
      <w:bookmarkStart w:id="15" w:name="_Toc193291032"/>
      <w:r w:rsidRPr="00F945EB">
        <w:rPr>
          <w:rFonts w:ascii="Times New Roman" w:hAnsi="Times New Roman" w:cs="Times New Roman"/>
          <w:sz w:val="24"/>
          <w:szCs w:val="24"/>
        </w:rPr>
        <w:t>This study assessed the hemolysis levels in red cell concentrates (RCCs) prepared using centrifugation and sedimentation over a 28-day storage period. Our results showed a progressive increase in hemolysis for both methods, with centrifugation consistently resulting in slightly higher values compared to the sedimentation method. By Day 28, hemolysis was measured at 0.52 ± 0.12% for the centrifugation method and 0.39 ± 0.10% for the sedimentation method. Importantly, both values were within the internationally accepted threshold of 0.8% hemolysis, indicating that both methods are suitable for storage in terms of hemolysis levels. However, it is notable that centrifugation resulted in significantly higher hemolysis from Day 14 onward (p &lt; 0.05), suggesting that the sedimentation method may better preserve RBC integrity during storage.</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Our findings are consistent with a stu</w:t>
      </w:r>
      <w:r w:rsidR="00002A7D" w:rsidRPr="00F945EB">
        <w:rPr>
          <w:rFonts w:ascii="Times New Roman" w:hAnsi="Times New Roman" w:cs="Times New Roman"/>
          <w:sz w:val="24"/>
          <w:szCs w:val="24"/>
        </w:rPr>
        <w:t xml:space="preserve">dy conducted in Burkina Faso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(6)</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which also found higher hemolysis in centrifuged samples compared to those prepared by sedimentation. However, the study in Burkina Faso reported hemolysis values ≥0.8% in 16.7% of centrifuged units, which were higher than our observations. This discrepancy could be attributed to differences in centrifugation conditions, such as centrifugation speed and duration. In our study, we used a centrifugation speed of 5000g for 7 minutes, whereas the Burkina Faso study employed 2490g for 20 minutes. The variations in centrifugation protocols, along with storage conditions (e.g., temperature, preservative solutions), may explain the higher hemolysis observed in their study. Our results suggest that when proper centrifugation speed and time are adhered to, hemolysis remains within acceptable limits, even with a higher centrifugation force.</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Similar findi</w:t>
      </w:r>
      <w:r w:rsidR="00002A7D" w:rsidRPr="00F945EB">
        <w:rPr>
          <w:rFonts w:ascii="Times New Roman" w:hAnsi="Times New Roman" w:cs="Times New Roman"/>
          <w:sz w:val="24"/>
          <w:szCs w:val="24"/>
        </w:rPr>
        <w:t>ngs were reported in Canada</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{"citationItems":[{"id":"ITEM-1","itemData":{"DOI":"10.1002/jha2.343","ISSN":"2688-6146","abstract":"Red blood cells (RBCs) stored in blood bags develop a storage lesion that include structural, metabolic, and morphologic transformations resulting in a progressive loss of RBC deformability. The speed of RBC deformability loss is donor‐dependent, which if properly characterized, could be used as a biomarker to select high‐quality RBC units for sensitive recipients or to provide customized storage timelines depending on the donor. We used the microfluidic ratchet device to measure the deformability of red blood cells stored in blood bags every 14 days over a span of 56 days. We observed that storage in blood bags generally prevented RBC deformability loss over the current standard 42‐day storage window. However, between 42 and 56 days, the deformability loss profile varied dramatically between donors. In particular, we observed accelerated RBC deformability loss for a majority of male donors, but for none of the female donors. Together, our results suggest that RBC deformability loss could be used to screen for donors who can provide stable RBCs for sensitive transfusion recipients or to identify donors capable of providing RBCs that could be stored for longer than the current 42‐day expiration window.","author":[{"dropping-particle":"","family":"Islamzada","given":"Emel","non-dropping-particle":"","parse-names":false,"suffix":""},{"dropping-particle":"","family":"Matthews","given":"Kerryn","non-dropping-particle":"","parse-names":false,"suffix":""},{"dropping-particle":"","family":"Lamoureux","given":"Erik S.","non-dropping-particle":"","parse-names":false,"suffix":""},{"dropping-particle":"","family":"Duffy","given":"Simon P.","non-dropping-particle":"","parse-names":false,"suffix":""},{"dropping-particle":"","family":"Scott","given":"Mark D.","non-dropping-particle":"","parse-names":false,"suffix":""},{"dropping-particle":"","family":"Ma","given":"Hongshen","non-dropping-particle":"","parse-names":false,"suffix":""}],"container-title":"eJHaem","id":"ITEM-1","issued":{"date-parts":[["2022"]]},"title":"Degradation of red blood cell deformability during cold storage in blood bags","type":"article-journal"},"uris":["http://www.mendeley.com/documents/?uuid=05fe0a17-afd6-4aef-9685-910a7b668006"]}],"mendeley":{"formattedCitation":"(15)","plainTextFormattedCitation":"(15)","previouslyFormattedCitation":"(15)"},"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(15)</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xml:space="preserve">, where most packed red blood cells (PRBCs) did not exceed 0.8% hemolysis over a storage period of 42 days. This supports our findings that hemolysis remains within acceptable limits when proper storage protocols are followed, including appropriate centrifugation conditions and storage conditions. The Canadian study's </w:t>
      </w:r>
      <w:r w:rsidRPr="00F945EB">
        <w:rPr>
          <w:rFonts w:ascii="Times New Roman" w:hAnsi="Times New Roman" w:cs="Times New Roman"/>
          <w:sz w:val="24"/>
          <w:szCs w:val="24"/>
        </w:rPr>
        <w:lastRenderedPageBreak/>
        <w:t>longer storage period (42 days compared to our 28 days) further confirms that although hemolysis increases with time, it generally remains below the regulatory threshold when optimal processing methods are followed.</w:t>
      </w:r>
    </w:p>
    <w:p w:rsidR="00203AEF" w:rsidRPr="00F945EB" w:rsidRDefault="00203AEF" w:rsidP="00F945EB">
      <w:pPr>
        <w:spacing w:after="0" w:line="240" w:lineRule="auto"/>
        <w:jc w:val="both"/>
        <w:rPr>
          <w:rFonts w:ascii="Times New Roman" w:hAnsi="Times New Roman" w:cs="Times New Roman"/>
          <w:sz w:val="24"/>
          <w:szCs w:val="24"/>
        </w:rPr>
      </w:pPr>
    </w:p>
    <w:p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A </w:t>
      </w:r>
      <w:r w:rsidR="00ED2ABC" w:rsidRPr="00F945EB">
        <w:rPr>
          <w:rFonts w:ascii="Times New Roman" w:hAnsi="Times New Roman" w:cs="Times New Roman"/>
          <w:sz w:val="24"/>
          <w:szCs w:val="24"/>
        </w:rPr>
        <w:t xml:space="preserve">study conducted in Malaysia </w:t>
      </w:r>
      <w:r w:rsidR="00541204"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{"citationItems":[{"id":"ITEM-1","itemData":{"ISSN":"16758544","abstract":"Introduction: Percentage of haemolysis is widely used as a quality parameter to assess red blood cell viability in blood banking. In certain blood banks, serum potassium level is used due to the unavailability of the former test. The relationship between these two tests, however, is still unclear. The objective of this study is to determine the association between haemolysis measured using two different methods for quality control. Methods: A total of forty-four samples of packed red cell in citrate-phosphate-dextrose with optisol were randomly selected from donation drives. Nine millilitres of blood was collected weekly starting from day-2 of storage, followed by day-7, 14, 21, 28, 35 and 42 for assessment of red blood cell haemolysis by measuring serum potassium level and percentage of haemolysis. Results: These two parameters were correlated significantly with a positive moderate linear relationship on day 7, 21 and 28 with r = 0.393, 0.448 and 0.425, respectively and p-values less than 0.01. The linear regression analysis showed there was a significant regression equation which could be used to predict the serum potassium level from the percentage of haemolysis. Conclusion: There were significant increases in the percentage of haemolysis and serum potassium level in the packed red cell units with storage. The serum potassium level would be able to be predicted from the percentage of haemolysis using the regression equations on day 7, 21 and 28. The serum potassium measurement could be used as an alternative test to the percentage of haemolysis before issuing blood.","author":[{"dropping-particle":"","family":"Sarijan","given":"Nurimatussolehah","non-dropping-particle":"","parse-names":false,"suffix":""},{"dropping-particle":"","family":"Noor","given":"Sabariah Md","non-dropping-particle":"","parse-names":false,"suffix":""},{"dropping-particle":"","family":"Fathullah","given":"Tun Maizura Mohd","non-dropping-particle":"","parse-names":false,"suffix":""},{"dropping-particle":"","family":"Osman","given":"Malina","non-dropping-particle":"","parse-names":false,"suffix":""},{"dropping-particle":"","family":"Seman","given":"Zainina","non-dropping-particle":"","parse-names":false,"suffix":""}],"container-title":"Malaysian Journal of Medicine and Health Sciences","id":"ITEM-1","issued":{"date-parts":[["2018"]]},"title":"A pilot study to assess serum potassium levels and haemolysis in red cell units","type":"article-journal"},"uris":["http://www.mendeley.com/documents/?uuid=9b4e8c48-7626-4f01-850b-badaac569beb"]}],"mendeley":{"formattedCitation":"(16)","plainTextFormattedCitation":"(16)"},"properties":{"noteIndex":0},"schema":"https://github.com/citation-style-language/schema/raw/master/csl-citation.json"}</w:instrText>
      </w:r>
      <w:r w:rsidR="00541204"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(16)</w:t>
      </w:r>
      <w:r w:rsidR="00541204" w:rsidRPr="00F945EB">
        <w:rPr>
          <w:rFonts w:ascii="Times New Roman" w:hAnsi="Times New Roman" w:cs="Times New Roman"/>
          <w:sz w:val="24"/>
          <w:szCs w:val="24"/>
        </w:rPr>
        <w:fldChar w:fldCharType="end"/>
      </w:r>
      <w:r w:rsidRPr="00F945EB">
        <w:rPr>
          <w:rFonts w:ascii="Times New Roman" w:hAnsi="Times New Roman" w:cs="Times New Roman"/>
          <w:sz w:val="24"/>
          <w:szCs w:val="24"/>
        </w:rPr>
        <w:t xml:space="preserve"> also found that hemolysis stayed within acceptable limits, echoing our results. The study in Malaysia similarly noted that prolonged storage can lead to increased hemolysis, but when proper handling and processing conditions are maintained, the hemolysis remains within the acceptable range. This finding reinforces the importance of controlled centrifugation protocols and storage practices to minimize the impact of storage lesions on RBC integrity.</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The increase in hemolysis observed in both methods over time can be attributed to the natural degradation of red blood cells (RBCs) during storage. Several factors contribute to this, including oxidative stress, ATP depletion, and membrane damage, all of which are exacerbated as storage time progresses</w:t>
      </w:r>
      <w:r w:rsidR="00BB01D8">
        <w:rPr>
          <w:rFonts w:ascii="Times New Roman" w:hAnsi="Times New Roman" w:cs="Times New Roman"/>
          <w:sz w:val="24"/>
          <w:szCs w:val="24"/>
        </w:rPr>
        <w:t xml:space="preserve"> </w:t>
      </w:r>
      <w:r w:rsidR="00BB01D8" w:rsidRPr="00BB01D8">
        <w:rPr>
          <w:rFonts w:ascii="Times New Roman" w:hAnsi="Times New Roman" w:cs="Times New Roman"/>
          <w:color w:val="FF0000"/>
          <w:sz w:val="24"/>
          <w:szCs w:val="24"/>
        </w:rPr>
        <w:t>(17)</w:t>
      </w:r>
      <w:r w:rsidRPr="00F945EB">
        <w:rPr>
          <w:rFonts w:ascii="Times New Roman" w:hAnsi="Times New Roman" w:cs="Times New Roman"/>
          <w:sz w:val="24"/>
          <w:szCs w:val="24"/>
        </w:rPr>
        <w:t>. The slight increase in hemolysis in centrifuged samples, especially from Day 14 onward, may suggest that the centrifugation method induces greater mechanical stress on the RBCs, which could lead to more pronounced cell damage compared to the settling method, which is generally gentler on the cells.</w:t>
      </w:r>
      <w:r w:rsidR="00BB01D8">
        <w:rPr>
          <w:rFonts w:ascii="Times New Roman" w:hAnsi="Times New Roman" w:cs="Times New Roman"/>
          <w:sz w:val="24"/>
          <w:szCs w:val="24"/>
        </w:rPr>
        <w:t xml:space="preserve"> </w:t>
      </w:r>
      <w:r w:rsidRPr="00F945EB">
        <w:rPr>
          <w:rFonts w:ascii="Times New Roman" w:hAnsi="Times New Roman" w:cs="Times New Roman"/>
          <w:sz w:val="24"/>
          <w:szCs w:val="24"/>
        </w:rPr>
        <w:t>However, both methods demonstrated acceptable hemolysis levels by the end of the storage period (28 days), indicating that centrifugation and sedimentation both provide reliable methods for preparing red blood cell concentrates for transfusion. The slight advantage in RBC integrity offered by sedimentation in our study could suggest that for shorter-term storage or situations where RBC preservation is critical, the sedimentation method may be preferred. On the other hand, centrifugation remains a widely used and effective method for red cell separation, and its slight increase in hemolysis over time does not significantly affect the clinical efficacy of the PRBCs for transfusions, especially in contexts where short-term storage is common.</w:t>
      </w:r>
    </w:p>
    <w:p w:rsidR="00BF3258" w:rsidRPr="00F945EB" w:rsidRDefault="00BF3258" w:rsidP="00F945EB">
      <w:pPr>
        <w:spacing w:after="136" w:line="240" w:lineRule="auto"/>
        <w:jc w:val="both"/>
        <w:rPr>
          <w:rFonts w:ascii="Times New Roman" w:hAnsi="Times New Roman" w:cs="Times New Roman"/>
          <w:sz w:val="24"/>
          <w:szCs w:val="24"/>
        </w:rPr>
      </w:pPr>
    </w:p>
    <w:p w:rsidR="007539E1" w:rsidRPr="00F945EB" w:rsidRDefault="007539E1" w:rsidP="00F945EB">
      <w:pPr>
        <w:spacing w:after="136"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b/>
          <w:sz w:val="24"/>
          <w:szCs w:val="24"/>
        </w:rPr>
        <w:t>CONCLUSION</w:t>
      </w:r>
      <w:bookmarkEnd w:id="15"/>
    </w:p>
    <w:p w:rsidR="00203AEF"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study provides valuable insights into the effects of centrifugation and sedimentation on the hemolysis and quality of red cell concentrates (RCCs) during 28 days of storage. Both </w:t>
      </w:r>
      <w:proofErr w:type="gramStart"/>
      <w:r w:rsidRPr="00F945EB">
        <w:rPr>
          <w:rFonts w:ascii="Times New Roman" w:hAnsi="Times New Roman" w:cs="Times New Roman"/>
          <w:sz w:val="24"/>
          <w:szCs w:val="24"/>
        </w:rPr>
        <w:t>methods maintained</w:t>
      </w:r>
      <w:proofErr w:type="gramEnd"/>
      <w:r w:rsidRPr="00F945EB">
        <w:rPr>
          <w:rFonts w:ascii="Times New Roman" w:hAnsi="Times New Roman" w:cs="Times New Roman"/>
          <w:sz w:val="24"/>
          <w:szCs w:val="24"/>
        </w:rPr>
        <w:t xml:space="preserve"> hemolysis levels within acceptable regulatory thresholds (≤0.8%), with centrifugation resulting in slightly higher levels of hemolysis from Day 14 onwards. While the sedimentation method may offer a slight advantage in preserving RBC integrity, both methods appear equally suitable for short-term storage and transfusion purposes. Our findings are consistent with international studies that emphasize the importance of proper centrifugation protocols, storage conditions, and handling procedures in minimizing RBC damage during storage. Future studies exploring longer storage durations and evaluating other factors like storage media and temperature control may provide further insights into optimizing RBC preservation for transfusion purposes.</w:t>
      </w:r>
    </w:p>
    <w:p w:rsidR="00B823FA" w:rsidRDefault="00B823FA" w:rsidP="00F945EB">
      <w:pPr>
        <w:spacing w:after="0" w:line="240" w:lineRule="auto"/>
        <w:jc w:val="both"/>
        <w:rPr>
          <w:rFonts w:ascii="Times New Roman" w:hAnsi="Times New Roman" w:cs="Times New Roman"/>
          <w:sz w:val="24"/>
          <w:szCs w:val="24"/>
        </w:rPr>
      </w:pP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LIST OF ABBREVIATIONS/ACRONYMS</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ATP                      Adenine Triphosphate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CBC                      Complete blood cells count</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CPDA-1                Citrate phosphate dextrose adenine-1</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DPG                      Diphosphoglycerate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EDTA                    Ethylenediaminetetraacetic acid</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FBP                        Full blood picture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lastRenderedPageBreak/>
        <w:t>GDBS Global Database on Blood Safety</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HB                          Hemoglobin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HCT                         Hematocrit </w:t>
      </w:r>
    </w:p>
    <w:p w:rsidR="00B823FA" w:rsidRPr="00B823FA" w:rsidRDefault="00B823FA" w:rsidP="00B823FA">
      <w:pPr>
        <w:spacing w:after="0" w:line="240" w:lineRule="auto"/>
        <w:jc w:val="both"/>
        <w:rPr>
          <w:rFonts w:ascii="Times New Roman" w:hAnsi="Times New Roman" w:cs="Times New Roman"/>
          <w:sz w:val="24"/>
          <w:szCs w:val="24"/>
        </w:rPr>
      </w:pPr>
      <w:proofErr w:type="gramStart"/>
      <w:r w:rsidRPr="00B823FA">
        <w:rPr>
          <w:rFonts w:ascii="Times New Roman" w:hAnsi="Times New Roman" w:cs="Times New Roman"/>
          <w:sz w:val="24"/>
          <w:szCs w:val="24"/>
        </w:rPr>
        <w:t>KIU  Kampala</w:t>
      </w:r>
      <w:proofErr w:type="gramEnd"/>
      <w:r w:rsidRPr="00B823FA">
        <w:rPr>
          <w:rFonts w:ascii="Times New Roman" w:hAnsi="Times New Roman" w:cs="Times New Roman"/>
          <w:sz w:val="24"/>
          <w:szCs w:val="24"/>
        </w:rPr>
        <w:t xml:space="preserve"> International University</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MMREC                 Mbeya Medical research and ethics committee in Tanzania</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PRBC                        Packed red blood cell</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RBC                           Red blood cells </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REC                        Research and ethics committee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SHZBTS                    Southern highland zone blood transfusion Service</w:t>
      </w:r>
    </w:p>
    <w:p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WB                             Whole blood</w:t>
      </w:r>
    </w:p>
    <w:p w:rsidR="00B823FA" w:rsidRPr="00F945EB"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WHO                         World </w:t>
      </w:r>
      <w:proofErr w:type="spellStart"/>
      <w:r w:rsidRPr="00B823FA">
        <w:rPr>
          <w:rFonts w:ascii="Times New Roman" w:hAnsi="Times New Roman" w:cs="Times New Roman"/>
          <w:sz w:val="24"/>
          <w:szCs w:val="24"/>
        </w:rPr>
        <w:t>Heath</w:t>
      </w:r>
      <w:proofErr w:type="spellEnd"/>
      <w:r w:rsidRPr="00B823FA">
        <w:rPr>
          <w:rFonts w:ascii="Times New Roman" w:hAnsi="Times New Roman" w:cs="Times New Roman"/>
          <w:sz w:val="24"/>
          <w:szCs w:val="24"/>
        </w:rPr>
        <w:t xml:space="preserve"> Organization</w:t>
      </w:r>
    </w:p>
    <w:p w:rsidR="004C307A" w:rsidRPr="00F945EB" w:rsidRDefault="004C307A" w:rsidP="00F945EB">
      <w:pPr>
        <w:spacing w:line="240" w:lineRule="auto"/>
        <w:jc w:val="both"/>
        <w:rPr>
          <w:rFonts w:ascii="Times New Roman" w:eastAsia="Times New Roman" w:hAnsi="Times New Roman" w:cs="Times New Roman"/>
          <w:color w:val="000000"/>
          <w:sz w:val="24"/>
          <w:szCs w:val="24"/>
        </w:rPr>
      </w:pPr>
    </w:p>
    <w:p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Ethical approval and consen</w:t>
      </w:r>
      <w:r w:rsidR="00BC631E">
        <w:rPr>
          <w:rFonts w:ascii="Times New Roman" w:hAnsi="Times New Roman" w:cs="Times New Roman"/>
          <w:b/>
          <w:sz w:val="24"/>
          <w:szCs w:val="24"/>
        </w:rPr>
        <w:t xml:space="preserve">t: </w:t>
      </w:r>
    </w:p>
    <w:p w:rsidR="00792C27" w:rsidRPr="00BC631E" w:rsidRDefault="00792C27" w:rsidP="00F945EB">
      <w:pPr>
        <w:spacing w:after="178" w:line="240" w:lineRule="auto"/>
        <w:jc w:val="both"/>
        <w:rPr>
          <w:rFonts w:ascii="Times New Roman" w:hAnsi="Times New Roman" w:cs="Times New Roman"/>
          <w:b/>
          <w:sz w:val="24"/>
          <w:szCs w:val="24"/>
        </w:rPr>
      </w:pPr>
      <w:r w:rsidRPr="00F945EB">
        <w:rPr>
          <w:rFonts w:ascii="Times New Roman" w:hAnsi="Times New Roman" w:cs="Times New Roman"/>
          <w:sz w:val="24"/>
          <w:szCs w:val="24"/>
        </w:rPr>
        <w:t xml:space="preserve">The study obtained ethical approval from Kampala Internal University Research Ethical Committee (KIU-REC) with REC number 723-2024) and </w:t>
      </w:r>
      <w:r w:rsidRPr="00F945EB">
        <w:rPr>
          <w:rFonts w:ascii="Times New Roman" w:eastAsia="Times New Roman" w:hAnsi="Times New Roman" w:cs="Times New Roman"/>
          <w:color w:val="000000"/>
          <w:sz w:val="24"/>
          <w:szCs w:val="24"/>
        </w:rPr>
        <w:t xml:space="preserve">the Institute </w:t>
      </w:r>
      <w:proofErr w:type="spellStart"/>
      <w:r w:rsidRPr="00F945EB">
        <w:rPr>
          <w:rFonts w:ascii="Times New Roman" w:eastAsia="Times New Roman" w:hAnsi="Times New Roman" w:cs="Times New Roman"/>
          <w:color w:val="000000"/>
          <w:sz w:val="24"/>
          <w:szCs w:val="24"/>
        </w:rPr>
        <w:t>ofMbeya</w:t>
      </w:r>
      <w:proofErr w:type="spellEnd"/>
      <w:r w:rsidRPr="00F945EB">
        <w:rPr>
          <w:rFonts w:ascii="Times New Roman" w:eastAsia="Times New Roman" w:hAnsi="Times New Roman" w:cs="Times New Roman"/>
          <w:color w:val="000000"/>
          <w:sz w:val="24"/>
          <w:szCs w:val="24"/>
        </w:rPr>
        <w:t xml:space="preserve"> Medical research and ethics committee in Tanzania (MMREC) grant the final acceptance letter for the study, with registration number, </w:t>
      </w:r>
      <w:r w:rsidRPr="00F945EB">
        <w:rPr>
          <w:rFonts w:ascii="Times New Roman" w:eastAsia="Times New Roman" w:hAnsi="Times New Roman" w:cs="Times New Roman"/>
          <w:b/>
          <w:color w:val="000000"/>
          <w:sz w:val="24"/>
          <w:szCs w:val="24"/>
        </w:rPr>
        <w:t>SZEC-2439/</w:t>
      </w:r>
      <w:proofErr w:type="gramStart"/>
      <w:r w:rsidRPr="00F945EB">
        <w:rPr>
          <w:rFonts w:ascii="Times New Roman" w:eastAsia="Times New Roman" w:hAnsi="Times New Roman" w:cs="Times New Roman"/>
          <w:b/>
          <w:color w:val="000000"/>
          <w:sz w:val="24"/>
          <w:szCs w:val="24"/>
        </w:rPr>
        <w:t>R.A</w:t>
      </w:r>
      <w:proofErr w:type="gramEnd"/>
      <w:r w:rsidRPr="00F945EB">
        <w:rPr>
          <w:rFonts w:ascii="Times New Roman" w:eastAsia="Times New Roman" w:hAnsi="Times New Roman" w:cs="Times New Roman"/>
          <w:b/>
          <w:color w:val="000000"/>
          <w:sz w:val="24"/>
          <w:szCs w:val="24"/>
        </w:rPr>
        <w:t xml:space="preserve">/24/15. </w:t>
      </w:r>
      <w:r w:rsidR="00A44D80" w:rsidRPr="00F945EB">
        <w:rPr>
          <w:rFonts w:ascii="Times New Roman" w:hAnsi="Times New Roman" w:cs="Times New Roman"/>
          <w:sz w:val="24"/>
          <w:szCs w:val="24"/>
        </w:rPr>
        <w:t>The Authors declared that human sample</w:t>
      </w:r>
      <w:r w:rsidRPr="00F945EB">
        <w:rPr>
          <w:rFonts w:ascii="Times New Roman" w:hAnsi="Times New Roman" w:cs="Times New Roman"/>
          <w:sz w:val="24"/>
          <w:szCs w:val="24"/>
        </w:rPr>
        <w:t xml:space="preserve"> was used in this research and therefore it complies with the Helsinki </w:t>
      </w:r>
      <w:proofErr w:type="spellStart"/>
      <w:proofErr w:type="gramStart"/>
      <w:r w:rsidRPr="00F945EB">
        <w:rPr>
          <w:rFonts w:ascii="Times New Roman" w:hAnsi="Times New Roman" w:cs="Times New Roman"/>
          <w:sz w:val="24"/>
          <w:szCs w:val="24"/>
        </w:rPr>
        <w:t>declaration.The</w:t>
      </w:r>
      <w:proofErr w:type="spellEnd"/>
      <w:proofErr w:type="gramEnd"/>
      <w:r w:rsidRPr="00F945EB">
        <w:rPr>
          <w:rFonts w:ascii="Times New Roman" w:hAnsi="Times New Roman" w:cs="Times New Roman"/>
          <w:sz w:val="24"/>
          <w:szCs w:val="24"/>
        </w:rPr>
        <w:t xml:space="preserve"> study methods were carried out in accordance with relevant guidelines and regulations.</w:t>
      </w:r>
      <w:r w:rsidR="00BC631E">
        <w:rPr>
          <w:rFonts w:ascii="Times New Roman" w:hAnsi="Times New Roman" w:cs="Times New Roman"/>
          <w:sz w:val="24"/>
          <w:szCs w:val="24"/>
        </w:rPr>
        <w:t xml:space="preserve"> </w:t>
      </w:r>
      <w:r w:rsidR="00BC631E" w:rsidRPr="00BC631E">
        <w:rPr>
          <w:rFonts w:ascii="Times New Roman" w:hAnsi="Times New Roman" w:cs="Times New Roman"/>
          <w:sz w:val="24"/>
          <w:szCs w:val="24"/>
        </w:rPr>
        <w:t xml:space="preserve">Informed consent was obtained from the Zonal blood transfusion service </w:t>
      </w:r>
      <w:proofErr w:type="gramStart"/>
      <w:r w:rsidR="00BC631E" w:rsidRPr="00BC631E">
        <w:rPr>
          <w:rFonts w:ascii="Times New Roman" w:hAnsi="Times New Roman" w:cs="Times New Roman"/>
          <w:sz w:val="24"/>
          <w:szCs w:val="24"/>
        </w:rPr>
        <w:t>manager  after</w:t>
      </w:r>
      <w:proofErr w:type="gramEnd"/>
      <w:r w:rsidR="00BC631E" w:rsidRPr="00BC631E">
        <w:rPr>
          <w:rFonts w:ascii="Times New Roman" w:hAnsi="Times New Roman" w:cs="Times New Roman"/>
          <w:sz w:val="24"/>
          <w:szCs w:val="24"/>
        </w:rPr>
        <w:t xml:space="preserve"> explaining the importance of the research to them.</w:t>
      </w:r>
    </w:p>
    <w:p w:rsidR="00EB5475" w:rsidRDefault="00EB5475" w:rsidP="00F945EB">
      <w:pPr>
        <w:spacing w:after="178" w:line="240" w:lineRule="auto"/>
        <w:jc w:val="both"/>
        <w:rPr>
          <w:rFonts w:ascii="Times New Roman" w:hAnsi="Times New Roman" w:cs="Times New Roman"/>
          <w:sz w:val="24"/>
          <w:szCs w:val="24"/>
        </w:rPr>
      </w:pPr>
    </w:p>
    <w:p w:rsidR="00D5111F" w:rsidRDefault="00D5111F" w:rsidP="00EB5475">
      <w:pPr>
        <w:spacing w:after="178" w:line="240" w:lineRule="auto"/>
        <w:jc w:val="both"/>
        <w:rPr>
          <w:rFonts w:ascii="Times New Roman" w:eastAsia="Times New Roman" w:hAnsi="Times New Roman" w:cs="Times New Roman"/>
          <w:color w:val="000000"/>
          <w:sz w:val="24"/>
          <w:szCs w:val="24"/>
        </w:rPr>
      </w:pPr>
    </w:p>
    <w:p w:rsidR="00D5111F" w:rsidRPr="00BC631E" w:rsidRDefault="00D5111F" w:rsidP="00D5111F">
      <w:pPr>
        <w:rPr>
          <w:b/>
          <w:highlight w:val="yellow"/>
        </w:rPr>
      </w:pPr>
      <w:r w:rsidRPr="00BC631E">
        <w:rPr>
          <w:b/>
          <w:highlight w:val="yellow"/>
        </w:rPr>
        <w:t>Disclaimer (Artificial intelligence)</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Option 1: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 xml:space="preserve">Option 2: </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5111F" w:rsidRPr="00394842" w:rsidRDefault="00D5111F" w:rsidP="00D5111F">
      <w:pPr>
        <w:rPr>
          <w:highlight w:val="yellow"/>
        </w:rPr>
      </w:pPr>
    </w:p>
    <w:p w:rsidR="00D5111F" w:rsidRPr="00394842" w:rsidRDefault="00D5111F" w:rsidP="00D5111F">
      <w:pPr>
        <w:rPr>
          <w:highlight w:val="yellow"/>
        </w:rPr>
      </w:pPr>
      <w:r w:rsidRPr="00394842">
        <w:rPr>
          <w:highlight w:val="yellow"/>
        </w:rPr>
        <w:t>Details of the AI usage are given below:</w:t>
      </w:r>
    </w:p>
    <w:p w:rsidR="00D5111F" w:rsidRPr="00394842" w:rsidRDefault="00D5111F" w:rsidP="00D5111F">
      <w:pPr>
        <w:rPr>
          <w:highlight w:val="yellow"/>
        </w:rPr>
      </w:pPr>
      <w:r w:rsidRPr="00394842">
        <w:rPr>
          <w:highlight w:val="yellow"/>
        </w:rPr>
        <w:t>1.</w:t>
      </w:r>
    </w:p>
    <w:p w:rsidR="00D5111F" w:rsidRPr="00394842" w:rsidRDefault="00D5111F" w:rsidP="00D5111F">
      <w:pPr>
        <w:rPr>
          <w:highlight w:val="yellow"/>
        </w:rPr>
      </w:pPr>
      <w:r w:rsidRPr="00394842">
        <w:rPr>
          <w:highlight w:val="yellow"/>
        </w:rPr>
        <w:t>2.</w:t>
      </w:r>
    </w:p>
    <w:p w:rsidR="00D5111F" w:rsidRPr="00165217" w:rsidRDefault="00D5111F" w:rsidP="00D5111F">
      <w:r w:rsidRPr="00394842">
        <w:rPr>
          <w:highlight w:val="yellow"/>
        </w:rPr>
        <w:t>3.</w:t>
      </w:r>
    </w:p>
    <w:p w:rsidR="00D5111F" w:rsidRPr="00F945EB" w:rsidRDefault="00D5111F" w:rsidP="00EB5475">
      <w:pPr>
        <w:spacing w:after="178" w:line="240" w:lineRule="auto"/>
        <w:jc w:val="both"/>
        <w:rPr>
          <w:rFonts w:ascii="Times New Roman" w:eastAsia="Times New Roman" w:hAnsi="Times New Roman" w:cs="Times New Roman"/>
          <w:color w:val="000000"/>
          <w:sz w:val="24"/>
          <w:szCs w:val="24"/>
        </w:rPr>
      </w:pPr>
    </w:p>
    <w:p w:rsidR="00E344DF" w:rsidRPr="00F945EB" w:rsidRDefault="00AF19CF" w:rsidP="00F945EB">
      <w:pPr>
        <w:pStyle w:val="Heading1"/>
        <w:spacing w:line="240" w:lineRule="auto"/>
        <w:jc w:val="both"/>
        <w:rPr>
          <w:rFonts w:ascii="Times New Roman" w:hAnsi="Times New Roman" w:cs="Times New Roman"/>
          <w:sz w:val="24"/>
          <w:szCs w:val="24"/>
        </w:rPr>
      </w:pPr>
      <w:bookmarkStart w:id="16" w:name="_Toc164113371"/>
      <w:bookmarkStart w:id="17" w:name="_Toc193291034"/>
      <w:bookmarkEnd w:id="12"/>
      <w:r w:rsidRPr="00F945EB">
        <w:rPr>
          <w:rFonts w:ascii="Times New Roman" w:hAnsi="Times New Roman" w:cs="Times New Roman"/>
          <w:sz w:val="24"/>
          <w:szCs w:val="24"/>
        </w:rPr>
        <w:t>REFERENCES</w:t>
      </w:r>
      <w:bookmarkEnd w:id="16"/>
      <w:bookmarkEnd w:id="17"/>
    </w:p>
    <w:p w:rsidR="00002A7D" w:rsidRPr="00F945EB" w:rsidRDefault="00541204"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sz w:val="24"/>
          <w:szCs w:val="24"/>
        </w:rPr>
        <w:fldChar w:fldCharType="begin" w:fldLock="1"/>
      </w:r>
      <w:r w:rsidR="00E61098" w:rsidRPr="00F945EB">
        <w:rPr>
          <w:rFonts w:ascii="Times New Roman" w:hAnsi="Times New Roman" w:cs="Times New Roman"/>
          <w:sz w:val="24"/>
          <w:szCs w:val="24"/>
        </w:rPr>
        <w:instrText xml:space="preserve">ADDIN Mendeley Bibliography CSL_BIBLIOGRAPHY </w:instrText>
      </w:r>
      <w:r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w:t>
      </w:r>
      <w:r w:rsidR="00002A7D" w:rsidRPr="00F945EB">
        <w:rPr>
          <w:rFonts w:ascii="Times New Roman" w:hAnsi="Times New Roman" w:cs="Times New Roman"/>
          <w:noProof/>
          <w:sz w:val="24"/>
          <w:szCs w:val="24"/>
        </w:rPr>
        <w:tab/>
        <w:t xml:space="preserve">Booth C, Allard S, Robinson S. Blood transfusion. Medicine (United Kingdom).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2.</w:t>
      </w:r>
      <w:r w:rsidRPr="00F945EB">
        <w:rPr>
          <w:rFonts w:ascii="Times New Roman" w:hAnsi="Times New Roman" w:cs="Times New Roman"/>
          <w:noProof/>
          <w:sz w:val="24"/>
          <w:szCs w:val="24"/>
        </w:rPr>
        <w:tab/>
        <w:t xml:space="preserve">Astutiningtiyas S, Rusyadi L, Kartikasari Y. QUALITY CONTROL OF PACKED RED CELL (PRC) PRODUCT IN BLOOD DONATION UNIT. J Ris Kesehat.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3.</w:t>
      </w:r>
      <w:r w:rsidRPr="00F945EB">
        <w:rPr>
          <w:rFonts w:ascii="Times New Roman" w:hAnsi="Times New Roman" w:cs="Times New Roman"/>
          <w:noProof/>
          <w:sz w:val="24"/>
          <w:szCs w:val="24"/>
        </w:rPr>
        <w:tab/>
        <w:t xml:space="preserve">Bhombo A, Mwashiuya O, Mauka W, Mgasa A, Ngerageza I, Mogella D, et al. Appropriateness of transfusions of red cells, platelets and fresh frozen plasma: An audit in referral hospitals in Tanzania. Africa Sang.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4.</w:t>
      </w:r>
      <w:r w:rsidRPr="00F945EB">
        <w:rPr>
          <w:rFonts w:ascii="Times New Roman" w:hAnsi="Times New Roman" w:cs="Times New Roman"/>
          <w:noProof/>
          <w:sz w:val="24"/>
          <w:szCs w:val="24"/>
        </w:rPr>
        <w:tab/>
        <w:t>Solomon MW. Quality of Packed Red Blood Cells at Regional Blood Transfusion Center Nairobi. 2020; Available from: http://ir.jkuat.ac.ke/handle/123456789/5364</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5.</w:t>
      </w:r>
      <w:r w:rsidRPr="00F945EB">
        <w:rPr>
          <w:rFonts w:ascii="Times New Roman" w:hAnsi="Times New Roman" w:cs="Times New Roman"/>
          <w:noProof/>
          <w:sz w:val="24"/>
          <w:szCs w:val="24"/>
        </w:rPr>
        <w:tab/>
        <w:t xml:space="preserve">Barshtein G, Gural A, Zelig O, Arbell D, Yedgar S. Preparation of packed red blood cell units in the blood bank: Alteration in red blood cell deformability. Transfus Apher Sci. 2020;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6.</w:t>
      </w:r>
      <w:r w:rsidRPr="00F945EB">
        <w:rPr>
          <w:rFonts w:ascii="Times New Roman" w:hAnsi="Times New Roman" w:cs="Times New Roman"/>
          <w:noProof/>
          <w:sz w:val="24"/>
          <w:szCs w:val="24"/>
        </w:rPr>
        <w:tab/>
        <w:t xml:space="preserve">Sawadogo S, Moindze A, Nebie,  Koumpingnin, Kafando A, Sawadogo AG, Ouili P, et al. Evaluation of hemolysis during storage of red blood cell concentrates processed by centrifugation and settling method by simple gravity in Burkina Faso. Hematol Transfus Int J.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7.</w:t>
      </w:r>
      <w:r w:rsidRPr="00F945EB">
        <w:rPr>
          <w:rFonts w:ascii="Times New Roman" w:hAnsi="Times New Roman" w:cs="Times New Roman"/>
          <w:noProof/>
          <w:sz w:val="24"/>
          <w:szCs w:val="24"/>
        </w:rPr>
        <w:tab/>
        <w:t xml:space="preserve">Dhabangi A, Musisi E, Kyeyune D. Improving blood transfusion safety in resource-poor countries: A case study of using leucocyte reduced blood in Uganda. Afr Health Sci. 2020;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8.</w:t>
      </w:r>
      <w:r w:rsidRPr="00F945EB">
        <w:rPr>
          <w:rFonts w:ascii="Times New Roman" w:hAnsi="Times New Roman" w:cs="Times New Roman"/>
          <w:noProof/>
          <w:sz w:val="24"/>
          <w:szCs w:val="24"/>
        </w:rPr>
        <w:tab/>
        <w:t xml:space="preserve">Chhabra S, Namgyal A. Rationale use of blood and its components in obstetric-gynecological practice. J Mahatma Gandhi Inst Med Sci. 2014;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9.</w:t>
      </w:r>
      <w:r w:rsidRPr="00F945EB">
        <w:rPr>
          <w:rFonts w:ascii="Times New Roman" w:hAnsi="Times New Roman" w:cs="Times New Roman"/>
          <w:noProof/>
          <w:sz w:val="24"/>
          <w:szCs w:val="24"/>
        </w:rPr>
        <w:tab/>
        <w:t xml:space="preserve">Uyoga S, Maitland K. Use of whole blood as the routine transfusion product in Africa. ISBT Sci Ser. 2019;14(3):300–7.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10.</w:t>
      </w:r>
      <w:r w:rsidRPr="00F945EB">
        <w:rPr>
          <w:rFonts w:ascii="Times New Roman" w:hAnsi="Times New Roman" w:cs="Times New Roman"/>
          <w:noProof/>
          <w:sz w:val="24"/>
          <w:szCs w:val="24"/>
        </w:rPr>
        <w:tab/>
        <w:t xml:space="preserve">Sawadogo S, Nébié K, Kafando E, Millogo T, Ouattara S, Dahourou H, et al. Preparation of red cell concentrates in low-income countries: Efficacy of whole blood settling method by simple gravity in Burkina Faso. Int J Blood Transfus Immunohematol. 2016;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11.</w:t>
      </w:r>
      <w:r w:rsidRPr="00F945EB">
        <w:rPr>
          <w:rFonts w:ascii="Times New Roman" w:hAnsi="Times New Roman" w:cs="Times New Roman"/>
          <w:noProof/>
          <w:sz w:val="24"/>
          <w:szCs w:val="24"/>
        </w:rPr>
        <w:tab/>
        <w:t xml:space="preserve">Barshtein G, Pajic-Lijakovic I, Gural A. Deformability of Stored Red Blood Cells. Frontiers in Physiology. 2021.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12.</w:t>
      </w:r>
      <w:r w:rsidRPr="00F945EB">
        <w:rPr>
          <w:rFonts w:ascii="Times New Roman" w:hAnsi="Times New Roman" w:cs="Times New Roman"/>
          <w:noProof/>
          <w:sz w:val="24"/>
          <w:szCs w:val="24"/>
        </w:rPr>
        <w:tab/>
        <w:t xml:space="preserve">Ghanaati S, Mourão C, Adam E, Sader R, Zadeh H, Al-Maawi S. The role of centrifugation process in the preparation of therapeutic blood concentrates: </w:t>
      </w:r>
      <w:r w:rsidRPr="00F945EB">
        <w:rPr>
          <w:rFonts w:ascii="Times New Roman" w:hAnsi="Times New Roman" w:cs="Times New Roman"/>
          <w:noProof/>
          <w:sz w:val="24"/>
          <w:szCs w:val="24"/>
        </w:rPr>
        <w:lastRenderedPageBreak/>
        <w:t xml:space="preserve">Standardization of the protocols to improve reproducibility. Int J Growth Factors Stem Cells Dent. 2019;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13.</w:t>
      </w:r>
      <w:r w:rsidRPr="00F945EB">
        <w:rPr>
          <w:rFonts w:ascii="Times New Roman" w:hAnsi="Times New Roman" w:cs="Times New Roman"/>
          <w:noProof/>
          <w:sz w:val="24"/>
          <w:szCs w:val="24"/>
        </w:rPr>
        <w:tab/>
        <w:t xml:space="preserve">Syafrida E, Suyono T, Nasution AN, Ginting SF. Analysis of Packed Red Cell (PCR) storage time against changes in routine blood values in the blood donor unit of Indonesian Red Cross Society Medan City. J Innov Pharm Biol Sci.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14.</w:t>
      </w:r>
      <w:r w:rsidRPr="00F945EB">
        <w:rPr>
          <w:rFonts w:ascii="Times New Roman" w:hAnsi="Times New Roman" w:cs="Times New Roman"/>
          <w:noProof/>
          <w:sz w:val="24"/>
          <w:szCs w:val="24"/>
        </w:rPr>
        <w:tab/>
        <w:t xml:space="preserve">Öhlinger T, Müllner EW, Fritz M, Werning M, Baron-Stefaniak J, Jungbauer C, et al. Storage of packed red blood cells impairs an inherent coagulation property of erythrocytes. Front Physiol. 2022; </w:t>
      </w:r>
    </w:p>
    <w:p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15.</w:t>
      </w:r>
      <w:r w:rsidRPr="00F945EB">
        <w:rPr>
          <w:rFonts w:ascii="Times New Roman" w:hAnsi="Times New Roman" w:cs="Times New Roman"/>
          <w:noProof/>
          <w:sz w:val="24"/>
          <w:szCs w:val="24"/>
        </w:rPr>
        <w:tab/>
        <w:t xml:space="preserve">Islamzada E, Matthews K, Lamoureux ES, Duffy SP, Scott MD, Ma H. Degradation of red blood cell deformability during cold storage in blood bags. eJHaem. 2022; </w:t>
      </w:r>
    </w:p>
    <w:p w:rsidR="00002A7D"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16.</w:t>
      </w:r>
      <w:r w:rsidRPr="00F945EB">
        <w:rPr>
          <w:rFonts w:ascii="Times New Roman" w:hAnsi="Times New Roman" w:cs="Times New Roman"/>
          <w:noProof/>
          <w:sz w:val="24"/>
          <w:szCs w:val="24"/>
        </w:rPr>
        <w:tab/>
        <w:t xml:space="preserve">Sarijan N, Noor SM, Fathullah TMM, Osman M, Seman Z. A pilot study to assess serum potassium levels and haemolysis in red cell units. Malaysian J Med Heal Sci. 2018; </w:t>
      </w:r>
    </w:p>
    <w:p w:rsidR="00BB01D8" w:rsidRPr="00BB01D8" w:rsidRDefault="00BB01D8" w:rsidP="00BB01D8">
      <w:pPr>
        <w:spacing w:line="240" w:lineRule="auto"/>
        <w:jc w:val="both"/>
        <w:rPr>
          <w:rFonts w:ascii="Times New Roman" w:hAnsi="Times New Roman" w:cs="Times New Roman"/>
          <w:color w:val="FF0000"/>
          <w:sz w:val="24"/>
          <w:szCs w:val="24"/>
          <w:lang w:val="en-GB"/>
        </w:rPr>
      </w:pPr>
      <w:r w:rsidRPr="00BB01D8">
        <w:rPr>
          <w:rFonts w:ascii="Times New Roman" w:hAnsi="Times New Roman" w:cs="Times New Roman"/>
          <w:noProof/>
          <w:color w:val="FF0000"/>
          <w:sz w:val="24"/>
          <w:szCs w:val="24"/>
        </w:rPr>
        <w:t xml:space="preserve">17. </w:t>
      </w:r>
      <w:r w:rsidRPr="00BB01D8">
        <w:rPr>
          <w:rFonts w:ascii="Times New Roman" w:hAnsi="Times New Roman" w:cs="Times New Roman"/>
          <w:color w:val="FF0000"/>
          <w:sz w:val="24"/>
          <w:szCs w:val="24"/>
          <w:lang w:val="en-GB"/>
        </w:rPr>
        <w:t xml:space="preserve">Haji HT, Okafor CJ, Obeagu EI, Said OH, Nayak KR, Obianagha NF, Galano ES. Race as Determinant of Red Blood Cell Osmotic Stress Haemolysis in South Indian and African Populations. J. Pharm. Res. Int. [Internet]. 2021 Feb. 13 [cited 2025 May 7];33(2):46-52. Available from: </w:t>
      </w:r>
      <w:hyperlink r:id="rId15" w:history="1">
        <w:r w:rsidRPr="00BB01D8">
          <w:rPr>
            <w:rStyle w:val="Hyperlink"/>
            <w:rFonts w:ascii="Times New Roman" w:hAnsi="Times New Roman" w:cs="Times New Roman"/>
            <w:color w:val="FF0000"/>
            <w:sz w:val="24"/>
            <w:szCs w:val="24"/>
            <w:lang w:val="en-GB"/>
          </w:rPr>
          <w:t>https://www.journaljpri.com/index.php/JPRI/article/view/1983</w:t>
        </w:r>
      </w:hyperlink>
    </w:p>
    <w:p w:rsidR="00BB01D8" w:rsidRDefault="00BB01D8" w:rsidP="00BB01D8">
      <w:pPr>
        <w:rPr>
          <w:sz w:val="20"/>
          <w:szCs w:val="20"/>
          <w:lang w:val="en-GB"/>
        </w:rPr>
      </w:pPr>
    </w:p>
    <w:p w:rsidR="00BB01D8" w:rsidRPr="00F945EB" w:rsidRDefault="00BB01D8"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p>
    <w:p w:rsidR="00C96174" w:rsidRPr="00F945EB" w:rsidRDefault="00541204" w:rsidP="00F945EB">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F945EB">
        <w:rPr>
          <w:rFonts w:ascii="Times New Roman" w:hAnsi="Times New Roman" w:cs="Times New Roman"/>
          <w:sz w:val="24"/>
          <w:szCs w:val="24"/>
        </w:rPr>
        <w:fldChar w:fldCharType="end"/>
      </w:r>
    </w:p>
    <w:sectPr w:rsidR="00C96174" w:rsidRPr="00F945EB" w:rsidSect="00B677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47F" w:rsidRDefault="0064247F" w:rsidP="00BB4988">
      <w:pPr>
        <w:spacing w:after="0" w:line="240" w:lineRule="auto"/>
      </w:pPr>
      <w:r>
        <w:separator/>
      </w:r>
    </w:p>
  </w:endnote>
  <w:endnote w:type="continuationSeparator" w:id="0">
    <w:p w:rsidR="0064247F" w:rsidRDefault="0064247F" w:rsidP="00B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172801"/>
      <w:docPartObj>
        <w:docPartGallery w:val="Page Numbers (Bottom of Page)"/>
        <w:docPartUnique/>
      </w:docPartObj>
    </w:sdtPr>
    <w:sdtEndPr>
      <w:rPr>
        <w:noProof/>
      </w:rPr>
    </w:sdtEndPr>
    <w:sdtContent>
      <w:p w:rsidR="006A4008" w:rsidRDefault="00541204">
        <w:pPr>
          <w:pStyle w:val="Footer"/>
          <w:jc w:val="center"/>
        </w:pPr>
        <w:r>
          <w:fldChar w:fldCharType="begin"/>
        </w:r>
        <w:r w:rsidR="006A4008">
          <w:instrText xml:space="preserve"> PAGE   \* MERGEFORMAT </w:instrText>
        </w:r>
        <w:r>
          <w:fldChar w:fldCharType="separate"/>
        </w:r>
        <w:r w:rsidR="00BB01D8">
          <w:rPr>
            <w:noProof/>
          </w:rPr>
          <w:t>II</w:t>
        </w:r>
        <w:r>
          <w:rPr>
            <w:noProof/>
          </w:rPr>
          <w:fldChar w:fldCharType="end"/>
        </w:r>
      </w:p>
    </w:sdtContent>
  </w:sdt>
  <w:p w:rsidR="006A4008" w:rsidRDefault="006A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8159"/>
      <w:docPartObj>
        <w:docPartGallery w:val="Page Numbers (Bottom of Page)"/>
        <w:docPartUnique/>
      </w:docPartObj>
    </w:sdtPr>
    <w:sdtEndPr>
      <w:rPr>
        <w:noProof/>
      </w:rPr>
    </w:sdtEndPr>
    <w:sdtContent>
      <w:p w:rsidR="006A4008" w:rsidRDefault="00541204">
        <w:pPr>
          <w:pStyle w:val="Footer"/>
          <w:jc w:val="center"/>
        </w:pPr>
        <w:r>
          <w:fldChar w:fldCharType="begin"/>
        </w:r>
        <w:r w:rsidR="006A4008">
          <w:instrText xml:space="preserve"> PAGE   \* MERGEFORMAT </w:instrText>
        </w:r>
        <w:r>
          <w:fldChar w:fldCharType="separate"/>
        </w:r>
        <w:r w:rsidR="00BB01D8">
          <w:rPr>
            <w:noProof/>
          </w:rPr>
          <w:t>1</w:t>
        </w:r>
        <w:r>
          <w:rPr>
            <w:noProof/>
          </w:rPr>
          <w:fldChar w:fldCharType="end"/>
        </w:r>
      </w:p>
    </w:sdtContent>
  </w:sdt>
  <w:p w:rsidR="006A4008" w:rsidRDefault="006A40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B08" w:rsidRDefault="00D2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47F" w:rsidRDefault="0064247F" w:rsidP="00BB4988">
      <w:pPr>
        <w:spacing w:after="0" w:line="240" w:lineRule="auto"/>
      </w:pPr>
      <w:r>
        <w:separator/>
      </w:r>
    </w:p>
  </w:footnote>
  <w:footnote w:type="continuationSeparator" w:id="0">
    <w:p w:rsidR="0064247F" w:rsidRDefault="0064247F" w:rsidP="00BB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08" w:rsidRDefault="0064247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6A4008" w:rsidRDefault="006A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08" w:rsidRDefault="0064247F" w:rsidP="00D008D4">
    <w:pPr>
      <w:pStyle w:val="Header"/>
      <w:tabs>
        <w:tab w:val="clear" w:pos="4680"/>
        <w:tab w:val="clear" w:pos="9360"/>
        <w:tab w:val="left" w:pos="3984"/>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A4008">
      <w:tab/>
    </w:r>
  </w:p>
  <w:p w:rsidR="006A4008" w:rsidRDefault="006A40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08" w:rsidRDefault="0064247F" w:rsidP="00851BF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3E8"/>
    <w:multiLevelType w:val="hybridMultilevel"/>
    <w:tmpl w:val="76DEC00E"/>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5CF4"/>
    <w:multiLevelType w:val="multilevel"/>
    <w:tmpl w:val="870C821A"/>
    <w:lvl w:ilvl="0">
      <w:start w:val="1"/>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433439F"/>
    <w:multiLevelType w:val="multilevel"/>
    <w:tmpl w:val="DE24C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25E50"/>
    <w:multiLevelType w:val="hybridMultilevel"/>
    <w:tmpl w:val="F28C931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F26A3"/>
    <w:multiLevelType w:val="multilevel"/>
    <w:tmpl w:val="1480E6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8784E"/>
    <w:multiLevelType w:val="hybridMultilevel"/>
    <w:tmpl w:val="2CD43B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F6D7021"/>
    <w:multiLevelType w:val="multilevel"/>
    <w:tmpl w:val="C3CCDEF4"/>
    <w:lvl w:ilvl="0">
      <w:start w:val="1"/>
      <w:numFmt w:val="decimal"/>
      <w:lvlText w:val="%1."/>
      <w:lvlJc w:val="left"/>
      <w:pPr>
        <w:ind w:left="450" w:hanging="360"/>
      </w:pPr>
    </w:lvl>
    <w:lvl w:ilvl="1">
      <w:start w:val="5"/>
      <w:numFmt w:val="decimal"/>
      <w:isLgl/>
      <w:lvlText w:val="%1.%2."/>
      <w:lvlJc w:val="left"/>
      <w:pPr>
        <w:ind w:left="630" w:hanging="540"/>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15:restartNumberingAfterBreak="0">
    <w:nsid w:val="15CF52EF"/>
    <w:multiLevelType w:val="multilevel"/>
    <w:tmpl w:val="DB1A0C8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95B24"/>
    <w:multiLevelType w:val="hybridMultilevel"/>
    <w:tmpl w:val="682C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216B95"/>
    <w:multiLevelType w:val="multilevel"/>
    <w:tmpl w:val="23DE6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448111C"/>
    <w:multiLevelType w:val="multilevel"/>
    <w:tmpl w:val="F0C8F1AA"/>
    <w:lvl w:ilvl="0">
      <w:start w:val="1"/>
      <w:numFmt w:val="decimal"/>
      <w:lvlText w:val="%1."/>
      <w:lvlJc w:val="left"/>
      <w:pPr>
        <w:ind w:left="360" w:hanging="360"/>
      </w:p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1" w15:restartNumberingAfterBreak="0">
    <w:nsid w:val="284F1A90"/>
    <w:multiLevelType w:val="hybridMultilevel"/>
    <w:tmpl w:val="8F229A5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B5F2494"/>
    <w:multiLevelType w:val="hybridMultilevel"/>
    <w:tmpl w:val="532AE2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1CBA"/>
    <w:multiLevelType w:val="hybridMultilevel"/>
    <w:tmpl w:val="1E2E428E"/>
    <w:lvl w:ilvl="0" w:tplc="432C4D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665C2"/>
    <w:multiLevelType w:val="hybridMultilevel"/>
    <w:tmpl w:val="55286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42552"/>
    <w:multiLevelType w:val="hybridMultilevel"/>
    <w:tmpl w:val="E6DE6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159E9"/>
    <w:multiLevelType w:val="hybridMultilevel"/>
    <w:tmpl w:val="868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F58AA"/>
    <w:multiLevelType w:val="multilevel"/>
    <w:tmpl w:val="8A823FE0"/>
    <w:lvl w:ilvl="0">
      <w:start w:val="2"/>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8" w15:restartNumberingAfterBreak="0">
    <w:nsid w:val="41964CAE"/>
    <w:multiLevelType w:val="multilevel"/>
    <w:tmpl w:val="D4A456AC"/>
    <w:lvl w:ilvl="0">
      <w:start w:val="1"/>
      <w:numFmt w:val="decimal"/>
      <w:lvlText w:val="%1."/>
      <w:lvlJc w:val="left"/>
      <w:pPr>
        <w:ind w:left="540" w:hanging="540"/>
      </w:pPr>
      <w:rPr>
        <w:rFonts w:hint="default"/>
      </w:rPr>
    </w:lvl>
    <w:lvl w:ilvl="1">
      <w:start w:val="9"/>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0C1147"/>
    <w:multiLevelType w:val="hybridMultilevel"/>
    <w:tmpl w:val="D51E5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D6E99"/>
    <w:multiLevelType w:val="hybridMultilevel"/>
    <w:tmpl w:val="FB8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14517"/>
    <w:multiLevelType w:val="hybridMultilevel"/>
    <w:tmpl w:val="73BA2B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6EC9"/>
    <w:multiLevelType w:val="hybridMultilevel"/>
    <w:tmpl w:val="45E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E0F97"/>
    <w:multiLevelType w:val="hybridMultilevel"/>
    <w:tmpl w:val="3ED4CC86"/>
    <w:lvl w:ilvl="0" w:tplc="4D9E0F2A">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D45EE"/>
    <w:multiLevelType w:val="hybridMultilevel"/>
    <w:tmpl w:val="3ECA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E4CC3"/>
    <w:multiLevelType w:val="multilevel"/>
    <w:tmpl w:val="F85EF0D8"/>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F642BF2"/>
    <w:multiLevelType w:val="multilevel"/>
    <w:tmpl w:val="F0F80232"/>
    <w:lvl w:ilvl="0">
      <w:start w:val="1"/>
      <w:numFmt w:val="decimal"/>
      <w:lvlText w:val="%1."/>
      <w:lvlJc w:val="left"/>
      <w:pPr>
        <w:ind w:left="540" w:hanging="540"/>
      </w:pPr>
      <w:rPr>
        <w:rFonts w:hint="default"/>
      </w:rPr>
    </w:lvl>
    <w:lvl w:ilvl="1">
      <w:start w:val="7"/>
      <w:numFmt w:val="decimal"/>
      <w:lvlText w:val="%1.%2."/>
      <w:lvlJc w:val="left"/>
      <w:pPr>
        <w:ind w:left="585" w:hanging="540"/>
      </w:pPr>
      <w:rPr>
        <w:rFonts w:hint="default"/>
        <w:color w:val="000000" w:themeColor="text1"/>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736133DE"/>
    <w:multiLevelType w:val="multilevel"/>
    <w:tmpl w:val="208884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013A0E"/>
    <w:multiLevelType w:val="multilevel"/>
    <w:tmpl w:val="802EDD82"/>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175974"/>
    <w:multiLevelType w:val="multilevel"/>
    <w:tmpl w:val="62B2A264"/>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DB68F6"/>
    <w:multiLevelType w:val="hybridMultilevel"/>
    <w:tmpl w:val="0A90B1A4"/>
    <w:lvl w:ilvl="0" w:tplc="0409000F">
      <w:start w:val="1"/>
      <w:numFmt w:val="decimal"/>
      <w:lvlText w:val="%1."/>
      <w:lvlJc w:val="left"/>
      <w:pPr>
        <w:ind w:left="540" w:hanging="360"/>
      </w:pPr>
      <w:rPr>
        <w:rFonts w:hint="default"/>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BC46A6D"/>
    <w:multiLevelType w:val="hybridMultilevel"/>
    <w:tmpl w:val="43323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D630FD"/>
    <w:multiLevelType w:val="multilevel"/>
    <w:tmpl w:val="305CC45A"/>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25"/>
  </w:num>
  <w:num w:numId="2">
    <w:abstractNumId w:val="11"/>
  </w:num>
  <w:num w:numId="3">
    <w:abstractNumId w:val="15"/>
  </w:num>
  <w:num w:numId="4">
    <w:abstractNumId w:val="10"/>
  </w:num>
  <w:num w:numId="5">
    <w:abstractNumId w:val="31"/>
  </w:num>
  <w:num w:numId="6">
    <w:abstractNumId w:val="30"/>
  </w:num>
  <w:num w:numId="7">
    <w:abstractNumId w:val="6"/>
  </w:num>
  <w:num w:numId="8">
    <w:abstractNumId w:val="23"/>
  </w:num>
  <w:num w:numId="9">
    <w:abstractNumId w:val="32"/>
  </w:num>
  <w:num w:numId="10">
    <w:abstractNumId w:val="18"/>
  </w:num>
  <w:num w:numId="11">
    <w:abstractNumId w:val="9"/>
  </w:num>
  <w:num w:numId="12">
    <w:abstractNumId w:val="20"/>
  </w:num>
  <w:num w:numId="13">
    <w:abstractNumId w:val="24"/>
  </w:num>
  <w:num w:numId="14">
    <w:abstractNumId w:val="22"/>
  </w:num>
  <w:num w:numId="15">
    <w:abstractNumId w:val="27"/>
  </w:num>
  <w:num w:numId="16">
    <w:abstractNumId w:val="7"/>
  </w:num>
  <w:num w:numId="17">
    <w:abstractNumId w:val="28"/>
  </w:num>
  <w:num w:numId="18">
    <w:abstractNumId w:val="29"/>
  </w:num>
  <w:num w:numId="19">
    <w:abstractNumId w:val="19"/>
  </w:num>
  <w:num w:numId="20">
    <w:abstractNumId w:val="17"/>
  </w:num>
  <w:num w:numId="21">
    <w:abstractNumId w:val="4"/>
  </w:num>
  <w:num w:numId="22">
    <w:abstractNumId w:val="14"/>
  </w:num>
  <w:num w:numId="23">
    <w:abstractNumId w:val="1"/>
  </w:num>
  <w:num w:numId="24">
    <w:abstractNumId w:val="26"/>
  </w:num>
  <w:num w:numId="25">
    <w:abstractNumId w:val="13"/>
  </w:num>
  <w:num w:numId="26">
    <w:abstractNumId w:val="3"/>
  </w:num>
  <w:num w:numId="27">
    <w:abstractNumId w:val="5"/>
  </w:num>
  <w:num w:numId="28">
    <w:abstractNumId w:val="12"/>
  </w:num>
  <w:num w:numId="29">
    <w:abstractNumId w:val="16"/>
  </w:num>
  <w:num w:numId="30">
    <w:abstractNumId w:val="2"/>
  </w:num>
  <w:num w:numId="31">
    <w:abstractNumId w:val="21"/>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EC4"/>
    <w:rsid w:val="00000EB7"/>
    <w:rsid w:val="00001028"/>
    <w:rsid w:val="00001A1D"/>
    <w:rsid w:val="00001DA6"/>
    <w:rsid w:val="000026F9"/>
    <w:rsid w:val="00002A7D"/>
    <w:rsid w:val="00002C8D"/>
    <w:rsid w:val="000041BD"/>
    <w:rsid w:val="00004400"/>
    <w:rsid w:val="0000595C"/>
    <w:rsid w:val="00005D47"/>
    <w:rsid w:val="000060D8"/>
    <w:rsid w:val="00006E4C"/>
    <w:rsid w:val="0001106C"/>
    <w:rsid w:val="00011B0D"/>
    <w:rsid w:val="00011EBB"/>
    <w:rsid w:val="000122FD"/>
    <w:rsid w:val="00012CAE"/>
    <w:rsid w:val="00013DF6"/>
    <w:rsid w:val="00015B39"/>
    <w:rsid w:val="00017400"/>
    <w:rsid w:val="000205CB"/>
    <w:rsid w:val="00020957"/>
    <w:rsid w:val="0002207B"/>
    <w:rsid w:val="000220C9"/>
    <w:rsid w:val="0002255B"/>
    <w:rsid w:val="0002332F"/>
    <w:rsid w:val="00024C6B"/>
    <w:rsid w:val="000256C8"/>
    <w:rsid w:val="00026060"/>
    <w:rsid w:val="000261BB"/>
    <w:rsid w:val="0002780A"/>
    <w:rsid w:val="00031122"/>
    <w:rsid w:val="00031815"/>
    <w:rsid w:val="0003464D"/>
    <w:rsid w:val="00034C25"/>
    <w:rsid w:val="00034DAE"/>
    <w:rsid w:val="00035D34"/>
    <w:rsid w:val="00035EAD"/>
    <w:rsid w:val="00037490"/>
    <w:rsid w:val="000376F9"/>
    <w:rsid w:val="00040E71"/>
    <w:rsid w:val="000414D2"/>
    <w:rsid w:val="00041625"/>
    <w:rsid w:val="00041A81"/>
    <w:rsid w:val="00041BF3"/>
    <w:rsid w:val="00041F97"/>
    <w:rsid w:val="000435EE"/>
    <w:rsid w:val="000507B6"/>
    <w:rsid w:val="00050877"/>
    <w:rsid w:val="00050AD7"/>
    <w:rsid w:val="00051C61"/>
    <w:rsid w:val="00051F34"/>
    <w:rsid w:val="000526C4"/>
    <w:rsid w:val="00053531"/>
    <w:rsid w:val="00055999"/>
    <w:rsid w:val="00056042"/>
    <w:rsid w:val="000561DE"/>
    <w:rsid w:val="000564BE"/>
    <w:rsid w:val="00056826"/>
    <w:rsid w:val="00056C63"/>
    <w:rsid w:val="00061E47"/>
    <w:rsid w:val="00062EF1"/>
    <w:rsid w:val="00063080"/>
    <w:rsid w:val="00063AEB"/>
    <w:rsid w:val="0006497F"/>
    <w:rsid w:val="000653E9"/>
    <w:rsid w:val="00065613"/>
    <w:rsid w:val="00065F04"/>
    <w:rsid w:val="00066631"/>
    <w:rsid w:val="0006667A"/>
    <w:rsid w:val="00066D99"/>
    <w:rsid w:val="00067BA1"/>
    <w:rsid w:val="00067DC3"/>
    <w:rsid w:val="00067E4B"/>
    <w:rsid w:val="00070163"/>
    <w:rsid w:val="00070CB8"/>
    <w:rsid w:val="00072F38"/>
    <w:rsid w:val="000730CC"/>
    <w:rsid w:val="000731AC"/>
    <w:rsid w:val="00073EFB"/>
    <w:rsid w:val="000760CA"/>
    <w:rsid w:val="000762F3"/>
    <w:rsid w:val="000803AF"/>
    <w:rsid w:val="000804CC"/>
    <w:rsid w:val="00083413"/>
    <w:rsid w:val="0008428F"/>
    <w:rsid w:val="00085255"/>
    <w:rsid w:val="000869CD"/>
    <w:rsid w:val="000870F4"/>
    <w:rsid w:val="000914C4"/>
    <w:rsid w:val="00091D48"/>
    <w:rsid w:val="00092C27"/>
    <w:rsid w:val="0009334D"/>
    <w:rsid w:val="00093CC1"/>
    <w:rsid w:val="0009439F"/>
    <w:rsid w:val="00095824"/>
    <w:rsid w:val="00095BA5"/>
    <w:rsid w:val="000967F9"/>
    <w:rsid w:val="00096F7D"/>
    <w:rsid w:val="00097681"/>
    <w:rsid w:val="00097E94"/>
    <w:rsid w:val="000A042D"/>
    <w:rsid w:val="000A0622"/>
    <w:rsid w:val="000A1156"/>
    <w:rsid w:val="000A174B"/>
    <w:rsid w:val="000A1B02"/>
    <w:rsid w:val="000A227C"/>
    <w:rsid w:val="000A258A"/>
    <w:rsid w:val="000A3C6E"/>
    <w:rsid w:val="000A3F70"/>
    <w:rsid w:val="000A414C"/>
    <w:rsid w:val="000A4419"/>
    <w:rsid w:val="000A45EA"/>
    <w:rsid w:val="000A4FFE"/>
    <w:rsid w:val="000A5AAC"/>
    <w:rsid w:val="000A5BDA"/>
    <w:rsid w:val="000A6303"/>
    <w:rsid w:val="000A66D9"/>
    <w:rsid w:val="000A6791"/>
    <w:rsid w:val="000A683B"/>
    <w:rsid w:val="000A7E14"/>
    <w:rsid w:val="000B215A"/>
    <w:rsid w:val="000B28B6"/>
    <w:rsid w:val="000B3959"/>
    <w:rsid w:val="000B6BA8"/>
    <w:rsid w:val="000B78F5"/>
    <w:rsid w:val="000C0501"/>
    <w:rsid w:val="000C0CEA"/>
    <w:rsid w:val="000C17C5"/>
    <w:rsid w:val="000C464A"/>
    <w:rsid w:val="000C504F"/>
    <w:rsid w:val="000C52DA"/>
    <w:rsid w:val="000C5334"/>
    <w:rsid w:val="000C5F42"/>
    <w:rsid w:val="000C6B39"/>
    <w:rsid w:val="000C726E"/>
    <w:rsid w:val="000D0708"/>
    <w:rsid w:val="000D14A0"/>
    <w:rsid w:val="000D32BA"/>
    <w:rsid w:val="000D3C6C"/>
    <w:rsid w:val="000D4508"/>
    <w:rsid w:val="000D516F"/>
    <w:rsid w:val="000D5E3A"/>
    <w:rsid w:val="000D71DE"/>
    <w:rsid w:val="000D7339"/>
    <w:rsid w:val="000E0A7D"/>
    <w:rsid w:val="000E0CCB"/>
    <w:rsid w:val="000E1286"/>
    <w:rsid w:val="000E1F18"/>
    <w:rsid w:val="000E2EAA"/>
    <w:rsid w:val="000E34A3"/>
    <w:rsid w:val="000E3B79"/>
    <w:rsid w:val="000E4078"/>
    <w:rsid w:val="000E6653"/>
    <w:rsid w:val="000E7035"/>
    <w:rsid w:val="000E74A3"/>
    <w:rsid w:val="000E766D"/>
    <w:rsid w:val="000E76E4"/>
    <w:rsid w:val="000F01AE"/>
    <w:rsid w:val="000F0565"/>
    <w:rsid w:val="000F17FF"/>
    <w:rsid w:val="000F1A0A"/>
    <w:rsid w:val="000F3787"/>
    <w:rsid w:val="000F4E98"/>
    <w:rsid w:val="000F63D8"/>
    <w:rsid w:val="000F768F"/>
    <w:rsid w:val="000F77CD"/>
    <w:rsid w:val="00100F6A"/>
    <w:rsid w:val="00103288"/>
    <w:rsid w:val="00104C6D"/>
    <w:rsid w:val="00104F13"/>
    <w:rsid w:val="00105289"/>
    <w:rsid w:val="00105DD4"/>
    <w:rsid w:val="00105FEC"/>
    <w:rsid w:val="0010628F"/>
    <w:rsid w:val="00106C33"/>
    <w:rsid w:val="00107E2B"/>
    <w:rsid w:val="00110DA8"/>
    <w:rsid w:val="00111914"/>
    <w:rsid w:val="00111DFC"/>
    <w:rsid w:val="001122E8"/>
    <w:rsid w:val="0011367A"/>
    <w:rsid w:val="001138D7"/>
    <w:rsid w:val="001155F8"/>
    <w:rsid w:val="00115677"/>
    <w:rsid w:val="0011679A"/>
    <w:rsid w:val="00116A83"/>
    <w:rsid w:val="00117061"/>
    <w:rsid w:val="00121088"/>
    <w:rsid w:val="00121236"/>
    <w:rsid w:val="00121C2A"/>
    <w:rsid w:val="00122B38"/>
    <w:rsid w:val="001237A7"/>
    <w:rsid w:val="0012494F"/>
    <w:rsid w:val="00125113"/>
    <w:rsid w:val="00125EE4"/>
    <w:rsid w:val="0013077E"/>
    <w:rsid w:val="00131A14"/>
    <w:rsid w:val="00131D61"/>
    <w:rsid w:val="00132205"/>
    <w:rsid w:val="00132998"/>
    <w:rsid w:val="00132F70"/>
    <w:rsid w:val="00133393"/>
    <w:rsid w:val="0013381D"/>
    <w:rsid w:val="001338A5"/>
    <w:rsid w:val="00134072"/>
    <w:rsid w:val="00134A84"/>
    <w:rsid w:val="00136A2A"/>
    <w:rsid w:val="00136A92"/>
    <w:rsid w:val="001379AF"/>
    <w:rsid w:val="00137BDA"/>
    <w:rsid w:val="00140260"/>
    <w:rsid w:val="00140D17"/>
    <w:rsid w:val="00141C19"/>
    <w:rsid w:val="001452FE"/>
    <w:rsid w:val="00145707"/>
    <w:rsid w:val="00146343"/>
    <w:rsid w:val="001465ED"/>
    <w:rsid w:val="001466DF"/>
    <w:rsid w:val="001477C6"/>
    <w:rsid w:val="001519F1"/>
    <w:rsid w:val="00151CA1"/>
    <w:rsid w:val="00152E78"/>
    <w:rsid w:val="001536CF"/>
    <w:rsid w:val="00155198"/>
    <w:rsid w:val="001552FF"/>
    <w:rsid w:val="0015697D"/>
    <w:rsid w:val="00157245"/>
    <w:rsid w:val="00157BCD"/>
    <w:rsid w:val="00160CBC"/>
    <w:rsid w:val="0016192C"/>
    <w:rsid w:val="001619A4"/>
    <w:rsid w:val="00161EA8"/>
    <w:rsid w:val="00162AB7"/>
    <w:rsid w:val="00163936"/>
    <w:rsid w:val="001640D3"/>
    <w:rsid w:val="001647EA"/>
    <w:rsid w:val="00164B8D"/>
    <w:rsid w:val="00164B91"/>
    <w:rsid w:val="00165241"/>
    <w:rsid w:val="00165365"/>
    <w:rsid w:val="0016569B"/>
    <w:rsid w:val="00165FBA"/>
    <w:rsid w:val="00166022"/>
    <w:rsid w:val="001662BB"/>
    <w:rsid w:val="001665BE"/>
    <w:rsid w:val="0016665E"/>
    <w:rsid w:val="001702F3"/>
    <w:rsid w:val="0017038A"/>
    <w:rsid w:val="0017105D"/>
    <w:rsid w:val="001713B7"/>
    <w:rsid w:val="00171FBD"/>
    <w:rsid w:val="00172B17"/>
    <w:rsid w:val="0017349D"/>
    <w:rsid w:val="00173FFD"/>
    <w:rsid w:val="00174B2E"/>
    <w:rsid w:val="00174FFD"/>
    <w:rsid w:val="001756A9"/>
    <w:rsid w:val="001760CB"/>
    <w:rsid w:val="00177357"/>
    <w:rsid w:val="00180CA4"/>
    <w:rsid w:val="0018288C"/>
    <w:rsid w:val="00182D11"/>
    <w:rsid w:val="001843D7"/>
    <w:rsid w:val="001848F3"/>
    <w:rsid w:val="00184E02"/>
    <w:rsid w:val="0018552B"/>
    <w:rsid w:val="001855AA"/>
    <w:rsid w:val="0018576D"/>
    <w:rsid w:val="00187763"/>
    <w:rsid w:val="00187F2E"/>
    <w:rsid w:val="001911F8"/>
    <w:rsid w:val="001939B9"/>
    <w:rsid w:val="001941D6"/>
    <w:rsid w:val="0019458F"/>
    <w:rsid w:val="00196BEB"/>
    <w:rsid w:val="00196C4B"/>
    <w:rsid w:val="00197244"/>
    <w:rsid w:val="00197839"/>
    <w:rsid w:val="00197870"/>
    <w:rsid w:val="00197DBA"/>
    <w:rsid w:val="001A0784"/>
    <w:rsid w:val="001A188B"/>
    <w:rsid w:val="001A19E5"/>
    <w:rsid w:val="001A251E"/>
    <w:rsid w:val="001A381B"/>
    <w:rsid w:val="001A4554"/>
    <w:rsid w:val="001A71EB"/>
    <w:rsid w:val="001A720C"/>
    <w:rsid w:val="001A79D4"/>
    <w:rsid w:val="001B08F6"/>
    <w:rsid w:val="001B1010"/>
    <w:rsid w:val="001B110C"/>
    <w:rsid w:val="001B3778"/>
    <w:rsid w:val="001B5ABD"/>
    <w:rsid w:val="001B5D87"/>
    <w:rsid w:val="001B5FBA"/>
    <w:rsid w:val="001B6C15"/>
    <w:rsid w:val="001B72F8"/>
    <w:rsid w:val="001B747D"/>
    <w:rsid w:val="001B79F9"/>
    <w:rsid w:val="001B7D5D"/>
    <w:rsid w:val="001B7F74"/>
    <w:rsid w:val="001C043B"/>
    <w:rsid w:val="001C07E9"/>
    <w:rsid w:val="001C08CA"/>
    <w:rsid w:val="001C2605"/>
    <w:rsid w:val="001C2A46"/>
    <w:rsid w:val="001C3FB4"/>
    <w:rsid w:val="001C5940"/>
    <w:rsid w:val="001C6BC2"/>
    <w:rsid w:val="001C6DB9"/>
    <w:rsid w:val="001C76A2"/>
    <w:rsid w:val="001D0033"/>
    <w:rsid w:val="001D0523"/>
    <w:rsid w:val="001D0DD1"/>
    <w:rsid w:val="001D11D0"/>
    <w:rsid w:val="001D2DDB"/>
    <w:rsid w:val="001D2FBD"/>
    <w:rsid w:val="001D34D2"/>
    <w:rsid w:val="001D34FC"/>
    <w:rsid w:val="001D419E"/>
    <w:rsid w:val="001D41B1"/>
    <w:rsid w:val="001D48BF"/>
    <w:rsid w:val="001D6FF2"/>
    <w:rsid w:val="001D75F4"/>
    <w:rsid w:val="001E10C6"/>
    <w:rsid w:val="001E2299"/>
    <w:rsid w:val="001E22FD"/>
    <w:rsid w:val="001E23BA"/>
    <w:rsid w:val="001E3C3F"/>
    <w:rsid w:val="001E43A0"/>
    <w:rsid w:val="001E688B"/>
    <w:rsid w:val="001F1025"/>
    <w:rsid w:val="001F1B50"/>
    <w:rsid w:val="001F1C7B"/>
    <w:rsid w:val="001F26DB"/>
    <w:rsid w:val="001F503F"/>
    <w:rsid w:val="001F58B2"/>
    <w:rsid w:val="00202294"/>
    <w:rsid w:val="00203815"/>
    <w:rsid w:val="00203AEF"/>
    <w:rsid w:val="00203BE5"/>
    <w:rsid w:val="00204A58"/>
    <w:rsid w:val="002052C5"/>
    <w:rsid w:val="00210924"/>
    <w:rsid w:val="00210982"/>
    <w:rsid w:val="002109AC"/>
    <w:rsid w:val="002123D0"/>
    <w:rsid w:val="00212A04"/>
    <w:rsid w:val="00213CFA"/>
    <w:rsid w:val="0021480F"/>
    <w:rsid w:val="0021514F"/>
    <w:rsid w:val="00215324"/>
    <w:rsid w:val="002159E7"/>
    <w:rsid w:val="00216D9C"/>
    <w:rsid w:val="00217B1D"/>
    <w:rsid w:val="002225A1"/>
    <w:rsid w:val="00223134"/>
    <w:rsid w:val="00224190"/>
    <w:rsid w:val="00224355"/>
    <w:rsid w:val="00224906"/>
    <w:rsid w:val="00225188"/>
    <w:rsid w:val="00225EF0"/>
    <w:rsid w:val="002264E8"/>
    <w:rsid w:val="00231200"/>
    <w:rsid w:val="00232E7E"/>
    <w:rsid w:val="0023343D"/>
    <w:rsid w:val="00233F3D"/>
    <w:rsid w:val="00234D0B"/>
    <w:rsid w:val="00235792"/>
    <w:rsid w:val="002361AA"/>
    <w:rsid w:val="00240370"/>
    <w:rsid w:val="002403A8"/>
    <w:rsid w:val="00241591"/>
    <w:rsid w:val="00242FC5"/>
    <w:rsid w:val="002442F8"/>
    <w:rsid w:val="00244A90"/>
    <w:rsid w:val="00246605"/>
    <w:rsid w:val="0024695F"/>
    <w:rsid w:val="00246EC8"/>
    <w:rsid w:val="002472A2"/>
    <w:rsid w:val="00247AE1"/>
    <w:rsid w:val="00247C6B"/>
    <w:rsid w:val="00250079"/>
    <w:rsid w:val="00251625"/>
    <w:rsid w:val="0025194D"/>
    <w:rsid w:val="00252239"/>
    <w:rsid w:val="00253C9A"/>
    <w:rsid w:val="0025504F"/>
    <w:rsid w:val="00256C12"/>
    <w:rsid w:val="00256C56"/>
    <w:rsid w:val="002605E7"/>
    <w:rsid w:val="002628EF"/>
    <w:rsid w:val="00262CF4"/>
    <w:rsid w:val="00263C42"/>
    <w:rsid w:val="002651AF"/>
    <w:rsid w:val="002658C7"/>
    <w:rsid w:val="00265DF3"/>
    <w:rsid w:val="002667B3"/>
    <w:rsid w:val="00266A36"/>
    <w:rsid w:val="00266E8A"/>
    <w:rsid w:val="0026709E"/>
    <w:rsid w:val="00267B98"/>
    <w:rsid w:val="00267D8E"/>
    <w:rsid w:val="002706DA"/>
    <w:rsid w:val="00270BE6"/>
    <w:rsid w:val="002717A3"/>
    <w:rsid w:val="0027211F"/>
    <w:rsid w:val="00273568"/>
    <w:rsid w:val="00273A9E"/>
    <w:rsid w:val="002751A3"/>
    <w:rsid w:val="002772F9"/>
    <w:rsid w:val="002777E9"/>
    <w:rsid w:val="00277814"/>
    <w:rsid w:val="002806E7"/>
    <w:rsid w:val="002826F4"/>
    <w:rsid w:val="00282DC1"/>
    <w:rsid w:val="002839D3"/>
    <w:rsid w:val="00287024"/>
    <w:rsid w:val="00287C1B"/>
    <w:rsid w:val="00290C97"/>
    <w:rsid w:val="002922D9"/>
    <w:rsid w:val="0029334C"/>
    <w:rsid w:val="002936B9"/>
    <w:rsid w:val="00293EDD"/>
    <w:rsid w:val="0029461F"/>
    <w:rsid w:val="002A10F9"/>
    <w:rsid w:val="002A24C9"/>
    <w:rsid w:val="002A2C57"/>
    <w:rsid w:val="002A35B9"/>
    <w:rsid w:val="002A5A85"/>
    <w:rsid w:val="002A64AA"/>
    <w:rsid w:val="002A682D"/>
    <w:rsid w:val="002A6968"/>
    <w:rsid w:val="002A6E99"/>
    <w:rsid w:val="002B0E13"/>
    <w:rsid w:val="002B1E42"/>
    <w:rsid w:val="002B5510"/>
    <w:rsid w:val="002B58E7"/>
    <w:rsid w:val="002B6C7F"/>
    <w:rsid w:val="002B7521"/>
    <w:rsid w:val="002C0015"/>
    <w:rsid w:val="002C0A4C"/>
    <w:rsid w:val="002C33CC"/>
    <w:rsid w:val="002C352D"/>
    <w:rsid w:val="002C3D3B"/>
    <w:rsid w:val="002C3E8C"/>
    <w:rsid w:val="002C59C8"/>
    <w:rsid w:val="002C625A"/>
    <w:rsid w:val="002C6DCE"/>
    <w:rsid w:val="002C7E28"/>
    <w:rsid w:val="002D0C36"/>
    <w:rsid w:val="002D0EB7"/>
    <w:rsid w:val="002D1445"/>
    <w:rsid w:val="002D15D3"/>
    <w:rsid w:val="002D162B"/>
    <w:rsid w:val="002D4283"/>
    <w:rsid w:val="002D58FB"/>
    <w:rsid w:val="002D6D00"/>
    <w:rsid w:val="002D7183"/>
    <w:rsid w:val="002D72EC"/>
    <w:rsid w:val="002D7BD8"/>
    <w:rsid w:val="002D7CA7"/>
    <w:rsid w:val="002E04EC"/>
    <w:rsid w:val="002E07F3"/>
    <w:rsid w:val="002E0D83"/>
    <w:rsid w:val="002E0E3B"/>
    <w:rsid w:val="002E0EBC"/>
    <w:rsid w:val="002E1416"/>
    <w:rsid w:val="002E16EB"/>
    <w:rsid w:val="002E2810"/>
    <w:rsid w:val="002E2CA0"/>
    <w:rsid w:val="002E3773"/>
    <w:rsid w:val="002E388F"/>
    <w:rsid w:val="002E498F"/>
    <w:rsid w:val="002E58CE"/>
    <w:rsid w:val="002E76C2"/>
    <w:rsid w:val="002E7E45"/>
    <w:rsid w:val="002E7F72"/>
    <w:rsid w:val="002F0A51"/>
    <w:rsid w:val="002F0B98"/>
    <w:rsid w:val="002F0FF1"/>
    <w:rsid w:val="002F1956"/>
    <w:rsid w:val="002F1ADE"/>
    <w:rsid w:val="002F1CCE"/>
    <w:rsid w:val="002F2F8E"/>
    <w:rsid w:val="002F389A"/>
    <w:rsid w:val="002F47C5"/>
    <w:rsid w:val="002F48B7"/>
    <w:rsid w:val="002F577F"/>
    <w:rsid w:val="002F5C8B"/>
    <w:rsid w:val="002F6364"/>
    <w:rsid w:val="002F6E3E"/>
    <w:rsid w:val="002F752F"/>
    <w:rsid w:val="002F7AA2"/>
    <w:rsid w:val="002F7AB5"/>
    <w:rsid w:val="00300831"/>
    <w:rsid w:val="00300B45"/>
    <w:rsid w:val="00300CDE"/>
    <w:rsid w:val="00300FB7"/>
    <w:rsid w:val="00301C24"/>
    <w:rsid w:val="0030267D"/>
    <w:rsid w:val="00304164"/>
    <w:rsid w:val="0030648F"/>
    <w:rsid w:val="003101A1"/>
    <w:rsid w:val="003101C5"/>
    <w:rsid w:val="00310DD4"/>
    <w:rsid w:val="003134DE"/>
    <w:rsid w:val="00313AD1"/>
    <w:rsid w:val="003155C3"/>
    <w:rsid w:val="00321AB2"/>
    <w:rsid w:val="00321AF2"/>
    <w:rsid w:val="00321BCE"/>
    <w:rsid w:val="003220A8"/>
    <w:rsid w:val="0032274B"/>
    <w:rsid w:val="00323423"/>
    <w:rsid w:val="00325851"/>
    <w:rsid w:val="00325A75"/>
    <w:rsid w:val="00325BF2"/>
    <w:rsid w:val="00325FBA"/>
    <w:rsid w:val="00326543"/>
    <w:rsid w:val="00326D98"/>
    <w:rsid w:val="00330092"/>
    <w:rsid w:val="00330BAA"/>
    <w:rsid w:val="00331BE2"/>
    <w:rsid w:val="003322E9"/>
    <w:rsid w:val="003338F2"/>
    <w:rsid w:val="003356CC"/>
    <w:rsid w:val="003357E5"/>
    <w:rsid w:val="003357EF"/>
    <w:rsid w:val="00336213"/>
    <w:rsid w:val="003362FC"/>
    <w:rsid w:val="00336AA6"/>
    <w:rsid w:val="00337BE3"/>
    <w:rsid w:val="00337FD9"/>
    <w:rsid w:val="003411F8"/>
    <w:rsid w:val="00341A94"/>
    <w:rsid w:val="00342252"/>
    <w:rsid w:val="003431BE"/>
    <w:rsid w:val="00343F25"/>
    <w:rsid w:val="00344ECB"/>
    <w:rsid w:val="00344F4B"/>
    <w:rsid w:val="00345B8E"/>
    <w:rsid w:val="00346A53"/>
    <w:rsid w:val="00347E6D"/>
    <w:rsid w:val="00350C31"/>
    <w:rsid w:val="00351504"/>
    <w:rsid w:val="003515B3"/>
    <w:rsid w:val="003515C1"/>
    <w:rsid w:val="0035181B"/>
    <w:rsid w:val="00351D1A"/>
    <w:rsid w:val="0035353F"/>
    <w:rsid w:val="00353703"/>
    <w:rsid w:val="00354A8C"/>
    <w:rsid w:val="00355122"/>
    <w:rsid w:val="00355C1B"/>
    <w:rsid w:val="0035697A"/>
    <w:rsid w:val="00356B84"/>
    <w:rsid w:val="003575B3"/>
    <w:rsid w:val="0036012C"/>
    <w:rsid w:val="003602E8"/>
    <w:rsid w:val="00360688"/>
    <w:rsid w:val="003608A0"/>
    <w:rsid w:val="00360EE3"/>
    <w:rsid w:val="00360EF1"/>
    <w:rsid w:val="00362BE7"/>
    <w:rsid w:val="00362F09"/>
    <w:rsid w:val="00363475"/>
    <w:rsid w:val="003636B8"/>
    <w:rsid w:val="0036428D"/>
    <w:rsid w:val="00365807"/>
    <w:rsid w:val="00366C3B"/>
    <w:rsid w:val="00366CAF"/>
    <w:rsid w:val="003672B6"/>
    <w:rsid w:val="003701CA"/>
    <w:rsid w:val="00371235"/>
    <w:rsid w:val="0037187D"/>
    <w:rsid w:val="00371AB4"/>
    <w:rsid w:val="00371DA4"/>
    <w:rsid w:val="00371EC4"/>
    <w:rsid w:val="00372CD9"/>
    <w:rsid w:val="00374CF3"/>
    <w:rsid w:val="00376E64"/>
    <w:rsid w:val="00377A87"/>
    <w:rsid w:val="00381223"/>
    <w:rsid w:val="003819FD"/>
    <w:rsid w:val="0038233A"/>
    <w:rsid w:val="00382447"/>
    <w:rsid w:val="00382A6E"/>
    <w:rsid w:val="0038303A"/>
    <w:rsid w:val="003830A0"/>
    <w:rsid w:val="003833CF"/>
    <w:rsid w:val="003843BD"/>
    <w:rsid w:val="00384E4C"/>
    <w:rsid w:val="00384E51"/>
    <w:rsid w:val="0038534F"/>
    <w:rsid w:val="0038635E"/>
    <w:rsid w:val="0038689C"/>
    <w:rsid w:val="00387124"/>
    <w:rsid w:val="00387BEA"/>
    <w:rsid w:val="0039133C"/>
    <w:rsid w:val="00391591"/>
    <w:rsid w:val="00391782"/>
    <w:rsid w:val="00392032"/>
    <w:rsid w:val="0039301A"/>
    <w:rsid w:val="003935EF"/>
    <w:rsid w:val="0039486C"/>
    <w:rsid w:val="00396101"/>
    <w:rsid w:val="00397017"/>
    <w:rsid w:val="00397099"/>
    <w:rsid w:val="003A00A1"/>
    <w:rsid w:val="003A00A8"/>
    <w:rsid w:val="003A0B7E"/>
    <w:rsid w:val="003A185E"/>
    <w:rsid w:val="003A52F1"/>
    <w:rsid w:val="003A5906"/>
    <w:rsid w:val="003A6AD0"/>
    <w:rsid w:val="003A73D9"/>
    <w:rsid w:val="003A74DC"/>
    <w:rsid w:val="003B1014"/>
    <w:rsid w:val="003B1127"/>
    <w:rsid w:val="003B154C"/>
    <w:rsid w:val="003B18A2"/>
    <w:rsid w:val="003B28F9"/>
    <w:rsid w:val="003B3153"/>
    <w:rsid w:val="003B34B4"/>
    <w:rsid w:val="003B3AF8"/>
    <w:rsid w:val="003B4B8B"/>
    <w:rsid w:val="003B5C3C"/>
    <w:rsid w:val="003B6063"/>
    <w:rsid w:val="003B6235"/>
    <w:rsid w:val="003B6938"/>
    <w:rsid w:val="003B7C55"/>
    <w:rsid w:val="003C1170"/>
    <w:rsid w:val="003C26A4"/>
    <w:rsid w:val="003C2708"/>
    <w:rsid w:val="003C33E3"/>
    <w:rsid w:val="003C385A"/>
    <w:rsid w:val="003C39A4"/>
    <w:rsid w:val="003C3F65"/>
    <w:rsid w:val="003C6135"/>
    <w:rsid w:val="003C6A2F"/>
    <w:rsid w:val="003C6BE9"/>
    <w:rsid w:val="003C74EF"/>
    <w:rsid w:val="003C7A17"/>
    <w:rsid w:val="003C7C53"/>
    <w:rsid w:val="003C7C75"/>
    <w:rsid w:val="003D2560"/>
    <w:rsid w:val="003D320C"/>
    <w:rsid w:val="003D35C7"/>
    <w:rsid w:val="003D3BA6"/>
    <w:rsid w:val="003D3F3E"/>
    <w:rsid w:val="003D5CC7"/>
    <w:rsid w:val="003D640A"/>
    <w:rsid w:val="003D6F2E"/>
    <w:rsid w:val="003E03B6"/>
    <w:rsid w:val="003E0E0E"/>
    <w:rsid w:val="003E176A"/>
    <w:rsid w:val="003E228F"/>
    <w:rsid w:val="003E2858"/>
    <w:rsid w:val="003E2A6D"/>
    <w:rsid w:val="003E33C8"/>
    <w:rsid w:val="003E3CC4"/>
    <w:rsid w:val="003E4364"/>
    <w:rsid w:val="003E5023"/>
    <w:rsid w:val="003E6A1F"/>
    <w:rsid w:val="003F1503"/>
    <w:rsid w:val="003F1AC5"/>
    <w:rsid w:val="003F37DF"/>
    <w:rsid w:val="003F4ACA"/>
    <w:rsid w:val="003F5253"/>
    <w:rsid w:val="003F528D"/>
    <w:rsid w:val="003F5326"/>
    <w:rsid w:val="003F5EDB"/>
    <w:rsid w:val="003F6B9A"/>
    <w:rsid w:val="004004DB"/>
    <w:rsid w:val="00400600"/>
    <w:rsid w:val="004017D1"/>
    <w:rsid w:val="00401DFE"/>
    <w:rsid w:val="0040261F"/>
    <w:rsid w:val="004026EB"/>
    <w:rsid w:val="00402986"/>
    <w:rsid w:val="00402E00"/>
    <w:rsid w:val="0040313D"/>
    <w:rsid w:val="0040365F"/>
    <w:rsid w:val="00403B9A"/>
    <w:rsid w:val="004047B7"/>
    <w:rsid w:val="00404BAC"/>
    <w:rsid w:val="00405D26"/>
    <w:rsid w:val="004100E8"/>
    <w:rsid w:val="0041090A"/>
    <w:rsid w:val="0041108F"/>
    <w:rsid w:val="004116B2"/>
    <w:rsid w:val="00411ABF"/>
    <w:rsid w:val="004131BD"/>
    <w:rsid w:val="00413F1B"/>
    <w:rsid w:val="0041485E"/>
    <w:rsid w:val="0041530F"/>
    <w:rsid w:val="00415D2D"/>
    <w:rsid w:val="00415E4F"/>
    <w:rsid w:val="0041660E"/>
    <w:rsid w:val="004169CA"/>
    <w:rsid w:val="00416EE6"/>
    <w:rsid w:val="004209E4"/>
    <w:rsid w:val="00422B8E"/>
    <w:rsid w:val="004318DD"/>
    <w:rsid w:val="00432564"/>
    <w:rsid w:val="00432D0C"/>
    <w:rsid w:val="00433010"/>
    <w:rsid w:val="00434DD5"/>
    <w:rsid w:val="00435D6C"/>
    <w:rsid w:val="00436459"/>
    <w:rsid w:val="00436637"/>
    <w:rsid w:val="00436810"/>
    <w:rsid w:val="00436A2D"/>
    <w:rsid w:val="00436C79"/>
    <w:rsid w:val="004374B0"/>
    <w:rsid w:val="00437B92"/>
    <w:rsid w:val="00440DFE"/>
    <w:rsid w:val="00440FEC"/>
    <w:rsid w:val="00441296"/>
    <w:rsid w:val="00442241"/>
    <w:rsid w:val="004449D0"/>
    <w:rsid w:val="00444CBF"/>
    <w:rsid w:val="004458B4"/>
    <w:rsid w:val="00445D51"/>
    <w:rsid w:val="004473E0"/>
    <w:rsid w:val="0044752E"/>
    <w:rsid w:val="00447D9F"/>
    <w:rsid w:val="00450488"/>
    <w:rsid w:val="004517CB"/>
    <w:rsid w:val="0045372D"/>
    <w:rsid w:val="00453EB6"/>
    <w:rsid w:val="00454C96"/>
    <w:rsid w:val="00454CC8"/>
    <w:rsid w:val="00455C96"/>
    <w:rsid w:val="0045702D"/>
    <w:rsid w:val="00457F13"/>
    <w:rsid w:val="00460502"/>
    <w:rsid w:val="00460E15"/>
    <w:rsid w:val="00461330"/>
    <w:rsid w:val="00461A0A"/>
    <w:rsid w:val="00462830"/>
    <w:rsid w:val="00463C00"/>
    <w:rsid w:val="004642FC"/>
    <w:rsid w:val="0046474E"/>
    <w:rsid w:val="0046712C"/>
    <w:rsid w:val="00467A93"/>
    <w:rsid w:val="00467F17"/>
    <w:rsid w:val="004719C7"/>
    <w:rsid w:val="00474172"/>
    <w:rsid w:val="0047525C"/>
    <w:rsid w:val="00475577"/>
    <w:rsid w:val="004769D6"/>
    <w:rsid w:val="00481A37"/>
    <w:rsid w:val="00483C13"/>
    <w:rsid w:val="00484C7D"/>
    <w:rsid w:val="004854BC"/>
    <w:rsid w:val="00485B4B"/>
    <w:rsid w:val="00486F0B"/>
    <w:rsid w:val="00487C14"/>
    <w:rsid w:val="004915F7"/>
    <w:rsid w:val="00492BE2"/>
    <w:rsid w:val="004931CB"/>
    <w:rsid w:val="00493677"/>
    <w:rsid w:val="004941AF"/>
    <w:rsid w:val="0049429B"/>
    <w:rsid w:val="004A0931"/>
    <w:rsid w:val="004A0F74"/>
    <w:rsid w:val="004A24DE"/>
    <w:rsid w:val="004A3BF6"/>
    <w:rsid w:val="004A4D28"/>
    <w:rsid w:val="004A7AC4"/>
    <w:rsid w:val="004B128B"/>
    <w:rsid w:val="004B2468"/>
    <w:rsid w:val="004B3216"/>
    <w:rsid w:val="004B3720"/>
    <w:rsid w:val="004B3B76"/>
    <w:rsid w:val="004B4642"/>
    <w:rsid w:val="004B4D85"/>
    <w:rsid w:val="004B548F"/>
    <w:rsid w:val="004B5A84"/>
    <w:rsid w:val="004B6135"/>
    <w:rsid w:val="004B696E"/>
    <w:rsid w:val="004B6B60"/>
    <w:rsid w:val="004C0A7C"/>
    <w:rsid w:val="004C0AD5"/>
    <w:rsid w:val="004C307A"/>
    <w:rsid w:val="004C343C"/>
    <w:rsid w:val="004C3B15"/>
    <w:rsid w:val="004C4A75"/>
    <w:rsid w:val="004C53B0"/>
    <w:rsid w:val="004C56F0"/>
    <w:rsid w:val="004C59B3"/>
    <w:rsid w:val="004C5F34"/>
    <w:rsid w:val="004C62A5"/>
    <w:rsid w:val="004C662A"/>
    <w:rsid w:val="004C6F6A"/>
    <w:rsid w:val="004C76BE"/>
    <w:rsid w:val="004C7C15"/>
    <w:rsid w:val="004D00EB"/>
    <w:rsid w:val="004D21B5"/>
    <w:rsid w:val="004D24B6"/>
    <w:rsid w:val="004D3190"/>
    <w:rsid w:val="004D34A3"/>
    <w:rsid w:val="004D4257"/>
    <w:rsid w:val="004D4A77"/>
    <w:rsid w:val="004D63B0"/>
    <w:rsid w:val="004D657C"/>
    <w:rsid w:val="004D6DE4"/>
    <w:rsid w:val="004D72D1"/>
    <w:rsid w:val="004E0BB4"/>
    <w:rsid w:val="004E221B"/>
    <w:rsid w:val="004E23A6"/>
    <w:rsid w:val="004E2B2A"/>
    <w:rsid w:val="004E370F"/>
    <w:rsid w:val="004E5281"/>
    <w:rsid w:val="004E579F"/>
    <w:rsid w:val="004E596F"/>
    <w:rsid w:val="004E614F"/>
    <w:rsid w:val="004E62B5"/>
    <w:rsid w:val="004E65D5"/>
    <w:rsid w:val="004E6796"/>
    <w:rsid w:val="004E7371"/>
    <w:rsid w:val="004E7FB2"/>
    <w:rsid w:val="004F0BBC"/>
    <w:rsid w:val="004F1AB1"/>
    <w:rsid w:val="004F1F1F"/>
    <w:rsid w:val="004F3317"/>
    <w:rsid w:val="004F3A5A"/>
    <w:rsid w:val="004F3D48"/>
    <w:rsid w:val="004F4DDB"/>
    <w:rsid w:val="004F6786"/>
    <w:rsid w:val="004F714E"/>
    <w:rsid w:val="00500884"/>
    <w:rsid w:val="005008C2"/>
    <w:rsid w:val="00500A00"/>
    <w:rsid w:val="00501065"/>
    <w:rsid w:val="00501BD8"/>
    <w:rsid w:val="00503486"/>
    <w:rsid w:val="00504D46"/>
    <w:rsid w:val="005071A1"/>
    <w:rsid w:val="00507648"/>
    <w:rsid w:val="00512245"/>
    <w:rsid w:val="00512872"/>
    <w:rsid w:val="00512F0B"/>
    <w:rsid w:val="005132EE"/>
    <w:rsid w:val="005138F1"/>
    <w:rsid w:val="00513DE3"/>
    <w:rsid w:val="005141AA"/>
    <w:rsid w:val="005144B2"/>
    <w:rsid w:val="00514A13"/>
    <w:rsid w:val="0051539B"/>
    <w:rsid w:val="00516496"/>
    <w:rsid w:val="00517AA4"/>
    <w:rsid w:val="005201F2"/>
    <w:rsid w:val="00521209"/>
    <w:rsid w:val="005212BD"/>
    <w:rsid w:val="00522410"/>
    <w:rsid w:val="005232A7"/>
    <w:rsid w:val="00524CCF"/>
    <w:rsid w:val="0052630E"/>
    <w:rsid w:val="00526F85"/>
    <w:rsid w:val="005279C1"/>
    <w:rsid w:val="00533BD3"/>
    <w:rsid w:val="00533D8E"/>
    <w:rsid w:val="00533F9D"/>
    <w:rsid w:val="005340D3"/>
    <w:rsid w:val="00535F6A"/>
    <w:rsid w:val="00536210"/>
    <w:rsid w:val="0053738F"/>
    <w:rsid w:val="005374EE"/>
    <w:rsid w:val="00537595"/>
    <w:rsid w:val="00537ADF"/>
    <w:rsid w:val="00541192"/>
    <w:rsid w:val="00541204"/>
    <w:rsid w:val="00541444"/>
    <w:rsid w:val="00541CAB"/>
    <w:rsid w:val="00544C0C"/>
    <w:rsid w:val="00544CB0"/>
    <w:rsid w:val="005457CD"/>
    <w:rsid w:val="00545B17"/>
    <w:rsid w:val="005460B2"/>
    <w:rsid w:val="00546223"/>
    <w:rsid w:val="00546901"/>
    <w:rsid w:val="0054717A"/>
    <w:rsid w:val="00547C02"/>
    <w:rsid w:val="00551816"/>
    <w:rsid w:val="005520E2"/>
    <w:rsid w:val="00554586"/>
    <w:rsid w:val="005556E4"/>
    <w:rsid w:val="0055736E"/>
    <w:rsid w:val="00557464"/>
    <w:rsid w:val="00557ABC"/>
    <w:rsid w:val="00560702"/>
    <w:rsid w:val="00560C76"/>
    <w:rsid w:val="0056281F"/>
    <w:rsid w:val="005632C4"/>
    <w:rsid w:val="00563A1F"/>
    <w:rsid w:val="00564012"/>
    <w:rsid w:val="0056672C"/>
    <w:rsid w:val="0056697E"/>
    <w:rsid w:val="00567989"/>
    <w:rsid w:val="005679E9"/>
    <w:rsid w:val="005705CE"/>
    <w:rsid w:val="0057063F"/>
    <w:rsid w:val="00571EC9"/>
    <w:rsid w:val="00573C80"/>
    <w:rsid w:val="00573F2C"/>
    <w:rsid w:val="0057675E"/>
    <w:rsid w:val="005768F7"/>
    <w:rsid w:val="00580F58"/>
    <w:rsid w:val="00581E55"/>
    <w:rsid w:val="00581EAA"/>
    <w:rsid w:val="0059060E"/>
    <w:rsid w:val="0059216A"/>
    <w:rsid w:val="0059338B"/>
    <w:rsid w:val="0059348C"/>
    <w:rsid w:val="005935AC"/>
    <w:rsid w:val="005936DD"/>
    <w:rsid w:val="00597104"/>
    <w:rsid w:val="00597BE0"/>
    <w:rsid w:val="00597C1C"/>
    <w:rsid w:val="00597DC2"/>
    <w:rsid w:val="005A2DFF"/>
    <w:rsid w:val="005A5A76"/>
    <w:rsid w:val="005A68CC"/>
    <w:rsid w:val="005A6ADF"/>
    <w:rsid w:val="005B0571"/>
    <w:rsid w:val="005B1A2C"/>
    <w:rsid w:val="005B2260"/>
    <w:rsid w:val="005B24DB"/>
    <w:rsid w:val="005B5181"/>
    <w:rsid w:val="005B535C"/>
    <w:rsid w:val="005B57BC"/>
    <w:rsid w:val="005C13D5"/>
    <w:rsid w:val="005C143B"/>
    <w:rsid w:val="005C28B9"/>
    <w:rsid w:val="005C3918"/>
    <w:rsid w:val="005C427B"/>
    <w:rsid w:val="005C4833"/>
    <w:rsid w:val="005C4AA7"/>
    <w:rsid w:val="005C4DF2"/>
    <w:rsid w:val="005C586D"/>
    <w:rsid w:val="005C5DA3"/>
    <w:rsid w:val="005C60A2"/>
    <w:rsid w:val="005C6455"/>
    <w:rsid w:val="005C71D9"/>
    <w:rsid w:val="005D12B4"/>
    <w:rsid w:val="005D2531"/>
    <w:rsid w:val="005D433E"/>
    <w:rsid w:val="005D47F6"/>
    <w:rsid w:val="005D4E32"/>
    <w:rsid w:val="005D54C7"/>
    <w:rsid w:val="005D6938"/>
    <w:rsid w:val="005D6DFE"/>
    <w:rsid w:val="005E0480"/>
    <w:rsid w:val="005E10F2"/>
    <w:rsid w:val="005E15D7"/>
    <w:rsid w:val="005E2ACC"/>
    <w:rsid w:val="005E3CCE"/>
    <w:rsid w:val="005E41FF"/>
    <w:rsid w:val="005E5591"/>
    <w:rsid w:val="005E5851"/>
    <w:rsid w:val="005E6215"/>
    <w:rsid w:val="005E6216"/>
    <w:rsid w:val="005E644F"/>
    <w:rsid w:val="005F143D"/>
    <w:rsid w:val="005F2AA2"/>
    <w:rsid w:val="005F4941"/>
    <w:rsid w:val="005F588E"/>
    <w:rsid w:val="005F6728"/>
    <w:rsid w:val="005F6E4F"/>
    <w:rsid w:val="005F6E80"/>
    <w:rsid w:val="005F7332"/>
    <w:rsid w:val="00601586"/>
    <w:rsid w:val="00603807"/>
    <w:rsid w:val="00604014"/>
    <w:rsid w:val="00604342"/>
    <w:rsid w:val="00604F7E"/>
    <w:rsid w:val="00606578"/>
    <w:rsid w:val="006069C0"/>
    <w:rsid w:val="00606E38"/>
    <w:rsid w:val="0060767A"/>
    <w:rsid w:val="006101CE"/>
    <w:rsid w:val="00610C5D"/>
    <w:rsid w:val="00612944"/>
    <w:rsid w:val="00613469"/>
    <w:rsid w:val="006138B8"/>
    <w:rsid w:val="00614617"/>
    <w:rsid w:val="00614F8B"/>
    <w:rsid w:val="006158BF"/>
    <w:rsid w:val="00617712"/>
    <w:rsid w:val="0062168B"/>
    <w:rsid w:val="00623689"/>
    <w:rsid w:val="006241DF"/>
    <w:rsid w:val="006241F8"/>
    <w:rsid w:val="00625F8E"/>
    <w:rsid w:val="006270EB"/>
    <w:rsid w:val="006274D7"/>
    <w:rsid w:val="00627BB0"/>
    <w:rsid w:val="00630C4F"/>
    <w:rsid w:val="00630E15"/>
    <w:rsid w:val="00632036"/>
    <w:rsid w:val="006322B1"/>
    <w:rsid w:val="00632993"/>
    <w:rsid w:val="00634039"/>
    <w:rsid w:val="00636BD7"/>
    <w:rsid w:val="006370BE"/>
    <w:rsid w:val="0063722F"/>
    <w:rsid w:val="00641847"/>
    <w:rsid w:val="00641F41"/>
    <w:rsid w:val="0064247F"/>
    <w:rsid w:val="00642504"/>
    <w:rsid w:val="0064252F"/>
    <w:rsid w:val="00642602"/>
    <w:rsid w:val="006437BF"/>
    <w:rsid w:val="00643EEE"/>
    <w:rsid w:val="00644081"/>
    <w:rsid w:val="006448D1"/>
    <w:rsid w:val="006468C0"/>
    <w:rsid w:val="0064692B"/>
    <w:rsid w:val="00647804"/>
    <w:rsid w:val="0065132C"/>
    <w:rsid w:val="006515E3"/>
    <w:rsid w:val="006519C4"/>
    <w:rsid w:val="006522D6"/>
    <w:rsid w:val="00652B43"/>
    <w:rsid w:val="006530FB"/>
    <w:rsid w:val="006534E9"/>
    <w:rsid w:val="00653EDF"/>
    <w:rsid w:val="00653F20"/>
    <w:rsid w:val="0065567F"/>
    <w:rsid w:val="00656CC9"/>
    <w:rsid w:val="0065763A"/>
    <w:rsid w:val="00660286"/>
    <w:rsid w:val="0066127D"/>
    <w:rsid w:val="00661378"/>
    <w:rsid w:val="00663673"/>
    <w:rsid w:val="006643E0"/>
    <w:rsid w:val="006670B2"/>
    <w:rsid w:val="006674EA"/>
    <w:rsid w:val="00667BB9"/>
    <w:rsid w:val="00667D69"/>
    <w:rsid w:val="0067017C"/>
    <w:rsid w:val="0067217E"/>
    <w:rsid w:val="0067277D"/>
    <w:rsid w:val="006727F5"/>
    <w:rsid w:val="00672A37"/>
    <w:rsid w:val="006730C0"/>
    <w:rsid w:val="006734FC"/>
    <w:rsid w:val="00673C02"/>
    <w:rsid w:val="006751DD"/>
    <w:rsid w:val="00675831"/>
    <w:rsid w:val="00676966"/>
    <w:rsid w:val="00676FAE"/>
    <w:rsid w:val="00677215"/>
    <w:rsid w:val="00680936"/>
    <w:rsid w:val="00680E27"/>
    <w:rsid w:val="00681839"/>
    <w:rsid w:val="006835D2"/>
    <w:rsid w:val="00683EA5"/>
    <w:rsid w:val="00684534"/>
    <w:rsid w:val="00684B0C"/>
    <w:rsid w:val="006862B1"/>
    <w:rsid w:val="0068693D"/>
    <w:rsid w:val="00690E96"/>
    <w:rsid w:val="0069104C"/>
    <w:rsid w:val="006914C1"/>
    <w:rsid w:val="0069156E"/>
    <w:rsid w:val="00691619"/>
    <w:rsid w:val="00691809"/>
    <w:rsid w:val="00691872"/>
    <w:rsid w:val="0069275C"/>
    <w:rsid w:val="00692A16"/>
    <w:rsid w:val="0069300A"/>
    <w:rsid w:val="006937CF"/>
    <w:rsid w:val="00693E63"/>
    <w:rsid w:val="006944CC"/>
    <w:rsid w:val="00694E9E"/>
    <w:rsid w:val="0069599B"/>
    <w:rsid w:val="00695A12"/>
    <w:rsid w:val="00696870"/>
    <w:rsid w:val="00696B9F"/>
    <w:rsid w:val="006970F9"/>
    <w:rsid w:val="00697850"/>
    <w:rsid w:val="006A030A"/>
    <w:rsid w:val="006A0C69"/>
    <w:rsid w:val="006A177B"/>
    <w:rsid w:val="006A1796"/>
    <w:rsid w:val="006A3005"/>
    <w:rsid w:val="006A311B"/>
    <w:rsid w:val="006A35E3"/>
    <w:rsid w:val="006A4008"/>
    <w:rsid w:val="006A4799"/>
    <w:rsid w:val="006A5E80"/>
    <w:rsid w:val="006A6039"/>
    <w:rsid w:val="006A60E3"/>
    <w:rsid w:val="006A7EA7"/>
    <w:rsid w:val="006B0E49"/>
    <w:rsid w:val="006B121E"/>
    <w:rsid w:val="006B1D6B"/>
    <w:rsid w:val="006B2F6C"/>
    <w:rsid w:val="006B408C"/>
    <w:rsid w:val="006B4681"/>
    <w:rsid w:val="006B46E0"/>
    <w:rsid w:val="006B5E85"/>
    <w:rsid w:val="006B683C"/>
    <w:rsid w:val="006B6A91"/>
    <w:rsid w:val="006B6ECF"/>
    <w:rsid w:val="006B73EC"/>
    <w:rsid w:val="006C167A"/>
    <w:rsid w:val="006C1BCC"/>
    <w:rsid w:val="006C3170"/>
    <w:rsid w:val="006C3295"/>
    <w:rsid w:val="006C32C0"/>
    <w:rsid w:val="006C4CB5"/>
    <w:rsid w:val="006C5FDE"/>
    <w:rsid w:val="006C6C58"/>
    <w:rsid w:val="006C7215"/>
    <w:rsid w:val="006C7870"/>
    <w:rsid w:val="006C7880"/>
    <w:rsid w:val="006D0778"/>
    <w:rsid w:val="006D280B"/>
    <w:rsid w:val="006D3122"/>
    <w:rsid w:val="006D3554"/>
    <w:rsid w:val="006D3693"/>
    <w:rsid w:val="006D3A5C"/>
    <w:rsid w:val="006D496F"/>
    <w:rsid w:val="006D58E8"/>
    <w:rsid w:val="006D59AB"/>
    <w:rsid w:val="006D5B60"/>
    <w:rsid w:val="006D7056"/>
    <w:rsid w:val="006D74CD"/>
    <w:rsid w:val="006E0365"/>
    <w:rsid w:val="006E355C"/>
    <w:rsid w:val="006E4EFC"/>
    <w:rsid w:val="006E5E61"/>
    <w:rsid w:val="006E5EF8"/>
    <w:rsid w:val="006E6CF7"/>
    <w:rsid w:val="006F1D47"/>
    <w:rsid w:val="006F25FD"/>
    <w:rsid w:val="006F2A82"/>
    <w:rsid w:val="006F2B08"/>
    <w:rsid w:val="006F2D01"/>
    <w:rsid w:val="006F30B7"/>
    <w:rsid w:val="006F31A5"/>
    <w:rsid w:val="006F3789"/>
    <w:rsid w:val="006F579E"/>
    <w:rsid w:val="006F6DF6"/>
    <w:rsid w:val="00700043"/>
    <w:rsid w:val="00700F75"/>
    <w:rsid w:val="00704873"/>
    <w:rsid w:val="007051D0"/>
    <w:rsid w:val="00705D88"/>
    <w:rsid w:val="00705EDC"/>
    <w:rsid w:val="00706342"/>
    <w:rsid w:val="00711E22"/>
    <w:rsid w:val="00712F19"/>
    <w:rsid w:val="00713D94"/>
    <w:rsid w:val="007140FB"/>
    <w:rsid w:val="007152C9"/>
    <w:rsid w:val="00715B89"/>
    <w:rsid w:val="00716034"/>
    <w:rsid w:val="00716778"/>
    <w:rsid w:val="00716FB4"/>
    <w:rsid w:val="00717221"/>
    <w:rsid w:val="007173EC"/>
    <w:rsid w:val="0072077D"/>
    <w:rsid w:val="007220AD"/>
    <w:rsid w:val="00722964"/>
    <w:rsid w:val="007230D8"/>
    <w:rsid w:val="00723448"/>
    <w:rsid w:val="007235DD"/>
    <w:rsid w:val="007237E3"/>
    <w:rsid w:val="00723F62"/>
    <w:rsid w:val="00725491"/>
    <w:rsid w:val="00725502"/>
    <w:rsid w:val="007261B5"/>
    <w:rsid w:val="00726256"/>
    <w:rsid w:val="00730CE3"/>
    <w:rsid w:val="00730E5E"/>
    <w:rsid w:val="00732AFC"/>
    <w:rsid w:val="00732C38"/>
    <w:rsid w:val="00732F53"/>
    <w:rsid w:val="007335C6"/>
    <w:rsid w:val="00734031"/>
    <w:rsid w:val="00734EB3"/>
    <w:rsid w:val="0073547F"/>
    <w:rsid w:val="007357F4"/>
    <w:rsid w:val="00736C65"/>
    <w:rsid w:val="007408A9"/>
    <w:rsid w:val="00742C38"/>
    <w:rsid w:val="00742E4C"/>
    <w:rsid w:val="007432E9"/>
    <w:rsid w:val="00743C0E"/>
    <w:rsid w:val="00744205"/>
    <w:rsid w:val="007446DF"/>
    <w:rsid w:val="00745D71"/>
    <w:rsid w:val="00746764"/>
    <w:rsid w:val="007472DD"/>
    <w:rsid w:val="00747D16"/>
    <w:rsid w:val="00747DC0"/>
    <w:rsid w:val="00751AE5"/>
    <w:rsid w:val="007530CA"/>
    <w:rsid w:val="007539E1"/>
    <w:rsid w:val="0075510E"/>
    <w:rsid w:val="0075513D"/>
    <w:rsid w:val="0075535D"/>
    <w:rsid w:val="00756013"/>
    <w:rsid w:val="0075692F"/>
    <w:rsid w:val="00757D9D"/>
    <w:rsid w:val="00760C53"/>
    <w:rsid w:val="00761045"/>
    <w:rsid w:val="00761D7E"/>
    <w:rsid w:val="007627A3"/>
    <w:rsid w:val="007634E3"/>
    <w:rsid w:val="007638C8"/>
    <w:rsid w:val="0076490B"/>
    <w:rsid w:val="00764D7C"/>
    <w:rsid w:val="00767767"/>
    <w:rsid w:val="007701EC"/>
    <w:rsid w:val="007716F9"/>
    <w:rsid w:val="00771ADC"/>
    <w:rsid w:val="007721B4"/>
    <w:rsid w:val="00772A84"/>
    <w:rsid w:val="00773E10"/>
    <w:rsid w:val="00774F9E"/>
    <w:rsid w:val="00775083"/>
    <w:rsid w:val="00775CBB"/>
    <w:rsid w:val="007765E0"/>
    <w:rsid w:val="0078060F"/>
    <w:rsid w:val="00780AB8"/>
    <w:rsid w:val="00781811"/>
    <w:rsid w:val="007822E0"/>
    <w:rsid w:val="00782F27"/>
    <w:rsid w:val="00783250"/>
    <w:rsid w:val="007833CA"/>
    <w:rsid w:val="007838B3"/>
    <w:rsid w:val="007852AB"/>
    <w:rsid w:val="007859B8"/>
    <w:rsid w:val="0078694B"/>
    <w:rsid w:val="0078727A"/>
    <w:rsid w:val="00787337"/>
    <w:rsid w:val="0078781A"/>
    <w:rsid w:val="007901B3"/>
    <w:rsid w:val="00790328"/>
    <w:rsid w:val="00790EB0"/>
    <w:rsid w:val="00792C27"/>
    <w:rsid w:val="00792CA6"/>
    <w:rsid w:val="007930AB"/>
    <w:rsid w:val="00793151"/>
    <w:rsid w:val="0079402F"/>
    <w:rsid w:val="007961AA"/>
    <w:rsid w:val="00797FD6"/>
    <w:rsid w:val="007A0FF3"/>
    <w:rsid w:val="007A2D52"/>
    <w:rsid w:val="007A2D97"/>
    <w:rsid w:val="007A3B42"/>
    <w:rsid w:val="007A3ED6"/>
    <w:rsid w:val="007A5497"/>
    <w:rsid w:val="007A69F7"/>
    <w:rsid w:val="007A7142"/>
    <w:rsid w:val="007A72A6"/>
    <w:rsid w:val="007B1681"/>
    <w:rsid w:val="007B3F53"/>
    <w:rsid w:val="007B4259"/>
    <w:rsid w:val="007B429D"/>
    <w:rsid w:val="007B5945"/>
    <w:rsid w:val="007B6450"/>
    <w:rsid w:val="007B6560"/>
    <w:rsid w:val="007B66E2"/>
    <w:rsid w:val="007B69B2"/>
    <w:rsid w:val="007B6B22"/>
    <w:rsid w:val="007C027D"/>
    <w:rsid w:val="007C086B"/>
    <w:rsid w:val="007C1F6C"/>
    <w:rsid w:val="007C229C"/>
    <w:rsid w:val="007C26BE"/>
    <w:rsid w:val="007C3523"/>
    <w:rsid w:val="007C4066"/>
    <w:rsid w:val="007C574F"/>
    <w:rsid w:val="007D0180"/>
    <w:rsid w:val="007D0BDC"/>
    <w:rsid w:val="007D3389"/>
    <w:rsid w:val="007D3978"/>
    <w:rsid w:val="007D4241"/>
    <w:rsid w:val="007D4666"/>
    <w:rsid w:val="007D5061"/>
    <w:rsid w:val="007D623C"/>
    <w:rsid w:val="007D650D"/>
    <w:rsid w:val="007D79E1"/>
    <w:rsid w:val="007D7BBF"/>
    <w:rsid w:val="007E14B9"/>
    <w:rsid w:val="007E14D2"/>
    <w:rsid w:val="007E2FD6"/>
    <w:rsid w:val="007E4072"/>
    <w:rsid w:val="007E579C"/>
    <w:rsid w:val="007E594F"/>
    <w:rsid w:val="007E5FC3"/>
    <w:rsid w:val="007E74C4"/>
    <w:rsid w:val="007E7BA8"/>
    <w:rsid w:val="007F081A"/>
    <w:rsid w:val="007F161D"/>
    <w:rsid w:val="007F1993"/>
    <w:rsid w:val="007F1C7D"/>
    <w:rsid w:val="007F1E6D"/>
    <w:rsid w:val="007F2F17"/>
    <w:rsid w:val="007F2F83"/>
    <w:rsid w:val="007F431A"/>
    <w:rsid w:val="007F5F05"/>
    <w:rsid w:val="007F68E4"/>
    <w:rsid w:val="007F7F66"/>
    <w:rsid w:val="00800075"/>
    <w:rsid w:val="008023BB"/>
    <w:rsid w:val="00802B9F"/>
    <w:rsid w:val="008035C4"/>
    <w:rsid w:val="00803CC1"/>
    <w:rsid w:val="00804167"/>
    <w:rsid w:val="008044C8"/>
    <w:rsid w:val="0080580B"/>
    <w:rsid w:val="00805E91"/>
    <w:rsid w:val="00806427"/>
    <w:rsid w:val="008068B7"/>
    <w:rsid w:val="00806B81"/>
    <w:rsid w:val="008071EC"/>
    <w:rsid w:val="008079EF"/>
    <w:rsid w:val="00807FCB"/>
    <w:rsid w:val="00810136"/>
    <w:rsid w:val="00811BA8"/>
    <w:rsid w:val="00811D14"/>
    <w:rsid w:val="00812BAE"/>
    <w:rsid w:val="00813021"/>
    <w:rsid w:val="0081499E"/>
    <w:rsid w:val="008162D6"/>
    <w:rsid w:val="00817239"/>
    <w:rsid w:val="008203D9"/>
    <w:rsid w:val="00822F2D"/>
    <w:rsid w:val="008231A3"/>
    <w:rsid w:val="00824BC5"/>
    <w:rsid w:val="00825038"/>
    <w:rsid w:val="00825385"/>
    <w:rsid w:val="00826183"/>
    <w:rsid w:val="00826C0B"/>
    <w:rsid w:val="008275DD"/>
    <w:rsid w:val="0083041B"/>
    <w:rsid w:val="00830998"/>
    <w:rsid w:val="0083252B"/>
    <w:rsid w:val="00832A3D"/>
    <w:rsid w:val="00835DFD"/>
    <w:rsid w:val="00836427"/>
    <w:rsid w:val="0083731F"/>
    <w:rsid w:val="0084012F"/>
    <w:rsid w:val="00840B2E"/>
    <w:rsid w:val="00841F4C"/>
    <w:rsid w:val="008449D0"/>
    <w:rsid w:val="00844ECE"/>
    <w:rsid w:val="00844ED1"/>
    <w:rsid w:val="008465E1"/>
    <w:rsid w:val="00846776"/>
    <w:rsid w:val="008467D1"/>
    <w:rsid w:val="008467FE"/>
    <w:rsid w:val="00847914"/>
    <w:rsid w:val="00850A8C"/>
    <w:rsid w:val="0085129B"/>
    <w:rsid w:val="00851BF0"/>
    <w:rsid w:val="00851FC2"/>
    <w:rsid w:val="00852083"/>
    <w:rsid w:val="008531FA"/>
    <w:rsid w:val="00853DCA"/>
    <w:rsid w:val="00854066"/>
    <w:rsid w:val="008540C4"/>
    <w:rsid w:val="00854408"/>
    <w:rsid w:val="00854CCC"/>
    <w:rsid w:val="008561A8"/>
    <w:rsid w:val="00856238"/>
    <w:rsid w:val="00856E4A"/>
    <w:rsid w:val="008604A2"/>
    <w:rsid w:val="00860D09"/>
    <w:rsid w:val="00860D0D"/>
    <w:rsid w:val="008627E2"/>
    <w:rsid w:val="008632DF"/>
    <w:rsid w:val="008647CA"/>
    <w:rsid w:val="008650A7"/>
    <w:rsid w:val="00865306"/>
    <w:rsid w:val="00870205"/>
    <w:rsid w:val="00872C66"/>
    <w:rsid w:val="00873EE7"/>
    <w:rsid w:val="00874209"/>
    <w:rsid w:val="008744A2"/>
    <w:rsid w:val="0087458B"/>
    <w:rsid w:val="00875860"/>
    <w:rsid w:val="00875988"/>
    <w:rsid w:val="00875D0B"/>
    <w:rsid w:val="00877626"/>
    <w:rsid w:val="008809C1"/>
    <w:rsid w:val="00880DFB"/>
    <w:rsid w:val="00881BD7"/>
    <w:rsid w:val="00881EC2"/>
    <w:rsid w:val="00882760"/>
    <w:rsid w:val="008833DA"/>
    <w:rsid w:val="00883584"/>
    <w:rsid w:val="00884485"/>
    <w:rsid w:val="008857CD"/>
    <w:rsid w:val="00886985"/>
    <w:rsid w:val="008871AF"/>
    <w:rsid w:val="00887400"/>
    <w:rsid w:val="00893240"/>
    <w:rsid w:val="00893461"/>
    <w:rsid w:val="00894521"/>
    <w:rsid w:val="00894B07"/>
    <w:rsid w:val="0089700F"/>
    <w:rsid w:val="008A000B"/>
    <w:rsid w:val="008A08B2"/>
    <w:rsid w:val="008A0B69"/>
    <w:rsid w:val="008A0E9D"/>
    <w:rsid w:val="008A1A56"/>
    <w:rsid w:val="008A2128"/>
    <w:rsid w:val="008A265E"/>
    <w:rsid w:val="008A2BA2"/>
    <w:rsid w:val="008A3687"/>
    <w:rsid w:val="008A371F"/>
    <w:rsid w:val="008A5530"/>
    <w:rsid w:val="008B0330"/>
    <w:rsid w:val="008B0A70"/>
    <w:rsid w:val="008B1814"/>
    <w:rsid w:val="008B353C"/>
    <w:rsid w:val="008B35F9"/>
    <w:rsid w:val="008B36FB"/>
    <w:rsid w:val="008B48BA"/>
    <w:rsid w:val="008B55EC"/>
    <w:rsid w:val="008C0A6C"/>
    <w:rsid w:val="008C0AD7"/>
    <w:rsid w:val="008C16E8"/>
    <w:rsid w:val="008C1C19"/>
    <w:rsid w:val="008C208B"/>
    <w:rsid w:val="008C2251"/>
    <w:rsid w:val="008C2488"/>
    <w:rsid w:val="008C24E5"/>
    <w:rsid w:val="008C25D5"/>
    <w:rsid w:val="008C4776"/>
    <w:rsid w:val="008C5CBC"/>
    <w:rsid w:val="008C6FCB"/>
    <w:rsid w:val="008C7243"/>
    <w:rsid w:val="008D05F7"/>
    <w:rsid w:val="008D23DA"/>
    <w:rsid w:val="008D272B"/>
    <w:rsid w:val="008D559E"/>
    <w:rsid w:val="008D6059"/>
    <w:rsid w:val="008D6228"/>
    <w:rsid w:val="008D7624"/>
    <w:rsid w:val="008E0157"/>
    <w:rsid w:val="008E12E5"/>
    <w:rsid w:val="008E1E76"/>
    <w:rsid w:val="008E33B5"/>
    <w:rsid w:val="008E4D0C"/>
    <w:rsid w:val="008E5490"/>
    <w:rsid w:val="008E5BDE"/>
    <w:rsid w:val="008E73DD"/>
    <w:rsid w:val="008E75A7"/>
    <w:rsid w:val="008E7CB7"/>
    <w:rsid w:val="008E7DE5"/>
    <w:rsid w:val="008F0A41"/>
    <w:rsid w:val="008F1793"/>
    <w:rsid w:val="008F17DA"/>
    <w:rsid w:val="008F28D2"/>
    <w:rsid w:val="008F7683"/>
    <w:rsid w:val="0090326C"/>
    <w:rsid w:val="0090374E"/>
    <w:rsid w:val="00903B5D"/>
    <w:rsid w:val="00904504"/>
    <w:rsid w:val="00904B3E"/>
    <w:rsid w:val="00904E2D"/>
    <w:rsid w:val="00905A13"/>
    <w:rsid w:val="00905E3B"/>
    <w:rsid w:val="0090674C"/>
    <w:rsid w:val="00906991"/>
    <w:rsid w:val="0090750E"/>
    <w:rsid w:val="00907B71"/>
    <w:rsid w:val="00907E84"/>
    <w:rsid w:val="00910EB5"/>
    <w:rsid w:val="00910ECD"/>
    <w:rsid w:val="0091203D"/>
    <w:rsid w:val="009127D5"/>
    <w:rsid w:val="00912B25"/>
    <w:rsid w:val="00912C33"/>
    <w:rsid w:val="009140DF"/>
    <w:rsid w:val="00914301"/>
    <w:rsid w:val="009146F4"/>
    <w:rsid w:val="00914857"/>
    <w:rsid w:val="00914A04"/>
    <w:rsid w:val="009150EE"/>
    <w:rsid w:val="009159A0"/>
    <w:rsid w:val="00916684"/>
    <w:rsid w:val="00916F37"/>
    <w:rsid w:val="009177F3"/>
    <w:rsid w:val="00920D00"/>
    <w:rsid w:val="00920D39"/>
    <w:rsid w:val="00920FC1"/>
    <w:rsid w:val="00921462"/>
    <w:rsid w:val="00922D16"/>
    <w:rsid w:val="00922E3E"/>
    <w:rsid w:val="00922E75"/>
    <w:rsid w:val="00923D6D"/>
    <w:rsid w:val="009245BA"/>
    <w:rsid w:val="009262CC"/>
    <w:rsid w:val="009276B4"/>
    <w:rsid w:val="00930541"/>
    <w:rsid w:val="00930E3D"/>
    <w:rsid w:val="00932941"/>
    <w:rsid w:val="00933FC3"/>
    <w:rsid w:val="00936712"/>
    <w:rsid w:val="00936F23"/>
    <w:rsid w:val="00937353"/>
    <w:rsid w:val="009374B3"/>
    <w:rsid w:val="00940C52"/>
    <w:rsid w:val="00940C9F"/>
    <w:rsid w:val="00940EDF"/>
    <w:rsid w:val="00940F51"/>
    <w:rsid w:val="0094178E"/>
    <w:rsid w:val="00942995"/>
    <w:rsid w:val="00942BC9"/>
    <w:rsid w:val="00942E07"/>
    <w:rsid w:val="00943217"/>
    <w:rsid w:val="0094444D"/>
    <w:rsid w:val="009447AC"/>
    <w:rsid w:val="00945F16"/>
    <w:rsid w:val="00946A1D"/>
    <w:rsid w:val="009516AB"/>
    <w:rsid w:val="00951711"/>
    <w:rsid w:val="009518C9"/>
    <w:rsid w:val="00951948"/>
    <w:rsid w:val="00952311"/>
    <w:rsid w:val="00953247"/>
    <w:rsid w:val="00953BC8"/>
    <w:rsid w:val="009551A2"/>
    <w:rsid w:val="00955446"/>
    <w:rsid w:val="009605BD"/>
    <w:rsid w:val="00960D9C"/>
    <w:rsid w:val="009612C7"/>
    <w:rsid w:val="00961345"/>
    <w:rsid w:val="00961BC0"/>
    <w:rsid w:val="00963F31"/>
    <w:rsid w:val="009642B7"/>
    <w:rsid w:val="009644DA"/>
    <w:rsid w:val="00964C39"/>
    <w:rsid w:val="00965060"/>
    <w:rsid w:val="009674EC"/>
    <w:rsid w:val="00967795"/>
    <w:rsid w:val="009677B6"/>
    <w:rsid w:val="009679C1"/>
    <w:rsid w:val="009701D7"/>
    <w:rsid w:val="00970EA0"/>
    <w:rsid w:val="0097172A"/>
    <w:rsid w:val="009719CA"/>
    <w:rsid w:val="009719F4"/>
    <w:rsid w:val="00971B1B"/>
    <w:rsid w:val="009722FE"/>
    <w:rsid w:val="0097230E"/>
    <w:rsid w:val="0097387C"/>
    <w:rsid w:val="009743AE"/>
    <w:rsid w:val="00977D50"/>
    <w:rsid w:val="0098054A"/>
    <w:rsid w:val="00981658"/>
    <w:rsid w:val="00982DDD"/>
    <w:rsid w:val="009830C4"/>
    <w:rsid w:val="0098577F"/>
    <w:rsid w:val="009859EA"/>
    <w:rsid w:val="00985C15"/>
    <w:rsid w:val="009865F4"/>
    <w:rsid w:val="00987343"/>
    <w:rsid w:val="00987D0B"/>
    <w:rsid w:val="00990E38"/>
    <w:rsid w:val="0099244B"/>
    <w:rsid w:val="00993306"/>
    <w:rsid w:val="00993A63"/>
    <w:rsid w:val="00993CA8"/>
    <w:rsid w:val="0099570A"/>
    <w:rsid w:val="00996C7E"/>
    <w:rsid w:val="009974B7"/>
    <w:rsid w:val="00997BB2"/>
    <w:rsid w:val="00997D33"/>
    <w:rsid w:val="009A2D58"/>
    <w:rsid w:val="009A34E7"/>
    <w:rsid w:val="009A3AE3"/>
    <w:rsid w:val="009A40CA"/>
    <w:rsid w:val="009A444A"/>
    <w:rsid w:val="009A4C3D"/>
    <w:rsid w:val="009A5F9E"/>
    <w:rsid w:val="009B188C"/>
    <w:rsid w:val="009B2488"/>
    <w:rsid w:val="009B2880"/>
    <w:rsid w:val="009B293A"/>
    <w:rsid w:val="009B30AC"/>
    <w:rsid w:val="009B3905"/>
    <w:rsid w:val="009B6032"/>
    <w:rsid w:val="009C0503"/>
    <w:rsid w:val="009C1929"/>
    <w:rsid w:val="009C1E31"/>
    <w:rsid w:val="009C4905"/>
    <w:rsid w:val="009C4F17"/>
    <w:rsid w:val="009C5FAE"/>
    <w:rsid w:val="009C6A04"/>
    <w:rsid w:val="009C774A"/>
    <w:rsid w:val="009C7C0C"/>
    <w:rsid w:val="009D1C0C"/>
    <w:rsid w:val="009D207E"/>
    <w:rsid w:val="009D2423"/>
    <w:rsid w:val="009D34A2"/>
    <w:rsid w:val="009D4CD5"/>
    <w:rsid w:val="009D55A1"/>
    <w:rsid w:val="009D5A28"/>
    <w:rsid w:val="009D5B58"/>
    <w:rsid w:val="009D6F14"/>
    <w:rsid w:val="009D7E2D"/>
    <w:rsid w:val="009E06FD"/>
    <w:rsid w:val="009E0838"/>
    <w:rsid w:val="009E22B5"/>
    <w:rsid w:val="009E317F"/>
    <w:rsid w:val="009E3D48"/>
    <w:rsid w:val="009E3F25"/>
    <w:rsid w:val="009E3F8C"/>
    <w:rsid w:val="009E546E"/>
    <w:rsid w:val="009E57F3"/>
    <w:rsid w:val="009E59C8"/>
    <w:rsid w:val="009E5CA0"/>
    <w:rsid w:val="009E601D"/>
    <w:rsid w:val="009E6450"/>
    <w:rsid w:val="009E6673"/>
    <w:rsid w:val="009E749C"/>
    <w:rsid w:val="009F0938"/>
    <w:rsid w:val="009F098A"/>
    <w:rsid w:val="009F0C13"/>
    <w:rsid w:val="009F0C2B"/>
    <w:rsid w:val="009F2524"/>
    <w:rsid w:val="009F3212"/>
    <w:rsid w:val="009F622E"/>
    <w:rsid w:val="009F68F9"/>
    <w:rsid w:val="009F6C93"/>
    <w:rsid w:val="009F7591"/>
    <w:rsid w:val="00A006BB"/>
    <w:rsid w:val="00A009ED"/>
    <w:rsid w:val="00A01567"/>
    <w:rsid w:val="00A04559"/>
    <w:rsid w:val="00A0557A"/>
    <w:rsid w:val="00A06878"/>
    <w:rsid w:val="00A068A7"/>
    <w:rsid w:val="00A0788A"/>
    <w:rsid w:val="00A1030F"/>
    <w:rsid w:val="00A11BB9"/>
    <w:rsid w:val="00A1494B"/>
    <w:rsid w:val="00A152B4"/>
    <w:rsid w:val="00A157E7"/>
    <w:rsid w:val="00A16B6C"/>
    <w:rsid w:val="00A20CF2"/>
    <w:rsid w:val="00A20F67"/>
    <w:rsid w:val="00A211D0"/>
    <w:rsid w:val="00A233F0"/>
    <w:rsid w:val="00A235CD"/>
    <w:rsid w:val="00A25AEF"/>
    <w:rsid w:val="00A2628D"/>
    <w:rsid w:val="00A264AF"/>
    <w:rsid w:val="00A26DFC"/>
    <w:rsid w:val="00A277B9"/>
    <w:rsid w:val="00A27865"/>
    <w:rsid w:val="00A27F6D"/>
    <w:rsid w:val="00A30BC4"/>
    <w:rsid w:val="00A30BE8"/>
    <w:rsid w:val="00A318C5"/>
    <w:rsid w:val="00A3240E"/>
    <w:rsid w:val="00A34922"/>
    <w:rsid w:val="00A34DE4"/>
    <w:rsid w:val="00A36417"/>
    <w:rsid w:val="00A368B2"/>
    <w:rsid w:val="00A371C9"/>
    <w:rsid w:val="00A40004"/>
    <w:rsid w:val="00A406CE"/>
    <w:rsid w:val="00A4134F"/>
    <w:rsid w:val="00A421E2"/>
    <w:rsid w:val="00A43674"/>
    <w:rsid w:val="00A4406A"/>
    <w:rsid w:val="00A44288"/>
    <w:rsid w:val="00A44CF9"/>
    <w:rsid w:val="00A44D80"/>
    <w:rsid w:val="00A45977"/>
    <w:rsid w:val="00A45B1B"/>
    <w:rsid w:val="00A463D9"/>
    <w:rsid w:val="00A46834"/>
    <w:rsid w:val="00A46964"/>
    <w:rsid w:val="00A47323"/>
    <w:rsid w:val="00A47C41"/>
    <w:rsid w:val="00A47F83"/>
    <w:rsid w:val="00A5093A"/>
    <w:rsid w:val="00A5119F"/>
    <w:rsid w:val="00A523F7"/>
    <w:rsid w:val="00A525AD"/>
    <w:rsid w:val="00A5375C"/>
    <w:rsid w:val="00A53CF4"/>
    <w:rsid w:val="00A53F2D"/>
    <w:rsid w:val="00A55512"/>
    <w:rsid w:val="00A56657"/>
    <w:rsid w:val="00A57B01"/>
    <w:rsid w:val="00A63266"/>
    <w:rsid w:val="00A635BF"/>
    <w:rsid w:val="00A636CE"/>
    <w:rsid w:val="00A650F8"/>
    <w:rsid w:val="00A665EB"/>
    <w:rsid w:val="00A66B77"/>
    <w:rsid w:val="00A70293"/>
    <w:rsid w:val="00A71158"/>
    <w:rsid w:val="00A71B84"/>
    <w:rsid w:val="00A71D73"/>
    <w:rsid w:val="00A735BB"/>
    <w:rsid w:val="00A73D0F"/>
    <w:rsid w:val="00A777D7"/>
    <w:rsid w:val="00A8011F"/>
    <w:rsid w:val="00A80E28"/>
    <w:rsid w:val="00A80EE7"/>
    <w:rsid w:val="00A811BD"/>
    <w:rsid w:val="00A81DFE"/>
    <w:rsid w:val="00A82EA5"/>
    <w:rsid w:val="00A834DA"/>
    <w:rsid w:val="00A85244"/>
    <w:rsid w:val="00A8773F"/>
    <w:rsid w:val="00A91D5D"/>
    <w:rsid w:val="00A93CC3"/>
    <w:rsid w:val="00A94687"/>
    <w:rsid w:val="00A95227"/>
    <w:rsid w:val="00A9618F"/>
    <w:rsid w:val="00A96493"/>
    <w:rsid w:val="00AA344B"/>
    <w:rsid w:val="00AA41C1"/>
    <w:rsid w:val="00AA675F"/>
    <w:rsid w:val="00AA7601"/>
    <w:rsid w:val="00AA7667"/>
    <w:rsid w:val="00AB0802"/>
    <w:rsid w:val="00AB0B23"/>
    <w:rsid w:val="00AB17D6"/>
    <w:rsid w:val="00AB1D2B"/>
    <w:rsid w:val="00AB331F"/>
    <w:rsid w:val="00AB33C1"/>
    <w:rsid w:val="00AB42C7"/>
    <w:rsid w:val="00AB43A7"/>
    <w:rsid w:val="00AB5DE9"/>
    <w:rsid w:val="00AB7380"/>
    <w:rsid w:val="00AC073D"/>
    <w:rsid w:val="00AC0DFE"/>
    <w:rsid w:val="00AC1C9A"/>
    <w:rsid w:val="00AC1E75"/>
    <w:rsid w:val="00AC227C"/>
    <w:rsid w:val="00AC2D83"/>
    <w:rsid w:val="00AC4462"/>
    <w:rsid w:val="00AC494F"/>
    <w:rsid w:val="00AC49E8"/>
    <w:rsid w:val="00AC4F5E"/>
    <w:rsid w:val="00AC5024"/>
    <w:rsid w:val="00AC5780"/>
    <w:rsid w:val="00AC6DAA"/>
    <w:rsid w:val="00AD1774"/>
    <w:rsid w:val="00AD4311"/>
    <w:rsid w:val="00AD491A"/>
    <w:rsid w:val="00AD5B8C"/>
    <w:rsid w:val="00AD6050"/>
    <w:rsid w:val="00AD6375"/>
    <w:rsid w:val="00AD7848"/>
    <w:rsid w:val="00AE048E"/>
    <w:rsid w:val="00AE0F1D"/>
    <w:rsid w:val="00AE2E41"/>
    <w:rsid w:val="00AE340B"/>
    <w:rsid w:val="00AE4771"/>
    <w:rsid w:val="00AE62A3"/>
    <w:rsid w:val="00AF19CF"/>
    <w:rsid w:val="00AF2A74"/>
    <w:rsid w:val="00AF3FA3"/>
    <w:rsid w:val="00AF4433"/>
    <w:rsid w:val="00AF4B87"/>
    <w:rsid w:val="00AF4FBD"/>
    <w:rsid w:val="00AF52E0"/>
    <w:rsid w:val="00AF535E"/>
    <w:rsid w:val="00AF5B7F"/>
    <w:rsid w:val="00AF5DEF"/>
    <w:rsid w:val="00AF6B88"/>
    <w:rsid w:val="00B010C1"/>
    <w:rsid w:val="00B068A7"/>
    <w:rsid w:val="00B068BF"/>
    <w:rsid w:val="00B06DED"/>
    <w:rsid w:val="00B108A5"/>
    <w:rsid w:val="00B10AEF"/>
    <w:rsid w:val="00B11C9D"/>
    <w:rsid w:val="00B12A4A"/>
    <w:rsid w:val="00B12C02"/>
    <w:rsid w:val="00B12C8D"/>
    <w:rsid w:val="00B13B83"/>
    <w:rsid w:val="00B16290"/>
    <w:rsid w:val="00B16321"/>
    <w:rsid w:val="00B1685A"/>
    <w:rsid w:val="00B202BF"/>
    <w:rsid w:val="00B20466"/>
    <w:rsid w:val="00B217FC"/>
    <w:rsid w:val="00B24148"/>
    <w:rsid w:val="00B25C2A"/>
    <w:rsid w:val="00B26493"/>
    <w:rsid w:val="00B26736"/>
    <w:rsid w:val="00B27C8C"/>
    <w:rsid w:val="00B330B1"/>
    <w:rsid w:val="00B33C86"/>
    <w:rsid w:val="00B3440F"/>
    <w:rsid w:val="00B34C5A"/>
    <w:rsid w:val="00B35843"/>
    <w:rsid w:val="00B36675"/>
    <w:rsid w:val="00B36DAD"/>
    <w:rsid w:val="00B36E70"/>
    <w:rsid w:val="00B37655"/>
    <w:rsid w:val="00B37D18"/>
    <w:rsid w:val="00B37D5B"/>
    <w:rsid w:val="00B40E31"/>
    <w:rsid w:val="00B40EE8"/>
    <w:rsid w:val="00B41E16"/>
    <w:rsid w:val="00B42761"/>
    <w:rsid w:val="00B43221"/>
    <w:rsid w:val="00B4338A"/>
    <w:rsid w:val="00B44942"/>
    <w:rsid w:val="00B45294"/>
    <w:rsid w:val="00B458D1"/>
    <w:rsid w:val="00B46C11"/>
    <w:rsid w:val="00B502E7"/>
    <w:rsid w:val="00B50E60"/>
    <w:rsid w:val="00B513DD"/>
    <w:rsid w:val="00B532AC"/>
    <w:rsid w:val="00B53521"/>
    <w:rsid w:val="00B54F8E"/>
    <w:rsid w:val="00B551B7"/>
    <w:rsid w:val="00B5537E"/>
    <w:rsid w:val="00B560A8"/>
    <w:rsid w:val="00B57569"/>
    <w:rsid w:val="00B578CD"/>
    <w:rsid w:val="00B57B28"/>
    <w:rsid w:val="00B60D2B"/>
    <w:rsid w:val="00B6168E"/>
    <w:rsid w:val="00B64AB6"/>
    <w:rsid w:val="00B6546C"/>
    <w:rsid w:val="00B66F98"/>
    <w:rsid w:val="00B675BA"/>
    <w:rsid w:val="00B6774D"/>
    <w:rsid w:val="00B70CB8"/>
    <w:rsid w:val="00B70E7C"/>
    <w:rsid w:val="00B71759"/>
    <w:rsid w:val="00B7199D"/>
    <w:rsid w:val="00B72FCD"/>
    <w:rsid w:val="00B7444D"/>
    <w:rsid w:val="00B7526C"/>
    <w:rsid w:val="00B77668"/>
    <w:rsid w:val="00B80BF7"/>
    <w:rsid w:val="00B8129F"/>
    <w:rsid w:val="00B819AF"/>
    <w:rsid w:val="00B823FA"/>
    <w:rsid w:val="00B82A58"/>
    <w:rsid w:val="00B90C31"/>
    <w:rsid w:val="00B91C43"/>
    <w:rsid w:val="00B92A8F"/>
    <w:rsid w:val="00B930AB"/>
    <w:rsid w:val="00B93879"/>
    <w:rsid w:val="00B961BC"/>
    <w:rsid w:val="00B964C1"/>
    <w:rsid w:val="00B96E50"/>
    <w:rsid w:val="00BA275B"/>
    <w:rsid w:val="00BA2B94"/>
    <w:rsid w:val="00BA33CF"/>
    <w:rsid w:val="00BA4BA3"/>
    <w:rsid w:val="00BA5DDB"/>
    <w:rsid w:val="00BB01D8"/>
    <w:rsid w:val="00BB0DD5"/>
    <w:rsid w:val="00BB2D9F"/>
    <w:rsid w:val="00BB3F7C"/>
    <w:rsid w:val="00BB4988"/>
    <w:rsid w:val="00BB624B"/>
    <w:rsid w:val="00BC22D1"/>
    <w:rsid w:val="00BC3C21"/>
    <w:rsid w:val="00BC5420"/>
    <w:rsid w:val="00BC5DCF"/>
    <w:rsid w:val="00BC631E"/>
    <w:rsid w:val="00BD0731"/>
    <w:rsid w:val="00BD1420"/>
    <w:rsid w:val="00BD1893"/>
    <w:rsid w:val="00BD1B44"/>
    <w:rsid w:val="00BD313D"/>
    <w:rsid w:val="00BD31CC"/>
    <w:rsid w:val="00BD4A08"/>
    <w:rsid w:val="00BD51D9"/>
    <w:rsid w:val="00BD74DC"/>
    <w:rsid w:val="00BD786B"/>
    <w:rsid w:val="00BE010F"/>
    <w:rsid w:val="00BE1E2F"/>
    <w:rsid w:val="00BE2D99"/>
    <w:rsid w:val="00BE2F73"/>
    <w:rsid w:val="00BE308D"/>
    <w:rsid w:val="00BE3A7D"/>
    <w:rsid w:val="00BE3D7D"/>
    <w:rsid w:val="00BE45FA"/>
    <w:rsid w:val="00BE535F"/>
    <w:rsid w:val="00BF0418"/>
    <w:rsid w:val="00BF080E"/>
    <w:rsid w:val="00BF0A3C"/>
    <w:rsid w:val="00BF11EC"/>
    <w:rsid w:val="00BF1604"/>
    <w:rsid w:val="00BF27EA"/>
    <w:rsid w:val="00BF2CDE"/>
    <w:rsid w:val="00BF3258"/>
    <w:rsid w:val="00BF3387"/>
    <w:rsid w:val="00BF4108"/>
    <w:rsid w:val="00BF4374"/>
    <w:rsid w:val="00BF5989"/>
    <w:rsid w:val="00BF5E33"/>
    <w:rsid w:val="00BF6749"/>
    <w:rsid w:val="00BF767A"/>
    <w:rsid w:val="00C0109A"/>
    <w:rsid w:val="00C017AF"/>
    <w:rsid w:val="00C024A9"/>
    <w:rsid w:val="00C02534"/>
    <w:rsid w:val="00C030E4"/>
    <w:rsid w:val="00C040EB"/>
    <w:rsid w:val="00C05821"/>
    <w:rsid w:val="00C06309"/>
    <w:rsid w:val="00C1220B"/>
    <w:rsid w:val="00C131A4"/>
    <w:rsid w:val="00C13F2A"/>
    <w:rsid w:val="00C160C1"/>
    <w:rsid w:val="00C169FA"/>
    <w:rsid w:val="00C16C15"/>
    <w:rsid w:val="00C17618"/>
    <w:rsid w:val="00C20BE2"/>
    <w:rsid w:val="00C20E8F"/>
    <w:rsid w:val="00C2119A"/>
    <w:rsid w:val="00C22073"/>
    <w:rsid w:val="00C22D87"/>
    <w:rsid w:val="00C244CC"/>
    <w:rsid w:val="00C25F6E"/>
    <w:rsid w:val="00C26471"/>
    <w:rsid w:val="00C301DC"/>
    <w:rsid w:val="00C315A3"/>
    <w:rsid w:val="00C31987"/>
    <w:rsid w:val="00C319AA"/>
    <w:rsid w:val="00C3242B"/>
    <w:rsid w:val="00C324C0"/>
    <w:rsid w:val="00C32B4E"/>
    <w:rsid w:val="00C33234"/>
    <w:rsid w:val="00C345F7"/>
    <w:rsid w:val="00C34D32"/>
    <w:rsid w:val="00C35856"/>
    <w:rsid w:val="00C37B01"/>
    <w:rsid w:val="00C37C85"/>
    <w:rsid w:val="00C4008A"/>
    <w:rsid w:val="00C4011A"/>
    <w:rsid w:val="00C405F6"/>
    <w:rsid w:val="00C4089A"/>
    <w:rsid w:val="00C413DE"/>
    <w:rsid w:val="00C41D63"/>
    <w:rsid w:val="00C424AE"/>
    <w:rsid w:val="00C424CE"/>
    <w:rsid w:val="00C4282A"/>
    <w:rsid w:val="00C428F8"/>
    <w:rsid w:val="00C42CEB"/>
    <w:rsid w:val="00C43F41"/>
    <w:rsid w:val="00C44C90"/>
    <w:rsid w:val="00C475DD"/>
    <w:rsid w:val="00C478AA"/>
    <w:rsid w:val="00C5029E"/>
    <w:rsid w:val="00C5138F"/>
    <w:rsid w:val="00C5149E"/>
    <w:rsid w:val="00C516D3"/>
    <w:rsid w:val="00C51A78"/>
    <w:rsid w:val="00C523AC"/>
    <w:rsid w:val="00C528CF"/>
    <w:rsid w:val="00C551DE"/>
    <w:rsid w:val="00C55778"/>
    <w:rsid w:val="00C5679E"/>
    <w:rsid w:val="00C5693F"/>
    <w:rsid w:val="00C575EF"/>
    <w:rsid w:val="00C60B8F"/>
    <w:rsid w:val="00C61068"/>
    <w:rsid w:val="00C61834"/>
    <w:rsid w:val="00C619E0"/>
    <w:rsid w:val="00C622B3"/>
    <w:rsid w:val="00C62627"/>
    <w:rsid w:val="00C62A57"/>
    <w:rsid w:val="00C62CC9"/>
    <w:rsid w:val="00C63057"/>
    <w:rsid w:val="00C63382"/>
    <w:rsid w:val="00C63CE1"/>
    <w:rsid w:val="00C642C1"/>
    <w:rsid w:val="00C6488B"/>
    <w:rsid w:val="00C65BBA"/>
    <w:rsid w:val="00C67633"/>
    <w:rsid w:val="00C67BBB"/>
    <w:rsid w:val="00C700A2"/>
    <w:rsid w:val="00C70476"/>
    <w:rsid w:val="00C70619"/>
    <w:rsid w:val="00C7165D"/>
    <w:rsid w:val="00C722B4"/>
    <w:rsid w:val="00C73996"/>
    <w:rsid w:val="00C74C14"/>
    <w:rsid w:val="00C7515B"/>
    <w:rsid w:val="00C75453"/>
    <w:rsid w:val="00C75580"/>
    <w:rsid w:val="00C75709"/>
    <w:rsid w:val="00C75ED8"/>
    <w:rsid w:val="00C76B67"/>
    <w:rsid w:val="00C770C9"/>
    <w:rsid w:val="00C770D8"/>
    <w:rsid w:val="00C776CB"/>
    <w:rsid w:val="00C81446"/>
    <w:rsid w:val="00C818B6"/>
    <w:rsid w:val="00C829BA"/>
    <w:rsid w:val="00C83205"/>
    <w:rsid w:val="00C84326"/>
    <w:rsid w:val="00C848BE"/>
    <w:rsid w:val="00C84EF0"/>
    <w:rsid w:val="00C85209"/>
    <w:rsid w:val="00C85EDE"/>
    <w:rsid w:val="00C86515"/>
    <w:rsid w:val="00C86896"/>
    <w:rsid w:val="00C86E0B"/>
    <w:rsid w:val="00C901E2"/>
    <w:rsid w:val="00C90AF1"/>
    <w:rsid w:val="00C90D22"/>
    <w:rsid w:val="00C92318"/>
    <w:rsid w:val="00C93A36"/>
    <w:rsid w:val="00C9593F"/>
    <w:rsid w:val="00C96174"/>
    <w:rsid w:val="00C96693"/>
    <w:rsid w:val="00C967A2"/>
    <w:rsid w:val="00C968B3"/>
    <w:rsid w:val="00C96918"/>
    <w:rsid w:val="00C97889"/>
    <w:rsid w:val="00C9796A"/>
    <w:rsid w:val="00C97B22"/>
    <w:rsid w:val="00CA0492"/>
    <w:rsid w:val="00CA04CB"/>
    <w:rsid w:val="00CA05B8"/>
    <w:rsid w:val="00CA1301"/>
    <w:rsid w:val="00CA4204"/>
    <w:rsid w:val="00CA5545"/>
    <w:rsid w:val="00CA66AF"/>
    <w:rsid w:val="00CA6D1B"/>
    <w:rsid w:val="00CB0DC2"/>
    <w:rsid w:val="00CB0FC7"/>
    <w:rsid w:val="00CB25BD"/>
    <w:rsid w:val="00CB6A2C"/>
    <w:rsid w:val="00CB6D0F"/>
    <w:rsid w:val="00CB6D38"/>
    <w:rsid w:val="00CB6F95"/>
    <w:rsid w:val="00CB74C7"/>
    <w:rsid w:val="00CC0CCA"/>
    <w:rsid w:val="00CC1153"/>
    <w:rsid w:val="00CC1D34"/>
    <w:rsid w:val="00CC2384"/>
    <w:rsid w:val="00CC3228"/>
    <w:rsid w:val="00CC3AAA"/>
    <w:rsid w:val="00CC4571"/>
    <w:rsid w:val="00CC51E8"/>
    <w:rsid w:val="00CC5D86"/>
    <w:rsid w:val="00CC5EEC"/>
    <w:rsid w:val="00CC6690"/>
    <w:rsid w:val="00CC6A4F"/>
    <w:rsid w:val="00CC6B41"/>
    <w:rsid w:val="00CC7354"/>
    <w:rsid w:val="00CC7EC0"/>
    <w:rsid w:val="00CD0824"/>
    <w:rsid w:val="00CD0FE3"/>
    <w:rsid w:val="00CD1271"/>
    <w:rsid w:val="00CD1E65"/>
    <w:rsid w:val="00CD2A62"/>
    <w:rsid w:val="00CD3AF6"/>
    <w:rsid w:val="00CD4FB2"/>
    <w:rsid w:val="00CD6E55"/>
    <w:rsid w:val="00CE1797"/>
    <w:rsid w:val="00CE2AAF"/>
    <w:rsid w:val="00CE2C85"/>
    <w:rsid w:val="00CE327B"/>
    <w:rsid w:val="00CE3A3B"/>
    <w:rsid w:val="00CE4504"/>
    <w:rsid w:val="00CE64DB"/>
    <w:rsid w:val="00CE7AED"/>
    <w:rsid w:val="00CF0530"/>
    <w:rsid w:val="00CF07F5"/>
    <w:rsid w:val="00CF099F"/>
    <w:rsid w:val="00CF1744"/>
    <w:rsid w:val="00CF1C5D"/>
    <w:rsid w:val="00CF2A64"/>
    <w:rsid w:val="00CF2C8F"/>
    <w:rsid w:val="00CF4859"/>
    <w:rsid w:val="00CF4F8F"/>
    <w:rsid w:val="00CF5B3B"/>
    <w:rsid w:val="00CF62D0"/>
    <w:rsid w:val="00CF6DD2"/>
    <w:rsid w:val="00CF7794"/>
    <w:rsid w:val="00CF7CA8"/>
    <w:rsid w:val="00CF7CF7"/>
    <w:rsid w:val="00D008D4"/>
    <w:rsid w:val="00D0128C"/>
    <w:rsid w:val="00D03410"/>
    <w:rsid w:val="00D03C5D"/>
    <w:rsid w:val="00D0631C"/>
    <w:rsid w:val="00D07D43"/>
    <w:rsid w:val="00D07D83"/>
    <w:rsid w:val="00D10D0E"/>
    <w:rsid w:val="00D10D8D"/>
    <w:rsid w:val="00D11291"/>
    <w:rsid w:val="00D12057"/>
    <w:rsid w:val="00D12154"/>
    <w:rsid w:val="00D124F6"/>
    <w:rsid w:val="00D12898"/>
    <w:rsid w:val="00D12FF0"/>
    <w:rsid w:val="00D1310A"/>
    <w:rsid w:val="00D13B5A"/>
    <w:rsid w:val="00D13C66"/>
    <w:rsid w:val="00D14413"/>
    <w:rsid w:val="00D14E36"/>
    <w:rsid w:val="00D15A84"/>
    <w:rsid w:val="00D15CFA"/>
    <w:rsid w:val="00D162A4"/>
    <w:rsid w:val="00D165C9"/>
    <w:rsid w:val="00D20A63"/>
    <w:rsid w:val="00D21958"/>
    <w:rsid w:val="00D21E38"/>
    <w:rsid w:val="00D22742"/>
    <w:rsid w:val="00D23152"/>
    <w:rsid w:val="00D245C2"/>
    <w:rsid w:val="00D2467D"/>
    <w:rsid w:val="00D260C9"/>
    <w:rsid w:val="00D26829"/>
    <w:rsid w:val="00D26B08"/>
    <w:rsid w:val="00D273D8"/>
    <w:rsid w:val="00D27598"/>
    <w:rsid w:val="00D27D56"/>
    <w:rsid w:val="00D30D35"/>
    <w:rsid w:val="00D31784"/>
    <w:rsid w:val="00D31B48"/>
    <w:rsid w:val="00D323EF"/>
    <w:rsid w:val="00D333A0"/>
    <w:rsid w:val="00D33814"/>
    <w:rsid w:val="00D352D6"/>
    <w:rsid w:val="00D3603D"/>
    <w:rsid w:val="00D36367"/>
    <w:rsid w:val="00D3650A"/>
    <w:rsid w:val="00D36A43"/>
    <w:rsid w:val="00D3771A"/>
    <w:rsid w:val="00D4298F"/>
    <w:rsid w:val="00D4301F"/>
    <w:rsid w:val="00D43A31"/>
    <w:rsid w:val="00D4464F"/>
    <w:rsid w:val="00D44F2F"/>
    <w:rsid w:val="00D451DC"/>
    <w:rsid w:val="00D47262"/>
    <w:rsid w:val="00D47BB3"/>
    <w:rsid w:val="00D5111F"/>
    <w:rsid w:val="00D52F22"/>
    <w:rsid w:val="00D5422B"/>
    <w:rsid w:val="00D54C3A"/>
    <w:rsid w:val="00D5527B"/>
    <w:rsid w:val="00D55903"/>
    <w:rsid w:val="00D564EE"/>
    <w:rsid w:val="00D566FF"/>
    <w:rsid w:val="00D56896"/>
    <w:rsid w:val="00D57ACD"/>
    <w:rsid w:val="00D6042C"/>
    <w:rsid w:val="00D60815"/>
    <w:rsid w:val="00D6086A"/>
    <w:rsid w:val="00D62167"/>
    <w:rsid w:val="00D6280A"/>
    <w:rsid w:val="00D62BC6"/>
    <w:rsid w:val="00D646F3"/>
    <w:rsid w:val="00D64D29"/>
    <w:rsid w:val="00D64FB6"/>
    <w:rsid w:val="00D65163"/>
    <w:rsid w:val="00D668E8"/>
    <w:rsid w:val="00D67029"/>
    <w:rsid w:val="00D67815"/>
    <w:rsid w:val="00D7073E"/>
    <w:rsid w:val="00D70844"/>
    <w:rsid w:val="00D72258"/>
    <w:rsid w:val="00D73384"/>
    <w:rsid w:val="00D74B96"/>
    <w:rsid w:val="00D7503A"/>
    <w:rsid w:val="00D7535C"/>
    <w:rsid w:val="00D75DB4"/>
    <w:rsid w:val="00D75F89"/>
    <w:rsid w:val="00D767A9"/>
    <w:rsid w:val="00D76F4B"/>
    <w:rsid w:val="00D77703"/>
    <w:rsid w:val="00D77B59"/>
    <w:rsid w:val="00D805CB"/>
    <w:rsid w:val="00D81380"/>
    <w:rsid w:val="00D81609"/>
    <w:rsid w:val="00D83A7A"/>
    <w:rsid w:val="00D83F37"/>
    <w:rsid w:val="00D854B8"/>
    <w:rsid w:val="00D864F3"/>
    <w:rsid w:val="00D87823"/>
    <w:rsid w:val="00D87990"/>
    <w:rsid w:val="00D87D9C"/>
    <w:rsid w:val="00D909A7"/>
    <w:rsid w:val="00D918C5"/>
    <w:rsid w:val="00D9194C"/>
    <w:rsid w:val="00D91E4B"/>
    <w:rsid w:val="00D934E2"/>
    <w:rsid w:val="00D9679B"/>
    <w:rsid w:val="00D96F59"/>
    <w:rsid w:val="00D976AB"/>
    <w:rsid w:val="00D97DE8"/>
    <w:rsid w:val="00DA0E88"/>
    <w:rsid w:val="00DA1E11"/>
    <w:rsid w:val="00DA1F26"/>
    <w:rsid w:val="00DA29DB"/>
    <w:rsid w:val="00DA39E7"/>
    <w:rsid w:val="00DA3B0C"/>
    <w:rsid w:val="00DA413E"/>
    <w:rsid w:val="00DA4675"/>
    <w:rsid w:val="00DA469C"/>
    <w:rsid w:val="00DA48F4"/>
    <w:rsid w:val="00DA4E61"/>
    <w:rsid w:val="00DA65A6"/>
    <w:rsid w:val="00DA76C5"/>
    <w:rsid w:val="00DA7A9B"/>
    <w:rsid w:val="00DB0A02"/>
    <w:rsid w:val="00DB0D6E"/>
    <w:rsid w:val="00DB1037"/>
    <w:rsid w:val="00DB14BC"/>
    <w:rsid w:val="00DB3A69"/>
    <w:rsid w:val="00DB523A"/>
    <w:rsid w:val="00DB5749"/>
    <w:rsid w:val="00DB5D20"/>
    <w:rsid w:val="00DB7F4D"/>
    <w:rsid w:val="00DC055E"/>
    <w:rsid w:val="00DC1417"/>
    <w:rsid w:val="00DC1933"/>
    <w:rsid w:val="00DC3D8C"/>
    <w:rsid w:val="00DC49C1"/>
    <w:rsid w:val="00DC5644"/>
    <w:rsid w:val="00DC62F1"/>
    <w:rsid w:val="00DC6FAE"/>
    <w:rsid w:val="00DC79D5"/>
    <w:rsid w:val="00DD289B"/>
    <w:rsid w:val="00DD3252"/>
    <w:rsid w:val="00DD451D"/>
    <w:rsid w:val="00DD453B"/>
    <w:rsid w:val="00DD49B0"/>
    <w:rsid w:val="00DD6A2F"/>
    <w:rsid w:val="00DD6BE6"/>
    <w:rsid w:val="00DD7128"/>
    <w:rsid w:val="00DE0CD0"/>
    <w:rsid w:val="00DE1D6E"/>
    <w:rsid w:val="00DE214F"/>
    <w:rsid w:val="00DE2DF6"/>
    <w:rsid w:val="00DE3C91"/>
    <w:rsid w:val="00DE4389"/>
    <w:rsid w:val="00DE5C40"/>
    <w:rsid w:val="00DE5DE0"/>
    <w:rsid w:val="00DE6D01"/>
    <w:rsid w:val="00DE7C7B"/>
    <w:rsid w:val="00DF0153"/>
    <w:rsid w:val="00DF1BB2"/>
    <w:rsid w:val="00DF1FBF"/>
    <w:rsid w:val="00DF2393"/>
    <w:rsid w:val="00DF30F4"/>
    <w:rsid w:val="00DF530B"/>
    <w:rsid w:val="00DF583D"/>
    <w:rsid w:val="00DF6C4C"/>
    <w:rsid w:val="00DF715D"/>
    <w:rsid w:val="00E01232"/>
    <w:rsid w:val="00E03FB0"/>
    <w:rsid w:val="00E0483A"/>
    <w:rsid w:val="00E05651"/>
    <w:rsid w:val="00E059BE"/>
    <w:rsid w:val="00E069D9"/>
    <w:rsid w:val="00E073A0"/>
    <w:rsid w:val="00E103B7"/>
    <w:rsid w:val="00E1126D"/>
    <w:rsid w:val="00E1140F"/>
    <w:rsid w:val="00E1159C"/>
    <w:rsid w:val="00E11FBA"/>
    <w:rsid w:val="00E121FD"/>
    <w:rsid w:val="00E1230E"/>
    <w:rsid w:val="00E128F2"/>
    <w:rsid w:val="00E13E7D"/>
    <w:rsid w:val="00E141DE"/>
    <w:rsid w:val="00E146A6"/>
    <w:rsid w:val="00E14C10"/>
    <w:rsid w:val="00E15AF2"/>
    <w:rsid w:val="00E166C5"/>
    <w:rsid w:val="00E17528"/>
    <w:rsid w:val="00E20B69"/>
    <w:rsid w:val="00E20FCE"/>
    <w:rsid w:val="00E2100D"/>
    <w:rsid w:val="00E216E1"/>
    <w:rsid w:val="00E21FBB"/>
    <w:rsid w:val="00E2557D"/>
    <w:rsid w:val="00E25EA2"/>
    <w:rsid w:val="00E27659"/>
    <w:rsid w:val="00E30592"/>
    <w:rsid w:val="00E30610"/>
    <w:rsid w:val="00E31547"/>
    <w:rsid w:val="00E324CA"/>
    <w:rsid w:val="00E32590"/>
    <w:rsid w:val="00E3292B"/>
    <w:rsid w:val="00E32C1B"/>
    <w:rsid w:val="00E32FFB"/>
    <w:rsid w:val="00E3317B"/>
    <w:rsid w:val="00E33D37"/>
    <w:rsid w:val="00E344DF"/>
    <w:rsid w:val="00E35BCB"/>
    <w:rsid w:val="00E35D52"/>
    <w:rsid w:val="00E35F5B"/>
    <w:rsid w:val="00E36EE0"/>
    <w:rsid w:val="00E379DB"/>
    <w:rsid w:val="00E37D73"/>
    <w:rsid w:val="00E400A8"/>
    <w:rsid w:val="00E40D34"/>
    <w:rsid w:val="00E4281D"/>
    <w:rsid w:val="00E42A29"/>
    <w:rsid w:val="00E458E6"/>
    <w:rsid w:val="00E4691E"/>
    <w:rsid w:val="00E4769A"/>
    <w:rsid w:val="00E50547"/>
    <w:rsid w:val="00E5071F"/>
    <w:rsid w:val="00E50F3E"/>
    <w:rsid w:val="00E517FD"/>
    <w:rsid w:val="00E519C8"/>
    <w:rsid w:val="00E525F5"/>
    <w:rsid w:val="00E52C87"/>
    <w:rsid w:val="00E53862"/>
    <w:rsid w:val="00E54BFD"/>
    <w:rsid w:val="00E5529D"/>
    <w:rsid w:val="00E55350"/>
    <w:rsid w:val="00E5541F"/>
    <w:rsid w:val="00E558F4"/>
    <w:rsid w:val="00E56C5F"/>
    <w:rsid w:val="00E5733D"/>
    <w:rsid w:val="00E60456"/>
    <w:rsid w:val="00E606C0"/>
    <w:rsid w:val="00E60832"/>
    <w:rsid w:val="00E61098"/>
    <w:rsid w:val="00E61219"/>
    <w:rsid w:val="00E61FE4"/>
    <w:rsid w:val="00E6207F"/>
    <w:rsid w:val="00E62DF5"/>
    <w:rsid w:val="00E63C92"/>
    <w:rsid w:val="00E64547"/>
    <w:rsid w:val="00E64A5B"/>
    <w:rsid w:val="00E64E8D"/>
    <w:rsid w:val="00E650D4"/>
    <w:rsid w:val="00E65624"/>
    <w:rsid w:val="00E672A2"/>
    <w:rsid w:val="00E70039"/>
    <w:rsid w:val="00E70C03"/>
    <w:rsid w:val="00E7266B"/>
    <w:rsid w:val="00E74358"/>
    <w:rsid w:val="00E76A1B"/>
    <w:rsid w:val="00E76B4B"/>
    <w:rsid w:val="00E773BE"/>
    <w:rsid w:val="00E7740D"/>
    <w:rsid w:val="00E778FA"/>
    <w:rsid w:val="00E80310"/>
    <w:rsid w:val="00E80856"/>
    <w:rsid w:val="00E81F13"/>
    <w:rsid w:val="00E82338"/>
    <w:rsid w:val="00E8275F"/>
    <w:rsid w:val="00E829D8"/>
    <w:rsid w:val="00E831BB"/>
    <w:rsid w:val="00E84597"/>
    <w:rsid w:val="00E84CF7"/>
    <w:rsid w:val="00E86ABB"/>
    <w:rsid w:val="00E87FBF"/>
    <w:rsid w:val="00E87FCC"/>
    <w:rsid w:val="00E928E4"/>
    <w:rsid w:val="00E92B36"/>
    <w:rsid w:val="00E9308F"/>
    <w:rsid w:val="00E9387C"/>
    <w:rsid w:val="00E93D83"/>
    <w:rsid w:val="00E95015"/>
    <w:rsid w:val="00E953D6"/>
    <w:rsid w:val="00E95742"/>
    <w:rsid w:val="00E97727"/>
    <w:rsid w:val="00E97F4B"/>
    <w:rsid w:val="00EA272E"/>
    <w:rsid w:val="00EA2CDD"/>
    <w:rsid w:val="00EA2F48"/>
    <w:rsid w:val="00EA3296"/>
    <w:rsid w:val="00EA38F3"/>
    <w:rsid w:val="00EA3DD3"/>
    <w:rsid w:val="00EA4227"/>
    <w:rsid w:val="00EA4298"/>
    <w:rsid w:val="00EA4F55"/>
    <w:rsid w:val="00EA4FFD"/>
    <w:rsid w:val="00EA50D0"/>
    <w:rsid w:val="00EA5BA7"/>
    <w:rsid w:val="00EA6375"/>
    <w:rsid w:val="00EA782E"/>
    <w:rsid w:val="00EB07C0"/>
    <w:rsid w:val="00EB0D4A"/>
    <w:rsid w:val="00EB0EB4"/>
    <w:rsid w:val="00EB2434"/>
    <w:rsid w:val="00EB250B"/>
    <w:rsid w:val="00EB49E7"/>
    <w:rsid w:val="00EB5475"/>
    <w:rsid w:val="00EB588C"/>
    <w:rsid w:val="00EC0542"/>
    <w:rsid w:val="00EC0A98"/>
    <w:rsid w:val="00EC0ADA"/>
    <w:rsid w:val="00EC0FEC"/>
    <w:rsid w:val="00EC1A4A"/>
    <w:rsid w:val="00EC1BBB"/>
    <w:rsid w:val="00EC20BB"/>
    <w:rsid w:val="00EC2BC9"/>
    <w:rsid w:val="00EC4970"/>
    <w:rsid w:val="00EC4CAB"/>
    <w:rsid w:val="00EC5085"/>
    <w:rsid w:val="00EC577E"/>
    <w:rsid w:val="00EC5F7F"/>
    <w:rsid w:val="00EC5F8C"/>
    <w:rsid w:val="00EC6715"/>
    <w:rsid w:val="00EC6D8B"/>
    <w:rsid w:val="00EC7B26"/>
    <w:rsid w:val="00ED11E9"/>
    <w:rsid w:val="00ED1329"/>
    <w:rsid w:val="00ED149F"/>
    <w:rsid w:val="00ED2ABC"/>
    <w:rsid w:val="00ED45C0"/>
    <w:rsid w:val="00ED4981"/>
    <w:rsid w:val="00ED4DC3"/>
    <w:rsid w:val="00ED6CA1"/>
    <w:rsid w:val="00ED6E06"/>
    <w:rsid w:val="00ED7BFA"/>
    <w:rsid w:val="00EE0CF2"/>
    <w:rsid w:val="00EE2FDF"/>
    <w:rsid w:val="00EE33A8"/>
    <w:rsid w:val="00EE3800"/>
    <w:rsid w:val="00EE47E8"/>
    <w:rsid w:val="00EE4FB0"/>
    <w:rsid w:val="00EE6C0F"/>
    <w:rsid w:val="00EF0BB8"/>
    <w:rsid w:val="00EF0BC7"/>
    <w:rsid w:val="00EF0DE4"/>
    <w:rsid w:val="00EF1572"/>
    <w:rsid w:val="00EF3B68"/>
    <w:rsid w:val="00EF5141"/>
    <w:rsid w:val="00EF5171"/>
    <w:rsid w:val="00EF55E6"/>
    <w:rsid w:val="00EF6399"/>
    <w:rsid w:val="00EF6ADE"/>
    <w:rsid w:val="00EF7654"/>
    <w:rsid w:val="00F00A80"/>
    <w:rsid w:val="00F01F45"/>
    <w:rsid w:val="00F02857"/>
    <w:rsid w:val="00F02DB0"/>
    <w:rsid w:val="00F03445"/>
    <w:rsid w:val="00F04ED4"/>
    <w:rsid w:val="00F05168"/>
    <w:rsid w:val="00F06387"/>
    <w:rsid w:val="00F073A3"/>
    <w:rsid w:val="00F07D6D"/>
    <w:rsid w:val="00F10375"/>
    <w:rsid w:val="00F11012"/>
    <w:rsid w:val="00F13AB5"/>
    <w:rsid w:val="00F13C5E"/>
    <w:rsid w:val="00F14370"/>
    <w:rsid w:val="00F152B7"/>
    <w:rsid w:val="00F16504"/>
    <w:rsid w:val="00F2054C"/>
    <w:rsid w:val="00F2127E"/>
    <w:rsid w:val="00F2149F"/>
    <w:rsid w:val="00F21D40"/>
    <w:rsid w:val="00F23B2B"/>
    <w:rsid w:val="00F23BEA"/>
    <w:rsid w:val="00F23BEB"/>
    <w:rsid w:val="00F242A6"/>
    <w:rsid w:val="00F2484D"/>
    <w:rsid w:val="00F25BC0"/>
    <w:rsid w:val="00F26EFB"/>
    <w:rsid w:val="00F27560"/>
    <w:rsid w:val="00F27DB9"/>
    <w:rsid w:val="00F303A9"/>
    <w:rsid w:val="00F31646"/>
    <w:rsid w:val="00F3180D"/>
    <w:rsid w:val="00F31BDB"/>
    <w:rsid w:val="00F31F8A"/>
    <w:rsid w:val="00F3386D"/>
    <w:rsid w:val="00F35770"/>
    <w:rsid w:val="00F35A00"/>
    <w:rsid w:val="00F37069"/>
    <w:rsid w:val="00F4014D"/>
    <w:rsid w:val="00F4069D"/>
    <w:rsid w:val="00F40DB9"/>
    <w:rsid w:val="00F415E2"/>
    <w:rsid w:val="00F417FA"/>
    <w:rsid w:val="00F4198F"/>
    <w:rsid w:val="00F424D3"/>
    <w:rsid w:val="00F42C1E"/>
    <w:rsid w:val="00F43BA1"/>
    <w:rsid w:val="00F43EC9"/>
    <w:rsid w:val="00F4419C"/>
    <w:rsid w:val="00F458D1"/>
    <w:rsid w:val="00F45C03"/>
    <w:rsid w:val="00F464F1"/>
    <w:rsid w:val="00F50198"/>
    <w:rsid w:val="00F50247"/>
    <w:rsid w:val="00F51B58"/>
    <w:rsid w:val="00F520AC"/>
    <w:rsid w:val="00F52CDB"/>
    <w:rsid w:val="00F53C0A"/>
    <w:rsid w:val="00F53E42"/>
    <w:rsid w:val="00F53F61"/>
    <w:rsid w:val="00F5485A"/>
    <w:rsid w:val="00F54C0F"/>
    <w:rsid w:val="00F557FC"/>
    <w:rsid w:val="00F5597B"/>
    <w:rsid w:val="00F5600F"/>
    <w:rsid w:val="00F573CB"/>
    <w:rsid w:val="00F57671"/>
    <w:rsid w:val="00F6092F"/>
    <w:rsid w:val="00F6114F"/>
    <w:rsid w:val="00F614B9"/>
    <w:rsid w:val="00F61D17"/>
    <w:rsid w:val="00F62C07"/>
    <w:rsid w:val="00F62DD0"/>
    <w:rsid w:val="00F63975"/>
    <w:rsid w:val="00F63AB5"/>
    <w:rsid w:val="00F63ECF"/>
    <w:rsid w:val="00F64ED9"/>
    <w:rsid w:val="00F64F46"/>
    <w:rsid w:val="00F664B6"/>
    <w:rsid w:val="00F669E8"/>
    <w:rsid w:val="00F6751F"/>
    <w:rsid w:val="00F67F23"/>
    <w:rsid w:val="00F7014B"/>
    <w:rsid w:val="00F705BE"/>
    <w:rsid w:val="00F706AA"/>
    <w:rsid w:val="00F71449"/>
    <w:rsid w:val="00F718ED"/>
    <w:rsid w:val="00F724E9"/>
    <w:rsid w:val="00F72818"/>
    <w:rsid w:val="00F72A03"/>
    <w:rsid w:val="00F7319D"/>
    <w:rsid w:val="00F731C6"/>
    <w:rsid w:val="00F735AA"/>
    <w:rsid w:val="00F738B5"/>
    <w:rsid w:val="00F7407E"/>
    <w:rsid w:val="00F80A75"/>
    <w:rsid w:val="00F8103E"/>
    <w:rsid w:val="00F81102"/>
    <w:rsid w:val="00F8150D"/>
    <w:rsid w:val="00F81D5F"/>
    <w:rsid w:val="00F82276"/>
    <w:rsid w:val="00F82B72"/>
    <w:rsid w:val="00F846DD"/>
    <w:rsid w:val="00F8474C"/>
    <w:rsid w:val="00F85958"/>
    <w:rsid w:val="00F85B93"/>
    <w:rsid w:val="00F85C37"/>
    <w:rsid w:val="00F85E54"/>
    <w:rsid w:val="00F86851"/>
    <w:rsid w:val="00F872E7"/>
    <w:rsid w:val="00F9058C"/>
    <w:rsid w:val="00F90DCE"/>
    <w:rsid w:val="00F91618"/>
    <w:rsid w:val="00F9457B"/>
    <w:rsid w:val="00F945EB"/>
    <w:rsid w:val="00F95445"/>
    <w:rsid w:val="00F95695"/>
    <w:rsid w:val="00F95982"/>
    <w:rsid w:val="00F963ED"/>
    <w:rsid w:val="00F97145"/>
    <w:rsid w:val="00F97F06"/>
    <w:rsid w:val="00FA0345"/>
    <w:rsid w:val="00FA0E6E"/>
    <w:rsid w:val="00FA25B9"/>
    <w:rsid w:val="00FA294E"/>
    <w:rsid w:val="00FA4473"/>
    <w:rsid w:val="00FA4B92"/>
    <w:rsid w:val="00FA63C0"/>
    <w:rsid w:val="00FA75EE"/>
    <w:rsid w:val="00FA7967"/>
    <w:rsid w:val="00FB04E3"/>
    <w:rsid w:val="00FB0DBC"/>
    <w:rsid w:val="00FB202D"/>
    <w:rsid w:val="00FB26F2"/>
    <w:rsid w:val="00FB2E1E"/>
    <w:rsid w:val="00FB527A"/>
    <w:rsid w:val="00FB5D68"/>
    <w:rsid w:val="00FB6ADB"/>
    <w:rsid w:val="00FC080B"/>
    <w:rsid w:val="00FC10B8"/>
    <w:rsid w:val="00FC1C4C"/>
    <w:rsid w:val="00FC1E68"/>
    <w:rsid w:val="00FC7085"/>
    <w:rsid w:val="00FC7A99"/>
    <w:rsid w:val="00FC7CAA"/>
    <w:rsid w:val="00FD1FE1"/>
    <w:rsid w:val="00FD2C9B"/>
    <w:rsid w:val="00FD37E2"/>
    <w:rsid w:val="00FD5333"/>
    <w:rsid w:val="00FD57E4"/>
    <w:rsid w:val="00FD6FE7"/>
    <w:rsid w:val="00FD7BF7"/>
    <w:rsid w:val="00FE0390"/>
    <w:rsid w:val="00FE0A8E"/>
    <w:rsid w:val="00FE19B7"/>
    <w:rsid w:val="00FE2C38"/>
    <w:rsid w:val="00FE2EFA"/>
    <w:rsid w:val="00FE3200"/>
    <w:rsid w:val="00FE3D0A"/>
    <w:rsid w:val="00FE3D6F"/>
    <w:rsid w:val="00FE41EA"/>
    <w:rsid w:val="00FE443F"/>
    <w:rsid w:val="00FE6028"/>
    <w:rsid w:val="00FF138F"/>
    <w:rsid w:val="00FF15D7"/>
    <w:rsid w:val="00FF1C62"/>
    <w:rsid w:val="00FF30D1"/>
    <w:rsid w:val="00FF3D77"/>
    <w:rsid w:val="00FF4398"/>
    <w:rsid w:val="00FF4C57"/>
    <w:rsid w:val="00FF53D5"/>
    <w:rsid w:val="00FF61BF"/>
    <w:rsid w:val="00FF6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414CF3"/>
  <w15:docId w15:val="{C681B0D7-A27A-4697-BD61-723D883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FB7"/>
    <w:pPr>
      <w:spacing w:after="160" w:line="259" w:lineRule="auto"/>
    </w:pPr>
  </w:style>
  <w:style w:type="paragraph" w:styleId="Heading1">
    <w:name w:val="heading 1"/>
    <w:basedOn w:val="Normal"/>
    <w:next w:val="Normal"/>
    <w:link w:val="Heading1Char"/>
    <w:uiPriority w:val="9"/>
    <w:qFormat/>
    <w:rsid w:val="00322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6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28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31A5"/>
    <w:pPr>
      <w:keepNext/>
      <w:keepLines/>
      <w:spacing w:before="40" w:after="0"/>
      <w:outlineLvl w:val="3"/>
    </w:pPr>
    <w:rPr>
      <w:rFonts w:asciiTheme="majorHAnsi" w:eastAsiaTheme="majorEastAsia" w:hAnsiTheme="majorHAnsi" w:cstheme="majorBidi"/>
      <w:i/>
      <w:iCs/>
      <w:color w:val="365F91" w:themeColor="accent1" w:themeShade="BF"/>
      <w:kern w:val="2"/>
    </w:rPr>
  </w:style>
  <w:style w:type="paragraph" w:styleId="Heading5">
    <w:name w:val="heading 5"/>
    <w:basedOn w:val="Normal"/>
    <w:next w:val="Normal"/>
    <w:link w:val="Heading5Char"/>
    <w:uiPriority w:val="9"/>
    <w:semiHidden/>
    <w:unhideWhenUsed/>
    <w:qFormat/>
    <w:rsid w:val="005457C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rsid w:val="005457C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457C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457C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457C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7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220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A8"/>
    <w:rPr>
      <w:rFonts w:asciiTheme="majorHAnsi" w:eastAsiaTheme="majorEastAsia" w:hAnsiTheme="majorHAnsi" w:cstheme="majorBidi"/>
      <w:spacing w:val="-10"/>
      <w:kern w:val="28"/>
      <w:sz w:val="56"/>
      <w:szCs w:val="56"/>
    </w:rPr>
  </w:style>
  <w:style w:type="paragraph" w:customStyle="1" w:styleId="Default">
    <w:name w:val="Default"/>
    <w:rsid w:val="003220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2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0A8"/>
    <w:rPr>
      <w:rFonts w:ascii="Tahoma" w:hAnsi="Tahoma" w:cs="Tahoma"/>
      <w:sz w:val="16"/>
      <w:szCs w:val="16"/>
    </w:rPr>
  </w:style>
  <w:style w:type="character" w:customStyle="1" w:styleId="Heading1Char">
    <w:name w:val="Heading 1 Char"/>
    <w:basedOn w:val="DefaultParagraphFont"/>
    <w:link w:val="Heading1"/>
    <w:uiPriority w:val="9"/>
    <w:rsid w:val="003220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3220A8"/>
    <w:rPr>
      <w:color w:val="0000FF"/>
      <w:u w:val="single"/>
    </w:rPr>
  </w:style>
  <w:style w:type="paragraph" w:styleId="TOC1">
    <w:name w:val="toc 1"/>
    <w:basedOn w:val="Normal"/>
    <w:next w:val="Normal"/>
    <w:autoRedefine/>
    <w:uiPriority w:val="39"/>
    <w:unhideWhenUsed/>
    <w:rsid w:val="00B068A7"/>
    <w:pPr>
      <w:spacing w:after="100" w:line="276" w:lineRule="auto"/>
    </w:pPr>
    <w:rPr>
      <w:rFonts w:ascii="Times New Roman" w:eastAsia="SimSun" w:hAnsi="Times New Roman" w:cs="SimSun"/>
      <w:sz w:val="24"/>
      <w:szCs w:val="20"/>
    </w:rPr>
  </w:style>
  <w:style w:type="paragraph" w:styleId="TOC2">
    <w:name w:val="toc 2"/>
    <w:basedOn w:val="Normal"/>
    <w:next w:val="Normal"/>
    <w:autoRedefine/>
    <w:uiPriority w:val="39"/>
    <w:unhideWhenUsed/>
    <w:rsid w:val="00B068A7"/>
    <w:pPr>
      <w:tabs>
        <w:tab w:val="left" w:pos="450"/>
        <w:tab w:val="right" w:leader="dot" w:pos="9350"/>
      </w:tabs>
      <w:spacing w:after="100" w:line="276" w:lineRule="auto"/>
      <w:ind w:left="210" w:hanging="210"/>
    </w:pPr>
    <w:rPr>
      <w:rFonts w:ascii="Calibri" w:eastAsia="SimSun" w:hAnsi="Calibri" w:cs="SimSun"/>
      <w:sz w:val="24"/>
      <w:szCs w:val="20"/>
    </w:rPr>
  </w:style>
  <w:style w:type="paragraph" w:styleId="TOC3">
    <w:name w:val="toc 3"/>
    <w:basedOn w:val="Normal"/>
    <w:next w:val="Normal"/>
    <w:autoRedefine/>
    <w:uiPriority w:val="39"/>
    <w:unhideWhenUsed/>
    <w:rsid w:val="003220A8"/>
    <w:pPr>
      <w:spacing w:after="100" w:line="276" w:lineRule="auto"/>
      <w:ind w:left="420"/>
    </w:pPr>
    <w:rPr>
      <w:rFonts w:ascii="Calibri" w:eastAsia="SimSun" w:hAnsi="Calibri" w:cs="SimSun"/>
      <w:sz w:val="24"/>
      <w:szCs w:val="20"/>
    </w:rPr>
  </w:style>
  <w:style w:type="paragraph" w:styleId="TOCHeading">
    <w:name w:val="TOC Heading"/>
    <w:basedOn w:val="Heading1"/>
    <w:next w:val="Normal"/>
    <w:uiPriority w:val="39"/>
    <w:unhideWhenUsed/>
    <w:qFormat/>
    <w:rsid w:val="003220A8"/>
    <w:pPr>
      <w:spacing w:before="240" w:line="256" w:lineRule="auto"/>
      <w:outlineLvl w:val="9"/>
    </w:pPr>
    <w:rPr>
      <w:rFonts w:ascii="Calibri Light" w:eastAsia="Times New Roman" w:hAnsi="Calibri Light" w:cs="Times New Roman"/>
      <w:bCs w:val="0"/>
      <w:color w:val="2E74B5"/>
      <w:sz w:val="32"/>
      <w:szCs w:val="32"/>
    </w:rPr>
  </w:style>
  <w:style w:type="paragraph" w:customStyle="1" w:styleId="TOCHeading2">
    <w:name w:val="TOC Heading2"/>
    <w:basedOn w:val="Heading1"/>
    <w:next w:val="Normal"/>
    <w:rsid w:val="003220A8"/>
    <w:pPr>
      <w:spacing w:before="600" w:after="200" w:line="276" w:lineRule="auto"/>
      <w:jc w:val="center"/>
      <w:outlineLvl w:val="9"/>
    </w:pPr>
    <w:rPr>
      <w:rFonts w:ascii="Cambria" w:eastAsia="SimSun" w:hAnsi="Cambria" w:cs="SimSun"/>
      <w:color w:val="auto"/>
      <w:sz w:val="24"/>
    </w:rPr>
  </w:style>
  <w:style w:type="paragraph" w:styleId="ListParagraph">
    <w:name w:val="List Paragraph"/>
    <w:basedOn w:val="Normal"/>
    <w:uiPriority w:val="34"/>
    <w:qFormat/>
    <w:rsid w:val="003220A8"/>
    <w:pPr>
      <w:ind w:left="720"/>
      <w:contextualSpacing/>
    </w:pPr>
  </w:style>
  <w:style w:type="paragraph" w:styleId="Header">
    <w:name w:val="header"/>
    <w:basedOn w:val="Normal"/>
    <w:link w:val="HeaderChar"/>
    <w:uiPriority w:val="99"/>
    <w:unhideWhenUsed/>
    <w:rsid w:val="00BB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88"/>
  </w:style>
  <w:style w:type="paragraph" w:styleId="Footer">
    <w:name w:val="footer"/>
    <w:basedOn w:val="Normal"/>
    <w:link w:val="FooterChar"/>
    <w:uiPriority w:val="99"/>
    <w:unhideWhenUsed/>
    <w:rsid w:val="00BB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88"/>
  </w:style>
  <w:style w:type="table" w:customStyle="1" w:styleId="TableGrid">
    <w:name w:val="TableGrid"/>
    <w:rsid w:val="00D162A4"/>
    <w:pPr>
      <w:spacing w:after="0" w:line="240" w:lineRule="auto"/>
      <w:ind w:hanging="14"/>
      <w:jc w:val="both"/>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paragraph" w:styleId="NormalWeb">
    <w:name w:val="Normal (Web)"/>
    <w:basedOn w:val="Normal"/>
    <w:uiPriority w:val="99"/>
    <w:semiHidden/>
    <w:unhideWhenUsed/>
    <w:rsid w:val="000A45EA"/>
    <w:rPr>
      <w:rFonts w:ascii="Times New Roman" w:hAnsi="Times New Roman" w:cs="Times New Roman"/>
      <w:sz w:val="24"/>
      <w:szCs w:val="24"/>
    </w:rPr>
  </w:style>
  <w:style w:type="paragraph" w:customStyle="1" w:styleId="TableContents">
    <w:name w:val="Table Contents"/>
    <w:basedOn w:val="Normal"/>
    <w:rsid w:val="00E50547"/>
    <w:pPr>
      <w:suppressLineNumbers/>
      <w:suppressAutoHyphens/>
      <w:spacing w:after="0" w:line="240" w:lineRule="auto"/>
    </w:pPr>
    <w:rPr>
      <w:rFonts w:ascii="Times New Roman" w:eastAsia="Times New Roman" w:hAnsi="Times New Roman" w:cs="Times New Roman"/>
      <w:sz w:val="24"/>
      <w:szCs w:val="24"/>
      <w:lang w:eastAsia="ar-SA"/>
    </w:rPr>
  </w:style>
  <w:style w:type="table" w:styleId="TableGrid0">
    <w:name w:val="Table Grid"/>
    <w:basedOn w:val="TableNormal"/>
    <w:uiPriority w:val="59"/>
    <w:rsid w:val="00E505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2858"/>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6F31A5"/>
    <w:pPr>
      <w:spacing w:after="200" w:line="240" w:lineRule="auto"/>
    </w:pPr>
    <w:rPr>
      <w:i/>
      <w:iCs/>
      <w:color w:val="1F497D" w:themeColor="text2"/>
      <w:kern w:val="2"/>
      <w:sz w:val="18"/>
      <w:szCs w:val="18"/>
    </w:rPr>
  </w:style>
  <w:style w:type="character" w:customStyle="1" w:styleId="Heading4Char">
    <w:name w:val="Heading 4 Char"/>
    <w:basedOn w:val="DefaultParagraphFont"/>
    <w:link w:val="Heading4"/>
    <w:uiPriority w:val="9"/>
    <w:rsid w:val="006F31A5"/>
    <w:rPr>
      <w:rFonts w:asciiTheme="majorHAnsi" w:eastAsiaTheme="majorEastAsia" w:hAnsiTheme="majorHAnsi" w:cstheme="majorBidi"/>
      <w:i/>
      <w:iCs/>
      <w:color w:val="365F91" w:themeColor="accent1" w:themeShade="BF"/>
      <w:kern w:val="2"/>
    </w:rPr>
  </w:style>
  <w:style w:type="paragraph" w:styleId="TableofFigures">
    <w:name w:val="table of figures"/>
    <w:basedOn w:val="Caption"/>
    <w:next w:val="Caption"/>
    <w:autoRedefine/>
    <w:uiPriority w:val="99"/>
    <w:unhideWhenUsed/>
    <w:qFormat/>
    <w:rsid w:val="00DC055E"/>
    <w:pPr>
      <w:spacing w:after="0" w:line="259" w:lineRule="auto"/>
      <w:ind w:left="440" w:hanging="440"/>
    </w:pPr>
    <w:rPr>
      <w:rFonts w:ascii="Times New Roman" w:hAnsi="Times New Roman" w:cstheme="minorHAnsi"/>
      <w:i w:val="0"/>
      <w:iCs w:val="0"/>
      <w:smallCaps/>
      <w:color w:val="auto"/>
      <w:kern w:val="0"/>
      <w:sz w:val="20"/>
      <w:szCs w:val="20"/>
    </w:rPr>
  </w:style>
  <w:style w:type="character" w:customStyle="1" w:styleId="Heading5Char">
    <w:name w:val="Heading 5 Char"/>
    <w:basedOn w:val="DefaultParagraphFont"/>
    <w:link w:val="Heading5"/>
    <w:uiPriority w:val="9"/>
    <w:semiHidden/>
    <w:rsid w:val="005457CD"/>
    <w:rPr>
      <w:rFonts w:eastAsiaTheme="minorEastAsia"/>
      <w:b/>
      <w:bCs/>
      <w:i/>
      <w:iCs/>
      <w:sz w:val="26"/>
      <w:szCs w:val="26"/>
    </w:rPr>
  </w:style>
  <w:style w:type="character" w:customStyle="1" w:styleId="Heading6Char">
    <w:name w:val="Heading 6 Char"/>
    <w:basedOn w:val="DefaultParagraphFont"/>
    <w:link w:val="Heading6"/>
    <w:rsid w:val="005457C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457CD"/>
    <w:rPr>
      <w:rFonts w:eastAsiaTheme="minorEastAsia"/>
      <w:sz w:val="24"/>
      <w:szCs w:val="24"/>
    </w:rPr>
  </w:style>
  <w:style w:type="character" w:customStyle="1" w:styleId="Heading8Char">
    <w:name w:val="Heading 8 Char"/>
    <w:basedOn w:val="DefaultParagraphFont"/>
    <w:link w:val="Heading8"/>
    <w:uiPriority w:val="9"/>
    <w:semiHidden/>
    <w:rsid w:val="005457CD"/>
    <w:rPr>
      <w:rFonts w:eastAsiaTheme="minorEastAsia"/>
      <w:i/>
      <w:iCs/>
      <w:sz w:val="24"/>
      <w:szCs w:val="24"/>
    </w:rPr>
  </w:style>
  <w:style w:type="character" w:customStyle="1" w:styleId="Heading9Char">
    <w:name w:val="Heading 9 Char"/>
    <w:basedOn w:val="DefaultParagraphFont"/>
    <w:link w:val="Heading9"/>
    <w:uiPriority w:val="9"/>
    <w:semiHidden/>
    <w:rsid w:val="005457CD"/>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EB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5032">
      <w:bodyDiv w:val="1"/>
      <w:marLeft w:val="0"/>
      <w:marRight w:val="0"/>
      <w:marTop w:val="0"/>
      <w:marBottom w:val="0"/>
      <w:divBdr>
        <w:top w:val="none" w:sz="0" w:space="0" w:color="auto"/>
        <w:left w:val="none" w:sz="0" w:space="0" w:color="auto"/>
        <w:bottom w:val="none" w:sz="0" w:space="0" w:color="auto"/>
        <w:right w:val="none" w:sz="0" w:space="0" w:color="auto"/>
      </w:divBdr>
    </w:div>
    <w:div w:id="270091040">
      <w:bodyDiv w:val="1"/>
      <w:marLeft w:val="0"/>
      <w:marRight w:val="0"/>
      <w:marTop w:val="0"/>
      <w:marBottom w:val="0"/>
      <w:divBdr>
        <w:top w:val="none" w:sz="0" w:space="0" w:color="auto"/>
        <w:left w:val="none" w:sz="0" w:space="0" w:color="auto"/>
        <w:bottom w:val="none" w:sz="0" w:space="0" w:color="auto"/>
        <w:right w:val="none" w:sz="0" w:space="0" w:color="auto"/>
      </w:divBdr>
    </w:div>
    <w:div w:id="280959939">
      <w:bodyDiv w:val="1"/>
      <w:marLeft w:val="0"/>
      <w:marRight w:val="0"/>
      <w:marTop w:val="0"/>
      <w:marBottom w:val="0"/>
      <w:divBdr>
        <w:top w:val="none" w:sz="0" w:space="0" w:color="auto"/>
        <w:left w:val="none" w:sz="0" w:space="0" w:color="auto"/>
        <w:bottom w:val="none" w:sz="0" w:space="0" w:color="auto"/>
        <w:right w:val="none" w:sz="0" w:space="0" w:color="auto"/>
      </w:divBdr>
    </w:div>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954366162">
      <w:bodyDiv w:val="1"/>
      <w:marLeft w:val="0"/>
      <w:marRight w:val="0"/>
      <w:marTop w:val="0"/>
      <w:marBottom w:val="0"/>
      <w:divBdr>
        <w:top w:val="none" w:sz="0" w:space="0" w:color="auto"/>
        <w:left w:val="none" w:sz="0" w:space="0" w:color="auto"/>
        <w:bottom w:val="none" w:sz="0" w:space="0" w:color="auto"/>
        <w:right w:val="none" w:sz="0" w:space="0" w:color="auto"/>
      </w:divBdr>
    </w:div>
    <w:div w:id="1102644535">
      <w:bodyDiv w:val="1"/>
      <w:marLeft w:val="0"/>
      <w:marRight w:val="0"/>
      <w:marTop w:val="0"/>
      <w:marBottom w:val="0"/>
      <w:divBdr>
        <w:top w:val="none" w:sz="0" w:space="0" w:color="auto"/>
        <w:left w:val="none" w:sz="0" w:space="0" w:color="auto"/>
        <w:bottom w:val="none" w:sz="0" w:space="0" w:color="auto"/>
        <w:right w:val="none" w:sz="0" w:space="0" w:color="auto"/>
      </w:divBdr>
    </w:div>
    <w:div w:id="1361122402">
      <w:bodyDiv w:val="1"/>
      <w:marLeft w:val="0"/>
      <w:marRight w:val="0"/>
      <w:marTop w:val="0"/>
      <w:marBottom w:val="0"/>
      <w:divBdr>
        <w:top w:val="none" w:sz="0" w:space="0" w:color="auto"/>
        <w:left w:val="none" w:sz="0" w:space="0" w:color="auto"/>
        <w:bottom w:val="none" w:sz="0" w:space="0" w:color="auto"/>
        <w:right w:val="none" w:sz="0" w:space="0" w:color="auto"/>
      </w:divBdr>
      <w:divsChild>
        <w:div w:id="322128393">
          <w:marLeft w:val="0"/>
          <w:marRight w:val="0"/>
          <w:marTop w:val="0"/>
          <w:marBottom w:val="0"/>
          <w:divBdr>
            <w:top w:val="none" w:sz="0" w:space="0" w:color="auto"/>
            <w:left w:val="none" w:sz="0" w:space="0" w:color="auto"/>
            <w:bottom w:val="none" w:sz="0" w:space="0" w:color="auto"/>
            <w:right w:val="single" w:sz="6" w:space="0" w:color="DDDDDD"/>
          </w:divBdr>
        </w:div>
      </w:divsChild>
    </w:div>
    <w:div w:id="1378623343">
      <w:bodyDiv w:val="1"/>
      <w:marLeft w:val="0"/>
      <w:marRight w:val="0"/>
      <w:marTop w:val="0"/>
      <w:marBottom w:val="0"/>
      <w:divBdr>
        <w:top w:val="none" w:sz="0" w:space="0" w:color="auto"/>
        <w:left w:val="none" w:sz="0" w:space="0" w:color="auto"/>
        <w:bottom w:val="none" w:sz="0" w:space="0" w:color="auto"/>
        <w:right w:val="none" w:sz="0" w:space="0" w:color="auto"/>
      </w:divBdr>
    </w:div>
    <w:div w:id="1631781031">
      <w:bodyDiv w:val="1"/>
      <w:marLeft w:val="0"/>
      <w:marRight w:val="0"/>
      <w:marTop w:val="0"/>
      <w:marBottom w:val="0"/>
      <w:divBdr>
        <w:top w:val="none" w:sz="0" w:space="0" w:color="auto"/>
        <w:left w:val="none" w:sz="0" w:space="0" w:color="auto"/>
        <w:bottom w:val="none" w:sz="0" w:space="0" w:color="auto"/>
        <w:right w:val="none" w:sz="0" w:space="0" w:color="auto"/>
      </w:divBdr>
      <w:divsChild>
        <w:div w:id="843476208">
          <w:marLeft w:val="0"/>
          <w:marRight w:val="0"/>
          <w:marTop w:val="0"/>
          <w:marBottom w:val="0"/>
          <w:divBdr>
            <w:top w:val="none" w:sz="0" w:space="0" w:color="auto"/>
            <w:left w:val="none" w:sz="0" w:space="0" w:color="auto"/>
            <w:bottom w:val="none" w:sz="0" w:space="0" w:color="auto"/>
            <w:right w:val="none" w:sz="0" w:space="0" w:color="auto"/>
          </w:divBdr>
          <w:divsChild>
            <w:div w:id="1954820634">
              <w:marLeft w:val="0"/>
              <w:marRight w:val="0"/>
              <w:marTop w:val="0"/>
              <w:marBottom w:val="0"/>
              <w:divBdr>
                <w:top w:val="none" w:sz="0" w:space="0" w:color="auto"/>
                <w:left w:val="none" w:sz="0" w:space="0" w:color="auto"/>
                <w:bottom w:val="none" w:sz="0" w:space="0" w:color="auto"/>
                <w:right w:val="none" w:sz="0" w:space="0" w:color="auto"/>
              </w:divBdr>
              <w:divsChild>
                <w:div w:id="171457396">
                  <w:marLeft w:val="0"/>
                  <w:marRight w:val="0"/>
                  <w:marTop w:val="0"/>
                  <w:marBottom w:val="0"/>
                  <w:divBdr>
                    <w:top w:val="none" w:sz="0" w:space="0" w:color="auto"/>
                    <w:left w:val="none" w:sz="0" w:space="0" w:color="auto"/>
                    <w:bottom w:val="none" w:sz="0" w:space="0" w:color="auto"/>
                    <w:right w:val="none" w:sz="0" w:space="0" w:color="auto"/>
                  </w:divBdr>
                  <w:divsChild>
                    <w:div w:id="112556985">
                      <w:marLeft w:val="0"/>
                      <w:marRight w:val="0"/>
                      <w:marTop w:val="0"/>
                      <w:marBottom w:val="0"/>
                      <w:divBdr>
                        <w:top w:val="none" w:sz="0" w:space="0" w:color="auto"/>
                        <w:left w:val="none" w:sz="0" w:space="0" w:color="auto"/>
                        <w:bottom w:val="none" w:sz="0" w:space="0" w:color="auto"/>
                        <w:right w:val="none" w:sz="0" w:space="0" w:color="auto"/>
                      </w:divBdr>
                      <w:divsChild>
                        <w:div w:id="1814255265">
                          <w:marLeft w:val="0"/>
                          <w:marRight w:val="0"/>
                          <w:marTop w:val="0"/>
                          <w:marBottom w:val="0"/>
                          <w:divBdr>
                            <w:top w:val="none" w:sz="0" w:space="0" w:color="auto"/>
                            <w:left w:val="none" w:sz="0" w:space="0" w:color="auto"/>
                            <w:bottom w:val="none" w:sz="0" w:space="0" w:color="auto"/>
                            <w:right w:val="none" w:sz="0" w:space="0" w:color="auto"/>
                          </w:divBdr>
                          <w:divsChild>
                            <w:div w:id="2084908338">
                              <w:marLeft w:val="0"/>
                              <w:marRight w:val="0"/>
                              <w:marTop w:val="0"/>
                              <w:marBottom w:val="0"/>
                              <w:divBdr>
                                <w:top w:val="none" w:sz="0" w:space="0" w:color="auto"/>
                                <w:left w:val="none" w:sz="0" w:space="0" w:color="auto"/>
                                <w:bottom w:val="none" w:sz="0" w:space="0" w:color="auto"/>
                                <w:right w:val="none" w:sz="0" w:space="0" w:color="auto"/>
                              </w:divBdr>
                              <w:divsChild>
                                <w:div w:id="6715997">
                                  <w:marLeft w:val="0"/>
                                  <w:marRight w:val="0"/>
                                  <w:marTop w:val="0"/>
                                  <w:marBottom w:val="0"/>
                                  <w:divBdr>
                                    <w:top w:val="none" w:sz="0" w:space="0" w:color="auto"/>
                                    <w:left w:val="none" w:sz="0" w:space="0" w:color="auto"/>
                                    <w:bottom w:val="none" w:sz="0" w:space="0" w:color="auto"/>
                                    <w:right w:val="none" w:sz="0" w:space="0" w:color="auto"/>
                                  </w:divBdr>
                                  <w:divsChild>
                                    <w:div w:id="371810517">
                                      <w:marLeft w:val="0"/>
                                      <w:marRight w:val="0"/>
                                      <w:marTop w:val="0"/>
                                      <w:marBottom w:val="0"/>
                                      <w:divBdr>
                                        <w:top w:val="none" w:sz="0" w:space="0" w:color="auto"/>
                                        <w:left w:val="none" w:sz="0" w:space="0" w:color="auto"/>
                                        <w:bottom w:val="none" w:sz="0" w:space="0" w:color="auto"/>
                                        <w:right w:val="none" w:sz="0" w:space="0" w:color="auto"/>
                                      </w:divBdr>
                                      <w:divsChild>
                                        <w:div w:id="2046129147">
                                          <w:marLeft w:val="0"/>
                                          <w:marRight w:val="0"/>
                                          <w:marTop w:val="0"/>
                                          <w:marBottom w:val="0"/>
                                          <w:divBdr>
                                            <w:top w:val="none" w:sz="0" w:space="0" w:color="auto"/>
                                            <w:left w:val="none" w:sz="0" w:space="0" w:color="auto"/>
                                            <w:bottom w:val="none" w:sz="0" w:space="0" w:color="auto"/>
                                            <w:right w:val="none" w:sz="0" w:space="0" w:color="auto"/>
                                          </w:divBdr>
                                          <w:divsChild>
                                            <w:div w:id="267591645">
                                              <w:marLeft w:val="0"/>
                                              <w:marRight w:val="0"/>
                                              <w:marTop w:val="0"/>
                                              <w:marBottom w:val="0"/>
                                              <w:divBdr>
                                                <w:top w:val="none" w:sz="0" w:space="0" w:color="auto"/>
                                                <w:left w:val="none" w:sz="0" w:space="0" w:color="auto"/>
                                                <w:bottom w:val="none" w:sz="0" w:space="0" w:color="auto"/>
                                                <w:right w:val="none" w:sz="0" w:space="0" w:color="auto"/>
                                              </w:divBdr>
                                              <w:divsChild>
                                                <w:div w:id="265886469">
                                                  <w:marLeft w:val="0"/>
                                                  <w:marRight w:val="0"/>
                                                  <w:marTop w:val="0"/>
                                                  <w:marBottom w:val="0"/>
                                                  <w:divBdr>
                                                    <w:top w:val="none" w:sz="0" w:space="0" w:color="auto"/>
                                                    <w:left w:val="none" w:sz="0" w:space="0" w:color="auto"/>
                                                    <w:bottom w:val="none" w:sz="0" w:space="0" w:color="auto"/>
                                                    <w:right w:val="none" w:sz="0" w:space="0" w:color="auto"/>
                                                  </w:divBdr>
                                                  <w:divsChild>
                                                    <w:div w:id="41759901">
                                                      <w:marLeft w:val="0"/>
                                                      <w:marRight w:val="0"/>
                                                      <w:marTop w:val="0"/>
                                                      <w:marBottom w:val="0"/>
                                                      <w:divBdr>
                                                        <w:top w:val="none" w:sz="0" w:space="0" w:color="auto"/>
                                                        <w:left w:val="none" w:sz="0" w:space="0" w:color="auto"/>
                                                        <w:bottom w:val="none" w:sz="0" w:space="0" w:color="auto"/>
                                                        <w:right w:val="none" w:sz="0" w:space="0" w:color="auto"/>
                                                      </w:divBdr>
                                                      <w:divsChild>
                                                        <w:div w:id="5144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743697">
      <w:bodyDiv w:val="1"/>
      <w:marLeft w:val="0"/>
      <w:marRight w:val="0"/>
      <w:marTop w:val="0"/>
      <w:marBottom w:val="0"/>
      <w:divBdr>
        <w:top w:val="none" w:sz="0" w:space="0" w:color="auto"/>
        <w:left w:val="none" w:sz="0" w:space="0" w:color="auto"/>
        <w:bottom w:val="none" w:sz="0" w:space="0" w:color="auto"/>
        <w:right w:val="none" w:sz="0" w:space="0" w:color="auto"/>
      </w:divBdr>
    </w:div>
    <w:div w:id="1824081550">
      <w:bodyDiv w:val="1"/>
      <w:marLeft w:val="0"/>
      <w:marRight w:val="0"/>
      <w:marTop w:val="0"/>
      <w:marBottom w:val="0"/>
      <w:divBdr>
        <w:top w:val="none" w:sz="0" w:space="0" w:color="auto"/>
        <w:left w:val="none" w:sz="0" w:space="0" w:color="auto"/>
        <w:bottom w:val="none" w:sz="0" w:space="0" w:color="auto"/>
        <w:right w:val="none" w:sz="0" w:space="0" w:color="auto"/>
      </w:divBdr>
    </w:div>
    <w:div w:id="2116054004">
      <w:bodyDiv w:val="1"/>
      <w:marLeft w:val="0"/>
      <w:marRight w:val="0"/>
      <w:marTop w:val="0"/>
      <w:marBottom w:val="0"/>
      <w:divBdr>
        <w:top w:val="none" w:sz="0" w:space="0" w:color="auto"/>
        <w:left w:val="none" w:sz="0" w:space="0" w:color="auto"/>
        <w:bottom w:val="none" w:sz="0" w:space="0" w:color="auto"/>
        <w:right w:val="none" w:sz="0" w:space="0" w:color="auto"/>
      </w:divBdr>
    </w:div>
    <w:div w:id="2119832887">
      <w:bodyDiv w:val="1"/>
      <w:marLeft w:val="0"/>
      <w:marRight w:val="0"/>
      <w:marTop w:val="0"/>
      <w:marBottom w:val="0"/>
      <w:divBdr>
        <w:top w:val="none" w:sz="0" w:space="0" w:color="auto"/>
        <w:left w:val="none" w:sz="0" w:space="0" w:color="auto"/>
        <w:bottom w:val="none" w:sz="0" w:space="0" w:color="auto"/>
        <w:right w:val="none" w:sz="0" w:space="0" w:color="auto"/>
      </w:divBdr>
      <w:divsChild>
        <w:div w:id="1883858738">
          <w:marLeft w:val="0"/>
          <w:marRight w:val="0"/>
          <w:marTop w:val="0"/>
          <w:marBottom w:val="0"/>
          <w:divBdr>
            <w:top w:val="none" w:sz="0" w:space="0" w:color="auto"/>
            <w:left w:val="none" w:sz="0" w:space="0" w:color="auto"/>
            <w:bottom w:val="none" w:sz="0" w:space="0" w:color="auto"/>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urnaljpri.com/index.php/JPRI/article/view/198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Hemolysis Progression over Time</a:t>
            </a:r>
          </a:p>
        </c:rich>
      </c:tx>
      <c:overlay val="0"/>
      <c:spPr>
        <a:noFill/>
        <a:ln>
          <a:noFill/>
        </a:ln>
        <a:effectLst/>
      </c:spPr>
    </c:title>
    <c:autoTitleDeleted val="0"/>
    <c:plotArea>
      <c:layout/>
      <c:lineChart>
        <c:grouping val="standard"/>
        <c:varyColors val="0"/>
        <c:ser>
          <c:idx val="0"/>
          <c:order val="0"/>
          <c:tx>
            <c:strRef>
              <c:f>RESULT!$H$2</c:f>
              <c:strCache>
                <c:ptCount val="1"/>
                <c:pt idx="0">
                  <c:v>Centrifugation Mean (±SD)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RESULT!$G$3:$G$6</c:f>
              <c:numCache>
                <c:formatCode>General</c:formatCode>
                <c:ptCount val="4"/>
                <c:pt idx="0">
                  <c:v>7</c:v>
                </c:pt>
                <c:pt idx="1">
                  <c:v>14</c:v>
                </c:pt>
                <c:pt idx="2">
                  <c:v>21</c:v>
                </c:pt>
                <c:pt idx="3">
                  <c:v>28</c:v>
                </c:pt>
              </c:numCache>
            </c:numRef>
          </c:cat>
          <c:val>
            <c:numRef>
              <c:f>RESULT!$H$3:$H$6</c:f>
              <c:numCache>
                <c:formatCode>General</c:formatCode>
                <c:ptCount val="4"/>
                <c:pt idx="0">
                  <c:v>0</c:v>
                </c:pt>
                <c:pt idx="1">
                  <c:v>0.23</c:v>
                </c:pt>
                <c:pt idx="2">
                  <c:v>0.37000000000000022</c:v>
                </c:pt>
                <c:pt idx="3">
                  <c:v>0.52</c:v>
                </c:pt>
              </c:numCache>
            </c:numRef>
          </c:val>
          <c:smooth val="0"/>
          <c:extLst>
            <c:ext xmlns:c16="http://schemas.microsoft.com/office/drawing/2014/chart" uri="{C3380CC4-5D6E-409C-BE32-E72D297353CC}">
              <c16:uniqueId val="{00000000-EB2C-4B3A-A9E6-D5F8C6CA5114}"/>
            </c:ext>
          </c:extLst>
        </c:ser>
        <c:ser>
          <c:idx val="1"/>
          <c:order val="1"/>
          <c:tx>
            <c:strRef>
              <c:f>RESULT!$I$2</c:f>
              <c:strCache>
                <c:ptCount val="1"/>
                <c:pt idx="0">
                  <c:v>Settling Mean (±SD)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RESULT!$G$3:$G$6</c:f>
              <c:numCache>
                <c:formatCode>General</c:formatCode>
                <c:ptCount val="4"/>
                <c:pt idx="0">
                  <c:v>7</c:v>
                </c:pt>
                <c:pt idx="1">
                  <c:v>14</c:v>
                </c:pt>
                <c:pt idx="2">
                  <c:v>21</c:v>
                </c:pt>
                <c:pt idx="3">
                  <c:v>28</c:v>
                </c:pt>
              </c:numCache>
            </c:numRef>
          </c:cat>
          <c:val>
            <c:numRef>
              <c:f>RESULT!$I$3:$I$6</c:f>
              <c:numCache>
                <c:formatCode>General</c:formatCode>
                <c:ptCount val="4"/>
                <c:pt idx="0">
                  <c:v>0</c:v>
                </c:pt>
                <c:pt idx="1">
                  <c:v>6.0000000000000032E-2</c:v>
                </c:pt>
                <c:pt idx="2">
                  <c:v>0.2100000000000001</c:v>
                </c:pt>
                <c:pt idx="3">
                  <c:v>0.39000000000000024</c:v>
                </c:pt>
              </c:numCache>
            </c:numRef>
          </c:val>
          <c:smooth val="0"/>
          <c:extLst>
            <c:ext xmlns:c16="http://schemas.microsoft.com/office/drawing/2014/chart" uri="{C3380CC4-5D6E-409C-BE32-E72D297353CC}">
              <c16:uniqueId val="{00000001-EB2C-4B3A-A9E6-D5F8C6CA5114}"/>
            </c:ext>
          </c:extLst>
        </c:ser>
        <c:dLbls>
          <c:showLegendKey val="0"/>
          <c:showVal val="0"/>
          <c:showCatName val="0"/>
          <c:showSerName val="0"/>
          <c:showPercent val="0"/>
          <c:showBubbleSize val="0"/>
        </c:dLbls>
        <c:marker val="1"/>
        <c:smooth val="0"/>
        <c:axId val="211838080"/>
        <c:axId val="211840000"/>
      </c:lineChart>
      <c:catAx>
        <c:axId val="211838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Storage Duration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40000"/>
        <c:crosses val="autoZero"/>
        <c:auto val="1"/>
        <c:lblAlgn val="ctr"/>
        <c:lblOffset val="100"/>
        <c:noMultiLvlLbl val="0"/>
      </c:catAx>
      <c:valAx>
        <c:axId val="211840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Hemolysis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3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AC3A-B940-41B1-A29E-B2696A6C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10537</Words>
  <Characters>60061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6</cp:revision>
  <cp:lastPrinted>2024-11-06T11:50:00Z</cp:lastPrinted>
  <dcterms:created xsi:type="dcterms:W3CDTF">2025-05-16T16:38:00Z</dcterms:created>
  <dcterms:modified xsi:type="dcterms:W3CDTF">2025-05-19T11:59:00Z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e2045bbd-7410-367b-8612-4920aad5fec6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http://csl.mendeley.com/styles/728262901/american-political-science-association</vt:lpwstr>
  </property>
  <property fmtid="{D5CDD505-2E9C-101B-9397-08002B2CF9AE}" pid="8" name="Mendeley Recent Style Name 1_1">
    <vt:lpwstr>American Political Science Association 6th edition</vt:lpwstr>
  </property>
  <property fmtid="{D5CDD505-2E9C-101B-9397-08002B2CF9AE}" pid="9" name="Mendeley Recent Style Id 2_1">
    <vt:lpwstr>http://csl.mendeley.com/styles/728262901/apa</vt:lpwstr>
  </property>
  <property fmtid="{D5CDD505-2E9C-101B-9397-08002B2CF9AE}" pid="10" name="Mendeley Recent Style Name 2_1">
    <vt:lpwstr>American Psychological Association 6th edition - BARAKA MWANTOLWA</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