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2A61" w14:textId="377D0142" w:rsidR="000368DD" w:rsidRDefault="0094109B" w:rsidP="00130A32">
      <w:pPr>
        <w:pStyle w:val="Titre1"/>
      </w:pPr>
      <w:r w:rsidRPr="0094109B">
        <w:t>Executive Function and Language Input: Neurological Insights from French Immersion Learners</w:t>
      </w:r>
      <w:r w:rsidR="000368DD">
        <w:t xml:space="preserve"> </w:t>
      </w:r>
    </w:p>
    <w:p w14:paraId="22EF5D56" w14:textId="77777777" w:rsidR="00BE522F" w:rsidRPr="00BE522F" w:rsidRDefault="00BE522F" w:rsidP="00BE522F"/>
    <w:p w14:paraId="1FC205B1" w14:textId="080BAECD" w:rsidR="00634493" w:rsidRDefault="00B7213F">
      <w:pPr>
        <w:pStyle w:val="Titre1"/>
      </w:pPr>
      <w:r>
        <w:t>Abstract</w:t>
      </w:r>
    </w:p>
    <w:p w14:paraId="6EAF6683" w14:textId="77777777" w:rsidR="00C46A01" w:rsidRPr="00C46A01" w:rsidRDefault="00C46A01" w:rsidP="00C46A01">
      <w:pPr>
        <w:pStyle w:val="Titre1"/>
        <w:jc w:val="both"/>
        <w:rPr>
          <w:rFonts w:cstheme="majorHAnsi"/>
          <w:b w:val="0"/>
          <w:bCs w:val="0"/>
          <w:i/>
          <w:iCs/>
          <w:color w:val="auto"/>
          <w:sz w:val="24"/>
          <w:szCs w:val="24"/>
          <w:lang w:val="en-CA"/>
        </w:rPr>
      </w:pPr>
      <w:r w:rsidRPr="00C46A01">
        <w:rPr>
          <w:rFonts w:cstheme="majorHAnsi"/>
          <w:b w:val="0"/>
          <w:bCs w:val="0"/>
          <w:i/>
          <w:iCs/>
          <w:color w:val="auto"/>
          <w:sz w:val="24"/>
          <w:szCs w:val="24"/>
          <w:lang w:val="en-CA"/>
        </w:rPr>
        <w:t>This study examines how the consistency of French language input by teachers in immersion classrooms impacts both language acquisition and executive function in elementary students, including those with neurodivergent profiles. A cross-sectional observational study was conducted with 128 students aged 7–9 across five immersion schools in Winnipeg. Participants were grouped based on observed teacher language input consistency. Data included standardized cognitive and language assessments, parent surveys, and teacher evaluations using the BRIEF-2. Students receiving ≥90% French input outperformed peers in vocabulary, working memory, and inhibitory control. Neurodivergent students also demonstrated gains in high-consistency environments, though with greater variance. Findings support the cognitive benefits of immersion fidelity. However, rigid language policies may risk excluding vulnerable learners. The results call for adaptive strategies that combine linguistic consistency with inclusive pedagogy. Consistent French instruction enhances language and cognitive outcomes for diverse learners. Immersion policies must balance fidelity with flexibility to remain equitable and neurologically supportive.</w:t>
      </w:r>
    </w:p>
    <w:p w14:paraId="66583D10" w14:textId="77777777" w:rsidR="004056F8" w:rsidRPr="00BE37A8" w:rsidRDefault="004056F8" w:rsidP="004056F8">
      <w:pPr>
        <w:pStyle w:val="Titre1"/>
        <w:rPr>
          <w:lang w:val="en-CA"/>
        </w:rPr>
      </w:pPr>
      <w:r w:rsidRPr="00BE37A8">
        <w:rPr>
          <w:lang w:val="en-CA"/>
        </w:rPr>
        <w:t>Introduction</w:t>
      </w:r>
    </w:p>
    <w:p w14:paraId="51F1F9F3" w14:textId="3178B555" w:rsidR="003F3439" w:rsidRPr="003F3439" w:rsidRDefault="003F3439" w:rsidP="003F3439">
      <w:pPr>
        <w:spacing w:after="160" w:line="278" w:lineRule="auto"/>
        <w:rPr>
          <w:lang w:val="en-CA"/>
        </w:rPr>
      </w:pPr>
      <w:r w:rsidRPr="003F3439">
        <w:rPr>
          <w:lang w:val="en-CA"/>
        </w:rPr>
        <w:t>Bilingual education continues to gain prominence in cognitive and educational research, with French immersion programs playing a central role in Canada’s language policy. While these programs aim to foster both linguistic competence and cognitive flexibility, significant variation in classroom practices—especially in language input—raises important pedagogical and neurological questions. The current study addresses a specific gap: how varying degrees of French language exposure impact executive functioning and language development in both neurotypical and neurodivergent learners.</w:t>
      </w:r>
      <w:r w:rsidR="00AC7D0D">
        <w:rPr>
          <w:lang w:val="en-CA"/>
        </w:rPr>
        <w:t xml:space="preserve"> </w:t>
      </w:r>
      <w:r w:rsidR="00AC7D0D" w:rsidRPr="00AC7D0D">
        <w:t>This is particularly relevant as immersion classrooms become increasingly diverse, and the intersection of language policy and inclusive practice remains under-examined in current literature (Loera et al., 2024).</w:t>
      </w:r>
    </w:p>
    <w:p w14:paraId="7E5FF533" w14:textId="4F415B06" w:rsidR="003F3439" w:rsidRDefault="003F3439" w:rsidP="004056F8">
      <w:pPr>
        <w:spacing w:after="160" w:line="278" w:lineRule="auto"/>
        <w:rPr>
          <w:lang w:val="en-CA"/>
        </w:rPr>
      </w:pPr>
      <w:r w:rsidRPr="003F3439">
        <w:rPr>
          <w:lang w:val="en-CA"/>
        </w:rPr>
        <w:t xml:space="preserve">Emerging evidence suggests that consistent bilingual input can shape executive functions such as working memory, inhibitory control, and cognitive flexibility (Antoniou &amp; Wright, 2017; Barac et al., 2014). However, the application of these findings to inclusive immersion settings remains under-explored, particularly for learners with ADHD or mild autism spectrum profiles. Our study investigates whether consistent exposure to French in immersion </w:t>
      </w:r>
      <w:r w:rsidRPr="003F3439">
        <w:rPr>
          <w:lang w:val="en-CA"/>
        </w:rPr>
        <w:lastRenderedPageBreak/>
        <w:t>classrooms supports cognitive development across diverse learner profiles, and how such consistency can be balanced with inclusive pedagogical practices (García &amp; Wei, 2021).</w:t>
      </w:r>
    </w:p>
    <w:p w14:paraId="3BDB20F9" w14:textId="77777777" w:rsidR="004056F8" w:rsidRPr="00BE37A8" w:rsidRDefault="004056F8" w:rsidP="004056F8">
      <w:pPr>
        <w:spacing w:after="160" w:line="278" w:lineRule="auto"/>
        <w:rPr>
          <w:lang w:val="en-CA"/>
        </w:rPr>
      </w:pPr>
      <w:r w:rsidRPr="00BE37A8">
        <w:rPr>
          <w:lang w:val="en-CA"/>
        </w:rPr>
        <w:t>French immersion education was first implemented in Canada in the 1960s as an answer to the growing demand from English-speaking parents who wished their children to become bilingual. Since then, it has evolved into a nationwide system with thousands of students enrolled annually. The fundamental tenet of early immersion is based on the idea that students can acquire a second language through meaningful exposure and use in academic contexts (Genesee &amp; Jared, 2008). The underlying theoretical framework often draws from Cummins' distinction between Basic Interpersonal Communicative Skills (BICS) and Cognitive Academic Language Proficiency (CALP), highlighting the necessity of sustained, structured language input for deeper academic engagement (Cummins, 2001).</w:t>
      </w:r>
    </w:p>
    <w:p w14:paraId="608CB16B" w14:textId="77777777" w:rsidR="004056F8" w:rsidRDefault="004056F8" w:rsidP="004056F8">
      <w:pPr>
        <w:spacing w:after="160" w:line="278" w:lineRule="auto"/>
        <w:rPr>
          <w:lang w:val="en-CA"/>
        </w:rPr>
      </w:pPr>
      <w:r w:rsidRPr="00BE37A8">
        <w:rPr>
          <w:lang w:val="en-CA"/>
        </w:rPr>
        <w:t>A growing body of literature suggests that bilingual children may exhibit enhanced executive functioning compared to monolingual peers, particularly in tasks requiring inhibition, task switching, and working memory (Bialystok et al., 2012; Carlson &amp; Meltzoff, 2008). These cognitive advantages are believed to result from the regular management of two linguistic systems, which fosters neuroplastic adaptations in key cortical regions. In the context of immersion schooling, this hypothesis would suggest that the degree of exposure to the target language—French—may influence not only linguistic outcomes but also broader cognitive domains.</w:t>
      </w:r>
    </w:p>
    <w:p w14:paraId="4B9AB0B8" w14:textId="43F9AF8E" w:rsidR="00942510" w:rsidRDefault="00942510" w:rsidP="00942510">
      <w:pPr>
        <w:pStyle w:val="Titre2"/>
      </w:pPr>
      <w:r>
        <w:t xml:space="preserve">Figure </w:t>
      </w:r>
      <w:r w:rsidR="00025094">
        <w:t>1</w:t>
      </w:r>
      <w:r>
        <w:t>. Verbal Fluency by Group</w:t>
      </w:r>
    </w:p>
    <w:p w14:paraId="70F394A7" w14:textId="78055A2D" w:rsidR="00942510" w:rsidRPr="00C46A01" w:rsidRDefault="00942510" w:rsidP="00C46A01">
      <w:r>
        <w:rPr>
          <w:noProof/>
        </w:rPr>
        <w:drawing>
          <wp:inline distT="0" distB="0" distL="0" distR="0" wp14:anchorId="5B8CDCDD" wp14:editId="5E524052">
            <wp:extent cx="5029200" cy="2788920"/>
            <wp:effectExtent l="0" t="0" r="0" b="0"/>
            <wp:docPr id="3" name="Picture 3" descr="Une image contenant texte, diagramme, lign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diagramme, ligne, Parallèle&#10;&#10;Le contenu généré par l’IA peut être incorrect."/>
                    <pic:cNvPicPr/>
                  </pic:nvPicPr>
                  <pic:blipFill rotWithShape="1">
                    <a:blip r:embed="rId8"/>
                    <a:srcRect t="7576"/>
                    <a:stretch/>
                  </pic:blipFill>
                  <pic:spPr bwMode="auto">
                    <a:xfrm>
                      <a:off x="0" y="0"/>
                      <a:ext cx="5029200" cy="2788920"/>
                    </a:xfrm>
                    <a:prstGeom prst="rect">
                      <a:avLst/>
                    </a:prstGeom>
                    <a:ln>
                      <a:noFill/>
                    </a:ln>
                    <a:extLst>
                      <a:ext uri="{53640926-AAD7-44D8-BBD7-CCE9431645EC}">
                        <a14:shadowObscured xmlns:a14="http://schemas.microsoft.com/office/drawing/2010/main"/>
                      </a:ext>
                    </a:extLst>
                  </pic:spPr>
                </pic:pic>
              </a:graphicData>
            </a:graphic>
          </wp:inline>
        </w:drawing>
      </w:r>
    </w:p>
    <w:p w14:paraId="107F4238" w14:textId="77777777" w:rsidR="004056F8" w:rsidRPr="00BE37A8" w:rsidRDefault="004056F8" w:rsidP="004056F8">
      <w:pPr>
        <w:spacing w:after="160" w:line="278" w:lineRule="auto"/>
        <w:rPr>
          <w:lang w:val="en-CA"/>
        </w:rPr>
      </w:pPr>
      <w:r w:rsidRPr="00BE37A8">
        <w:rPr>
          <w:lang w:val="en-CA"/>
        </w:rPr>
        <w:t xml:space="preserve">However, while the benefits of bilingualism are well-documented, less is known about how inconsistencies in instructional language affect learner outcomes, particularly for children with neurodivergent profiles such as ADHD or autism spectrum disorder (ASD). It is possible that such children, who often rely more heavily on predictability and routine, may experience unique cognitive trajectories depending on the linguistic structure of their educational environment. Moreover, the Canadian context presents a unique opportunity to explore these </w:t>
      </w:r>
      <w:r w:rsidRPr="00BE37A8">
        <w:rPr>
          <w:lang w:val="en-CA"/>
        </w:rPr>
        <w:lastRenderedPageBreak/>
        <w:t>questions, given its well-established immersion programs and growing emphasis on inclusive education.</w:t>
      </w:r>
    </w:p>
    <w:p w14:paraId="3CA48BC4" w14:textId="00615FD8" w:rsidR="004056F8" w:rsidRDefault="004056F8" w:rsidP="004056F8">
      <w:pPr>
        <w:rPr>
          <w:lang w:val="en-CA"/>
        </w:rPr>
      </w:pPr>
      <w:r w:rsidRPr="00BE37A8">
        <w:rPr>
          <w:lang w:val="en-CA"/>
        </w:rPr>
        <w:t>This study investigates the impact of consistent French language use in immersion classrooms on the development of executive functions and linguistic skills. We hypothesize that consistent French input will positively influence students’ working memory, attention control, and expressive vocabulary. Furthermore, we examine whether neurodivergent students (e.g., those with ADHD or mild autism spectrum disorder) experience differential effects depending on the language consistency in their instructional environment.</w:t>
      </w:r>
    </w:p>
    <w:p w14:paraId="0F92BC3E" w14:textId="77777777" w:rsidR="004056F8" w:rsidRPr="00BE37A8" w:rsidRDefault="004056F8" w:rsidP="004056F8">
      <w:pPr>
        <w:pStyle w:val="Titre1"/>
        <w:rPr>
          <w:lang w:val="en-CA"/>
        </w:rPr>
      </w:pPr>
      <w:r w:rsidRPr="00BE37A8">
        <w:rPr>
          <w:lang w:val="en-CA"/>
        </w:rPr>
        <w:t>Methods</w:t>
      </w:r>
    </w:p>
    <w:p w14:paraId="0B4C486E" w14:textId="77777777" w:rsidR="004056F8" w:rsidRPr="00BE37A8" w:rsidRDefault="004056F8" w:rsidP="004056F8">
      <w:pPr>
        <w:spacing w:after="160" w:line="278" w:lineRule="auto"/>
        <w:rPr>
          <w:b/>
          <w:bCs/>
          <w:lang w:val="en-CA"/>
        </w:rPr>
      </w:pPr>
      <w:r w:rsidRPr="00BE37A8">
        <w:rPr>
          <w:b/>
          <w:bCs/>
          <w:lang w:val="en-CA"/>
        </w:rPr>
        <w:t>Study Design</w:t>
      </w:r>
    </w:p>
    <w:p w14:paraId="73332D7D" w14:textId="737BF3DA" w:rsidR="003F3439" w:rsidRDefault="003F3439" w:rsidP="003F3439">
      <w:pPr>
        <w:spacing w:after="160" w:line="278" w:lineRule="auto"/>
        <w:rPr>
          <w:lang w:val="en-CA"/>
        </w:rPr>
      </w:pPr>
      <w:r w:rsidRPr="003F3439">
        <w:rPr>
          <w:lang w:val="en-CA"/>
        </w:rPr>
        <w:t>This study follows a convergent parallel mixed methods design (Creswell &amp; Plano Clark, 2018), integrating qualitative classroom observations with quantitative assessments conducted simultaneously. This design was chosen to capture the multifaceted nature of language instruction and its cognitive outcomes, providing a holistic view of the immersion classroom experience.</w:t>
      </w:r>
    </w:p>
    <w:p w14:paraId="50E483AD" w14:textId="77777777" w:rsidR="00095EF0" w:rsidRPr="00095EF0" w:rsidRDefault="00095EF0" w:rsidP="00095EF0">
      <w:pPr>
        <w:spacing w:after="160" w:line="278" w:lineRule="auto"/>
        <w:rPr>
          <w:lang w:val="en-CA"/>
        </w:rPr>
      </w:pPr>
      <w:r w:rsidRPr="00095EF0">
        <w:rPr>
          <w:lang w:val="en-CA"/>
        </w:rPr>
        <w:t>The research was conducted in five elementary French immersion schools in Winnipeg: École Rivière-Rouge, École J.B. Mitchell, École Riverview, École Tuxedo Park, and École Van Belleghem. These schools were selected to reflect a range of instructional practices and to ensure diversity in geographic and socio-economic contexts.</w:t>
      </w:r>
    </w:p>
    <w:p w14:paraId="0D6519A3" w14:textId="77777777" w:rsidR="003F3439" w:rsidRPr="003F3439" w:rsidRDefault="003F3439" w:rsidP="003F3439">
      <w:pPr>
        <w:spacing w:after="160" w:line="278" w:lineRule="auto"/>
        <w:rPr>
          <w:lang w:val="en-CA"/>
        </w:rPr>
      </w:pPr>
      <w:r w:rsidRPr="003F3439">
        <w:rPr>
          <w:lang w:val="en-CA"/>
        </w:rPr>
        <w:t>Participants were grouped based on observed French language input in the classroom, coded by structured observations and audio transcriptions. The classification into Group A (&gt;=90% French) and Group B (&lt;=50% French) was determined after data collection and without teacher awareness of the grouping to reduce bias.</w:t>
      </w:r>
    </w:p>
    <w:p w14:paraId="28928716" w14:textId="7546F967" w:rsidR="003F3439" w:rsidRPr="00BE37A8" w:rsidRDefault="003F3439" w:rsidP="004056F8">
      <w:pPr>
        <w:spacing w:after="160" w:line="278" w:lineRule="auto"/>
        <w:rPr>
          <w:lang w:val="en-CA"/>
        </w:rPr>
      </w:pPr>
      <w:r w:rsidRPr="003F3439">
        <w:rPr>
          <w:lang w:val="en-CA"/>
        </w:rPr>
        <w:t>Sampling Students were recruited consecutively from five immersion schools without intentional balancing. The near-equal distribution by gender and language input occurred naturally and is noted descriptively, not as a result of stratified sampling.</w:t>
      </w:r>
    </w:p>
    <w:p w14:paraId="61381957" w14:textId="77777777" w:rsidR="004056F8" w:rsidRPr="00BE37A8" w:rsidRDefault="004056F8" w:rsidP="004056F8">
      <w:pPr>
        <w:spacing w:after="160" w:line="278" w:lineRule="auto"/>
        <w:rPr>
          <w:b/>
          <w:bCs/>
          <w:lang w:val="en-CA"/>
        </w:rPr>
      </w:pPr>
      <w:r w:rsidRPr="00BE37A8">
        <w:rPr>
          <w:b/>
          <w:bCs/>
          <w:lang w:val="en-CA"/>
        </w:rPr>
        <w:t>Participants</w:t>
      </w:r>
    </w:p>
    <w:p w14:paraId="40310DF3" w14:textId="77777777" w:rsidR="004056F8" w:rsidRPr="00BE37A8" w:rsidRDefault="004056F8" w:rsidP="004056F8">
      <w:pPr>
        <w:spacing w:after="160" w:line="278" w:lineRule="auto"/>
        <w:rPr>
          <w:lang w:val="en-CA"/>
        </w:rPr>
      </w:pPr>
      <w:r w:rsidRPr="00BE37A8">
        <w:rPr>
          <w:lang w:val="en-CA"/>
        </w:rPr>
        <w:t>A total of 128 students aged 7 to 9 years (Grades 2 and 3) participated. Recruitment involved information sessions for families, consent letters distributed through schools, and meetings with teaching staff. Inclusion criteria required enrollment in a French immersion program for at least one academic year, fluency in English as a first or home language, and regular school attendance. Students with moderate to severe intellectual disabilities, uncorrected hearing loss, or recent neurological trauma were excluded. Neurodivergent students were included if their educational plans allowed for classroom participation without withdrawal services.</w:t>
      </w:r>
    </w:p>
    <w:p w14:paraId="34F0F9F8" w14:textId="77777777" w:rsidR="004056F8" w:rsidRPr="00BE37A8" w:rsidRDefault="004056F8" w:rsidP="004056F8">
      <w:pPr>
        <w:spacing w:after="160" w:line="278" w:lineRule="auto"/>
        <w:rPr>
          <w:lang w:val="en-CA"/>
        </w:rPr>
      </w:pPr>
      <w:r w:rsidRPr="00BE37A8">
        <w:rPr>
          <w:lang w:val="en-CA"/>
        </w:rPr>
        <w:t>The sample was stratified by language input consistency, as determined by preliminary teacher interviews and pilot observations:</w:t>
      </w:r>
    </w:p>
    <w:p w14:paraId="1BB27F01" w14:textId="77777777" w:rsidR="004056F8" w:rsidRPr="00BE37A8" w:rsidRDefault="004056F8" w:rsidP="004056F8">
      <w:pPr>
        <w:numPr>
          <w:ilvl w:val="0"/>
          <w:numId w:val="10"/>
        </w:numPr>
        <w:spacing w:after="160" w:line="278" w:lineRule="auto"/>
        <w:rPr>
          <w:lang w:val="en-CA"/>
        </w:rPr>
      </w:pPr>
      <w:r w:rsidRPr="00BE37A8">
        <w:rPr>
          <w:b/>
          <w:bCs/>
          <w:lang w:val="en-CA"/>
        </w:rPr>
        <w:lastRenderedPageBreak/>
        <w:t>Group A</w:t>
      </w:r>
      <w:r w:rsidRPr="00BE37A8">
        <w:rPr>
          <w:lang w:val="en-CA"/>
        </w:rPr>
        <w:t>: students taught in ≥90% French</w:t>
      </w:r>
    </w:p>
    <w:p w14:paraId="29BF1006" w14:textId="77777777" w:rsidR="004056F8" w:rsidRPr="00BE37A8" w:rsidRDefault="004056F8" w:rsidP="004056F8">
      <w:pPr>
        <w:numPr>
          <w:ilvl w:val="0"/>
          <w:numId w:val="10"/>
        </w:numPr>
        <w:spacing w:after="160" w:line="278" w:lineRule="auto"/>
        <w:rPr>
          <w:lang w:val="en-CA"/>
        </w:rPr>
      </w:pPr>
      <w:r w:rsidRPr="00BE37A8">
        <w:rPr>
          <w:b/>
          <w:bCs/>
          <w:lang w:val="en-CA"/>
        </w:rPr>
        <w:t>Group B</w:t>
      </w:r>
      <w:r w:rsidRPr="00BE37A8">
        <w:rPr>
          <w:lang w:val="en-CA"/>
        </w:rPr>
        <w:t>: students taught in ≤50% French</w:t>
      </w:r>
    </w:p>
    <w:p w14:paraId="21D674AC" w14:textId="77777777" w:rsidR="004056F8" w:rsidRPr="00BE37A8" w:rsidRDefault="004056F8" w:rsidP="004056F8">
      <w:pPr>
        <w:spacing w:after="160" w:line="278" w:lineRule="auto"/>
        <w:rPr>
          <w:lang w:val="en-CA"/>
        </w:rPr>
      </w:pPr>
      <w:r w:rsidRPr="00BE37A8">
        <w:rPr>
          <w:lang w:val="en-CA"/>
        </w:rPr>
        <w:t>Teachers were not informed of the specific group allocation of their students to reduce bias.</w:t>
      </w:r>
    </w:p>
    <w:p w14:paraId="3B46B0B1" w14:textId="77777777" w:rsidR="004056F8" w:rsidRPr="00BE37A8" w:rsidRDefault="004056F8" w:rsidP="004056F8">
      <w:pPr>
        <w:spacing w:after="160" w:line="278" w:lineRule="auto"/>
        <w:rPr>
          <w:b/>
          <w:bCs/>
          <w:lang w:val="en-CA"/>
        </w:rPr>
      </w:pPr>
      <w:r w:rsidRPr="00BE37A8">
        <w:rPr>
          <w:b/>
          <w:bCs/>
          <w:lang w:val="en-CA"/>
        </w:rPr>
        <w:t>Measures</w:t>
      </w:r>
    </w:p>
    <w:p w14:paraId="21F557B6" w14:textId="77777777" w:rsidR="004056F8" w:rsidRPr="00BE37A8" w:rsidRDefault="004056F8" w:rsidP="004056F8">
      <w:pPr>
        <w:spacing w:after="160" w:line="278" w:lineRule="auto"/>
        <w:rPr>
          <w:b/>
          <w:bCs/>
          <w:lang w:val="en-CA"/>
        </w:rPr>
      </w:pPr>
      <w:r w:rsidRPr="00BE37A8">
        <w:rPr>
          <w:b/>
          <w:bCs/>
          <w:lang w:val="en-CA"/>
        </w:rPr>
        <w:t>Classroom Language Input</w:t>
      </w:r>
    </w:p>
    <w:p w14:paraId="5C3299B0" w14:textId="77777777" w:rsidR="004056F8" w:rsidRPr="00BE37A8" w:rsidRDefault="004056F8" w:rsidP="004056F8">
      <w:pPr>
        <w:spacing w:after="160" w:line="278" w:lineRule="auto"/>
        <w:rPr>
          <w:lang w:val="en-CA"/>
        </w:rPr>
      </w:pPr>
      <w:r w:rsidRPr="00BE37A8">
        <w:rPr>
          <w:lang w:val="en-CA"/>
        </w:rPr>
        <w:t>To quantify teacher language use, we conducted three non-consecutive 30-minute classroom observations per class using a structured observation form. Language input was categorized as full French, full English, code-switching, or translation repetition. Audio recordings were transcribed and coded using MAXQDA software to ensure inter-rater reliability (</w:t>
      </w:r>
      <w:r w:rsidRPr="00BE37A8">
        <w:rPr>
          <w:lang w:val="fr-CA"/>
        </w:rPr>
        <w:t>κ</w:t>
      </w:r>
      <w:r w:rsidRPr="00BE37A8">
        <w:rPr>
          <w:lang w:val="en-CA"/>
        </w:rPr>
        <w:t xml:space="preserve"> = 0.84).</w:t>
      </w:r>
    </w:p>
    <w:p w14:paraId="7D919512" w14:textId="4EFF7BC0" w:rsidR="00942510" w:rsidRDefault="00942510" w:rsidP="00942510">
      <w:pPr>
        <w:pStyle w:val="Titre2"/>
      </w:pPr>
      <w:r>
        <w:t xml:space="preserve">Figure </w:t>
      </w:r>
      <w:r w:rsidR="00025094">
        <w:t>2</w:t>
      </w:r>
      <w:r>
        <w:t>. Percentage of French Used by Teachers</w:t>
      </w:r>
    </w:p>
    <w:p w14:paraId="5510D53D" w14:textId="77777777" w:rsidR="00942510" w:rsidRDefault="00942510" w:rsidP="00942510">
      <w:r>
        <w:rPr>
          <w:noProof/>
        </w:rPr>
        <w:drawing>
          <wp:inline distT="0" distB="0" distL="0" distR="0" wp14:anchorId="01D16F30" wp14:editId="14C0FBE6">
            <wp:extent cx="5029200" cy="2817495"/>
            <wp:effectExtent l="0" t="0" r="0" b="1905"/>
            <wp:docPr id="135216967" name="Picture 4"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e image contenant texte, capture d’écran, diagramme, ligne&#10;&#10;Le contenu généré par l’IA peut être incorrect."/>
                    <pic:cNvPicPr/>
                  </pic:nvPicPr>
                  <pic:blipFill rotWithShape="1">
                    <a:blip r:embed="rId9"/>
                    <a:srcRect t="6629"/>
                    <a:stretch/>
                  </pic:blipFill>
                  <pic:spPr bwMode="auto">
                    <a:xfrm>
                      <a:off x="0" y="0"/>
                      <a:ext cx="5029200" cy="2817495"/>
                    </a:xfrm>
                    <a:prstGeom prst="rect">
                      <a:avLst/>
                    </a:prstGeom>
                    <a:ln>
                      <a:noFill/>
                    </a:ln>
                    <a:extLst>
                      <a:ext uri="{53640926-AAD7-44D8-BBD7-CCE9431645EC}">
                        <a14:shadowObscured xmlns:a14="http://schemas.microsoft.com/office/drawing/2010/main"/>
                      </a:ext>
                    </a:extLst>
                  </pic:spPr>
                </pic:pic>
              </a:graphicData>
            </a:graphic>
          </wp:inline>
        </w:drawing>
      </w:r>
    </w:p>
    <w:p w14:paraId="1C3ED419" w14:textId="77777777" w:rsidR="004056F8" w:rsidRPr="00BE37A8" w:rsidRDefault="004056F8" w:rsidP="004056F8">
      <w:pPr>
        <w:spacing w:after="160" w:line="278" w:lineRule="auto"/>
        <w:rPr>
          <w:b/>
          <w:bCs/>
          <w:lang w:val="en-CA"/>
        </w:rPr>
      </w:pPr>
      <w:r w:rsidRPr="00BE37A8">
        <w:rPr>
          <w:b/>
          <w:bCs/>
          <w:lang w:val="en-CA"/>
        </w:rPr>
        <w:t>Student Assessments</w:t>
      </w:r>
    </w:p>
    <w:p w14:paraId="315B90C9" w14:textId="77777777" w:rsidR="004056F8" w:rsidRPr="00BE37A8" w:rsidRDefault="004056F8" w:rsidP="004056F8">
      <w:pPr>
        <w:spacing w:after="160" w:line="278" w:lineRule="auto"/>
        <w:rPr>
          <w:lang w:val="en-CA"/>
        </w:rPr>
      </w:pPr>
      <w:r w:rsidRPr="00BE37A8">
        <w:rPr>
          <w:lang w:val="en-CA"/>
        </w:rPr>
        <w:t>Cognitive and linguistic outcomes were assessed using:</w:t>
      </w:r>
    </w:p>
    <w:p w14:paraId="20CE305C" w14:textId="77777777" w:rsidR="004056F8" w:rsidRPr="00BE37A8" w:rsidRDefault="004056F8" w:rsidP="004056F8">
      <w:pPr>
        <w:numPr>
          <w:ilvl w:val="0"/>
          <w:numId w:val="11"/>
        </w:numPr>
        <w:spacing w:after="160" w:line="278" w:lineRule="auto"/>
        <w:rPr>
          <w:lang w:val="en-CA"/>
        </w:rPr>
      </w:pPr>
      <w:r w:rsidRPr="00BE37A8">
        <w:rPr>
          <w:b/>
          <w:bCs/>
          <w:lang w:val="en-CA"/>
        </w:rPr>
        <w:t>NEPSY-II</w:t>
      </w:r>
      <w:r w:rsidRPr="00BE37A8">
        <w:rPr>
          <w:lang w:val="en-CA"/>
        </w:rPr>
        <w:t xml:space="preserve"> subtests for inhibition and cognitive flexibility</w:t>
      </w:r>
    </w:p>
    <w:p w14:paraId="2121FBE3" w14:textId="77777777" w:rsidR="004056F8" w:rsidRPr="00BE37A8" w:rsidRDefault="004056F8" w:rsidP="004056F8">
      <w:pPr>
        <w:numPr>
          <w:ilvl w:val="0"/>
          <w:numId w:val="11"/>
        </w:numPr>
        <w:spacing w:after="160" w:line="278" w:lineRule="auto"/>
        <w:rPr>
          <w:lang w:val="en-CA"/>
        </w:rPr>
      </w:pPr>
      <w:r w:rsidRPr="00BE37A8">
        <w:rPr>
          <w:b/>
          <w:bCs/>
          <w:lang w:val="en-CA"/>
        </w:rPr>
        <w:t>WISC-V</w:t>
      </w:r>
      <w:r w:rsidRPr="00BE37A8">
        <w:rPr>
          <w:lang w:val="en-CA"/>
        </w:rPr>
        <w:t xml:space="preserve"> Digit Span subtest for working memory</w:t>
      </w:r>
    </w:p>
    <w:p w14:paraId="2FC8EB5D" w14:textId="77777777" w:rsidR="004056F8" w:rsidRPr="00BE37A8" w:rsidRDefault="004056F8" w:rsidP="004056F8">
      <w:pPr>
        <w:numPr>
          <w:ilvl w:val="0"/>
          <w:numId w:val="11"/>
        </w:numPr>
        <w:spacing w:after="160" w:line="278" w:lineRule="auto"/>
        <w:rPr>
          <w:lang w:val="fr-CA"/>
        </w:rPr>
      </w:pPr>
      <w:r w:rsidRPr="00BE37A8">
        <w:rPr>
          <w:b/>
          <w:bCs/>
          <w:lang w:val="fr-CA"/>
        </w:rPr>
        <w:t>Échelle de vocabulaire en images Peabody (EVIP)</w:t>
      </w:r>
      <w:r w:rsidRPr="00BE37A8">
        <w:rPr>
          <w:lang w:val="fr-CA"/>
        </w:rPr>
        <w:t xml:space="preserve"> for receptive vocabulary</w:t>
      </w:r>
    </w:p>
    <w:p w14:paraId="49FA1598" w14:textId="77777777" w:rsidR="004056F8" w:rsidRPr="00BE37A8" w:rsidRDefault="004056F8" w:rsidP="004056F8">
      <w:pPr>
        <w:numPr>
          <w:ilvl w:val="0"/>
          <w:numId w:val="11"/>
        </w:numPr>
        <w:spacing w:after="160" w:line="278" w:lineRule="auto"/>
        <w:rPr>
          <w:lang w:val="en-CA"/>
        </w:rPr>
      </w:pPr>
      <w:r w:rsidRPr="00BE37A8">
        <w:rPr>
          <w:b/>
          <w:bCs/>
          <w:lang w:val="en-CA"/>
        </w:rPr>
        <w:t>Verbal fluency tasks</w:t>
      </w:r>
      <w:r w:rsidRPr="00BE37A8">
        <w:rPr>
          <w:lang w:val="en-CA"/>
        </w:rPr>
        <w:t xml:space="preserve"> (categories and letters)</w:t>
      </w:r>
    </w:p>
    <w:p w14:paraId="1A1B34A6" w14:textId="77777777" w:rsidR="004056F8" w:rsidRPr="00BE37A8" w:rsidRDefault="004056F8" w:rsidP="004056F8">
      <w:pPr>
        <w:spacing w:after="160" w:line="278" w:lineRule="auto"/>
        <w:rPr>
          <w:b/>
          <w:bCs/>
          <w:lang w:val="fr-CA"/>
        </w:rPr>
      </w:pPr>
      <w:r w:rsidRPr="00BE37A8">
        <w:rPr>
          <w:b/>
          <w:bCs/>
          <w:lang w:val="fr-CA"/>
        </w:rPr>
        <w:t>Questionnaires</w:t>
      </w:r>
    </w:p>
    <w:p w14:paraId="20BF8246" w14:textId="77777777" w:rsidR="004056F8" w:rsidRPr="00BE37A8" w:rsidRDefault="004056F8" w:rsidP="004056F8">
      <w:pPr>
        <w:numPr>
          <w:ilvl w:val="0"/>
          <w:numId w:val="12"/>
        </w:numPr>
        <w:spacing w:after="160" w:line="278" w:lineRule="auto"/>
        <w:rPr>
          <w:lang w:val="en-CA"/>
        </w:rPr>
      </w:pPr>
      <w:r w:rsidRPr="00BE37A8">
        <w:rPr>
          <w:b/>
          <w:bCs/>
          <w:lang w:val="en-CA"/>
        </w:rPr>
        <w:t>BRIEF-2</w:t>
      </w:r>
      <w:r w:rsidRPr="00BE37A8">
        <w:rPr>
          <w:lang w:val="en-CA"/>
        </w:rPr>
        <w:t xml:space="preserve"> (Behavior Rating Inventory of Executive Function, teacher version)</w:t>
      </w:r>
    </w:p>
    <w:p w14:paraId="6DF57338" w14:textId="77777777" w:rsidR="004056F8" w:rsidRPr="00BE37A8" w:rsidRDefault="004056F8" w:rsidP="004056F8">
      <w:pPr>
        <w:numPr>
          <w:ilvl w:val="0"/>
          <w:numId w:val="12"/>
        </w:numPr>
        <w:spacing w:after="160" w:line="278" w:lineRule="auto"/>
        <w:rPr>
          <w:lang w:val="en-CA"/>
        </w:rPr>
      </w:pPr>
      <w:r w:rsidRPr="00BE37A8">
        <w:rPr>
          <w:b/>
          <w:bCs/>
          <w:lang w:val="en-CA"/>
        </w:rPr>
        <w:t>Parent background survey</w:t>
      </w:r>
      <w:r w:rsidRPr="00BE37A8">
        <w:rPr>
          <w:lang w:val="en-CA"/>
        </w:rPr>
        <w:t xml:space="preserve"> including socio-economic status, home language use, early developmental milestones, and diagnosed conditions</w:t>
      </w:r>
    </w:p>
    <w:p w14:paraId="7C522998" w14:textId="77777777" w:rsidR="004056F8" w:rsidRPr="00BE37A8" w:rsidRDefault="004056F8" w:rsidP="004056F8">
      <w:pPr>
        <w:spacing w:after="160" w:line="278" w:lineRule="auto"/>
        <w:rPr>
          <w:lang w:val="en-CA"/>
        </w:rPr>
      </w:pPr>
      <w:r w:rsidRPr="00BE37A8">
        <w:rPr>
          <w:lang w:val="en-CA"/>
        </w:rPr>
        <w:lastRenderedPageBreak/>
        <w:t>All assessments were administered in the school setting by trained bilingual research assistants.</w:t>
      </w:r>
    </w:p>
    <w:p w14:paraId="7712AEF7" w14:textId="77777777" w:rsidR="004056F8" w:rsidRPr="00BE37A8" w:rsidRDefault="004056F8" w:rsidP="004056F8">
      <w:pPr>
        <w:spacing w:after="160" w:line="278" w:lineRule="auto"/>
        <w:rPr>
          <w:b/>
          <w:bCs/>
          <w:lang w:val="en-CA"/>
        </w:rPr>
      </w:pPr>
      <w:r w:rsidRPr="00BE37A8">
        <w:rPr>
          <w:b/>
          <w:bCs/>
          <w:lang w:val="en-CA"/>
        </w:rPr>
        <w:t>Data Analysis</w:t>
      </w:r>
    </w:p>
    <w:p w14:paraId="22CF3896" w14:textId="77777777" w:rsidR="004056F8" w:rsidRPr="00BE37A8" w:rsidRDefault="004056F8" w:rsidP="004056F8">
      <w:pPr>
        <w:spacing w:after="160" w:line="278" w:lineRule="auto"/>
        <w:rPr>
          <w:lang w:val="en-CA"/>
        </w:rPr>
      </w:pPr>
      <w:r w:rsidRPr="00BE37A8">
        <w:rPr>
          <w:lang w:val="en-CA"/>
        </w:rPr>
        <w:t>Descriptive statistics summarized demographic and baseline data. Group comparisons were performed using independent-sample t-tests. Linear regression models controlled for confounding variables such as gender, SES, and home language exposure. Secondary analyses examined differential effects for neurodivergent students.</w:t>
      </w:r>
    </w:p>
    <w:p w14:paraId="02BA99E7" w14:textId="77777777" w:rsidR="004056F8" w:rsidRDefault="004056F8" w:rsidP="004056F8">
      <w:pPr>
        <w:spacing w:after="160" w:line="278" w:lineRule="auto"/>
        <w:rPr>
          <w:lang w:val="en-CA"/>
        </w:rPr>
      </w:pPr>
      <w:r w:rsidRPr="00BE37A8">
        <w:rPr>
          <w:lang w:val="en-CA"/>
        </w:rPr>
        <w:t xml:space="preserve">Data were analyzed using R (version 4.3.1), and statistical significance was set at </w:t>
      </w:r>
      <w:r w:rsidRPr="00BE37A8">
        <w:rPr>
          <w:lang w:val="fr-CA"/>
        </w:rPr>
        <w:t>α</w:t>
      </w:r>
      <w:r w:rsidRPr="00BE37A8">
        <w:rPr>
          <w:lang w:val="en-CA"/>
        </w:rPr>
        <w:t xml:space="preserve"> = 0.05 for pre-specified outcomes only. Effect sizes (Cohen’s d) and 95% confidence intervals were reported.</w:t>
      </w:r>
    </w:p>
    <w:p w14:paraId="56F6C4F3" w14:textId="10D28210" w:rsidR="00942510" w:rsidRDefault="00942510" w:rsidP="00942510">
      <w:pPr>
        <w:pStyle w:val="Titre2"/>
      </w:pPr>
      <w:r>
        <w:t xml:space="preserve">Figure </w:t>
      </w:r>
      <w:r w:rsidR="00025094">
        <w:t>3</w:t>
      </w:r>
      <w:r>
        <w:t>. Teacher Language Switching Frequency</w:t>
      </w:r>
    </w:p>
    <w:p w14:paraId="53EE8C7F" w14:textId="77777777" w:rsidR="00942510" w:rsidRDefault="00942510" w:rsidP="00942510">
      <w:r>
        <w:rPr>
          <w:noProof/>
        </w:rPr>
        <w:drawing>
          <wp:inline distT="0" distB="0" distL="0" distR="0" wp14:anchorId="0190C566" wp14:editId="33C0742F">
            <wp:extent cx="5029200" cy="2827020"/>
            <wp:effectExtent l="0" t="0" r="0" b="0"/>
            <wp:docPr id="12" name="Picture 12" descr="Une image contenant texte, diagramme, capture d’écran,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Une image contenant texte, diagramme, capture d’écran, ligne&#10;&#10;Le contenu généré par l’IA peut être incorrect."/>
                    <pic:cNvPicPr/>
                  </pic:nvPicPr>
                  <pic:blipFill rotWithShape="1">
                    <a:blip r:embed="rId10"/>
                    <a:srcRect t="6313"/>
                    <a:stretch/>
                  </pic:blipFill>
                  <pic:spPr bwMode="auto">
                    <a:xfrm>
                      <a:off x="0" y="0"/>
                      <a:ext cx="5029200" cy="2827020"/>
                    </a:xfrm>
                    <a:prstGeom prst="rect">
                      <a:avLst/>
                    </a:prstGeom>
                    <a:ln>
                      <a:noFill/>
                    </a:ln>
                    <a:extLst>
                      <a:ext uri="{53640926-AAD7-44D8-BBD7-CCE9431645EC}">
                        <a14:shadowObscured xmlns:a14="http://schemas.microsoft.com/office/drawing/2010/main"/>
                      </a:ext>
                    </a:extLst>
                  </pic:spPr>
                </pic:pic>
              </a:graphicData>
            </a:graphic>
          </wp:inline>
        </w:drawing>
      </w:r>
    </w:p>
    <w:p w14:paraId="53DCC177" w14:textId="77777777" w:rsidR="00942510" w:rsidRPr="00BE37A8" w:rsidRDefault="00942510" w:rsidP="004056F8">
      <w:pPr>
        <w:spacing w:after="160" w:line="278" w:lineRule="auto"/>
        <w:rPr>
          <w:lang w:val="en-CA"/>
        </w:rPr>
      </w:pPr>
    </w:p>
    <w:p w14:paraId="4BAEEA5D" w14:textId="77777777" w:rsidR="004056F8" w:rsidRPr="00BE37A8" w:rsidRDefault="004056F8" w:rsidP="004056F8">
      <w:pPr>
        <w:spacing w:after="160" w:line="278" w:lineRule="auto"/>
        <w:rPr>
          <w:b/>
          <w:bCs/>
          <w:lang w:val="en-CA"/>
        </w:rPr>
      </w:pPr>
      <w:r w:rsidRPr="00BE37A8">
        <w:rPr>
          <w:b/>
          <w:bCs/>
          <w:lang w:val="en-CA"/>
        </w:rPr>
        <w:t>Standard Protocol Approvals, Registrations, and Patient Consents</w:t>
      </w:r>
    </w:p>
    <w:p w14:paraId="1061DB84" w14:textId="77777777" w:rsidR="004056F8" w:rsidRPr="00BE37A8" w:rsidRDefault="004056F8" w:rsidP="004056F8">
      <w:pPr>
        <w:spacing w:after="160" w:line="278" w:lineRule="auto"/>
        <w:rPr>
          <w:lang w:val="en-CA"/>
        </w:rPr>
      </w:pPr>
      <w:r w:rsidRPr="00BE37A8">
        <w:rPr>
          <w:lang w:val="en-CA"/>
        </w:rPr>
        <w:t>This study received ethical approval from the University of Manitoba Research Ethics Board (Protocol ID #2025-042F). Written informed consent was obtained from parents or guardians, and verbal assent was collected from all participating children. Teachers gave written consent for classroom observation and audio recording.</w:t>
      </w:r>
    </w:p>
    <w:p w14:paraId="3D4AC6F7" w14:textId="77777777" w:rsidR="00C46A01" w:rsidRDefault="00C46A01" w:rsidP="004056F8">
      <w:pPr>
        <w:spacing w:after="160" w:line="278" w:lineRule="auto"/>
        <w:rPr>
          <w:b/>
          <w:bCs/>
          <w:lang w:val="en-CA"/>
        </w:rPr>
      </w:pPr>
    </w:p>
    <w:p w14:paraId="152F0663" w14:textId="32A69FBC" w:rsidR="004056F8" w:rsidRPr="00BE37A8" w:rsidRDefault="004056F8" w:rsidP="004056F8">
      <w:pPr>
        <w:spacing w:after="160" w:line="278" w:lineRule="auto"/>
        <w:rPr>
          <w:b/>
          <w:bCs/>
          <w:lang w:val="en-CA"/>
        </w:rPr>
      </w:pPr>
      <w:r w:rsidRPr="00BE37A8">
        <w:rPr>
          <w:b/>
          <w:bCs/>
          <w:lang w:val="en-CA"/>
        </w:rPr>
        <w:t>Data Availability</w:t>
      </w:r>
    </w:p>
    <w:p w14:paraId="4814B69E" w14:textId="77777777" w:rsidR="004056F8" w:rsidRPr="00BE37A8" w:rsidRDefault="004056F8" w:rsidP="004056F8">
      <w:pPr>
        <w:spacing w:after="160" w:line="278" w:lineRule="auto"/>
        <w:rPr>
          <w:lang w:val="en-CA"/>
        </w:rPr>
      </w:pPr>
      <w:r w:rsidRPr="00BE37A8">
        <w:rPr>
          <w:lang w:val="en-CA"/>
        </w:rPr>
        <w:t>Anonymized datasets generated during and/or analyzed during the current study are available from the corresponding author on reasonable request. Data will be made accessible to qualified researchers upon ethical approval, in accordance with institutional policy.</w:t>
      </w:r>
    </w:p>
    <w:p w14:paraId="5DAE9D25" w14:textId="77777777" w:rsidR="004056F8" w:rsidRPr="00BE37A8" w:rsidRDefault="004056F8" w:rsidP="004056F8">
      <w:pPr>
        <w:spacing w:after="160" w:line="278" w:lineRule="auto"/>
        <w:rPr>
          <w:b/>
          <w:bCs/>
          <w:lang w:val="en-CA"/>
        </w:rPr>
      </w:pPr>
      <w:r w:rsidRPr="00BE37A8">
        <w:rPr>
          <w:b/>
          <w:bCs/>
          <w:lang w:val="en-CA"/>
        </w:rPr>
        <w:lastRenderedPageBreak/>
        <w:t>Results</w:t>
      </w:r>
    </w:p>
    <w:p w14:paraId="0ECF74CD" w14:textId="77777777" w:rsidR="004056F8" w:rsidRDefault="004056F8" w:rsidP="004056F8">
      <w:pPr>
        <w:spacing w:after="160" w:line="278" w:lineRule="auto"/>
        <w:rPr>
          <w:lang w:val="en-CA"/>
        </w:rPr>
      </w:pPr>
      <w:r w:rsidRPr="00BE37A8">
        <w:rPr>
          <w:lang w:val="en-CA"/>
        </w:rPr>
        <w:t>Out of the 128 participating students, 64 were assigned to Group A (≥90% French input) and 64 to Group B (≤50% French input). Demographic characteristics were balanced between groups in terms of age (mean = 8.2 years, SD = 0.6), gender (50% female), and socio-economic status based on postal code median income data. Approximately 18% of the total sample were identified as neurodivergent (n = 23), including children with ADHD (n = 14), autism spectrum disorder (n = 6), and developmental coordination disorder (n = 3).</w:t>
      </w:r>
    </w:p>
    <w:p w14:paraId="285D4BDA" w14:textId="4E1866B0" w:rsidR="00942510" w:rsidRDefault="00942510" w:rsidP="00942510">
      <w:pPr>
        <w:pStyle w:val="Titre2"/>
      </w:pPr>
      <w:r>
        <w:t xml:space="preserve">Figure </w:t>
      </w:r>
      <w:r w:rsidR="00025094">
        <w:t>4</w:t>
      </w:r>
      <w:r>
        <w:t>. EVIP Scores by Language Input Group</w:t>
      </w:r>
    </w:p>
    <w:p w14:paraId="01CF122B" w14:textId="78BFC785" w:rsidR="00D02346" w:rsidRPr="00C46A01" w:rsidRDefault="00942510" w:rsidP="00C46A01">
      <w:r>
        <w:rPr>
          <w:noProof/>
        </w:rPr>
        <w:drawing>
          <wp:inline distT="0" distB="0" distL="0" distR="0" wp14:anchorId="400340D3" wp14:editId="5F1F65BB">
            <wp:extent cx="4483100" cy="2518410"/>
            <wp:effectExtent l="0" t="0" r="0" b="0"/>
            <wp:docPr id="1" name="Picture 1" descr="Une image contenant texte, capture d’écran, jaun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texte, capture d’écran, jaune, Rectangle&#10;&#10;Le contenu généré par l’IA peut être incorrect."/>
                    <pic:cNvPicPr/>
                  </pic:nvPicPr>
                  <pic:blipFill rotWithShape="1">
                    <a:blip r:embed="rId11"/>
                    <a:srcRect t="6374"/>
                    <a:stretch/>
                  </pic:blipFill>
                  <pic:spPr bwMode="auto">
                    <a:xfrm>
                      <a:off x="0" y="0"/>
                      <a:ext cx="4483100" cy="2518410"/>
                    </a:xfrm>
                    <a:prstGeom prst="rect">
                      <a:avLst/>
                    </a:prstGeom>
                    <a:ln>
                      <a:noFill/>
                    </a:ln>
                    <a:extLst>
                      <a:ext uri="{53640926-AAD7-44D8-BBD7-CCE9431645EC}">
                        <a14:shadowObscured xmlns:a14="http://schemas.microsoft.com/office/drawing/2010/main"/>
                      </a:ext>
                    </a:extLst>
                  </pic:spPr>
                </pic:pic>
              </a:graphicData>
            </a:graphic>
          </wp:inline>
        </w:drawing>
      </w:r>
    </w:p>
    <w:p w14:paraId="242F33AF" w14:textId="77777777" w:rsidR="00942510" w:rsidRPr="00617328" w:rsidRDefault="00942510" w:rsidP="00942510">
      <w:pPr>
        <w:rPr>
          <w:rFonts w:asciiTheme="majorHAnsi" w:hAnsiTheme="majorHAnsi" w:cstheme="majorHAnsi"/>
          <w:b/>
          <w:bCs/>
          <w:sz w:val="20"/>
          <w:szCs w:val="20"/>
          <w:lang w:val="en-CA"/>
        </w:rPr>
      </w:pPr>
      <w:r w:rsidRPr="00617328">
        <w:rPr>
          <w:rFonts w:asciiTheme="majorHAnsi" w:hAnsiTheme="majorHAnsi" w:cstheme="majorHAnsi"/>
          <w:b/>
          <w:bCs/>
          <w:sz w:val="20"/>
          <w:szCs w:val="20"/>
          <w:lang w:val="en-CA"/>
        </w:rPr>
        <w:t>Table 1. Student Characteristics and Test Scores by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3"/>
        <w:gridCol w:w="1973"/>
        <w:gridCol w:w="1964"/>
        <w:gridCol w:w="1453"/>
        <w:gridCol w:w="946"/>
      </w:tblGrid>
      <w:tr w:rsidR="00942510" w:rsidRPr="00617328" w14:paraId="22D2A1D0" w14:textId="77777777" w:rsidTr="00341B53">
        <w:trPr>
          <w:tblCellSpacing w:w="15" w:type="dxa"/>
        </w:trPr>
        <w:tc>
          <w:tcPr>
            <w:tcW w:w="0" w:type="auto"/>
            <w:vAlign w:val="center"/>
            <w:hideMark/>
          </w:tcPr>
          <w:p w14:paraId="41DE8775" w14:textId="77777777" w:rsidR="00942510" w:rsidRPr="00617328" w:rsidRDefault="00942510" w:rsidP="00341B53">
            <w:pPr>
              <w:rPr>
                <w:rFonts w:asciiTheme="majorHAnsi" w:hAnsiTheme="majorHAnsi" w:cstheme="majorHAnsi"/>
                <w:b/>
                <w:bCs/>
                <w:sz w:val="20"/>
                <w:szCs w:val="20"/>
                <w:lang w:val="fr-CA"/>
              </w:rPr>
            </w:pPr>
            <w:r w:rsidRPr="00617328">
              <w:rPr>
                <w:rFonts w:asciiTheme="majorHAnsi" w:hAnsiTheme="majorHAnsi" w:cstheme="majorHAnsi"/>
                <w:b/>
                <w:bCs/>
                <w:sz w:val="20"/>
                <w:szCs w:val="20"/>
                <w:lang w:val="fr-CA"/>
              </w:rPr>
              <w:t>Measure</w:t>
            </w:r>
          </w:p>
        </w:tc>
        <w:tc>
          <w:tcPr>
            <w:tcW w:w="0" w:type="auto"/>
            <w:vAlign w:val="center"/>
            <w:hideMark/>
          </w:tcPr>
          <w:p w14:paraId="10FF66E7" w14:textId="77777777" w:rsidR="00942510" w:rsidRPr="00617328" w:rsidRDefault="00942510" w:rsidP="00341B53">
            <w:pPr>
              <w:rPr>
                <w:rFonts w:asciiTheme="majorHAnsi" w:hAnsiTheme="majorHAnsi" w:cstheme="majorHAnsi"/>
                <w:b/>
                <w:bCs/>
                <w:sz w:val="20"/>
                <w:szCs w:val="20"/>
                <w:lang w:val="fr-CA"/>
              </w:rPr>
            </w:pPr>
            <w:r w:rsidRPr="00617328">
              <w:rPr>
                <w:rFonts w:asciiTheme="majorHAnsi" w:hAnsiTheme="majorHAnsi" w:cstheme="majorHAnsi"/>
                <w:b/>
                <w:bCs/>
                <w:sz w:val="20"/>
                <w:szCs w:val="20"/>
                <w:lang w:val="fr-CA"/>
              </w:rPr>
              <w:t>Group A (≥90% French)</w:t>
            </w:r>
          </w:p>
        </w:tc>
        <w:tc>
          <w:tcPr>
            <w:tcW w:w="0" w:type="auto"/>
            <w:vAlign w:val="center"/>
            <w:hideMark/>
          </w:tcPr>
          <w:p w14:paraId="311B65C4" w14:textId="77777777" w:rsidR="00942510" w:rsidRPr="00617328" w:rsidRDefault="00942510" w:rsidP="00341B53">
            <w:pPr>
              <w:rPr>
                <w:rFonts w:asciiTheme="majorHAnsi" w:hAnsiTheme="majorHAnsi" w:cstheme="majorHAnsi"/>
                <w:b/>
                <w:bCs/>
                <w:sz w:val="20"/>
                <w:szCs w:val="20"/>
                <w:lang w:val="fr-CA"/>
              </w:rPr>
            </w:pPr>
            <w:r w:rsidRPr="00617328">
              <w:rPr>
                <w:rFonts w:asciiTheme="majorHAnsi" w:hAnsiTheme="majorHAnsi" w:cstheme="majorHAnsi"/>
                <w:b/>
                <w:bCs/>
                <w:sz w:val="20"/>
                <w:szCs w:val="20"/>
                <w:lang w:val="fr-CA"/>
              </w:rPr>
              <w:t>Group B (≤50% French)</w:t>
            </w:r>
          </w:p>
        </w:tc>
        <w:tc>
          <w:tcPr>
            <w:tcW w:w="0" w:type="auto"/>
            <w:vAlign w:val="center"/>
            <w:hideMark/>
          </w:tcPr>
          <w:p w14:paraId="031BCC60" w14:textId="77777777" w:rsidR="00942510" w:rsidRPr="00617328" w:rsidRDefault="00942510" w:rsidP="00341B53">
            <w:pPr>
              <w:rPr>
                <w:rFonts w:asciiTheme="majorHAnsi" w:hAnsiTheme="majorHAnsi" w:cstheme="majorHAnsi"/>
                <w:b/>
                <w:bCs/>
                <w:sz w:val="20"/>
                <w:szCs w:val="20"/>
                <w:lang w:val="fr-CA"/>
              </w:rPr>
            </w:pPr>
            <w:r w:rsidRPr="00617328">
              <w:rPr>
                <w:rFonts w:asciiTheme="majorHAnsi" w:hAnsiTheme="majorHAnsi" w:cstheme="majorHAnsi"/>
                <w:b/>
                <w:bCs/>
                <w:sz w:val="20"/>
                <w:szCs w:val="20"/>
                <w:lang w:val="fr-CA"/>
              </w:rPr>
              <w:t>Mean Difference</w:t>
            </w:r>
          </w:p>
        </w:tc>
        <w:tc>
          <w:tcPr>
            <w:tcW w:w="0" w:type="auto"/>
            <w:vAlign w:val="center"/>
            <w:hideMark/>
          </w:tcPr>
          <w:p w14:paraId="5C7C2CE1" w14:textId="77777777" w:rsidR="00942510" w:rsidRPr="00617328" w:rsidRDefault="00942510" w:rsidP="00341B53">
            <w:pPr>
              <w:rPr>
                <w:rFonts w:asciiTheme="majorHAnsi" w:hAnsiTheme="majorHAnsi" w:cstheme="majorHAnsi"/>
                <w:b/>
                <w:bCs/>
                <w:sz w:val="20"/>
                <w:szCs w:val="20"/>
                <w:lang w:val="fr-CA"/>
              </w:rPr>
            </w:pPr>
            <w:r w:rsidRPr="00617328">
              <w:rPr>
                <w:rFonts w:asciiTheme="majorHAnsi" w:hAnsiTheme="majorHAnsi" w:cstheme="majorHAnsi"/>
                <w:b/>
                <w:bCs/>
                <w:sz w:val="20"/>
                <w:szCs w:val="20"/>
                <w:lang w:val="fr-CA"/>
              </w:rPr>
              <w:t>95% CI</w:t>
            </w:r>
          </w:p>
        </w:tc>
      </w:tr>
      <w:tr w:rsidR="00942510" w:rsidRPr="00617328" w14:paraId="341A6B92" w14:textId="77777777" w:rsidTr="00341B53">
        <w:trPr>
          <w:tblCellSpacing w:w="15" w:type="dxa"/>
        </w:trPr>
        <w:tc>
          <w:tcPr>
            <w:tcW w:w="0" w:type="auto"/>
            <w:vAlign w:val="center"/>
            <w:hideMark/>
          </w:tcPr>
          <w:p w14:paraId="05966C87"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N (students)</w:t>
            </w:r>
          </w:p>
        </w:tc>
        <w:tc>
          <w:tcPr>
            <w:tcW w:w="0" w:type="auto"/>
            <w:vAlign w:val="center"/>
            <w:hideMark/>
          </w:tcPr>
          <w:p w14:paraId="76CE20DA"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64</w:t>
            </w:r>
          </w:p>
        </w:tc>
        <w:tc>
          <w:tcPr>
            <w:tcW w:w="0" w:type="auto"/>
            <w:vAlign w:val="center"/>
            <w:hideMark/>
          </w:tcPr>
          <w:p w14:paraId="5CCF32A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64</w:t>
            </w:r>
          </w:p>
        </w:tc>
        <w:tc>
          <w:tcPr>
            <w:tcW w:w="0" w:type="auto"/>
            <w:vAlign w:val="center"/>
            <w:hideMark/>
          </w:tcPr>
          <w:p w14:paraId="13D7C47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w:t>
            </w:r>
          </w:p>
        </w:tc>
        <w:tc>
          <w:tcPr>
            <w:tcW w:w="0" w:type="auto"/>
            <w:vAlign w:val="center"/>
            <w:hideMark/>
          </w:tcPr>
          <w:p w14:paraId="57996DE9"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w:t>
            </w:r>
          </w:p>
        </w:tc>
      </w:tr>
      <w:tr w:rsidR="00942510" w:rsidRPr="00617328" w14:paraId="76505698" w14:textId="77777777" w:rsidTr="00341B53">
        <w:trPr>
          <w:tblCellSpacing w:w="15" w:type="dxa"/>
        </w:trPr>
        <w:tc>
          <w:tcPr>
            <w:tcW w:w="0" w:type="auto"/>
            <w:vAlign w:val="center"/>
            <w:hideMark/>
          </w:tcPr>
          <w:p w14:paraId="749D9767"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Age (years)</w:t>
            </w:r>
          </w:p>
        </w:tc>
        <w:tc>
          <w:tcPr>
            <w:tcW w:w="0" w:type="auto"/>
            <w:vAlign w:val="center"/>
            <w:hideMark/>
          </w:tcPr>
          <w:p w14:paraId="5CC642A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8.2 (0.6)</w:t>
            </w:r>
          </w:p>
        </w:tc>
        <w:tc>
          <w:tcPr>
            <w:tcW w:w="0" w:type="auto"/>
            <w:vAlign w:val="center"/>
            <w:hideMark/>
          </w:tcPr>
          <w:p w14:paraId="3CF8D53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8.1 (0.5)</w:t>
            </w:r>
          </w:p>
        </w:tc>
        <w:tc>
          <w:tcPr>
            <w:tcW w:w="0" w:type="auto"/>
            <w:vAlign w:val="center"/>
            <w:hideMark/>
          </w:tcPr>
          <w:p w14:paraId="31188E2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0.1</w:t>
            </w:r>
          </w:p>
        </w:tc>
        <w:tc>
          <w:tcPr>
            <w:tcW w:w="0" w:type="auto"/>
            <w:vAlign w:val="center"/>
            <w:hideMark/>
          </w:tcPr>
          <w:p w14:paraId="16131D1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–0.1 to 0.3</w:t>
            </w:r>
          </w:p>
        </w:tc>
      </w:tr>
      <w:tr w:rsidR="00942510" w:rsidRPr="00617328" w14:paraId="47DF98C1" w14:textId="77777777" w:rsidTr="00341B53">
        <w:trPr>
          <w:tblCellSpacing w:w="15" w:type="dxa"/>
        </w:trPr>
        <w:tc>
          <w:tcPr>
            <w:tcW w:w="0" w:type="auto"/>
            <w:vAlign w:val="center"/>
            <w:hideMark/>
          </w:tcPr>
          <w:p w14:paraId="0316F17F"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EVIP score</w:t>
            </w:r>
          </w:p>
        </w:tc>
        <w:tc>
          <w:tcPr>
            <w:tcW w:w="0" w:type="auto"/>
            <w:vAlign w:val="center"/>
            <w:hideMark/>
          </w:tcPr>
          <w:p w14:paraId="223B3462"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112.4 (10.2)</w:t>
            </w:r>
          </w:p>
        </w:tc>
        <w:tc>
          <w:tcPr>
            <w:tcW w:w="0" w:type="auto"/>
            <w:vAlign w:val="center"/>
            <w:hideMark/>
          </w:tcPr>
          <w:p w14:paraId="545563A0"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104.7 (11.8)</w:t>
            </w:r>
          </w:p>
        </w:tc>
        <w:tc>
          <w:tcPr>
            <w:tcW w:w="0" w:type="auto"/>
            <w:vAlign w:val="center"/>
            <w:hideMark/>
          </w:tcPr>
          <w:p w14:paraId="6ADBE1AA"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7.7</w:t>
            </w:r>
          </w:p>
        </w:tc>
        <w:tc>
          <w:tcPr>
            <w:tcW w:w="0" w:type="auto"/>
            <w:vAlign w:val="center"/>
            <w:hideMark/>
          </w:tcPr>
          <w:p w14:paraId="106D303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3.1 to 12.3</w:t>
            </w:r>
          </w:p>
        </w:tc>
      </w:tr>
      <w:tr w:rsidR="00942510" w:rsidRPr="00617328" w14:paraId="5F6D8EA9" w14:textId="77777777" w:rsidTr="00341B53">
        <w:trPr>
          <w:tblCellSpacing w:w="15" w:type="dxa"/>
        </w:trPr>
        <w:tc>
          <w:tcPr>
            <w:tcW w:w="0" w:type="auto"/>
            <w:vAlign w:val="center"/>
            <w:hideMark/>
          </w:tcPr>
          <w:p w14:paraId="67F3F7B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Digit Span</w:t>
            </w:r>
          </w:p>
        </w:tc>
        <w:tc>
          <w:tcPr>
            <w:tcW w:w="0" w:type="auto"/>
            <w:vAlign w:val="center"/>
            <w:hideMark/>
          </w:tcPr>
          <w:p w14:paraId="1573B60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9.1 (1.4)</w:t>
            </w:r>
          </w:p>
        </w:tc>
        <w:tc>
          <w:tcPr>
            <w:tcW w:w="0" w:type="auto"/>
            <w:vAlign w:val="center"/>
            <w:hideMark/>
          </w:tcPr>
          <w:p w14:paraId="131BC08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8.2 (1.3)</w:t>
            </w:r>
          </w:p>
        </w:tc>
        <w:tc>
          <w:tcPr>
            <w:tcW w:w="0" w:type="auto"/>
            <w:vAlign w:val="center"/>
            <w:hideMark/>
          </w:tcPr>
          <w:p w14:paraId="2AB5D08A"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0.9</w:t>
            </w:r>
          </w:p>
        </w:tc>
        <w:tc>
          <w:tcPr>
            <w:tcW w:w="0" w:type="auto"/>
            <w:vAlign w:val="center"/>
            <w:hideMark/>
          </w:tcPr>
          <w:p w14:paraId="1C0DFB47"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0.3 to 1.5</w:t>
            </w:r>
          </w:p>
        </w:tc>
      </w:tr>
      <w:tr w:rsidR="00942510" w:rsidRPr="00617328" w14:paraId="118A4649" w14:textId="77777777" w:rsidTr="00341B53">
        <w:trPr>
          <w:tblCellSpacing w:w="15" w:type="dxa"/>
        </w:trPr>
        <w:tc>
          <w:tcPr>
            <w:tcW w:w="0" w:type="auto"/>
            <w:vAlign w:val="center"/>
            <w:hideMark/>
          </w:tcPr>
          <w:p w14:paraId="0906C842"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Verbal Fluency</w:t>
            </w:r>
          </w:p>
        </w:tc>
        <w:tc>
          <w:tcPr>
            <w:tcW w:w="0" w:type="auto"/>
            <w:vAlign w:val="center"/>
            <w:hideMark/>
          </w:tcPr>
          <w:p w14:paraId="643D3DC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13.2</w:t>
            </w:r>
          </w:p>
        </w:tc>
        <w:tc>
          <w:tcPr>
            <w:tcW w:w="0" w:type="auto"/>
            <w:vAlign w:val="center"/>
            <w:hideMark/>
          </w:tcPr>
          <w:p w14:paraId="1C78D9A9"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10.4</w:t>
            </w:r>
          </w:p>
        </w:tc>
        <w:tc>
          <w:tcPr>
            <w:tcW w:w="0" w:type="auto"/>
            <w:vAlign w:val="center"/>
            <w:hideMark/>
          </w:tcPr>
          <w:p w14:paraId="6342E95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2.8</w:t>
            </w:r>
          </w:p>
        </w:tc>
        <w:tc>
          <w:tcPr>
            <w:tcW w:w="0" w:type="auto"/>
            <w:vAlign w:val="center"/>
            <w:hideMark/>
          </w:tcPr>
          <w:p w14:paraId="18FF346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1.2 to 4.3</w:t>
            </w:r>
          </w:p>
        </w:tc>
      </w:tr>
    </w:tbl>
    <w:p w14:paraId="47C0A694" w14:textId="77777777" w:rsidR="004056F8" w:rsidRPr="00BE37A8" w:rsidRDefault="004056F8" w:rsidP="004056F8">
      <w:pPr>
        <w:spacing w:after="160" w:line="278" w:lineRule="auto"/>
        <w:rPr>
          <w:lang w:val="en-CA"/>
        </w:rPr>
      </w:pPr>
      <w:r w:rsidRPr="00BE37A8">
        <w:rPr>
          <w:lang w:val="en-CA"/>
        </w:rPr>
        <w:t>Students in Group A outperformed those in Group B across most cognitive and linguistic measures. On the EVIP vocabulary test, Group A achieved a mean standard score of 112.4 (SD = 10.2), compared to 104.7 (SD = 11.8) in Group B, resulting in a mean difference of 7.7 points (95% CI: 3.1–12.3, Cohen’s d = 0.73). For working memory, assessed via the WISC-V Digit Span, Group A’s mean score was 9.1 (SD = 1.4) versus 8.2 (SD = 1.3) for Group B (difference = 0.9; 95% CI: 0.3–1.5, d = 0.67).</w:t>
      </w:r>
    </w:p>
    <w:p w14:paraId="44C347E5" w14:textId="77777777" w:rsidR="004056F8" w:rsidRPr="00BE37A8" w:rsidRDefault="004056F8" w:rsidP="004056F8">
      <w:pPr>
        <w:spacing w:after="160" w:line="278" w:lineRule="auto"/>
        <w:rPr>
          <w:lang w:val="en-CA"/>
        </w:rPr>
      </w:pPr>
      <w:r w:rsidRPr="00BE37A8">
        <w:rPr>
          <w:lang w:val="en-CA"/>
        </w:rPr>
        <w:lastRenderedPageBreak/>
        <w:t>Performance on executive functioning tasks from the NEPSY-II showed similar trends. In the inhibition subtest, Group A scored a mean of 10.6 (SD = 1.1) compared to 9.7 (SD = 1.3) for Group B. Verbal fluency in French was also stronger in Group A, particularly for category fluency (animals), with a group mean of 13.2 words in 60 seconds compared to 10.4 for Group B.</w:t>
      </w:r>
    </w:p>
    <w:p w14:paraId="0F84DA0C" w14:textId="399B6BDD" w:rsidR="00942510" w:rsidRDefault="00942510" w:rsidP="00942510">
      <w:pPr>
        <w:pStyle w:val="Titre2"/>
      </w:pPr>
      <w:r>
        <w:t xml:space="preserve">Figure </w:t>
      </w:r>
      <w:r w:rsidR="00025094">
        <w:t>5</w:t>
      </w:r>
      <w:r>
        <w:t>. Working Memory (Digit Span) Scores by Language Group</w:t>
      </w:r>
    </w:p>
    <w:p w14:paraId="76ADB56E" w14:textId="77777777" w:rsidR="00942510" w:rsidRDefault="00942510" w:rsidP="00942510">
      <w:r>
        <w:rPr>
          <w:noProof/>
        </w:rPr>
        <w:drawing>
          <wp:inline distT="0" distB="0" distL="0" distR="0" wp14:anchorId="01162A36" wp14:editId="79C47135">
            <wp:extent cx="4487334" cy="2492375"/>
            <wp:effectExtent l="0" t="0" r="8890" b="3175"/>
            <wp:docPr id="2" name="Picture 2" descr="Une image contenant texte, capture d’écran, diagramme,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e image contenant texte, capture d’écran, diagramme, Rectangle&#10;&#10;Le contenu généré par l’IA peut être incorrect."/>
                    <pic:cNvPicPr/>
                  </pic:nvPicPr>
                  <pic:blipFill rotWithShape="1">
                    <a:blip r:embed="rId12"/>
                    <a:srcRect t="7429"/>
                    <a:stretch/>
                  </pic:blipFill>
                  <pic:spPr bwMode="auto">
                    <a:xfrm>
                      <a:off x="0" y="0"/>
                      <a:ext cx="4491839" cy="2494877"/>
                    </a:xfrm>
                    <a:prstGeom prst="rect">
                      <a:avLst/>
                    </a:prstGeom>
                    <a:ln>
                      <a:noFill/>
                    </a:ln>
                    <a:extLst>
                      <a:ext uri="{53640926-AAD7-44D8-BBD7-CCE9431645EC}">
                        <a14:shadowObscured xmlns:a14="http://schemas.microsoft.com/office/drawing/2010/main"/>
                      </a:ext>
                    </a:extLst>
                  </pic:spPr>
                </pic:pic>
              </a:graphicData>
            </a:graphic>
          </wp:inline>
        </w:drawing>
      </w:r>
    </w:p>
    <w:p w14:paraId="05FD5110" w14:textId="77777777" w:rsidR="00942510" w:rsidRDefault="004056F8" w:rsidP="004056F8">
      <w:pPr>
        <w:spacing w:after="160" w:line="278" w:lineRule="auto"/>
        <w:rPr>
          <w:lang w:val="en-CA"/>
        </w:rPr>
      </w:pPr>
      <w:r w:rsidRPr="00BE37A8">
        <w:rPr>
          <w:lang w:val="en-CA"/>
        </w:rPr>
        <w:t xml:space="preserve">Analyses stratified by home language showed that students who spoke French regularly at home (n = 37) performed slightly better in both groups, though the largest effect remained associated with classroom language exposure. </w:t>
      </w:r>
    </w:p>
    <w:p w14:paraId="77E48B15" w14:textId="7EAD060D" w:rsidR="00942510" w:rsidRPr="00617328" w:rsidRDefault="00942510" w:rsidP="00942510">
      <w:pPr>
        <w:rPr>
          <w:rFonts w:asciiTheme="majorHAnsi" w:hAnsiTheme="majorHAnsi" w:cstheme="majorHAnsi"/>
          <w:b/>
          <w:bCs/>
          <w:sz w:val="20"/>
          <w:szCs w:val="20"/>
          <w:lang w:val="en-CA"/>
        </w:rPr>
      </w:pPr>
      <w:r w:rsidRPr="00617328">
        <w:rPr>
          <w:rFonts w:asciiTheme="majorHAnsi" w:hAnsiTheme="majorHAnsi" w:cstheme="majorHAnsi"/>
          <w:b/>
          <w:bCs/>
          <w:sz w:val="20"/>
          <w:szCs w:val="20"/>
          <w:lang w:val="en-CA"/>
        </w:rPr>
        <w:t xml:space="preserve">Table </w:t>
      </w:r>
      <w:r w:rsidR="00025094">
        <w:rPr>
          <w:rFonts w:asciiTheme="majorHAnsi" w:hAnsiTheme="majorHAnsi" w:cstheme="majorHAnsi"/>
          <w:b/>
          <w:bCs/>
          <w:sz w:val="20"/>
          <w:szCs w:val="20"/>
          <w:lang w:val="en-CA"/>
        </w:rPr>
        <w:t>2</w:t>
      </w:r>
      <w:r w:rsidRPr="00617328">
        <w:rPr>
          <w:rFonts w:asciiTheme="majorHAnsi" w:hAnsiTheme="majorHAnsi" w:cstheme="majorHAnsi"/>
          <w:b/>
          <w:bCs/>
          <w:sz w:val="20"/>
          <w:szCs w:val="20"/>
          <w:lang w:val="en-CA"/>
        </w:rPr>
        <w:t>. Home Language Exposure and Test Performance (EVIP)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4"/>
        <w:gridCol w:w="1660"/>
        <w:gridCol w:w="1668"/>
      </w:tblGrid>
      <w:tr w:rsidR="00942510" w:rsidRPr="00617328" w14:paraId="624D6009" w14:textId="77777777" w:rsidTr="00341B53">
        <w:trPr>
          <w:tblCellSpacing w:w="15" w:type="dxa"/>
        </w:trPr>
        <w:tc>
          <w:tcPr>
            <w:tcW w:w="0" w:type="auto"/>
            <w:vAlign w:val="center"/>
            <w:hideMark/>
          </w:tcPr>
          <w:p w14:paraId="15B89E2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Home Language</w:t>
            </w:r>
          </w:p>
        </w:tc>
        <w:tc>
          <w:tcPr>
            <w:tcW w:w="0" w:type="auto"/>
            <w:vAlign w:val="center"/>
            <w:hideMark/>
          </w:tcPr>
          <w:p w14:paraId="669893A3"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Group A EVIP Mean</w:t>
            </w:r>
          </w:p>
        </w:tc>
        <w:tc>
          <w:tcPr>
            <w:tcW w:w="0" w:type="auto"/>
            <w:vAlign w:val="center"/>
            <w:hideMark/>
          </w:tcPr>
          <w:p w14:paraId="0664C104"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Group B EVIP Mean</w:t>
            </w:r>
          </w:p>
        </w:tc>
      </w:tr>
      <w:tr w:rsidR="00942510" w:rsidRPr="00617328" w14:paraId="20F77F4C" w14:textId="77777777" w:rsidTr="00341B53">
        <w:trPr>
          <w:tblCellSpacing w:w="15" w:type="dxa"/>
        </w:trPr>
        <w:tc>
          <w:tcPr>
            <w:tcW w:w="0" w:type="auto"/>
            <w:vAlign w:val="center"/>
            <w:hideMark/>
          </w:tcPr>
          <w:p w14:paraId="4D6A3234"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French Only</w:t>
            </w:r>
          </w:p>
        </w:tc>
        <w:tc>
          <w:tcPr>
            <w:tcW w:w="0" w:type="auto"/>
            <w:vAlign w:val="center"/>
            <w:hideMark/>
          </w:tcPr>
          <w:p w14:paraId="7E14D52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117.5</w:t>
            </w:r>
          </w:p>
        </w:tc>
        <w:tc>
          <w:tcPr>
            <w:tcW w:w="0" w:type="auto"/>
            <w:vAlign w:val="center"/>
            <w:hideMark/>
          </w:tcPr>
          <w:p w14:paraId="0042E27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109.2</w:t>
            </w:r>
          </w:p>
        </w:tc>
      </w:tr>
      <w:tr w:rsidR="00942510" w:rsidRPr="00617328" w14:paraId="5CC220CC" w14:textId="77777777" w:rsidTr="00341B53">
        <w:trPr>
          <w:tblCellSpacing w:w="15" w:type="dxa"/>
        </w:trPr>
        <w:tc>
          <w:tcPr>
            <w:tcW w:w="0" w:type="auto"/>
            <w:vAlign w:val="center"/>
            <w:hideMark/>
          </w:tcPr>
          <w:p w14:paraId="51DB4EB1"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English Only</w:t>
            </w:r>
          </w:p>
        </w:tc>
        <w:tc>
          <w:tcPr>
            <w:tcW w:w="0" w:type="auto"/>
            <w:vAlign w:val="center"/>
            <w:hideMark/>
          </w:tcPr>
          <w:p w14:paraId="6566BA7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110.4</w:t>
            </w:r>
          </w:p>
        </w:tc>
        <w:tc>
          <w:tcPr>
            <w:tcW w:w="0" w:type="auto"/>
            <w:vAlign w:val="center"/>
            <w:hideMark/>
          </w:tcPr>
          <w:p w14:paraId="310D0D40"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102.1</w:t>
            </w:r>
          </w:p>
        </w:tc>
      </w:tr>
      <w:tr w:rsidR="00942510" w:rsidRPr="00617328" w14:paraId="3A3F9AB8" w14:textId="77777777" w:rsidTr="00341B53">
        <w:trPr>
          <w:tblCellSpacing w:w="15" w:type="dxa"/>
        </w:trPr>
        <w:tc>
          <w:tcPr>
            <w:tcW w:w="0" w:type="auto"/>
            <w:vAlign w:val="center"/>
            <w:hideMark/>
          </w:tcPr>
          <w:p w14:paraId="1E711611"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Bilingual</w:t>
            </w:r>
          </w:p>
        </w:tc>
        <w:tc>
          <w:tcPr>
            <w:tcW w:w="0" w:type="auto"/>
            <w:vAlign w:val="center"/>
            <w:hideMark/>
          </w:tcPr>
          <w:p w14:paraId="7368497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114.1</w:t>
            </w:r>
          </w:p>
        </w:tc>
        <w:tc>
          <w:tcPr>
            <w:tcW w:w="0" w:type="auto"/>
            <w:vAlign w:val="center"/>
            <w:hideMark/>
          </w:tcPr>
          <w:p w14:paraId="02D82CE9"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105.8</w:t>
            </w:r>
          </w:p>
        </w:tc>
      </w:tr>
    </w:tbl>
    <w:p w14:paraId="263B114A" w14:textId="18369F5B" w:rsidR="00942510" w:rsidRDefault="00942510" w:rsidP="00942510">
      <w:pPr>
        <w:pStyle w:val="Titre2"/>
      </w:pPr>
      <w:r>
        <w:lastRenderedPageBreak/>
        <w:t xml:space="preserve">Figure </w:t>
      </w:r>
      <w:r w:rsidR="00025094">
        <w:t>6</w:t>
      </w:r>
      <w:r>
        <w:t>. Parent-Reported Home Language Use</w:t>
      </w:r>
    </w:p>
    <w:p w14:paraId="431301C6" w14:textId="77777777" w:rsidR="00942510" w:rsidRDefault="00942510" w:rsidP="00942510">
      <w:r>
        <w:rPr>
          <w:noProof/>
        </w:rPr>
        <w:drawing>
          <wp:inline distT="0" distB="0" distL="0" distR="0" wp14:anchorId="720F7C94" wp14:editId="75D62812">
            <wp:extent cx="4411134" cy="2475230"/>
            <wp:effectExtent l="0" t="0" r="8890" b="1270"/>
            <wp:docPr id="5" name="Picture 5" descr="Une image contenant texte, diagramme, capture d’écran,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texte, diagramme, capture d’écran, cercle&#10;&#10;Le contenu généré par l’IA peut être incorrect."/>
                    <pic:cNvPicPr/>
                  </pic:nvPicPr>
                  <pic:blipFill rotWithShape="1">
                    <a:blip r:embed="rId13"/>
                    <a:srcRect t="6478"/>
                    <a:stretch/>
                  </pic:blipFill>
                  <pic:spPr bwMode="auto">
                    <a:xfrm>
                      <a:off x="0" y="0"/>
                      <a:ext cx="4415001" cy="2477400"/>
                    </a:xfrm>
                    <a:prstGeom prst="rect">
                      <a:avLst/>
                    </a:prstGeom>
                    <a:ln>
                      <a:noFill/>
                    </a:ln>
                    <a:extLst>
                      <a:ext uri="{53640926-AAD7-44D8-BBD7-CCE9431645EC}">
                        <a14:shadowObscured xmlns:a14="http://schemas.microsoft.com/office/drawing/2010/main"/>
                      </a:ext>
                    </a:extLst>
                  </pic:spPr>
                </pic:pic>
              </a:graphicData>
            </a:graphic>
          </wp:inline>
        </w:drawing>
      </w:r>
    </w:p>
    <w:p w14:paraId="4B37E41E" w14:textId="77777777" w:rsidR="00942510" w:rsidRDefault="00942510" w:rsidP="00942510">
      <w:pPr>
        <w:pStyle w:val="Titre2"/>
      </w:pPr>
      <w:r>
        <w:t>Figure 7. Correlation Between French Exposure and Vocabulary Scores</w:t>
      </w:r>
    </w:p>
    <w:p w14:paraId="3A372EE9" w14:textId="77777777" w:rsidR="00942510" w:rsidRDefault="00942510" w:rsidP="00942510">
      <w:r>
        <w:rPr>
          <w:noProof/>
        </w:rPr>
        <w:drawing>
          <wp:inline distT="0" distB="0" distL="0" distR="0" wp14:anchorId="2FA0D953" wp14:editId="4CB3D95E">
            <wp:extent cx="4584065" cy="2550415"/>
            <wp:effectExtent l="0" t="0" r="6985" b="2540"/>
            <wp:docPr id="7" name="Picture 7" descr="Une image contenant texte, ligne, capture d’écran,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e image contenant texte, ligne, capture d’écran, diagramme&#10;&#10;Le contenu généré par l’IA peut être incorrect."/>
                    <pic:cNvPicPr/>
                  </pic:nvPicPr>
                  <pic:blipFill rotWithShape="1">
                    <a:blip r:embed="rId14"/>
                    <a:srcRect t="7272"/>
                    <a:stretch/>
                  </pic:blipFill>
                  <pic:spPr bwMode="auto">
                    <a:xfrm>
                      <a:off x="0" y="0"/>
                      <a:ext cx="4593517" cy="2555674"/>
                    </a:xfrm>
                    <a:prstGeom prst="rect">
                      <a:avLst/>
                    </a:prstGeom>
                    <a:ln>
                      <a:noFill/>
                    </a:ln>
                    <a:extLst>
                      <a:ext uri="{53640926-AAD7-44D8-BBD7-CCE9431645EC}">
                        <a14:shadowObscured xmlns:a14="http://schemas.microsoft.com/office/drawing/2010/main"/>
                      </a:ext>
                    </a:extLst>
                  </pic:spPr>
                </pic:pic>
              </a:graphicData>
            </a:graphic>
          </wp:inline>
        </w:drawing>
      </w:r>
    </w:p>
    <w:p w14:paraId="12A9E4A6" w14:textId="621B837A" w:rsidR="004056F8" w:rsidRPr="00BE37A8" w:rsidRDefault="004056F8" w:rsidP="004056F8">
      <w:pPr>
        <w:spacing w:after="160" w:line="278" w:lineRule="auto"/>
        <w:rPr>
          <w:lang w:val="en-CA"/>
        </w:rPr>
      </w:pPr>
      <w:r w:rsidRPr="00BE37A8">
        <w:rPr>
          <w:lang w:val="en-CA"/>
        </w:rPr>
        <w:t>When controlling for gender, SES, and parent-reported language use, the positive association between consistent French instruction and executive function remained statistically significant.</w:t>
      </w:r>
    </w:p>
    <w:p w14:paraId="1AB58096" w14:textId="77777777" w:rsidR="004056F8" w:rsidRDefault="004056F8" w:rsidP="004056F8">
      <w:pPr>
        <w:spacing w:after="160" w:line="278" w:lineRule="auto"/>
        <w:rPr>
          <w:lang w:val="en-CA"/>
        </w:rPr>
      </w:pPr>
      <w:r w:rsidRPr="00BE37A8">
        <w:rPr>
          <w:lang w:val="en-CA"/>
        </w:rPr>
        <w:t>Among neurodivergent students, performance trends mirrored those of the general sample but with greater variability. Students with ADHD in Group A scored 8.8 (SD = 1.5) on the Digit Span compared to 7.9 (SD = 1.4) in Group B. While not all subgroup differences reached statistical significance due to sample size limitations, the direction of effect remained consistent.</w:t>
      </w:r>
    </w:p>
    <w:p w14:paraId="6CA8BFF8" w14:textId="77777777" w:rsidR="00942510" w:rsidRDefault="00942510" w:rsidP="00942510">
      <w:pPr>
        <w:pStyle w:val="Titre2"/>
      </w:pPr>
      <w:r>
        <w:lastRenderedPageBreak/>
        <w:t>Figure 8. Executive Function Score Variability in Neurodivergent Students</w:t>
      </w:r>
    </w:p>
    <w:p w14:paraId="20D9873B" w14:textId="77777777" w:rsidR="00942510" w:rsidRDefault="00942510" w:rsidP="00942510">
      <w:r>
        <w:rPr>
          <w:noProof/>
        </w:rPr>
        <w:drawing>
          <wp:inline distT="0" distB="0" distL="0" distR="0" wp14:anchorId="542598E8" wp14:editId="0504A9F7">
            <wp:extent cx="4320114" cy="2430145"/>
            <wp:effectExtent l="0" t="0" r="4445" b="8255"/>
            <wp:docPr id="8" name="Picture 8" descr="Une image contenant texte, capture d’écran, Rectangl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e image contenant texte, capture d’écran, Rectangle, ligne&#10;&#10;Le contenu généré par l’IA peut être incorrect."/>
                    <pic:cNvPicPr/>
                  </pic:nvPicPr>
                  <pic:blipFill rotWithShape="1">
                    <a:blip r:embed="rId15"/>
                    <a:srcRect t="6247"/>
                    <a:stretch/>
                  </pic:blipFill>
                  <pic:spPr bwMode="auto">
                    <a:xfrm>
                      <a:off x="0" y="0"/>
                      <a:ext cx="4331234" cy="2436400"/>
                    </a:xfrm>
                    <a:prstGeom prst="rect">
                      <a:avLst/>
                    </a:prstGeom>
                    <a:ln>
                      <a:noFill/>
                    </a:ln>
                    <a:extLst>
                      <a:ext uri="{53640926-AAD7-44D8-BBD7-CCE9431645EC}">
                        <a14:shadowObscured xmlns:a14="http://schemas.microsoft.com/office/drawing/2010/main"/>
                      </a:ext>
                    </a:extLst>
                  </pic:spPr>
                </pic:pic>
              </a:graphicData>
            </a:graphic>
          </wp:inline>
        </w:drawing>
      </w:r>
    </w:p>
    <w:p w14:paraId="3697022E" w14:textId="5634D1FD" w:rsidR="00942510" w:rsidRDefault="00942510" w:rsidP="00942510">
      <w:pPr>
        <w:pStyle w:val="Titre2"/>
      </w:pPr>
      <w:r>
        <w:t xml:space="preserve">Figure </w:t>
      </w:r>
      <w:r w:rsidR="00025094">
        <w:t>9</w:t>
      </w:r>
      <w:r>
        <w:t>. Cognitive Flexibility (NEPSY-II) by Input Group</w:t>
      </w:r>
    </w:p>
    <w:p w14:paraId="5A3B6571" w14:textId="77777777" w:rsidR="00942510" w:rsidRDefault="00942510" w:rsidP="00942510">
      <w:r>
        <w:rPr>
          <w:noProof/>
        </w:rPr>
        <w:drawing>
          <wp:inline distT="0" distB="0" distL="0" distR="0" wp14:anchorId="33AF8BE0" wp14:editId="7282A480">
            <wp:extent cx="4274610" cy="2393315"/>
            <wp:effectExtent l="0" t="0" r="0" b="6985"/>
            <wp:docPr id="11" name="Picture 11" descr="Une image contenant capture d’écran, Rectangle, lign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ne image contenant capture d’écran, Rectangle, ligne, texte&#10;&#10;Le contenu généré par l’IA peut être incorrect."/>
                    <pic:cNvPicPr/>
                  </pic:nvPicPr>
                  <pic:blipFill rotWithShape="1">
                    <a:blip r:embed="rId16"/>
                    <a:srcRect t="6685"/>
                    <a:stretch/>
                  </pic:blipFill>
                  <pic:spPr bwMode="auto">
                    <a:xfrm>
                      <a:off x="0" y="0"/>
                      <a:ext cx="4284490" cy="2398847"/>
                    </a:xfrm>
                    <a:prstGeom prst="rect">
                      <a:avLst/>
                    </a:prstGeom>
                    <a:ln>
                      <a:noFill/>
                    </a:ln>
                    <a:extLst>
                      <a:ext uri="{53640926-AAD7-44D8-BBD7-CCE9431645EC}">
                        <a14:shadowObscured xmlns:a14="http://schemas.microsoft.com/office/drawing/2010/main"/>
                      </a:ext>
                    </a:extLst>
                  </pic:spPr>
                </pic:pic>
              </a:graphicData>
            </a:graphic>
          </wp:inline>
        </w:drawing>
      </w:r>
    </w:p>
    <w:p w14:paraId="68B51E36" w14:textId="77777777" w:rsidR="00942510" w:rsidRDefault="004056F8" w:rsidP="004056F8">
      <w:pPr>
        <w:spacing w:after="160" w:line="278" w:lineRule="auto"/>
        <w:rPr>
          <w:lang w:val="en-CA"/>
        </w:rPr>
      </w:pPr>
      <w:r w:rsidRPr="00BE37A8">
        <w:rPr>
          <w:lang w:val="en-CA"/>
        </w:rPr>
        <w:t>Teacher BRIEF-2 ratings revealed that students in Group A were more frequently described as demonstrating better task initiation and self-monitoring.</w:t>
      </w:r>
    </w:p>
    <w:p w14:paraId="5F2D7A67" w14:textId="5228B492" w:rsidR="00942510" w:rsidRPr="00617328" w:rsidRDefault="00942510" w:rsidP="00942510">
      <w:pPr>
        <w:rPr>
          <w:rFonts w:asciiTheme="majorHAnsi" w:hAnsiTheme="majorHAnsi" w:cstheme="majorHAnsi"/>
          <w:b/>
          <w:bCs/>
          <w:sz w:val="20"/>
          <w:szCs w:val="20"/>
          <w:lang w:val="en-CA"/>
        </w:rPr>
      </w:pPr>
      <w:r w:rsidRPr="00617328">
        <w:rPr>
          <w:rFonts w:asciiTheme="majorHAnsi" w:hAnsiTheme="majorHAnsi" w:cstheme="majorHAnsi"/>
          <w:b/>
          <w:bCs/>
          <w:sz w:val="20"/>
          <w:szCs w:val="20"/>
          <w:lang w:val="en-CA"/>
        </w:rPr>
        <w:t xml:space="preserve">Table </w:t>
      </w:r>
      <w:r w:rsidR="00025094">
        <w:rPr>
          <w:rFonts w:asciiTheme="majorHAnsi" w:hAnsiTheme="majorHAnsi" w:cstheme="majorHAnsi"/>
          <w:b/>
          <w:bCs/>
          <w:sz w:val="20"/>
          <w:szCs w:val="20"/>
          <w:lang w:val="en-CA"/>
        </w:rPr>
        <w:t>3</w:t>
      </w:r>
      <w:r w:rsidRPr="00617328">
        <w:rPr>
          <w:rFonts w:asciiTheme="majorHAnsi" w:hAnsiTheme="majorHAnsi" w:cstheme="majorHAnsi"/>
          <w:b/>
          <w:bCs/>
          <w:sz w:val="20"/>
          <w:szCs w:val="20"/>
          <w:lang w:val="en-CA"/>
        </w:rPr>
        <w:t>. BRIEF-2 Ratings of Executive Function by Group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gridCol w:w="1631"/>
        <w:gridCol w:w="1624"/>
        <w:gridCol w:w="1179"/>
      </w:tblGrid>
      <w:tr w:rsidR="00942510" w:rsidRPr="00617328" w14:paraId="7204CC67" w14:textId="77777777" w:rsidTr="00341B53">
        <w:trPr>
          <w:tblCellSpacing w:w="15" w:type="dxa"/>
        </w:trPr>
        <w:tc>
          <w:tcPr>
            <w:tcW w:w="0" w:type="auto"/>
            <w:vAlign w:val="center"/>
            <w:hideMark/>
          </w:tcPr>
          <w:p w14:paraId="6EBDB81A"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Subscale</w:t>
            </w:r>
          </w:p>
        </w:tc>
        <w:tc>
          <w:tcPr>
            <w:tcW w:w="0" w:type="auto"/>
            <w:vAlign w:val="center"/>
            <w:hideMark/>
          </w:tcPr>
          <w:p w14:paraId="7F4CB2D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Group A Mean (SD)</w:t>
            </w:r>
          </w:p>
        </w:tc>
        <w:tc>
          <w:tcPr>
            <w:tcW w:w="0" w:type="auto"/>
            <w:vAlign w:val="center"/>
            <w:hideMark/>
          </w:tcPr>
          <w:p w14:paraId="3C766DA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Group B Mean (SD)</w:t>
            </w:r>
          </w:p>
        </w:tc>
        <w:tc>
          <w:tcPr>
            <w:tcW w:w="0" w:type="auto"/>
            <w:vAlign w:val="center"/>
            <w:hideMark/>
          </w:tcPr>
          <w:p w14:paraId="265A51E7"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Effect Size (d)</w:t>
            </w:r>
          </w:p>
        </w:tc>
      </w:tr>
      <w:tr w:rsidR="00942510" w:rsidRPr="00617328" w14:paraId="5B379437" w14:textId="77777777" w:rsidTr="00341B53">
        <w:trPr>
          <w:tblCellSpacing w:w="15" w:type="dxa"/>
        </w:trPr>
        <w:tc>
          <w:tcPr>
            <w:tcW w:w="0" w:type="auto"/>
            <w:vAlign w:val="center"/>
            <w:hideMark/>
          </w:tcPr>
          <w:p w14:paraId="3D22822E"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Task Initiation</w:t>
            </w:r>
          </w:p>
        </w:tc>
        <w:tc>
          <w:tcPr>
            <w:tcW w:w="0" w:type="auto"/>
            <w:vAlign w:val="center"/>
            <w:hideMark/>
          </w:tcPr>
          <w:p w14:paraId="6FE8F4C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52.3 (7.1)</w:t>
            </w:r>
          </w:p>
        </w:tc>
        <w:tc>
          <w:tcPr>
            <w:tcW w:w="0" w:type="auto"/>
            <w:vAlign w:val="center"/>
            <w:hideMark/>
          </w:tcPr>
          <w:p w14:paraId="5704515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56.7 (6.8)</w:t>
            </w:r>
          </w:p>
        </w:tc>
        <w:tc>
          <w:tcPr>
            <w:tcW w:w="0" w:type="auto"/>
            <w:vAlign w:val="center"/>
            <w:hideMark/>
          </w:tcPr>
          <w:p w14:paraId="5BB21E0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0.64</w:t>
            </w:r>
          </w:p>
        </w:tc>
      </w:tr>
      <w:tr w:rsidR="00942510" w:rsidRPr="00617328" w14:paraId="1B262B36" w14:textId="77777777" w:rsidTr="00341B53">
        <w:trPr>
          <w:tblCellSpacing w:w="15" w:type="dxa"/>
        </w:trPr>
        <w:tc>
          <w:tcPr>
            <w:tcW w:w="0" w:type="auto"/>
            <w:vAlign w:val="center"/>
            <w:hideMark/>
          </w:tcPr>
          <w:p w14:paraId="7E3DE45C"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Emotional Control</w:t>
            </w:r>
          </w:p>
        </w:tc>
        <w:tc>
          <w:tcPr>
            <w:tcW w:w="0" w:type="auto"/>
            <w:vAlign w:val="center"/>
            <w:hideMark/>
          </w:tcPr>
          <w:p w14:paraId="276E8A38"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54.8 (6.2)</w:t>
            </w:r>
          </w:p>
        </w:tc>
        <w:tc>
          <w:tcPr>
            <w:tcW w:w="0" w:type="auto"/>
            <w:vAlign w:val="center"/>
            <w:hideMark/>
          </w:tcPr>
          <w:p w14:paraId="56B9564B"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58.1 (5.9)</w:t>
            </w:r>
          </w:p>
        </w:tc>
        <w:tc>
          <w:tcPr>
            <w:tcW w:w="0" w:type="auto"/>
            <w:vAlign w:val="center"/>
            <w:hideMark/>
          </w:tcPr>
          <w:p w14:paraId="1F304DD2"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0.55</w:t>
            </w:r>
          </w:p>
        </w:tc>
      </w:tr>
      <w:tr w:rsidR="00942510" w:rsidRPr="00617328" w14:paraId="163E686A" w14:textId="77777777" w:rsidTr="00341B53">
        <w:trPr>
          <w:tblCellSpacing w:w="15" w:type="dxa"/>
        </w:trPr>
        <w:tc>
          <w:tcPr>
            <w:tcW w:w="0" w:type="auto"/>
            <w:vAlign w:val="center"/>
            <w:hideMark/>
          </w:tcPr>
          <w:p w14:paraId="225479C1"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Working Memory</w:t>
            </w:r>
          </w:p>
        </w:tc>
        <w:tc>
          <w:tcPr>
            <w:tcW w:w="0" w:type="auto"/>
            <w:vAlign w:val="center"/>
            <w:hideMark/>
          </w:tcPr>
          <w:p w14:paraId="1DCFB15D"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50.2 (5.3)</w:t>
            </w:r>
          </w:p>
        </w:tc>
        <w:tc>
          <w:tcPr>
            <w:tcW w:w="0" w:type="auto"/>
            <w:vAlign w:val="center"/>
            <w:hideMark/>
          </w:tcPr>
          <w:p w14:paraId="43D404DE"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54.9 (5.6)</w:t>
            </w:r>
          </w:p>
        </w:tc>
        <w:tc>
          <w:tcPr>
            <w:tcW w:w="0" w:type="auto"/>
            <w:vAlign w:val="center"/>
            <w:hideMark/>
          </w:tcPr>
          <w:p w14:paraId="37CB8873" w14:textId="77777777" w:rsidR="00942510" w:rsidRPr="00617328" w:rsidRDefault="00942510" w:rsidP="00341B53">
            <w:pPr>
              <w:rPr>
                <w:rFonts w:asciiTheme="majorHAnsi" w:hAnsiTheme="majorHAnsi" w:cstheme="majorHAnsi"/>
                <w:sz w:val="20"/>
                <w:szCs w:val="20"/>
                <w:lang w:val="fr-CA"/>
              </w:rPr>
            </w:pPr>
            <w:r w:rsidRPr="00617328">
              <w:rPr>
                <w:rFonts w:asciiTheme="majorHAnsi" w:hAnsiTheme="majorHAnsi" w:cstheme="majorHAnsi"/>
                <w:sz w:val="20"/>
                <w:szCs w:val="20"/>
                <w:lang w:val="fr-CA"/>
              </w:rPr>
              <w:t>0.76</w:t>
            </w:r>
          </w:p>
        </w:tc>
      </w:tr>
    </w:tbl>
    <w:p w14:paraId="2C5B258A" w14:textId="1646D406" w:rsidR="00942510" w:rsidRDefault="00942510" w:rsidP="00942510">
      <w:pPr>
        <w:pStyle w:val="Titre2"/>
      </w:pPr>
      <w:r>
        <w:lastRenderedPageBreak/>
        <w:t xml:space="preserve">Figure </w:t>
      </w:r>
      <w:r w:rsidR="00025094">
        <w:t>10</w:t>
      </w:r>
      <w:r>
        <w:t>. BRIEF-2 Working Memory Ratings by Group</w:t>
      </w:r>
    </w:p>
    <w:p w14:paraId="3FBBE172" w14:textId="77777777" w:rsidR="00942510" w:rsidRDefault="00942510" w:rsidP="00942510">
      <w:r>
        <w:rPr>
          <w:noProof/>
        </w:rPr>
        <w:drawing>
          <wp:inline distT="0" distB="0" distL="0" distR="0" wp14:anchorId="25C4A2BD" wp14:editId="64715481">
            <wp:extent cx="5029200" cy="2836545"/>
            <wp:effectExtent l="0" t="0" r="0" b="1905"/>
            <wp:docPr id="6" name="Picture 6" descr="Une image contenant texte, capture d’écran, Rectangl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e image contenant texte, capture d’écran, Rectangle, diagramme&#10;&#10;Le contenu généré par l’IA peut être incorrect."/>
                    <pic:cNvPicPr/>
                  </pic:nvPicPr>
                  <pic:blipFill rotWithShape="1">
                    <a:blip r:embed="rId17"/>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4012AA86" w14:textId="0754E6F8" w:rsidR="004056F8" w:rsidRPr="00BE37A8" w:rsidRDefault="004056F8" w:rsidP="004056F8">
      <w:pPr>
        <w:spacing w:after="160" w:line="278" w:lineRule="auto"/>
        <w:rPr>
          <w:lang w:val="en-CA"/>
        </w:rPr>
      </w:pPr>
      <w:r w:rsidRPr="00BE37A8">
        <w:rPr>
          <w:lang w:val="en-CA"/>
        </w:rPr>
        <w:t>Interrater agreement across observation teams confirmed consistent coding of teacher language input (</w:t>
      </w:r>
      <w:r w:rsidRPr="00BE37A8">
        <w:rPr>
          <w:lang w:val="fr-CA"/>
        </w:rPr>
        <w:t>κ</w:t>
      </w:r>
      <w:r w:rsidRPr="00BE37A8">
        <w:rPr>
          <w:lang w:val="en-CA"/>
        </w:rPr>
        <w:t xml:space="preserve"> = 0.84). No adverse events or participant withdrawals were reported.</w:t>
      </w:r>
    </w:p>
    <w:p w14:paraId="5D4057D3" w14:textId="752A6E01" w:rsidR="00617328" w:rsidRDefault="00617328" w:rsidP="00617328">
      <w:pPr>
        <w:pStyle w:val="Titre2"/>
      </w:pPr>
      <w:r>
        <w:t xml:space="preserve">Figure </w:t>
      </w:r>
      <w:r w:rsidR="00025094">
        <w:t>11</w:t>
      </w:r>
      <w:r>
        <w:t>. Percentage of French Used by Teachers</w:t>
      </w:r>
    </w:p>
    <w:p w14:paraId="0876107F" w14:textId="77777777" w:rsidR="00617328" w:rsidRDefault="00617328" w:rsidP="00617328">
      <w:r>
        <w:rPr>
          <w:noProof/>
        </w:rPr>
        <w:drawing>
          <wp:inline distT="0" distB="0" distL="0" distR="0" wp14:anchorId="5947197E" wp14:editId="379B42BC">
            <wp:extent cx="5029200" cy="2836545"/>
            <wp:effectExtent l="0" t="0" r="0" b="1905"/>
            <wp:docPr id="4" name="Picture 4"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e image contenant texte, capture d’écran, diagramme, ligne&#10;&#10;Le contenu généré par l’IA peut être incorrect."/>
                    <pic:cNvPicPr/>
                  </pic:nvPicPr>
                  <pic:blipFill rotWithShape="1">
                    <a:blip r:embed="rId9"/>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08BA2132" w14:textId="1EE4F59C" w:rsidR="00617328" w:rsidRDefault="00617328" w:rsidP="00617328">
      <w:pPr>
        <w:pStyle w:val="Titre2"/>
      </w:pPr>
      <w:r>
        <w:lastRenderedPageBreak/>
        <w:t xml:space="preserve">Figure </w:t>
      </w:r>
      <w:r w:rsidR="00025094">
        <w:t>12</w:t>
      </w:r>
      <w:r>
        <w:t>. Gender-Based Performance on Language Tasks</w:t>
      </w:r>
    </w:p>
    <w:p w14:paraId="67982233" w14:textId="77777777" w:rsidR="00617328" w:rsidRDefault="00617328" w:rsidP="00617328">
      <w:r>
        <w:rPr>
          <w:noProof/>
        </w:rPr>
        <w:drawing>
          <wp:inline distT="0" distB="0" distL="0" distR="0" wp14:anchorId="1B6B154C" wp14:editId="3CF6F023">
            <wp:extent cx="5029200" cy="2836545"/>
            <wp:effectExtent l="0" t="0" r="0" b="1905"/>
            <wp:docPr id="9" name="Picture 9" descr="Une image contenant texte, capture d’écran, Tracé,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 capture d’écran, Tracé, ligne&#10;&#10;Le contenu généré par l’IA peut être incorrect."/>
                    <pic:cNvPicPr/>
                  </pic:nvPicPr>
                  <pic:blipFill rotWithShape="1">
                    <a:blip r:embed="rId18"/>
                    <a:srcRect t="5997"/>
                    <a:stretch/>
                  </pic:blipFill>
                  <pic:spPr bwMode="auto">
                    <a:xfrm>
                      <a:off x="0" y="0"/>
                      <a:ext cx="5029200" cy="2836545"/>
                    </a:xfrm>
                    <a:prstGeom prst="rect">
                      <a:avLst/>
                    </a:prstGeom>
                    <a:ln>
                      <a:noFill/>
                    </a:ln>
                    <a:extLst>
                      <a:ext uri="{53640926-AAD7-44D8-BBD7-CCE9431645EC}">
                        <a14:shadowObscured xmlns:a14="http://schemas.microsoft.com/office/drawing/2010/main"/>
                      </a:ext>
                    </a:extLst>
                  </pic:spPr>
                </pic:pic>
              </a:graphicData>
            </a:graphic>
          </wp:inline>
        </w:drawing>
      </w:r>
    </w:p>
    <w:p w14:paraId="27249AB7" w14:textId="4C4CE4BC" w:rsidR="004056F8" w:rsidRPr="00BE37A8" w:rsidRDefault="004056F8" w:rsidP="004056F8">
      <w:pPr>
        <w:pStyle w:val="Titre1"/>
        <w:rPr>
          <w:lang w:val="en-CA"/>
        </w:rPr>
      </w:pPr>
      <w:r w:rsidRPr="00BE37A8">
        <w:rPr>
          <w:lang w:val="en-CA"/>
        </w:rPr>
        <w:t>Discussion</w:t>
      </w:r>
    </w:p>
    <w:p w14:paraId="4250359F" w14:textId="58CB87CB" w:rsidR="004056F8" w:rsidRDefault="004056F8" w:rsidP="004056F8">
      <w:pPr>
        <w:spacing w:after="160" w:line="278" w:lineRule="auto"/>
        <w:rPr>
          <w:lang w:val="en-CA"/>
        </w:rPr>
      </w:pPr>
      <w:r w:rsidRPr="00BE37A8">
        <w:rPr>
          <w:lang w:val="en-CA"/>
        </w:rPr>
        <w:t xml:space="preserve">The findings from this study confirm the hypothesis that consistent French input in immersion classrooms is positively associated with improved cognitive and linguistic outcomes in young learners. These results support previous research highlighting the cognitive benefits of bilingualism, particularly regarding executive functioning (Bialystok et al., 2012; Carlson &amp; Meltzoff, 2008). </w:t>
      </w:r>
      <w:r w:rsidR="00AC7D0D" w:rsidRPr="00AC7D0D">
        <w:t>More recent meta-analyses confirm these trends and offer further nuance on the specific executive functions most impacted by bilingual exposure (Wessling et al., 2023; Woumans &amp; Duyck, 2023).</w:t>
      </w:r>
      <w:r w:rsidR="00AC7D0D">
        <w:t xml:space="preserve"> </w:t>
      </w:r>
      <w:r w:rsidRPr="00BE37A8">
        <w:rPr>
          <w:lang w:val="en-CA"/>
        </w:rPr>
        <w:t>Students in classrooms where French was used consistently performed significantly better on working memory and vocabulary tasks, and they also demonstrated enhanced inhibitory control and verbal fluency.</w:t>
      </w:r>
    </w:p>
    <w:p w14:paraId="3DFE2571" w14:textId="6BA5181E" w:rsidR="00D02346" w:rsidRDefault="00D02346" w:rsidP="00D02346">
      <w:pPr>
        <w:pStyle w:val="Titre2"/>
      </w:pPr>
      <w:r>
        <w:t>Figure 1</w:t>
      </w:r>
      <w:r w:rsidR="00025094">
        <w:t>3</w:t>
      </w:r>
      <w:r>
        <w:t>. Mean Fluency Performance by School</w:t>
      </w:r>
    </w:p>
    <w:p w14:paraId="59EF34CB" w14:textId="77777777" w:rsidR="00D02346" w:rsidRDefault="00D02346" w:rsidP="00D02346">
      <w:r>
        <w:rPr>
          <w:noProof/>
        </w:rPr>
        <w:drawing>
          <wp:inline distT="0" distB="0" distL="0" distR="0" wp14:anchorId="48C93A4B" wp14:editId="49BECE13">
            <wp:extent cx="4556125" cy="2571750"/>
            <wp:effectExtent l="0" t="0" r="0" b="0"/>
            <wp:docPr id="10" name="Picture 10" descr="Une image contenant texte, capture d’écran, jaun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e image contenant texte, capture d’écran, jaune, ligne&#10;&#10;Le contenu généré par l’IA peut être incorrect."/>
                    <pic:cNvPicPr/>
                  </pic:nvPicPr>
                  <pic:blipFill rotWithShape="1">
                    <a:blip r:embed="rId19"/>
                    <a:srcRect t="5923"/>
                    <a:stretch/>
                  </pic:blipFill>
                  <pic:spPr bwMode="auto">
                    <a:xfrm>
                      <a:off x="0" y="0"/>
                      <a:ext cx="4565318" cy="2576939"/>
                    </a:xfrm>
                    <a:prstGeom prst="rect">
                      <a:avLst/>
                    </a:prstGeom>
                    <a:ln>
                      <a:noFill/>
                    </a:ln>
                    <a:extLst>
                      <a:ext uri="{53640926-AAD7-44D8-BBD7-CCE9431645EC}">
                        <a14:shadowObscured xmlns:a14="http://schemas.microsoft.com/office/drawing/2010/main"/>
                      </a:ext>
                    </a:extLst>
                  </pic:spPr>
                </pic:pic>
              </a:graphicData>
            </a:graphic>
          </wp:inline>
        </w:drawing>
      </w:r>
    </w:p>
    <w:p w14:paraId="1A25F81F" w14:textId="086288D9" w:rsidR="004056F8" w:rsidRPr="00BE37A8" w:rsidRDefault="004056F8" w:rsidP="004056F8">
      <w:pPr>
        <w:spacing w:after="160" w:line="278" w:lineRule="auto"/>
        <w:rPr>
          <w:lang w:val="en-CA"/>
        </w:rPr>
      </w:pPr>
      <w:r w:rsidRPr="00BE37A8">
        <w:rPr>
          <w:lang w:val="en-CA"/>
        </w:rPr>
        <w:lastRenderedPageBreak/>
        <w:t>One notable contribution of this study is the alignment between teacher-reported executive function (via BRIEF-2) and observed language consistency, suggesting that classroom input may exert meaningful influence beyond language development alone. This finding reinforces the cognitive advantage model of bilingualism, where the regular management of dual linguistic systems appears to strengthen domain-general control mechanisms.</w:t>
      </w:r>
      <w:r w:rsidR="00FE587A">
        <w:rPr>
          <w:lang w:val="en-CA"/>
        </w:rPr>
        <w:t xml:space="preserve"> </w:t>
      </w:r>
    </w:p>
    <w:p w14:paraId="3DAC6B31" w14:textId="77777777" w:rsidR="004056F8" w:rsidRDefault="004056F8" w:rsidP="004056F8">
      <w:pPr>
        <w:spacing w:after="160" w:line="278" w:lineRule="auto"/>
        <w:rPr>
          <w:lang w:val="en-CA"/>
        </w:rPr>
      </w:pPr>
      <w:r w:rsidRPr="00BE37A8">
        <w:rPr>
          <w:lang w:val="en-CA"/>
        </w:rPr>
        <w:t>Importantly, our study adds to the relatively limited body of evidence on how immersion pedagogy affects neurodivergent learners. While performance gains were observed in students with ADHD and ASD exposed to high-French environments, the variability within these subgroups points to the need for more nuanced understanding. It is plausible that the structured routine of monolingual instruction in French contributes to reduced cognitive load and more predictable classroom dynamics, which can benefit learners who thrive on consistency and environmental cues.</w:t>
      </w:r>
    </w:p>
    <w:p w14:paraId="33825C4B" w14:textId="53AFCAE4" w:rsidR="00D02346" w:rsidRDefault="00D02346" w:rsidP="00D02346">
      <w:pPr>
        <w:pStyle w:val="Titre2"/>
      </w:pPr>
      <w:r>
        <w:t>Figure 1</w:t>
      </w:r>
      <w:r w:rsidR="00025094">
        <w:t>4</w:t>
      </w:r>
      <w:r>
        <w:t>. Vocabulary Score Gains After One Year in Immersion</w:t>
      </w:r>
    </w:p>
    <w:p w14:paraId="2B1B858F" w14:textId="77777777" w:rsidR="00D02346" w:rsidRDefault="00D02346" w:rsidP="00D02346">
      <w:r>
        <w:rPr>
          <w:noProof/>
        </w:rPr>
        <w:drawing>
          <wp:inline distT="0" distB="0" distL="0" distR="0" wp14:anchorId="2C1851B9" wp14:editId="14E82172">
            <wp:extent cx="4137024" cy="2320290"/>
            <wp:effectExtent l="0" t="0" r="0" b="3810"/>
            <wp:docPr id="13" name="Picture 13" descr="Une image contenant texte, ligne, capture d’écran,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ne image contenant texte, ligne, capture d’écran, Tracé&#10;&#10;Le contenu généré par l’IA peut être incorrect."/>
                    <pic:cNvPicPr/>
                  </pic:nvPicPr>
                  <pic:blipFill rotWithShape="1">
                    <a:blip r:embed="rId20"/>
                    <a:srcRect t="6523"/>
                    <a:stretch/>
                  </pic:blipFill>
                  <pic:spPr bwMode="auto">
                    <a:xfrm>
                      <a:off x="0" y="0"/>
                      <a:ext cx="4143729" cy="2324051"/>
                    </a:xfrm>
                    <a:prstGeom prst="rect">
                      <a:avLst/>
                    </a:prstGeom>
                    <a:ln>
                      <a:noFill/>
                    </a:ln>
                    <a:extLst>
                      <a:ext uri="{53640926-AAD7-44D8-BBD7-CCE9431645EC}">
                        <a14:shadowObscured xmlns:a14="http://schemas.microsoft.com/office/drawing/2010/main"/>
                      </a:ext>
                    </a:extLst>
                  </pic:spPr>
                </pic:pic>
              </a:graphicData>
            </a:graphic>
          </wp:inline>
        </w:drawing>
      </w:r>
    </w:p>
    <w:p w14:paraId="59DF9065" w14:textId="29D21618" w:rsidR="00D02346" w:rsidRDefault="00D02346" w:rsidP="00D02346">
      <w:pPr>
        <w:pStyle w:val="Titre2"/>
      </w:pPr>
      <w:r>
        <w:t>Figure 1</w:t>
      </w:r>
      <w:r w:rsidR="00025094">
        <w:t>5</w:t>
      </w:r>
      <w:r>
        <w:t>. Proportion of Students Meeting National Benchmarks by Group</w:t>
      </w:r>
    </w:p>
    <w:p w14:paraId="70B35D89" w14:textId="77777777" w:rsidR="00D02346" w:rsidRDefault="00D02346" w:rsidP="00D02346">
      <w:r>
        <w:rPr>
          <w:noProof/>
        </w:rPr>
        <w:drawing>
          <wp:inline distT="0" distB="0" distL="0" distR="0" wp14:anchorId="7E3DF827" wp14:editId="7831DFAB">
            <wp:extent cx="4792133" cy="2675255"/>
            <wp:effectExtent l="0" t="0" r="8890" b="0"/>
            <wp:docPr id="14" name="Picture 14" descr="Une image contenant texte, capture d’écran, Rectangl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texte, capture d’écran, Rectangle, ligne&#10;&#10;Le contenu généré par l’IA peut être incorrect."/>
                    <pic:cNvPicPr/>
                  </pic:nvPicPr>
                  <pic:blipFill rotWithShape="1">
                    <a:blip r:embed="rId21"/>
                    <a:srcRect t="6956"/>
                    <a:stretch/>
                  </pic:blipFill>
                  <pic:spPr bwMode="auto">
                    <a:xfrm>
                      <a:off x="0" y="0"/>
                      <a:ext cx="4802873" cy="2681251"/>
                    </a:xfrm>
                    <a:prstGeom prst="rect">
                      <a:avLst/>
                    </a:prstGeom>
                    <a:ln>
                      <a:noFill/>
                    </a:ln>
                    <a:extLst>
                      <a:ext uri="{53640926-AAD7-44D8-BBD7-CCE9431645EC}">
                        <a14:shadowObscured xmlns:a14="http://schemas.microsoft.com/office/drawing/2010/main"/>
                      </a:ext>
                    </a:extLst>
                  </pic:spPr>
                </pic:pic>
              </a:graphicData>
            </a:graphic>
          </wp:inline>
        </w:drawing>
      </w:r>
    </w:p>
    <w:p w14:paraId="1A991DE8" w14:textId="77777777" w:rsidR="004056F8" w:rsidRPr="00BE37A8" w:rsidRDefault="004056F8" w:rsidP="004056F8">
      <w:pPr>
        <w:spacing w:after="160" w:line="278" w:lineRule="auto"/>
        <w:rPr>
          <w:lang w:val="en-CA"/>
        </w:rPr>
      </w:pPr>
      <w:r w:rsidRPr="00BE37A8">
        <w:rPr>
          <w:lang w:val="en-CA"/>
        </w:rPr>
        <w:lastRenderedPageBreak/>
        <w:t>Our findings also intersect with broader educational equity concerns. While immersion programs were originally designed for majority-language students, they are increasingly attended by diverse learners, including those with IEPs and those from multilingual households. The current study underscores that consistency in the target language does not exclude vulnerable populations from benefiting cognitively—in fact, it may enhance their educational experience when appropriate scaffolding is in place.</w:t>
      </w:r>
    </w:p>
    <w:p w14:paraId="7F1CFE5B" w14:textId="77777777" w:rsidR="004056F8" w:rsidRPr="00BE37A8" w:rsidRDefault="004056F8" w:rsidP="004056F8">
      <w:pPr>
        <w:spacing w:after="160" w:line="278" w:lineRule="auto"/>
        <w:rPr>
          <w:lang w:val="en-CA"/>
        </w:rPr>
      </w:pPr>
      <w:r w:rsidRPr="00BE37A8">
        <w:rPr>
          <w:lang w:val="en-CA"/>
        </w:rPr>
        <w:t>Several limitations should be acknowledged. First, the cross-sectional design does not allow for causal inferences. Longitudinal studies could track the developmental trajectories of students exposed to varying degrees of French over time. Second, although interrater reliability for observational coding was high, the measurement of teacher language input remains partly subjective and context-dependent. Finally, our sample size for neurodivergent subgroups, while representative, was relatively small and did not permit full stratification by diagnosis.</w:t>
      </w:r>
    </w:p>
    <w:p w14:paraId="1656E84A" w14:textId="77777777" w:rsidR="004056F8" w:rsidRPr="00BE37A8" w:rsidRDefault="004056F8" w:rsidP="004056F8">
      <w:pPr>
        <w:spacing w:after="160" w:line="278" w:lineRule="auto"/>
        <w:rPr>
          <w:lang w:val="en-CA"/>
        </w:rPr>
      </w:pPr>
      <w:r w:rsidRPr="00BE37A8">
        <w:rPr>
          <w:lang w:val="en-CA"/>
        </w:rPr>
        <w:t>Despite these limitations, the study offers compelling preliminary evidence that language input consistency plays a significant role in shaping both linguistic and cognitive outcomes in immersion settings. These findings invite educational stakeholders to reconsider teacher training frameworks and policy guidelines in immersion programs, particularly those striving for inclusive excellence.</w:t>
      </w:r>
    </w:p>
    <w:p w14:paraId="1F1A22D8" w14:textId="77777777" w:rsidR="004056F8" w:rsidRDefault="004056F8" w:rsidP="004056F8">
      <w:pPr>
        <w:spacing w:after="160" w:line="278" w:lineRule="auto"/>
        <w:rPr>
          <w:lang w:val="en-CA"/>
        </w:rPr>
      </w:pPr>
      <w:r w:rsidRPr="00BE37A8">
        <w:rPr>
          <w:lang w:val="en-CA"/>
        </w:rPr>
        <w:t>Future research might explore the neurophysiological underpinnings of these findings using neuroimaging techniques, investigate the impact of targeted interventions to increase French use in classrooms, or analyze interactions between home language input and school instruction. Ultimately, immersion pedagogy must evolve in tandem with our growing understanding of how language shapes the developing brain—especially for learners whose cognitive pathways differ from the norm.</w:t>
      </w:r>
    </w:p>
    <w:p w14:paraId="48B788A4" w14:textId="77777777" w:rsidR="004056F8" w:rsidRDefault="004056F8" w:rsidP="004056F8">
      <w:r>
        <w:t>In addition, qualitative observations revealed meaningful pedagogical differences in how language consistency was implemented. For instance, some teachers in Group A reinforced vocabulary acquisition with visual aids and gestures, creating multimodal language cues that facilitated comprehension for all learners. In contrast, several Group B classrooms resorted to English to clarify instructions, often defaulting to monolingual explanations during transitions or moments of behavioral management. These patterns raise important questions about the pedagogical training and systemic support necessary to sustain immersion fidelity in inclusive classrooms.</w:t>
      </w:r>
    </w:p>
    <w:p w14:paraId="4401E30E" w14:textId="77777777" w:rsidR="004056F8" w:rsidRDefault="004056F8" w:rsidP="004056F8">
      <w:r>
        <w:t>Contrary to the dominant narrative, some scholars argue that rigid adherence to target-language exclusivity can marginalize students with weaker academic French or recent arrivals to immersion. For example, Cummins (2001) advocates for flexible language policies that support additive bilingualism and validate students’ home languages. Thus, while our findings affirm the cognitive benefits of consistency, they must be interpreted within a broader ecological framework where pedagogical responsiveness remains paramount.</w:t>
      </w:r>
    </w:p>
    <w:p w14:paraId="17706402" w14:textId="77777777" w:rsidR="004056F8" w:rsidRDefault="004056F8" w:rsidP="004056F8">
      <w:r>
        <w:lastRenderedPageBreak/>
        <w:t>Future inquiries should test hybrid instructional models that maintain French as the dominant input while strategically leveraging English for metacognitive strategies or socio-emotional connection. This line of research could further explore whether intentional, limited code-switching has specific benefits for particular cognitive profiles. Furthermore, it remains to be determined whether the observed differences persist over time or amplify with cumulative exposure.</w:t>
      </w:r>
    </w:p>
    <w:p w14:paraId="4DB964FC" w14:textId="77777777" w:rsidR="004056F8" w:rsidRDefault="004056F8" w:rsidP="004056F8">
      <w:pPr>
        <w:pStyle w:val="Titre1"/>
      </w:pPr>
      <w:r>
        <w:t>Implications for Practice and Policy</w:t>
      </w:r>
    </w:p>
    <w:p w14:paraId="5C640398" w14:textId="3F5BD764" w:rsidR="004056F8" w:rsidRDefault="004056F8" w:rsidP="004056F8">
      <w:r>
        <w:t>These findings carry actionable implications for both classroom practice and educational policy. First, teacher education programs should include training in neurolinguistic principles and inclusive second-language pedagogy. Educators need tools not only to teach French effectively, but to adapt their speech registers, manage cognitive load, and scaffold students who may not yet have foundational fluency.</w:t>
      </w:r>
      <w:r w:rsidR="00FE587A">
        <w:t xml:space="preserve"> </w:t>
      </w:r>
      <w:r w:rsidR="00FE587A" w:rsidRPr="00FE587A">
        <w:t>Recent frameworks also advocate for multilingual-oriented pedagogy as a means of fostering inclusivity in bilingual classrooms (Loera et al., 2024).</w:t>
      </w:r>
    </w:p>
    <w:p w14:paraId="03EAB537" w14:textId="77777777" w:rsidR="004056F8" w:rsidRDefault="004056F8" w:rsidP="004056F8">
      <w:r>
        <w:t>Second, immersion program guidelines at the divisional and provincial levels should establish clearer benchmarks for language input consistency while allowing for responsive teaching. School administrators could support these benchmarks through regular observation, peer coaching, and professional learning communities focused on language-rich teaching.</w:t>
      </w:r>
    </w:p>
    <w:p w14:paraId="5E36AE09" w14:textId="77777777" w:rsidR="004056F8" w:rsidRDefault="004056F8" w:rsidP="004056F8">
      <w:r>
        <w:t>Third, inclusive education frameworks must explicitly address linguistic accessibility. Too often, neurodivergent students are overrepresented in early exit rates from immersion due to a perceived lack of fit. Our study suggests that with consistent input and supportive teaching, these students can thrive cognitively and linguistically.</w:t>
      </w:r>
    </w:p>
    <w:p w14:paraId="72BF6BCE" w14:textId="77777777" w:rsidR="004056F8" w:rsidRDefault="004056F8" w:rsidP="004056F8">
      <w:r>
        <w:t>Finally, researchers and policymakers should invest in longitudinal monitoring of immersion outcomes across diverse learner populations. Such efforts would ensure that immersion remains both a cognitively enriching and socially equitable educational pathway.</w:t>
      </w:r>
    </w:p>
    <w:p w14:paraId="3882A413" w14:textId="77777777" w:rsidR="00634493" w:rsidRDefault="00B7213F">
      <w:pPr>
        <w:pStyle w:val="Titre1"/>
      </w:pPr>
      <w:r>
        <w:t>Conclusion</w:t>
      </w:r>
    </w:p>
    <w:p w14:paraId="06DD3031" w14:textId="77777777" w:rsidR="00634493" w:rsidRDefault="00B7213F">
      <w:r>
        <w:t>This study provides robust preliminary evidence that consistent use of French in immersion classrooms enhances not only language proficiency but also core executive functions such as working memory and inhibitory control. The implications are especially pertinent for students with neurodevelopmental profiles, who may rely on environmental consistency and linguistic stability for optimal cognitive engagement.</w:t>
      </w:r>
    </w:p>
    <w:p w14:paraId="6E8E7F9F" w14:textId="77777777" w:rsidR="00634493" w:rsidRDefault="00B7213F">
      <w:r>
        <w:t xml:space="preserve">As French immersion programs continue to expand across Canada and internationally, this research underscores the importance of pedagogical fidelity—not as a rigid rule, but as a foundation for equitable and neurologically informed education. In a time when inclusive practices are rightfully prioritized, ensuring that language immersion remains accessible, </w:t>
      </w:r>
      <w:r>
        <w:lastRenderedPageBreak/>
        <w:t>structured, and cognitively supportive for all learners is both a practical and ethical imperative.</w:t>
      </w:r>
    </w:p>
    <w:p w14:paraId="6BC2DCF6" w14:textId="77777777" w:rsidR="00634493" w:rsidRDefault="00B7213F">
      <w:r>
        <w:t>We recommend that school divisions and teacher training institutions integrate findings from neuroeducation into immersion program planning. This includes fostering awareness among educators of how their language use in the classroom may shape not only linguistic development but also the broader neurocognitive architecture of their students.</w:t>
      </w:r>
    </w:p>
    <w:p w14:paraId="2DA3C048" w14:textId="3DD8EFD7" w:rsidR="00634493" w:rsidRDefault="00B7213F">
      <w:r>
        <w:t>By deepening our understanding of how consistent language environments affect diverse learners, this study contributes to the evolving dialogue between neuroscience, language education, and inclusive pedagogy. The next phase must be one of action—designing immersion programs that are not only linguistically rich but cognitively responsive, inclusive, and sustainable.</w:t>
      </w:r>
      <w:r w:rsidR="00FE587A">
        <w:t xml:space="preserve"> </w:t>
      </w:r>
      <w:r w:rsidR="00FE587A" w:rsidRPr="00FE587A">
        <w:t>As such, inclusive bilingual education must be grounded not only in linguistic fidelity but in pedagogical adaptability—ensuring equitable access to cognitive benefits for all learners, including those with neurodivergent profiles (Loera et al., 2024).</w:t>
      </w:r>
    </w:p>
    <w:p w14:paraId="7E1447D2" w14:textId="77777777" w:rsidR="00634493" w:rsidRDefault="00B7213F">
      <w:r>
        <w:t>Moving forward, researchers should prioritize designs that measure not only academic outcomes but also student identity, well-being, and participation. Only then can immersion be fully understood as a humanizing and empowering experience—not just a language program, but a space of cognitive and cultural transformation.</w:t>
      </w:r>
    </w:p>
    <w:p w14:paraId="298BDED8" w14:textId="77777777" w:rsidR="005D1422" w:rsidRPr="005D1422" w:rsidRDefault="005D1422" w:rsidP="005D1422">
      <w:pPr>
        <w:rPr>
          <w:rFonts w:ascii="Calibri" w:eastAsia="Calibri" w:hAnsi="Calibri" w:cs="Times New Roman"/>
          <w:kern w:val="2"/>
          <w:sz w:val="20"/>
          <w:szCs w:val="20"/>
          <w:lang w:val="en-CA"/>
        </w:rPr>
      </w:pPr>
      <w:bookmarkStart w:id="0" w:name="_Hlk193540946"/>
      <w:bookmarkStart w:id="1" w:name="_Hlk180402183"/>
      <w:bookmarkStart w:id="2" w:name="_Hlk183680988"/>
      <w:r w:rsidRPr="005D1422">
        <w:rPr>
          <w:rFonts w:ascii="Calibri" w:eastAsia="Calibri" w:hAnsi="Calibri" w:cs="Times New Roman"/>
          <w:kern w:val="2"/>
          <w:sz w:val="20"/>
          <w:szCs w:val="20"/>
          <w:lang w:val="en-CA"/>
        </w:rPr>
        <w:t>Acknowledgements</w:t>
      </w:r>
    </w:p>
    <w:p w14:paraId="75EEDEB2" w14:textId="77777777" w:rsidR="004F2D39" w:rsidRPr="004F2D39" w:rsidRDefault="004F2D39" w:rsidP="004F2D39">
      <w:pPr>
        <w:rPr>
          <w:rFonts w:ascii="Calibri" w:eastAsia="Calibri" w:hAnsi="Calibri" w:cs="Times New Roman"/>
          <w:kern w:val="2"/>
          <w:sz w:val="20"/>
          <w:szCs w:val="20"/>
          <w:lang w:val="en-CA"/>
        </w:rPr>
      </w:pPr>
      <w:r w:rsidRPr="004F2D39">
        <w:rPr>
          <w:rFonts w:ascii="Calibri" w:eastAsia="Calibri" w:hAnsi="Calibri" w:cs="Times New Roman"/>
          <w:kern w:val="2"/>
          <w:sz w:val="20"/>
          <w:szCs w:val="20"/>
          <w:lang w:val="en-CA"/>
        </w:rPr>
        <w:t>We are grateful to the Louis Riel School Division, Winnipeg School Division, and Seven Oaks School Division for supporting this research. We also extend our sincere thanks to the school communities who welcomed us into their classrooms—the teachers, resource staff, administrators, and above all, the students—for their openness, collaboration, and enthusiasm throughout the study. This research was supported in part by institutional research funding from the University of Manitoba and would not have been possible without the broader support of regional and national initiatives promoting inclusive bilingual education. We also thank the anonymous reviewers for their thoughtful suggestions, which helped improve the final manuscript.</w:t>
      </w:r>
    </w:p>
    <w:p w14:paraId="5402C58B" w14:textId="4E147064" w:rsidR="00CB23C6" w:rsidRPr="003F3439" w:rsidRDefault="00CB23C6" w:rsidP="003F3439">
      <w:pPr>
        <w:rPr>
          <w:rFonts w:ascii="Calibri" w:eastAsia="Calibri" w:hAnsi="Calibri" w:cs="Times New Roman"/>
          <w:kern w:val="2"/>
          <w:sz w:val="20"/>
          <w:szCs w:val="20"/>
        </w:rPr>
      </w:pPr>
      <w:r w:rsidRPr="003F3439">
        <w:rPr>
          <w:rFonts w:ascii="Calibri" w:eastAsia="Calibri" w:hAnsi="Calibri" w:cs="Times New Roman"/>
          <w:kern w:val="2"/>
          <w:sz w:val="20"/>
          <w:szCs w:val="20"/>
        </w:rPr>
        <w:t>Disclaimer</w:t>
      </w:r>
    </w:p>
    <w:p w14:paraId="75B5D628" w14:textId="77777777" w:rsidR="00CB23C6" w:rsidRPr="003F3439" w:rsidRDefault="00CB23C6" w:rsidP="003F3439">
      <w:pPr>
        <w:rPr>
          <w:rFonts w:ascii="Calibri" w:eastAsia="Calibri" w:hAnsi="Calibri" w:cs="Times New Roman"/>
          <w:kern w:val="2"/>
          <w:sz w:val="20"/>
          <w:szCs w:val="20"/>
        </w:rPr>
      </w:pPr>
      <w:r w:rsidRPr="003F3439">
        <w:rPr>
          <w:rFonts w:ascii="Calibri" w:eastAsia="Calibri" w:hAnsi="Calibri" w:cs="Times New Roman"/>
          <w:kern w:val="2"/>
          <w:sz w:val="20"/>
          <w:szCs w:val="20"/>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4F7139A6" w14:textId="6D105C06" w:rsidR="00E6128D" w:rsidRDefault="00B7213F" w:rsidP="003F3439">
      <w:pPr>
        <w:pStyle w:val="Titre1"/>
      </w:pPr>
      <w:r>
        <w:t>References</w:t>
      </w:r>
    </w:p>
    <w:p w14:paraId="36A35E03" w14:textId="77777777" w:rsidR="003F3439" w:rsidRPr="00095EF0" w:rsidRDefault="003F3439" w:rsidP="003F3439">
      <w:pPr>
        <w:rPr>
          <w:lang w:val="en-CA"/>
        </w:rPr>
      </w:pPr>
      <w:r w:rsidRPr="003F3439">
        <w:rPr>
          <w:lang w:val="en-CA"/>
        </w:rPr>
        <w:t xml:space="preserve">Abutalebi, J., &amp; Green, D. W. (2007). Bilingual language production: The neurocognition of language representation and control. </w:t>
      </w:r>
      <w:r w:rsidRPr="00095EF0">
        <w:rPr>
          <w:i/>
          <w:iCs/>
          <w:lang w:val="en-CA"/>
        </w:rPr>
        <w:t>Journal of Neurolinguistics</w:t>
      </w:r>
      <w:r w:rsidRPr="00095EF0">
        <w:rPr>
          <w:lang w:val="en-CA"/>
        </w:rPr>
        <w:t>, 20(3), 242–275.</w:t>
      </w:r>
    </w:p>
    <w:p w14:paraId="345A75DA" w14:textId="77777777" w:rsidR="003F3439" w:rsidRPr="00095EF0" w:rsidRDefault="003F3439" w:rsidP="003F3439">
      <w:pPr>
        <w:rPr>
          <w:lang w:val="en-CA"/>
        </w:rPr>
      </w:pPr>
      <w:r w:rsidRPr="003F3439">
        <w:rPr>
          <w:lang w:val="en-CA"/>
        </w:rPr>
        <w:t xml:space="preserve">Antoniou, M., &amp; Wright, S. M. (2017). Uncovering the mechanisms of bilingual advantage in executive function: The role of brain connectivity. </w:t>
      </w:r>
      <w:r w:rsidRPr="00095EF0">
        <w:rPr>
          <w:i/>
          <w:iCs/>
          <w:lang w:val="en-CA"/>
        </w:rPr>
        <w:t>Cognition</w:t>
      </w:r>
      <w:r w:rsidRPr="00095EF0">
        <w:rPr>
          <w:lang w:val="en-CA"/>
        </w:rPr>
        <w:t>, 164, 1–12.</w:t>
      </w:r>
    </w:p>
    <w:p w14:paraId="0D680118" w14:textId="77777777" w:rsidR="003F3439" w:rsidRPr="00095EF0" w:rsidRDefault="003F3439" w:rsidP="003F3439">
      <w:pPr>
        <w:rPr>
          <w:lang w:val="en-CA"/>
        </w:rPr>
      </w:pPr>
      <w:r w:rsidRPr="003F3439">
        <w:rPr>
          <w:lang w:val="en-CA"/>
        </w:rPr>
        <w:t xml:space="preserve">Barac, R., Bialystok, E., Castro, D. C., &amp; Sanchez, M. (2014). The cognitive development of young dual language learners. </w:t>
      </w:r>
      <w:r w:rsidRPr="00095EF0">
        <w:rPr>
          <w:i/>
          <w:iCs/>
          <w:lang w:val="en-CA"/>
        </w:rPr>
        <w:t>Early Childhood Research Quarterly</w:t>
      </w:r>
      <w:r w:rsidRPr="00095EF0">
        <w:rPr>
          <w:lang w:val="en-CA"/>
        </w:rPr>
        <w:t>, 29(4), 699–714.</w:t>
      </w:r>
    </w:p>
    <w:p w14:paraId="69FEA17A" w14:textId="77777777" w:rsidR="003F3439" w:rsidRPr="00095EF0" w:rsidRDefault="003F3439" w:rsidP="003F3439">
      <w:pPr>
        <w:rPr>
          <w:lang w:val="en-CA"/>
        </w:rPr>
      </w:pPr>
      <w:r w:rsidRPr="003F3439">
        <w:rPr>
          <w:lang w:val="en-CA"/>
        </w:rPr>
        <w:lastRenderedPageBreak/>
        <w:t xml:space="preserve">Bialystok, E., Craik, F. I., &amp; Luk, G. (2012). Bilingualism: Consequences for mind and brain. </w:t>
      </w:r>
      <w:r w:rsidRPr="00095EF0">
        <w:rPr>
          <w:i/>
          <w:iCs/>
          <w:lang w:val="en-CA"/>
        </w:rPr>
        <w:t>Trends in Cognitive Sciences</w:t>
      </w:r>
      <w:r w:rsidRPr="00095EF0">
        <w:rPr>
          <w:lang w:val="en-CA"/>
        </w:rPr>
        <w:t>, 16(4), 240–250.</w:t>
      </w:r>
    </w:p>
    <w:p w14:paraId="6885A228" w14:textId="77777777" w:rsidR="003F3439" w:rsidRPr="00095EF0" w:rsidRDefault="003F3439" w:rsidP="003F3439">
      <w:pPr>
        <w:rPr>
          <w:lang w:val="en-CA"/>
        </w:rPr>
      </w:pPr>
      <w:r w:rsidRPr="003F3439">
        <w:rPr>
          <w:lang w:val="en-CA"/>
        </w:rPr>
        <w:t xml:space="preserve">Carlson, S. M., &amp; Meltzoff, A. N. (2008). Bilingual experience and executive functioning in young children. </w:t>
      </w:r>
      <w:r w:rsidRPr="00095EF0">
        <w:rPr>
          <w:i/>
          <w:iCs/>
          <w:lang w:val="en-CA"/>
        </w:rPr>
        <w:t>Developmental Science</w:t>
      </w:r>
      <w:r w:rsidRPr="00095EF0">
        <w:rPr>
          <w:lang w:val="en-CA"/>
        </w:rPr>
        <w:t>, 11(2), 282–298.</w:t>
      </w:r>
    </w:p>
    <w:p w14:paraId="69AAB464" w14:textId="77777777" w:rsidR="003F3439" w:rsidRPr="00095EF0" w:rsidRDefault="003F3439" w:rsidP="003F3439">
      <w:pPr>
        <w:rPr>
          <w:lang w:val="en-CA"/>
        </w:rPr>
      </w:pPr>
      <w:r w:rsidRPr="003F3439">
        <w:rPr>
          <w:lang w:val="en-CA"/>
        </w:rPr>
        <w:t xml:space="preserve">Creswell, J. W., &amp; Plano Clark, V. L. (2018). </w:t>
      </w:r>
      <w:r w:rsidRPr="003F3439">
        <w:rPr>
          <w:i/>
          <w:iCs/>
          <w:lang w:val="en-CA"/>
        </w:rPr>
        <w:t>Designing and Conducting Mixed Methods Research</w:t>
      </w:r>
      <w:r w:rsidRPr="003F3439">
        <w:rPr>
          <w:lang w:val="en-CA"/>
        </w:rPr>
        <w:t xml:space="preserve"> (3rd ed.). </w:t>
      </w:r>
      <w:r w:rsidRPr="00095EF0">
        <w:rPr>
          <w:lang w:val="en-CA"/>
        </w:rPr>
        <w:t>SAGE Publications.</w:t>
      </w:r>
    </w:p>
    <w:p w14:paraId="54D754B1" w14:textId="77777777" w:rsidR="003F3439" w:rsidRPr="00095EF0" w:rsidRDefault="003F3439" w:rsidP="003F3439">
      <w:pPr>
        <w:rPr>
          <w:lang w:val="en-CA"/>
        </w:rPr>
      </w:pPr>
      <w:r w:rsidRPr="003F3439">
        <w:rPr>
          <w:lang w:val="en-CA"/>
        </w:rPr>
        <w:t xml:space="preserve">Cummins, J. (2001). Bilingual children's mother tongue: Why is it important for education? </w:t>
      </w:r>
      <w:r w:rsidRPr="00095EF0">
        <w:rPr>
          <w:i/>
          <w:iCs/>
          <w:lang w:val="en-CA"/>
        </w:rPr>
        <w:t>Sprogforum</w:t>
      </w:r>
      <w:r w:rsidRPr="00095EF0">
        <w:rPr>
          <w:lang w:val="en-CA"/>
        </w:rPr>
        <w:t>, 19(7), 15–20.</w:t>
      </w:r>
    </w:p>
    <w:p w14:paraId="63D8E782" w14:textId="77777777" w:rsidR="003F3439" w:rsidRPr="00095EF0" w:rsidRDefault="003F3439" w:rsidP="003F3439">
      <w:pPr>
        <w:rPr>
          <w:lang w:val="en-CA"/>
        </w:rPr>
      </w:pPr>
      <w:r w:rsidRPr="003F3439">
        <w:rPr>
          <w:lang w:val="en-CA"/>
        </w:rPr>
        <w:t xml:space="preserve">García, O., &amp; Wei, L. (2021). </w:t>
      </w:r>
      <w:r w:rsidRPr="003F3439">
        <w:rPr>
          <w:i/>
          <w:iCs/>
          <w:lang w:val="en-CA"/>
        </w:rPr>
        <w:t>The Translanguaging Classroom: Leveraging Student Bilingualism for Learning</w:t>
      </w:r>
      <w:r w:rsidRPr="003F3439">
        <w:rPr>
          <w:lang w:val="en-CA"/>
        </w:rPr>
        <w:t xml:space="preserve">. </w:t>
      </w:r>
      <w:r w:rsidRPr="00095EF0">
        <w:rPr>
          <w:lang w:val="en-CA"/>
        </w:rPr>
        <w:t>Caslon.</w:t>
      </w:r>
    </w:p>
    <w:p w14:paraId="133664EF" w14:textId="77777777" w:rsidR="003F3439" w:rsidRPr="00095EF0" w:rsidRDefault="003F3439" w:rsidP="003F3439">
      <w:pPr>
        <w:rPr>
          <w:lang w:val="en-CA"/>
        </w:rPr>
      </w:pPr>
      <w:r w:rsidRPr="003F3439">
        <w:rPr>
          <w:lang w:val="en-CA"/>
        </w:rPr>
        <w:t xml:space="preserve">Genesee, F., &amp; Jared, D. (2008). Literacy development in early French immersion programs. </w:t>
      </w:r>
      <w:r w:rsidRPr="00095EF0">
        <w:rPr>
          <w:i/>
          <w:iCs/>
          <w:lang w:val="en-CA"/>
        </w:rPr>
        <w:t>Canadian Psychology</w:t>
      </w:r>
      <w:r w:rsidRPr="00095EF0">
        <w:rPr>
          <w:lang w:val="en-CA"/>
        </w:rPr>
        <w:t>, 49(2), 140–147.</w:t>
      </w:r>
    </w:p>
    <w:p w14:paraId="28CADE39" w14:textId="77777777" w:rsidR="003F3439" w:rsidRPr="003F3439" w:rsidRDefault="003F3439" w:rsidP="003F3439">
      <w:pPr>
        <w:rPr>
          <w:lang w:val="en-CA"/>
        </w:rPr>
      </w:pPr>
      <w:r w:rsidRPr="003F3439">
        <w:rPr>
          <w:lang w:val="en-CA"/>
        </w:rPr>
        <w:t xml:space="preserve">Kroll, J. F., Dussias, P. E., Bogulski, C. A., &amp; Valdes Kroff, J. R. (2012). Juggling two languages in one mind. </w:t>
      </w:r>
      <w:r w:rsidRPr="003F3439">
        <w:rPr>
          <w:i/>
          <w:iCs/>
          <w:lang w:val="en-CA"/>
        </w:rPr>
        <w:t>Psychology of Learning and Motivation</w:t>
      </w:r>
      <w:r w:rsidRPr="003F3439">
        <w:rPr>
          <w:lang w:val="en-CA"/>
        </w:rPr>
        <w:t>, 56, 229–262.</w:t>
      </w:r>
    </w:p>
    <w:p w14:paraId="09BBE96E" w14:textId="77777777" w:rsidR="003F3439" w:rsidRPr="003F3439" w:rsidRDefault="003F3439" w:rsidP="003F3439">
      <w:pPr>
        <w:rPr>
          <w:lang w:val="en-CA"/>
        </w:rPr>
      </w:pPr>
      <w:r w:rsidRPr="00095EF0">
        <w:rPr>
          <w:lang w:val="en-CA"/>
        </w:rPr>
        <w:t xml:space="preserve">Loera, M., Muñoz, C., &amp; Torres, J. (2024). </w:t>
      </w:r>
      <w:r w:rsidRPr="003F3439">
        <w:rPr>
          <w:lang w:val="en-CA"/>
        </w:rPr>
        <w:t xml:space="preserve">Fostering inclusive educational practices through multilingual-oriented pedagogy. </w:t>
      </w:r>
      <w:r w:rsidRPr="003F3439">
        <w:rPr>
          <w:i/>
          <w:iCs/>
          <w:lang w:val="en-CA"/>
        </w:rPr>
        <w:t>International Journal of Bilingual Education and Bilingualism</w:t>
      </w:r>
      <w:r w:rsidRPr="003F3439">
        <w:rPr>
          <w:lang w:val="en-CA"/>
        </w:rPr>
        <w:t>, Advance online publication.</w:t>
      </w:r>
    </w:p>
    <w:p w14:paraId="08F6E7B2" w14:textId="77777777" w:rsidR="003F3439" w:rsidRPr="00095EF0" w:rsidRDefault="003F3439" w:rsidP="003F3439">
      <w:pPr>
        <w:rPr>
          <w:lang w:val="en-CA"/>
        </w:rPr>
      </w:pPr>
      <w:r w:rsidRPr="003F3439">
        <w:rPr>
          <w:lang w:val="en-CA"/>
        </w:rPr>
        <w:t xml:space="preserve">Paradis, J. (2011). Individual differences in child English second language acquisition. </w:t>
      </w:r>
      <w:r w:rsidRPr="00095EF0">
        <w:rPr>
          <w:i/>
          <w:iCs/>
          <w:lang w:val="en-CA"/>
        </w:rPr>
        <w:t>Linguistic Approaches to Bilingualism</w:t>
      </w:r>
      <w:r w:rsidRPr="00095EF0">
        <w:rPr>
          <w:lang w:val="en-CA"/>
        </w:rPr>
        <w:t>, 1(3), 213–237.</w:t>
      </w:r>
    </w:p>
    <w:p w14:paraId="03235D20" w14:textId="77777777" w:rsidR="003F3439" w:rsidRPr="00095EF0" w:rsidRDefault="003F3439" w:rsidP="003F3439">
      <w:pPr>
        <w:rPr>
          <w:lang w:val="en-CA"/>
        </w:rPr>
      </w:pPr>
      <w:r w:rsidRPr="003F3439">
        <w:rPr>
          <w:lang w:val="en-CA"/>
        </w:rPr>
        <w:t xml:space="preserve">Swain, M., &amp; Lapkin, S. (1995). Problems in output and the cognitive processes they generate. </w:t>
      </w:r>
      <w:r w:rsidRPr="00095EF0">
        <w:rPr>
          <w:i/>
          <w:iCs/>
          <w:lang w:val="en-CA"/>
        </w:rPr>
        <w:t>Applied Linguistics</w:t>
      </w:r>
      <w:r w:rsidRPr="00095EF0">
        <w:rPr>
          <w:lang w:val="en-CA"/>
        </w:rPr>
        <w:t>, 16(3), 371–391.</w:t>
      </w:r>
    </w:p>
    <w:p w14:paraId="7EB856B5" w14:textId="77777777" w:rsidR="003F3439" w:rsidRPr="00095EF0" w:rsidRDefault="003F3439" w:rsidP="003F3439">
      <w:pPr>
        <w:rPr>
          <w:lang w:val="en-CA"/>
        </w:rPr>
      </w:pPr>
      <w:r w:rsidRPr="003F3439">
        <w:rPr>
          <w:lang w:val="en-CA"/>
        </w:rPr>
        <w:t xml:space="preserve">Thomas, E. M., &amp; Gathercole, V. C. (2007). Children’s productive command of syntax in bilingual Welsh–English classrooms. </w:t>
      </w:r>
      <w:r w:rsidRPr="00095EF0">
        <w:rPr>
          <w:i/>
          <w:iCs/>
          <w:lang w:val="en-CA"/>
        </w:rPr>
        <w:t>Applied Psycholinguistics</w:t>
      </w:r>
      <w:r w:rsidRPr="00095EF0">
        <w:rPr>
          <w:lang w:val="en-CA"/>
        </w:rPr>
        <w:t>, 28(3), 447–473.</w:t>
      </w:r>
    </w:p>
    <w:p w14:paraId="00E365E8" w14:textId="77777777" w:rsidR="003F3439" w:rsidRPr="00095EF0" w:rsidRDefault="003F3439" w:rsidP="003F3439">
      <w:pPr>
        <w:rPr>
          <w:lang w:val="en-CA"/>
        </w:rPr>
      </w:pPr>
      <w:r w:rsidRPr="003F3439">
        <w:rPr>
          <w:lang w:val="en-CA"/>
        </w:rPr>
        <w:t xml:space="preserve">Wessling, B., Linck, J. A., &amp; Kroll, J. F. (2023). Bilingualism and executive control: A meta-analysis. </w:t>
      </w:r>
      <w:r w:rsidRPr="00095EF0">
        <w:rPr>
          <w:i/>
          <w:iCs/>
          <w:lang w:val="en-CA"/>
        </w:rPr>
        <w:t>Behavioral Sciences</w:t>
      </w:r>
      <w:r w:rsidRPr="00095EF0">
        <w:rPr>
          <w:lang w:val="en-CA"/>
        </w:rPr>
        <w:t>, 13(2), 134.</w:t>
      </w:r>
    </w:p>
    <w:p w14:paraId="2EC91AF9" w14:textId="77777777" w:rsidR="003F3439" w:rsidRPr="003F3439" w:rsidRDefault="003F3439" w:rsidP="003F3439">
      <w:pPr>
        <w:rPr>
          <w:lang w:val="fr-CA"/>
        </w:rPr>
      </w:pPr>
      <w:r w:rsidRPr="003F3439">
        <w:rPr>
          <w:lang w:val="en-CA"/>
        </w:rPr>
        <w:t xml:space="preserve">Woumans, E., &amp; Duyck, W. (2023). Meta-analytic evidence of the bilingual advantage in executive functioning: An updated review. </w:t>
      </w:r>
      <w:r w:rsidRPr="003F3439">
        <w:rPr>
          <w:i/>
          <w:iCs/>
          <w:lang w:val="fr-CA"/>
        </w:rPr>
        <w:t>Journal of Cognitive Development</w:t>
      </w:r>
      <w:r w:rsidRPr="003F3439">
        <w:rPr>
          <w:lang w:val="fr-CA"/>
        </w:rPr>
        <w:t>, 24(1), 32–47.</w:t>
      </w:r>
    </w:p>
    <w:p w14:paraId="6A54299E" w14:textId="77777777" w:rsidR="003F3439" w:rsidRPr="003F3439" w:rsidRDefault="003F3439" w:rsidP="003F3439">
      <w:pPr>
        <w:rPr>
          <w:lang w:val="en-CA"/>
        </w:rPr>
      </w:pPr>
    </w:p>
    <w:sectPr w:rsidR="003F3439" w:rsidRPr="003F3439" w:rsidSect="00C46A01">
      <w:headerReference w:type="even" r:id="rId22"/>
      <w:headerReference w:type="default" r:id="rId23"/>
      <w:footerReference w:type="even" r:id="rId24"/>
      <w:footerReference w:type="default" r:id="rId25"/>
      <w:headerReference w:type="first" r:id="rId26"/>
      <w:footerReference w:type="first" r:id="rId27"/>
      <w:pgSz w:w="12240" w:h="15840"/>
      <w:pgMar w:top="1247" w:right="1588" w:bottom="993"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59A8" w14:textId="77777777" w:rsidR="00631605" w:rsidRDefault="00631605" w:rsidP="008E0390">
      <w:pPr>
        <w:spacing w:after="0" w:line="240" w:lineRule="auto"/>
      </w:pPr>
      <w:r>
        <w:separator/>
      </w:r>
    </w:p>
  </w:endnote>
  <w:endnote w:type="continuationSeparator" w:id="0">
    <w:p w14:paraId="2BE04260" w14:textId="77777777" w:rsidR="00631605" w:rsidRDefault="00631605" w:rsidP="008E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D412" w14:textId="77777777" w:rsidR="008E0390" w:rsidRDefault="008E03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750D" w14:textId="77777777" w:rsidR="008E0390" w:rsidRDefault="008E03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D9C7" w14:textId="77777777" w:rsidR="008E0390" w:rsidRDefault="008E03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C825" w14:textId="77777777" w:rsidR="00631605" w:rsidRDefault="00631605" w:rsidP="008E0390">
      <w:pPr>
        <w:spacing w:after="0" w:line="240" w:lineRule="auto"/>
      </w:pPr>
      <w:r>
        <w:separator/>
      </w:r>
    </w:p>
  </w:footnote>
  <w:footnote w:type="continuationSeparator" w:id="0">
    <w:p w14:paraId="07069A60" w14:textId="77777777" w:rsidR="00631605" w:rsidRDefault="00631605" w:rsidP="008E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E152" w14:textId="2DCBC41F" w:rsidR="008E0390" w:rsidRDefault="00000000">
    <w:pPr>
      <w:pStyle w:val="En-tte"/>
    </w:pPr>
    <w:r>
      <w:rPr>
        <w:noProof/>
      </w:rPr>
      <w:pict w14:anchorId="7F9FBA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12157" o:spid="_x0000_s1026" type="#_x0000_t136" style="position:absolute;margin-left:0;margin-top:0;width:575.1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C846" w14:textId="288CC56C" w:rsidR="008E0390" w:rsidRDefault="00000000">
    <w:pPr>
      <w:pStyle w:val="En-tte"/>
    </w:pPr>
    <w:r>
      <w:rPr>
        <w:noProof/>
      </w:rPr>
      <w:pict w14:anchorId="3C732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12158" o:spid="_x0000_s1027" type="#_x0000_t136" style="position:absolute;margin-left:0;margin-top:0;width:575.1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C7E9" w14:textId="78DDCDA5" w:rsidR="008E0390" w:rsidRDefault="00000000">
    <w:pPr>
      <w:pStyle w:val="En-tte"/>
    </w:pPr>
    <w:r>
      <w:rPr>
        <w:noProof/>
      </w:rPr>
      <w:pict w14:anchorId="2A82D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312156" o:spid="_x0000_s1025" type="#_x0000_t136" style="position:absolute;margin-left:0;margin-top:0;width:575.1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8D4205"/>
    <w:multiLevelType w:val="multilevel"/>
    <w:tmpl w:val="EA22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55298"/>
    <w:multiLevelType w:val="multilevel"/>
    <w:tmpl w:val="C722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86E89"/>
    <w:multiLevelType w:val="hybridMultilevel"/>
    <w:tmpl w:val="83389F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7F924CD"/>
    <w:multiLevelType w:val="multilevel"/>
    <w:tmpl w:val="0CC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E7BF1"/>
    <w:multiLevelType w:val="multilevel"/>
    <w:tmpl w:val="2DCE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27D23"/>
    <w:multiLevelType w:val="multilevel"/>
    <w:tmpl w:val="DA6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42298"/>
    <w:multiLevelType w:val="multilevel"/>
    <w:tmpl w:val="C38C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594686">
    <w:abstractNumId w:val="8"/>
  </w:num>
  <w:num w:numId="2" w16cid:durableId="2146190327">
    <w:abstractNumId w:val="6"/>
  </w:num>
  <w:num w:numId="3" w16cid:durableId="1873954536">
    <w:abstractNumId w:val="5"/>
  </w:num>
  <w:num w:numId="4" w16cid:durableId="1986350568">
    <w:abstractNumId w:val="4"/>
  </w:num>
  <w:num w:numId="5" w16cid:durableId="1586915751">
    <w:abstractNumId w:val="7"/>
  </w:num>
  <w:num w:numId="6" w16cid:durableId="1427463544">
    <w:abstractNumId w:val="3"/>
  </w:num>
  <w:num w:numId="7" w16cid:durableId="521211405">
    <w:abstractNumId w:val="2"/>
  </w:num>
  <w:num w:numId="8" w16cid:durableId="8529667">
    <w:abstractNumId w:val="1"/>
  </w:num>
  <w:num w:numId="9" w16cid:durableId="1495342105">
    <w:abstractNumId w:val="0"/>
  </w:num>
  <w:num w:numId="10" w16cid:durableId="1765489431">
    <w:abstractNumId w:val="10"/>
  </w:num>
  <w:num w:numId="11" w16cid:durableId="1194416600">
    <w:abstractNumId w:val="14"/>
  </w:num>
  <w:num w:numId="12" w16cid:durableId="1550729677">
    <w:abstractNumId w:val="9"/>
  </w:num>
  <w:num w:numId="13" w16cid:durableId="1112280631">
    <w:abstractNumId w:val="13"/>
  </w:num>
  <w:num w:numId="14" w16cid:durableId="1449474348">
    <w:abstractNumId w:val="15"/>
  </w:num>
  <w:num w:numId="15" w16cid:durableId="1376394453">
    <w:abstractNumId w:val="12"/>
  </w:num>
  <w:num w:numId="16" w16cid:durableId="1608004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094"/>
    <w:rsid w:val="00034616"/>
    <w:rsid w:val="000368DD"/>
    <w:rsid w:val="0006063C"/>
    <w:rsid w:val="00095EF0"/>
    <w:rsid w:val="00130A32"/>
    <w:rsid w:val="00133EC1"/>
    <w:rsid w:val="0015074B"/>
    <w:rsid w:val="001611E8"/>
    <w:rsid w:val="001614E5"/>
    <w:rsid w:val="00244EFE"/>
    <w:rsid w:val="0029639D"/>
    <w:rsid w:val="002E1570"/>
    <w:rsid w:val="00326F90"/>
    <w:rsid w:val="00345C02"/>
    <w:rsid w:val="003F3439"/>
    <w:rsid w:val="00404E74"/>
    <w:rsid w:val="004056F8"/>
    <w:rsid w:val="00474951"/>
    <w:rsid w:val="004A1C95"/>
    <w:rsid w:val="004B3CAB"/>
    <w:rsid w:val="004F2D39"/>
    <w:rsid w:val="00585860"/>
    <w:rsid w:val="005C3C1C"/>
    <w:rsid w:val="005D1422"/>
    <w:rsid w:val="00612583"/>
    <w:rsid w:val="00612ECA"/>
    <w:rsid w:val="00617328"/>
    <w:rsid w:val="00631605"/>
    <w:rsid w:val="00634493"/>
    <w:rsid w:val="006C5584"/>
    <w:rsid w:val="00703841"/>
    <w:rsid w:val="00800777"/>
    <w:rsid w:val="008A5195"/>
    <w:rsid w:val="008E0390"/>
    <w:rsid w:val="0094109B"/>
    <w:rsid w:val="00942510"/>
    <w:rsid w:val="00945F9B"/>
    <w:rsid w:val="00995445"/>
    <w:rsid w:val="009A67B8"/>
    <w:rsid w:val="009D18AC"/>
    <w:rsid w:val="00AA1D8D"/>
    <w:rsid w:val="00AA2218"/>
    <w:rsid w:val="00AC7D0D"/>
    <w:rsid w:val="00B47730"/>
    <w:rsid w:val="00B7213F"/>
    <w:rsid w:val="00BE522F"/>
    <w:rsid w:val="00C23CE5"/>
    <w:rsid w:val="00C40EDF"/>
    <w:rsid w:val="00C46A01"/>
    <w:rsid w:val="00CB0664"/>
    <w:rsid w:val="00CB23C6"/>
    <w:rsid w:val="00D02346"/>
    <w:rsid w:val="00E40369"/>
    <w:rsid w:val="00E6128D"/>
    <w:rsid w:val="00EE1DB4"/>
    <w:rsid w:val="00F50AB2"/>
    <w:rsid w:val="00FC3133"/>
    <w:rsid w:val="00FC693F"/>
    <w:rsid w:val="00FE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F1B9B7"/>
  <w14:defaultImageDpi w14:val="300"/>
  <w15:docId w15:val="{C166E7EF-84F8-42C7-95CC-63740C50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AA2218"/>
    <w:rPr>
      <w:color w:val="0000FF" w:themeColor="hyperlink"/>
      <w:u w:val="single"/>
    </w:rPr>
  </w:style>
  <w:style w:type="character" w:styleId="Mentionnonrsolue">
    <w:name w:val="Unresolved Mention"/>
    <w:basedOn w:val="Policepardfaut"/>
    <w:uiPriority w:val="99"/>
    <w:semiHidden/>
    <w:unhideWhenUsed/>
    <w:rsid w:val="00AA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878">
      <w:bodyDiv w:val="1"/>
      <w:marLeft w:val="0"/>
      <w:marRight w:val="0"/>
      <w:marTop w:val="0"/>
      <w:marBottom w:val="0"/>
      <w:divBdr>
        <w:top w:val="none" w:sz="0" w:space="0" w:color="auto"/>
        <w:left w:val="none" w:sz="0" w:space="0" w:color="auto"/>
        <w:bottom w:val="none" w:sz="0" w:space="0" w:color="auto"/>
        <w:right w:val="none" w:sz="0" w:space="0" w:color="auto"/>
      </w:divBdr>
    </w:div>
    <w:div w:id="129329830">
      <w:bodyDiv w:val="1"/>
      <w:marLeft w:val="0"/>
      <w:marRight w:val="0"/>
      <w:marTop w:val="0"/>
      <w:marBottom w:val="0"/>
      <w:divBdr>
        <w:top w:val="none" w:sz="0" w:space="0" w:color="auto"/>
        <w:left w:val="none" w:sz="0" w:space="0" w:color="auto"/>
        <w:bottom w:val="none" w:sz="0" w:space="0" w:color="auto"/>
        <w:right w:val="none" w:sz="0" w:space="0" w:color="auto"/>
      </w:divBdr>
    </w:div>
    <w:div w:id="261770258">
      <w:bodyDiv w:val="1"/>
      <w:marLeft w:val="0"/>
      <w:marRight w:val="0"/>
      <w:marTop w:val="0"/>
      <w:marBottom w:val="0"/>
      <w:divBdr>
        <w:top w:val="none" w:sz="0" w:space="0" w:color="auto"/>
        <w:left w:val="none" w:sz="0" w:space="0" w:color="auto"/>
        <w:bottom w:val="none" w:sz="0" w:space="0" w:color="auto"/>
        <w:right w:val="none" w:sz="0" w:space="0" w:color="auto"/>
      </w:divBdr>
    </w:div>
    <w:div w:id="362481423">
      <w:bodyDiv w:val="1"/>
      <w:marLeft w:val="0"/>
      <w:marRight w:val="0"/>
      <w:marTop w:val="0"/>
      <w:marBottom w:val="0"/>
      <w:divBdr>
        <w:top w:val="none" w:sz="0" w:space="0" w:color="auto"/>
        <w:left w:val="none" w:sz="0" w:space="0" w:color="auto"/>
        <w:bottom w:val="none" w:sz="0" w:space="0" w:color="auto"/>
        <w:right w:val="none" w:sz="0" w:space="0" w:color="auto"/>
      </w:divBdr>
    </w:div>
    <w:div w:id="440224647">
      <w:bodyDiv w:val="1"/>
      <w:marLeft w:val="0"/>
      <w:marRight w:val="0"/>
      <w:marTop w:val="0"/>
      <w:marBottom w:val="0"/>
      <w:divBdr>
        <w:top w:val="none" w:sz="0" w:space="0" w:color="auto"/>
        <w:left w:val="none" w:sz="0" w:space="0" w:color="auto"/>
        <w:bottom w:val="none" w:sz="0" w:space="0" w:color="auto"/>
        <w:right w:val="none" w:sz="0" w:space="0" w:color="auto"/>
      </w:divBdr>
    </w:div>
    <w:div w:id="468594629">
      <w:bodyDiv w:val="1"/>
      <w:marLeft w:val="0"/>
      <w:marRight w:val="0"/>
      <w:marTop w:val="0"/>
      <w:marBottom w:val="0"/>
      <w:divBdr>
        <w:top w:val="none" w:sz="0" w:space="0" w:color="auto"/>
        <w:left w:val="none" w:sz="0" w:space="0" w:color="auto"/>
        <w:bottom w:val="none" w:sz="0" w:space="0" w:color="auto"/>
        <w:right w:val="none" w:sz="0" w:space="0" w:color="auto"/>
      </w:divBdr>
    </w:div>
    <w:div w:id="547843843">
      <w:bodyDiv w:val="1"/>
      <w:marLeft w:val="0"/>
      <w:marRight w:val="0"/>
      <w:marTop w:val="0"/>
      <w:marBottom w:val="0"/>
      <w:divBdr>
        <w:top w:val="none" w:sz="0" w:space="0" w:color="auto"/>
        <w:left w:val="none" w:sz="0" w:space="0" w:color="auto"/>
        <w:bottom w:val="none" w:sz="0" w:space="0" w:color="auto"/>
        <w:right w:val="none" w:sz="0" w:space="0" w:color="auto"/>
      </w:divBdr>
    </w:div>
    <w:div w:id="571697166">
      <w:bodyDiv w:val="1"/>
      <w:marLeft w:val="0"/>
      <w:marRight w:val="0"/>
      <w:marTop w:val="0"/>
      <w:marBottom w:val="0"/>
      <w:divBdr>
        <w:top w:val="none" w:sz="0" w:space="0" w:color="auto"/>
        <w:left w:val="none" w:sz="0" w:space="0" w:color="auto"/>
        <w:bottom w:val="none" w:sz="0" w:space="0" w:color="auto"/>
        <w:right w:val="none" w:sz="0" w:space="0" w:color="auto"/>
      </w:divBdr>
    </w:div>
    <w:div w:id="664867961">
      <w:bodyDiv w:val="1"/>
      <w:marLeft w:val="0"/>
      <w:marRight w:val="0"/>
      <w:marTop w:val="0"/>
      <w:marBottom w:val="0"/>
      <w:divBdr>
        <w:top w:val="none" w:sz="0" w:space="0" w:color="auto"/>
        <w:left w:val="none" w:sz="0" w:space="0" w:color="auto"/>
        <w:bottom w:val="none" w:sz="0" w:space="0" w:color="auto"/>
        <w:right w:val="none" w:sz="0" w:space="0" w:color="auto"/>
      </w:divBdr>
    </w:div>
    <w:div w:id="666831857">
      <w:bodyDiv w:val="1"/>
      <w:marLeft w:val="0"/>
      <w:marRight w:val="0"/>
      <w:marTop w:val="0"/>
      <w:marBottom w:val="0"/>
      <w:divBdr>
        <w:top w:val="none" w:sz="0" w:space="0" w:color="auto"/>
        <w:left w:val="none" w:sz="0" w:space="0" w:color="auto"/>
        <w:bottom w:val="none" w:sz="0" w:space="0" w:color="auto"/>
        <w:right w:val="none" w:sz="0" w:space="0" w:color="auto"/>
      </w:divBdr>
    </w:div>
    <w:div w:id="905265727">
      <w:bodyDiv w:val="1"/>
      <w:marLeft w:val="0"/>
      <w:marRight w:val="0"/>
      <w:marTop w:val="0"/>
      <w:marBottom w:val="0"/>
      <w:divBdr>
        <w:top w:val="none" w:sz="0" w:space="0" w:color="auto"/>
        <w:left w:val="none" w:sz="0" w:space="0" w:color="auto"/>
        <w:bottom w:val="none" w:sz="0" w:space="0" w:color="auto"/>
        <w:right w:val="none" w:sz="0" w:space="0" w:color="auto"/>
      </w:divBdr>
    </w:div>
    <w:div w:id="960845762">
      <w:bodyDiv w:val="1"/>
      <w:marLeft w:val="0"/>
      <w:marRight w:val="0"/>
      <w:marTop w:val="0"/>
      <w:marBottom w:val="0"/>
      <w:divBdr>
        <w:top w:val="none" w:sz="0" w:space="0" w:color="auto"/>
        <w:left w:val="none" w:sz="0" w:space="0" w:color="auto"/>
        <w:bottom w:val="none" w:sz="0" w:space="0" w:color="auto"/>
        <w:right w:val="none" w:sz="0" w:space="0" w:color="auto"/>
      </w:divBdr>
      <w:divsChild>
        <w:div w:id="1368875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266613">
      <w:bodyDiv w:val="1"/>
      <w:marLeft w:val="0"/>
      <w:marRight w:val="0"/>
      <w:marTop w:val="0"/>
      <w:marBottom w:val="0"/>
      <w:divBdr>
        <w:top w:val="none" w:sz="0" w:space="0" w:color="auto"/>
        <w:left w:val="none" w:sz="0" w:space="0" w:color="auto"/>
        <w:bottom w:val="none" w:sz="0" w:space="0" w:color="auto"/>
        <w:right w:val="none" w:sz="0" w:space="0" w:color="auto"/>
      </w:divBdr>
    </w:div>
    <w:div w:id="1092045660">
      <w:bodyDiv w:val="1"/>
      <w:marLeft w:val="0"/>
      <w:marRight w:val="0"/>
      <w:marTop w:val="0"/>
      <w:marBottom w:val="0"/>
      <w:divBdr>
        <w:top w:val="none" w:sz="0" w:space="0" w:color="auto"/>
        <w:left w:val="none" w:sz="0" w:space="0" w:color="auto"/>
        <w:bottom w:val="none" w:sz="0" w:space="0" w:color="auto"/>
        <w:right w:val="none" w:sz="0" w:space="0" w:color="auto"/>
      </w:divBdr>
    </w:div>
    <w:div w:id="1167400186">
      <w:bodyDiv w:val="1"/>
      <w:marLeft w:val="0"/>
      <w:marRight w:val="0"/>
      <w:marTop w:val="0"/>
      <w:marBottom w:val="0"/>
      <w:divBdr>
        <w:top w:val="none" w:sz="0" w:space="0" w:color="auto"/>
        <w:left w:val="none" w:sz="0" w:space="0" w:color="auto"/>
        <w:bottom w:val="none" w:sz="0" w:space="0" w:color="auto"/>
        <w:right w:val="none" w:sz="0" w:space="0" w:color="auto"/>
      </w:divBdr>
    </w:div>
    <w:div w:id="1206872986">
      <w:bodyDiv w:val="1"/>
      <w:marLeft w:val="0"/>
      <w:marRight w:val="0"/>
      <w:marTop w:val="0"/>
      <w:marBottom w:val="0"/>
      <w:divBdr>
        <w:top w:val="none" w:sz="0" w:space="0" w:color="auto"/>
        <w:left w:val="none" w:sz="0" w:space="0" w:color="auto"/>
        <w:bottom w:val="none" w:sz="0" w:space="0" w:color="auto"/>
        <w:right w:val="none" w:sz="0" w:space="0" w:color="auto"/>
      </w:divBdr>
    </w:div>
    <w:div w:id="1234507586">
      <w:bodyDiv w:val="1"/>
      <w:marLeft w:val="0"/>
      <w:marRight w:val="0"/>
      <w:marTop w:val="0"/>
      <w:marBottom w:val="0"/>
      <w:divBdr>
        <w:top w:val="none" w:sz="0" w:space="0" w:color="auto"/>
        <w:left w:val="none" w:sz="0" w:space="0" w:color="auto"/>
        <w:bottom w:val="none" w:sz="0" w:space="0" w:color="auto"/>
        <w:right w:val="none" w:sz="0" w:space="0" w:color="auto"/>
      </w:divBdr>
    </w:div>
    <w:div w:id="1274243473">
      <w:bodyDiv w:val="1"/>
      <w:marLeft w:val="0"/>
      <w:marRight w:val="0"/>
      <w:marTop w:val="0"/>
      <w:marBottom w:val="0"/>
      <w:divBdr>
        <w:top w:val="none" w:sz="0" w:space="0" w:color="auto"/>
        <w:left w:val="none" w:sz="0" w:space="0" w:color="auto"/>
        <w:bottom w:val="none" w:sz="0" w:space="0" w:color="auto"/>
        <w:right w:val="none" w:sz="0" w:space="0" w:color="auto"/>
      </w:divBdr>
      <w:divsChild>
        <w:div w:id="208614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456000">
      <w:bodyDiv w:val="1"/>
      <w:marLeft w:val="0"/>
      <w:marRight w:val="0"/>
      <w:marTop w:val="0"/>
      <w:marBottom w:val="0"/>
      <w:divBdr>
        <w:top w:val="none" w:sz="0" w:space="0" w:color="auto"/>
        <w:left w:val="none" w:sz="0" w:space="0" w:color="auto"/>
        <w:bottom w:val="none" w:sz="0" w:space="0" w:color="auto"/>
        <w:right w:val="none" w:sz="0" w:space="0" w:color="auto"/>
      </w:divBdr>
    </w:div>
    <w:div w:id="1611625437">
      <w:bodyDiv w:val="1"/>
      <w:marLeft w:val="0"/>
      <w:marRight w:val="0"/>
      <w:marTop w:val="0"/>
      <w:marBottom w:val="0"/>
      <w:divBdr>
        <w:top w:val="none" w:sz="0" w:space="0" w:color="auto"/>
        <w:left w:val="none" w:sz="0" w:space="0" w:color="auto"/>
        <w:bottom w:val="none" w:sz="0" w:space="0" w:color="auto"/>
        <w:right w:val="none" w:sz="0" w:space="0" w:color="auto"/>
      </w:divBdr>
    </w:div>
    <w:div w:id="1670938558">
      <w:bodyDiv w:val="1"/>
      <w:marLeft w:val="0"/>
      <w:marRight w:val="0"/>
      <w:marTop w:val="0"/>
      <w:marBottom w:val="0"/>
      <w:divBdr>
        <w:top w:val="none" w:sz="0" w:space="0" w:color="auto"/>
        <w:left w:val="none" w:sz="0" w:space="0" w:color="auto"/>
        <w:bottom w:val="none" w:sz="0" w:space="0" w:color="auto"/>
        <w:right w:val="none" w:sz="0" w:space="0" w:color="auto"/>
      </w:divBdr>
    </w:div>
    <w:div w:id="1688869133">
      <w:bodyDiv w:val="1"/>
      <w:marLeft w:val="0"/>
      <w:marRight w:val="0"/>
      <w:marTop w:val="0"/>
      <w:marBottom w:val="0"/>
      <w:divBdr>
        <w:top w:val="none" w:sz="0" w:space="0" w:color="auto"/>
        <w:left w:val="none" w:sz="0" w:space="0" w:color="auto"/>
        <w:bottom w:val="none" w:sz="0" w:space="0" w:color="auto"/>
        <w:right w:val="none" w:sz="0" w:space="0" w:color="auto"/>
      </w:divBdr>
    </w:div>
    <w:div w:id="1893029952">
      <w:bodyDiv w:val="1"/>
      <w:marLeft w:val="0"/>
      <w:marRight w:val="0"/>
      <w:marTop w:val="0"/>
      <w:marBottom w:val="0"/>
      <w:divBdr>
        <w:top w:val="none" w:sz="0" w:space="0" w:color="auto"/>
        <w:left w:val="none" w:sz="0" w:space="0" w:color="auto"/>
        <w:bottom w:val="none" w:sz="0" w:space="0" w:color="auto"/>
        <w:right w:val="none" w:sz="0" w:space="0" w:color="auto"/>
      </w:divBdr>
    </w:div>
    <w:div w:id="1942646037">
      <w:bodyDiv w:val="1"/>
      <w:marLeft w:val="0"/>
      <w:marRight w:val="0"/>
      <w:marTop w:val="0"/>
      <w:marBottom w:val="0"/>
      <w:divBdr>
        <w:top w:val="none" w:sz="0" w:space="0" w:color="auto"/>
        <w:left w:val="none" w:sz="0" w:space="0" w:color="auto"/>
        <w:bottom w:val="none" w:sz="0" w:space="0" w:color="auto"/>
        <w:right w:val="none" w:sz="0" w:space="0" w:color="auto"/>
      </w:divBdr>
    </w:div>
    <w:div w:id="2059474451">
      <w:bodyDiv w:val="1"/>
      <w:marLeft w:val="0"/>
      <w:marRight w:val="0"/>
      <w:marTop w:val="0"/>
      <w:marBottom w:val="0"/>
      <w:divBdr>
        <w:top w:val="none" w:sz="0" w:space="0" w:color="auto"/>
        <w:left w:val="none" w:sz="0" w:space="0" w:color="auto"/>
        <w:bottom w:val="none" w:sz="0" w:space="0" w:color="auto"/>
        <w:right w:val="none" w:sz="0" w:space="0" w:color="auto"/>
      </w:divBdr>
    </w:div>
    <w:div w:id="2115857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3E8B8-C0FA-4C95-BCC0-649AE7B6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16</Pages>
  <Words>4065</Words>
  <Characters>22358</Characters>
  <Application>Microsoft Office Word</Application>
  <DocSecurity>0</DocSecurity>
  <Lines>186</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Laurent Poliquin</cp:lastModifiedBy>
  <cp:revision>34</cp:revision>
  <dcterms:created xsi:type="dcterms:W3CDTF">2025-05-21T02:18:00Z</dcterms:created>
  <dcterms:modified xsi:type="dcterms:W3CDTF">2025-05-24T01:35:00Z</dcterms:modified>
  <cp:category/>
</cp:coreProperties>
</file>