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2444E" w14:textId="129ABA5C" w:rsidR="00163BC4" w:rsidRPr="008F39F5" w:rsidRDefault="00A54219" w:rsidP="00441B6F">
      <w:pPr>
        <w:pStyle w:val="Author"/>
        <w:spacing w:line="240" w:lineRule="auto"/>
        <w:rPr>
          <w:rFonts w:ascii="Arial" w:hAnsi="Arial" w:cs="Arial"/>
          <w:bCs/>
          <w:iCs/>
          <w:kern w:val="28"/>
          <w:sz w:val="36"/>
        </w:rPr>
      </w:pPr>
      <w:r w:rsidRPr="00A54219">
        <w:rPr>
          <w:rFonts w:ascii="Arial" w:hAnsi="Arial" w:cs="Arial"/>
          <w:bCs/>
          <w:iCs/>
          <w:kern w:val="28"/>
          <w:sz w:val="36"/>
        </w:rPr>
        <w:t xml:space="preserve">Characterisation of </w:t>
      </w:r>
      <w:r w:rsidR="00945C92" w:rsidRPr="00A54219">
        <w:rPr>
          <w:rFonts w:ascii="Arial" w:hAnsi="Arial" w:cs="Arial"/>
          <w:bCs/>
          <w:iCs/>
          <w:kern w:val="28"/>
          <w:sz w:val="36"/>
        </w:rPr>
        <w:t>post-COVID</w:t>
      </w:r>
      <w:r w:rsidRPr="00A54219">
        <w:rPr>
          <w:rFonts w:ascii="Arial" w:hAnsi="Arial" w:cs="Arial"/>
          <w:bCs/>
          <w:iCs/>
          <w:kern w:val="28"/>
          <w:sz w:val="36"/>
        </w:rPr>
        <w:t xml:space="preserve">-19 Sequelae in a Primary Care Setting: </w:t>
      </w:r>
      <w:r w:rsidR="00C219A3" w:rsidRPr="008F39F5">
        <w:rPr>
          <w:rFonts w:ascii="Arial" w:hAnsi="Arial" w:cs="Arial"/>
          <w:bCs/>
          <w:iCs/>
          <w:kern w:val="28"/>
          <w:sz w:val="36"/>
        </w:rPr>
        <w:t>A C</w:t>
      </w:r>
      <w:r>
        <w:rPr>
          <w:rFonts w:ascii="Arial" w:hAnsi="Arial" w:cs="Arial"/>
          <w:bCs/>
          <w:iCs/>
          <w:kern w:val="28"/>
          <w:sz w:val="36"/>
        </w:rPr>
        <w:t>ross</w:t>
      </w:r>
      <w:r w:rsidR="00C219A3" w:rsidRPr="008F39F5">
        <w:rPr>
          <w:rFonts w:ascii="Arial" w:hAnsi="Arial" w:cs="Arial"/>
          <w:bCs/>
          <w:iCs/>
          <w:kern w:val="28"/>
          <w:sz w:val="36"/>
        </w:rPr>
        <w:t>-</w:t>
      </w:r>
      <w:r>
        <w:rPr>
          <w:rFonts w:ascii="Arial" w:hAnsi="Arial" w:cs="Arial"/>
          <w:bCs/>
          <w:iCs/>
          <w:kern w:val="28"/>
          <w:sz w:val="36"/>
        </w:rPr>
        <w:t>Sectional</w:t>
      </w:r>
      <w:r w:rsidR="00C219A3" w:rsidRPr="008F39F5">
        <w:rPr>
          <w:rFonts w:ascii="Arial" w:hAnsi="Arial" w:cs="Arial"/>
          <w:bCs/>
          <w:iCs/>
          <w:kern w:val="28"/>
          <w:sz w:val="36"/>
        </w:rPr>
        <w:t xml:space="preserve"> Study</w:t>
      </w:r>
    </w:p>
    <w:p w14:paraId="17A32D65" w14:textId="77777777" w:rsidR="00A258C3" w:rsidRPr="00A22CD4" w:rsidRDefault="00A258C3" w:rsidP="00441B6F">
      <w:pPr>
        <w:pStyle w:val="Author"/>
        <w:spacing w:line="240" w:lineRule="auto"/>
        <w:jc w:val="both"/>
        <w:rPr>
          <w:rFonts w:ascii="Arial" w:hAnsi="Arial" w:cs="Arial"/>
          <w:sz w:val="36"/>
          <w:lang w:val="en-US"/>
        </w:rPr>
      </w:pPr>
    </w:p>
    <w:p w14:paraId="4789A3E2" w14:textId="68A087C7" w:rsidR="00B01FCD" w:rsidRPr="008F39F5" w:rsidRDefault="00DA76F5" w:rsidP="00441B6F">
      <w:pPr>
        <w:pStyle w:val="Copyright"/>
        <w:spacing w:after="0" w:line="240" w:lineRule="auto"/>
        <w:jc w:val="both"/>
        <w:rPr>
          <w:rFonts w:ascii="Arial" w:hAnsi="Arial" w:cs="Arial"/>
        </w:rPr>
        <w:sectPr w:rsidR="00B01FCD" w:rsidRPr="008F39F5" w:rsidSect="00C451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F39F5">
        <w:rPr>
          <w:rFonts w:ascii="Arial" w:hAnsi="Arial" w:cs="Arial"/>
          <w:noProof/>
          <w:lang w:val="es-MX" w:eastAsia="es-MX"/>
        </w:rPr>
        <mc:AlternateContent>
          <mc:Choice Requires="wps">
            <w:drawing>
              <wp:inline distT="0" distB="0" distL="0" distR="0" wp14:anchorId="2E04302C" wp14:editId="438F3993">
                <wp:extent cx="5303520" cy="635"/>
                <wp:effectExtent l="13335" t="18415" r="17145" b="10160"/>
                <wp:docPr id="17957601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w:pict>
              <v:shapetype w14:anchorId="1E0D2BF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F39F5">
        <w:rPr>
          <w:rFonts w:ascii="Arial" w:hAnsi="Arial" w:cs="Arial"/>
        </w:rPr>
        <w:t>.</w:t>
      </w:r>
    </w:p>
    <w:p w14:paraId="0660E80D" w14:textId="416D9C49" w:rsidR="00B01FCD" w:rsidRPr="008F39F5" w:rsidRDefault="00B01FCD" w:rsidP="00441B6F">
      <w:pPr>
        <w:pStyle w:val="AbstHead"/>
        <w:spacing w:after="0"/>
        <w:jc w:val="both"/>
        <w:rPr>
          <w:rFonts w:ascii="Arial" w:hAnsi="Arial" w:cs="Arial"/>
        </w:rPr>
      </w:pPr>
      <w:r w:rsidRPr="008F39F5">
        <w:rPr>
          <w:rFonts w:ascii="Arial" w:hAnsi="Arial" w:cs="Arial"/>
        </w:rPr>
        <w:t>ABSTRACT</w:t>
      </w:r>
    </w:p>
    <w:p w14:paraId="4EB2F11F" w14:textId="77777777" w:rsidR="00790ADA" w:rsidRPr="008F39F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F39F5" w14:paraId="2AFDD217" w14:textId="77777777" w:rsidTr="001E44FE">
        <w:tc>
          <w:tcPr>
            <w:tcW w:w="9576" w:type="dxa"/>
            <w:shd w:val="clear" w:color="auto" w:fill="F2F2F2"/>
          </w:tcPr>
          <w:p w14:paraId="43A8396A" w14:textId="667123B9" w:rsidR="001C45F2" w:rsidRPr="008F39F5" w:rsidRDefault="00BA1B01" w:rsidP="001C45F2">
            <w:pPr>
              <w:pStyle w:val="Body"/>
              <w:spacing w:after="0"/>
              <w:rPr>
                <w:rFonts w:ascii="Arial" w:hAnsi="Arial" w:cs="Arial"/>
              </w:rPr>
            </w:pPr>
            <w:r w:rsidRPr="008F39F5">
              <w:rPr>
                <w:rFonts w:ascii="Arial" w:eastAsia="Calibri" w:hAnsi="Arial" w:cs="Arial"/>
                <w:b/>
                <w:szCs w:val="22"/>
              </w:rPr>
              <w:t xml:space="preserve">Aims: </w:t>
            </w:r>
            <w:r w:rsidR="0083536C" w:rsidRPr="0083536C">
              <w:rPr>
                <w:rFonts w:ascii="Arial" w:hAnsi="Arial" w:cs="Arial"/>
              </w:rPr>
              <w:t>The aim of this study is to describe the population experiencing post-COVID-19 sequelae within a primary care setting. By characterising the demographic, clinical, and symptomatic features of these patients, the study seeks to enhance understanding of long COVID in the context of first-level healthcare.</w:t>
            </w:r>
          </w:p>
          <w:p w14:paraId="292A2223" w14:textId="42514EDF" w:rsidR="001C45F2" w:rsidRDefault="00BA1B01" w:rsidP="001C45F2">
            <w:pPr>
              <w:pStyle w:val="Body"/>
              <w:spacing w:after="0"/>
              <w:rPr>
                <w:rFonts w:ascii="Arial" w:eastAsia="Calibri" w:hAnsi="Arial" w:cs="Arial"/>
                <w:szCs w:val="22"/>
              </w:rPr>
            </w:pPr>
            <w:r w:rsidRPr="008F39F5">
              <w:rPr>
                <w:rFonts w:ascii="Arial" w:eastAsia="Calibri" w:hAnsi="Arial" w:cs="Arial"/>
                <w:b/>
                <w:szCs w:val="22"/>
              </w:rPr>
              <w:t>Study design:</w:t>
            </w:r>
            <w:r w:rsidRPr="008F39F5">
              <w:rPr>
                <w:rFonts w:ascii="Arial" w:eastAsia="Calibri" w:hAnsi="Arial" w:cs="Arial"/>
                <w:szCs w:val="22"/>
              </w:rPr>
              <w:t xml:space="preserve"> </w:t>
            </w:r>
            <w:r w:rsidR="0083536C" w:rsidRPr="0083536C">
              <w:rPr>
                <w:rFonts w:ascii="Arial" w:hAnsi="Arial" w:cs="Arial"/>
              </w:rPr>
              <w:t>A single-centre, retrospective, and cross-sectional study was conducted</w:t>
            </w:r>
            <w:r w:rsidR="001C45F2" w:rsidRPr="001C45F2">
              <w:rPr>
                <w:rFonts w:ascii="Arial" w:eastAsia="Calibri" w:hAnsi="Arial" w:cs="Arial"/>
                <w:szCs w:val="22"/>
              </w:rPr>
              <w:t>.</w:t>
            </w:r>
          </w:p>
          <w:p w14:paraId="186FA815" w14:textId="204A3373" w:rsidR="00BA1B01" w:rsidRPr="008F39F5" w:rsidRDefault="00BA1B01" w:rsidP="001378DA">
            <w:pPr>
              <w:pStyle w:val="Body"/>
              <w:spacing w:after="0"/>
              <w:rPr>
                <w:rFonts w:ascii="Arial" w:eastAsia="Calibri" w:hAnsi="Arial" w:cs="Arial"/>
                <w:szCs w:val="22"/>
              </w:rPr>
            </w:pPr>
            <w:r w:rsidRPr="008F39F5">
              <w:rPr>
                <w:rFonts w:ascii="Arial" w:eastAsia="Calibri" w:hAnsi="Arial" w:cs="Arial"/>
                <w:b/>
                <w:szCs w:val="22"/>
              </w:rPr>
              <w:t>Place and Duration of Study:</w:t>
            </w:r>
            <w:r w:rsidRPr="008F39F5">
              <w:rPr>
                <w:rFonts w:ascii="Arial" w:eastAsia="Calibri" w:hAnsi="Arial" w:cs="Arial"/>
                <w:szCs w:val="22"/>
              </w:rPr>
              <w:t xml:space="preserve"> </w:t>
            </w:r>
            <w:r w:rsidR="00217C3B" w:rsidRPr="00217C3B">
              <w:rPr>
                <w:rFonts w:ascii="Arial" w:eastAsia="Calibri" w:hAnsi="Arial" w:cs="Arial"/>
                <w:szCs w:val="22"/>
                <w:highlight w:val="yellow"/>
              </w:rPr>
              <w:t>Family Medicine Unit</w:t>
            </w:r>
            <w:r w:rsidR="001F2314" w:rsidRPr="00217C3B">
              <w:rPr>
                <w:rFonts w:ascii="Arial" w:eastAsia="Calibri" w:hAnsi="Arial" w:cs="Arial"/>
                <w:szCs w:val="22"/>
                <w:highlight w:val="yellow"/>
              </w:rPr>
              <w:t>.</w:t>
            </w:r>
            <w:r w:rsidR="001F2314" w:rsidRPr="008F39F5">
              <w:rPr>
                <w:rFonts w:ascii="Arial" w:eastAsia="Calibri" w:hAnsi="Arial" w:cs="Arial"/>
                <w:szCs w:val="22"/>
              </w:rPr>
              <w:t xml:space="preserve"> The study was conducted from </w:t>
            </w:r>
            <w:r w:rsidR="008A3056" w:rsidRPr="008A3056">
              <w:rPr>
                <w:rFonts w:ascii="Arial" w:eastAsia="Calibri" w:hAnsi="Arial" w:cs="Arial"/>
                <w:szCs w:val="22"/>
                <w:highlight w:val="yellow"/>
              </w:rPr>
              <w:t>January</w:t>
            </w:r>
            <w:r w:rsidR="00A84E7F" w:rsidRPr="003161F9">
              <w:rPr>
                <w:rFonts w:ascii="Arial" w:hAnsi="Arial" w:cs="Arial"/>
              </w:rPr>
              <w:t xml:space="preserve"> 1</w:t>
            </w:r>
            <w:r w:rsidR="00A84E7F" w:rsidRPr="003161F9">
              <w:rPr>
                <w:rFonts w:ascii="Arial" w:hAnsi="Arial" w:cs="Arial"/>
                <w:vertAlign w:val="superscript"/>
              </w:rPr>
              <w:t>st</w:t>
            </w:r>
            <w:r w:rsidR="00A84E7F" w:rsidRPr="003161F9">
              <w:rPr>
                <w:rFonts w:ascii="Arial" w:hAnsi="Arial" w:cs="Arial"/>
              </w:rPr>
              <w:t>, 2023</w:t>
            </w:r>
            <w:r w:rsidR="00A84E7F">
              <w:rPr>
                <w:rFonts w:ascii="Arial" w:hAnsi="Arial" w:cs="Arial"/>
              </w:rPr>
              <w:t>,</w:t>
            </w:r>
            <w:r w:rsidR="00A84E7F" w:rsidRPr="003161F9">
              <w:rPr>
                <w:rFonts w:ascii="Arial" w:hAnsi="Arial" w:cs="Arial"/>
              </w:rPr>
              <w:t xml:space="preserve"> to March 31st, 2025</w:t>
            </w:r>
            <w:r w:rsidR="001F2314" w:rsidRPr="008F39F5">
              <w:rPr>
                <w:rFonts w:ascii="Arial" w:eastAsia="Calibri" w:hAnsi="Arial" w:cs="Arial"/>
                <w:szCs w:val="22"/>
              </w:rPr>
              <w:t xml:space="preserve">, with COVID-19 Mexican patients </w:t>
            </w:r>
            <w:r w:rsidR="00A84E7F" w:rsidRPr="00A84E7F">
              <w:rPr>
                <w:rFonts w:ascii="Arial" w:eastAsia="Calibri" w:hAnsi="Arial" w:cs="Arial"/>
                <w:szCs w:val="22"/>
              </w:rPr>
              <w:t>attending outpatient consultations in the Epidemiology Department of Family Medicine Unit No. 57, from the Mexican Institute of Social Security (IMSS), in Puebla, Mexico.</w:t>
            </w:r>
          </w:p>
          <w:p w14:paraId="0E8FDE56" w14:textId="36258730" w:rsidR="00BA1B01" w:rsidRPr="008F39F5" w:rsidRDefault="00BA1B01" w:rsidP="001378DA">
            <w:pPr>
              <w:pStyle w:val="Body"/>
              <w:spacing w:after="0"/>
              <w:rPr>
                <w:rFonts w:ascii="Arial" w:eastAsia="Calibri" w:hAnsi="Arial" w:cs="Arial"/>
                <w:szCs w:val="22"/>
              </w:rPr>
            </w:pPr>
            <w:r w:rsidRPr="008F39F5">
              <w:rPr>
                <w:rFonts w:ascii="Arial" w:eastAsia="Calibri" w:hAnsi="Arial" w:cs="Arial"/>
                <w:b/>
                <w:bCs/>
                <w:szCs w:val="22"/>
              </w:rPr>
              <w:t>Methodology:</w:t>
            </w:r>
            <w:r w:rsidRPr="008F39F5">
              <w:rPr>
                <w:rFonts w:ascii="Arial" w:eastAsia="Calibri" w:hAnsi="Arial" w:cs="Arial"/>
                <w:szCs w:val="22"/>
              </w:rPr>
              <w:t xml:space="preserve"> </w:t>
            </w:r>
            <w:r w:rsidR="003C15C5" w:rsidRPr="008F39F5">
              <w:rPr>
                <w:rFonts w:ascii="Arial" w:eastAsia="Calibri" w:hAnsi="Arial" w:cs="Arial"/>
                <w:szCs w:val="22"/>
              </w:rPr>
              <w:t xml:space="preserve">Data on </w:t>
            </w:r>
            <w:r w:rsidR="00F2386D">
              <w:rPr>
                <w:rFonts w:ascii="Arial" w:eastAsia="Calibri" w:hAnsi="Arial" w:cs="Arial"/>
                <w:szCs w:val="22"/>
              </w:rPr>
              <w:t>clinical</w:t>
            </w:r>
            <w:r w:rsidR="002C366A" w:rsidRPr="008F39F5">
              <w:rPr>
                <w:rFonts w:ascii="Arial" w:eastAsia="Calibri" w:hAnsi="Arial" w:cs="Arial"/>
                <w:szCs w:val="22"/>
              </w:rPr>
              <w:t xml:space="preserve"> and sociodemographic variables</w:t>
            </w:r>
            <w:r w:rsidR="003C15C5" w:rsidRPr="008F39F5">
              <w:rPr>
                <w:rFonts w:ascii="Arial" w:eastAsia="Calibri" w:hAnsi="Arial" w:cs="Arial"/>
                <w:szCs w:val="22"/>
              </w:rPr>
              <w:t xml:space="preserve"> w</w:t>
            </w:r>
            <w:r w:rsidR="009F43DD" w:rsidRPr="008F39F5">
              <w:rPr>
                <w:rFonts w:ascii="Arial" w:eastAsia="Calibri" w:hAnsi="Arial" w:cs="Arial"/>
                <w:szCs w:val="22"/>
              </w:rPr>
              <w:t>ere</w:t>
            </w:r>
            <w:r w:rsidR="003C15C5" w:rsidRPr="008F39F5">
              <w:rPr>
                <w:rFonts w:ascii="Arial" w:eastAsia="Calibri" w:hAnsi="Arial" w:cs="Arial"/>
                <w:szCs w:val="22"/>
              </w:rPr>
              <w:t xml:space="preserve"> collected through </w:t>
            </w:r>
            <w:r w:rsidR="00B843E8">
              <w:rPr>
                <w:rFonts w:ascii="Arial" w:hAnsi="Arial" w:cs="Arial"/>
              </w:rPr>
              <w:t xml:space="preserve">medical records, </w:t>
            </w:r>
            <w:r w:rsidR="00B843E8" w:rsidRPr="00B843E8">
              <w:rPr>
                <w:rFonts w:ascii="Arial" w:hAnsi="Arial" w:cs="Arial"/>
              </w:rPr>
              <w:t>such as age, sex, weight. height, Body Mass Index (BMI), comorbidities and COVID-19 vaccination status</w:t>
            </w:r>
            <w:r w:rsidR="003C15C5" w:rsidRPr="008F39F5">
              <w:rPr>
                <w:rFonts w:ascii="Arial" w:eastAsia="Calibri" w:hAnsi="Arial" w:cs="Arial"/>
                <w:szCs w:val="22"/>
              </w:rPr>
              <w:t>.</w:t>
            </w:r>
            <w:r w:rsidR="00256D0D">
              <w:t xml:space="preserve"> </w:t>
            </w:r>
            <w:r w:rsidR="00256D0D" w:rsidRPr="00256D0D">
              <w:rPr>
                <w:rFonts w:ascii="Arial" w:eastAsia="Calibri" w:hAnsi="Arial" w:cs="Arial"/>
                <w:szCs w:val="22"/>
              </w:rPr>
              <w:t>Categorical variables were performed using Yates’ corrected chi-square or likelihood ratio test</w:t>
            </w:r>
            <w:r w:rsidR="00256D0D">
              <w:rPr>
                <w:rFonts w:ascii="Arial" w:eastAsia="Calibri" w:hAnsi="Arial" w:cs="Arial"/>
                <w:szCs w:val="22"/>
              </w:rPr>
              <w:t xml:space="preserve">. </w:t>
            </w:r>
            <w:r w:rsidR="00256D0D" w:rsidRPr="00256D0D">
              <w:rPr>
                <w:rFonts w:ascii="Arial" w:eastAsia="Calibri" w:hAnsi="Arial" w:cs="Arial"/>
                <w:szCs w:val="22"/>
              </w:rPr>
              <w:t xml:space="preserve">A 95% confidence interval (CI95%) was included. </w:t>
            </w:r>
            <w:r w:rsidR="00256D0D">
              <w:rPr>
                <w:rFonts w:ascii="Arial" w:eastAsia="Calibri" w:hAnsi="Arial" w:cs="Arial"/>
                <w:szCs w:val="22"/>
              </w:rPr>
              <w:t>Q</w:t>
            </w:r>
            <w:r w:rsidR="00256D0D" w:rsidRPr="00256D0D">
              <w:rPr>
                <w:rFonts w:ascii="Arial" w:eastAsia="Calibri" w:hAnsi="Arial" w:cs="Arial"/>
                <w:szCs w:val="22"/>
              </w:rPr>
              <w:t xml:space="preserve">uantitative variables </w:t>
            </w:r>
            <w:r w:rsidR="00256D0D">
              <w:rPr>
                <w:rFonts w:ascii="Arial" w:eastAsia="Calibri" w:hAnsi="Arial" w:cs="Arial"/>
                <w:szCs w:val="22"/>
              </w:rPr>
              <w:t xml:space="preserve">were compared by </w:t>
            </w:r>
            <w:r w:rsidR="00256D0D" w:rsidRPr="00256D0D">
              <w:rPr>
                <w:rFonts w:ascii="Arial" w:eastAsia="Calibri" w:hAnsi="Arial" w:cs="Arial"/>
                <w:szCs w:val="22"/>
              </w:rPr>
              <w:t xml:space="preserve">Mann-Whitney U or Student’s t-test, as appropriate. </w:t>
            </w:r>
            <w:r w:rsidR="007D0F0D">
              <w:rPr>
                <w:rFonts w:ascii="Arial" w:eastAsia="Calibri" w:hAnsi="Arial" w:cs="Arial"/>
                <w:szCs w:val="22"/>
              </w:rPr>
              <w:t xml:space="preserve"> As</w:t>
            </w:r>
            <w:r w:rsidR="00256D0D" w:rsidRPr="00256D0D">
              <w:rPr>
                <w:rFonts w:ascii="Arial" w:eastAsia="Calibri" w:hAnsi="Arial" w:cs="Arial"/>
                <w:szCs w:val="22"/>
              </w:rPr>
              <w:t>Statistical significance was set at P &lt; 0.05 (two-tailed).</w:t>
            </w:r>
          </w:p>
          <w:p w14:paraId="534611C6" w14:textId="1E1ECBBE" w:rsidR="00216CF8" w:rsidRDefault="00BA1B01" w:rsidP="00216CF8">
            <w:pPr>
              <w:rPr>
                <w:rFonts w:ascii="Arial" w:eastAsia="Calibri" w:hAnsi="Arial" w:cs="Arial"/>
                <w:szCs w:val="22"/>
              </w:rPr>
            </w:pPr>
            <w:r w:rsidRPr="008F39F5">
              <w:rPr>
                <w:rFonts w:ascii="Arial" w:eastAsia="Calibri" w:hAnsi="Arial" w:cs="Arial"/>
                <w:b/>
                <w:bCs/>
                <w:szCs w:val="22"/>
              </w:rPr>
              <w:t>Results:</w:t>
            </w:r>
            <w:r w:rsidRPr="008F39F5">
              <w:rPr>
                <w:rFonts w:ascii="Arial" w:eastAsia="Calibri" w:hAnsi="Arial" w:cs="Arial"/>
                <w:szCs w:val="22"/>
              </w:rPr>
              <w:t xml:space="preserve"> </w:t>
            </w:r>
            <w:r w:rsidR="00216CF8" w:rsidRPr="00216CF8">
              <w:rPr>
                <w:rFonts w:ascii="Arial" w:eastAsia="Calibri" w:hAnsi="Arial" w:cs="Arial"/>
                <w:szCs w:val="22"/>
              </w:rPr>
              <w:t xml:space="preserve">A total of 138 patients with long COVID-19 were included in the study. The mean age was 48.19 years </w:t>
            </w:r>
            <w:r w:rsidR="007D0F0D">
              <w:rPr>
                <w:rFonts w:ascii="Arial" w:eastAsia="Calibri" w:hAnsi="Arial" w:cs="Arial"/>
                <w:szCs w:val="22"/>
              </w:rPr>
              <w:t xml:space="preserve">old </w:t>
            </w:r>
            <w:r w:rsidR="00216CF8" w:rsidRPr="00216CF8">
              <w:rPr>
                <w:rFonts w:ascii="Arial" w:eastAsia="Calibri" w:hAnsi="Arial" w:cs="Arial"/>
                <w:szCs w:val="22"/>
              </w:rPr>
              <w:t>(Standard Deviation [SD] = 16.542), with a median of 45.05 years (Interquartile Range [IQR] = 36.8–58.32). The median age was slightly higher in females (45.07 years, IQR = 38.05–57.11) than in males (44.09 years, IQR = 34.08–62.07), though this difference was not statistically significant (p = 0.726). The most common comorbidities observed were hypertension (n = 36; 26.1%, 95% CI: 18.1–33.3), type 2 diabetes (n = 23; 16.7%, 95% CI: 10.9–23.2), and chronic obstructive pulmonary disease (COPD) (n = 4; 2.9%, 95% CI: 0.7–6.5).</w:t>
            </w:r>
            <w:r w:rsidR="00216CF8">
              <w:rPr>
                <w:rFonts w:ascii="Arial" w:eastAsia="Calibri" w:hAnsi="Arial" w:cs="Arial"/>
                <w:szCs w:val="22"/>
              </w:rPr>
              <w:t xml:space="preserve"> </w:t>
            </w:r>
            <w:r w:rsidR="00216CF8" w:rsidRPr="00216CF8">
              <w:rPr>
                <w:rFonts w:ascii="Arial" w:eastAsia="Calibri" w:hAnsi="Arial" w:cs="Arial"/>
                <w:szCs w:val="22"/>
              </w:rPr>
              <w:t>The five most frequently reported post-COVID-19 sequelae were cough (n = 60; 43.5%, 95% CI: 35.5–52.2), odynophagia (n = 22; 15.9%, 95% CI: 10.1–22.4), headache (n = 18; 13.0%, 95% CI: 8.0–18.8), myalgia (n = 17; 12.3%, 95% CI: 7.2–18.1), and both rhinorrhoea and pulmonary fibrosis (n = 14 each; 10.1%, 95% CI: 5.1–15.2).</w:t>
            </w:r>
            <w:r w:rsidR="00216CF8">
              <w:rPr>
                <w:rFonts w:ascii="Arial" w:eastAsia="Calibri" w:hAnsi="Arial" w:cs="Arial"/>
                <w:szCs w:val="22"/>
              </w:rPr>
              <w:t xml:space="preserve"> </w:t>
            </w:r>
            <w:r w:rsidR="00D36F74">
              <w:rPr>
                <w:rFonts w:ascii="Arial" w:eastAsia="Calibri" w:hAnsi="Arial" w:cs="Arial"/>
                <w:szCs w:val="22"/>
              </w:rPr>
              <w:t xml:space="preserve">The </w:t>
            </w:r>
            <w:r w:rsidR="007D0F0D">
              <w:rPr>
                <w:rFonts w:ascii="Arial" w:eastAsia="Calibri" w:hAnsi="Arial" w:cs="Arial"/>
                <w:szCs w:val="22"/>
              </w:rPr>
              <w:t>v</w:t>
            </w:r>
            <w:r w:rsidR="00216CF8" w:rsidRPr="00216CF8">
              <w:rPr>
                <w:rFonts w:ascii="Arial" w:eastAsia="Calibri" w:hAnsi="Arial" w:cs="Arial"/>
                <w:szCs w:val="22"/>
              </w:rPr>
              <w:t>accination history was significantly associated with the presence of post-COVID-19 cough (Odds Ratio [OR] = 2.254, 95% CI: 1.100–4.619, p = 0.026) and showed a protective association against post-COVID-19 dyspnoea (OR = 0.154, 95% CI: 0.032–0.745, p = 0.020).</w:t>
            </w:r>
          </w:p>
          <w:p w14:paraId="5A1321A0" w14:textId="2421F9ED" w:rsidR="00505F06" w:rsidRPr="008F39F5" w:rsidRDefault="00BA1B01" w:rsidP="00216CF8">
            <w:pPr>
              <w:rPr>
                <w:rFonts w:ascii="Arial" w:eastAsia="Calibri" w:hAnsi="Arial" w:cs="Arial"/>
                <w:szCs w:val="22"/>
              </w:rPr>
            </w:pPr>
            <w:r w:rsidRPr="008F39F5">
              <w:rPr>
                <w:rFonts w:ascii="Arial" w:eastAsia="Calibri" w:hAnsi="Arial" w:cs="Arial"/>
                <w:b/>
                <w:bCs/>
                <w:szCs w:val="22"/>
              </w:rPr>
              <w:t>Conclusion:</w:t>
            </w:r>
            <w:r w:rsidRPr="008F39F5">
              <w:rPr>
                <w:rFonts w:ascii="Arial" w:eastAsia="Calibri" w:hAnsi="Arial" w:cs="Arial"/>
                <w:szCs w:val="22"/>
              </w:rPr>
              <w:t xml:space="preserve"> </w:t>
            </w:r>
            <w:r w:rsidR="00670EC7" w:rsidRPr="00670EC7">
              <w:rPr>
                <w:rFonts w:ascii="Arial" w:eastAsia="Calibri" w:hAnsi="Arial" w:cs="Arial"/>
                <w:szCs w:val="22"/>
              </w:rPr>
              <w:t>In patients with long COVID-19 in primary car</w:t>
            </w:r>
            <w:r w:rsidR="00D36F74">
              <w:rPr>
                <w:rFonts w:ascii="Arial" w:eastAsia="Calibri" w:hAnsi="Arial" w:cs="Arial"/>
                <w:szCs w:val="22"/>
              </w:rPr>
              <w:t>e, the most common sequelae was</w:t>
            </w:r>
            <w:r w:rsidR="00670EC7" w:rsidRPr="00670EC7">
              <w:rPr>
                <w:rFonts w:ascii="Arial" w:eastAsia="Calibri" w:hAnsi="Arial" w:cs="Arial"/>
                <w:szCs w:val="22"/>
              </w:rPr>
              <w:t xml:space="preserve"> respiratory symptoms, particularly persistent cough and odynophagia. Vaccination appeared to offer protection, notably against symptoms such as dyspnoea. These findings highlight the value of sustained vaccination efforts and the need for tailored post-COVID follow-up based on individual risk and sociodemographic factors</w:t>
            </w:r>
            <w:r w:rsidR="00161EE6" w:rsidRPr="00161EE6">
              <w:rPr>
                <w:rFonts w:ascii="Arial" w:eastAsia="Calibri" w:hAnsi="Arial" w:cs="Arial"/>
                <w:szCs w:val="22"/>
              </w:rPr>
              <w:t>.</w:t>
            </w:r>
          </w:p>
        </w:tc>
      </w:tr>
    </w:tbl>
    <w:p w14:paraId="66718376" w14:textId="77777777" w:rsidR="00636EB2" w:rsidRPr="008F39F5" w:rsidRDefault="00636EB2" w:rsidP="00441B6F">
      <w:pPr>
        <w:pStyle w:val="Body"/>
        <w:spacing w:after="0"/>
        <w:rPr>
          <w:rFonts w:ascii="Arial" w:hAnsi="Arial" w:cs="Arial"/>
          <w:i/>
        </w:rPr>
      </w:pPr>
    </w:p>
    <w:p w14:paraId="2BCD2E2B" w14:textId="34685C74" w:rsidR="00A24E7E" w:rsidRPr="008F39F5" w:rsidRDefault="00A24E7E" w:rsidP="00441B6F">
      <w:pPr>
        <w:pStyle w:val="Body"/>
        <w:spacing w:after="0"/>
        <w:rPr>
          <w:rFonts w:ascii="Arial" w:hAnsi="Arial" w:cs="Arial"/>
          <w:i/>
        </w:rPr>
      </w:pPr>
      <w:r w:rsidRPr="008F39F5">
        <w:rPr>
          <w:rFonts w:ascii="Arial" w:hAnsi="Arial" w:cs="Arial"/>
          <w:i/>
        </w:rPr>
        <w:t xml:space="preserve">Keywords: </w:t>
      </w:r>
      <w:r w:rsidR="00216CF8">
        <w:rPr>
          <w:rFonts w:ascii="Arial" w:hAnsi="Arial" w:cs="Arial"/>
          <w:i/>
        </w:rPr>
        <w:t xml:space="preserve">long </w:t>
      </w:r>
      <w:r w:rsidR="004F66EB" w:rsidRPr="008F39F5">
        <w:rPr>
          <w:rFonts w:ascii="Arial" w:hAnsi="Arial" w:cs="Arial"/>
          <w:i/>
        </w:rPr>
        <w:t xml:space="preserve">COVID-19; </w:t>
      </w:r>
      <w:r w:rsidR="00713C50" w:rsidRPr="008F39F5">
        <w:rPr>
          <w:rFonts w:ascii="Arial" w:hAnsi="Arial" w:cs="Arial"/>
          <w:i/>
        </w:rPr>
        <w:t>non-communicable diseases</w:t>
      </w:r>
      <w:r w:rsidR="00084A11" w:rsidRPr="008F39F5">
        <w:rPr>
          <w:rFonts w:ascii="Arial" w:hAnsi="Arial" w:cs="Arial"/>
          <w:i/>
        </w:rPr>
        <w:t>;</w:t>
      </w:r>
      <w:r w:rsidR="00216CF8" w:rsidRPr="00216CF8">
        <w:t xml:space="preserve"> </w:t>
      </w:r>
      <w:r w:rsidR="00216CF8" w:rsidRPr="00216CF8">
        <w:rPr>
          <w:rFonts w:ascii="Arial" w:hAnsi="Arial" w:cs="Arial"/>
          <w:i/>
        </w:rPr>
        <w:t xml:space="preserve">post-COVID-19 </w:t>
      </w:r>
      <w:r w:rsidR="00216CF8">
        <w:rPr>
          <w:rFonts w:ascii="Arial" w:hAnsi="Arial" w:cs="Arial"/>
          <w:i/>
        </w:rPr>
        <w:t>s</w:t>
      </w:r>
      <w:r w:rsidR="00216CF8" w:rsidRPr="00216CF8">
        <w:rPr>
          <w:rFonts w:ascii="Arial" w:hAnsi="Arial" w:cs="Arial"/>
          <w:i/>
        </w:rPr>
        <w:t>equelae</w:t>
      </w:r>
      <w:r w:rsidR="00084A11" w:rsidRPr="008F39F5">
        <w:rPr>
          <w:rFonts w:ascii="Arial" w:hAnsi="Arial" w:cs="Arial"/>
          <w:i/>
        </w:rPr>
        <w:t xml:space="preserve"> </w:t>
      </w:r>
    </w:p>
    <w:p w14:paraId="112B1908" w14:textId="77777777" w:rsidR="00505F06" w:rsidRPr="008F39F5" w:rsidRDefault="00505F06" w:rsidP="00441B6F">
      <w:pPr>
        <w:pStyle w:val="Body"/>
        <w:spacing w:after="0"/>
        <w:rPr>
          <w:rFonts w:ascii="Arial" w:hAnsi="Arial" w:cs="Arial"/>
          <w:i/>
        </w:rPr>
      </w:pPr>
    </w:p>
    <w:p w14:paraId="3D6BFF5B" w14:textId="73B19F3A" w:rsidR="007F7B32" w:rsidRPr="008F39F5" w:rsidRDefault="00902823" w:rsidP="00441B6F">
      <w:pPr>
        <w:pStyle w:val="AbstHead"/>
        <w:spacing w:after="0"/>
        <w:jc w:val="both"/>
        <w:rPr>
          <w:rFonts w:ascii="Arial" w:hAnsi="Arial" w:cs="Arial"/>
        </w:rPr>
      </w:pPr>
      <w:r w:rsidRPr="008F39F5">
        <w:rPr>
          <w:rFonts w:ascii="Arial" w:hAnsi="Arial" w:cs="Arial"/>
        </w:rPr>
        <w:t xml:space="preserve">1. </w:t>
      </w:r>
      <w:r w:rsidR="00B01FCD" w:rsidRPr="008F39F5">
        <w:rPr>
          <w:rFonts w:ascii="Arial" w:hAnsi="Arial" w:cs="Arial"/>
        </w:rPr>
        <w:t>INTRODUCTION</w:t>
      </w:r>
    </w:p>
    <w:p w14:paraId="76603355" w14:textId="43AE8AD5" w:rsidR="007B3602" w:rsidRPr="007B3602" w:rsidRDefault="007B5C8C" w:rsidP="007B3602">
      <w:pPr>
        <w:jc w:val="both"/>
        <w:rPr>
          <w:rFonts w:ascii="Arial" w:hAnsi="Arial" w:cs="Arial"/>
        </w:rPr>
      </w:pPr>
      <w:r w:rsidRPr="007B5C8C">
        <w:rPr>
          <w:rFonts w:ascii="Arial" w:hAnsi="Arial" w:cs="Arial"/>
        </w:rPr>
        <w:t>The COVID-19 pandemic, caused by the novel coronavirus SARS-CoV-2, has had profound and far-reaching effects on global health systems</w:t>
      </w:r>
      <w:r w:rsidR="008C7F86">
        <w:rPr>
          <w:rFonts w:ascii="Arial" w:hAnsi="Arial" w:cs="Arial"/>
        </w:rPr>
        <w:t xml:space="preserve"> (López-Hernández 2022</w:t>
      </w:r>
      <w:r w:rsidR="004034EB">
        <w:rPr>
          <w:rFonts w:ascii="Arial" w:hAnsi="Arial" w:cs="Arial"/>
        </w:rPr>
        <w:t xml:space="preserve">, </w:t>
      </w:r>
      <w:r w:rsidR="004034EB" w:rsidRPr="004034EB">
        <w:rPr>
          <w:rFonts w:ascii="Arial" w:hAnsi="Arial" w:cs="Arial"/>
        </w:rPr>
        <w:t>Selvam</w:t>
      </w:r>
      <w:r w:rsidR="004034EB">
        <w:rPr>
          <w:rFonts w:ascii="Arial" w:hAnsi="Arial" w:cs="Arial"/>
        </w:rPr>
        <w:t xml:space="preserve"> et al. </w:t>
      </w:r>
      <w:r w:rsidR="004034EB" w:rsidRPr="004034EB">
        <w:rPr>
          <w:rFonts w:ascii="Arial" w:hAnsi="Arial" w:cs="Arial"/>
        </w:rPr>
        <w:t>2024</w:t>
      </w:r>
      <w:r w:rsidR="008C7F86">
        <w:rPr>
          <w:rFonts w:ascii="Arial" w:hAnsi="Arial" w:cs="Arial"/>
        </w:rPr>
        <w:t>)</w:t>
      </w:r>
      <w:r w:rsidRPr="007B5C8C">
        <w:rPr>
          <w:rFonts w:ascii="Arial" w:hAnsi="Arial" w:cs="Arial"/>
        </w:rPr>
        <w:t>. Initial clinical and public health responses understandably focused on controlling transmission and managing the acute phase of the disease, particularly in severe cases requiring hospitalisation or admission to intensive care units (ICUs)</w:t>
      </w:r>
      <w:r w:rsidR="004034EB">
        <w:rPr>
          <w:rFonts w:ascii="Arial" w:hAnsi="Arial" w:cs="Arial"/>
        </w:rPr>
        <w:t xml:space="preserve"> (</w:t>
      </w:r>
      <w:r w:rsidR="004034EB" w:rsidRPr="004034EB">
        <w:rPr>
          <w:rFonts w:ascii="Arial" w:hAnsi="Arial" w:cs="Arial"/>
        </w:rPr>
        <w:t>Qiu</w:t>
      </w:r>
      <w:r w:rsidR="004034EB">
        <w:rPr>
          <w:rFonts w:ascii="Arial" w:hAnsi="Arial" w:cs="Arial"/>
        </w:rPr>
        <w:t xml:space="preserve"> et al. 2020</w:t>
      </w:r>
      <w:r w:rsidR="00381DA5">
        <w:rPr>
          <w:rFonts w:ascii="Arial" w:hAnsi="Arial" w:cs="Arial"/>
        </w:rPr>
        <w:t>,</w:t>
      </w:r>
      <w:r w:rsidR="00381DA5" w:rsidRPr="00381DA5">
        <w:t xml:space="preserve"> </w:t>
      </w:r>
      <w:r w:rsidR="00381DA5" w:rsidRPr="00381DA5">
        <w:rPr>
          <w:rFonts w:ascii="Arial" w:hAnsi="Arial" w:cs="Arial"/>
        </w:rPr>
        <w:t>Bartoletti</w:t>
      </w:r>
      <w:r w:rsidR="00381DA5">
        <w:rPr>
          <w:rFonts w:ascii="Arial" w:hAnsi="Arial" w:cs="Arial"/>
        </w:rPr>
        <w:t xml:space="preserve"> et al. </w:t>
      </w:r>
      <w:r w:rsidR="00381DA5" w:rsidRPr="00381DA5">
        <w:rPr>
          <w:rFonts w:ascii="Arial" w:hAnsi="Arial" w:cs="Arial"/>
        </w:rPr>
        <w:t>2021</w:t>
      </w:r>
      <w:r w:rsidR="00381DA5">
        <w:rPr>
          <w:rFonts w:ascii="Arial" w:hAnsi="Arial" w:cs="Arial"/>
        </w:rPr>
        <w:t xml:space="preserve">, </w:t>
      </w:r>
      <w:r w:rsidR="00381DA5" w:rsidRPr="00381DA5">
        <w:rPr>
          <w:rFonts w:ascii="Arial" w:hAnsi="Arial" w:cs="Arial"/>
        </w:rPr>
        <w:t>World Health Organization</w:t>
      </w:r>
      <w:r w:rsidR="00381DA5">
        <w:rPr>
          <w:rFonts w:ascii="Arial" w:hAnsi="Arial" w:cs="Arial"/>
        </w:rPr>
        <w:t>, WHO 2022</w:t>
      </w:r>
      <w:r w:rsidR="004034EB">
        <w:rPr>
          <w:rFonts w:ascii="Arial" w:hAnsi="Arial" w:cs="Arial"/>
        </w:rPr>
        <w:t>)</w:t>
      </w:r>
      <w:r w:rsidRPr="007B5C8C">
        <w:rPr>
          <w:rFonts w:ascii="Arial" w:hAnsi="Arial" w:cs="Arial"/>
        </w:rPr>
        <w:t>. However, as the pandemic has progressed, attention has increasingly shifted towards the medium- and long-term consequences of COVID-19, particularly among those who continue to experience persistent symptoms or functional impairments well beyond the resolution of the acute infection</w:t>
      </w:r>
      <w:r w:rsidR="0019549D">
        <w:rPr>
          <w:rFonts w:ascii="Arial" w:hAnsi="Arial" w:cs="Arial"/>
        </w:rPr>
        <w:t xml:space="preserve"> (</w:t>
      </w:r>
      <w:r w:rsidR="00390EF1" w:rsidRPr="00390EF1">
        <w:rPr>
          <w:rFonts w:ascii="Arial" w:hAnsi="Arial" w:cs="Arial"/>
        </w:rPr>
        <w:t xml:space="preserve">Peramo-Álvarez </w:t>
      </w:r>
      <w:r w:rsidR="00390EF1">
        <w:rPr>
          <w:rFonts w:ascii="Arial" w:hAnsi="Arial" w:cs="Arial"/>
        </w:rPr>
        <w:t xml:space="preserve">et al. </w:t>
      </w:r>
      <w:r w:rsidR="00390EF1" w:rsidRPr="00390EF1">
        <w:rPr>
          <w:rFonts w:ascii="Arial" w:hAnsi="Arial" w:cs="Arial"/>
        </w:rPr>
        <w:t>2021</w:t>
      </w:r>
      <w:r w:rsidR="00390EF1">
        <w:rPr>
          <w:rFonts w:ascii="Arial" w:hAnsi="Arial" w:cs="Arial"/>
        </w:rPr>
        <w:t xml:space="preserve">, </w:t>
      </w:r>
      <w:r w:rsidR="00390EF1" w:rsidRPr="00390EF1">
        <w:rPr>
          <w:rFonts w:ascii="Arial" w:hAnsi="Arial" w:cs="Arial"/>
        </w:rPr>
        <w:t>López-Sampalo</w:t>
      </w:r>
      <w:r w:rsidR="00390EF1">
        <w:rPr>
          <w:rFonts w:ascii="Arial" w:hAnsi="Arial" w:cs="Arial"/>
        </w:rPr>
        <w:t xml:space="preserve"> et al. </w:t>
      </w:r>
      <w:r w:rsidR="00390EF1" w:rsidRPr="00390EF1">
        <w:rPr>
          <w:rFonts w:ascii="Arial" w:hAnsi="Arial" w:cs="Arial"/>
        </w:rPr>
        <w:t>2022</w:t>
      </w:r>
      <w:r w:rsidR="003657EE">
        <w:rPr>
          <w:rFonts w:ascii="Arial" w:hAnsi="Arial" w:cs="Arial"/>
        </w:rPr>
        <w:t xml:space="preserve">, </w:t>
      </w:r>
      <w:r w:rsidR="003657EE" w:rsidRPr="003657EE">
        <w:rPr>
          <w:rFonts w:ascii="Arial" w:hAnsi="Arial" w:cs="Arial"/>
        </w:rPr>
        <w:t>Vázquez</w:t>
      </w:r>
      <w:r w:rsidR="003657EE">
        <w:rPr>
          <w:rFonts w:ascii="Arial" w:hAnsi="Arial" w:cs="Arial"/>
        </w:rPr>
        <w:t xml:space="preserve"> et al.</w:t>
      </w:r>
      <w:r w:rsidR="003657EE" w:rsidRPr="003657EE">
        <w:rPr>
          <w:rFonts w:ascii="Arial" w:hAnsi="Arial" w:cs="Arial"/>
        </w:rPr>
        <w:t xml:space="preserve"> 2022</w:t>
      </w:r>
      <w:r w:rsidR="00390EF1" w:rsidRPr="003657EE">
        <w:rPr>
          <w:rFonts w:ascii="Arial" w:hAnsi="Arial" w:cs="Arial"/>
          <w:lang w:val="en-US"/>
        </w:rPr>
        <w:t>)</w:t>
      </w:r>
      <w:r w:rsidRPr="003657EE">
        <w:rPr>
          <w:rFonts w:ascii="Arial" w:hAnsi="Arial" w:cs="Arial"/>
          <w:lang w:val="en-US"/>
        </w:rPr>
        <w:t>.</w:t>
      </w:r>
      <w:r w:rsidR="003657EE">
        <w:rPr>
          <w:rFonts w:ascii="Arial" w:hAnsi="Arial" w:cs="Arial"/>
          <w:lang w:val="en-US"/>
        </w:rPr>
        <w:t xml:space="preserve"> </w:t>
      </w:r>
      <w:r w:rsidRPr="007B5C8C">
        <w:rPr>
          <w:rFonts w:ascii="Arial" w:hAnsi="Arial" w:cs="Arial"/>
        </w:rPr>
        <w:t xml:space="preserve">This constellation of ongoing or newly emerging symptoms, occurring </w:t>
      </w:r>
      <w:r w:rsidR="003657EE">
        <w:rPr>
          <w:rFonts w:ascii="Arial" w:hAnsi="Arial" w:cs="Arial"/>
        </w:rPr>
        <w:t>three</w:t>
      </w:r>
      <w:r w:rsidRPr="007B5C8C">
        <w:rPr>
          <w:rFonts w:ascii="Arial" w:hAnsi="Arial" w:cs="Arial"/>
        </w:rPr>
        <w:t xml:space="preserve"> or more weeks after the initial infection, is now widely recognised as post-acute sequelae of SARS-CoV-2 infection (PASC), or more commonly, long COVID</w:t>
      </w:r>
      <w:r w:rsidR="0032319B">
        <w:rPr>
          <w:rFonts w:ascii="Arial" w:hAnsi="Arial" w:cs="Arial"/>
        </w:rPr>
        <w:t>-19</w:t>
      </w:r>
      <w:r w:rsidR="003657EE">
        <w:rPr>
          <w:rFonts w:ascii="Arial" w:hAnsi="Arial" w:cs="Arial"/>
        </w:rPr>
        <w:t xml:space="preserve"> (</w:t>
      </w:r>
      <w:r w:rsidR="003657EE" w:rsidRPr="00390EF1">
        <w:rPr>
          <w:rFonts w:ascii="Arial" w:hAnsi="Arial" w:cs="Arial"/>
        </w:rPr>
        <w:t xml:space="preserve">Peramo-Álvarez </w:t>
      </w:r>
      <w:r w:rsidR="003657EE">
        <w:rPr>
          <w:rFonts w:ascii="Arial" w:hAnsi="Arial" w:cs="Arial"/>
        </w:rPr>
        <w:t xml:space="preserve">et al. </w:t>
      </w:r>
      <w:r w:rsidR="003657EE" w:rsidRPr="00390EF1">
        <w:rPr>
          <w:rFonts w:ascii="Arial" w:hAnsi="Arial" w:cs="Arial"/>
        </w:rPr>
        <w:t>2021</w:t>
      </w:r>
      <w:r w:rsidR="003657EE">
        <w:rPr>
          <w:rFonts w:ascii="Arial" w:hAnsi="Arial" w:cs="Arial"/>
        </w:rPr>
        <w:t xml:space="preserve">, </w:t>
      </w:r>
      <w:r w:rsidR="003657EE" w:rsidRPr="003657EE">
        <w:rPr>
          <w:rFonts w:ascii="Arial" w:hAnsi="Arial" w:cs="Arial"/>
        </w:rPr>
        <w:t>Parotto</w:t>
      </w:r>
      <w:r w:rsidR="003657EE">
        <w:rPr>
          <w:rFonts w:ascii="Arial" w:hAnsi="Arial" w:cs="Arial"/>
        </w:rPr>
        <w:t xml:space="preserve"> et al. </w:t>
      </w:r>
      <w:r w:rsidR="003657EE" w:rsidRPr="003657EE">
        <w:rPr>
          <w:rFonts w:ascii="Arial" w:hAnsi="Arial" w:cs="Arial"/>
        </w:rPr>
        <w:t>2023</w:t>
      </w:r>
      <w:r w:rsidR="00FD3178">
        <w:rPr>
          <w:rFonts w:ascii="Arial" w:hAnsi="Arial" w:cs="Arial"/>
        </w:rPr>
        <w:t xml:space="preserve">, </w:t>
      </w:r>
      <w:r w:rsidR="00FD3178" w:rsidRPr="00FD3178">
        <w:rPr>
          <w:rFonts w:ascii="Arial" w:hAnsi="Arial" w:cs="Arial"/>
        </w:rPr>
        <w:t>Singh</w:t>
      </w:r>
      <w:r w:rsidR="00FD3178">
        <w:rPr>
          <w:rFonts w:ascii="Arial" w:hAnsi="Arial" w:cs="Arial"/>
        </w:rPr>
        <w:t xml:space="preserve"> et al. </w:t>
      </w:r>
      <w:r w:rsidR="00FD3178" w:rsidRPr="00FD3178">
        <w:rPr>
          <w:rFonts w:ascii="Arial" w:hAnsi="Arial" w:cs="Arial"/>
        </w:rPr>
        <w:t>2023</w:t>
      </w:r>
      <w:r w:rsidR="003657EE">
        <w:rPr>
          <w:rFonts w:ascii="Arial" w:hAnsi="Arial" w:cs="Arial"/>
        </w:rPr>
        <w:t>)</w:t>
      </w:r>
      <w:r w:rsidRPr="007B5C8C">
        <w:rPr>
          <w:rFonts w:ascii="Arial" w:hAnsi="Arial" w:cs="Arial"/>
        </w:rPr>
        <w:t>. The symptomatology of long COVID</w:t>
      </w:r>
      <w:r w:rsidR="0032319B">
        <w:rPr>
          <w:rFonts w:ascii="Arial" w:hAnsi="Arial" w:cs="Arial"/>
        </w:rPr>
        <w:t>-19</w:t>
      </w:r>
      <w:r w:rsidRPr="007B5C8C">
        <w:rPr>
          <w:rFonts w:ascii="Arial" w:hAnsi="Arial" w:cs="Arial"/>
        </w:rPr>
        <w:t xml:space="preserve"> is </w:t>
      </w:r>
      <w:r w:rsidR="00D36F74">
        <w:rPr>
          <w:rFonts w:ascii="Arial" w:hAnsi="Arial" w:cs="Arial"/>
        </w:rPr>
        <w:t xml:space="preserve">a </w:t>
      </w:r>
      <w:r w:rsidRPr="007B5C8C">
        <w:rPr>
          <w:rFonts w:ascii="Arial" w:hAnsi="Arial" w:cs="Arial"/>
        </w:rPr>
        <w:t>heterogeneous</w:t>
      </w:r>
      <w:r w:rsidR="0032319B">
        <w:rPr>
          <w:rFonts w:ascii="Arial" w:hAnsi="Arial" w:cs="Arial"/>
        </w:rPr>
        <w:t xml:space="preserve"> and multisystemic disorder</w:t>
      </w:r>
      <w:r w:rsidRPr="007B5C8C">
        <w:rPr>
          <w:rFonts w:ascii="Arial" w:hAnsi="Arial" w:cs="Arial"/>
        </w:rPr>
        <w:t xml:space="preserve"> and may include fatigue, dyspnoea, chest pain, cognitive disturbances (“brain fog”), arthralgia, sleep disorders, and psychological symptoms such as anxiety or depression</w:t>
      </w:r>
      <w:r w:rsidR="00FD3178">
        <w:rPr>
          <w:rFonts w:ascii="Arial" w:hAnsi="Arial" w:cs="Arial"/>
        </w:rPr>
        <w:t>, i</w:t>
      </w:r>
      <w:r w:rsidR="00FD3178" w:rsidRPr="00FD3178">
        <w:rPr>
          <w:rFonts w:ascii="Arial" w:hAnsi="Arial" w:cs="Arial"/>
          <w:lang w:val="en-US"/>
        </w:rPr>
        <w:t>nsomnia</w:t>
      </w:r>
      <w:r w:rsidR="00FD3178">
        <w:rPr>
          <w:rFonts w:ascii="Arial" w:hAnsi="Arial" w:cs="Arial"/>
          <w:lang w:val="en-US"/>
        </w:rPr>
        <w:t xml:space="preserve"> and p</w:t>
      </w:r>
      <w:r w:rsidR="00FD3178" w:rsidRPr="00FD3178">
        <w:rPr>
          <w:rFonts w:ascii="Arial" w:hAnsi="Arial" w:cs="Arial"/>
          <w:lang w:val="en-US"/>
        </w:rPr>
        <w:t>osttraumatic stress disorder</w:t>
      </w:r>
      <w:r w:rsidR="00A67B31" w:rsidRPr="00FD3178">
        <w:rPr>
          <w:rFonts w:ascii="Arial" w:hAnsi="Arial" w:cs="Arial"/>
          <w:lang w:val="en-US"/>
        </w:rPr>
        <w:t xml:space="preserve"> (</w:t>
      </w:r>
      <w:r w:rsidR="0032319B" w:rsidRPr="00FD3178">
        <w:rPr>
          <w:rFonts w:ascii="Arial" w:hAnsi="Arial" w:cs="Arial"/>
          <w:lang w:val="en-US"/>
        </w:rPr>
        <w:t>Leviner 2021</w:t>
      </w:r>
      <w:r w:rsidR="00FD3178">
        <w:rPr>
          <w:rFonts w:ascii="Arial" w:hAnsi="Arial" w:cs="Arial"/>
          <w:lang w:val="en-US"/>
        </w:rPr>
        <w:t xml:space="preserve">, </w:t>
      </w:r>
      <w:r w:rsidR="00636F8E" w:rsidRPr="00FD3178">
        <w:rPr>
          <w:rFonts w:ascii="Arial" w:hAnsi="Arial" w:cs="Arial"/>
        </w:rPr>
        <w:t>Singh</w:t>
      </w:r>
      <w:r w:rsidR="00636F8E">
        <w:rPr>
          <w:rFonts w:ascii="Arial" w:hAnsi="Arial" w:cs="Arial"/>
        </w:rPr>
        <w:t xml:space="preserve"> et al. </w:t>
      </w:r>
      <w:r w:rsidR="00636F8E" w:rsidRPr="00FD3178">
        <w:rPr>
          <w:rFonts w:ascii="Arial" w:hAnsi="Arial" w:cs="Arial"/>
        </w:rPr>
        <w:t>2023</w:t>
      </w:r>
      <w:r w:rsidR="00636F8E">
        <w:rPr>
          <w:rFonts w:ascii="Arial" w:hAnsi="Arial" w:cs="Arial"/>
        </w:rPr>
        <w:t xml:space="preserve">, </w:t>
      </w:r>
      <w:r w:rsidR="00636F8E" w:rsidRPr="00636F8E">
        <w:rPr>
          <w:rFonts w:ascii="Arial" w:hAnsi="Arial" w:cs="Arial"/>
        </w:rPr>
        <w:t>Pandharipande</w:t>
      </w:r>
      <w:r w:rsidR="00636F8E">
        <w:rPr>
          <w:rFonts w:ascii="Arial" w:hAnsi="Arial" w:cs="Arial"/>
        </w:rPr>
        <w:t xml:space="preserve"> et al. </w:t>
      </w:r>
      <w:r w:rsidR="00636F8E" w:rsidRPr="00636F8E">
        <w:rPr>
          <w:rFonts w:ascii="Arial" w:hAnsi="Arial" w:cs="Arial"/>
        </w:rPr>
        <w:t>2023</w:t>
      </w:r>
      <w:r w:rsidR="00636F8E">
        <w:rPr>
          <w:rFonts w:ascii="Arial" w:hAnsi="Arial" w:cs="Arial"/>
        </w:rPr>
        <w:t xml:space="preserve">, </w:t>
      </w:r>
      <w:r w:rsidR="00FD3178" w:rsidRPr="00FD3178">
        <w:rPr>
          <w:rFonts w:ascii="Arial" w:hAnsi="Arial" w:cs="Arial"/>
          <w:lang w:val="en-US"/>
        </w:rPr>
        <w:t>Cai</w:t>
      </w:r>
      <w:r w:rsidR="00FD3178">
        <w:rPr>
          <w:rFonts w:ascii="Arial" w:hAnsi="Arial" w:cs="Arial"/>
          <w:lang w:val="en-US"/>
        </w:rPr>
        <w:t xml:space="preserve"> et al. </w:t>
      </w:r>
      <w:r w:rsidR="00FD3178" w:rsidRPr="00FD3178">
        <w:rPr>
          <w:rFonts w:ascii="Arial" w:hAnsi="Arial" w:cs="Arial"/>
          <w:lang w:val="en-US"/>
        </w:rPr>
        <w:t>2024</w:t>
      </w:r>
      <w:r w:rsidR="00FD3178">
        <w:rPr>
          <w:rFonts w:ascii="Arial" w:hAnsi="Arial" w:cs="Arial"/>
          <w:lang w:val="en-US"/>
        </w:rPr>
        <w:t xml:space="preserve">, </w:t>
      </w:r>
      <w:r w:rsidR="00FD3178" w:rsidRPr="00FD3178">
        <w:rPr>
          <w:rFonts w:ascii="Arial" w:hAnsi="Arial" w:cs="Arial"/>
          <w:lang w:val="en-US"/>
        </w:rPr>
        <w:t>Umakanthan</w:t>
      </w:r>
      <w:r w:rsidR="00FD3178">
        <w:rPr>
          <w:rFonts w:ascii="Arial" w:hAnsi="Arial" w:cs="Arial"/>
          <w:lang w:val="en-US"/>
        </w:rPr>
        <w:t xml:space="preserve"> et al. </w:t>
      </w:r>
      <w:r w:rsidR="00FD3178" w:rsidRPr="00FD3178">
        <w:rPr>
          <w:rFonts w:ascii="Arial" w:hAnsi="Arial" w:cs="Arial"/>
          <w:lang w:val="en-US"/>
        </w:rPr>
        <w:t>2024</w:t>
      </w:r>
      <w:r w:rsidR="0032319B" w:rsidRPr="00FD3178">
        <w:rPr>
          <w:rFonts w:ascii="Arial" w:hAnsi="Arial" w:cs="Arial"/>
          <w:lang w:val="en-US"/>
        </w:rPr>
        <w:t>)</w:t>
      </w:r>
      <w:r w:rsidRPr="00FD3178">
        <w:rPr>
          <w:rFonts w:ascii="Arial" w:hAnsi="Arial" w:cs="Arial"/>
          <w:lang w:val="en-US"/>
        </w:rPr>
        <w:t xml:space="preserve">. </w:t>
      </w:r>
      <w:r w:rsidRPr="007B5C8C">
        <w:rPr>
          <w:rFonts w:ascii="Arial" w:hAnsi="Arial" w:cs="Arial"/>
        </w:rPr>
        <w:t xml:space="preserve">Importantly, </w:t>
      </w:r>
      <w:r w:rsidR="00CD302C">
        <w:rPr>
          <w:rFonts w:ascii="Arial" w:hAnsi="Arial" w:cs="Arial"/>
        </w:rPr>
        <w:t xml:space="preserve">as a part of </w:t>
      </w:r>
      <w:r w:rsidR="00CD302C" w:rsidRPr="00CD302C">
        <w:rPr>
          <w:rFonts w:ascii="Arial" w:hAnsi="Arial" w:cs="Arial"/>
        </w:rPr>
        <w:t>acute respiratory distress syndrome</w:t>
      </w:r>
      <w:r w:rsidR="00CD302C">
        <w:rPr>
          <w:rFonts w:ascii="Arial" w:hAnsi="Arial" w:cs="Arial"/>
        </w:rPr>
        <w:t xml:space="preserve"> </w:t>
      </w:r>
      <w:r w:rsidRPr="007B5C8C">
        <w:rPr>
          <w:rFonts w:ascii="Arial" w:hAnsi="Arial" w:cs="Arial"/>
        </w:rPr>
        <w:t>these manifestations may occur even in individuals who experienced mild or moderate acute illness, and they can significantly impair quality of life and functional status</w:t>
      </w:r>
      <w:r w:rsidR="00CD302C">
        <w:rPr>
          <w:rFonts w:ascii="Arial" w:hAnsi="Arial" w:cs="Arial"/>
        </w:rPr>
        <w:t xml:space="preserve"> (</w:t>
      </w:r>
      <w:r w:rsidR="00CD302C" w:rsidRPr="00CD302C">
        <w:rPr>
          <w:rFonts w:ascii="Arial" w:hAnsi="Arial" w:cs="Arial"/>
        </w:rPr>
        <w:t>Palakshappa</w:t>
      </w:r>
      <w:r w:rsidR="00CD302C">
        <w:rPr>
          <w:rFonts w:ascii="Arial" w:hAnsi="Arial" w:cs="Arial"/>
        </w:rPr>
        <w:t xml:space="preserve"> et al. </w:t>
      </w:r>
      <w:r w:rsidR="00CD302C" w:rsidRPr="00CD302C">
        <w:rPr>
          <w:rFonts w:ascii="Arial" w:hAnsi="Arial" w:cs="Arial"/>
        </w:rPr>
        <w:t>2021</w:t>
      </w:r>
      <w:r w:rsidR="00CD302C">
        <w:rPr>
          <w:rFonts w:ascii="Arial" w:hAnsi="Arial" w:cs="Arial"/>
        </w:rPr>
        <w:t>)</w:t>
      </w:r>
      <w:r w:rsidRPr="007B5C8C">
        <w:rPr>
          <w:rFonts w:ascii="Arial" w:hAnsi="Arial" w:cs="Arial"/>
        </w:rPr>
        <w:t>. In some cases, long COVID</w:t>
      </w:r>
      <w:r w:rsidR="00912C31">
        <w:rPr>
          <w:rFonts w:ascii="Arial" w:hAnsi="Arial" w:cs="Arial"/>
        </w:rPr>
        <w:t>-19</w:t>
      </w:r>
      <w:r w:rsidRPr="007B5C8C">
        <w:rPr>
          <w:rFonts w:ascii="Arial" w:hAnsi="Arial" w:cs="Arial"/>
        </w:rPr>
        <w:t xml:space="preserve"> may represent the unmasking or exacerbation of pre-existing chronic conditions.</w:t>
      </w:r>
      <w:r w:rsidR="00CD302C">
        <w:rPr>
          <w:rFonts w:ascii="Arial" w:hAnsi="Arial" w:cs="Arial"/>
        </w:rPr>
        <w:t xml:space="preserve"> </w:t>
      </w:r>
      <w:r w:rsidRPr="007B5C8C">
        <w:rPr>
          <w:rFonts w:ascii="Arial" w:hAnsi="Arial" w:cs="Arial"/>
        </w:rPr>
        <w:t>A growing body of evidence suggests that the underlying pathophysiology of long COVID</w:t>
      </w:r>
      <w:r w:rsidR="00CD302C">
        <w:rPr>
          <w:rFonts w:ascii="Arial" w:hAnsi="Arial" w:cs="Arial"/>
        </w:rPr>
        <w:t>-19</w:t>
      </w:r>
      <w:r w:rsidRPr="007B5C8C">
        <w:rPr>
          <w:rFonts w:ascii="Arial" w:hAnsi="Arial" w:cs="Arial"/>
        </w:rPr>
        <w:t xml:space="preserve"> is multifactorial, potentially involving persistent inflammation, viral persistence, microvascular damage, autonomic dysfunction, and dysregulation of the immune response</w:t>
      </w:r>
      <w:r w:rsidR="00CD302C">
        <w:rPr>
          <w:rFonts w:ascii="Arial" w:hAnsi="Arial" w:cs="Arial"/>
        </w:rPr>
        <w:t xml:space="preserve"> (</w:t>
      </w:r>
      <w:r w:rsidR="00CD302C" w:rsidRPr="00CD302C">
        <w:rPr>
          <w:rFonts w:ascii="Arial" w:hAnsi="Arial" w:cs="Arial"/>
        </w:rPr>
        <w:t>Tziolos</w:t>
      </w:r>
      <w:r w:rsidR="00CD302C">
        <w:rPr>
          <w:rFonts w:ascii="Arial" w:hAnsi="Arial" w:cs="Arial"/>
        </w:rPr>
        <w:t xml:space="preserve"> et al. </w:t>
      </w:r>
      <w:r w:rsidR="00CD302C" w:rsidRPr="00CD302C">
        <w:rPr>
          <w:rFonts w:ascii="Arial" w:hAnsi="Arial" w:cs="Arial"/>
        </w:rPr>
        <w:t>2023</w:t>
      </w:r>
      <w:r w:rsidR="00463BE4">
        <w:rPr>
          <w:rFonts w:ascii="Arial" w:hAnsi="Arial" w:cs="Arial"/>
        </w:rPr>
        <w:t xml:space="preserve">, </w:t>
      </w:r>
      <w:r w:rsidR="00463BE4" w:rsidRPr="00463BE4">
        <w:rPr>
          <w:rFonts w:ascii="Arial" w:hAnsi="Arial" w:cs="Arial"/>
        </w:rPr>
        <w:t>Turner</w:t>
      </w:r>
      <w:r w:rsidR="00463BE4">
        <w:rPr>
          <w:rFonts w:ascii="Arial" w:hAnsi="Arial" w:cs="Arial"/>
        </w:rPr>
        <w:t xml:space="preserve"> et al. </w:t>
      </w:r>
      <w:r w:rsidR="00463BE4" w:rsidRPr="00463BE4">
        <w:rPr>
          <w:rFonts w:ascii="Arial" w:hAnsi="Arial" w:cs="Arial"/>
        </w:rPr>
        <w:t>2023</w:t>
      </w:r>
      <w:r w:rsidR="00CD302C">
        <w:rPr>
          <w:rFonts w:ascii="Arial" w:hAnsi="Arial" w:cs="Arial"/>
        </w:rPr>
        <w:t>)</w:t>
      </w:r>
      <w:r w:rsidRPr="007B5C8C">
        <w:rPr>
          <w:rFonts w:ascii="Arial" w:hAnsi="Arial" w:cs="Arial"/>
        </w:rPr>
        <w:t>. Given this complexity, comprehensive and multidisciplinary approaches are essential for the effective assessment and management of affected individuals. This includes the development of evidence-based guidelines, appropriate referral pathways, and the integration of services across different levels of care</w:t>
      </w:r>
      <w:r w:rsidR="00463BE4">
        <w:rPr>
          <w:rFonts w:ascii="Arial" w:hAnsi="Arial" w:cs="Arial"/>
        </w:rPr>
        <w:t xml:space="preserve"> (WHO 2022)</w:t>
      </w:r>
      <w:r w:rsidRPr="007B5C8C">
        <w:rPr>
          <w:rFonts w:ascii="Arial" w:hAnsi="Arial" w:cs="Arial"/>
        </w:rPr>
        <w:t>.</w:t>
      </w:r>
      <w:r w:rsidR="00463BE4">
        <w:rPr>
          <w:rFonts w:ascii="Arial" w:hAnsi="Arial" w:cs="Arial"/>
        </w:rPr>
        <w:t xml:space="preserve"> </w:t>
      </w:r>
      <w:r w:rsidRPr="007B5C8C">
        <w:rPr>
          <w:rFonts w:ascii="Arial" w:hAnsi="Arial" w:cs="Arial"/>
        </w:rPr>
        <w:t>In this context, the role of primary care is of paramount importance. As the first point of contact for most individuals within the health system, primary healthcare providers are uniquely positioned to identify and manage the broad spectrum of post-COVID-19 manifestations. This includes recognising subtle or non-specific symptoms, conducting appropriate initial investigations, providing symptom-based management, and coordinating referrals to specialised care when needed. Moreover, primary care settings offer a valuable opportunity for systematic data collection, monitoring of symptom progression, and</w:t>
      </w:r>
      <w:r w:rsidR="00D36F74">
        <w:rPr>
          <w:rFonts w:ascii="Arial" w:hAnsi="Arial" w:cs="Arial"/>
        </w:rPr>
        <w:t xml:space="preserve"> the</w:t>
      </w:r>
      <w:r w:rsidRPr="007B5C8C">
        <w:rPr>
          <w:rFonts w:ascii="Arial" w:hAnsi="Arial" w:cs="Arial"/>
        </w:rPr>
        <w:t xml:space="preserve"> implementation of longitudinal care plans</w:t>
      </w:r>
      <w:r w:rsidR="00463BE4">
        <w:rPr>
          <w:rFonts w:ascii="Arial" w:hAnsi="Arial" w:cs="Arial"/>
        </w:rPr>
        <w:t xml:space="preserve"> (</w:t>
      </w:r>
      <w:r w:rsidR="001773C5" w:rsidRPr="001773C5">
        <w:rPr>
          <w:rFonts w:ascii="Arial" w:hAnsi="Arial" w:cs="Arial"/>
        </w:rPr>
        <w:t>Ares-Blanco</w:t>
      </w:r>
      <w:r w:rsidR="001773C5">
        <w:rPr>
          <w:rFonts w:ascii="Arial" w:hAnsi="Arial" w:cs="Arial"/>
        </w:rPr>
        <w:t xml:space="preserve"> et al. </w:t>
      </w:r>
      <w:r w:rsidR="001773C5" w:rsidRPr="001773C5">
        <w:rPr>
          <w:rFonts w:ascii="Arial" w:hAnsi="Arial" w:cs="Arial"/>
        </w:rPr>
        <w:t>2021</w:t>
      </w:r>
      <w:r w:rsidR="001773C5">
        <w:rPr>
          <w:rFonts w:ascii="Arial" w:hAnsi="Arial" w:cs="Arial"/>
        </w:rPr>
        <w:t xml:space="preserve">, </w:t>
      </w:r>
      <w:r w:rsidR="001773C5" w:rsidRPr="001773C5">
        <w:rPr>
          <w:rFonts w:ascii="Arial" w:hAnsi="Arial" w:cs="Arial"/>
        </w:rPr>
        <w:t>Mughal</w:t>
      </w:r>
      <w:r w:rsidR="001773C5">
        <w:rPr>
          <w:rFonts w:ascii="Arial" w:hAnsi="Arial" w:cs="Arial"/>
        </w:rPr>
        <w:t xml:space="preserve"> et al. </w:t>
      </w:r>
      <w:r w:rsidR="001773C5" w:rsidRPr="001773C5">
        <w:rPr>
          <w:rFonts w:ascii="Arial" w:hAnsi="Arial" w:cs="Arial"/>
        </w:rPr>
        <w:t>2021</w:t>
      </w:r>
      <w:r w:rsidR="001773C5">
        <w:rPr>
          <w:rFonts w:ascii="Arial" w:hAnsi="Arial" w:cs="Arial"/>
        </w:rPr>
        <w:t xml:space="preserve">, </w:t>
      </w:r>
      <w:r w:rsidR="00463BE4" w:rsidRPr="00463BE4">
        <w:rPr>
          <w:rFonts w:ascii="Arial" w:hAnsi="Arial" w:cs="Arial"/>
        </w:rPr>
        <w:t>Zeber &amp; Khanna 2021</w:t>
      </w:r>
      <w:r w:rsidR="00463BE4">
        <w:rPr>
          <w:rFonts w:ascii="Arial" w:hAnsi="Arial" w:cs="Arial"/>
        </w:rPr>
        <w:t>)</w:t>
      </w:r>
      <w:r w:rsidRPr="007B5C8C">
        <w:rPr>
          <w:rFonts w:ascii="Arial" w:hAnsi="Arial" w:cs="Arial"/>
        </w:rPr>
        <w:t>.</w:t>
      </w:r>
      <w:r w:rsidR="00992AF4">
        <w:rPr>
          <w:rFonts w:ascii="Arial" w:hAnsi="Arial" w:cs="Arial"/>
        </w:rPr>
        <w:t xml:space="preserve"> </w:t>
      </w:r>
      <w:r w:rsidR="00992AF4" w:rsidRPr="00992AF4">
        <w:rPr>
          <w:rFonts w:ascii="Arial" w:hAnsi="Arial" w:cs="Arial"/>
        </w:rPr>
        <w:t>Despite this strategic role, a substantial gap remains in recognising and documenting long COVID-19 within primary care services, particularly in low- and middle-income countries where healthcare resources are limited. Many healthcare providers report limited training and guidance regarding the identification and management of post-COVID-19 sequelae, leading to underdiagnosis and missed opportunities for early intervention</w:t>
      </w:r>
      <w:r w:rsidR="00992AF4">
        <w:rPr>
          <w:rFonts w:ascii="Arial" w:hAnsi="Arial" w:cs="Arial"/>
        </w:rPr>
        <w:t xml:space="preserve"> (</w:t>
      </w:r>
      <w:r w:rsidR="00992AF4" w:rsidRPr="00992AF4">
        <w:rPr>
          <w:rFonts w:ascii="Arial" w:hAnsi="Arial" w:cs="Arial"/>
        </w:rPr>
        <w:t>Srikanth</w:t>
      </w:r>
      <w:r w:rsidR="00992AF4">
        <w:rPr>
          <w:rFonts w:ascii="Arial" w:hAnsi="Arial" w:cs="Arial"/>
        </w:rPr>
        <w:t xml:space="preserve"> et al. </w:t>
      </w:r>
      <w:r w:rsidR="00992AF4" w:rsidRPr="00992AF4">
        <w:rPr>
          <w:rFonts w:ascii="Arial" w:hAnsi="Arial" w:cs="Arial"/>
        </w:rPr>
        <w:t>2023</w:t>
      </w:r>
      <w:r w:rsidR="00992AF4">
        <w:rPr>
          <w:rFonts w:ascii="Arial" w:hAnsi="Arial" w:cs="Arial"/>
        </w:rPr>
        <w:t>)</w:t>
      </w:r>
      <w:r w:rsidR="00992AF4" w:rsidRPr="00992AF4">
        <w:rPr>
          <w:rFonts w:ascii="Arial" w:hAnsi="Arial" w:cs="Arial"/>
        </w:rPr>
        <w:t>. Additionally, the lack of standardised protocols and insufficient integration with secondary and tertiary care services further hampers the development of a coordinated response to this emerging clinical entity.</w:t>
      </w:r>
      <w:r w:rsidR="00992AF4">
        <w:rPr>
          <w:rFonts w:ascii="Arial" w:hAnsi="Arial" w:cs="Arial"/>
        </w:rPr>
        <w:t xml:space="preserve"> </w:t>
      </w:r>
      <w:r w:rsidR="00992AF4" w:rsidRPr="00992AF4">
        <w:rPr>
          <w:rFonts w:ascii="Arial" w:hAnsi="Arial" w:cs="Arial"/>
        </w:rPr>
        <w:t>In light of these challenges, it is essential to generate robust, context-specific evidence from real-world clinical settings to better understand the presentation and burden of long COVID-19. Cross-sectional studies conducted in primary care environments can provide critical insights into the prevalence, distribution, and characteristics of post-acute symptoms, as well as highlight gaps in care and service delivery.</w:t>
      </w:r>
      <w:r w:rsidR="00992AF4">
        <w:rPr>
          <w:rFonts w:ascii="Arial" w:hAnsi="Arial" w:cs="Arial"/>
        </w:rPr>
        <w:t xml:space="preserve"> T</w:t>
      </w:r>
      <w:r w:rsidRPr="007B5C8C">
        <w:rPr>
          <w:rFonts w:ascii="Arial" w:hAnsi="Arial" w:cs="Arial"/>
        </w:rPr>
        <w:t xml:space="preserve">he </w:t>
      </w:r>
      <w:r w:rsidR="00992AF4">
        <w:rPr>
          <w:rFonts w:ascii="Arial" w:hAnsi="Arial" w:cs="Arial"/>
        </w:rPr>
        <w:t xml:space="preserve">aim </w:t>
      </w:r>
      <w:r w:rsidR="007B3602" w:rsidRPr="007B3602">
        <w:rPr>
          <w:rFonts w:ascii="Arial" w:hAnsi="Arial" w:cs="Arial"/>
        </w:rPr>
        <w:t xml:space="preserve">of this work is to describe the clinical manifestations observed during the post-acute and chronic phases of COVID-19, drawing on the experience of a primary care unit. By identifying the most prevalent symptom clusters and clinical profiles in this setting, </w:t>
      </w:r>
      <w:r w:rsidR="003C161F">
        <w:rPr>
          <w:rFonts w:ascii="Arial" w:hAnsi="Arial" w:cs="Arial"/>
        </w:rPr>
        <w:t xml:space="preserve">therefore </w:t>
      </w:r>
      <w:r w:rsidR="007B3602" w:rsidRPr="007B3602">
        <w:rPr>
          <w:rFonts w:ascii="Arial" w:hAnsi="Arial" w:cs="Arial"/>
        </w:rPr>
        <w:t>we aim to contribute to the growing body of evidence on long COVID and support the development of primary care–oriented strategies for comprehensive, long-term management. Ultimately, enhancing the capacity of primary care to effectively address long COVID is essential to ensuring equitable, accessible, and sustainable healthcare delivery.</w:t>
      </w:r>
    </w:p>
    <w:p w14:paraId="4921EB0A" w14:textId="77777777" w:rsidR="007B5C8C" w:rsidRDefault="007B5C8C" w:rsidP="008C7F86">
      <w:pPr>
        <w:pStyle w:val="Body"/>
        <w:spacing w:after="0"/>
        <w:contextualSpacing/>
        <w:rPr>
          <w:rFonts w:ascii="Arial" w:hAnsi="Arial" w:cs="Arial"/>
        </w:rPr>
      </w:pPr>
    </w:p>
    <w:p w14:paraId="735A5630" w14:textId="5CE49878" w:rsidR="009B427A" w:rsidRPr="008F39F5" w:rsidRDefault="009B427A" w:rsidP="008C7F86">
      <w:pPr>
        <w:pStyle w:val="Body"/>
        <w:spacing w:after="0"/>
        <w:contextualSpacing/>
        <w:rPr>
          <w:rFonts w:ascii="Arial" w:hAnsi="Arial" w:cs="Arial"/>
          <w:b/>
          <w:caps/>
          <w:sz w:val="22"/>
        </w:rPr>
      </w:pPr>
      <w:r w:rsidRPr="008F39F5">
        <w:rPr>
          <w:rFonts w:ascii="Arial" w:hAnsi="Arial" w:cs="Arial"/>
          <w:b/>
          <w:caps/>
          <w:sz w:val="22"/>
        </w:rPr>
        <w:t xml:space="preserve">1.1 </w:t>
      </w:r>
      <w:r w:rsidR="00A27614" w:rsidRPr="008F39F5">
        <w:rPr>
          <w:rFonts w:ascii="Arial" w:hAnsi="Arial" w:cs="Arial"/>
          <w:b/>
          <w:sz w:val="22"/>
        </w:rPr>
        <w:t>The Aim of the Study</w:t>
      </w:r>
      <w:r w:rsidRPr="008F39F5">
        <w:rPr>
          <w:rFonts w:ascii="Arial" w:hAnsi="Arial" w:cs="Arial"/>
          <w:b/>
          <w:sz w:val="22"/>
        </w:rPr>
        <w:t>.</w:t>
      </w:r>
    </w:p>
    <w:p w14:paraId="2903DF26" w14:textId="0DC5763C" w:rsidR="009B427A" w:rsidRPr="008F39F5" w:rsidRDefault="007B3602" w:rsidP="008C7F86">
      <w:pPr>
        <w:pStyle w:val="Body"/>
        <w:spacing w:after="0"/>
        <w:contextualSpacing/>
        <w:rPr>
          <w:rFonts w:ascii="Arial" w:hAnsi="Arial" w:cs="Arial"/>
        </w:rPr>
      </w:pPr>
      <w:r w:rsidRPr="007B3602">
        <w:rPr>
          <w:rFonts w:ascii="Arial" w:hAnsi="Arial" w:cs="Arial"/>
        </w:rPr>
        <w:t>The aim of this study is to describe the population experiencing post-COVID-19 sequelae within a primary care setting. By characterising the demographic, clinical, and symptomatic features of these patients, the study seeks to enhance understanding of long COVID in the context of first-level healthcare.</w:t>
      </w:r>
    </w:p>
    <w:p w14:paraId="7042DC8D" w14:textId="77777777" w:rsidR="00D81186" w:rsidRPr="008F39F5" w:rsidRDefault="00D81186" w:rsidP="008C7F86">
      <w:pPr>
        <w:pStyle w:val="Body"/>
        <w:spacing w:after="0"/>
        <w:contextualSpacing/>
        <w:rPr>
          <w:rFonts w:ascii="Arial" w:hAnsi="Arial" w:cs="Arial"/>
        </w:rPr>
      </w:pPr>
    </w:p>
    <w:p w14:paraId="0813E6FA" w14:textId="6E37181E" w:rsidR="007F7B32" w:rsidRPr="008F39F5" w:rsidRDefault="00902823" w:rsidP="008C7F86">
      <w:pPr>
        <w:pStyle w:val="AbstHead"/>
        <w:spacing w:after="0"/>
        <w:contextualSpacing/>
        <w:jc w:val="both"/>
        <w:rPr>
          <w:rFonts w:ascii="Arial" w:hAnsi="Arial" w:cs="Arial"/>
        </w:rPr>
      </w:pPr>
      <w:r w:rsidRPr="008F39F5">
        <w:rPr>
          <w:rFonts w:ascii="Arial" w:hAnsi="Arial" w:cs="Arial"/>
        </w:rPr>
        <w:t>2. material and method</w:t>
      </w:r>
      <w:r w:rsidR="00000F8F" w:rsidRPr="008F39F5">
        <w:rPr>
          <w:rFonts w:ascii="Arial" w:hAnsi="Arial" w:cs="Arial"/>
        </w:rPr>
        <w:t>s</w:t>
      </w:r>
    </w:p>
    <w:p w14:paraId="6DBB30AA" w14:textId="6480BF92" w:rsidR="00C751D3" w:rsidRPr="008F39F5" w:rsidRDefault="00AA74E0" w:rsidP="008C7F86">
      <w:pPr>
        <w:pStyle w:val="Body"/>
        <w:spacing w:after="0"/>
        <w:contextualSpacing/>
        <w:rPr>
          <w:rFonts w:ascii="Arial" w:hAnsi="Arial" w:cs="Arial"/>
          <w:b/>
          <w:caps/>
          <w:sz w:val="22"/>
        </w:rPr>
      </w:pPr>
      <w:r w:rsidRPr="008F39F5">
        <w:rPr>
          <w:rFonts w:ascii="Arial" w:hAnsi="Arial" w:cs="Arial"/>
          <w:b/>
          <w:caps/>
          <w:sz w:val="22"/>
        </w:rPr>
        <w:t xml:space="preserve">2.1 </w:t>
      </w:r>
      <w:r w:rsidR="00C751D3" w:rsidRPr="008F39F5">
        <w:rPr>
          <w:rFonts w:ascii="Arial" w:hAnsi="Arial" w:cs="Arial"/>
          <w:b/>
          <w:sz w:val="22"/>
        </w:rPr>
        <w:t>Study design and settings.</w:t>
      </w:r>
    </w:p>
    <w:p w14:paraId="003D4BD0" w14:textId="1FA43A73" w:rsidR="00AA74E0" w:rsidRPr="008F39F5" w:rsidRDefault="003C161F" w:rsidP="0014502A">
      <w:pPr>
        <w:pStyle w:val="Body"/>
        <w:contextualSpacing/>
        <w:rPr>
          <w:rFonts w:ascii="Arial" w:hAnsi="Arial" w:cs="Arial"/>
        </w:rPr>
      </w:pPr>
      <w:r>
        <w:rPr>
          <w:rFonts w:ascii="Arial" w:hAnsi="Arial" w:cs="Arial"/>
        </w:rPr>
        <w:t>It was designed a</w:t>
      </w:r>
      <w:r w:rsidR="007061FC" w:rsidRPr="008F39F5">
        <w:rPr>
          <w:rFonts w:ascii="Arial" w:hAnsi="Arial" w:cs="Arial"/>
        </w:rPr>
        <w:t xml:space="preserve"> </w:t>
      </w:r>
      <w:r w:rsidR="006050FE">
        <w:rPr>
          <w:rFonts w:ascii="Arial" w:hAnsi="Arial" w:cs="Arial"/>
        </w:rPr>
        <w:t>single-</w:t>
      </w:r>
      <w:r w:rsidR="007061FC" w:rsidRPr="008F39F5">
        <w:rPr>
          <w:rFonts w:ascii="Arial" w:hAnsi="Arial" w:cs="Arial"/>
        </w:rPr>
        <w:t>centre</w:t>
      </w:r>
      <w:r w:rsidR="00155BE4" w:rsidRPr="008F39F5">
        <w:rPr>
          <w:rFonts w:ascii="Arial" w:hAnsi="Arial" w:cs="Arial"/>
        </w:rPr>
        <w:t>, retrospective,</w:t>
      </w:r>
      <w:r w:rsidR="003E37BB" w:rsidRPr="008F39F5">
        <w:rPr>
          <w:rFonts w:ascii="Arial" w:hAnsi="Arial" w:cs="Arial"/>
        </w:rPr>
        <w:t xml:space="preserve"> </w:t>
      </w:r>
      <w:r w:rsidR="006050FE">
        <w:rPr>
          <w:rFonts w:ascii="Arial" w:hAnsi="Arial" w:cs="Arial"/>
        </w:rPr>
        <w:t>a</w:t>
      </w:r>
      <w:r w:rsidR="003E37BB" w:rsidRPr="008F39F5">
        <w:rPr>
          <w:rFonts w:ascii="Arial" w:hAnsi="Arial" w:cs="Arial"/>
        </w:rPr>
        <w:t xml:space="preserve">nd </w:t>
      </w:r>
      <w:r w:rsidR="006050FE">
        <w:rPr>
          <w:rFonts w:ascii="Arial" w:hAnsi="Arial" w:cs="Arial"/>
        </w:rPr>
        <w:t>cross-sectional</w:t>
      </w:r>
      <w:r w:rsidR="003E37BB" w:rsidRPr="008F39F5">
        <w:rPr>
          <w:rFonts w:ascii="Arial" w:hAnsi="Arial" w:cs="Arial"/>
        </w:rPr>
        <w:t xml:space="preserve"> study</w:t>
      </w:r>
      <w:r w:rsidR="007061FC" w:rsidRPr="008F39F5">
        <w:rPr>
          <w:rFonts w:ascii="Arial" w:hAnsi="Arial" w:cs="Arial"/>
        </w:rPr>
        <w:t xml:space="preserve"> and </w:t>
      </w:r>
      <w:r>
        <w:rPr>
          <w:rFonts w:ascii="Arial" w:hAnsi="Arial" w:cs="Arial"/>
        </w:rPr>
        <w:t xml:space="preserve">it was </w:t>
      </w:r>
      <w:r w:rsidR="007061FC" w:rsidRPr="008F39F5">
        <w:rPr>
          <w:rFonts w:ascii="Arial" w:hAnsi="Arial" w:cs="Arial"/>
        </w:rPr>
        <w:t xml:space="preserve">conducted with Mexican patients attending outpatient consultations in </w:t>
      </w:r>
      <w:r w:rsidR="006050FE" w:rsidRPr="006050FE">
        <w:rPr>
          <w:rFonts w:ascii="Arial" w:hAnsi="Arial" w:cs="Arial"/>
        </w:rPr>
        <w:t>the Epidemiology Department of Family Medicine Unit No. 57 (</w:t>
      </w:r>
      <w:r w:rsidR="006050FE">
        <w:rPr>
          <w:rFonts w:ascii="Arial" w:hAnsi="Arial" w:cs="Arial"/>
        </w:rPr>
        <w:t>F</w:t>
      </w:r>
      <w:r w:rsidR="006050FE" w:rsidRPr="006050FE">
        <w:rPr>
          <w:rFonts w:ascii="Arial" w:hAnsi="Arial" w:cs="Arial"/>
        </w:rPr>
        <w:t>M</w:t>
      </w:r>
      <w:r w:rsidR="006050FE">
        <w:rPr>
          <w:rFonts w:ascii="Arial" w:hAnsi="Arial" w:cs="Arial"/>
        </w:rPr>
        <w:t>U-</w:t>
      </w:r>
      <w:r w:rsidR="006050FE" w:rsidRPr="006050FE">
        <w:rPr>
          <w:rFonts w:ascii="Arial" w:hAnsi="Arial" w:cs="Arial"/>
        </w:rPr>
        <w:t xml:space="preserve">57), </w:t>
      </w:r>
      <w:r w:rsidR="006050FE">
        <w:rPr>
          <w:rFonts w:ascii="Arial" w:hAnsi="Arial" w:cs="Arial"/>
        </w:rPr>
        <w:t xml:space="preserve">from the </w:t>
      </w:r>
      <w:r w:rsidR="006050FE" w:rsidRPr="006050FE">
        <w:rPr>
          <w:rFonts w:ascii="Arial" w:hAnsi="Arial" w:cs="Arial"/>
        </w:rPr>
        <w:t>Mexican Institute of Social Security (IMSS), in Puebla, Mexico.</w:t>
      </w:r>
      <w:r w:rsidR="006050FE">
        <w:rPr>
          <w:rFonts w:ascii="Arial" w:hAnsi="Arial" w:cs="Arial"/>
        </w:rPr>
        <w:t xml:space="preserve"> </w:t>
      </w:r>
      <w:r w:rsidR="004D2E83" w:rsidRPr="008F39F5">
        <w:rPr>
          <w:rFonts w:ascii="Arial" w:hAnsi="Arial" w:cs="Arial"/>
        </w:rPr>
        <w:t xml:space="preserve">The data </w:t>
      </w:r>
      <w:r>
        <w:rPr>
          <w:rFonts w:ascii="Arial" w:hAnsi="Arial" w:cs="Arial"/>
        </w:rPr>
        <w:t>was collected</w:t>
      </w:r>
      <w:r w:rsidR="003161F9">
        <w:rPr>
          <w:rFonts w:ascii="Arial" w:hAnsi="Arial" w:cs="Arial"/>
        </w:rPr>
        <w:t xml:space="preserve"> </w:t>
      </w:r>
      <w:r w:rsidR="004D2E83" w:rsidRPr="008F39F5">
        <w:rPr>
          <w:rFonts w:ascii="Arial" w:hAnsi="Arial" w:cs="Arial"/>
        </w:rPr>
        <w:t xml:space="preserve">from </w:t>
      </w:r>
      <w:r w:rsidR="00985389" w:rsidRPr="006050FE">
        <w:rPr>
          <w:rFonts w:ascii="Arial" w:hAnsi="Arial" w:cs="Arial"/>
        </w:rPr>
        <w:t xml:space="preserve">January </w:t>
      </w:r>
      <w:r w:rsidR="006050FE" w:rsidRPr="006050FE">
        <w:rPr>
          <w:rFonts w:ascii="Arial" w:hAnsi="Arial" w:cs="Arial"/>
        </w:rPr>
        <w:t>1</w:t>
      </w:r>
      <w:r w:rsidR="00985389" w:rsidRPr="00985389">
        <w:rPr>
          <w:rFonts w:ascii="Arial" w:hAnsi="Arial" w:cs="Arial"/>
          <w:vertAlign w:val="superscript"/>
        </w:rPr>
        <w:t>st</w:t>
      </w:r>
      <w:r w:rsidR="006050FE" w:rsidRPr="006050FE">
        <w:rPr>
          <w:rFonts w:ascii="Arial" w:hAnsi="Arial" w:cs="Arial"/>
        </w:rPr>
        <w:t xml:space="preserve"> to </w:t>
      </w:r>
      <w:r w:rsidR="003161F9" w:rsidRPr="006050FE">
        <w:rPr>
          <w:rFonts w:ascii="Arial" w:hAnsi="Arial" w:cs="Arial"/>
        </w:rPr>
        <w:t>30</w:t>
      </w:r>
      <w:r w:rsidR="003161F9">
        <w:rPr>
          <w:rFonts w:ascii="Arial" w:hAnsi="Arial" w:cs="Arial"/>
        </w:rPr>
        <w:t xml:space="preserve"> </w:t>
      </w:r>
      <w:r w:rsidR="00985389" w:rsidRPr="006050FE">
        <w:rPr>
          <w:rFonts w:ascii="Arial" w:hAnsi="Arial" w:cs="Arial"/>
        </w:rPr>
        <w:t>June</w:t>
      </w:r>
      <w:r w:rsidR="006050FE" w:rsidRPr="006050FE">
        <w:rPr>
          <w:rFonts w:ascii="Arial" w:hAnsi="Arial" w:cs="Arial"/>
        </w:rPr>
        <w:t xml:space="preserve"> 2023</w:t>
      </w:r>
      <w:r w:rsidR="00985389">
        <w:rPr>
          <w:rFonts w:ascii="Arial" w:hAnsi="Arial" w:cs="Arial"/>
        </w:rPr>
        <w:t xml:space="preserve">. </w:t>
      </w:r>
      <w:r w:rsidR="007061FC" w:rsidRPr="008F39F5">
        <w:rPr>
          <w:rFonts w:ascii="Arial" w:hAnsi="Arial" w:cs="Arial"/>
        </w:rPr>
        <w:t xml:space="preserve">The </w:t>
      </w:r>
      <w:r w:rsidR="0014502A">
        <w:rPr>
          <w:rFonts w:ascii="Arial" w:hAnsi="Arial" w:cs="Arial"/>
        </w:rPr>
        <w:t xml:space="preserve">medical records </w:t>
      </w:r>
      <w:r w:rsidR="0014502A" w:rsidRPr="008F39F5">
        <w:rPr>
          <w:rFonts w:ascii="Arial" w:hAnsi="Arial" w:cs="Arial"/>
        </w:rPr>
        <w:t>were</w:t>
      </w:r>
      <w:r w:rsidR="007061FC" w:rsidRPr="008F39F5">
        <w:rPr>
          <w:rFonts w:ascii="Arial" w:hAnsi="Arial" w:cs="Arial"/>
        </w:rPr>
        <w:t xml:space="preserve"> used to gather sociodemographic and clinical variables (such as age, sex, </w:t>
      </w:r>
      <w:r w:rsidR="0014502A">
        <w:rPr>
          <w:rFonts w:ascii="Arial" w:hAnsi="Arial" w:cs="Arial"/>
        </w:rPr>
        <w:t xml:space="preserve">weight. height, </w:t>
      </w:r>
      <w:r w:rsidR="0014502A" w:rsidRPr="0014502A">
        <w:rPr>
          <w:rFonts w:ascii="Arial" w:hAnsi="Arial" w:cs="Arial"/>
        </w:rPr>
        <w:t>Body Mass Index (BMI)</w:t>
      </w:r>
      <w:r w:rsidR="0014502A">
        <w:rPr>
          <w:rFonts w:ascii="Arial" w:hAnsi="Arial" w:cs="Arial"/>
        </w:rPr>
        <w:t>, c</w:t>
      </w:r>
      <w:r w:rsidR="0014502A" w:rsidRPr="0014502A">
        <w:rPr>
          <w:rFonts w:ascii="Arial" w:hAnsi="Arial" w:cs="Arial"/>
        </w:rPr>
        <w:t>omorbidities</w:t>
      </w:r>
      <w:r w:rsidR="0014502A">
        <w:rPr>
          <w:rFonts w:ascii="Arial" w:hAnsi="Arial" w:cs="Arial"/>
        </w:rPr>
        <w:t xml:space="preserve"> and </w:t>
      </w:r>
      <w:r w:rsidR="0014502A" w:rsidRPr="0014502A">
        <w:rPr>
          <w:rFonts w:ascii="Arial" w:hAnsi="Arial" w:cs="Arial"/>
        </w:rPr>
        <w:t>COVID-19 vaccination status</w:t>
      </w:r>
      <w:r w:rsidR="007061FC" w:rsidRPr="008F39F5">
        <w:rPr>
          <w:rFonts w:ascii="Arial" w:hAnsi="Arial" w:cs="Arial"/>
        </w:rPr>
        <w:t xml:space="preserve">). </w:t>
      </w:r>
      <w:r w:rsidR="007061FC" w:rsidRPr="003161F9">
        <w:rPr>
          <w:rFonts w:ascii="Arial" w:hAnsi="Arial" w:cs="Arial"/>
        </w:rPr>
        <w:t xml:space="preserve">The study was conducted from </w:t>
      </w:r>
      <w:r w:rsidR="002944D1" w:rsidRPr="002944D1">
        <w:rPr>
          <w:rFonts w:ascii="Arial" w:hAnsi="Arial" w:cs="Arial"/>
          <w:highlight w:val="yellow"/>
        </w:rPr>
        <w:t>January</w:t>
      </w:r>
      <w:r w:rsidR="007061FC" w:rsidRPr="003161F9">
        <w:rPr>
          <w:rFonts w:ascii="Arial" w:hAnsi="Arial" w:cs="Arial"/>
        </w:rPr>
        <w:t xml:space="preserve"> 1</w:t>
      </w:r>
      <w:r w:rsidR="007061FC" w:rsidRPr="003161F9">
        <w:rPr>
          <w:rFonts w:ascii="Arial" w:hAnsi="Arial" w:cs="Arial"/>
          <w:vertAlign w:val="superscript"/>
        </w:rPr>
        <w:t>st</w:t>
      </w:r>
      <w:r w:rsidR="001C45F2" w:rsidRPr="003161F9">
        <w:rPr>
          <w:rFonts w:ascii="Arial" w:hAnsi="Arial" w:cs="Arial"/>
        </w:rPr>
        <w:t>,</w:t>
      </w:r>
      <w:r w:rsidR="007061FC" w:rsidRPr="003161F9">
        <w:rPr>
          <w:rFonts w:ascii="Arial" w:hAnsi="Arial" w:cs="Arial"/>
        </w:rPr>
        <w:t xml:space="preserve"> </w:t>
      </w:r>
      <w:r w:rsidR="001C45F2" w:rsidRPr="003161F9">
        <w:rPr>
          <w:rFonts w:ascii="Arial" w:hAnsi="Arial" w:cs="Arial"/>
        </w:rPr>
        <w:t>202</w:t>
      </w:r>
      <w:r w:rsidR="003161F9" w:rsidRPr="003161F9">
        <w:rPr>
          <w:rFonts w:ascii="Arial" w:hAnsi="Arial" w:cs="Arial"/>
        </w:rPr>
        <w:t>3</w:t>
      </w:r>
      <w:r w:rsidR="00D93E2B">
        <w:rPr>
          <w:rFonts w:ascii="Arial" w:hAnsi="Arial" w:cs="Arial"/>
        </w:rPr>
        <w:t>,</w:t>
      </w:r>
      <w:r w:rsidR="001C45F2" w:rsidRPr="003161F9">
        <w:rPr>
          <w:rFonts w:ascii="Arial" w:hAnsi="Arial" w:cs="Arial"/>
        </w:rPr>
        <w:t xml:space="preserve"> </w:t>
      </w:r>
      <w:r w:rsidR="007061FC" w:rsidRPr="003161F9">
        <w:rPr>
          <w:rFonts w:ascii="Arial" w:hAnsi="Arial" w:cs="Arial"/>
        </w:rPr>
        <w:t xml:space="preserve">to </w:t>
      </w:r>
      <w:r w:rsidR="003161F9" w:rsidRPr="003161F9">
        <w:rPr>
          <w:rFonts w:ascii="Arial" w:hAnsi="Arial" w:cs="Arial"/>
        </w:rPr>
        <w:t xml:space="preserve">March </w:t>
      </w:r>
      <w:r w:rsidR="007061FC" w:rsidRPr="003161F9">
        <w:rPr>
          <w:rFonts w:ascii="Arial" w:hAnsi="Arial" w:cs="Arial"/>
        </w:rPr>
        <w:t>31st, 202</w:t>
      </w:r>
      <w:r w:rsidR="003161F9" w:rsidRPr="003161F9">
        <w:rPr>
          <w:rFonts w:ascii="Arial" w:hAnsi="Arial" w:cs="Arial"/>
        </w:rPr>
        <w:t>5</w:t>
      </w:r>
      <w:r w:rsidR="007061FC" w:rsidRPr="003161F9">
        <w:rPr>
          <w:rFonts w:ascii="Arial" w:hAnsi="Arial" w:cs="Arial"/>
        </w:rPr>
        <w:t>.</w:t>
      </w:r>
    </w:p>
    <w:p w14:paraId="5E2F47F8" w14:textId="77777777" w:rsidR="00D81186" w:rsidRPr="008F39F5" w:rsidRDefault="00D81186" w:rsidP="008C7F86">
      <w:pPr>
        <w:pStyle w:val="Body"/>
        <w:spacing w:after="0"/>
        <w:contextualSpacing/>
        <w:rPr>
          <w:rFonts w:ascii="Arial" w:hAnsi="Arial" w:cs="Arial"/>
        </w:rPr>
      </w:pPr>
    </w:p>
    <w:p w14:paraId="2B4E4129" w14:textId="6700A629" w:rsidR="00C751D3" w:rsidRPr="008F39F5" w:rsidRDefault="00C751D3" w:rsidP="00C751D3">
      <w:pPr>
        <w:pStyle w:val="Body"/>
        <w:spacing w:after="0"/>
        <w:rPr>
          <w:rFonts w:ascii="Arial" w:hAnsi="Arial" w:cs="Arial"/>
          <w:b/>
          <w:caps/>
          <w:sz w:val="22"/>
        </w:rPr>
      </w:pPr>
      <w:r w:rsidRPr="008F39F5">
        <w:rPr>
          <w:rFonts w:ascii="Arial" w:hAnsi="Arial" w:cs="Arial"/>
          <w:b/>
          <w:caps/>
          <w:sz w:val="22"/>
        </w:rPr>
        <w:t xml:space="preserve">2.2 </w:t>
      </w:r>
      <w:r w:rsidRPr="008F39F5">
        <w:rPr>
          <w:rFonts w:ascii="Arial" w:hAnsi="Arial" w:cs="Arial"/>
          <w:b/>
          <w:sz w:val="22"/>
        </w:rPr>
        <w:t>Study Population</w:t>
      </w:r>
      <w:r w:rsidR="00FD6EF7" w:rsidRPr="008F39F5">
        <w:rPr>
          <w:rFonts w:ascii="Arial" w:hAnsi="Arial" w:cs="Arial"/>
          <w:b/>
          <w:sz w:val="22"/>
        </w:rPr>
        <w:t xml:space="preserve">, </w:t>
      </w:r>
      <w:r w:rsidR="00615779">
        <w:rPr>
          <w:rFonts w:ascii="Arial" w:hAnsi="Arial" w:cs="Arial"/>
          <w:b/>
          <w:sz w:val="22"/>
        </w:rPr>
        <w:t>Selection criteria</w:t>
      </w:r>
      <w:r w:rsidR="00DA6738">
        <w:rPr>
          <w:rFonts w:ascii="Arial" w:hAnsi="Arial" w:cs="Arial"/>
          <w:b/>
          <w:sz w:val="22"/>
        </w:rPr>
        <w:t>, Sampling Method</w:t>
      </w:r>
      <w:r w:rsidR="00615779">
        <w:rPr>
          <w:rFonts w:ascii="Arial" w:hAnsi="Arial" w:cs="Arial"/>
          <w:b/>
          <w:sz w:val="22"/>
        </w:rPr>
        <w:t xml:space="preserve"> and </w:t>
      </w:r>
      <w:r w:rsidR="00FD6EF7" w:rsidRPr="008F39F5">
        <w:rPr>
          <w:rFonts w:ascii="Arial" w:hAnsi="Arial" w:cs="Arial"/>
          <w:b/>
          <w:sz w:val="22"/>
        </w:rPr>
        <w:t>Data Collection</w:t>
      </w:r>
    </w:p>
    <w:p w14:paraId="076B8289" w14:textId="58CC6DE5" w:rsidR="007C5FDD" w:rsidRPr="007C5FDD" w:rsidRDefault="001856EE" w:rsidP="00BF3593">
      <w:pPr>
        <w:pStyle w:val="Body"/>
        <w:rPr>
          <w:rFonts w:ascii="Arial" w:hAnsi="Arial" w:cs="Arial"/>
        </w:rPr>
      </w:pPr>
      <w:r w:rsidRPr="001856EE">
        <w:rPr>
          <w:rFonts w:ascii="Arial" w:hAnsi="Arial" w:cs="Arial"/>
        </w:rPr>
        <w:t>The study population consisted of 138 patients (male and female adult beneficiaries) aged 18 years</w:t>
      </w:r>
      <w:r w:rsidR="001515E7">
        <w:rPr>
          <w:rFonts w:ascii="Arial" w:hAnsi="Arial" w:cs="Arial"/>
        </w:rPr>
        <w:t xml:space="preserve"> old</w:t>
      </w:r>
      <w:r w:rsidRPr="001856EE">
        <w:rPr>
          <w:rFonts w:ascii="Arial" w:hAnsi="Arial" w:cs="Arial"/>
        </w:rPr>
        <w:t xml:space="preserve"> and over from FMU 57, IMSS Puebla. These individuals were identified through the daily consultation logs that recorded a diagnosis of “post-COVID-19 condition” during the defined study period. The diagnosis was documented under various clinical terms in Spanish, including: “COVID detenido”, “Infección antigua”, “COVID-19 sanado”, “Efecto residual de COVID-19”, “Post COVID-19”, or “Secuelas COVID-19”.</w:t>
      </w:r>
      <w:r w:rsidR="00A66F97">
        <w:rPr>
          <w:rFonts w:ascii="Arial" w:hAnsi="Arial" w:cs="Arial"/>
        </w:rPr>
        <w:t xml:space="preserve"> </w:t>
      </w:r>
      <w:r w:rsidR="00BF3593" w:rsidRPr="00BF3593">
        <w:rPr>
          <w:rFonts w:ascii="Arial" w:hAnsi="Arial" w:cs="Arial"/>
          <w:highlight w:val="yellow"/>
        </w:rPr>
        <w:t>Patients were excluded if they did not have an electronic medical record. Additionally, records were eliminated if the d</w:t>
      </w:r>
      <w:r w:rsidR="001515E7">
        <w:rPr>
          <w:rFonts w:ascii="Arial" w:hAnsi="Arial" w:cs="Arial"/>
          <w:highlight w:val="yellow"/>
        </w:rPr>
        <w:t>ata was</w:t>
      </w:r>
      <w:r w:rsidR="00BF3593" w:rsidRPr="00BF3593">
        <w:rPr>
          <w:rFonts w:ascii="Arial" w:hAnsi="Arial" w:cs="Arial"/>
          <w:highlight w:val="yellow"/>
        </w:rPr>
        <w:t xml:space="preserve"> incomplete in the electronic health file. All eligible records were reviewed to ensure that included patients met the standardised definition of post-COVID-19 condition as proposed: “Post COVID-19 condition occurs in individuals with a history of probable or confirmed SARS-CoV-2 infection, usually three months from the onset of COVID-19, with symptoms that last for at least two months and cannot be explained by an alternative diagnosis.”</w:t>
      </w:r>
    </w:p>
    <w:p w14:paraId="427B7BEA" w14:textId="77777777" w:rsidR="007C5FDD" w:rsidRPr="007C5FDD" w:rsidRDefault="007C5FDD" w:rsidP="00A66F97">
      <w:pPr>
        <w:pStyle w:val="Body"/>
        <w:spacing w:after="0"/>
        <w:rPr>
          <w:rFonts w:ascii="Arial" w:hAnsi="Arial" w:cs="Arial"/>
        </w:rPr>
      </w:pPr>
    </w:p>
    <w:p w14:paraId="1E70044C" w14:textId="4E609883" w:rsidR="00AE5A94" w:rsidRDefault="001515E7" w:rsidP="007B25B1">
      <w:pPr>
        <w:pStyle w:val="Body"/>
        <w:spacing w:after="0"/>
        <w:rPr>
          <w:rFonts w:ascii="Arial" w:hAnsi="Arial" w:cs="Arial"/>
        </w:rPr>
      </w:pPr>
      <w:r>
        <w:rPr>
          <w:rFonts w:ascii="Arial" w:hAnsi="Arial" w:cs="Arial"/>
        </w:rPr>
        <w:t>The c</w:t>
      </w:r>
      <w:r w:rsidR="007C5FDD" w:rsidRPr="007C5FDD">
        <w:rPr>
          <w:rFonts w:ascii="Arial" w:hAnsi="Arial" w:cs="Arial"/>
        </w:rPr>
        <w:t>linical and demographic data will be collected retrospectively from medical records, including:</w:t>
      </w:r>
      <w:r w:rsidR="00615779">
        <w:rPr>
          <w:rFonts w:ascii="Arial" w:hAnsi="Arial" w:cs="Arial"/>
        </w:rPr>
        <w:t xml:space="preserve"> a</w:t>
      </w:r>
      <w:r w:rsidR="007C5FDD" w:rsidRPr="007C5FDD">
        <w:rPr>
          <w:rFonts w:ascii="Arial" w:hAnsi="Arial" w:cs="Arial"/>
        </w:rPr>
        <w:t>ge, sex, comorbidities, and vaccination status.</w:t>
      </w:r>
      <w:r w:rsidR="001A3AED" w:rsidRPr="001A3AED">
        <w:t xml:space="preserve"> </w:t>
      </w:r>
      <w:r w:rsidR="001A3AED" w:rsidRPr="001A3AED">
        <w:rPr>
          <w:rFonts w:ascii="Arial" w:hAnsi="Arial" w:cs="Arial"/>
        </w:rPr>
        <w:t>Sex was considered a qualitative, dichotomous nominal variable, defined as the biological distinction between male and female. This information was obtained from the clinical records, where the patient's sex was documented as either male or female.</w:t>
      </w:r>
      <w:r w:rsidR="001A3AED">
        <w:rPr>
          <w:rFonts w:ascii="Arial" w:hAnsi="Arial" w:cs="Arial"/>
        </w:rPr>
        <w:t xml:space="preserve"> </w:t>
      </w:r>
      <w:r w:rsidR="001A3AED" w:rsidRPr="001A3AED">
        <w:rPr>
          <w:rFonts w:ascii="Arial" w:hAnsi="Arial" w:cs="Arial"/>
        </w:rPr>
        <w:t>Age was treate</w:t>
      </w:r>
      <w:r w:rsidR="00961410">
        <w:rPr>
          <w:rFonts w:ascii="Arial" w:hAnsi="Arial" w:cs="Arial"/>
        </w:rPr>
        <w:t>d as a quantitative variable, w</w:t>
      </w:r>
      <w:r w:rsidR="00AD32A2">
        <w:rPr>
          <w:rFonts w:ascii="Arial" w:hAnsi="Arial" w:cs="Arial"/>
        </w:rPr>
        <w:t>hich</w:t>
      </w:r>
      <w:r w:rsidR="001A3AED" w:rsidRPr="001A3AED">
        <w:rPr>
          <w:rFonts w:ascii="Arial" w:hAnsi="Arial" w:cs="Arial"/>
        </w:rPr>
        <w:t xml:space="preserve"> was defined as the time elapsed from the patient’s birth to the date of the recorded consultation, expressed in years.</w:t>
      </w:r>
      <w:r w:rsidR="001A3AED">
        <w:rPr>
          <w:rFonts w:ascii="Arial" w:hAnsi="Arial" w:cs="Arial"/>
        </w:rPr>
        <w:t xml:space="preserve"> </w:t>
      </w:r>
      <w:r w:rsidR="001A3AED" w:rsidRPr="001A3AED">
        <w:rPr>
          <w:rFonts w:ascii="Arial" w:hAnsi="Arial" w:cs="Arial"/>
        </w:rPr>
        <w:t>Weight was considered a quantitative variable measured on a ratio scale. It was defined as the total body mass of the individual, expressed in kilograms, as recorded in the clinical file at the time of consultation.</w:t>
      </w:r>
      <w:r w:rsidR="001A3AED">
        <w:rPr>
          <w:rFonts w:ascii="Arial" w:hAnsi="Arial" w:cs="Arial"/>
        </w:rPr>
        <w:t xml:space="preserve"> </w:t>
      </w:r>
      <w:r w:rsidR="001A3AED" w:rsidRPr="001A3AED">
        <w:rPr>
          <w:rFonts w:ascii="Arial" w:hAnsi="Arial" w:cs="Arial"/>
        </w:rPr>
        <w:t>Height was also treated as a quantitative variable measured on a ratio scale. It referred to the measurement of the individual’s stature from head to foot, expressed in metres, as documented in the medical record.</w:t>
      </w:r>
      <w:r w:rsidR="001A3AED">
        <w:rPr>
          <w:rFonts w:ascii="Arial" w:hAnsi="Arial" w:cs="Arial"/>
        </w:rPr>
        <w:t xml:space="preserve"> </w:t>
      </w:r>
      <w:r>
        <w:rPr>
          <w:rFonts w:ascii="Arial" w:hAnsi="Arial" w:cs="Arial"/>
        </w:rPr>
        <w:t xml:space="preserve">The </w:t>
      </w:r>
      <w:r w:rsidR="001A3AED" w:rsidRPr="001A3AED">
        <w:rPr>
          <w:rFonts w:ascii="Arial" w:hAnsi="Arial" w:cs="Arial"/>
        </w:rPr>
        <w:t xml:space="preserve">Body Mass Index (BMI) was categorised as a qualitative variable measured on a nominal scale. It referred to the individual’s nutritional status, based on height and weight measurements documented in the medical record. </w:t>
      </w:r>
      <w:r>
        <w:rPr>
          <w:rFonts w:ascii="Arial" w:hAnsi="Arial" w:cs="Arial"/>
        </w:rPr>
        <w:t xml:space="preserve">The </w:t>
      </w:r>
      <w:r w:rsidR="001A3AED" w:rsidRPr="001A3AED">
        <w:rPr>
          <w:rFonts w:ascii="Arial" w:hAnsi="Arial" w:cs="Arial"/>
        </w:rPr>
        <w:t>BMI was classified into four categories: underweight, normal weight, overweight, and obesity.</w:t>
      </w:r>
    </w:p>
    <w:p w14:paraId="23A98F7B" w14:textId="77777777" w:rsidR="001515E7" w:rsidRDefault="001515E7" w:rsidP="007B25B1">
      <w:pPr>
        <w:pStyle w:val="Body"/>
        <w:spacing w:after="0"/>
        <w:rPr>
          <w:rFonts w:ascii="Arial" w:hAnsi="Arial" w:cs="Arial"/>
        </w:rPr>
      </w:pPr>
    </w:p>
    <w:p w14:paraId="1333E35A" w14:textId="7D3B0397" w:rsidR="00A66F97" w:rsidRDefault="001515E7" w:rsidP="007B25B1">
      <w:pPr>
        <w:pStyle w:val="Body"/>
        <w:spacing w:after="0"/>
        <w:rPr>
          <w:rFonts w:ascii="Arial" w:hAnsi="Arial" w:cs="Arial"/>
        </w:rPr>
      </w:pPr>
      <w:r>
        <w:rPr>
          <w:rFonts w:ascii="Arial" w:hAnsi="Arial" w:cs="Arial"/>
        </w:rPr>
        <w:t>C</w:t>
      </w:r>
      <w:r w:rsidR="001A3AED" w:rsidRPr="001A3AED">
        <w:rPr>
          <w:rFonts w:ascii="Arial" w:hAnsi="Arial" w:cs="Arial"/>
        </w:rPr>
        <w:t>omorbidities were recorded as a qualitative, polytomous nominal variable. These were defined as the presence of chronic illnesses that may influence the progression or outcome of acute conditions, such as post-COVID-19 sequelae. Diagnoses were based on the patient’s medical history, and included conditions such as diabetes mellitus, hypertension, chronic obstructive pulmonary disease (COPD), HIV, cancer, and chronic kidney disease.</w:t>
      </w:r>
      <w:r w:rsidR="001A3AED">
        <w:rPr>
          <w:rFonts w:ascii="Arial" w:hAnsi="Arial" w:cs="Arial"/>
        </w:rPr>
        <w:t xml:space="preserve"> </w:t>
      </w:r>
      <w:r w:rsidR="001A3AED" w:rsidRPr="001A3AED">
        <w:rPr>
          <w:rFonts w:ascii="Arial" w:hAnsi="Arial" w:cs="Arial"/>
        </w:rPr>
        <w:t xml:space="preserve">COVID-19 vaccination status was considered a qualitative, nominal variable, defined as the presence or absence of documented evidence indicating that the patient had received one or more doses of a COVID-19 vaccine. </w:t>
      </w:r>
      <w:r w:rsidR="001A3AED">
        <w:rPr>
          <w:rFonts w:ascii="Arial" w:hAnsi="Arial" w:cs="Arial"/>
        </w:rPr>
        <w:t>All of t</w:t>
      </w:r>
      <w:r w:rsidR="001A3AED" w:rsidRPr="001A3AED">
        <w:rPr>
          <w:rFonts w:ascii="Arial" w:hAnsi="Arial" w:cs="Arial"/>
        </w:rPr>
        <w:t>h</w:t>
      </w:r>
      <w:r w:rsidR="001A3AED">
        <w:rPr>
          <w:rFonts w:ascii="Arial" w:hAnsi="Arial" w:cs="Arial"/>
        </w:rPr>
        <w:t>e</w:t>
      </w:r>
      <w:r w:rsidR="001A3AED" w:rsidRPr="001A3AED">
        <w:rPr>
          <w:rFonts w:ascii="Arial" w:hAnsi="Arial" w:cs="Arial"/>
        </w:rPr>
        <w:t>s</w:t>
      </w:r>
      <w:r w:rsidR="001A3AED">
        <w:rPr>
          <w:rFonts w:ascii="Arial" w:hAnsi="Arial" w:cs="Arial"/>
        </w:rPr>
        <w:t>e</w:t>
      </w:r>
      <w:r w:rsidR="001A3AED" w:rsidRPr="001A3AED">
        <w:rPr>
          <w:rFonts w:ascii="Arial" w:hAnsi="Arial" w:cs="Arial"/>
        </w:rPr>
        <w:t xml:space="preserve"> variable</w:t>
      </w:r>
      <w:r w:rsidR="001A3AED">
        <w:rPr>
          <w:rFonts w:ascii="Arial" w:hAnsi="Arial" w:cs="Arial"/>
        </w:rPr>
        <w:t>s</w:t>
      </w:r>
      <w:r w:rsidR="001A3AED" w:rsidRPr="001A3AED">
        <w:rPr>
          <w:rFonts w:ascii="Arial" w:hAnsi="Arial" w:cs="Arial"/>
        </w:rPr>
        <w:t xml:space="preserve"> w</w:t>
      </w:r>
      <w:r w:rsidR="001A3AED">
        <w:rPr>
          <w:rFonts w:ascii="Arial" w:hAnsi="Arial" w:cs="Arial"/>
        </w:rPr>
        <w:t>ere</w:t>
      </w:r>
      <w:r w:rsidR="001A3AED" w:rsidRPr="001A3AED">
        <w:rPr>
          <w:rFonts w:ascii="Arial" w:hAnsi="Arial" w:cs="Arial"/>
        </w:rPr>
        <w:t xml:space="preserve"> recorded as either “yes” or “no”.</w:t>
      </w:r>
      <w:r w:rsidR="007B25B1">
        <w:rPr>
          <w:rFonts w:ascii="Arial" w:hAnsi="Arial" w:cs="Arial"/>
        </w:rPr>
        <w:t xml:space="preserve"> Finally, </w:t>
      </w:r>
      <w:r w:rsidR="007B25B1" w:rsidRPr="007B25B1">
        <w:rPr>
          <w:rFonts w:ascii="Arial" w:hAnsi="Arial" w:cs="Arial"/>
        </w:rPr>
        <w:t>post-COVID-19 sequelae were recorded as qualitative, dichotomous nominal variables, based on clinical documentation in the patients’ medical records. Each symptom was coded as either present or absent for each patient. The sequelae</w:t>
      </w:r>
      <w:r w:rsidR="00F9690F">
        <w:rPr>
          <w:rFonts w:ascii="Arial" w:hAnsi="Arial" w:cs="Arial"/>
        </w:rPr>
        <w:t xml:space="preserve"> were</w:t>
      </w:r>
      <w:r w:rsidR="00AD32A2">
        <w:rPr>
          <w:rFonts w:ascii="Arial" w:hAnsi="Arial" w:cs="Arial"/>
        </w:rPr>
        <w:t xml:space="preserve"> considered includin</w:t>
      </w:r>
      <w:r>
        <w:rPr>
          <w:rFonts w:ascii="Arial" w:hAnsi="Arial" w:cs="Arial"/>
        </w:rPr>
        <w:t>g</w:t>
      </w:r>
      <w:r w:rsidR="007B25B1" w:rsidRPr="007B25B1">
        <w:rPr>
          <w:rFonts w:ascii="Arial" w:hAnsi="Arial" w:cs="Arial"/>
        </w:rPr>
        <w:t xml:space="preserve"> the following:</w:t>
      </w:r>
      <w:r w:rsidR="007B25B1">
        <w:rPr>
          <w:rFonts w:ascii="Arial" w:hAnsi="Arial" w:cs="Arial"/>
        </w:rPr>
        <w:t xml:space="preserve"> d</w:t>
      </w:r>
      <w:r w:rsidR="007B25B1" w:rsidRPr="007B25B1">
        <w:rPr>
          <w:rFonts w:ascii="Arial" w:hAnsi="Arial" w:cs="Arial"/>
        </w:rPr>
        <w:t>yspnoea</w:t>
      </w:r>
      <w:r w:rsidR="007B25B1">
        <w:rPr>
          <w:rFonts w:ascii="Arial" w:hAnsi="Arial" w:cs="Arial"/>
        </w:rPr>
        <w:t>, p</w:t>
      </w:r>
      <w:r w:rsidR="007B25B1" w:rsidRPr="007B25B1">
        <w:rPr>
          <w:rFonts w:ascii="Arial" w:hAnsi="Arial" w:cs="Arial"/>
        </w:rPr>
        <w:t>ulmonary fibrosis</w:t>
      </w:r>
      <w:r w:rsidR="007B25B1">
        <w:rPr>
          <w:rFonts w:ascii="Arial" w:hAnsi="Arial" w:cs="Arial"/>
        </w:rPr>
        <w:t>, c</w:t>
      </w:r>
      <w:r w:rsidR="007B25B1" w:rsidRPr="007B25B1">
        <w:rPr>
          <w:rFonts w:ascii="Arial" w:hAnsi="Arial" w:cs="Arial"/>
        </w:rPr>
        <w:t>hest pain</w:t>
      </w:r>
      <w:r w:rsidR="007B25B1">
        <w:rPr>
          <w:rFonts w:ascii="Arial" w:hAnsi="Arial" w:cs="Arial"/>
        </w:rPr>
        <w:t>, c</w:t>
      </w:r>
      <w:r w:rsidR="007B25B1" w:rsidRPr="007B25B1">
        <w:rPr>
          <w:rFonts w:ascii="Arial" w:hAnsi="Arial" w:cs="Arial"/>
        </w:rPr>
        <w:t>ough</w:t>
      </w:r>
      <w:r w:rsidR="007B25B1">
        <w:rPr>
          <w:rFonts w:ascii="Arial" w:hAnsi="Arial" w:cs="Arial"/>
        </w:rPr>
        <w:t>, o</w:t>
      </w:r>
      <w:r w:rsidR="007B25B1" w:rsidRPr="007B25B1">
        <w:rPr>
          <w:rFonts w:ascii="Arial" w:hAnsi="Arial" w:cs="Arial"/>
        </w:rPr>
        <w:t>dynophagia</w:t>
      </w:r>
      <w:r w:rsidR="007B25B1">
        <w:rPr>
          <w:rFonts w:ascii="Arial" w:hAnsi="Arial" w:cs="Arial"/>
        </w:rPr>
        <w:t>, h</w:t>
      </w:r>
      <w:r w:rsidR="007B25B1" w:rsidRPr="007B25B1">
        <w:rPr>
          <w:rFonts w:ascii="Arial" w:hAnsi="Arial" w:cs="Arial"/>
        </w:rPr>
        <w:t>eart failure</w:t>
      </w:r>
      <w:r w:rsidR="007B25B1">
        <w:rPr>
          <w:rFonts w:ascii="Arial" w:hAnsi="Arial" w:cs="Arial"/>
        </w:rPr>
        <w:t>, m</w:t>
      </w:r>
      <w:r w:rsidR="007B25B1" w:rsidRPr="007B25B1">
        <w:rPr>
          <w:rFonts w:ascii="Arial" w:hAnsi="Arial" w:cs="Arial"/>
        </w:rPr>
        <w:t>yalgia</w:t>
      </w:r>
      <w:r w:rsidR="007B25B1">
        <w:rPr>
          <w:rFonts w:ascii="Arial" w:hAnsi="Arial" w:cs="Arial"/>
        </w:rPr>
        <w:t>, a</w:t>
      </w:r>
      <w:r w:rsidR="007B25B1" w:rsidRPr="007B25B1">
        <w:rPr>
          <w:rFonts w:ascii="Arial" w:hAnsi="Arial" w:cs="Arial"/>
        </w:rPr>
        <w:t>sthenia</w:t>
      </w:r>
      <w:r w:rsidR="007B25B1">
        <w:rPr>
          <w:rFonts w:ascii="Arial" w:hAnsi="Arial" w:cs="Arial"/>
        </w:rPr>
        <w:t>, c</w:t>
      </w:r>
      <w:r w:rsidR="007B25B1" w:rsidRPr="007B25B1">
        <w:rPr>
          <w:rFonts w:ascii="Arial" w:hAnsi="Arial" w:cs="Arial"/>
        </w:rPr>
        <w:t>hronic bronchitis</w:t>
      </w:r>
      <w:r w:rsidR="007B25B1">
        <w:rPr>
          <w:rFonts w:ascii="Arial" w:hAnsi="Arial" w:cs="Arial"/>
        </w:rPr>
        <w:t>, d</w:t>
      </w:r>
      <w:r w:rsidR="007B25B1" w:rsidRPr="007B25B1">
        <w:rPr>
          <w:rFonts w:ascii="Arial" w:hAnsi="Arial" w:cs="Arial"/>
        </w:rPr>
        <w:t>ysphagia</w:t>
      </w:r>
      <w:r w:rsidR="007B25B1">
        <w:rPr>
          <w:rFonts w:ascii="Arial" w:hAnsi="Arial" w:cs="Arial"/>
        </w:rPr>
        <w:t>, a</w:t>
      </w:r>
      <w:r w:rsidR="007B25B1" w:rsidRPr="007B25B1">
        <w:rPr>
          <w:rFonts w:ascii="Arial" w:hAnsi="Arial" w:cs="Arial"/>
        </w:rPr>
        <w:t>dynamia</w:t>
      </w:r>
      <w:r w:rsidR="007B25B1">
        <w:rPr>
          <w:rFonts w:ascii="Arial" w:hAnsi="Arial" w:cs="Arial"/>
        </w:rPr>
        <w:t>, n</w:t>
      </w:r>
      <w:r w:rsidR="007B25B1" w:rsidRPr="007B25B1">
        <w:rPr>
          <w:rFonts w:ascii="Arial" w:hAnsi="Arial" w:cs="Arial"/>
        </w:rPr>
        <w:t>ausea</w:t>
      </w:r>
      <w:r w:rsidR="007B25B1">
        <w:rPr>
          <w:rFonts w:ascii="Arial" w:hAnsi="Arial" w:cs="Arial"/>
        </w:rPr>
        <w:t>, r</w:t>
      </w:r>
      <w:r w:rsidR="007B25B1" w:rsidRPr="007B25B1">
        <w:rPr>
          <w:rFonts w:ascii="Arial" w:hAnsi="Arial" w:cs="Arial"/>
        </w:rPr>
        <w:t>hinorrhoea</w:t>
      </w:r>
      <w:r w:rsidR="007B25B1">
        <w:rPr>
          <w:rFonts w:ascii="Arial" w:hAnsi="Arial" w:cs="Arial"/>
        </w:rPr>
        <w:t>, h</w:t>
      </w:r>
      <w:r w:rsidR="007B25B1" w:rsidRPr="007B25B1">
        <w:rPr>
          <w:rFonts w:ascii="Arial" w:hAnsi="Arial" w:cs="Arial"/>
        </w:rPr>
        <w:t>eadache</w:t>
      </w:r>
      <w:r w:rsidR="007B25B1">
        <w:rPr>
          <w:rFonts w:ascii="Arial" w:hAnsi="Arial" w:cs="Arial"/>
        </w:rPr>
        <w:t>, d</w:t>
      </w:r>
      <w:r w:rsidR="007B25B1" w:rsidRPr="007B25B1">
        <w:rPr>
          <w:rFonts w:ascii="Arial" w:hAnsi="Arial" w:cs="Arial"/>
        </w:rPr>
        <w:t>yslalia</w:t>
      </w:r>
      <w:r w:rsidR="007B25B1">
        <w:rPr>
          <w:rFonts w:ascii="Arial" w:hAnsi="Arial" w:cs="Arial"/>
        </w:rPr>
        <w:t>, d</w:t>
      </w:r>
      <w:r w:rsidR="007B25B1" w:rsidRPr="007B25B1">
        <w:rPr>
          <w:rFonts w:ascii="Arial" w:hAnsi="Arial" w:cs="Arial"/>
        </w:rPr>
        <w:t>ysgeusia</w:t>
      </w:r>
      <w:r w:rsidR="007B25B1">
        <w:rPr>
          <w:rFonts w:ascii="Arial" w:hAnsi="Arial" w:cs="Arial"/>
        </w:rPr>
        <w:t>, a</w:t>
      </w:r>
      <w:r w:rsidR="007B25B1" w:rsidRPr="007B25B1">
        <w:rPr>
          <w:rFonts w:ascii="Arial" w:hAnsi="Arial" w:cs="Arial"/>
        </w:rPr>
        <w:t>rthralgia</w:t>
      </w:r>
      <w:r w:rsidR="007B25B1">
        <w:rPr>
          <w:rFonts w:ascii="Arial" w:hAnsi="Arial" w:cs="Arial"/>
        </w:rPr>
        <w:t>, p</w:t>
      </w:r>
      <w:r w:rsidR="007B25B1" w:rsidRPr="007B25B1">
        <w:rPr>
          <w:rFonts w:ascii="Arial" w:hAnsi="Arial" w:cs="Arial"/>
        </w:rPr>
        <w:t>haryngitis</w:t>
      </w:r>
      <w:r w:rsidR="007B25B1">
        <w:rPr>
          <w:rFonts w:ascii="Arial" w:hAnsi="Arial" w:cs="Arial"/>
        </w:rPr>
        <w:t>, i</w:t>
      </w:r>
      <w:r w:rsidR="007B25B1" w:rsidRPr="007B25B1">
        <w:rPr>
          <w:rFonts w:ascii="Arial" w:hAnsi="Arial" w:cs="Arial"/>
        </w:rPr>
        <w:t>nsomnia</w:t>
      </w:r>
      <w:r w:rsidR="007B25B1">
        <w:rPr>
          <w:rFonts w:ascii="Arial" w:hAnsi="Arial" w:cs="Arial"/>
        </w:rPr>
        <w:t>, p</w:t>
      </w:r>
      <w:r w:rsidR="007B25B1" w:rsidRPr="007B25B1">
        <w:rPr>
          <w:rFonts w:ascii="Arial" w:hAnsi="Arial" w:cs="Arial"/>
        </w:rPr>
        <w:t>alpitations</w:t>
      </w:r>
      <w:r w:rsidR="007B25B1">
        <w:rPr>
          <w:rFonts w:ascii="Arial" w:hAnsi="Arial" w:cs="Arial"/>
        </w:rPr>
        <w:t>, d</w:t>
      </w:r>
      <w:r w:rsidR="007B25B1" w:rsidRPr="007B25B1">
        <w:rPr>
          <w:rFonts w:ascii="Arial" w:hAnsi="Arial" w:cs="Arial"/>
        </w:rPr>
        <w:t>ysphonia</w:t>
      </w:r>
      <w:r w:rsidR="007B25B1">
        <w:rPr>
          <w:rFonts w:ascii="Arial" w:hAnsi="Arial" w:cs="Arial"/>
        </w:rPr>
        <w:t>, d</w:t>
      </w:r>
      <w:r w:rsidR="007B25B1" w:rsidRPr="007B25B1">
        <w:rPr>
          <w:rFonts w:ascii="Arial" w:hAnsi="Arial" w:cs="Arial"/>
        </w:rPr>
        <w:t>ysarthria</w:t>
      </w:r>
      <w:r w:rsidR="007B25B1">
        <w:rPr>
          <w:rFonts w:ascii="Arial" w:hAnsi="Arial" w:cs="Arial"/>
        </w:rPr>
        <w:t>, n</w:t>
      </w:r>
      <w:r w:rsidR="007B25B1" w:rsidRPr="007B25B1">
        <w:rPr>
          <w:rFonts w:ascii="Arial" w:hAnsi="Arial" w:cs="Arial"/>
        </w:rPr>
        <w:t>asal congestion</w:t>
      </w:r>
      <w:r w:rsidR="007B25B1">
        <w:rPr>
          <w:rFonts w:ascii="Arial" w:hAnsi="Arial" w:cs="Arial"/>
        </w:rPr>
        <w:t>, i</w:t>
      </w:r>
      <w:r w:rsidR="007B25B1" w:rsidRPr="007B25B1">
        <w:rPr>
          <w:rFonts w:ascii="Arial" w:hAnsi="Arial" w:cs="Arial"/>
        </w:rPr>
        <w:t>nterstitial lung disease</w:t>
      </w:r>
      <w:r w:rsidR="007B25B1">
        <w:rPr>
          <w:rFonts w:ascii="Arial" w:hAnsi="Arial" w:cs="Arial"/>
        </w:rPr>
        <w:t>, a</w:t>
      </w:r>
      <w:r w:rsidR="007B25B1" w:rsidRPr="007B25B1">
        <w:rPr>
          <w:rFonts w:ascii="Arial" w:hAnsi="Arial" w:cs="Arial"/>
        </w:rPr>
        <w:t>pnoea</w:t>
      </w:r>
      <w:r w:rsidR="007B25B1">
        <w:rPr>
          <w:rFonts w:ascii="Arial" w:hAnsi="Arial" w:cs="Arial"/>
        </w:rPr>
        <w:t>, and f</w:t>
      </w:r>
      <w:r w:rsidR="007B25B1" w:rsidRPr="007B25B1">
        <w:rPr>
          <w:rFonts w:ascii="Arial" w:hAnsi="Arial" w:cs="Arial"/>
        </w:rPr>
        <w:t>atigue</w:t>
      </w:r>
      <w:r w:rsidR="007B25B1">
        <w:rPr>
          <w:rFonts w:ascii="Arial" w:hAnsi="Arial" w:cs="Arial"/>
        </w:rPr>
        <w:t xml:space="preserve">. </w:t>
      </w:r>
      <w:r w:rsidR="007B25B1" w:rsidRPr="007B25B1">
        <w:rPr>
          <w:rFonts w:ascii="Arial" w:hAnsi="Arial" w:cs="Arial"/>
        </w:rPr>
        <w:t>Each of these variables was derived from documented symptoms during clinical consultations and served to characterise the clinical presentation of long COVID-19 among the study population.</w:t>
      </w:r>
    </w:p>
    <w:p w14:paraId="2FA01CEC" w14:textId="62D6D91E" w:rsidR="00A66F97" w:rsidRDefault="007B25B1" w:rsidP="007B25B1">
      <w:pPr>
        <w:pStyle w:val="Body"/>
        <w:spacing w:after="0"/>
        <w:rPr>
          <w:rFonts w:ascii="Arial" w:hAnsi="Arial" w:cs="Arial"/>
        </w:rPr>
      </w:pPr>
      <w:r w:rsidRPr="007B25B1">
        <w:rPr>
          <w:rFonts w:ascii="Arial" w:hAnsi="Arial" w:cs="Arial"/>
        </w:rPr>
        <w:t>A non-probabilistic, convenience sampling method was used, including all eligible cases within the defined time frame.</w:t>
      </w:r>
      <w:r w:rsidR="00F9690F">
        <w:rPr>
          <w:rFonts w:ascii="Arial" w:hAnsi="Arial" w:cs="Arial"/>
        </w:rPr>
        <w:t xml:space="preserve"> The data was </w:t>
      </w:r>
      <w:r w:rsidRPr="007B25B1">
        <w:rPr>
          <w:rFonts w:ascii="Arial" w:hAnsi="Arial" w:cs="Arial"/>
        </w:rPr>
        <w:t>collected using a structured Excel-based data collection instrument, approved by the Local Research Committee, for further statistical analysis.</w:t>
      </w:r>
    </w:p>
    <w:p w14:paraId="26922F98" w14:textId="77777777" w:rsidR="007B25B1" w:rsidRDefault="007B25B1" w:rsidP="007B25B1">
      <w:pPr>
        <w:pStyle w:val="Body"/>
        <w:spacing w:after="0"/>
        <w:rPr>
          <w:rFonts w:ascii="Arial" w:hAnsi="Arial" w:cs="Arial"/>
        </w:rPr>
      </w:pPr>
    </w:p>
    <w:p w14:paraId="6A17E490" w14:textId="42D51C3B" w:rsidR="00C751D3" w:rsidRPr="008F39F5" w:rsidRDefault="00C751D3" w:rsidP="007C5FDD">
      <w:pPr>
        <w:pStyle w:val="Body"/>
        <w:spacing w:after="0"/>
        <w:rPr>
          <w:rFonts w:ascii="Arial" w:hAnsi="Arial" w:cs="Arial"/>
          <w:b/>
          <w:caps/>
          <w:sz w:val="22"/>
        </w:rPr>
      </w:pPr>
      <w:r w:rsidRPr="008F39F5">
        <w:rPr>
          <w:rFonts w:ascii="Arial" w:hAnsi="Arial" w:cs="Arial"/>
          <w:b/>
          <w:caps/>
          <w:sz w:val="22"/>
        </w:rPr>
        <w:t>2.</w:t>
      </w:r>
      <w:r w:rsidR="00D43034" w:rsidRPr="008F39F5">
        <w:rPr>
          <w:rFonts w:ascii="Arial" w:hAnsi="Arial" w:cs="Arial"/>
          <w:b/>
          <w:caps/>
          <w:sz w:val="22"/>
        </w:rPr>
        <w:t>3</w:t>
      </w:r>
      <w:r w:rsidRPr="008F39F5">
        <w:rPr>
          <w:rFonts w:ascii="Arial" w:hAnsi="Arial" w:cs="Arial"/>
          <w:b/>
          <w:caps/>
          <w:sz w:val="22"/>
        </w:rPr>
        <w:t xml:space="preserve"> </w:t>
      </w:r>
      <w:r w:rsidR="00232064" w:rsidRPr="008F39F5">
        <w:rPr>
          <w:rFonts w:ascii="Arial" w:hAnsi="Arial" w:cs="Arial"/>
          <w:b/>
          <w:sz w:val="22"/>
        </w:rPr>
        <w:t>Statistical analysis.</w:t>
      </w:r>
    </w:p>
    <w:p w14:paraId="26CBD717" w14:textId="5115ED74" w:rsidR="00232064" w:rsidRDefault="00232064" w:rsidP="007C5FDD">
      <w:pPr>
        <w:pStyle w:val="Body"/>
        <w:spacing w:after="0"/>
        <w:rPr>
          <w:rFonts w:ascii="Arial" w:hAnsi="Arial" w:cs="Arial"/>
        </w:rPr>
      </w:pPr>
      <w:r w:rsidRPr="008F39F5">
        <w:rPr>
          <w:rFonts w:ascii="Arial" w:hAnsi="Arial" w:cs="Arial"/>
        </w:rPr>
        <w:t xml:space="preserve">The categorical variables are described as absolute frequency and percentage, and quantitative variables as mean, standard deviation (SD), </w:t>
      </w:r>
      <w:r w:rsidR="001302B1">
        <w:rPr>
          <w:rFonts w:ascii="Arial" w:hAnsi="Arial" w:cs="Arial"/>
        </w:rPr>
        <w:t>i</w:t>
      </w:r>
      <w:r w:rsidRPr="008F39F5">
        <w:rPr>
          <w:rFonts w:ascii="Arial" w:hAnsi="Arial" w:cs="Arial"/>
        </w:rPr>
        <w:t>nterquartile range (IQR)</w:t>
      </w:r>
      <w:r w:rsidR="00560571">
        <w:rPr>
          <w:rFonts w:ascii="Arial" w:hAnsi="Arial" w:cs="Arial"/>
        </w:rPr>
        <w:t>, minimum and maximum value and range</w:t>
      </w:r>
      <w:r w:rsidRPr="008F39F5">
        <w:rPr>
          <w:rFonts w:ascii="Arial" w:hAnsi="Arial" w:cs="Arial"/>
        </w:rPr>
        <w:t xml:space="preserve">. </w:t>
      </w:r>
      <w:r w:rsidR="00F9690F">
        <w:rPr>
          <w:rFonts w:ascii="Arial" w:hAnsi="Arial" w:cs="Arial"/>
        </w:rPr>
        <w:t xml:space="preserve"> It was included a c</w:t>
      </w:r>
      <w:r w:rsidRPr="008F39F5">
        <w:rPr>
          <w:rFonts w:ascii="Arial" w:hAnsi="Arial" w:cs="Arial"/>
        </w:rPr>
        <w:t>onfidence I</w:t>
      </w:r>
      <w:r w:rsidR="00F9690F">
        <w:rPr>
          <w:rFonts w:ascii="Arial" w:hAnsi="Arial" w:cs="Arial"/>
        </w:rPr>
        <w:t xml:space="preserve">nterval 95% (CI95%) </w:t>
      </w:r>
      <w:r w:rsidR="003C7465" w:rsidRPr="008F39F5">
        <w:rPr>
          <w:rFonts w:ascii="Arial" w:hAnsi="Arial" w:cs="Arial"/>
        </w:rPr>
        <w:t>Categorical variables were compared using Yates' corrected chi-square (</w:t>
      </w:r>
      <w:r w:rsidR="003C7465" w:rsidRPr="008F39F5">
        <w:rPr>
          <w:rFonts w:ascii="Arial" w:hAnsi="Arial" w:cs="Arial"/>
          <w:i/>
          <w:iCs/>
        </w:rPr>
        <w:t>X</w:t>
      </w:r>
      <w:r w:rsidR="003C7465" w:rsidRPr="008F39F5">
        <w:rPr>
          <w:rFonts w:ascii="Arial" w:hAnsi="Arial" w:cs="Arial"/>
          <w:i/>
          <w:iCs/>
          <w:vertAlign w:val="superscript"/>
        </w:rPr>
        <w:t>2</w:t>
      </w:r>
      <w:r w:rsidR="003C7465" w:rsidRPr="008F39F5">
        <w:rPr>
          <w:rFonts w:ascii="Arial" w:hAnsi="Arial" w:cs="Arial"/>
        </w:rPr>
        <w:t xml:space="preserve">) test and likelihood ratio, as appropriate. Quantitative variables were compared using the Mann-Whitney U test or Student's T test as </w:t>
      </w:r>
      <w:bookmarkStart w:id="0" w:name="_Hlk190553935"/>
      <w:r w:rsidR="003C7465" w:rsidRPr="008F39F5">
        <w:rPr>
          <w:rFonts w:ascii="Arial" w:hAnsi="Arial" w:cs="Arial"/>
        </w:rPr>
        <w:t>appropriate</w:t>
      </w:r>
      <w:bookmarkEnd w:id="0"/>
      <w:r w:rsidR="003C7465" w:rsidRPr="008F39F5">
        <w:rPr>
          <w:rFonts w:ascii="Arial" w:hAnsi="Arial" w:cs="Arial"/>
        </w:rPr>
        <w:t xml:space="preserve">. </w:t>
      </w:r>
      <w:r w:rsidR="00D35FC8" w:rsidRPr="00D35FC8">
        <w:rPr>
          <w:rFonts w:ascii="Arial" w:hAnsi="Arial" w:cs="Arial"/>
        </w:rPr>
        <w:t xml:space="preserve">To assess the association </w:t>
      </w:r>
      <w:r w:rsidR="00D35FC8">
        <w:rPr>
          <w:rFonts w:ascii="Arial" w:hAnsi="Arial" w:cs="Arial"/>
        </w:rPr>
        <w:t>among</w:t>
      </w:r>
      <w:r w:rsidR="00D35FC8" w:rsidRPr="00D35FC8">
        <w:rPr>
          <w:rFonts w:ascii="Arial" w:hAnsi="Arial" w:cs="Arial"/>
        </w:rPr>
        <w:t xml:space="preserve"> long COVID-19 clinical sequelae, comorbidities, and</w:t>
      </w:r>
      <w:r w:rsidR="00F9690F">
        <w:rPr>
          <w:rFonts w:ascii="Arial" w:hAnsi="Arial" w:cs="Arial"/>
        </w:rPr>
        <w:t xml:space="preserve"> a</w:t>
      </w:r>
      <w:r w:rsidR="00D35FC8" w:rsidRPr="00D35FC8">
        <w:rPr>
          <w:rFonts w:ascii="Arial" w:hAnsi="Arial" w:cs="Arial"/>
        </w:rPr>
        <w:t xml:space="preserve"> vaccination history, </w:t>
      </w:r>
      <w:r w:rsidR="00D35FC8">
        <w:rPr>
          <w:rFonts w:ascii="Arial" w:hAnsi="Arial" w:cs="Arial"/>
        </w:rPr>
        <w:t xml:space="preserve">several </w:t>
      </w:r>
      <w:r w:rsidR="00D35FC8" w:rsidRPr="00D35FC8">
        <w:rPr>
          <w:rFonts w:ascii="Arial" w:hAnsi="Arial" w:cs="Arial"/>
        </w:rPr>
        <w:t xml:space="preserve">logistic regression models were employed. These models included numerical variables such as age and dichotomous variables (e.g., sex, comorbidities). Both univariate and multivariate logistic regression analyses were conducted. The univariate analysis aimed to explore the relationship between individual variables (age, sex, comorbidities, and vaccination history) and the presence of long COVID-19 sequelae. Subsequently, </w:t>
      </w:r>
      <w:r w:rsidR="00D35FC8">
        <w:rPr>
          <w:rFonts w:ascii="Arial" w:hAnsi="Arial" w:cs="Arial"/>
        </w:rPr>
        <w:t>several</w:t>
      </w:r>
      <w:r w:rsidR="00D35FC8" w:rsidRPr="00D35FC8">
        <w:rPr>
          <w:rFonts w:ascii="Arial" w:hAnsi="Arial" w:cs="Arial"/>
        </w:rPr>
        <w:t xml:space="preserve"> multivariate logistic regression</w:t>
      </w:r>
      <w:r w:rsidR="00D35FC8">
        <w:rPr>
          <w:rFonts w:ascii="Arial" w:hAnsi="Arial" w:cs="Arial"/>
        </w:rPr>
        <w:t xml:space="preserve"> models</w:t>
      </w:r>
      <w:r w:rsidR="00D35FC8" w:rsidRPr="00D35FC8">
        <w:rPr>
          <w:rFonts w:ascii="Arial" w:hAnsi="Arial" w:cs="Arial"/>
        </w:rPr>
        <w:t xml:space="preserve"> w</w:t>
      </w:r>
      <w:r w:rsidR="00D35FC8">
        <w:rPr>
          <w:rFonts w:ascii="Arial" w:hAnsi="Arial" w:cs="Arial"/>
        </w:rPr>
        <w:t>ere</w:t>
      </w:r>
      <w:r w:rsidR="00D35FC8" w:rsidRPr="00D35FC8">
        <w:rPr>
          <w:rFonts w:ascii="Arial" w:hAnsi="Arial" w:cs="Arial"/>
        </w:rPr>
        <w:t xml:space="preserve"> performed </w:t>
      </w:r>
      <w:r w:rsidR="00F9690F">
        <w:rPr>
          <w:rFonts w:ascii="Arial" w:hAnsi="Arial" w:cs="Arial"/>
        </w:rPr>
        <w:t xml:space="preserve">in order </w:t>
      </w:r>
      <w:r w:rsidR="00D35FC8" w:rsidRPr="00D35FC8">
        <w:rPr>
          <w:rFonts w:ascii="Arial" w:hAnsi="Arial" w:cs="Arial"/>
        </w:rPr>
        <w:t xml:space="preserve">to identify factors independently associated with these sequelae. Variables found to be significant in the univariate analysis were included in the multivariate model. Odds Ratios (ORs) and CI95% were calculated to quantify the strength of associations. This approach allowed for adjustment of confounding variables and identification of independent predictors. Accordingly, all multivariate models were adjusted for potential confounders. An OR greater than 1 indicated an increased likelihood of long COVID-19 outcomes, whereas an OR less than 1 indicated a reduced likelihood. </w:t>
      </w:r>
      <w:r w:rsidR="003C7465" w:rsidRPr="008F39F5">
        <w:rPr>
          <w:rFonts w:ascii="Arial" w:hAnsi="Arial" w:cs="Arial"/>
        </w:rPr>
        <w:t>A P value &lt; 0.05 (two-tailed test) was considered significant.</w:t>
      </w:r>
    </w:p>
    <w:p w14:paraId="1772D240" w14:textId="77777777" w:rsidR="00615A5E" w:rsidRDefault="00615A5E" w:rsidP="007C5FDD">
      <w:pPr>
        <w:pStyle w:val="Body"/>
        <w:spacing w:after="0"/>
        <w:rPr>
          <w:rFonts w:ascii="Arial" w:hAnsi="Arial" w:cs="Arial"/>
        </w:rPr>
      </w:pPr>
    </w:p>
    <w:p w14:paraId="19491179" w14:textId="21371294" w:rsidR="00C751D3" w:rsidRPr="008F39F5" w:rsidRDefault="00C751D3" w:rsidP="00C751D3">
      <w:pPr>
        <w:pStyle w:val="Body"/>
        <w:spacing w:after="0"/>
        <w:rPr>
          <w:rFonts w:ascii="Arial" w:hAnsi="Arial" w:cs="Arial"/>
          <w:b/>
          <w:caps/>
          <w:sz w:val="22"/>
        </w:rPr>
      </w:pPr>
      <w:r w:rsidRPr="008F39F5">
        <w:rPr>
          <w:rFonts w:ascii="Arial" w:hAnsi="Arial" w:cs="Arial"/>
          <w:b/>
          <w:caps/>
          <w:sz w:val="22"/>
        </w:rPr>
        <w:t>2.</w:t>
      </w:r>
      <w:r w:rsidR="00D43034" w:rsidRPr="008F39F5">
        <w:rPr>
          <w:rFonts w:ascii="Arial" w:hAnsi="Arial" w:cs="Arial"/>
          <w:b/>
          <w:caps/>
          <w:sz w:val="22"/>
        </w:rPr>
        <w:t>4</w:t>
      </w:r>
      <w:r w:rsidRPr="008F39F5">
        <w:rPr>
          <w:rFonts w:ascii="Arial" w:hAnsi="Arial" w:cs="Arial"/>
          <w:b/>
          <w:caps/>
          <w:sz w:val="22"/>
        </w:rPr>
        <w:t xml:space="preserve"> </w:t>
      </w:r>
      <w:r w:rsidR="00232064" w:rsidRPr="008F39F5">
        <w:rPr>
          <w:rFonts w:ascii="Arial" w:hAnsi="Arial" w:cs="Arial"/>
          <w:b/>
          <w:sz w:val="22"/>
        </w:rPr>
        <w:t>Ethical Considerations.</w:t>
      </w:r>
    </w:p>
    <w:p w14:paraId="610CBCC7" w14:textId="77777777" w:rsidR="00AE5A94" w:rsidRDefault="00232064" w:rsidP="00232064">
      <w:pPr>
        <w:pStyle w:val="Body"/>
        <w:spacing w:after="0"/>
        <w:rPr>
          <w:rFonts w:ascii="Arial" w:hAnsi="Arial" w:cs="Arial"/>
        </w:rPr>
      </w:pPr>
      <w:r w:rsidRPr="008F39F5">
        <w:rPr>
          <w:rFonts w:ascii="Arial" w:hAnsi="Arial" w:cs="Arial"/>
        </w:rPr>
        <w:t xml:space="preserve">The study was conducted in accordance with the Good Clinical Practice Guidelines of our laws and the Declaration of Helsinki for human experiments. </w:t>
      </w:r>
      <w:r w:rsidR="00B04C47" w:rsidRPr="008F39F5">
        <w:rPr>
          <w:rFonts w:ascii="Arial" w:hAnsi="Arial" w:cs="Arial"/>
        </w:rPr>
        <w:t xml:space="preserve">The protocol was approved by </w:t>
      </w:r>
      <w:r w:rsidR="00937DCE">
        <w:rPr>
          <w:rFonts w:ascii="Arial" w:hAnsi="Arial" w:cs="Arial"/>
        </w:rPr>
        <w:t>t</w:t>
      </w:r>
      <w:r w:rsidR="00B04C47" w:rsidRPr="008F39F5">
        <w:rPr>
          <w:rFonts w:ascii="Arial" w:hAnsi="Arial" w:cs="Arial"/>
        </w:rPr>
        <w:t xml:space="preserve">he Local Committee of Health Research 2108 in Zone General Hospital number 20, IMSS. </w:t>
      </w:r>
      <w:r w:rsidR="00937DCE">
        <w:rPr>
          <w:rFonts w:ascii="Arial" w:hAnsi="Arial" w:cs="Arial"/>
        </w:rPr>
        <w:t>R</w:t>
      </w:r>
      <w:r w:rsidR="004B33C9" w:rsidRPr="008F39F5">
        <w:rPr>
          <w:rFonts w:ascii="Arial" w:hAnsi="Arial" w:cs="Arial"/>
        </w:rPr>
        <w:t xml:space="preserve">ecord </w:t>
      </w:r>
      <w:r w:rsidR="00937DCE">
        <w:rPr>
          <w:rFonts w:ascii="Arial" w:hAnsi="Arial" w:cs="Arial"/>
        </w:rPr>
        <w:t>R-2023-2105-146</w:t>
      </w:r>
      <w:r w:rsidR="004B33C9" w:rsidRPr="008F39F5">
        <w:rPr>
          <w:rFonts w:ascii="Arial" w:hAnsi="Arial" w:cs="Arial"/>
        </w:rPr>
        <w:t>.</w:t>
      </w:r>
    </w:p>
    <w:p w14:paraId="61AA870E" w14:textId="77777777" w:rsidR="00AE5A94" w:rsidRDefault="00AE5A94" w:rsidP="00232064">
      <w:pPr>
        <w:pStyle w:val="Body"/>
        <w:spacing w:after="0"/>
        <w:rPr>
          <w:rFonts w:ascii="Arial" w:hAnsi="Arial" w:cs="Arial"/>
        </w:rPr>
      </w:pPr>
    </w:p>
    <w:p w14:paraId="0D107208" w14:textId="2A3E0AD5" w:rsidR="00232064" w:rsidRPr="008F39F5" w:rsidRDefault="00B04C47" w:rsidP="00232064">
      <w:pPr>
        <w:pStyle w:val="Body"/>
        <w:spacing w:after="0"/>
        <w:rPr>
          <w:rFonts w:ascii="Arial" w:hAnsi="Arial" w:cs="Arial"/>
        </w:rPr>
      </w:pPr>
      <w:r w:rsidRPr="008F39F5">
        <w:rPr>
          <w:rFonts w:ascii="Arial" w:hAnsi="Arial" w:cs="Arial"/>
        </w:rPr>
        <w:t xml:space="preserve">The </w:t>
      </w:r>
      <w:r w:rsidR="00AE5A94">
        <w:rPr>
          <w:rFonts w:ascii="Arial" w:hAnsi="Arial" w:cs="Arial"/>
        </w:rPr>
        <w:t>d</w:t>
      </w:r>
      <w:r w:rsidRPr="008F39F5">
        <w:rPr>
          <w:rFonts w:ascii="Arial" w:hAnsi="Arial" w:cs="Arial"/>
        </w:rPr>
        <w:t>ata was treated confidentially. To guarantee confidentiality, only the principal investigators had access to the complete dataset, including identifiable patient information (e.g., names). The patient names were replaced with unique identification numbers. The assigned number allows the data to be linked to a specific individual without revealing the individual's identity. This approach en</w:t>
      </w:r>
      <w:r w:rsidR="00F9690F">
        <w:rPr>
          <w:rFonts w:ascii="Arial" w:hAnsi="Arial" w:cs="Arial"/>
        </w:rPr>
        <w:t>sured that all patient data was</w:t>
      </w:r>
      <w:r w:rsidRPr="008F39F5">
        <w:rPr>
          <w:rFonts w:ascii="Arial" w:hAnsi="Arial" w:cs="Arial"/>
        </w:rPr>
        <w:t xml:space="preserve"> handled under ethical standards and maintained the highest level of confidentiality throughout the study. This anonymization was conducted before sharing the dataset for statistical analysis with some researchers. After the statistical analysis, only the processed statistical data </w:t>
      </w:r>
      <w:r w:rsidR="00F9690F">
        <w:rPr>
          <w:rFonts w:ascii="Arial" w:hAnsi="Arial" w:cs="Arial"/>
        </w:rPr>
        <w:t xml:space="preserve">was </w:t>
      </w:r>
      <w:r w:rsidRPr="008F39F5">
        <w:rPr>
          <w:rFonts w:ascii="Arial" w:hAnsi="Arial" w:cs="Arial"/>
        </w:rPr>
        <w:t>made available to the rest of the research team.</w:t>
      </w:r>
    </w:p>
    <w:p w14:paraId="4B28D732" w14:textId="77777777" w:rsidR="00C751D3" w:rsidRPr="008F39F5" w:rsidRDefault="00C751D3" w:rsidP="00441B6F">
      <w:pPr>
        <w:pStyle w:val="Body"/>
        <w:spacing w:after="0"/>
        <w:rPr>
          <w:rFonts w:ascii="Arial" w:hAnsi="Arial" w:cs="Arial"/>
          <w:b/>
          <w:u w:val="single"/>
        </w:rPr>
      </w:pPr>
    </w:p>
    <w:p w14:paraId="5D6EE891" w14:textId="71B6F797" w:rsidR="00902823" w:rsidRPr="008F39F5" w:rsidRDefault="00000F8F" w:rsidP="00441B6F">
      <w:pPr>
        <w:pStyle w:val="Head1"/>
        <w:spacing w:after="0"/>
        <w:jc w:val="both"/>
        <w:rPr>
          <w:rFonts w:ascii="Arial" w:hAnsi="Arial" w:cs="Arial"/>
        </w:rPr>
      </w:pPr>
      <w:r w:rsidRPr="008F39F5">
        <w:rPr>
          <w:rFonts w:ascii="Arial" w:hAnsi="Arial" w:cs="Arial"/>
        </w:rPr>
        <w:t>3</w:t>
      </w:r>
      <w:r w:rsidR="00902823" w:rsidRPr="008F39F5">
        <w:rPr>
          <w:rFonts w:ascii="Arial" w:hAnsi="Arial" w:cs="Arial"/>
        </w:rPr>
        <w:t xml:space="preserve">. </w:t>
      </w:r>
      <w:r w:rsidRPr="008F39F5">
        <w:rPr>
          <w:rFonts w:ascii="Arial" w:hAnsi="Arial" w:cs="Arial"/>
        </w:rPr>
        <w:t>results and discussion</w:t>
      </w:r>
      <w:r w:rsidR="00034843" w:rsidRPr="008F39F5">
        <w:rPr>
          <w:rFonts w:ascii="Arial" w:hAnsi="Arial" w:cs="Arial"/>
        </w:rPr>
        <w:t>.</w:t>
      </w:r>
    </w:p>
    <w:p w14:paraId="373A8E3C" w14:textId="3B03208F" w:rsidR="00CB46CE" w:rsidRPr="008F39F5" w:rsidRDefault="00CB46CE" w:rsidP="00CB46CE">
      <w:pPr>
        <w:pStyle w:val="Body"/>
        <w:spacing w:after="0"/>
        <w:rPr>
          <w:rFonts w:ascii="Arial" w:hAnsi="Arial" w:cs="Arial"/>
        </w:rPr>
      </w:pPr>
      <w:r w:rsidRPr="008F39F5">
        <w:rPr>
          <w:rFonts w:ascii="Arial" w:hAnsi="Arial" w:cs="Arial"/>
          <w:b/>
          <w:caps/>
          <w:sz w:val="22"/>
        </w:rPr>
        <w:t xml:space="preserve">3.1 </w:t>
      </w:r>
      <w:r w:rsidR="002F0814" w:rsidRPr="008F39F5">
        <w:rPr>
          <w:rFonts w:ascii="Arial" w:hAnsi="Arial" w:cs="Arial"/>
          <w:b/>
          <w:sz w:val="22"/>
        </w:rPr>
        <w:t>Characteristics</w:t>
      </w:r>
      <w:r w:rsidR="002F0814" w:rsidRPr="008F39F5">
        <w:rPr>
          <w:rFonts w:ascii="Arial" w:hAnsi="Arial" w:cs="Arial"/>
          <w:b/>
          <w:caps/>
          <w:sz w:val="22"/>
        </w:rPr>
        <w:t xml:space="preserve"> </w:t>
      </w:r>
      <w:r w:rsidR="002F0814" w:rsidRPr="008F39F5">
        <w:rPr>
          <w:rFonts w:ascii="Arial" w:hAnsi="Arial" w:cs="Arial"/>
          <w:b/>
          <w:sz w:val="22"/>
        </w:rPr>
        <w:t>of</w:t>
      </w:r>
      <w:r w:rsidR="002F0814" w:rsidRPr="008F39F5">
        <w:rPr>
          <w:rFonts w:ascii="Arial" w:hAnsi="Arial" w:cs="Arial"/>
          <w:b/>
          <w:caps/>
          <w:sz w:val="22"/>
        </w:rPr>
        <w:t xml:space="preserve"> </w:t>
      </w:r>
      <w:r w:rsidRPr="008F39F5">
        <w:rPr>
          <w:rFonts w:ascii="Arial" w:hAnsi="Arial" w:cs="Arial"/>
          <w:b/>
          <w:sz w:val="22"/>
        </w:rPr>
        <w:t>the study population.</w:t>
      </w:r>
    </w:p>
    <w:p w14:paraId="10FDD49A" w14:textId="3D6DBA65" w:rsidR="004C0900" w:rsidRDefault="002F0814" w:rsidP="004C0900">
      <w:pPr>
        <w:pStyle w:val="Body"/>
        <w:spacing w:after="0"/>
        <w:rPr>
          <w:rFonts w:ascii="Arial" w:hAnsi="Arial" w:cs="Arial"/>
        </w:rPr>
      </w:pPr>
      <w:r w:rsidRPr="008F39F5">
        <w:rPr>
          <w:rFonts w:ascii="Arial" w:hAnsi="Arial" w:cs="Arial"/>
        </w:rPr>
        <w:t xml:space="preserve">We included </w:t>
      </w:r>
      <w:r w:rsidR="00B841CB">
        <w:rPr>
          <w:rFonts w:ascii="Arial" w:hAnsi="Arial" w:cs="Arial"/>
        </w:rPr>
        <w:t>13</w:t>
      </w:r>
      <w:r w:rsidR="000D4C97" w:rsidRPr="000D4C97">
        <w:rPr>
          <w:rFonts w:ascii="Arial" w:hAnsi="Arial" w:cs="Arial"/>
        </w:rPr>
        <w:t>8</w:t>
      </w:r>
      <w:r w:rsidR="00DB60CE" w:rsidRPr="008F39F5">
        <w:rPr>
          <w:rFonts w:ascii="Arial" w:hAnsi="Arial" w:cs="Arial"/>
        </w:rPr>
        <w:t xml:space="preserve"> </w:t>
      </w:r>
      <w:r w:rsidR="00D25DAB" w:rsidRPr="008F39F5">
        <w:rPr>
          <w:rFonts w:ascii="Arial" w:hAnsi="Arial" w:cs="Arial"/>
        </w:rPr>
        <w:t>patients</w:t>
      </w:r>
      <w:r w:rsidR="00D159D0" w:rsidRPr="008F39F5">
        <w:t xml:space="preserve"> with </w:t>
      </w:r>
      <w:r w:rsidR="00B841CB">
        <w:t xml:space="preserve">long </w:t>
      </w:r>
      <w:r w:rsidR="00D159D0" w:rsidRPr="008F39F5">
        <w:t>COVID-19</w:t>
      </w:r>
      <w:r w:rsidRPr="008F39F5">
        <w:rPr>
          <w:rFonts w:ascii="Arial" w:hAnsi="Arial" w:cs="Arial"/>
        </w:rPr>
        <w:t xml:space="preserve">. </w:t>
      </w:r>
      <w:r w:rsidR="00D159D0" w:rsidRPr="008F39F5">
        <w:rPr>
          <w:rFonts w:ascii="Arial" w:hAnsi="Arial" w:cs="Arial"/>
        </w:rPr>
        <w:t>T</w:t>
      </w:r>
      <w:r w:rsidR="004A5D11" w:rsidRPr="008F39F5">
        <w:t>he average age was 4</w:t>
      </w:r>
      <w:r w:rsidR="00B841CB">
        <w:t>8.</w:t>
      </w:r>
      <w:r w:rsidR="000D4C97">
        <w:t>19</w:t>
      </w:r>
      <w:r w:rsidR="004A5D11" w:rsidRPr="008F39F5">
        <w:t xml:space="preserve"> years old (SD=1</w:t>
      </w:r>
      <w:r w:rsidR="00B841CB">
        <w:t>6.</w:t>
      </w:r>
      <w:r w:rsidR="000D4C97">
        <w:t>5</w:t>
      </w:r>
      <w:r w:rsidR="00B841CB">
        <w:t>42</w:t>
      </w:r>
      <w:r w:rsidR="004A5D11" w:rsidRPr="008F39F5">
        <w:t>, range=</w:t>
      </w:r>
      <w:r w:rsidR="00B841CB">
        <w:t>74</w:t>
      </w:r>
      <w:r w:rsidR="004A5D11" w:rsidRPr="008F39F5">
        <w:t>, minimum age=</w:t>
      </w:r>
      <w:r w:rsidR="00320175" w:rsidRPr="008F39F5">
        <w:t>1</w:t>
      </w:r>
      <w:r w:rsidR="00B841CB">
        <w:t>9</w:t>
      </w:r>
      <w:r w:rsidR="004A5D11" w:rsidRPr="008F39F5">
        <w:t>, maximum age=</w:t>
      </w:r>
      <w:r w:rsidR="00320175" w:rsidRPr="008F39F5">
        <w:t>9</w:t>
      </w:r>
      <w:r w:rsidR="00B841CB">
        <w:t>3</w:t>
      </w:r>
      <w:r w:rsidR="004A5D11" w:rsidRPr="008F39F5">
        <w:t xml:space="preserve"> years old, median age=</w:t>
      </w:r>
      <w:r w:rsidR="00B841CB">
        <w:t>45.05</w:t>
      </w:r>
      <w:r w:rsidR="004A5D11" w:rsidRPr="008F39F5">
        <w:t xml:space="preserve"> [IQR=</w:t>
      </w:r>
      <w:r w:rsidR="00B841CB">
        <w:t>36.8</w:t>
      </w:r>
      <w:r w:rsidR="004A5D11" w:rsidRPr="008F39F5">
        <w:t>-5</w:t>
      </w:r>
      <w:r w:rsidR="00B841CB">
        <w:t>8.32</w:t>
      </w:r>
      <w:r w:rsidR="00D26D16" w:rsidRPr="008F39F5">
        <w:t>] years old</w:t>
      </w:r>
      <w:r w:rsidR="00383524">
        <w:t>)</w:t>
      </w:r>
      <w:r w:rsidR="004A5D11" w:rsidRPr="008F39F5">
        <w:t>.</w:t>
      </w:r>
      <w:r w:rsidR="00425788" w:rsidRPr="008F39F5">
        <w:t xml:space="preserve"> </w:t>
      </w:r>
      <w:r w:rsidR="00320175" w:rsidRPr="008F39F5">
        <w:t>T</w:t>
      </w:r>
      <w:r w:rsidR="004C0900" w:rsidRPr="008F39F5">
        <w:rPr>
          <w:rFonts w:ascii="Arial" w:hAnsi="Arial" w:cs="Arial"/>
        </w:rPr>
        <w:t xml:space="preserve">he median age was </w:t>
      </w:r>
      <w:r w:rsidR="00B841CB">
        <w:rPr>
          <w:rFonts w:ascii="Arial" w:hAnsi="Arial" w:cs="Arial"/>
        </w:rPr>
        <w:t>higher</w:t>
      </w:r>
      <w:r w:rsidR="004C0900" w:rsidRPr="008F39F5">
        <w:rPr>
          <w:rFonts w:ascii="Arial" w:hAnsi="Arial" w:cs="Arial"/>
        </w:rPr>
        <w:t xml:space="preserve"> </w:t>
      </w:r>
      <w:r w:rsidR="00B841CB">
        <w:rPr>
          <w:rFonts w:ascii="Arial" w:hAnsi="Arial" w:cs="Arial"/>
        </w:rPr>
        <w:t>in females</w:t>
      </w:r>
      <w:r w:rsidR="004C0900" w:rsidRPr="008F39F5">
        <w:rPr>
          <w:rFonts w:ascii="Arial" w:hAnsi="Arial" w:cs="Arial"/>
        </w:rPr>
        <w:t xml:space="preserve"> (</w:t>
      </w:r>
      <w:r w:rsidR="00AD02BB">
        <w:rPr>
          <w:rFonts w:ascii="Arial" w:hAnsi="Arial" w:cs="Arial"/>
        </w:rPr>
        <w:t>4</w:t>
      </w:r>
      <w:r w:rsidR="00B841CB">
        <w:rPr>
          <w:rFonts w:ascii="Arial" w:hAnsi="Arial" w:cs="Arial"/>
        </w:rPr>
        <w:t xml:space="preserve">5.07 </w:t>
      </w:r>
      <w:r w:rsidR="004C0900" w:rsidRPr="008F39F5">
        <w:rPr>
          <w:rFonts w:ascii="Arial" w:hAnsi="Arial" w:cs="Arial"/>
        </w:rPr>
        <w:t>years old, IQR=</w:t>
      </w:r>
      <w:r w:rsidR="00B841CB">
        <w:rPr>
          <w:rFonts w:ascii="Arial" w:hAnsi="Arial" w:cs="Arial"/>
        </w:rPr>
        <w:t>38.05</w:t>
      </w:r>
      <w:r w:rsidR="004C0900" w:rsidRPr="008F39F5">
        <w:rPr>
          <w:rFonts w:ascii="Arial" w:hAnsi="Arial" w:cs="Arial"/>
        </w:rPr>
        <w:t>-</w:t>
      </w:r>
      <w:r w:rsidR="00AB0D32" w:rsidRPr="008F39F5">
        <w:rPr>
          <w:rFonts w:ascii="Arial" w:hAnsi="Arial" w:cs="Arial"/>
        </w:rPr>
        <w:t>5</w:t>
      </w:r>
      <w:r w:rsidR="00B841CB">
        <w:rPr>
          <w:rFonts w:ascii="Arial" w:hAnsi="Arial" w:cs="Arial"/>
        </w:rPr>
        <w:t>7.11</w:t>
      </w:r>
      <w:r w:rsidR="004C0900" w:rsidRPr="008F39F5">
        <w:rPr>
          <w:rFonts w:ascii="Arial" w:hAnsi="Arial" w:cs="Arial"/>
        </w:rPr>
        <w:t>, range=</w:t>
      </w:r>
      <w:r w:rsidR="00B841CB">
        <w:rPr>
          <w:rFonts w:ascii="Arial" w:hAnsi="Arial" w:cs="Arial"/>
        </w:rPr>
        <w:t>67</w:t>
      </w:r>
      <w:r w:rsidR="004C0900" w:rsidRPr="008F39F5">
        <w:rPr>
          <w:rFonts w:ascii="Arial" w:hAnsi="Arial" w:cs="Arial"/>
        </w:rPr>
        <w:t xml:space="preserve"> years old, minimum age=</w:t>
      </w:r>
      <w:r w:rsidR="00CF4C98" w:rsidRPr="008F39F5">
        <w:rPr>
          <w:rFonts w:ascii="Arial" w:hAnsi="Arial" w:cs="Arial"/>
        </w:rPr>
        <w:t>1</w:t>
      </w:r>
      <w:r w:rsidR="00B841CB">
        <w:rPr>
          <w:rFonts w:ascii="Arial" w:hAnsi="Arial" w:cs="Arial"/>
        </w:rPr>
        <w:t>9</w:t>
      </w:r>
      <w:r w:rsidR="004C0900" w:rsidRPr="008F39F5">
        <w:rPr>
          <w:rFonts w:ascii="Arial" w:hAnsi="Arial" w:cs="Arial"/>
        </w:rPr>
        <w:t xml:space="preserve"> years old, maximum age=</w:t>
      </w:r>
      <w:r w:rsidR="00B841CB">
        <w:rPr>
          <w:rFonts w:ascii="Arial" w:hAnsi="Arial" w:cs="Arial"/>
        </w:rPr>
        <w:t>86</w:t>
      </w:r>
      <w:r w:rsidR="004C0900" w:rsidRPr="008F39F5">
        <w:rPr>
          <w:rFonts w:ascii="Arial" w:hAnsi="Arial" w:cs="Arial"/>
        </w:rPr>
        <w:t xml:space="preserve"> years old) compared to </w:t>
      </w:r>
      <w:r w:rsidR="00B841CB">
        <w:rPr>
          <w:rFonts w:ascii="Arial" w:hAnsi="Arial" w:cs="Arial"/>
        </w:rPr>
        <w:t>males</w:t>
      </w:r>
      <w:r w:rsidR="004C0900" w:rsidRPr="008F39F5">
        <w:rPr>
          <w:rFonts w:ascii="Arial" w:hAnsi="Arial" w:cs="Arial"/>
        </w:rPr>
        <w:t xml:space="preserve"> (</w:t>
      </w:r>
      <w:r w:rsidR="000330F0">
        <w:rPr>
          <w:rFonts w:ascii="Arial" w:hAnsi="Arial" w:cs="Arial"/>
        </w:rPr>
        <w:t>44</w:t>
      </w:r>
      <w:r w:rsidR="004C0900" w:rsidRPr="008F39F5">
        <w:rPr>
          <w:rFonts w:ascii="Arial" w:hAnsi="Arial" w:cs="Arial"/>
        </w:rPr>
        <w:t>.0</w:t>
      </w:r>
      <w:r w:rsidR="000330F0">
        <w:rPr>
          <w:rFonts w:ascii="Arial" w:hAnsi="Arial" w:cs="Arial"/>
        </w:rPr>
        <w:t>9</w:t>
      </w:r>
      <w:r w:rsidR="004C0900" w:rsidRPr="008F39F5">
        <w:rPr>
          <w:rFonts w:ascii="Arial" w:hAnsi="Arial" w:cs="Arial"/>
        </w:rPr>
        <w:t xml:space="preserve"> years old, IQR=</w:t>
      </w:r>
      <w:r w:rsidR="000330F0">
        <w:rPr>
          <w:rFonts w:ascii="Arial" w:hAnsi="Arial" w:cs="Arial"/>
        </w:rPr>
        <w:t>34.08</w:t>
      </w:r>
      <w:r w:rsidR="004C0900" w:rsidRPr="008F39F5">
        <w:rPr>
          <w:rFonts w:ascii="Arial" w:hAnsi="Arial" w:cs="Arial"/>
        </w:rPr>
        <w:t>-</w:t>
      </w:r>
      <w:r w:rsidR="000330F0">
        <w:rPr>
          <w:rFonts w:ascii="Arial" w:hAnsi="Arial" w:cs="Arial"/>
        </w:rPr>
        <w:t>62.07</w:t>
      </w:r>
      <w:r w:rsidR="004C0900" w:rsidRPr="008F39F5">
        <w:rPr>
          <w:rFonts w:ascii="Arial" w:hAnsi="Arial" w:cs="Arial"/>
        </w:rPr>
        <w:t>, range=</w:t>
      </w:r>
      <w:r w:rsidR="000330F0">
        <w:rPr>
          <w:rFonts w:ascii="Arial" w:hAnsi="Arial" w:cs="Arial"/>
        </w:rPr>
        <w:t>74</w:t>
      </w:r>
      <w:r w:rsidR="004C0900" w:rsidRPr="008F39F5">
        <w:rPr>
          <w:rFonts w:ascii="Arial" w:hAnsi="Arial" w:cs="Arial"/>
        </w:rPr>
        <w:t xml:space="preserve"> years old, minimum age=</w:t>
      </w:r>
      <w:r w:rsidR="00BD7D54" w:rsidRPr="008F39F5">
        <w:rPr>
          <w:rFonts w:ascii="Arial" w:hAnsi="Arial" w:cs="Arial"/>
        </w:rPr>
        <w:t>18-year-old</w:t>
      </w:r>
      <w:r w:rsidR="004C0900" w:rsidRPr="008F39F5">
        <w:rPr>
          <w:rFonts w:ascii="Arial" w:hAnsi="Arial" w:cs="Arial"/>
        </w:rPr>
        <w:t>, maximum age=</w:t>
      </w:r>
      <w:r w:rsidR="00AB0D32" w:rsidRPr="008F39F5">
        <w:rPr>
          <w:rFonts w:ascii="Arial" w:hAnsi="Arial" w:cs="Arial"/>
        </w:rPr>
        <w:t>9</w:t>
      </w:r>
      <w:r w:rsidR="000330F0">
        <w:rPr>
          <w:rFonts w:ascii="Arial" w:hAnsi="Arial" w:cs="Arial"/>
        </w:rPr>
        <w:t>3</w:t>
      </w:r>
      <w:r w:rsidR="004C0900" w:rsidRPr="008F39F5">
        <w:rPr>
          <w:rFonts w:ascii="Arial" w:hAnsi="Arial" w:cs="Arial"/>
        </w:rPr>
        <w:t xml:space="preserve"> years old; p</w:t>
      </w:r>
      <w:r w:rsidR="000330F0">
        <w:rPr>
          <w:rFonts w:ascii="Arial" w:hAnsi="Arial" w:cs="Arial"/>
        </w:rPr>
        <w:t>=</w:t>
      </w:r>
      <w:r w:rsidR="004C0900" w:rsidRPr="008F39F5">
        <w:rPr>
          <w:rFonts w:ascii="Arial" w:hAnsi="Arial" w:cs="Arial"/>
        </w:rPr>
        <w:t>0.</w:t>
      </w:r>
      <w:r w:rsidR="000330F0">
        <w:rPr>
          <w:rFonts w:ascii="Arial" w:hAnsi="Arial" w:cs="Arial"/>
        </w:rPr>
        <w:t>726</w:t>
      </w:r>
      <w:r w:rsidR="004C0900" w:rsidRPr="008F39F5">
        <w:rPr>
          <w:rFonts w:ascii="Arial" w:hAnsi="Arial" w:cs="Arial"/>
        </w:rPr>
        <w:t>, Median Test between independent groups).</w:t>
      </w:r>
    </w:p>
    <w:p w14:paraId="4BD142FF" w14:textId="77777777" w:rsidR="00A5325C" w:rsidRDefault="00A5325C" w:rsidP="004C0900">
      <w:pPr>
        <w:pStyle w:val="Body"/>
        <w:spacing w:after="0"/>
        <w:rPr>
          <w:rFonts w:ascii="Arial" w:hAnsi="Arial" w:cs="Arial"/>
        </w:rPr>
      </w:pPr>
    </w:p>
    <w:p w14:paraId="32F05378" w14:textId="18F4FCA1" w:rsidR="00A5325C" w:rsidRDefault="00A5325C" w:rsidP="004C0900">
      <w:pPr>
        <w:pStyle w:val="Body"/>
        <w:spacing w:after="0"/>
        <w:rPr>
          <w:rFonts w:ascii="Arial" w:hAnsi="Arial" w:cs="Arial"/>
        </w:rPr>
      </w:pPr>
      <w:r w:rsidRPr="00A5325C">
        <w:rPr>
          <w:rFonts w:ascii="Arial" w:hAnsi="Arial" w:cs="Arial"/>
        </w:rPr>
        <w:t>Overall, the mean weight was 73.20 kg, with the median weight being higher in males than in females. In terms of height, the overall mean was 1.60 m, with males averaging taller than females. The corresponding medians exhibited a similar pattern. The mean BMI for the population was 28.51 kg/m², with compar</w:t>
      </w:r>
      <w:r w:rsidR="008C2E34">
        <w:rPr>
          <w:rFonts w:ascii="Arial" w:hAnsi="Arial" w:cs="Arial"/>
        </w:rPr>
        <w:t>able values observed between</w:t>
      </w:r>
      <w:r w:rsidRPr="00A5325C">
        <w:rPr>
          <w:rFonts w:ascii="Arial" w:hAnsi="Arial" w:cs="Arial"/>
        </w:rPr>
        <w:t xml:space="preserve"> sexes.</w:t>
      </w:r>
    </w:p>
    <w:p w14:paraId="29A35D77" w14:textId="77777777" w:rsidR="000D4C97" w:rsidRDefault="000D4C97" w:rsidP="004C0900">
      <w:pPr>
        <w:pStyle w:val="Body"/>
        <w:spacing w:after="0"/>
        <w:rPr>
          <w:rFonts w:ascii="Arial" w:hAnsi="Arial" w:cs="Arial"/>
        </w:rPr>
      </w:pPr>
    </w:p>
    <w:p w14:paraId="4C525C13" w14:textId="68E6C5F6" w:rsidR="000D4C97" w:rsidRDefault="00E9562F" w:rsidP="00873F35">
      <w:pPr>
        <w:pStyle w:val="Body"/>
        <w:spacing w:after="0"/>
        <w:rPr>
          <w:rFonts w:ascii="Arial" w:hAnsi="Arial" w:cs="Arial"/>
        </w:rPr>
      </w:pPr>
      <w:r w:rsidRPr="00E9562F">
        <w:rPr>
          <w:rFonts w:ascii="Arial" w:hAnsi="Arial" w:cs="Arial"/>
        </w:rPr>
        <w:t>Based on the analysis of comorbidities and outcomes among the total population (N = 138), stratified by sex, the statistical tests revealed no significant differences between males and females. However, differences in proportions were noted, which are important to highlight from a clinical and descriptive perspective.</w:t>
      </w:r>
      <w:r w:rsidR="00A5325C">
        <w:rPr>
          <w:rFonts w:ascii="Arial" w:hAnsi="Arial" w:cs="Arial"/>
        </w:rPr>
        <w:t xml:space="preserve"> </w:t>
      </w:r>
      <w:r w:rsidRPr="00E9562F">
        <w:rPr>
          <w:rFonts w:ascii="Arial" w:hAnsi="Arial" w:cs="Arial"/>
        </w:rPr>
        <w:t xml:space="preserve">Comorbidity was present in 37% of the total population, with a higher proportion in males compared to females. Type 2 diabetes mellitus was more prevalent in males than in females. </w:t>
      </w:r>
      <w:r w:rsidR="008C2E34">
        <w:rPr>
          <w:rFonts w:ascii="Arial" w:hAnsi="Arial" w:cs="Arial"/>
        </w:rPr>
        <w:t>A c</w:t>
      </w:r>
      <w:r w:rsidR="00B46B8E">
        <w:rPr>
          <w:rFonts w:ascii="Arial" w:hAnsi="Arial" w:cs="Arial"/>
        </w:rPr>
        <w:t>hronic obstructive pulmonary disease (</w:t>
      </w:r>
      <w:r w:rsidRPr="00E9562F">
        <w:rPr>
          <w:rFonts w:ascii="Arial" w:hAnsi="Arial" w:cs="Arial"/>
        </w:rPr>
        <w:t>COPD</w:t>
      </w:r>
      <w:r w:rsidR="00B46B8E">
        <w:rPr>
          <w:rFonts w:ascii="Arial" w:hAnsi="Arial" w:cs="Arial"/>
        </w:rPr>
        <w:t>)</w:t>
      </w:r>
      <w:r w:rsidRPr="00E9562F">
        <w:rPr>
          <w:rFonts w:ascii="Arial" w:hAnsi="Arial" w:cs="Arial"/>
        </w:rPr>
        <w:t xml:space="preserve"> was recorded only in females. Hypertension showed a higher proportion in males than in females. Cancer, </w:t>
      </w:r>
      <w:r w:rsidR="00B46B8E">
        <w:rPr>
          <w:rFonts w:ascii="Arial" w:hAnsi="Arial" w:cs="Arial"/>
        </w:rPr>
        <w:t>human immunodeficiency virus (</w:t>
      </w:r>
      <w:r w:rsidRPr="00E9562F">
        <w:rPr>
          <w:rFonts w:ascii="Arial" w:hAnsi="Arial" w:cs="Arial"/>
        </w:rPr>
        <w:t>HIV</w:t>
      </w:r>
      <w:r w:rsidR="00B46B8E">
        <w:rPr>
          <w:rFonts w:ascii="Arial" w:hAnsi="Arial" w:cs="Arial"/>
        </w:rPr>
        <w:t>)</w:t>
      </w:r>
      <w:r w:rsidRPr="00E9562F">
        <w:rPr>
          <w:rFonts w:ascii="Arial" w:hAnsi="Arial" w:cs="Arial"/>
        </w:rPr>
        <w:t xml:space="preserve">, and chronic kidney disease (CKD) were exclusively found in males (3.8% for each), with no recorded cases in females. Mortality was low overall, occurring in only one male patient. Vaccination history </w:t>
      </w:r>
      <w:r w:rsidR="00B46B8E">
        <w:rPr>
          <w:rFonts w:ascii="Arial" w:hAnsi="Arial" w:cs="Arial"/>
        </w:rPr>
        <w:t xml:space="preserve">(VH) </w:t>
      </w:r>
      <w:r w:rsidRPr="00E9562F">
        <w:rPr>
          <w:rFonts w:ascii="Arial" w:hAnsi="Arial" w:cs="Arial"/>
        </w:rPr>
        <w:t>was higher in females</w:t>
      </w:r>
      <w:r w:rsidR="00E173DA">
        <w:rPr>
          <w:rFonts w:ascii="Arial" w:hAnsi="Arial" w:cs="Arial"/>
        </w:rPr>
        <w:t xml:space="preserve"> </w:t>
      </w:r>
      <w:r w:rsidR="000D4C97">
        <w:rPr>
          <w:rFonts w:ascii="Arial" w:hAnsi="Arial" w:cs="Arial"/>
        </w:rPr>
        <w:t xml:space="preserve">(table </w:t>
      </w:r>
      <w:r>
        <w:rPr>
          <w:rFonts w:ascii="Arial" w:hAnsi="Arial" w:cs="Arial"/>
        </w:rPr>
        <w:t>1</w:t>
      </w:r>
      <w:r w:rsidR="000D4C97">
        <w:rPr>
          <w:rFonts w:ascii="Arial" w:hAnsi="Arial" w:cs="Arial"/>
        </w:rPr>
        <w:t>)</w:t>
      </w:r>
      <w:r w:rsidR="000D4C97" w:rsidRPr="000D4C97">
        <w:rPr>
          <w:rFonts w:ascii="Arial" w:hAnsi="Arial" w:cs="Arial"/>
        </w:rPr>
        <w:t>.</w:t>
      </w:r>
    </w:p>
    <w:p w14:paraId="57478936" w14:textId="77777777" w:rsidR="002F5454" w:rsidRDefault="002F5454" w:rsidP="00873F35">
      <w:pPr>
        <w:pStyle w:val="Body"/>
        <w:spacing w:after="0"/>
        <w:rPr>
          <w:rFonts w:ascii="Arial" w:hAnsi="Arial" w:cs="Arial"/>
        </w:rPr>
      </w:pPr>
    </w:p>
    <w:p w14:paraId="743DF6FD" w14:textId="162972A1" w:rsidR="002F5454" w:rsidRPr="00873F35" w:rsidRDefault="002F5454" w:rsidP="00873F35">
      <w:pPr>
        <w:tabs>
          <w:tab w:val="left" w:pos="1080"/>
        </w:tabs>
        <w:jc w:val="both"/>
        <w:rPr>
          <w:rFonts w:ascii="Arial" w:hAnsi="Arial"/>
          <w:b/>
          <w:sz w:val="22"/>
          <w:szCs w:val="22"/>
        </w:rPr>
      </w:pPr>
      <w:r w:rsidRPr="00873F35">
        <w:rPr>
          <w:rFonts w:ascii="Arial" w:hAnsi="Arial"/>
          <w:b/>
          <w:sz w:val="22"/>
          <w:szCs w:val="22"/>
        </w:rPr>
        <w:t xml:space="preserve">Table </w:t>
      </w:r>
      <w:r w:rsidR="006A38E3">
        <w:rPr>
          <w:rFonts w:ascii="Arial" w:hAnsi="Arial"/>
          <w:b/>
          <w:sz w:val="22"/>
          <w:szCs w:val="22"/>
        </w:rPr>
        <w:t>1</w:t>
      </w:r>
      <w:r w:rsidRPr="00873F35">
        <w:rPr>
          <w:rFonts w:ascii="Arial" w:hAnsi="Arial"/>
          <w:b/>
          <w:sz w:val="22"/>
          <w:szCs w:val="22"/>
        </w:rPr>
        <w:t>.</w:t>
      </w:r>
      <w:r w:rsidRPr="00873F35">
        <w:rPr>
          <w:rFonts w:ascii="Arial" w:hAnsi="Arial"/>
          <w:b/>
          <w:sz w:val="22"/>
          <w:szCs w:val="22"/>
        </w:rPr>
        <w:tab/>
        <w:t>Sociodemographic</w:t>
      </w:r>
      <w:r w:rsidR="006A38E3">
        <w:rPr>
          <w:rFonts w:ascii="Arial" w:hAnsi="Arial"/>
          <w:b/>
          <w:sz w:val="22"/>
          <w:szCs w:val="22"/>
        </w:rPr>
        <w:t xml:space="preserve"> and</w:t>
      </w:r>
      <w:r w:rsidRPr="00873F35">
        <w:rPr>
          <w:rFonts w:ascii="Arial" w:hAnsi="Arial"/>
          <w:b/>
          <w:sz w:val="22"/>
          <w:szCs w:val="22"/>
        </w:rPr>
        <w:t xml:space="preserve"> </w:t>
      </w:r>
      <w:r w:rsidR="000D4C97" w:rsidRPr="00873F35">
        <w:rPr>
          <w:rFonts w:ascii="Arial" w:hAnsi="Arial"/>
          <w:b/>
          <w:sz w:val="22"/>
          <w:szCs w:val="22"/>
        </w:rPr>
        <w:t>C</w:t>
      </w:r>
      <w:r w:rsidRPr="00873F35">
        <w:rPr>
          <w:rFonts w:ascii="Arial" w:hAnsi="Arial"/>
          <w:b/>
          <w:sz w:val="22"/>
          <w:szCs w:val="22"/>
        </w:rPr>
        <w:t xml:space="preserve">linical </w:t>
      </w:r>
      <w:r w:rsidR="000D4C97" w:rsidRPr="00873F35">
        <w:rPr>
          <w:rFonts w:ascii="Arial" w:hAnsi="Arial"/>
          <w:b/>
          <w:sz w:val="22"/>
          <w:szCs w:val="22"/>
        </w:rPr>
        <w:t xml:space="preserve">Characteristics </w:t>
      </w:r>
      <w:r w:rsidRPr="00873F35">
        <w:rPr>
          <w:rFonts w:ascii="Arial" w:hAnsi="Arial"/>
          <w:b/>
          <w:sz w:val="22"/>
          <w:szCs w:val="22"/>
        </w:rPr>
        <w:t>of the study population</w:t>
      </w:r>
    </w:p>
    <w:tbl>
      <w:tblPr>
        <w:tblW w:w="0" w:type="auto"/>
        <w:tblCellSpacing w:w="15" w:type="dxa"/>
        <w:tblBorders>
          <w:top w:val="single" w:sz="4" w:space="0" w:color="auto"/>
          <w:bottom w:val="single" w:sz="4" w:space="0" w:color="auto"/>
        </w:tblBorders>
        <w:tblLook w:val="04A0" w:firstRow="1" w:lastRow="0" w:firstColumn="1" w:lastColumn="0" w:noHBand="0" w:noVBand="1"/>
      </w:tblPr>
      <w:tblGrid>
        <w:gridCol w:w="1560"/>
        <w:gridCol w:w="2126"/>
        <w:gridCol w:w="2126"/>
        <w:gridCol w:w="2396"/>
      </w:tblGrid>
      <w:tr w:rsidR="002F5454" w:rsidRPr="00A128B0" w14:paraId="6DF69F59" w14:textId="77777777" w:rsidTr="002F5454">
        <w:trPr>
          <w:tblHeader/>
          <w:tblCellSpacing w:w="15" w:type="dxa"/>
        </w:trPr>
        <w:tc>
          <w:tcPr>
            <w:tcW w:w="1515" w:type="dxa"/>
            <w:tcMar>
              <w:top w:w="15" w:type="dxa"/>
              <w:left w:w="15" w:type="dxa"/>
              <w:bottom w:w="15" w:type="dxa"/>
              <w:right w:w="15" w:type="dxa"/>
            </w:tcMar>
            <w:vAlign w:val="center"/>
            <w:hideMark/>
          </w:tcPr>
          <w:p w14:paraId="6FC2FD68" w14:textId="77777777" w:rsidR="002F5454" w:rsidRPr="00A128B0" w:rsidRDefault="002F5454" w:rsidP="002F5454">
            <w:pPr>
              <w:pStyle w:val="Body"/>
              <w:spacing w:after="0"/>
              <w:rPr>
                <w:rFonts w:ascii="Arial" w:hAnsi="Arial" w:cs="Arial"/>
              </w:rPr>
            </w:pPr>
            <w:bookmarkStart w:id="1" w:name="_Hlk190529832"/>
          </w:p>
        </w:tc>
        <w:tc>
          <w:tcPr>
            <w:tcW w:w="2096" w:type="dxa"/>
            <w:tcMar>
              <w:top w:w="15" w:type="dxa"/>
              <w:left w:w="15" w:type="dxa"/>
              <w:bottom w:w="15" w:type="dxa"/>
              <w:right w:w="15" w:type="dxa"/>
            </w:tcMar>
            <w:vAlign w:val="center"/>
            <w:hideMark/>
          </w:tcPr>
          <w:p w14:paraId="5905654E" w14:textId="77777777" w:rsidR="002F5454" w:rsidRPr="00A128B0" w:rsidRDefault="002F5454" w:rsidP="002F5454">
            <w:pPr>
              <w:pStyle w:val="Body"/>
              <w:spacing w:after="0"/>
              <w:jc w:val="center"/>
              <w:rPr>
                <w:rFonts w:ascii="Arial" w:hAnsi="Arial" w:cs="Arial"/>
              </w:rPr>
            </w:pPr>
            <w:r w:rsidRPr="00A128B0">
              <w:rPr>
                <w:rFonts w:ascii="Arial" w:hAnsi="Arial" w:cs="Arial"/>
              </w:rPr>
              <w:t>Total Population</w:t>
            </w:r>
          </w:p>
          <w:p w14:paraId="268064B0" w14:textId="5347D8F2" w:rsidR="000D4C97" w:rsidRPr="00A128B0" w:rsidRDefault="000D4C97" w:rsidP="002F5454">
            <w:pPr>
              <w:pStyle w:val="Body"/>
              <w:spacing w:after="0"/>
              <w:jc w:val="center"/>
              <w:rPr>
                <w:rFonts w:ascii="Arial" w:hAnsi="Arial" w:cs="Arial"/>
              </w:rPr>
            </w:pPr>
            <w:r w:rsidRPr="00A128B0">
              <w:rPr>
                <w:rFonts w:ascii="Arial" w:hAnsi="Arial" w:cs="Arial"/>
              </w:rPr>
              <w:t xml:space="preserve">N= </w:t>
            </w:r>
            <w:bookmarkStart w:id="2" w:name="_Hlk190530258"/>
            <w:r w:rsidR="006A38E3" w:rsidRPr="00A128B0">
              <w:rPr>
                <w:rFonts w:ascii="Arial" w:hAnsi="Arial" w:cs="Arial"/>
              </w:rPr>
              <w:t>13</w:t>
            </w:r>
            <w:r w:rsidRPr="00A128B0">
              <w:rPr>
                <w:rFonts w:ascii="Arial" w:hAnsi="Arial" w:cs="Arial"/>
              </w:rPr>
              <w:t>8</w:t>
            </w:r>
            <w:bookmarkEnd w:id="2"/>
          </w:p>
        </w:tc>
        <w:tc>
          <w:tcPr>
            <w:tcW w:w="2096" w:type="dxa"/>
            <w:tcMar>
              <w:top w:w="15" w:type="dxa"/>
              <w:left w:w="15" w:type="dxa"/>
              <w:bottom w:w="15" w:type="dxa"/>
              <w:right w:w="15" w:type="dxa"/>
            </w:tcMar>
            <w:vAlign w:val="center"/>
            <w:hideMark/>
          </w:tcPr>
          <w:p w14:paraId="517B173F" w14:textId="193FEAFB" w:rsidR="002F5454" w:rsidRPr="00A128B0" w:rsidRDefault="006A38E3" w:rsidP="002F5454">
            <w:pPr>
              <w:pStyle w:val="Body"/>
              <w:spacing w:after="0"/>
              <w:jc w:val="center"/>
              <w:rPr>
                <w:rFonts w:ascii="Arial" w:hAnsi="Arial" w:cs="Arial"/>
              </w:rPr>
            </w:pPr>
            <w:r w:rsidRPr="00A128B0">
              <w:rPr>
                <w:rFonts w:ascii="Arial" w:hAnsi="Arial" w:cs="Arial"/>
              </w:rPr>
              <w:t>Females</w:t>
            </w:r>
          </w:p>
          <w:p w14:paraId="26A3689D" w14:textId="49211BA2" w:rsidR="000D4C97" w:rsidRPr="00A128B0" w:rsidRDefault="000D4C97" w:rsidP="002F5454">
            <w:pPr>
              <w:pStyle w:val="Body"/>
              <w:spacing w:after="0"/>
              <w:jc w:val="center"/>
              <w:rPr>
                <w:rFonts w:ascii="Arial" w:hAnsi="Arial" w:cs="Arial"/>
              </w:rPr>
            </w:pPr>
            <w:r w:rsidRPr="00A128B0">
              <w:rPr>
                <w:rFonts w:ascii="Arial" w:hAnsi="Arial" w:cs="Arial"/>
              </w:rPr>
              <w:t xml:space="preserve">n= </w:t>
            </w:r>
            <w:r w:rsidR="006A38E3" w:rsidRPr="00A128B0">
              <w:rPr>
                <w:rFonts w:ascii="Arial" w:hAnsi="Arial" w:cs="Arial"/>
              </w:rPr>
              <w:t>85</w:t>
            </w:r>
          </w:p>
        </w:tc>
        <w:tc>
          <w:tcPr>
            <w:tcW w:w="2351" w:type="dxa"/>
            <w:tcMar>
              <w:top w:w="15" w:type="dxa"/>
              <w:left w:w="15" w:type="dxa"/>
              <w:bottom w:w="15" w:type="dxa"/>
              <w:right w:w="15" w:type="dxa"/>
            </w:tcMar>
            <w:vAlign w:val="center"/>
            <w:hideMark/>
          </w:tcPr>
          <w:p w14:paraId="3C3773E4" w14:textId="39D672C8" w:rsidR="002F5454" w:rsidRPr="00A128B0" w:rsidRDefault="006A38E3" w:rsidP="002F5454">
            <w:pPr>
              <w:pStyle w:val="Body"/>
              <w:spacing w:after="0"/>
              <w:jc w:val="center"/>
              <w:rPr>
                <w:rFonts w:ascii="Arial" w:hAnsi="Arial" w:cs="Arial"/>
              </w:rPr>
            </w:pPr>
            <w:r w:rsidRPr="00A128B0">
              <w:rPr>
                <w:rFonts w:ascii="Arial" w:hAnsi="Arial" w:cs="Arial"/>
              </w:rPr>
              <w:t>Males</w:t>
            </w:r>
          </w:p>
          <w:p w14:paraId="65F11D1C" w14:textId="7E451212" w:rsidR="000D4C97" w:rsidRPr="00A128B0" w:rsidRDefault="000D4C97" w:rsidP="002F5454">
            <w:pPr>
              <w:pStyle w:val="Body"/>
              <w:spacing w:after="0"/>
              <w:jc w:val="center"/>
              <w:rPr>
                <w:rFonts w:ascii="Arial" w:hAnsi="Arial" w:cs="Arial"/>
              </w:rPr>
            </w:pPr>
            <w:r w:rsidRPr="00A128B0">
              <w:rPr>
                <w:rFonts w:ascii="Arial" w:hAnsi="Arial" w:cs="Arial"/>
              </w:rPr>
              <w:t xml:space="preserve">n= </w:t>
            </w:r>
            <w:r w:rsidR="006A38E3" w:rsidRPr="00A128B0">
              <w:rPr>
                <w:rFonts w:ascii="Arial" w:hAnsi="Arial" w:cs="Arial"/>
              </w:rPr>
              <w:t>53</w:t>
            </w:r>
          </w:p>
        </w:tc>
      </w:tr>
      <w:tr w:rsidR="00AE5A94" w:rsidRPr="00AE5A94" w14:paraId="440AE373" w14:textId="77777777" w:rsidTr="00AE5A94">
        <w:trPr>
          <w:tblCellSpacing w:w="15" w:type="dxa"/>
        </w:trPr>
        <w:tc>
          <w:tcPr>
            <w:tcW w:w="1515" w:type="dxa"/>
            <w:tcBorders>
              <w:top w:val="single" w:sz="4" w:space="0" w:color="auto"/>
              <w:bottom w:val="nil"/>
            </w:tcBorders>
            <w:tcMar>
              <w:top w:w="15" w:type="dxa"/>
              <w:left w:w="15" w:type="dxa"/>
              <w:bottom w:w="15" w:type="dxa"/>
              <w:right w:w="15" w:type="dxa"/>
            </w:tcMar>
          </w:tcPr>
          <w:p w14:paraId="038B47E4" w14:textId="1EF90F54" w:rsidR="00AE5A94" w:rsidRPr="00AE5A94" w:rsidRDefault="00AE5A94" w:rsidP="00D36F74">
            <w:pPr>
              <w:pStyle w:val="Body"/>
              <w:spacing w:after="0"/>
              <w:rPr>
                <w:rFonts w:ascii="Arial" w:hAnsi="Arial" w:cs="Arial"/>
              </w:rPr>
            </w:pPr>
            <w:r w:rsidRPr="00AE5A94">
              <w:rPr>
                <w:rFonts w:ascii="Arial" w:hAnsi="Arial" w:cs="Arial"/>
              </w:rPr>
              <w:t>Weight</w:t>
            </w:r>
            <w:r w:rsidR="00874698">
              <w:rPr>
                <w:rFonts w:ascii="Arial" w:hAnsi="Arial" w:cs="Arial"/>
              </w:rPr>
              <w:t>*</w:t>
            </w:r>
          </w:p>
        </w:tc>
        <w:tc>
          <w:tcPr>
            <w:tcW w:w="2096" w:type="dxa"/>
            <w:tcBorders>
              <w:top w:val="single" w:sz="4" w:space="0" w:color="auto"/>
              <w:left w:val="nil"/>
              <w:bottom w:val="nil"/>
              <w:right w:val="nil"/>
            </w:tcBorders>
            <w:shd w:val="clear" w:color="auto" w:fill="auto"/>
            <w:tcMar>
              <w:top w:w="15" w:type="dxa"/>
              <w:left w:w="15" w:type="dxa"/>
              <w:bottom w:w="15" w:type="dxa"/>
              <w:right w:w="15" w:type="dxa"/>
            </w:tcMar>
          </w:tcPr>
          <w:p w14:paraId="1151ACC1" w14:textId="6EA518B1" w:rsidR="00AE5A94" w:rsidRPr="00AE5A94" w:rsidRDefault="00AE5A94" w:rsidP="00D36F74">
            <w:pPr>
              <w:pStyle w:val="Body"/>
              <w:spacing w:after="0"/>
              <w:jc w:val="center"/>
              <w:rPr>
                <w:rFonts w:ascii="Arial" w:hAnsi="Arial" w:cs="Arial"/>
              </w:rPr>
            </w:pPr>
          </w:p>
        </w:tc>
        <w:tc>
          <w:tcPr>
            <w:tcW w:w="2096" w:type="dxa"/>
            <w:tcBorders>
              <w:top w:val="single" w:sz="4" w:space="0" w:color="auto"/>
              <w:left w:val="nil"/>
              <w:bottom w:val="nil"/>
              <w:right w:val="nil"/>
            </w:tcBorders>
            <w:shd w:val="clear" w:color="auto" w:fill="auto"/>
            <w:tcMar>
              <w:top w:w="15" w:type="dxa"/>
              <w:left w:w="15" w:type="dxa"/>
              <w:bottom w:w="15" w:type="dxa"/>
              <w:right w:w="15" w:type="dxa"/>
            </w:tcMar>
          </w:tcPr>
          <w:p w14:paraId="055D2110" w14:textId="312835CF" w:rsidR="00AE5A94" w:rsidRPr="00AE5A94" w:rsidRDefault="00AE5A94" w:rsidP="00D36F74">
            <w:pPr>
              <w:pStyle w:val="Body"/>
              <w:spacing w:after="0"/>
              <w:jc w:val="center"/>
              <w:rPr>
                <w:rFonts w:ascii="Arial" w:hAnsi="Arial" w:cs="Arial"/>
              </w:rPr>
            </w:pPr>
          </w:p>
        </w:tc>
        <w:tc>
          <w:tcPr>
            <w:tcW w:w="2351" w:type="dxa"/>
            <w:tcBorders>
              <w:top w:val="single" w:sz="4" w:space="0" w:color="auto"/>
              <w:left w:val="nil"/>
              <w:bottom w:val="nil"/>
              <w:right w:val="nil"/>
            </w:tcBorders>
            <w:shd w:val="clear" w:color="auto" w:fill="auto"/>
            <w:tcMar>
              <w:top w:w="15" w:type="dxa"/>
              <w:left w:w="15" w:type="dxa"/>
              <w:bottom w:w="15" w:type="dxa"/>
              <w:right w:w="15" w:type="dxa"/>
            </w:tcMar>
          </w:tcPr>
          <w:p w14:paraId="60CA1816" w14:textId="0659769E" w:rsidR="00AE5A94" w:rsidRPr="00AE5A94" w:rsidRDefault="00AE5A94" w:rsidP="00D36F74">
            <w:pPr>
              <w:pStyle w:val="Body"/>
              <w:spacing w:after="0"/>
              <w:jc w:val="center"/>
              <w:rPr>
                <w:rFonts w:ascii="Arial" w:hAnsi="Arial" w:cs="Arial"/>
              </w:rPr>
            </w:pPr>
          </w:p>
        </w:tc>
      </w:tr>
      <w:tr w:rsidR="00AE5A94" w:rsidRPr="00AE5A94" w14:paraId="3627825A" w14:textId="77777777" w:rsidTr="00AE5A94">
        <w:trPr>
          <w:tblCellSpacing w:w="15" w:type="dxa"/>
        </w:trPr>
        <w:tc>
          <w:tcPr>
            <w:tcW w:w="1515" w:type="dxa"/>
            <w:tcBorders>
              <w:top w:val="nil"/>
              <w:bottom w:val="nil"/>
            </w:tcBorders>
            <w:tcMar>
              <w:top w:w="15" w:type="dxa"/>
              <w:left w:w="15" w:type="dxa"/>
              <w:bottom w:w="15" w:type="dxa"/>
              <w:right w:w="15" w:type="dxa"/>
            </w:tcMar>
          </w:tcPr>
          <w:p w14:paraId="0A8E4EF3" w14:textId="5706185C" w:rsidR="00AE5A94" w:rsidRPr="00AE5A94" w:rsidRDefault="00AE5A94" w:rsidP="00D36F74">
            <w:pPr>
              <w:pStyle w:val="Body"/>
              <w:spacing w:after="0"/>
              <w:rPr>
                <w:rFonts w:ascii="Arial" w:hAnsi="Arial" w:cs="Arial"/>
              </w:rPr>
            </w:pPr>
            <w:r>
              <w:rPr>
                <w:rFonts w:ascii="Arial" w:hAnsi="Arial" w:cs="Arial"/>
              </w:rPr>
              <w:t xml:space="preserve">     Mean (SD)</w:t>
            </w:r>
          </w:p>
        </w:tc>
        <w:tc>
          <w:tcPr>
            <w:tcW w:w="2096" w:type="dxa"/>
            <w:tcBorders>
              <w:top w:val="nil"/>
              <w:left w:val="nil"/>
              <w:bottom w:val="nil"/>
              <w:right w:val="nil"/>
            </w:tcBorders>
            <w:shd w:val="clear" w:color="auto" w:fill="auto"/>
            <w:tcMar>
              <w:top w:w="15" w:type="dxa"/>
              <w:left w:w="15" w:type="dxa"/>
              <w:bottom w:w="15" w:type="dxa"/>
              <w:right w:w="15" w:type="dxa"/>
            </w:tcMar>
          </w:tcPr>
          <w:p w14:paraId="10777E19" w14:textId="7FD0D8C4" w:rsidR="00AE5A94" w:rsidRPr="00AE5A94" w:rsidRDefault="0025140E" w:rsidP="00D36F74">
            <w:pPr>
              <w:pStyle w:val="Body"/>
              <w:spacing w:after="0"/>
              <w:jc w:val="center"/>
              <w:rPr>
                <w:rFonts w:ascii="Arial" w:hAnsi="Arial" w:cs="Arial"/>
              </w:rPr>
            </w:pPr>
            <w:r w:rsidRPr="0025140E">
              <w:rPr>
                <w:lang w:val="es-MX"/>
              </w:rPr>
              <w:t>73.20</w:t>
            </w:r>
            <w:r>
              <w:rPr>
                <w:lang w:val="es-MX"/>
              </w:rPr>
              <w:t xml:space="preserve"> (</w:t>
            </w:r>
            <w:r w:rsidRPr="0025140E">
              <w:rPr>
                <w:lang w:val="es-MX"/>
              </w:rPr>
              <w:t>16.906</w:t>
            </w:r>
            <w:r>
              <w:rPr>
                <w:lang w:val="es-MX"/>
              </w:rPr>
              <w:t>)</w:t>
            </w:r>
          </w:p>
        </w:tc>
        <w:tc>
          <w:tcPr>
            <w:tcW w:w="2096" w:type="dxa"/>
            <w:tcBorders>
              <w:top w:val="nil"/>
              <w:left w:val="nil"/>
              <w:bottom w:val="nil"/>
              <w:right w:val="nil"/>
            </w:tcBorders>
            <w:shd w:val="clear" w:color="auto" w:fill="auto"/>
            <w:tcMar>
              <w:top w:w="15" w:type="dxa"/>
              <w:left w:w="15" w:type="dxa"/>
              <w:bottom w:w="15" w:type="dxa"/>
              <w:right w:w="15" w:type="dxa"/>
            </w:tcMar>
          </w:tcPr>
          <w:p w14:paraId="532D32F0" w14:textId="2E14A9B8" w:rsidR="00AE5A94" w:rsidRPr="00AE5A94" w:rsidRDefault="00874698" w:rsidP="00D36F74">
            <w:pPr>
              <w:pStyle w:val="Body"/>
              <w:spacing w:after="0"/>
              <w:jc w:val="center"/>
              <w:rPr>
                <w:rFonts w:ascii="Arial" w:hAnsi="Arial" w:cs="Arial"/>
              </w:rPr>
            </w:pPr>
            <w:r w:rsidRPr="00874698">
              <w:rPr>
                <w:rFonts w:ascii="Arial" w:hAnsi="Arial" w:cs="Arial"/>
              </w:rPr>
              <w:t>68.76 (14.231)</w:t>
            </w:r>
          </w:p>
        </w:tc>
        <w:tc>
          <w:tcPr>
            <w:tcW w:w="2351" w:type="dxa"/>
            <w:tcBorders>
              <w:top w:val="nil"/>
              <w:left w:val="nil"/>
              <w:bottom w:val="nil"/>
              <w:right w:val="nil"/>
            </w:tcBorders>
            <w:shd w:val="clear" w:color="auto" w:fill="auto"/>
            <w:tcMar>
              <w:top w:w="15" w:type="dxa"/>
              <w:left w:w="15" w:type="dxa"/>
              <w:bottom w:w="15" w:type="dxa"/>
              <w:right w:w="15" w:type="dxa"/>
            </w:tcMar>
          </w:tcPr>
          <w:p w14:paraId="08080153" w14:textId="6BB3A5C3" w:rsidR="00AE5A94" w:rsidRPr="00AE5A94" w:rsidRDefault="00874698" w:rsidP="00D36F74">
            <w:pPr>
              <w:pStyle w:val="Body"/>
              <w:spacing w:after="0"/>
              <w:jc w:val="center"/>
              <w:rPr>
                <w:rFonts w:ascii="Arial" w:hAnsi="Arial" w:cs="Arial"/>
              </w:rPr>
            </w:pPr>
            <w:r w:rsidRPr="00874698">
              <w:rPr>
                <w:rFonts w:ascii="Arial" w:hAnsi="Arial" w:cs="Arial"/>
              </w:rPr>
              <w:t>80.34</w:t>
            </w:r>
            <w:r>
              <w:rPr>
                <w:rFonts w:ascii="Arial" w:hAnsi="Arial" w:cs="Arial"/>
              </w:rPr>
              <w:t xml:space="preserve"> (</w:t>
            </w:r>
            <w:r w:rsidRPr="00874698">
              <w:rPr>
                <w:rFonts w:ascii="Arial" w:hAnsi="Arial" w:cs="Arial"/>
              </w:rPr>
              <w:t>18.485</w:t>
            </w:r>
            <w:r>
              <w:rPr>
                <w:rFonts w:ascii="Arial" w:hAnsi="Arial" w:cs="Arial"/>
              </w:rPr>
              <w:t>)</w:t>
            </w:r>
          </w:p>
        </w:tc>
      </w:tr>
      <w:tr w:rsidR="00AE5A94" w:rsidRPr="00AE5A94" w14:paraId="4F897E21" w14:textId="77777777" w:rsidTr="00AE5A94">
        <w:trPr>
          <w:tblCellSpacing w:w="15" w:type="dxa"/>
        </w:trPr>
        <w:tc>
          <w:tcPr>
            <w:tcW w:w="1515" w:type="dxa"/>
            <w:tcBorders>
              <w:top w:val="nil"/>
              <w:bottom w:val="nil"/>
            </w:tcBorders>
            <w:tcMar>
              <w:top w:w="15" w:type="dxa"/>
              <w:left w:w="15" w:type="dxa"/>
              <w:bottom w:w="15" w:type="dxa"/>
              <w:right w:w="15" w:type="dxa"/>
            </w:tcMar>
          </w:tcPr>
          <w:p w14:paraId="24BDC04E" w14:textId="5E842267" w:rsidR="00AE5A94" w:rsidRDefault="00AE5A94" w:rsidP="00D36F74">
            <w:pPr>
              <w:pStyle w:val="Body"/>
              <w:spacing w:after="0"/>
              <w:rPr>
                <w:rFonts w:ascii="Arial" w:hAnsi="Arial" w:cs="Arial"/>
              </w:rPr>
            </w:pPr>
            <w:r>
              <w:rPr>
                <w:rFonts w:ascii="Arial" w:hAnsi="Arial" w:cs="Arial"/>
              </w:rPr>
              <w:t xml:space="preserve">     Median (IQR)</w:t>
            </w:r>
          </w:p>
        </w:tc>
        <w:tc>
          <w:tcPr>
            <w:tcW w:w="2096" w:type="dxa"/>
            <w:tcBorders>
              <w:top w:val="nil"/>
              <w:left w:val="nil"/>
              <w:bottom w:val="nil"/>
              <w:right w:val="nil"/>
            </w:tcBorders>
            <w:shd w:val="clear" w:color="auto" w:fill="auto"/>
            <w:tcMar>
              <w:top w:w="15" w:type="dxa"/>
              <w:left w:w="15" w:type="dxa"/>
              <w:bottom w:w="15" w:type="dxa"/>
              <w:right w:w="15" w:type="dxa"/>
            </w:tcMar>
          </w:tcPr>
          <w:p w14:paraId="1E873B44" w14:textId="3AAA35BE" w:rsidR="00AE5A94" w:rsidRPr="00AE5A94" w:rsidRDefault="0025140E" w:rsidP="00D36F74">
            <w:pPr>
              <w:pStyle w:val="Body"/>
              <w:spacing w:after="0"/>
              <w:jc w:val="center"/>
              <w:rPr>
                <w:rFonts w:ascii="Arial" w:hAnsi="Arial" w:cs="Arial"/>
              </w:rPr>
            </w:pPr>
            <w:r>
              <w:t>70.00 (61.00-80.50)</w:t>
            </w:r>
          </w:p>
        </w:tc>
        <w:tc>
          <w:tcPr>
            <w:tcW w:w="2096" w:type="dxa"/>
            <w:tcBorders>
              <w:top w:val="nil"/>
              <w:left w:val="nil"/>
              <w:bottom w:val="nil"/>
              <w:right w:val="nil"/>
            </w:tcBorders>
            <w:shd w:val="clear" w:color="auto" w:fill="auto"/>
            <w:tcMar>
              <w:top w:w="15" w:type="dxa"/>
              <w:left w:w="15" w:type="dxa"/>
              <w:bottom w:w="15" w:type="dxa"/>
              <w:right w:w="15" w:type="dxa"/>
            </w:tcMar>
          </w:tcPr>
          <w:p w14:paraId="44F96BC1" w14:textId="4AE5000F" w:rsidR="00AE5A94" w:rsidRPr="00AE5A94" w:rsidRDefault="00874698" w:rsidP="00D36F74">
            <w:pPr>
              <w:pStyle w:val="Body"/>
              <w:spacing w:after="0"/>
              <w:jc w:val="center"/>
              <w:rPr>
                <w:rFonts w:ascii="Arial" w:hAnsi="Arial" w:cs="Arial"/>
              </w:rPr>
            </w:pPr>
            <w:r w:rsidRPr="00874698">
              <w:rPr>
                <w:rFonts w:ascii="Arial" w:hAnsi="Arial" w:cs="Arial"/>
              </w:rPr>
              <w:t>67.50 (58.00-75.00)</w:t>
            </w:r>
          </w:p>
        </w:tc>
        <w:tc>
          <w:tcPr>
            <w:tcW w:w="2351" w:type="dxa"/>
            <w:tcBorders>
              <w:top w:val="nil"/>
              <w:left w:val="nil"/>
              <w:bottom w:val="nil"/>
              <w:right w:val="nil"/>
            </w:tcBorders>
            <w:shd w:val="clear" w:color="auto" w:fill="auto"/>
            <w:tcMar>
              <w:top w:w="15" w:type="dxa"/>
              <w:left w:w="15" w:type="dxa"/>
              <w:bottom w:w="15" w:type="dxa"/>
              <w:right w:w="15" w:type="dxa"/>
            </w:tcMar>
          </w:tcPr>
          <w:p w14:paraId="2FA7B2F7" w14:textId="3540D4EF" w:rsidR="00AE5A94" w:rsidRPr="00AE5A94" w:rsidRDefault="00874698" w:rsidP="00D36F74">
            <w:pPr>
              <w:pStyle w:val="Body"/>
              <w:spacing w:after="0"/>
              <w:jc w:val="center"/>
              <w:rPr>
                <w:rFonts w:ascii="Arial" w:hAnsi="Arial" w:cs="Arial"/>
              </w:rPr>
            </w:pPr>
            <w:r w:rsidRPr="00874698">
              <w:rPr>
                <w:rFonts w:ascii="Arial" w:hAnsi="Arial" w:cs="Arial"/>
              </w:rPr>
              <w:t>77.00</w:t>
            </w:r>
            <w:r>
              <w:rPr>
                <w:rFonts w:ascii="Arial" w:hAnsi="Arial" w:cs="Arial"/>
              </w:rPr>
              <w:t xml:space="preserve"> (</w:t>
            </w:r>
            <w:r w:rsidRPr="00874698">
              <w:rPr>
                <w:rFonts w:ascii="Arial" w:hAnsi="Arial" w:cs="Arial"/>
              </w:rPr>
              <w:t>67.95</w:t>
            </w:r>
            <w:r>
              <w:rPr>
                <w:rFonts w:ascii="Arial" w:hAnsi="Arial" w:cs="Arial"/>
              </w:rPr>
              <w:t>-</w:t>
            </w:r>
            <w:r w:rsidRPr="00874698">
              <w:rPr>
                <w:rFonts w:ascii="Arial" w:hAnsi="Arial" w:cs="Arial"/>
              </w:rPr>
              <w:t>87.65</w:t>
            </w:r>
            <w:r>
              <w:rPr>
                <w:rFonts w:ascii="Arial" w:hAnsi="Arial" w:cs="Arial"/>
              </w:rPr>
              <w:t>)</w:t>
            </w:r>
          </w:p>
        </w:tc>
      </w:tr>
      <w:tr w:rsidR="00AE5A94" w:rsidRPr="00AE5A94" w14:paraId="2E7172B3" w14:textId="77777777" w:rsidTr="00AE5A94">
        <w:trPr>
          <w:tblCellSpacing w:w="15" w:type="dxa"/>
        </w:trPr>
        <w:tc>
          <w:tcPr>
            <w:tcW w:w="1515" w:type="dxa"/>
            <w:tcBorders>
              <w:top w:val="nil"/>
              <w:bottom w:val="nil"/>
            </w:tcBorders>
            <w:tcMar>
              <w:top w:w="15" w:type="dxa"/>
              <w:left w:w="15" w:type="dxa"/>
              <w:bottom w:w="15" w:type="dxa"/>
              <w:right w:w="15" w:type="dxa"/>
            </w:tcMar>
          </w:tcPr>
          <w:p w14:paraId="3B46C31E" w14:textId="53CDD950" w:rsidR="00AE5A94" w:rsidRPr="00AE5A94" w:rsidRDefault="00AE5A94" w:rsidP="00D36F74">
            <w:pPr>
              <w:pStyle w:val="Body"/>
              <w:spacing w:after="0"/>
              <w:rPr>
                <w:rFonts w:ascii="Arial" w:hAnsi="Arial" w:cs="Arial"/>
              </w:rPr>
            </w:pPr>
            <w:r>
              <w:rPr>
                <w:rFonts w:ascii="Arial" w:hAnsi="Arial" w:cs="Arial"/>
              </w:rPr>
              <w:t>Height</w:t>
            </w:r>
            <w:r w:rsidR="00874698">
              <w:rPr>
                <w:rFonts w:ascii="Arial" w:hAnsi="Arial" w:cs="Arial"/>
              </w:rPr>
              <w:t>*</w:t>
            </w:r>
          </w:p>
        </w:tc>
        <w:tc>
          <w:tcPr>
            <w:tcW w:w="2096" w:type="dxa"/>
            <w:tcBorders>
              <w:top w:val="nil"/>
              <w:left w:val="nil"/>
              <w:bottom w:val="nil"/>
              <w:right w:val="nil"/>
            </w:tcBorders>
            <w:shd w:val="clear" w:color="auto" w:fill="auto"/>
            <w:tcMar>
              <w:top w:w="15" w:type="dxa"/>
              <w:left w:w="15" w:type="dxa"/>
              <w:bottom w:w="15" w:type="dxa"/>
              <w:right w:w="15" w:type="dxa"/>
            </w:tcMar>
          </w:tcPr>
          <w:p w14:paraId="24B82FE4" w14:textId="77777777" w:rsidR="00AE5A94" w:rsidRPr="00AE5A94" w:rsidRDefault="00AE5A94" w:rsidP="00D36F74">
            <w:pPr>
              <w:pStyle w:val="Body"/>
              <w:spacing w:after="0"/>
              <w:jc w:val="center"/>
              <w:rPr>
                <w:rFonts w:ascii="Arial" w:hAnsi="Arial" w:cs="Arial"/>
              </w:rPr>
            </w:pPr>
          </w:p>
        </w:tc>
        <w:tc>
          <w:tcPr>
            <w:tcW w:w="2096" w:type="dxa"/>
            <w:tcBorders>
              <w:top w:val="nil"/>
              <w:left w:val="nil"/>
              <w:bottom w:val="nil"/>
              <w:right w:val="nil"/>
            </w:tcBorders>
            <w:shd w:val="clear" w:color="auto" w:fill="auto"/>
            <w:tcMar>
              <w:top w:w="15" w:type="dxa"/>
              <w:left w:w="15" w:type="dxa"/>
              <w:bottom w:w="15" w:type="dxa"/>
              <w:right w:w="15" w:type="dxa"/>
            </w:tcMar>
          </w:tcPr>
          <w:p w14:paraId="4911F713" w14:textId="77777777" w:rsidR="00AE5A94" w:rsidRPr="00AE5A94" w:rsidRDefault="00AE5A94" w:rsidP="00D36F74">
            <w:pPr>
              <w:pStyle w:val="Body"/>
              <w:spacing w:after="0"/>
              <w:jc w:val="center"/>
              <w:rPr>
                <w:rFonts w:ascii="Arial" w:hAnsi="Arial" w:cs="Arial"/>
              </w:rPr>
            </w:pPr>
          </w:p>
        </w:tc>
        <w:tc>
          <w:tcPr>
            <w:tcW w:w="2351" w:type="dxa"/>
            <w:tcBorders>
              <w:top w:val="nil"/>
              <w:left w:val="nil"/>
              <w:bottom w:val="nil"/>
              <w:right w:val="nil"/>
            </w:tcBorders>
            <w:shd w:val="clear" w:color="auto" w:fill="auto"/>
            <w:tcMar>
              <w:top w:w="15" w:type="dxa"/>
              <w:left w:w="15" w:type="dxa"/>
              <w:bottom w:w="15" w:type="dxa"/>
              <w:right w:w="15" w:type="dxa"/>
            </w:tcMar>
          </w:tcPr>
          <w:p w14:paraId="5140650D" w14:textId="77777777" w:rsidR="00AE5A94" w:rsidRPr="00AE5A94" w:rsidRDefault="00AE5A94" w:rsidP="00D36F74">
            <w:pPr>
              <w:pStyle w:val="Body"/>
              <w:spacing w:after="0"/>
              <w:jc w:val="center"/>
              <w:rPr>
                <w:rFonts w:ascii="Arial" w:hAnsi="Arial" w:cs="Arial"/>
              </w:rPr>
            </w:pPr>
          </w:p>
        </w:tc>
      </w:tr>
      <w:tr w:rsidR="00AE5A94" w:rsidRPr="00AE5A94" w14:paraId="405D91E1" w14:textId="77777777" w:rsidTr="00AE5A94">
        <w:trPr>
          <w:tblCellSpacing w:w="15" w:type="dxa"/>
        </w:trPr>
        <w:tc>
          <w:tcPr>
            <w:tcW w:w="1515" w:type="dxa"/>
            <w:tcBorders>
              <w:top w:val="nil"/>
              <w:bottom w:val="nil"/>
            </w:tcBorders>
            <w:tcMar>
              <w:top w:w="15" w:type="dxa"/>
              <w:left w:w="15" w:type="dxa"/>
              <w:bottom w:w="15" w:type="dxa"/>
              <w:right w:w="15" w:type="dxa"/>
            </w:tcMar>
          </w:tcPr>
          <w:p w14:paraId="68262DCE" w14:textId="2D4A9D06" w:rsidR="00AE5A94" w:rsidRDefault="00AE5A94" w:rsidP="00AE5A94">
            <w:pPr>
              <w:pStyle w:val="Body"/>
              <w:spacing w:after="0"/>
              <w:rPr>
                <w:rFonts w:ascii="Arial" w:hAnsi="Arial" w:cs="Arial"/>
              </w:rPr>
            </w:pPr>
            <w:r>
              <w:rPr>
                <w:rFonts w:ascii="Arial" w:hAnsi="Arial" w:cs="Arial"/>
              </w:rPr>
              <w:t xml:space="preserve">     Mean (SD)</w:t>
            </w:r>
          </w:p>
        </w:tc>
        <w:tc>
          <w:tcPr>
            <w:tcW w:w="2096" w:type="dxa"/>
            <w:tcBorders>
              <w:top w:val="nil"/>
              <w:left w:val="nil"/>
              <w:bottom w:val="nil"/>
              <w:right w:val="nil"/>
            </w:tcBorders>
            <w:shd w:val="clear" w:color="auto" w:fill="auto"/>
            <w:tcMar>
              <w:top w:w="15" w:type="dxa"/>
              <w:left w:w="15" w:type="dxa"/>
              <w:bottom w:w="15" w:type="dxa"/>
              <w:right w:w="15" w:type="dxa"/>
            </w:tcMar>
          </w:tcPr>
          <w:p w14:paraId="1BB819C5" w14:textId="729FE6A0" w:rsidR="00AE5A94" w:rsidRPr="00AE5A94" w:rsidRDefault="0025140E" w:rsidP="00AE5A94">
            <w:pPr>
              <w:pStyle w:val="Body"/>
              <w:spacing w:after="0"/>
              <w:jc w:val="center"/>
              <w:rPr>
                <w:rFonts w:ascii="Arial" w:hAnsi="Arial" w:cs="Arial"/>
              </w:rPr>
            </w:pPr>
            <w:r w:rsidRPr="0025140E">
              <w:rPr>
                <w:lang w:val="es-MX"/>
              </w:rPr>
              <w:t>1.</w:t>
            </w:r>
            <w:r>
              <w:rPr>
                <w:lang w:val="es-MX"/>
              </w:rPr>
              <w:t>60 (0</w:t>
            </w:r>
            <w:r w:rsidRPr="0025140E">
              <w:rPr>
                <w:lang w:val="es-MX"/>
              </w:rPr>
              <w:t>.093</w:t>
            </w:r>
            <w:r>
              <w:rPr>
                <w:lang w:val="es-MX"/>
              </w:rPr>
              <w:t>)</w:t>
            </w:r>
          </w:p>
        </w:tc>
        <w:tc>
          <w:tcPr>
            <w:tcW w:w="2096" w:type="dxa"/>
            <w:tcBorders>
              <w:top w:val="nil"/>
              <w:left w:val="nil"/>
              <w:bottom w:val="nil"/>
              <w:right w:val="nil"/>
            </w:tcBorders>
            <w:shd w:val="clear" w:color="auto" w:fill="auto"/>
            <w:tcMar>
              <w:top w:w="15" w:type="dxa"/>
              <w:left w:w="15" w:type="dxa"/>
              <w:bottom w:w="15" w:type="dxa"/>
              <w:right w:w="15" w:type="dxa"/>
            </w:tcMar>
          </w:tcPr>
          <w:p w14:paraId="00C15D8E" w14:textId="772715C8" w:rsidR="00AE5A94" w:rsidRPr="00AE5A94" w:rsidRDefault="00874698" w:rsidP="00AE5A94">
            <w:pPr>
              <w:pStyle w:val="Body"/>
              <w:spacing w:after="0"/>
              <w:jc w:val="center"/>
              <w:rPr>
                <w:rFonts w:ascii="Arial" w:hAnsi="Arial" w:cs="Arial"/>
              </w:rPr>
            </w:pPr>
            <w:r w:rsidRPr="00874698">
              <w:rPr>
                <w:rFonts w:ascii="Arial" w:hAnsi="Arial" w:cs="Arial"/>
              </w:rPr>
              <w:t>1.55 (0.072)</w:t>
            </w:r>
          </w:p>
        </w:tc>
        <w:tc>
          <w:tcPr>
            <w:tcW w:w="2351" w:type="dxa"/>
            <w:tcBorders>
              <w:top w:val="nil"/>
              <w:left w:val="nil"/>
              <w:bottom w:val="nil"/>
              <w:right w:val="nil"/>
            </w:tcBorders>
            <w:shd w:val="clear" w:color="auto" w:fill="auto"/>
            <w:tcMar>
              <w:top w:w="15" w:type="dxa"/>
              <w:left w:w="15" w:type="dxa"/>
              <w:bottom w:w="15" w:type="dxa"/>
              <w:right w:w="15" w:type="dxa"/>
            </w:tcMar>
          </w:tcPr>
          <w:p w14:paraId="152ED2E7" w14:textId="3F79CEB3" w:rsidR="00AE5A94" w:rsidRPr="00AE5A94" w:rsidRDefault="00874698" w:rsidP="00AE5A94">
            <w:pPr>
              <w:pStyle w:val="Body"/>
              <w:spacing w:after="0"/>
              <w:jc w:val="center"/>
              <w:rPr>
                <w:rFonts w:ascii="Arial" w:hAnsi="Arial" w:cs="Arial"/>
              </w:rPr>
            </w:pPr>
            <w:r w:rsidRPr="00874698">
              <w:rPr>
                <w:rFonts w:ascii="Arial" w:hAnsi="Arial" w:cs="Arial"/>
              </w:rPr>
              <w:t>1.67</w:t>
            </w:r>
            <w:r>
              <w:rPr>
                <w:rFonts w:ascii="Arial" w:hAnsi="Arial" w:cs="Arial"/>
              </w:rPr>
              <w:t xml:space="preserve"> (</w:t>
            </w:r>
            <w:r w:rsidRPr="00874698">
              <w:rPr>
                <w:rFonts w:ascii="Arial" w:hAnsi="Arial" w:cs="Arial"/>
              </w:rPr>
              <w:t>0.072</w:t>
            </w:r>
            <w:r>
              <w:rPr>
                <w:rFonts w:ascii="Arial" w:hAnsi="Arial" w:cs="Arial"/>
              </w:rPr>
              <w:t>)</w:t>
            </w:r>
          </w:p>
        </w:tc>
      </w:tr>
      <w:tr w:rsidR="00AE5A94" w:rsidRPr="00AE5A94" w14:paraId="5AA8BD05" w14:textId="77777777" w:rsidTr="00AE5A94">
        <w:trPr>
          <w:tblCellSpacing w:w="15" w:type="dxa"/>
        </w:trPr>
        <w:tc>
          <w:tcPr>
            <w:tcW w:w="1515" w:type="dxa"/>
            <w:tcBorders>
              <w:top w:val="nil"/>
              <w:bottom w:val="nil"/>
            </w:tcBorders>
            <w:tcMar>
              <w:top w:w="15" w:type="dxa"/>
              <w:left w:w="15" w:type="dxa"/>
              <w:bottom w:w="15" w:type="dxa"/>
              <w:right w:w="15" w:type="dxa"/>
            </w:tcMar>
          </w:tcPr>
          <w:p w14:paraId="126164BE" w14:textId="64E13745" w:rsidR="00AE5A94" w:rsidRDefault="00AE5A94" w:rsidP="00AE5A94">
            <w:pPr>
              <w:pStyle w:val="Body"/>
              <w:spacing w:after="0"/>
              <w:rPr>
                <w:rFonts w:ascii="Arial" w:hAnsi="Arial" w:cs="Arial"/>
              </w:rPr>
            </w:pPr>
            <w:r>
              <w:rPr>
                <w:rFonts w:ascii="Arial" w:hAnsi="Arial" w:cs="Arial"/>
              </w:rPr>
              <w:t xml:space="preserve">     Median (IQR)</w:t>
            </w:r>
          </w:p>
        </w:tc>
        <w:tc>
          <w:tcPr>
            <w:tcW w:w="2096" w:type="dxa"/>
            <w:tcBorders>
              <w:top w:val="nil"/>
              <w:left w:val="nil"/>
              <w:bottom w:val="nil"/>
              <w:right w:val="nil"/>
            </w:tcBorders>
            <w:shd w:val="clear" w:color="auto" w:fill="auto"/>
            <w:tcMar>
              <w:top w:w="15" w:type="dxa"/>
              <w:left w:w="15" w:type="dxa"/>
              <w:bottom w:w="15" w:type="dxa"/>
              <w:right w:w="15" w:type="dxa"/>
            </w:tcMar>
          </w:tcPr>
          <w:p w14:paraId="3D629329" w14:textId="24AF9B8E" w:rsidR="00AE5A94" w:rsidRPr="00AE5A94" w:rsidRDefault="0025140E" w:rsidP="00AE5A94">
            <w:pPr>
              <w:pStyle w:val="Body"/>
              <w:spacing w:after="0"/>
              <w:jc w:val="center"/>
              <w:rPr>
                <w:rFonts w:ascii="Arial" w:hAnsi="Arial" w:cs="Arial"/>
              </w:rPr>
            </w:pPr>
            <w:r>
              <w:t>1.58 (1.53-1.68)</w:t>
            </w:r>
          </w:p>
        </w:tc>
        <w:tc>
          <w:tcPr>
            <w:tcW w:w="2096" w:type="dxa"/>
            <w:tcBorders>
              <w:top w:val="nil"/>
              <w:left w:val="nil"/>
              <w:bottom w:val="nil"/>
              <w:right w:val="nil"/>
            </w:tcBorders>
            <w:shd w:val="clear" w:color="auto" w:fill="auto"/>
            <w:tcMar>
              <w:top w:w="15" w:type="dxa"/>
              <w:left w:w="15" w:type="dxa"/>
              <w:bottom w:w="15" w:type="dxa"/>
              <w:right w:w="15" w:type="dxa"/>
            </w:tcMar>
          </w:tcPr>
          <w:p w14:paraId="09B456FA" w14:textId="4110A875" w:rsidR="00AE5A94" w:rsidRPr="00AE5A94" w:rsidRDefault="00874698" w:rsidP="00AE5A94">
            <w:pPr>
              <w:pStyle w:val="Body"/>
              <w:spacing w:after="0"/>
              <w:jc w:val="center"/>
              <w:rPr>
                <w:rFonts w:ascii="Arial" w:hAnsi="Arial" w:cs="Arial"/>
              </w:rPr>
            </w:pPr>
            <w:r w:rsidRPr="00874698">
              <w:rPr>
                <w:rFonts w:ascii="Arial" w:hAnsi="Arial" w:cs="Arial"/>
              </w:rPr>
              <w:t>1.55 (1.50-1.60)</w:t>
            </w:r>
          </w:p>
        </w:tc>
        <w:tc>
          <w:tcPr>
            <w:tcW w:w="2351" w:type="dxa"/>
            <w:tcBorders>
              <w:top w:val="nil"/>
              <w:left w:val="nil"/>
              <w:bottom w:val="nil"/>
              <w:right w:val="nil"/>
            </w:tcBorders>
            <w:shd w:val="clear" w:color="auto" w:fill="auto"/>
            <w:tcMar>
              <w:top w:w="15" w:type="dxa"/>
              <w:left w:w="15" w:type="dxa"/>
              <w:bottom w:w="15" w:type="dxa"/>
              <w:right w:w="15" w:type="dxa"/>
            </w:tcMar>
          </w:tcPr>
          <w:p w14:paraId="66796872" w14:textId="0C919689" w:rsidR="00AE5A94" w:rsidRPr="00AE5A94" w:rsidRDefault="00874698" w:rsidP="00AE5A94">
            <w:pPr>
              <w:pStyle w:val="Body"/>
              <w:spacing w:after="0"/>
              <w:jc w:val="center"/>
              <w:rPr>
                <w:rFonts w:ascii="Arial" w:hAnsi="Arial" w:cs="Arial"/>
              </w:rPr>
            </w:pPr>
            <w:r w:rsidRPr="00874698">
              <w:rPr>
                <w:rFonts w:ascii="Arial" w:hAnsi="Arial" w:cs="Arial"/>
              </w:rPr>
              <w:t>1.68</w:t>
            </w:r>
            <w:r>
              <w:rPr>
                <w:rFonts w:ascii="Arial" w:hAnsi="Arial" w:cs="Arial"/>
              </w:rPr>
              <w:t xml:space="preserve"> (</w:t>
            </w:r>
            <w:r w:rsidRPr="00874698">
              <w:rPr>
                <w:rFonts w:ascii="Arial" w:hAnsi="Arial" w:cs="Arial"/>
              </w:rPr>
              <w:t>1.62</w:t>
            </w:r>
            <w:r>
              <w:rPr>
                <w:rFonts w:ascii="Arial" w:hAnsi="Arial" w:cs="Arial"/>
              </w:rPr>
              <w:t>-</w:t>
            </w:r>
            <w:r w:rsidRPr="00874698">
              <w:rPr>
                <w:rFonts w:ascii="Arial" w:hAnsi="Arial" w:cs="Arial"/>
              </w:rPr>
              <w:t>1.72</w:t>
            </w:r>
            <w:r>
              <w:rPr>
                <w:rFonts w:ascii="Arial" w:hAnsi="Arial" w:cs="Arial"/>
              </w:rPr>
              <w:t>)</w:t>
            </w:r>
          </w:p>
        </w:tc>
      </w:tr>
      <w:tr w:rsidR="00AE5A94" w:rsidRPr="00AE5A94" w14:paraId="3BA302D6" w14:textId="77777777" w:rsidTr="00AE5A94">
        <w:trPr>
          <w:tblCellSpacing w:w="15" w:type="dxa"/>
        </w:trPr>
        <w:tc>
          <w:tcPr>
            <w:tcW w:w="1515" w:type="dxa"/>
            <w:tcBorders>
              <w:top w:val="nil"/>
              <w:bottom w:val="nil"/>
            </w:tcBorders>
            <w:tcMar>
              <w:top w:w="15" w:type="dxa"/>
              <w:left w:w="15" w:type="dxa"/>
              <w:bottom w:w="15" w:type="dxa"/>
              <w:right w:w="15" w:type="dxa"/>
            </w:tcMar>
          </w:tcPr>
          <w:p w14:paraId="0C1DAA66" w14:textId="2D7E2B19" w:rsidR="00AE5A94" w:rsidRDefault="00AE5A94" w:rsidP="00AE5A94">
            <w:pPr>
              <w:pStyle w:val="Body"/>
              <w:spacing w:after="0"/>
              <w:rPr>
                <w:rFonts w:ascii="Arial" w:hAnsi="Arial" w:cs="Arial"/>
              </w:rPr>
            </w:pPr>
            <w:r>
              <w:rPr>
                <w:rFonts w:ascii="Arial" w:hAnsi="Arial" w:cs="Arial"/>
              </w:rPr>
              <w:t>BMI</w:t>
            </w:r>
          </w:p>
        </w:tc>
        <w:tc>
          <w:tcPr>
            <w:tcW w:w="2096" w:type="dxa"/>
            <w:tcBorders>
              <w:top w:val="nil"/>
              <w:left w:val="nil"/>
              <w:bottom w:val="nil"/>
              <w:right w:val="nil"/>
            </w:tcBorders>
            <w:shd w:val="clear" w:color="auto" w:fill="auto"/>
            <w:tcMar>
              <w:top w:w="15" w:type="dxa"/>
              <w:left w:w="15" w:type="dxa"/>
              <w:bottom w:w="15" w:type="dxa"/>
              <w:right w:w="15" w:type="dxa"/>
            </w:tcMar>
          </w:tcPr>
          <w:p w14:paraId="691EBE01" w14:textId="77777777" w:rsidR="00AE5A94" w:rsidRPr="00AE5A94" w:rsidRDefault="00AE5A94" w:rsidP="00AE5A94">
            <w:pPr>
              <w:pStyle w:val="Body"/>
              <w:spacing w:after="0"/>
              <w:jc w:val="center"/>
              <w:rPr>
                <w:rFonts w:ascii="Arial" w:hAnsi="Arial" w:cs="Arial"/>
              </w:rPr>
            </w:pPr>
          </w:p>
        </w:tc>
        <w:tc>
          <w:tcPr>
            <w:tcW w:w="2096" w:type="dxa"/>
            <w:tcBorders>
              <w:top w:val="nil"/>
              <w:left w:val="nil"/>
              <w:bottom w:val="nil"/>
              <w:right w:val="nil"/>
            </w:tcBorders>
            <w:shd w:val="clear" w:color="auto" w:fill="auto"/>
            <w:tcMar>
              <w:top w:w="15" w:type="dxa"/>
              <w:left w:w="15" w:type="dxa"/>
              <w:bottom w:w="15" w:type="dxa"/>
              <w:right w:w="15" w:type="dxa"/>
            </w:tcMar>
          </w:tcPr>
          <w:p w14:paraId="5B6C19FB" w14:textId="77777777" w:rsidR="00AE5A94" w:rsidRPr="00AE5A94" w:rsidRDefault="00AE5A94" w:rsidP="00AE5A94">
            <w:pPr>
              <w:pStyle w:val="Body"/>
              <w:spacing w:after="0"/>
              <w:jc w:val="center"/>
              <w:rPr>
                <w:rFonts w:ascii="Arial" w:hAnsi="Arial" w:cs="Arial"/>
              </w:rPr>
            </w:pPr>
          </w:p>
        </w:tc>
        <w:tc>
          <w:tcPr>
            <w:tcW w:w="2351" w:type="dxa"/>
            <w:tcBorders>
              <w:top w:val="nil"/>
              <w:left w:val="nil"/>
              <w:bottom w:val="nil"/>
              <w:right w:val="nil"/>
            </w:tcBorders>
            <w:shd w:val="clear" w:color="auto" w:fill="auto"/>
            <w:tcMar>
              <w:top w:w="15" w:type="dxa"/>
              <w:left w:w="15" w:type="dxa"/>
              <w:bottom w:w="15" w:type="dxa"/>
              <w:right w:w="15" w:type="dxa"/>
            </w:tcMar>
          </w:tcPr>
          <w:p w14:paraId="5D2DA86B" w14:textId="77777777" w:rsidR="00AE5A94" w:rsidRPr="00AE5A94" w:rsidRDefault="00AE5A94" w:rsidP="00AE5A94">
            <w:pPr>
              <w:pStyle w:val="Body"/>
              <w:spacing w:after="0"/>
              <w:jc w:val="center"/>
              <w:rPr>
                <w:rFonts w:ascii="Arial" w:hAnsi="Arial" w:cs="Arial"/>
              </w:rPr>
            </w:pPr>
          </w:p>
        </w:tc>
      </w:tr>
      <w:tr w:rsidR="00AE5A94" w:rsidRPr="00AE5A94" w14:paraId="0EC4BAAE" w14:textId="77777777" w:rsidTr="00AE5A94">
        <w:trPr>
          <w:tblCellSpacing w:w="15" w:type="dxa"/>
        </w:trPr>
        <w:tc>
          <w:tcPr>
            <w:tcW w:w="1515" w:type="dxa"/>
            <w:tcBorders>
              <w:top w:val="nil"/>
              <w:bottom w:val="nil"/>
            </w:tcBorders>
            <w:tcMar>
              <w:top w:w="15" w:type="dxa"/>
              <w:left w:w="15" w:type="dxa"/>
              <w:bottom w:w="15" w:type="dxa"/>
              <w:right w:w="15" w:type="dxa"/>
            </w:tcMar>
          </w:tcPr>
          <w:p w14:paraId="51776DBC" w14:textId="3EA39DAD" w:rsidR="00AE5A94" w:rsidRDefault="00AE5A94" w:rsidP="00AE5A94">
            <w:pPr>
              <w:pStyle w:val="Body"/>
              <w:spacing w:after="0"/>
              <w:rPr>
                <w:rFonts w:ascii="Arial" w:hAnsi="Arial" w:cs="Arial"/>
              </w:rPr>
            </w:pPr>
            <w:r>
              <w:rPr>
                <w:rFonts w:ascii="Arial" w:hAnsi="Arial" w:cs="Arial"/>
              </w:rPr>
              <w:t xml:space="preserve">     Mean (SD)</w:t>
            </w:r>
          </w:p>
        </w:tc>
        <w:tc>
          <w:tcPr>
            <w:tcW w:w="2096" w:type="dxa"/>
            <w:tcBorders>
              <w:top w:val="nil"/>
              <w:left w:val="nil"/>
              <w:bottom w:val="nil"/>
              <w:right w:val="nil"/>
            </w:tcBorders>
            <w:shd w:val="clear" w:color="auto" w:fill="auto"/>
            <w:tcMar>
              <w:top w:w="15" w:type="dxa"/>
              <w:left w:w="15" w:type="dxa"/>
              <w:bottom w:w="15" w:type="dxa"/>
              <w:right w:w="15" w:type="dxa"/>
            </w:tcMar>
          </w:tcPr>
          <w:p w14:paraId="6DB9AF2B" w14:textId="1EDF21C0" w:rsidR="00AE5A94" w:rsidRPr="00AE5A94" w:rsidRDefault="00874698" w:rsidP="00AE5A94">
            <w:pPr>
              <w:pStyle w:val="Body"/>
              <w:spacing w:after="0"/>
              <w:jc w:val="center"/>
              <w:rPr>
                <w:rFonts w:ascii="Arial" w:hAnsi="Arial" w:cs="Arial"/>
              </w:rPr>
            </w:pPr>
            <w:r w:rsidRPr="00874698">
              <w:rPr>
                <w:rFonts w:ascii="Arial" w:hAnsi="Arial" w:cs="Arial"/>
              </w:rPr>
              <w:t>28.51 (5.362)</w:t>
            </w:r>
          </w:p>
        </w:tc>
        <w:tc>
          <w:tcPr>
            <w:tcW w:w="2096" w:type="dxa"/>
            <w:tcBorders>
              <w:top w:val="nil"/>
              <w:left w:val="nil"/>
              <w:bottom w:val="nil"/>
              <w:right w:val="nil"/>
            </w:tcBorders>
            <w:shd w:val="clear" w:color="auto" w:fill="auto"/>
            <w:tcMar>
              <w:top w:w="15" w:type="dxa"/>
              <w:left w:w="15" w:type="dxa"/>
              <w:bottom w:w="15" w:type="dxa"/>
              <w:right w:w="15" w:type="dxa"/>
            </w:tcMar>
          </w:tcPr>
          <w:p w14:paraId="0781F7B7" w14:textId="5B7FBE52" w:rsidR="00AE5A94" w:rsidRPr="00AE5A94" w:rsidRDefault="0071217E" w:rsidP="00AE5A94">
            <w:pPr>
              <w:pStyle w:val="Body"/>
              <w:spacing w:after="0"/>
              <w:jc w:val="center"/>
              <w:rPr>
                <w:rFonts w:ascii="Arial" w:hAnsi="Arial" w:cs="Arial"/>
              </w:rPr>
            </w:pPr>
            <w:r w:rsidRPr="0071217E">
              <w:rPr>
                <w:rFonts w:ascii="Arial" w:hAnsi="Arial" w:cs="Arial"/>
              </w:rPr>
              <w:t>28.54 (5.238)</w:t>
            </w:r>
          </w:p>
        </w:tc>
        <w:tc>
          <w:tcPr>
            <w:tcW w:w="2351" w:type="dxa"/>
            <w:tcBorders>
              <w:top w:val="nil"/>
              <w:left w:val="nil"/>
              <w:bottom w:val="nil"/>
              <w:right w:val="nil"/>
            </w:tcBorders>
            <w:shd w:val="clear" w:color="auto" w:fill="auto"/>
            <w:tcMar>
              <w:top w:w="15" w:type="dxa"/>
              <w:left w:w="15" w:type="dxa"/>
              <w:bottom w:w="15" w:type="dxa"/>
              <w:right w:w="15" w:type="dxa"/>
            </w:tcMar>
          </w:tcPr>
          <w:p w14:paraId="2008DAF5" w14:textId="7A77B150" w:rsidR="00AE5A94" w:rsidRPr="00AE5A94" w:rsidRDefault="0071217E" w:rsidP="00AE5A94">
            <w:pPr>
              <w:pStyle w:val="Body"/>
              <w:spacing w:after="0"/>
              <w:jc w:val="center"/>
              <w:rPr>
                <w:rFonts w:ascii="Arial" w:hAnsi="Arial" w:cs="Arial"/>
              </w:rPr>
            </w:pPr>
            <w:r w:rsidRPr="0071217E">
              <w:rPr>
                <w:rFonts w:ascii="Arial" w:hAnsi="Arial" w:cs="Arial"/>
              </w:rPr>
              <w:t>28.47 (</w:t>
            </w:r>
            <w:r w:rsidRPr="0071217E">
              <w:rPr>
                <w:rFonts w:ascii="Arial" w:hAnsi="Arial" w:cs="Arial"/>
              </w:rPr>
              <w:tab/>
              <w:t>5.607)</w:t>
            </w:r>
          </w:p>
        </w:tc>
      </w:tr>
      <w:tr w:rsidR="00AE5A94" w:rsidRPr="00AE5A94" w14:paraId="7358F530" w14:textId="77777777" w:rsidTr="00AE5A94">
        <w:trPr>
          <w:tblCellSpacing w:w="15" w:type="dxa"/>
        </w:trPr>
        <w:tc>
          <w:tcPr>
            <w:tcW w:w="1515" w:type="dxa"/>
            <w:tcBorders>
              <w:top w:val="nil"/>
              <w:bottom w:val="nil"/>
            </w:tcBorders>
            <w:tcMar>
              <w:top w:w="15" w:type="dxa"/>
              <w:left w:w="15" w:type="dxa"/>
              <w:bottom w:w="15" w:type="dxa"/>
              <w:right w:w="15" w:type="dxa"/>
            </w:tcMar>
          </w:tcPr>
          <w:p w14:paraId="56883081" w14:textId="3FC4FDF8" w:rsidR="00AE5A94" w:rsidRDefault="00AE5A94" w:rsidP="00AE5A94">
            <w:pPr>
              <w:pStyle w:val="Body"/>
              <w:spacing w:after="0"/>
              <w:rPr>
                <w:rFonts w:ascii="Arial" w:hAnsi="Arial" w:cs="Arial"/>
              </w:rPr>
            </w:pPr>
            <w:r>
              <w:rPr>
                <w:rFonts w:ascii="Arial" w:hAnsi="Arial" w:cs="Arial"/>
              </w:rPr>
              <w:t xml:space="preserve">     Median (IQR)</w:t>
            </w:r>
          </w:p>
        </w:tc>
        <w:tc>
          <w:tcPr>
            <w:tcW w:w="2096" w:type="dxa"/>
            <w:tcBorders>
              <w:top w:val="nil"/>
              <w:left w:val="nil"/>
              <w:bottom w:val="nil"/>
              <w:right w:val="nil"/>
            </w:tcBorders>
            <w:shd w:val="clear" w:color="auto" w:fill="auto"/>
            <w:tcMar>
              <w:top w:w="15" w:type="dxa"/>
              <w:left w:w="15" w:type="dxa"/>
              <w:bottom w:w="15" w:type="dxa"/>
              <w:right w:w="15" w:type="dxa"/>
            </w:tcMar>
          </w:tcPr>
          <w:p w14:paraId="41B9B661" w14:textId="482C2B7B" w:rsidR="00AE5A94" w:rsidRPr="00AE5A94" w:rsidRDefault="00874698" w:rsidP="00AE5A94">
            <w:pPr>
              <w:pStyle w:val="Body"/>
              <w:spacing w:after="0"/>
              <w:jc w:val="center"/>
              <w:rPr>
                <w:rFonts w:ascii="Arial" w:hAnsi="Arial" w:cs="Arial"/>
              </w:rPr>
            </w:pPr>
            <w:r w:rsidRPr="00874698">
              <w:rPr>
                <w:rFonts w:ascii="Arial" w:hAnsi="Arial" w:cs="Arial"/>
              </w:rPr>
              <w:t>27.90 (24.75-31.18)</w:t>
            </w:r>
          </w:p>
        </w:tc>
        <w:tc>
          <w:tcPr>
            <w:tcW w:w="2096" w:type="dxa"/>
            <w:tcBorders>
              <w:top w:val="nil"/>
              <w:left w:val="nil"/>
              <w:bottom w:val="nil"/>
              <w:right w:val="nil"/>
            </w:tcBorders>
            <w:shd w:val="clear" w:color="auto" w:fill="auto"/>
            <w:tcMar>
              <w:top w:w="15" w:type="dxa"/>
              <w:left w:w="15" w:type="dxa"/>
              <w:bottom w:w="15" w:type="dxa"/>
              <w:right w:w="15" w:type="dxa"/>
            </w:tcMar>
          </w:tcPr>
          <w:p w14:paraId="0C968833" w14:textId="6B575EB5" w:rsidR="00AE5A94" w:rsidRPr="00AE5A94" w:rsidRDefault="0071217E" w:rsidP="00AE5A94">
            <w:pPr>
              <w:pStyle w:val="Body"/>
              <w:spacing w:after="0"/>
              <w:jc w:val="center"/>
              <w:rPr>
                <w:rFonts w:ascii="Arial" w:hAnsi="Arial" w:cs="Arial"/>
              </w:rPr>
            </w:pPr>
            <w:r w:rsidRPr="0071217E">
              <w:rPr>
                <w:rFonts w:ascii="Arial" w:hAnsi="Arial" w:cs="Arial"/>
              </w:rPr>
              <w:t>27.90 (24.70-31.35)</w:t>
            </w:r>
          </w:p>
        </w:tc>
        <w:tc>
          <w:tcPr>
            <w:tcW w:w="2351" w:type="dxa"/>
            <w:tcBorders>
              <w:top w:val="nil"/>
              <w:left w:val="nil"/>
              <w:bottom w:val="nil"/>
              <w:right w:val="nil"/>
            </w:tcBorders>
            <w:shd w:val="clear" w:color="auto" w:fill="auto"/>
            <w:tcMar>
              <w:top w:w="15" w:type="dxa"/>
              <w:left w:w="15" w:type="dxa"/>
              <w:bottom w:w="15" w:type="dxa"/>
              <w:right w:w="15" w:type="dxa"/>
            </w:tcMar>
          </w:tcPr>
          <w:p w14:paraId="05F3C1A8" w14:textId="3FC0969C" w:rsidR="00AE5A94" w:rsidRPr="00AE5A94" w:rsidRDefault="0071217E" w:rsidP="00AE5A94">
            <w:pPr>
              <w:pStyle w:val="Body"/>
              <w:spacing w:after="0"/>
              <w:jc w:val="center"/>
              <w:rPr>
                <w:rFonts w:ascii="Arial" w:hAnsi="Arial" w:cs="Arial"/>
              </w:rPr>
            </w:pPr>
            <w:r w:rsidRPr="0071217E">
              <w:rPr>
                <w:rFonts w:ascii="Arial" w:hAnsi="Arial" w:cs="Arial"/>
              </w:rPr>
              <w:t>27.70 (24.70-30.70)</w:t>
            </w:r>
          </w:p>
        </w:tc>
      </w:tr>
      <w:tr w:rsidR="00AE5A94" w:rsidRPr="002F5454" w14:paraId="65CB09D8" w14:textId="77777777" w:rsidTr="00AE5A94">
        <w:trPr>
          <w:tblCellSpacing w:w="15" w:type="dxa"/>
        </w:trPr>
        <w:tc>
          <w:tcPr>
            <w:tcW w:w="1515" w:type="dxa"/>
            <w:tcBorders>
              <w:top w:val="nil"/>
              <w:bottom w:val="nil"/>
            </w:tcBorders>
            <w:tcMar>
              <w:top w:w="15" w:type="dxa"/>
              <w:left w:w="15" w:type="dxa"/>
              <w:bottom w:w="15" w:type="dxa"/>
              <w:right w:w="15" w:type="dxa"/>
            </w:tcMar>
            <w:hideMark/>
          </w:tcPr>
          <w:p w14:paraId="3EB0B413" w14:textId="77777777" w:rsidR="00AE5A94" w:rsidRPr="00A128B0" w:rsidRDefault="00AE5A94" w:rsidP="00AE5A94">
            <w:pPr>
              <w:pStyle w:val="Body"/>
              <w:spacing w:after="0"/>
              <w:rPr>
                <w:rFonts w:ascii="Arial" w:hAnsi="Arial" w:cs="Arial"/>
                <w:b/>
                <w:bCs/>
              </w:rPr>
            </w:pPr>
            <w:r w:rsidRPr="00A128B0">
              <w:rPr>
                <w:rStyle w:val="Textoennegrita"/>
                <w:rFonts w:ascii="Arial" w:hAnsi="Arial" w:cs="Arial"/>
                <w:b w:val="0"/>
                <w:bCs w:val="0"/>
              </w:rPr>
              <w:t>Comorbidity</w:t>
            </w:r>
          </w:p>
        </w:tc>
        <w:tc>
          <w:tcPr>
            <w:tcW w:w="2096" w:type="dxa"/>
            <w:tcBorders>
              <w:top w:val="nil"/>
              <w:left w:val="nil"/>
              <w:bottom w:val="nil"/>
              <w:right w:val="nil"/>
            </w:tcBorders>
            <w:shd w:val="clear" w:color="auto" w:fill="auto"/>
            <w:tcMar>
              <w:top w:w="15" w:type="dxa"/>
              <w:left w:w="15" w:type="dxa"/>
              <w:bottom w:w="15" w:type="dxa"/>
              <w:right w:w="15" w:type="dxa"/>
            </w:tcMar>
            <w:hideMark/>
          </w:tcPr>
          <w:p w14:paraId="1BF90F8D" w14:textId="77777777" w:rsidR="00AE5A94" w:rsidRPr="00A128B0" w:rsidRDefault="00AE5A94" w:rsidP="00AE5A94">
            <w:pPr>
              <w:pStyle w:val="Body"/>
              <w:spacing w:after="0"/>
              <w:jc w:val="center"/>
              <w:rPr>
                <w:rFonts w:ascii="Arial" w:hAnsi="Arial" w:cs="Arial"/>
              </w:rPr>
            </w:pPr>
            <w:r w:rsidRPr="00A128B0">
              <w:rPr>
                <w:rFonts w:ascii="Arial" w:hAnsi="Arial" w:cs="Arial"/>
                <w:color w:val="000000"/>
              </w:rPr>
              <w:t>51; 37, (29-44.9)</w:t>
            </w:r>
          </w:p>
        </w:tc>
        <w:tc>
          <w:tcPr>
            <w:tcW w:w="2096" w:type="dxa"/>
            <w:tcBorders>
              <w:top w:val="nil"/>
              <w:left w:val="nil"/>
              <w:bottom w:val="nil"/>
              <w:right w:val="nil"/>
            </w:tcBorders>
            <w:shd w:val="clear" w:color="auto" w:fill="auto"/>
            <w:tcMar>
              <w:top w:w="15" w:type="dxa"/>
              <w:left w:w="15" w:type="dxa"/>
              <w:bottom w:w="15" w:type="dxa"/>
              <w:right w:w="15" w:type="dxa"/>
            </w:tcMar>
          </w:tcPr>
          <w:p w14:paraId="3CD6551C" w14:textId="77777777" w:rsidR="00AE5A94" w:rsidRPr="00A128B0" w:rsidRDefault="00AE5A94" w:rsidP="00AE5A94">
            <w:pPr>
              <w:pStyle w:val="Body"/>
              <w:spacing w:after="0"/>
              <w:jc w:val="center"/>
              <w:rPr>
                <w:rFonts w:ascii="Arial" w:hAnsi="Arial" w:cs="Arial"/>
              </w:rPr>
            </w:pPr>
            <w:r w:rsidRPr="00A128B0">
              <w:rPr>
                <w:rFonts w:ascii="Arial" w:hAnsi="Arial" w:cs="Arial"/>
                <w:color w:val="000000"/>
              </w:rPr>
              <w:t>28; 32.9, (23.5-43.5)</w:t>
            </w:r>
          </w:p>
        </w:tc>
        <w:tc>
          <w:tcPr>
            <w:tcW w:w="2351" w:type="dxa"/>
            <w:tcBorders>
              <w:top w:val="nil"/>
              <w:left w:val="nil"/>
              <w:bottom w:val="nil"/>
              <w:right w:val="nil"/>
            </w:tcBorders>
            <w:shd w:val="clear" w:color="auto" w:fill="auto"/>
            <w:tcMar>
              <w:top w:w="15" w:type="dxa"/>
              <w:left w:w="15" w:type="dxa"/>
              <w:bottom w:w="15" w:type="dxa"/>
              <w:right w:w="15" w:type="dxa"/>
            </w:tcMar>
          </w:tcPr>
          <w:p w14:paraId="058BF88E" w14:textId="77777777" w:rsidR="00AE5A94" w:rsidRPr="00A128B0" w:rsidRDefault="00AE5A94" w:rsidP="00AE5A94">
            <w:pPr>
              <w:pStyle w:val="Body"/>
              <w:spacing w:after="0"/>
              <w:jc w:val="center"/>
              <w:rPr>
                <w:rFonts w:ascii="Arial" w:hAnsi="Arial" w:cs="Arial"/>
              </w:rPr>
            </w:pPr>
            <w:r w:rsidRPr="00A128B0">
              <w:rPr>
                <w:rFonts w:ascii="Arial" w:hAnsi="Arial" w:cs="Arial"/>
                <w:color w:val="000000"/>
              </w:rPr>
              <w:t>23; 43.4, (30.2-58.5)</w:t>
            </w:r>
          </w:p>
        </w:tc>
      </w:tr>
      <w:tr w:rsidR="00AE5A94" w:rsidRPr="002F5454" w14:paraId="46AE3CEA" w14:textId="77777777" w:rsidTr="00AE5A94">
        <w:trPr>
          <w:tblCellSpacing w:w="15" w:type="dxa"/>
        </w:trPr>
        <w:tc>
          <w:tcPr>
            <w:tcW w:w="1515" w:type="dxa"/>
            <w:tcBorders>
              <w:top w:val="nil"/>
              <w:bottom w:val="nil"/>
            </w:tcBorders>
            <w:tcMar>
              <w:top w:w="15" w:type="dxa"/>
              <w:left w:w="15" w:type="dxa"/>
              <w:bottom w:w="15" w:type="dxa"/>
              <w:right w:w="15" w:type="dxa"/>
            </w:tcMar>
            <w:hideMark/>
          </w:tcPr>
          <w:p w14:paraId="69B89ADA" w14:textId="67FB49EB" w:rsidR="00AE5A94" w:rsidRPr="00A128B0" w:rsidRDefault="00AE5A94" w:rsidP="00AE5A94">
            <w:pPr>
              <w:pStyle w:val="Body"/>
              <w:spacing w:after="0"/>
              <w:rPr>
                <w:rFonts w:ascii="Arial" w:hAnsi="Arial" w:cs="Arial"/>
                <w:b/>
                <w:bCs/>
              </w:rPr>
            </w:pPr>
            <w:r w:rsidRPr="00A128B0">
              <w:rPr>
                <w:rStyle w:val="Textoennegrita"/>
                <w:rFonts w:ascii="Arial" w:hAnsi="Arial" w:cs="Arial"/>
                <w:b w:val="0"/>
                <w:bCs w:val="0"/>
              </w:rPr>
              <w:t>Type 2 Diabetes</w:t>
            </w:r>
          </w:p>
        </w:tc>
        <w:tc>
          <w:tcPr>
            <w:tcW w:w="2096" w:type="dxa"/>
            <w:tcBorders>
              <w:top w:val="nil"/>
              <w:left w:val="nil"/>
              <w:bottom w:val="nil"/>
              <w:right w:val="nil"/>
            </w:tcBorders>
            <w:shd w:val="clear" w:color="auto" w:fill="auto"/>
            <w:tcMar>
              <w:top w:w="15" w:type="dxa"/>
              <w:left w:w="15" w:type="dxa"/>
              <w:bottom w:w="15" w:type="dxa"/>
              <w:right w:w="15" w:type="dxa"/>
            </w:tcMar>
            <w:hideMark/>
          </w:tcPr>
          <w:p w14:paraId="6A198B0A" w14:textId="69B18957" w:rsidR="00AE5A94" w:rsidRPr="00A128B0" w:rsidRDefault="00AE5A94" w:rsidP="00AE5A94">
            <w:pPr>
              <w:pStyle w:val="Body"/>
              <w:spacing w:after="0"/>
              <w:jc w:val="center"/>
              <w:rPr>
                <w:rFonts w:ascii="Arial" w:hAnsi="Arial" w:cs="Arial"/>
              </w:rPr>
            </w:pPr>
            <w:r w:rsidRPr="00A128B0">
              <w:rPr>
                <w:rFonts w:ascii="Arial" w:hAnsi="Arial" w:cs="Arial"/>
                <w:color w:val="000000"/>
              </w:rPr>
              <w:t>23; 16.7, (10.9-23.2)</w:t>
            </w:r>
          </w:p>
        </w:tc>
        <w:tc>
          <w:tcPr>
            <w:tcW w:w="2096" w:type="dxa"/>
            <w:tcBorders>
              <w:top w:val="nil"/>
              <w:left w:val="nil"/>
              <w:bottom w:val="nil"/>
              <w:right w:val="nil"/>
            </w:tcBorders>
            <w:shd w:val="clear" w:color="auto" w:fill="auto"/>
            <w:tcMar>
              <w:top w:w="15" w:type="dxa"/>
              <w:left w:w="15" w:type="dxa"/>
              <w:bottom w:w="15" w:type="dxa"/>
              <w:right w:w="15" w:type="dxa"/>
            </w:tcMar>
          </w:tcPr>
          <w:p w14:paraId="70F7E369" w14:textId="126D19DC" w:rsidR="00AE5A94" w:rsidRPr="00A128B0" w:rsidRDefault="00AE5A94" w:rsidP="00AE5A94">
            <w:pPr>
              <w:pStyle w:val="Body"/>
              <w:spacing w:after="0"/>
              <w:jc w:val="center"/>
              <w:rPr>
                <w:rFonts w:ascii="Arial" w:hAnsi="Arial" w:cs="Arial"/>
              </w:rPr>
            </w:pPr>
            <w:r w:rsidRPr="00A128B0">
              <w:rPr>
                <w:rFonts w:ascii="Arial" w:hAnsi="Arial" w:cs="Arial"/>
                <w:color w:val="000000"/>
              </w:rPr>
              <w:t>11; 12.9, (5.9-21.2)</w:t>
            </w:r>
          </w:p>
        </w:tc>
        <w:tc>
          <w:tcPr>
            <w:tcW w:w="2351" w:type="dxa"/>
            <w:tcBorders>
              <w:top w:val="nil"/>
              <w:left w:val="nil"/>
              <w:bottom w:val="nil"/>
              <w:right w:val="nil"/>
            </w:tcBorders>
            <w:shd w:val="clear" w:color="auto" w:fill="auto"/>
            <w:tcMar>
              <w:top w:w="15" w:type="dxa"/>
              <w:left w:w="15" w:type="dxa"/>
              <w:bottom w:w="15" w:type="dxa"/>
              <w:right w:w="15" w:type="dxa"/>
            </w:tcMar>
          </w:tcPr>
          <w:p w14:paraId="70DC18BF" w14:textId="104BBEDB" w:rsidR="00AE5A94" w:rsidRPr="00A128B0" w:rsidRDefault="00AE5A94" w:rsidP="00AE5A94">
            <w:pPr>
              <w:pStyle w:val="Body"/>
              <w:spacing w:after="0"/>
              <w:jc w:val="center"/>
              <w:rPr>
                <w:rFonts w:ascii="Arial" w:hAnsi="Arial" w:cs="Arial"/>
              </w:rPr>
            </w:pPr>
            <w:r w:rsidRPr="00A128B0">
              <w:rPr>
                <w:rFonts w:ascii="Arial" w:hAnsi="Arial" w:cs="Arial"/>
                <w:color w:val="000000"/>
              </w:rPr>
              <w:t>12; 22.6, (11.3-35.8)</w:t>
            </w:r>
          </w:p>
        </w:tc>
      </w:tr>
      <w:tr w:rsidR="00AE5A94" w:rsidRPr="002F5454" w14:paraId="0D269C59" w14:textId="77777777" w:rsidTr="00D36F74">
        <w:trPr>
          <w:tblCellSpacing w:w="15" w:type="dxa"/>
        </w:trPr>
        <w:tc>
          <w:tcPr>
            <w:tcW w:w="1515" w:type="dxa"/>
            <w:tcMar>
              <w:top w:w="15" w:type="dxa"/>
              <w:left w:w="15" w:type="dxa"/>
              <w:bottom w:w="15" w:type="dxa"/>
              <w:right w:w="15" w:type="dxa"/>
            </w:tcMar>
            <w:hideMark/>
          </w:tcPr>
          <w:p w14:paraId="2563BBA5" w14:textId="068F631E" w:rsidR="00AE5A94" w:rsidRPr="00A128B0" w:rsidRDefault="00AE5A94" w:rsidP="00AE5A94">
            <w:pPr>
              <w:pStyle w:val="Body"/>
              <w:spacing w:after="0"/>
              <w:rPr>
                <w:rFonts w:ascii="Arial" w:hAnsi="Arial" w:cs="Arial"/>
                <w:b/>
                <w:bCs/>
              </w:rPr>
            </w:pPr>
            <w:r w:rsidRPr="00A128B0">
              <w:rPr>
                <w:rStyle w:val="Textoennegrita"/>
                <w:rFonts w:ascii="Arial" w:hAnsi="Arial" w:cs="Arial"/>
                <w:b w:val="0"/>
                <w:bCs w:val="0"/>
              </w:rPr>
              <w:t>COPD</w:t>
            </w:r>
          </w:p>
        </w:tc>
        <w:tc>
          <w:tcPr>
            <w:tcW w:w="2096" w:type="dxa"/>
            <w:tcBorders>
              <w:top w:val="nil"/>
              <w:left w:val="nil"/>
              <w:bottom w:val="nil"/>
              <w:right w:val="nil"/>
            </w:tcBorders>
            <w:shd w:val="clear" w:color="auto" w:fill="auto"/>
            <w:tcMar>
              <w:top w:w="15" w:type="dxa"/>
              <w:left w:w="15" w:type="dxa"/>
              <w:bottom w:w="15" w:type="dxa"/>
              <w:right w:w="15" w:type="dxa"/>
            </w:tcMar>
            <w:hideMark/>
          </w:tcPr>
          <w:p w14:paraId="7E226C39" w14:textId="14A94215" w:rsidR="00AE5A94" w:rsidRPr="00A128B0" w:rsidRDefault="00AE5A94" w:rsidP="00AE5A94">
            <w:pPr>
              <w:pStyle w:val="Body"/>
              <w:spacing w:after="0"/>
              <w:jc w:val="center"/>
              <w:rPr>
                <w:rFonts w:ascii="Arial" w:hAnsi="Arial" w:cs="Arial"/>
              </w:rPr>
            </w:pPr>
            <w:r w:rsidRPr="00A128B0">
              <w:rPr>
                <w:rFonts w:ascii="Arial" w:hAnsi="Arial" w:cs="Arial"/>
                <w:color w:val="000000"/>
              </w:rPr>
              <w:t>4; 2.9, (0.7-6.5)</w:t>
            </w:r>
          </w:p>
        </w:tc>
        <w:tc>
          <w:tcPr>
            <w:tcW w:w="2096" w:type="dxa"/>
            <w:tcBorders>
              <w:top w:val="nil"/>
              <w:left w:val="nil"/>
              <w:bottom w:val="nil"/>
              <w:right w:val="nil"/>
            </w:tcBorders>
            <w:shd w:val="clear" w:color="auto" w:fill="auto"/>
            <w:tcMar>
              <w:top w:w="15" w:type="dxa"/>
              <w:left w:w="15" w:type="dxa"/>
              <w:bottom w:w="15" w:type="dxa"/>
              <w:right w:w="15" w:type="dxa"/>
            </w:tcMar>
          </w:tcPr>
          <w:p w14:paraId="099ECB42" w14:textId="7E85C3C4" w:rsidR="00AE5A94" w:rsidRPr="00A128B0" w:rsidRDefault="00AE5A94" w:rsidP="00AE5A94">
            <w:pPr>
              <w:pStyle w:val="Body"/>
              <w:spacing w:after="0"/>
              <w:jc w:val="center"/>
              <w:rPr>
                <w:rFonts w:ascii="Arial" w:hAnsi="Arial" w:cs="Arial"/>
              </w:rPr>
            </w:pPr>
            <w:r w:rsidRPr="00A128B0">
              <w:rPr>
                <w:rFonts w:ascii="Arial" w:hAnsi="Arial" w:cs="Arial"/>
                <w:color w:val="000000"/>
              </w:rPr>
              <w:t>4; 4.7, (1.2-9.4)</w:t>
            </w:r>
          </w:p>
        </w:tc>
        <w:tc>
          <w:tcPr>
            <w:tcW w:w="2351" w:type="dxa"/>
            <w:tcBorders>
              <w:top w:val="nil"/>
              <w:left w:val="nil"/>
              <w:bottom w:val="nil"/>
              <w:right w:val="nil"/>
            </w:tcBorders>
            <w:shd w:val="clear" w:color="auto" w:fill="auto"/>
            <w:tcMar>
              <w:top w:w="15" w:type="dxa"/>
              <w:left w:w="15" w:type="dxa"/>
              <w:bottom w:w="15" w:type="dxa"/>
              <w:right w:w="15" w:type="dxa"/>
            </w:tcMar>
          </w:tcPr>
          <w:p w14:paraId="2BE862E4" w14:textId="44E5A243" w:rsidR="00AE5A94" w:rsidRPr="00A128B0" w:rsidRDefault="00AE5A94" w:rsidP="00AE5A94">
            <w:pPr>
              <w:pStyle w:val="Body"/>
              <w:spacing w:after="0"/>
              <w:jc w:val="center"/>
              <w:rPr>
                <w:rFonts w:ascii="Arial" w:hAnsi="Arial" w:cs="Arial"/>
              </w:rPr>
            </w:pPr>
            <w:r w:rsidRPr="00A128B0">
              <w:rPr>
                <w:rFonts w:ascii="Arial" w:hAnsi="Arial" w:cs="Arial"/>
                <w:color w:val="000000"/>
              </w:rPr>
              <w:t>0; 0, (0-0)</w:t>
            </w:r>
          </w:p>
        </w:tc>
      </w:tr>
      <w:tr w:rsidR="00AE5A94" w:rsidRPr="002F5454" w14:paraId="657A5336" w14:textId="77777777" w:rsidTr="00D36F74">
        <w:trPr>
          <w:tblCellSpacing w:w="15" w:type="dxa"/>
        </w:trPr>
        <w:tc>
          <w:tcPr>
            <w:tcW w:w="1515" w:type="dxa"/>
            <w:tcMar>
              <w:top w:w="15" w:type="dxa"/>
              <w:left w:w="15" w:type="dxa"/>
              <w:bottom w:w="15" w:type="dxa"/>
              <w:right w:w="15" w:type="dxa"/>
            </w:tcMar>
            <w:hideMark/>
          </w:tcPr>
          <w:p w14:paraId="1D48BBCE" w14:textId="75624101" w:rsidR="00AE5A94" w:rsidRPr="00A128B0" w:rsidRDefault="00AE5A94" w:rsidP="00AE5A94">
            <w:pPr>
              <w:pStyle w:val="Body"/>
              <w:spacing w:after="0"/>
              <w:rPr>
                <w:rFonts w:ascii="Arial" w:hAnsi="Arial" w:cs="Arial"/>
                <w:b/>
                <w:bCs/>
              </w:rPr>
            </w:pPr>
            <w:r w:rsidRPr="00A128B0">
              <w:rPr>
                <w:rStyle w:val="Textoennegrita"/>
                <w:rFonts w:ascii="Arial" w:hAnsi="Arial" w:cs="Arial"/>
                <w:b w:val="0"/>
                <w:bCs w:val="0"/>
              </w:rPr>
              <w:t>Hypertension</w:t>
            </w:r>
          </w:p>
        </w:tc>
        <w:tc>
          <w:tcPr>
            <w:tcW w:w="2096" w:type="dxa"/>
            <w:tcBorders>
              <w:top w:val="nil"/>
              <w:left w:val="nil"/>
              <w:bottom w:val="nil"/>
              <w:right w:val="nil"/>
            </w:tcBorders>
            <w:shd w:val="clear" w:color="auto" w:fill="auto"/>
            <w:tcMar>
              <w:top w:w="15" w:type="dxa"/>
              <w:left w:w="15" w:type="dxa"/>
              <w:bottom w:w="15" w:type="dxa"/>
              <w:right w:w="15" w:type="dxa"/>
            </w:tcMar>
            <w:hideMark/>
          </w:tcPr>
          <w:p w14:paraId="0A598D87" w14:textId="3A229C64" w:rsidR="00AE5A94" w:rsidRPr="00A128B0" w:rsidRDefault="00AE5A94" w:rsidP="00AE5A94">
            <w:pPr>
              <w:pStyle w:val="Body"/>
              <w:spacing w:after="0"/>
              <w:jc w:val="center"/>
              <w:rPr>
                <w:rFonts w:ascii="Arial" w:hAnsi="Arial" w:cs="Arial"/>
              </w:rPr>
            </w:pPr>
            <w:r w:rsidRPr="00A128B0">
              <w:rPr>
                <w:rFonts w:ascii="Arial" w:hAnsi="Arial" w:cs="Arial"/>
                <w:color w:val="000000"/>
              </w:rPr>
              <w:t>36; 26.1, (18.1-33.3)</w:t>
            </w:r>
          </w:p>
        </w:tc>
        <w:tc>
          <w:tcPr>
            <w:tcW w:w="2096" w:type="dxa"/>
            <w:tcBorders>
              <w:top w:val="nil"/>
              <w:left w:val="nil"/>
              <w:bottom w:val="nil"/>
              <w:right w:val="nil"/>
            </w:tcBorders>
            <w:shd w:val="clear" w:color="auto" w:fill="auto"/>
            <w:tcMar>
              <w:top w:w="15" w:type="dxa"/>
              <w:left w:w="15" w:type="dxa"/>
              <w:bottom w:w="15" w:type="dxa"/>
              <w:right w:w="15" w:type="dxa"/>
            </w:tcMar>
          </w:tcPr>
          <w:p w14:paraId="289736A8" w14:textId="6CB434E8" w:rsidR="00AE5A94" w:rsidRPr="00A128B0" w:rsidRDefault="00AE5A94" w:rsidP="00AE5A94">
            <w:pPr>
              <w:pStyle w:val="Body"/>
              <w:spacing w:after="0"/>
              <w:jc w:val="center"/>
              <w:rPr>
                <w:rFonts w:ascii="Arial" w:hAnsi="Arial" w:cs="Arial"/>
              </w:rPr>
            </w:pPr>
            <w:r w:rsidRPr="00A128B0">
              <w:rPr>
                <w:rFonts w:ascii="Arial" w:hAnsi="Arial" w:cs="Arial"/>
                <w:color w:val="000000"/>
              </w:rPr>
              <w:t>19; 22.4, (12.9-30.6)</w:t>
            </w:r>
          </w:p>
        </w:tc>
        <w:tc>
          <w:tcPr>
            <w:tcW w:w="2351" w:type="dxa"/>
            <w:tcBorders>
              <w:top w:val="nil"/>
              <w:left w:val="nil"/>
              <w:bottom w:val="nil"/>
              <w:right w:val="nil"/>
            </w:tcBorders>
            <w:shd w:val="clear" w:color="auto" w:fill="auto"/>
            <w:tcMar>
              <w:top w:w="15" w:type="dxa"/>
              <w:left w:w="15" w:type="dxa"/>
              <w:bottom w:w="15" w:type="dxa"/>
              <w:right w:w="15" w:type="dxa"/>
            </w:tcMar>
          </w:tcPr>
          <w:p w14:paraId="4C1890DD" w14:textId="388EC1DA" w:rsidR="00AE5A94" w:rsidRPr="00A128B0" w:rsidRDefault="00AE5A94" w:rsidP="00AE5A94">
            <w:pPr>
              <w:pStyle w:val="Body"/>
              <w:spacing w:after="0"/>
              <w:jc w:val="center"/>
              <w:rPr>
                <w:rFonts w:ascii="Arial" w:hAnsi="Arial" w:cs="Arial"/>
              </w:rPr>
            </w:pPr>
            <w:r w:rsidRPr="00A128B0">
              <w:rPr>
                <w:rFonts w:ascii="Arial" w:hAnsi="Arial" w:cs="Arial"/>
                <w:color w:val="000000"/>
              </w:rPr>
              <w:t>17; 32.1, (20.8-45.3)</w:t>
            </w:r>
          </w:p>
        </w:tc>
      </w:tr>
      <w:tr w:rsidR="00AE5A94" w:rsidRPr="002F5454" w14:paraId="1D66E8C9" w14:textId="77777777" w:rsidTr="00D36F74">
        <w:trPr>
          <w:tblCellSpacing w:w="15" w:type="dxa"/>
        </w:trPr>
        <w:tc>
          <w:tcPr>
            <w:tcW w:w="1515" w:type="dxa"/>
            <w:tcMar>
              <w:top w:w="15" w:type="dxa"/>
              <w:left w:w="15" w:type="dxa"/>
              <w:bottom w:w="15" w:type="dxa"/>
              <w:right w:w="15" w:type="dxa"/>
            </w:tcMar>
            <w:hideMark/>
          </w:tcPr>
          <w:p w14:paraId="20D73229" w14:textId="4D5ECCAC" w:rsidR="00AE5A94" w:rsidRPr="00A128B0" w:rsidRDefault="00AE5A94" w:rsidP="00AE5A94">
            <w:pPr>
              <w:pStyle w:val="Body"/>
              <w:spacing w:after="0"/>
              <w:rPr>
                <w:rFonts w:ascii="Arial" w:hAnsi="Arial" w:cs="Arial"/>
                <w:b/>
                <w:bCs/>
              </w:rPr>
            </w:pPr>
            <w:r w:rsidRPr="00A128B0">
              <w:rPr>
                <w:rStyle w:val="Textoennegrita"/>
                <w:rFonts w:ascii="Arial" w:hAnsi="Arial" w:cs="Arial"/>
                <w:b w:val="0"/>
                <w:bCs w:val="0"/>
              </w:rPr>
              <w:t>Cancer</w:t>
            </w:r>
          </w:p>
        </w:tc>
        <w:tc>
          <w:tcPr>
            <w:tcW w:w="2096" w:type="dxa"/>
            <w:tcBorders>
              <w:top w:val="nil"/>
              <w:left w:val="nil"/>
              <w:bottom w:val="nil"/>
              <w:right w:val="nil"/>
            </w:tcBorders>
            <w:shd w:val="clear" w:color="auto" w:fill="auto"/>
            <w:tcMar>
              <w:top w:w="15" w:type="dxa"/>
              <w:left w:w="15" w:type="dxa"/>
              <w:bottom w:w="15" w:type="dxa"/>
              <w:right w:w="15" w:type="dxa"/>
            </w:tcMar>
            <w:hideMark/>
          </w:tcPr>
          <w:p w14:paraId="7AAC05D0" w14:textId="2A8091FD" w:rsidR="00AE5A94" w:rsidRPr="00A128B0" w:rsidRDefault="00AE5A94" w:rsidP="00AE5A94">
            <w:pPr>
              <w:pStyle w:val="Body"/>
              <w:spacing w:after="0"/>
              <w:jc w:val="center"/>
              <w:rPr>
                <w:rFonts w:ascii="Arial" w:hAnsi="Arial" w:cs="Arial"/>
              </w:rPr>
            </w:pPr>
            <w:r w:rsidRPr="00A128B0">
              <w:rPr>
                <w:rFonts w:ascii="Arial" w:hAnsi="Arial" w:cs="Arial"/>
                <w:color w:val="000000"/>
              </w:rPr>
              <w:t>2; 1.4, (0-3.6)</w:t>
            </w:r>
          </w:p>
        </w:tc>
        <w:tc>
          <w:tcPr>
            <w:tcW w:w="2096" w:type="dxa"/>
            <w:tcBorders>
              <w:top w:val="nil"/>
              <w:left w:val="nil"/>
              <w:bottom w:val="nil"/>
              <w:right w:val="nil"/>
            </w:tcBorders>
            <w:shd w:val="clear" w:color="auto" w:fill="auto"/>
            <w:tcMar>
              <w:top w:w="15" w:type="dxa"/>
              <w:left w:w="15" w:type="dxa"/>
              <w:bottom w:w="15" w:type="dxa"/>
              <w:right w:w="15" w:type="dxa"/>
            </w:tcMar>
          </w:tcPr>
          <w:p w14:paraId="3468023C" w14:textId="585E881D" w:rsidR="00AE5A94" w:rsidRPr="00A128B0" w:rsidRDefault="00AE5A94" w:rsidP="00AE5A94">
            <w:pPr>
              <w:pStyle w:val="Body"/>
              <w:spacing w:after="0"/>
              <w:jc w:val="center"/>
              <w:rPr>
                <w:rFonts w:ascii="Arial" w:hAnsi="Arial" w:cs="Arial"/>
              </w:rPr>
            </w:pPr>
            <w:r w:rsidRPr="00A128B0">
              <w:rPr>
                <w:rFonts w:ascii="Arial" w:hAnsi="Arial" w:cs="Arial"/>
                <w:color w:val="000000"/>
              </w:rPr>
              <w:t>0; 0, (0-0)</w:t>
            </w:r>
          </w:p>
        </w:tc>
        <w:tc>
          <w:tcPr>
            <w:tcW w:w="2351" w:type="dxa"/>
            <w:tcBorders>
              <w:top w:val="nil"/>
              <w:left w:val="nil"/>
              <w:bottom w:val="nil"/>
              <w:right w:val="nil"/>
            </w:tcBorders>
            <w:shd w:val="clear" w:color="auto" w:fill="auto"/>
            <w:tcMar>
              <w:top w:w="15" w:type="dxa"/>
              <w:left w:w="15" w:type="dxa"/>
              <w:bottom w:w="15" w:type="dxa"/>
              <w:right w:w="15" w:type="dxa"/>
            </w:tcMar>
          </w:tcPr>
          <w:p w14:paraId="152A9370" w14:textId="57AF960B" w:rsidR="00AE5A94" w:rsidRPr="00A128B0" w:rsidRDefault="00AE5A94" w:rsidP="00AE5A94">
            <w:pPr>
              <w:pStyle w:val="Body"/>
              <w:spacing w:after="0"/>
              <w:jc w:val="center"/>
              <w:rPr>
                <w:rFonts w:ascii="Arial" w:hAnsi="Arial" w:cs="Arial"/>
              </w:rPr>
            </w:pPr>
            <w:r w:rsidRPr="00A128B0">
              <w:rPr>
                <w:rFonts w:ascii="Arial" w:hAnsi="Arial" w:cs="Arial"/>
                <w:color w:val="000000"/>
              </w:rPr>
              <w:t>2; 3.8, (0-9.4)</w:t>
            </w:r>
          </w:p>
        </w:tc>
      </w:tr>
      <w:tr w:rsidR="00AE5A94" w:rsidRPr="002F5454" w14:paraId="6AF394D0" w14:textId="77777777" w:rsidTr="00D36F74">
        <w:trPr>
          <w:tblCellSpacing w:w="15" w:type="dxa"/>
        </w:trPr>
        <w:tc>
          <w:tcPr>
            <w:tcW w:w="1515" w:type="dxa"/>
            <w:tcMar>
              <w:top w:w="15" w:type="dxa"/>
              <w:left w:w="15" w:type="dxa"/>
              <w:bottom w:w="15" w:type="dxa"/>
              <w:right w:w="15" w:type="dxa"/>
            </w:tcMar>
            <w:hideMark/>
          </w:tcPr>
          <w:p w14:paraId="0FFD2A3C" w14:textId="06B1FF93" w:rsidR="00AE5A94" w:rsidRPr="00A128B0" w:rsidRDefault="00AE5A94" w:rsidP="00AE5A94">
            <w:pPr>
              <w:pStyle w:val="Body"/>
              <w:spacing w:after="0"/>
              <w:rPr>
                <w:rFonts w:ascii="Arial" w:hAnsi="Arial" w:cs="Arial"/>
                <w:b/>
                <w:bCs/>
              </w:rPr>
            </w:pPr>
            <w:r w:rsidRPr="00A128B0">
              <w:rPr>
                <w:rStyle w:val="Textoennegrita"/>
                <w:rFonts w:ascii="Arial" w:hAnsi="Arial" w:cs="Arial"/>
                <w:b w:val="0"/>
                <w:bCs w:val="0"/>
              </w:rPr>
              <w:t>HIV</w:t>
            </w:r>
          </w:p>
        </w:tc>
        <w:tc>
          <w:tcPr>
            <w:tcW w:w="2096" w:type="dxa"/>
            <w:tcBorders>
              <w:top w:val="nil"/>
              <w:left w:val="nil"/>
              <w:bottom w:val="nil"/>
              <w:right w:val="nil"/>
            </w:tcBorders>
            <w:shd w:val="clear" w:color="auto" w:fill="auto"/>
            <w:tcMar>
              <w:top w:w="15" w:type="dxa"/>
              <w:left w:w="15" w:type="dxa"/>
              <w:bottom w:w="15" w:type="dxa"/>
              <w:right w:w="15" w:type="dxa"/>
            </w:tcMar>
            <w:hideMark/>
          </w:tcPr>
          <w:p w14:paraId="7E49F0A6" w14:textId="79CE3DFF" w:rsidR="00AE5A94" w:rsidRPr="00A128B0" w:rsidRDefault="00AE5A94" w:rsidP="00AE5A94">
            <w:pPr>
              <w:pStyle w:val="Body"/>
              <w:spacing w:after="0"/>
              <w:jc w:val="center"/>
              <w:rPr>
                <w:rFonts w:ascii="Arial" w:hAnsi="Arial" w:cs="Arial"/>
              </w:rPr>
            </w:pPr>
            <w:r w:rsidRPr="00A128B0">
              <w:rPr>
                <w:rFonts w:ascii="Arial" w:hAnsi="Arial" w:cs="Arial"/>
                <w:color w:val="000000"/>
              </w:rPr>
              <w:t>2; 1.4, (0-3.6)</w:t>
            </w:r>
          </w:p>
        </w:tc>
        <w:tc>
          <w:tcPr>
            <w:tcW w:w="2096" w:type="dxa"/>
            <w:tcBorders>
              <w:top w:val="nil"/>
              <w:left w:val="nil"/>
              <w:bottom w:val="nil"/>
              <w:right w:val="nil"/>
            </w:tcBorders>
            <w:shd w:val="clear" w:color="auto" w:fill="auto"/>
            <w:tcMar>
              <w:top w:w="15" w:type="dxa"/>
              <w:left w:w="15" w:type="dxa"/>
              <w:bottom w:w="15" w:type="dxa"/>
              <w:right w:w="15" w:type="dxa"/>
            </w:tcMar>
          </w:tcPr>
          <w:p w14:paraId="75A1FAA0" w14:textId="3D98A6AA" w:rsidR="00AE5A94" w:rsidRPr="00A128B0" w:rsidRDefault="00AE5A94" w:rsidP="00AE5A94">
            <w:pPr>
              <w:pStyle w:val="Body"/>
              <w:spacing w:after="0"/>
              <w:jc w:val="center"/>
              <w:rPr>
                <w:rFonts w:ascii="Arial" w:hAnsi="Arial" w:cs="Arial"/>
              </w:rPr>
            </w:pPr>
            <w:r w:rsidRPr="00A128B0">
              <w:rPr>
                <w:rFonts w:ascii="Arial" w:hAnsi="Arial" w:cs="Arial"/>
                <w:color w:val="000000"/>
              </w:rPr>
              <w:t>0; 0, (0-0)</w:t>
            </w:r>
          </w:p>
        </w:tc>
        <w:tc>
          <w:tcPr>
            <w:tcW w:w="2351" w:type="dxa"/>
            <w:tcBorders>
              <w:top w:val="nil"/>
              <w:left w:val="nil"/>
              <w:bottom w:val="nil"/>
              <w:right w:val="nil"/>
            </w:tcBorders>
            <w:shd w:val="clear" w:color="auto" w:fill="auto"/>
            <w:tcMar>
              <w:top w:w="15" w:type="dxa"/>
              <w:left w:w="15" w:type="dxa"/>
              <w:bottom w:w="15" w:type="dxa"/>
              <w:right w:w="15" w:type="dxa"/>
            </w:tcMar>
          </w:tcPr>
          <w:p w14:paraId="6218C2BC" w14:textId="061C19A3" w:rsidR="00AE5A94" w:rsidRPr="00A128B0" w:rsidRDefault="00AE5A94" w:rsidP="00AE5A94">
            <w:pPr>
              <w:pStyle w:val="Body"/>
              <w:spacing w:after="0"/>
              <w:jc w:val="center"/>
              <w:rPr>
                <w:rFonts w:ascii="Arial" w:hAnsi="Arial" w:cs="Arial"/>
              </w:rPr>
            </w:pPr>
            <w:r w:rsidRPr="00A128B0">
              <w:rPr>
                <w:rFonts w:ascii="Arial" w:hAnsi="Arial" w:cs="Arial"/>
                <w:color w:val="000000"/>
              </w:rPr>
              <w:t>2; 3.8, (0-9.4)</w:t>
            </w:r>
          </w:p>
        </w:tc>
      </w:tr>
      <w:tr w:rsidR="00AE5A94" w:rsidRPr="002F5454" w14:paraId="42860C11" w14:textId="77777777" w:rsidTr="00D36F74">
        <w:trPr>
          <w:tblCellSpacing w:w="15" w:type="dxa"/>
        </w:trPr>
        <w:tc>
          <w:tcPr>
            <w:tcW w:w="1515" w:type="dxa"/>
            <w:tcMar>
              <w:top w:w="15" w:type="dxa"/>
              <w:left w:w="15" w:type="dxa"/>
              <w:bottom w:w="15" w:type="dxa"/>
              <w:right w:w="15" w:type="dxa"/>
            </w:tcMar>
            <w:hideMark/>
          </w:tcPr>
          <w:p w14:paraId="1DA0ECB2" w14:textId="08B18947" w:rsidR="00AE5A94" w:rsidRPr="00A128B0" w:rsidRDefault="00AE5A94" w:rsidP="00AE5A94">
            <w:pPr>
              <w:pStyle w:val="Body"/>
              <w:spacing w:after="0"/>
              <w:rPr>
                <w:rFonts w:ascii="Arial" w:hAnsi="Arial" w:cs="Arial"/>
                <w:b/>
                <w:bCs/>
              </w:rPr>
            </w:pPr>
            <w:r w:rsidRPr="00A128B0">
              <w:rPr>
                <w:rStyle w:val="Textoennegrita"/>
                <w:rFonts w:ascii="Arial" w:hAnsi="Arial" w:cs="Arial"/>
                <w:b w:val="0"/>
                <w:bCs w:val="0"/>
              </w:rPr>
              <w:t>CKD</w:t>
            </w:r>
          </w:p>
        </w:tc>
        <w:tc>
          <w:tcPr>
            <w:tcW w:w="2096" w:type="dxa"/>
            <w:tcBorders>
              <w:top w:val="nil"/>
              <w:left w:val="nil"/>
              <w:bottom w:val="nil"/>
              <w:right w:val="nil"/>
            </w:tcBorders>
            <w:shd w:val="clear" w:color="auto" w:fill="auto"/>
            <w:tcMar>
              <w:top w:w="15" w:type="dxa"/>
              <w:left w:w="15" w:type="dxa"/>
              <w:bottom w:w="15" w:type="dxa"/>
              <w:right w:w="15" w:type="dxa"/>
            </w:tcMar>
            <w:hideMark/>
          </w:tcPr>
          <w:p w14:paraId="41A52954" w14:textId="7BDA39DB" w:rsidR="00AE5A94" w:rsidRPr="00A128B0" w:rsidRDefault="00AE5A94" w:rsidP="00AE5A94">
            <w:pPr>
              <w:pStyle w:val="Body"/>
              <w:spacing w:after="0"/>
              <w:jc w:val="center"/>
              <w:rPr>
                <w:rFonts w:ascii="Arial" w:hAnsi="Arial" w:cs="Arial"/>
              </w:rPr>
            </w:pPr>
            <w:r w:rsidRPr="00A128B0">
              <w:rPr>
                <w:rFonts w:ascii="Arial" w:hAnsi="Arial" w:cs="Arial"/>
                <w:color w:val="000000"/>
              </w:rPr>
              <w:t>2; 1.4, (0-3.6)</w:t>
            </w:r>
          </w:p>
        </w:tc>
        <w:tc>
          <w:tcPr>
            <w:tcW w:w="2096" w:type="dxa"/>
            <w:tcBorders>
              <w:top w:val="nil"/>
              <w:left w:val="nil"/>
              <w:bottom w:val="nil"/>
              <w:right w:val="nil"/>
            </w:tcBorders>
            <w:shd w:val="clear" w:color="auto" w:fill="auto"/>
            <w:tcMar>
              <w:top w:w="15" w:type="dxa"/>
              <w:left w:w="15" w:type="dxa"/>
              <w:bottom w:w="15" w:type="dxa"/>
              <w:right w:w="15" w:type="dxa"/>
            </w:tcMar>
          </w:tcPr>
          <w:p w14:paraId="782F4BFC" w14:textId="243E9157" w:rsidR="00AE5A94" w:rsidRPr="00A128B0" w:rsidRDefault="00AE5A94" w:rsidP="00AE5A94">
            <w:pPr>
              <w:pStyle w:val="Body"/>
              <w:spacing w:after="0"/>
              <w:jc w:val="center"/>
              <w:rPr>
                <w:rFonts w:ascii="Arial" w:hAnsi="Arial" w:cs="Arial"/>
              </w:rPr>
            </w:pPr>
            <w:r w:rsidRPr="00A128B0">
              <w:rPr>
                <w:rFonts w:ascii="Arial" w:hAnsi="Arial" w:cs="Arial"/>
                <w:color w:val="000000"/>
              </w:rPr>
              <w:t>0; 0, (0-0)</w:t>
            </w:r>
          </w:p>
        </w:tc>
        <w:tc>
          <w:tcPr>
            <w:tcW w:w="2351" w:type="dxa"/>
            <w:tcBorders>
              <w:top w:val="nil"/>
              <w:left w:val="nil"/>
              <w:bottom w:val="nil"/>
              <w:right w:val="nil"/>
            </w:tcBorders>
            <w:shd w:val="clear" w:color="auto" w:fill="auto"/>
            <w:tcMar>
              <w:top w:w="15" w:type="dxa"/>
              <w:left w:w="15" w:type="dxa"/>
              <w:bottom w:w="15" w:type="dxa"/>
              <w:right w:w="15" w:type="dxa"/>
            </w:tcMar>
          </w:tcPr>
          <w:p w14:paraId="498305E5" w14:textId="7F103C6E" w:rsidR="00AE5A94" w:rsidRPr="00A128B0" w:rsidRDefault="00AE5A94" w:rsidP="00AE5A94">
            <w:pPr>
              <w:pStyle w:val="Body"/>
              <w:spacing w:after="0"/>
              <w:jc w:val="center"/>
              <w:rPr>
                <w:rFonts w:ascii="Arial" w:hAnsi="Arial" w:cs="Arial"/>
              </w:rPr>
            </w:pPr>
            <w:r w:rsidRPr="00A128B0">
              <w:rPr>
                <w:rFonts w:ascii="Arial" w:hAnsi="Arial" w:cs="Arial"/>
                <w:color w:val="000000"/>
              </w:rPr>
              <w:t>2; 3.8, (0-9.4)</w:t>
            </w:r>
          </w:p>
        </w:tc>
      </w:tr>
      <w:tr w:rsidR="00AE5A94" w:rsidRPr="002F5454" w14:paraId="7CBFAC70" w14:textId="77777777" w:rsidTr="00D36F74">
        <w:trPr>
          <w:tblCellSpacing w:w="15" w:type="dxa"/>
        </w:trPr>
        <w:tc>
          <w:tcPr>
            <w:tcW w:w="1515" w:type="dxa"/>
            <w:tcMar>
              <w:top w:w="15" w:type="dxa"/>
              <w:left w:w="15" w:type="dxa"/>
              <w:bottom w:w="15" w:type="dxa"/>
              <w:right w:w="15" w:type="dxa"/>
            </w:tcMar>
            <w:hideMark/>
          </w:tcPr>
          <w:p w14:paraId="3D93D267" w14:textId="0A39F10A" w:rsidR="00AE5A94" w:rsidRPr="00A128B0" w:rsidRDefault="00AE5A94" w:rsidP="00AE5A94">
            <w:pPr>
              <w:pStyle w:val="Body"/>
              <w:spacing w:after="0"/>
              <w:rPr>
                <w:rFonts w:ascii="Arial" w:hAnsi="Arial" w:cs="Arial"/>
                <w:b/>
                <w:bCs/>
              </w:rPr>
            </w:pPr>
            <w:r w:rsidRPr="00A128B0">
              <w:rPr>
                <w:rStyle w:val="Textoennegrita"/>
                <w:rFonts w:ascii="Arial" w:hAnsi="Arial" w:cs="Arial"/>
                <w:b w:val="0"/>
                <w:bCs w:val="0"/>
              </w:rPr>
              <w:t>Mortality</w:t>
            </w:r>
          </w:p>
        </w:tc>
        <w:tc>
          <w:tcPr>
            <w:tcW w:w="2096" w:type="dxa"/>
            <w:tcBorders>
              <w:top w:val="nil"/>
              <w:left w:val="nil"/>
              <w:bottom w:val="nil"/>
              <w:right w:val="nil"/>
            </w:tcBorders>
            <w:shd w:val="clear" w:color="auto" w:fill="auto"/>
            <w:tcMar>
              <w:top w:w="15" w:type="dxa"/>
              <w:left w:w="15" w:type="dxa"/>
              <w:bottom w:w="15" w:type="dxa"/>
              <w:right w:w="15" w:type="dxa"/>
            </w:tcMar>
            <w:hideMark/>
          </w:tcPr>
          <w:p w14:paraId="6AFB938E" w14:textId="26B15613" w:rsidR="00AE5A94" w:rsidRPr="00A128B0" w:rsidRDefault="00AE5A94" w:rsidP="00AE5A94">
            <w:pPr>
              <w:pStyle w:val="Body"/>
              <w:spacing w:after="0"/>
              <w:jc w:val="center"/>
              <w:rPr>
                <w:rFonts w:ascii="Arial" w:hAnsi="Arial" w:cs="Arial"/>
              </w:rPr>
            </w:pPr>
            <w:r w:rsidRPr="00A128B0">
              <w:rPr>
                <w:rFonts w:ascii="Arial" w:hAnsi="Arial" w:cs="Arial"/>
                <w:color w:val="000000"/>
              </w:rPr>
              <w:t>1; 0.7, (0-2.2)</w:t>
            </w:r>
          </w:p>
        </w:tc>
        <w:tc>
          <w:tcPr>
            <w:tcW w:w="2096" w:type="dxa"/>
            <w:tcBorders>
              <w:top w:val="nil"/>
              <w:left w:val="nil"/>
              <w:bottom w:val="nil"/>
              <w:right w:val="nil"/>
            </w:tcBorders>
            <w:shd w:val="clear" w:color="auto" w:fill="auto"/>
            <w:tcMar>
              <w:top w:w="15" w:type="dxa"/>
              <w:left w:w="15" w:type="dxa"/>
              <w:bottom w:w="15" w:type="dxa"/>
              <w:right w:w="15" w:type="dxa"/>
            </w:tcMar>
          </w:tcPr>
          <w:p w14:paraId="50589C21" w14:textId="0F5A7852" w:rsidR="00AE5A94" w:rsidRPr="00A128B0" w:rsidRDefault="00AE5A94" w:rsidP="00AE5A94">
            <w:pPr>
              <w:pStyle w:val="Body"/>
              <w:spacing w:after="0"/>
              <w:jc w:val="center"/>
              <w:rPr>
                <w:rFonts w:ascii="Arial" w:hAnsi="Arial" w:cs="Arial"/>
              </w:rPr>
            </w:pPr>
            <w:r w:rsidRPr="00A128B0">
              <w:rPr>
                <w:rFonts w:ascii="Arial" w:hAnsi="Arial" w:cs="Arial"/>
                <w:color w:val="000000"/>
              </w:rPr>
              <w:t>0; 0, (0-0)</w:t>
            </w:r>
          </w:p>
        </w:tc>
        <w:tc>
          <w:tcPr>
            <w:tcW w:w="2351" w:type="dxa"/>
            <w:tcBorders>
              <w:top w:val="nil"/>
              <w:left w:val="nil"/>
              <w:bottom w:val="nil"/>
              <w:right w:val="nil"/>
            </w:tcBorders>
            <w:shd w:val="clear" w:color="auto" w:fill="auto"/>
            <w:tcMar>
              <w:top w:w="15" w:type="dxa"/>
              <w:left w:w="15" w:type="dxa"/>
              <w:bottom w:w="15" w:type="dxa"/>
              <w:right w:w="15" w:type="dxa"/>
            </w:tcMar>
          </w:tcPr>
          <w:p w14:paraId="726A8D67" w14:textId="2CEB4D56" w:rsidR="00AE5A94" w:rsidRPr="00A128B0" w:rsidRDefault="00AE5A94" w:rsidP="00AE5A94">
            <w:pPr>
              <w:pStyle w:val="Body"/>
              <w:spacing w:after="0"/>
              <w:jc w:val="center"/>
              <w:rPr>
                <w:rFonts w:ascii="Arial" w:hAnsi="Arial" w:cs="Arial"/>
              </w:rPr>
            </w:pPr>
            <w:r w:rsidRPr="00A128B0">
              <w:rPr>
                <w:rFonts w:ascii="Arial" w:hAnsi="Arial" w:cs="Arial"/>
                <w:color w:val="000000"/>
              </w:rPr>
              <w:t>1; 1.9, (0-5.7)</w:t>
            </w:r>
          </w:p>
        </w:tc>
      </w:tr>
      <w:tr w:rsidR="00AE5A94" w:rsidRPr="002F5454" w14:paraId="645AD4EF" w14:textId="77777777" w:rsidTr="00D36F74">
        <w:trPr>
          <w:tblCellSpacing w:w="15" w:type="dxa"/>
        </w:trPr>
        <w:tc>
          <w:tcPr>
            <w:tcW w:w="1515" w:type="dxa"/>
            <w:tcMar>
              <w:top w:w="15" w:type="dxa"/>
              <w:left w:w="15" w:type="dxa"/>
              <w:bottom w:w="15" w:type="dxa"/>
              <w:right w:w="15" w:type="dxa"/>
            </w:tcMar>
          </w:tcPr>
          <w:p w14:paraId="797E5B80" w14:textId="6758594E" w:rsidR="00AE5A94" w:rsidRPr="00A128B0" w:rsidRDefault="00AE5A94" w:rsidP="00AE5A94">
            <w:pPr>
              <w:pStyle w:val="Body"/>
              <w:spacing w:after="0"/>
              <w:rPr>
                <w:rFonts w:ascii="Arial" w:hAnsi="Arial" w:cs="Arial"/>
                <w:b/>
                <w:bCs/>
              </w:rPr>
            </w:pPr>
            <w:r w:rsidRPr="00A128B0">
              <w:rPr>
                <w:rStyle w:val="Textoennegrita"/>
                <w:rFonts w:ascii="Arial" w:hAnsi="Arial" w:cs="Arial"/>
                <w:b w:val="0"/>
                <w:bCs w:val="0"/>
              </w:rPr>
              <w:t>VH</w:t>
            </w:r>
          </w:p>
        </w:tc>
        <w:tc>
          <w:tcPr>
            <w:tcW w:w="2096" w:type="dxa"/>
            <w:tcBorders>
              <w:top w:val="nil"/>
              <w:left w:val="nil"/>
              <w:bottom w:val="nil"/>
              <w:right w:val="nil"/>
            </w:tcBorders>
            <w:shd w:val="clear" w:color="auto" w:fill="auto"/>
            <w:tcMar>
              <w:top w:w="15" w:type="dxa"/>
              <w:left w:w="15" w:type="dxa"/>
              <w:bottom w:w="15" w:type="dxa"/>
              <w:right w:w="15" w:type="dxa"/>
            </w:tcMar>
          </w:tcPr>
          <w:p w14:paraId="7F892439" w14:textId="7C3FE3DA" w:rsidR="00AE5A94" w:rsidRPr="00A128B0" w:rsidRDefault="00AE5A94" w:rsidP="00AE5A94">
            <w:pPr>
              <w:pStyle w:val="Body"/>
              <w:spacing w:after="0"/>
              <w:jc w:val="center"/>
              <w:rPr>
                <w:rFonts w:ascii="Arial" w:hAnsi="Arial" w:cs="Arial"/>
              </w:rPr>
            </w:pPr>
            <w:r w:rsidRPr="00A128B0">
              <w:rPr>
                <w:rFonts w:ascii="Arial" w:hAnsi="Arial" w:cs="Arial"/>
                <w:color w:val="000000"/>
              </w:rPr>
              <w:t>74; 53.6, (44.9-62.3)</w:t>
            </w:r>
          </w:p>
        </w:tc>
        <w:tc>
          <w:tcPr>
            <w:tcW w:w="2096" w:type="dxa"/>
            <w:tcBorders>
              <w:top w:val="nil"/>
              <w:left w:val="nil"/>
              <w:bottom w:val="nil"/>
              <w:right w:val="nil"/>
            </w:tcBorders>
            <w:shd w:val="clear" w:color="auto" w:fill="auto"/>
            <w:tcMar>
              <w:top w:w="15" w:type="dxa"/>
              <w:left w:w="15" w:type="dxa"/>
              <w:bottom w:w="15" w:type="dxa"/>
              <w:right w:w="15" w:type="dxa"/>
            </w:tcMar>
          </w:tcPr>
          <w:p w14:paraId="4B3FA01C" w14:textId="1CC6A0BB" w:rsidR="00AE5A94" w:rsidRPr="00A128B0" w:rsidRDefault="00AE5A94" w:rsidP="00AE5A94">
            <w:pPr>
              <w:pStyle w:val="Body"/>
              <w:spacing w:after="0"/>
              <w:jc w:val="center"/>
              <w:rPr>
                <w:rFonts w:ascii="Arial" w:hAnsi="Arial" w:cs="Arial"/>
              </w:rPr>
            </w:pPr>
            <w:r w:rsidRPr="00A128B0">
              <w:rPr>
                <w:rFonts w:ascii="Arial" w:hAnsi="Arial" w:cs="Arial"/>
                <w:color w:val="000000"/>
              </w:rPr>
              <w:t>47; 55.3, (43.5-65.9)</w:t>
            </w:r>
          </w:p>
        </w:tc>
        <w:tc>
          <w:tcPr>
            <w:tcW w:w="2351" w:type="dxa"/>
            <w:tcBorders>
              <w:top w:val="nil"/>
              <w:left w:val="nil"/>
              <w:bottom w:val="nil"/>
              <w:right w:val="nil"/>
            </w:tcBorders>
            <w:shd w:val="clear" w:color="auto" w:fill="auto"/>
            <w:tcMar>
              <w:top w:w="15" w:type="dxa"/>
              <w:left w:w="15" w:type="dxa"/>
              <w:bottom w:w="15" w:type="dxa"/>
              <w:right w:w="15" w:type="dxa"/>
            </w:tcMar>
          </w:tcPr>
          <w:p w14:paraId="62EE2052" w14:textId="5A029C01" w:rsidR="00AE5A94" w:rsidRPr="00A128B0" w:rsidRDefault="00AE5A94" w:rsidP="00AE5A94">
            <w:pPr>
              <w:pStyle w:val="Body"/>
              <w:spacing w:after="0"/>
              <w:jc w:val="center"/>
              <w:rPr>
                <w:rFonts w:ascii="Arial" w:hAnsi="Arial" w:cs="Arial"/>
              </w:rPr>
            </w:pPr>
            <w:r w:rsidRPr="00A128B0">
              <w:rPr>
                <w:rFonts w:ascii="Arial" w:hAnsi="Arial" w:cs="Arial"/>
                <w:color w:val="000000"/>
              </w:rPr>
              <w:t>27; 50.9, (37.7-64.2)</w:t>
            </w:r>
          </w:p>
        </w:tc>
      </w:tr>
    </w:tbl>
    <w:bookmarkEnd w:id="1"/>
    <w:p w14:paraId="5476DC2F" w14:textId="0FAC9586" w:rsidR="002F5454" w:rsidRPr="006F4089" w:rsidRDefault="006F4089" w:rsidP="006F4089">
      <w:pPr>
        <w:tabs>
          <w:tab w:val="left" w:pos="1080"/>
        </w:tabs>
        <w:jc w:val="both"/>
        <w:rPr>
          <w:rFonts w:ascii="Arial" w:hAnsi="Arial" w:cs="Arial"/>
          <w:sz w:val="18"/>
          <w:szCs w:val="18"/>
        </w:rPr>
      </w:pPr>
      <w:r w:rsidRPr="006F4089">
        <w:rPr>
          <w:rFonts w:ascii="Arial" w:hAnsi="Arial"/>
          <w:bCs/>
          <w:sz w:val="18"/>
          <w:szCs w:val="18"/>
        </w:rPr>
        <w:t xml:space="preserve">Source: Prepared by the authors using data from the </w:t>
      </w:r>
      <w:r w:rsidR="006A38E3">
        <w:rPr>
          <w:rFonts w:ascii="Arial" w:hAnsi="Arial"/>
          <w:bCs/>
          <w:sz w:val="18"/>
          <w:szCs w:val="18"/>
        </w:rPr>
        <w:t>study</w:t>
      </w:r>
      <w:r w:rsidRPr="006F4089">
        <w:rPr>
          <w:rFonts w:ascii="Arial" w:hAnsi="Arial"/>
          <w:bCs/>
          <w:sz w:val="18"/>
          <w:szCs w:val="18"/>
        </w:rPr>
        <w:t>.</w:t>
      </w:r>
      <w:r>
        <w:rPr>
          <w:rFonts w:ascii="Arial" w:hAnsi="Arial"/>
          <w:bCs/>
          <w:sz w:val="18"/>
          <w:szCs w:val="18"/>
        </w:rPr>
        <w:t xml:space="preserve"> </w:t>
      </w:r>
      <w:r w:rsidR="00AE5A94" w:rsidRPr="007D0F0D">
        <w:rPr>
          <w:rFonts w:ascii="Arial" w:hAnsi="Arial"/>
          <w:bCs/>
          <w:sz w:val="18"/>
          <w:szCs w:val="18"/>
          <w:lang w:val="en-US"/>
        </w:rPr>
        <w:t xml:space="preserve">SD: standard deviation. IQR: interquartile range. </w:t>
      </w:r>
      <w:r w:rsidR="00AE5A94">
        <w:rPr>
          <w:rFonts w:ascii="Arial" w:hAnsi="Arial"/>
          <w:bCs/>
          <w:sz w:val="18"/>
          <w:szCs w:val="18"/>
        </w:rPr>
        <w:t xml:space="preserve">BMI: body mass index. </w:t>
      </w:r>
      <w:r w:rsidR="006A38E3">
        <w:rPr>
          <w:rFonts w:ascii="Arial" w:hAnsi="Arial"/>
          <w:bCs/>
          <w:sz w:val="18"/>
          <w:szCs w:val="18"/>
        </w:rPr>
        <w:t>COPD=c</w:t>
      </w:r>
      <w:r w:rsidR="006A38E3" w:rsidRPr="006A38E3">
        <w:rPr>
          <w:rFonts w:ascii="Arial" w:hAnsi="Arial"/>
          <w:bCs/>
          <w:sz w:val="18"/>
          <w:szCs w:val="18"/>
        </w:rPr>
        <w:t>hronic obstructive pulmonary disease</w:t>
      </w:r>
      <w:r w:rsidR="002F5454" w:rsidRPr="006F4089">
        <w:rPr>
          <w:rFonts w:ascii="Arial" w:hAnsi="Arial" w:cs="Arial"/>
          <w:sz w:val="18"/>
          <w:szCs w:val="18"/>
        </w:rPr>
        <w:t xml:space="preserve">. </w:t>
      </w:r>
      <w:r w:rsidR="006A38E3" w:rsidRPr="006A38E3">
        <w:rPr>
          <w:rFonts w:ascii="Arial" w:hAnsi="Arial" w:cs="Arial"/>
          <w:sz w:val="18"/>
          <w:szCs w:val="18"/>
        </w:rPr>
        <w:t>HIV</w:t>
      </w:r>
      <w:r w:rsidR="006A38E3">
        <w:rPr>
          <w:rFonts w:ascii="Arial" w:hAnsi="Arial" w:cs="Arial"/>
          <w:sz w:val="18"/>
          <w:szCs w:val="18"/>
        </w:rPr>
        <w:t>=human immunodeficiency virus.</w:t>
      </w:r>
      <w:r w:rsidR="006A38E3" w:rsidRPr="006A38E3">
        <w:rPr>
          <w:rFonts w:ascii="Arial" w:hAnsi="Arial" w:cs="Arial"/>
          <w:sz w:val="18"/>
          <w:szCs w:val="18"/>
        </w:rPr>
        <w:t xml:space="preserve"> C</w:t>
      </w:r>
      <w:r w:rsidR="006A38E3">
        <w:rPr>
          <w:rFonts w:ascii="Arial" w:hAnsi="Arial" w:cs="Arial"/>
          <w:sz w:val="18"/>
          <w:szCs w:val="18"/>
        </w:rPr>
        <w:t>KD=c</w:t>
      </w:r>
      <w:r w:rsidR="006A38E3" w:rsidRPr="006A38E3">
        <w:rPr>
          <w:rFonts w:ascii="Arial" w:hAnsi="Arial" w:cs="Arial"/>
          <w:sz w:val="18"/>
          <w:szCs w:val="18"/>
        </w:rPr>
        <w:t>hronic kidney disease</w:t>
      </w:r>
      <w:r w:rsidR="006A38E3">
        <w:rPr>
          <w:rFonts w:ascii="Arial" w:hAnsi="Arial" w:cs="Arial"/>
          <w:sz w:val="18"/>
          <w:szCs w:val="18"/>
        </w:rPr>
        <w:t>.</w:t>
      </w:r>
      <w:r w:rsidR="006A38E3" w:rsidRPr="006A38E3">
        <w:rPr>
          <w:rFonts w:ascii="Arial" w:hAnsi="Arial" w:cs="Arial"/>
          <w:sz w:val="18"/>
          <w:szCs w:val="18"/>
        </w:rPr>
        <w:t xml:space="preserve"> </w:t>
      </w:r>
      <w:r w:rsidR="002F5454" w:rsidRPr="006F4089">
        <w:rPr>
          <w:rFonts w:ascii="Arial" w:hAnsi="Arial" w:cs="Arial"/>
          <w:sz w:val="18"/>
          <w:szCs w:val="18"/>
        </w:rPr>
        <w:t xml:space="preserve">VH: vaccination history. </w:t>
      </w:r>
      <w:r w:rsidR="00C02D10" w:rsidRPr="00C02D10">
        <w:rPr>
          <w:rFonts w:ascii="Arial" w:hAnsi="Arial" w:cs="Arial"/>
          <w:sz w:val="18"/>
          <w:szCs w:val="18"/>
        </w:rPr>
        <w:t>P value was calculated by Yates Corrected Chi-Square Test</w:t>
      </w:r>
      <w:r w:rsidR="00E35A6C">
        <w:rPr>
          <w:rFonts w:ascii="Arial" w:hAnsi="Arial" w:cs="Arial"/>
          <w:sz w:val="18"/>
          <w:szCs w:val="18"/>
        </w:rPr>
        <w:t xml:space="preserve"> and Fisher exact test</w:t>
      </w:r>
      <w:r w:rsidR="007134DE">
        <w:rPr>
          <w:rFonts w:ascii="Arial" w:hAnsi="Arial" w:cs="Arial"/>
          <w:sz w:val="18"/>
          <w:szCs w:val="18"/>
        </w:rPr>
        <w:t xml:space="preserve">, as </w:t>
      </w:r>
      <w:r w:rsidR="007134DE" w:rsidRPr="007134DE">
        <w:rPr>
          <w:rFonts w:ascii="Arial" w:hAnsi="Arial" w:cs="Arial"/>
          <w:sz w:val="18"/>
          <w:szCs w:val="18"/>
        </w:rPr>
        <w:t>appropriate</w:t>
      </w:r>
      <w:r w:rsidR="00C02D10" w:rsidRPr="00C02D10">
        <w:rPr>
          <w:rFonts w:ascii="Arial" w:hAnsi="Arial" w:cs="Arial"/>
          <w:sz w:val="18"/>
          <w:szCs w:val="18"/>
        </w:rPr>
        <w:t>.</w:t>
      </w:r>
    </w:p>
    <w:p w14:paraId="7CF15A8D" w14:textId="77777777" w:rsidR="00B07EFA" w:rsidRDefault="00B07EFA" w:rsidP="00B07EFA">
      <w:pPr>
        <w:pStyle w:val="Body"/>
        <w:spacing w:after="0"/>
      </w:pPr>
    </w:p>
    <w:p w14:paraId="5AC06CE6" w14:textId="1DA01656" w:rsidR="001E3763" w:rsidRPr="008F39F5" w:rsidRDefault="001E3763" w:rsidP="001E3763">
      <w:pPr>
        <w:pStyle w:val="Body"/>
        <w:spacing w:after="0"/>
        <w:rPr>
          <w:rFonts w:ascii="Arial" w:hAnsi="Arial" w:cs="Arial"/>
        </w:rPr>
      </w:pPr>
      <w:r w:rsidRPr="008F39F5">
        <w:rPr>
          <w:rFonts w:ascii="Arial" w:hAnsi="Arial" w:cs="Arial"/>
          <w:b/>
          <w:caps/>
          <w:sz w:val="22"/>
        </w:rPr>
        <w:t>3.</w:t>
      </w:r>
      <w:r>
        <w:rPr>
          <w:rFonts w:ascii="Arial" w:hAnsi="Arial" w:cs="Arial"/>
          <w:b/>
          <w:caps/>
          <w:sz w:val="22"/>
        </w:rPr>
        <w:t>2</w:t>
      </w:r>
      <w:r w:rsidRPr="008F39F5">
        <w:rPr>
          <w:rFonts w:ascii="Arial" w:hAnsi="Arial" w:cs="Arial"/>
          <w:b/>
          <w:caps/>
          <w:sz w:val="22"/>
        </w:rPr>
        <w:t xml:space="preserve"> </w:t>
      </w:r>
      <w:r w:rsidR="00272B09">
        <w:rPr>
          <w:rFonts w:ascii="Arial" w:hAnsi="Arial" w:cs="Arial"/>
          <w:b/>
          <w:caps/>
          <w:sz w:val="22"/>
        </w:rPr>
        <w:t>L</w:t>
      </w:r>
      <w:r>
        <w:rPr>
          <w:rFonts w:ascii="Arial" w:hAnsi="Arial" w:cs="Arial"/>
          <w:b/>
          <w:sz w:val="22"/>
        </w:rPr>
        <w:t>o</w:t>
      </w:r>
      <w:r w:rsidR="00272B09">
        <w:rPr>
          <w:rFonts w:ascii="Arial" w:hAnsi="Arial" w:cs="Arial"/>
          <w:b/>
          <w:sz w:val="22"/>
        </w:rPr>
        <w:t xml:space="preserve">ng </w:t>
      </w:r>
      <w:r>
        <w:rPr>
          <w:rFonts w:ascii="Arial" w:hAnsi="Arial" w:cs="Arial"/>
          <w:b/>
          <w:caps/>
          <w:sz w:val="22"/>
        </w:rPr>
        <w:t>Covid</w:t>
      </w:r>
      <w:r>
        <w:rPr>
          <w:rFonts w:ascii="Arial" w:hAnsi="Arial" w:cs="Arial"/>
          <w:b/>
          <w:sz w:val="22"/>
        </w:rPr>
        <w:t xml:space="preserve">-19 </w:t>
      </w:r>
      <w:r w:rsidRPr="001E3763">
        <w:rPr>
          <w:rFonts w:ascii="Arial" w:hAnsi="Arial" w:cs="Arial"/>
          <w:b/>
          <w:sz w:val="22"/>
        </w:rPr>
        <w:t>sequelae</w:t>
      </w:r>
      <w:r w:rsidRPr="008F39F5">
        <w:rPr>
          <w:rFonts w:ascii="Arial" w:hAnsi="Arial" w:cs="Arial"/>
          <w:b/>
          <w:caps/>
          <w:sz w:val="22"/>
        </w:rPr>
        <w:t xml:space="preserve"> </w:t>
      </w:r>
      <w:r w:rsidRPr="008F39F5">
        <w:rPr>
          <w:rFonts w:ascii="Arial" w:hAnsi="Arial" w:cs="Arial"/>
          <w:b/>
          <w:sz w:val="22"/>
        </w:rPr>
        <w:t>of</w:t>
      </w:r>
      <w:r w:rsidRPr="008F39F5">
        <w:rPr>
          <w:rFonts w:ascii="Arial" w:hAnsi="Arial" w:cs="Arial"/>
          <w:b/>
          <w:caps/>
          <w:sz w:val="22"/>
        </w:rPr>
        <w:t xml:space="preserve"> </w:t>
      </w:r>
      <w:r w:rsidRPr="008F39F5">
        <w:rPr>
          <w:rFonts w:ascii="Arial" w:hAnsi="Arial" w:cs="Arial"/>
          <w:b/>
          <w:sz w:val="22"/>
        </w:rPr>
        <w:t>the study population.</w:t>
      </w:r>
    </w:p>
    <w:p w14:paraId="22A024FF" w14:textId="1699B11E" w:rsidR="00EA2561" w:rsidRDefault="00CB7319" w:rsidP="00B07EFA">
      <w:pPr>
        <w:pStyle w:val="Body"/>
        <w:spacing w:after="0"/>
      </w:pPr>
      <w:r w:rsidRPr="00CB7319">
        <w:t xml:space="preserve">The </w:t>
      </w:r>
      <w:r w:rsidR="00372BF5">
        <w:t>major</w:t>
      </w:r>
      <w:r w:rsidRPr="00CB7319">
        <w:t xml:space="preserve"> post-COVID-19 sequelae were: cough, odynophagia, </w:t>
      </w:r>
      <w:r w:rsidR="00372BF5">
        <w:t xml:space="preserve">headache, </w:t>
      </w:r>
      <w:r w:rsidRPr="00CB7319">
        <w:t xml:space="preserve">myalgia, </w:t>
      </w:r>
      <w:r w:rsidR="00372BF5">
        <w:t xml:space="preserve">and </w:t>
      </w:r>
      <w:r w:rsidRPr="00CB7319">
        <w:t>rhinorrhoea, and pulmonary fibrosis.</w:t>
      </w:r>
      <w:r>
        <w:t xml:space="preserve"> </w:t>
      </w:r>
      <w:r w:rsidR="00D0421C" w:rsidRPr="00D0421C">
        <w:t>In females, a</w:t>
      </w:r>
      <w:r w:rsidR="008C2E34">
        <w:t xml:space="preserve"> higher proportion of cases was</w:t>
      </w:r>
      <w:r w:rsidR="00D0421C" w:rsidRPr="00D0421C">
        <w:t xml:space="preserve"> observed with </w:t>
      </w:r>
      <w:r w:rsidR="001B172C" w:rsidRPr="00D0421C">
        <w:t>dyspnoea</w:t>
      </w:r>
      <w:r w:rsidR="00D0421C" w:rsidRPr="00D0421C">
        <w:t xml:space="preserve">, pulmonary fibrosis, odynophagia, asthenia, and </w:t>
      </w:r>
      <w:r w:rsidR="001B172C" w:rsidRPr="00D0421C">
        <w:t>rhinorrhoea</w:t>
      </w:r>
      <w:r w:rsidR="00D0421C" w:rsidRPr="00D0421C">
        <w:t xml:space="preserve">; however, in males, the higher proportion of cases was due to chest pain, myalgia, adynamia, nausea, headache, dysgeusia, and arthralgia. Post-COVID-19 sequelae exclusive to men were: </w:t>
      </w:r>
      <w:r w:rsidR="001B172C" w:rsidRPr="00D0421C">
        <w:t>apnoea</w:t>
      </w:r>
      <w:r w:rsidR="00D0421C" w:rsidRPr="00D0421C">
        <w:t>, interstitial lung disease, heart failure, chronic bronchitis, dyslalia, insomnia, palpitations, dysphonia, and dysarthria, while in females, the following were observed exclusively: dysphagia, pharyngitis, nasal congestion, and fatigue</w:t>
      </w:r>
      <w:r w:rsidR="00B07EFA">
        <w:t xml:space="preserve"> (table </w:t>
      </w:r>
      <w:r w:rsidR="00D0421C">
        <w:t>2</w:t>
      </w:r>
      <w:r w:rsidR="00B07EFA">
        <w:t>).</w:t>
      </w:r>
    </w:p>
    <w:p w14:paraId="4E44DA69" w14:textId="77777777" w:rsidR="00B07EFA" w:rsidRDefault="00B07EFA" w:rsidP="00B07EFA">
      <w:pPr>
        <w:pStyle w:val="Body"/>
        <w:spacing w:after="0"/>
      </w:pPr>
    </w:p>
    <w:p w14:paraId="52A19AA3" w14:textId="48056B23" w:rsidR="00873F35" w:rsidRPr="00873F35" w:rsidRDefault="00873F35" w:rsidP="00873F35">
      <w:pPr>
        <w:tabs>
          <w:tab w:val="left" w:pos="1080"/>
        </w:tabs>
        <w:jc w:val="both"/>
        <w:rPr>
          <w:rFonts w:ascii="Arial" w:hAnsi="Arial"/>
          <w:b/>
          <w:sz w:val="22"/>
          <w:szCs w:val="22"/>
        </w:rPr>
      </w:pPr>
      <w:r w:rsidRPr="00873F35">
        <w:rPr>
          <w:rFonts w:ascii="Arial" w:hAnsi="Arial"/>
          <w:b/>
          <w:sz w:val="22"/>
          <w:szCs w:val="22"/>
        </w:rPr>
        <w:t xml:space="preserve">Table </w:t>
      </w:r>
      <w:r w:rsidR="001E53FF">
        <w:rPr>
          <w:rFonts w:ascii="Arial" w:hAnsi="Arial"/>
          <w:b/>
          <w:sz w:val="22"/>
          <w:szCs w:val="22"/>
        </w:rPr>
        <w:t>2</w:t>
      </w:r>
      <w:r w:rsidRPr="00873F35">
        <w:rPr>
          <w:rFonts w:ascii="Arial" w:hAnsi="Arial"/>
          <w:b/>
          <w:sz w:val="22"/>
          <w:szCs w:val="22"/>
        </w:rPr>
        <w:t>.</w:t>
      </w:r>
      <w:r w:rsidRPr="00873F35">
        <w:rPr>
          <w:rFonts w:ascii="Arial" w:hAnsi="Arial"/>
          <w:b/>
          <w:sz w:val="22"/>
          <w:szCs w:val="22"/>
        </w:rPr>
        <w:tab/>
      </w:r>
      <w:r w:rsidR="00904BCF" w:rsidRPr="00904BCF">
        <w:rPr>
          <w:rFonts w:ascii="Arial" w:hAnsi="Arial"/>
          <w:b/>
          <w:sz w:val="22"/>
          <w:szCs w:val="22"/>
        </w:rPr>
        <w:t xml:space="preserve">Clinical Manifestations Documented as </w:t>
      </w:r>
      <w:r w:rsidR="00A128B0" w:rsidRPr="00904BCF">
        <w:rPr>
          <w:rFonts w:ascii="Arial" w:hAnsi="Arial"/>
          <w:b/>
          <w:sz w:val="22"/>
          <w:szCs w:val="22"/>
        </w:rPr>
        <w:t>post-COVID</w:t>
      </w:r>
      <w:r w:rsidR="00904BCF" w:rsidRPr="00904BCF">
        <w:rPr>
          <w:rFonts w:ascii="Arial" w:hAnsi="Arial"/>
          <w:b/>
          <w:sz w:val="22"/>
          <w:szCs w:val="22"/>
        </w:rPr>
        <w:t>-19 Sequelae</w:t>
      </w:r>
      <w:r w:rsidRPr="00873F35">
        <w:rPr>
          <w:rFonts w:ascii="Arial" w:hAnsi="Arial"/>
          <w:b/>
          <w:sz w:val="22"/>
          <w:szCs w:val="22"/>
        </w:rPr>
        <w:t xml:space="preserve"> of the study population</w:t>
      </w:r>
    </w:p>
    <w:tbl>
      <w:tblPr>
        <w:tblStyle w:val="Tablaconcuadrcula"/>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2268"/>
        <w:gridCol w:w="2410"/>
      </w:tblGrid>
      <w:tr w:rsidR="00A128B0" w:rsidRPr="00A128B0" w14:paraId="616E226D" w14:textId="77777777" w:rsidTr="00A128B0">
        <w:trPr>
          <w:trHeight w:val="288"/>
        </w:trPr>
        <w:tc>
          <w:tcPr>
            <w:tcW w:w="1413" w:type="dxa"/>
            <w:tcBorders>
              <w:top w:val="single" w:sz="4" w:space="0" w:color="auto"/>
              <w:bottom w:val="single" w:sz="4" w:space="0" w:color="auto"/>
            </w:tcBorders>
            <w:noWrap/>
            <w:vAlign w:val="center"/>
            <w:hideMark/>
          </w:tcPr>
          <w:p w14:paraId="7D65E681" w14:textId="77777777" w:rsidR="00A128B0" w:rsidRPr="00A128B0" w:rsidRDefault="00A128B0" w:rsidP="00A128B0">
            <w:pPr>
              <w:pStyle w:val="Body"/>
              <w:spacing w:after="0"/>
              <w:rPr>
                <w:rFonts w:ascii="Arial" w:hAnsi="Arial" w:cs="Arial"/>
                <w:sz w:val="20"/>
                <w:szCs w:val="20"/>
                <w:lang w:val="en-US"/>
              </w:rPr>
            </w:pPr>
          </w:p>
        </w:tc>
        <w:tc>
          <w:tcPr>
            <w:tcW w:w="2268" w:type="dxa"/>
            <w:tcBorders>
              <w:top w:val="single" w:sz="4" w:space="0" w:color="auto"/>
              <w:bottom w:val="single" w:sz="4" w:space="0" w:color="auto"/>
            </w:tcBorders>
            <w:noWrap/>
            <w:vAlign w:val="center"/>
            <w:hideMark/>
          </w:tcPr>
          <w:p w14:paraId="5C1DBB04" w14:textId="77777777" w:rsidR="00A128B0" w:rsidRPr="00A128B0" w:rsidRDefault="00A128B0" w:rsidP="00A128B0">
            <w:pPr>
              <w:pStyle w:val="Body"/>
              <w:spacing w:after="0"/>
              <w:jc w:val="center"/>
              <w:rPr>
                <w:rFonts w:ascii="Arial" w:hAnsi="Arial" w:cs="Arial"/>
                <w:sz w:val="20"/>
                <w:szCs w:val="20"/>
              </w:rPr>
            </w:pPr>
            <w:r w:rsidRPr="00A128B0">
              <w:rPr>
                <w:rFonts w:ascii="Arial" w:hAnsi="Arial" w:cs="Arial"/>
                <w:sz w:val="20"/>
                <w:szCs w:val="20"/>
              </w:rPr>
              <w:t>Total Population</w:t>
            </w:r>
          </w:p>
          <w:p w14:paraId="4948CD7C" w14:textId="7B9C6A4F" w:rsidR="00A128B0" w:rsidRPr="00A128B0" w:rsidRDefault="00A128B0" w:rsidP="00A128B0">
            <w:pPr>
              <w:pStyle w:val="Body"/>
              <w:spacing w:after="0"/>
              <w:jc w:val="center"/>
              <w:rPr>
                <w:rFonts w:ascii="Arial" w:hAnsi="Arial" w:cs="Arial"/>
                <w:sz w:val="20"/>
                <w:szCs w:val="20"/>
              </w:rPr>
            </w:pPr>
            <w:r w:rsidRPr="00A128B0">
              <w:rPr>
                <w:rFonts w:ascii="Arial" w:hAnsi="Arial" w:cs="Arial"/>
                <w:sz w:val="20"/>
                <w:szCs w:val="20"/>
              </w:rPr>
              <w:t>N= 5,228</w:t>
            </w:r>
          </w:p>
        </w:tc>
        <w:tc>
          <w:tcPr>
            <w:tcW w:w="2268" w:type="dxa"/>
            <w:tcBorders>
              <w:top w:val="single" w:sz="4" w:space="0" w:color="auto"/>
              <w:bottom w:val="single" w:sz="4" w:space="0" w:color="auto"/>
            </w:tcBorders>
            <w:noWrap/>
            <w:vAlign w:val="center"/>
            <w:hideMark/>
          </w:tcPr>
          <w:p w14:paraId="7C71EF85" w14:textId="77777777" w:rsidR="00A128B0" w:rsidRPr="00A128B0" w:rsidRDefault="00A128B0" w:rsidP="00A128B0">
            <w:pPr>
              <w:pStyle w:val="Body"/>
              <w:spacing w:after="0"/>
              <w:jc w:val="center"/>
              <w:rPr>
                <w:rFonts w:ascii="Arial" w:hAnsi="Arial" w:cs="Arial"/>
                <w:sz w:val="20"/>
                <w:szCs w:val="20"/>
              </w:rPr>
            </w:pPr>
            <w:r w:rsidRPr="00A128B0">
              <w:rPr>
                <w:rFonts w:ascii="Arial" w:hAnsi="Arial" w:cs="Arial"/>
                <w:sz w:val="20"/>
                <w:szCs w:val="20"/>
              </w:rPr>
              <w:t>Females</w:t>
            </w:r>
          </w:p>
          <w:p w14:paraId="08FFFA2C" w14:textId="39FEB229" w:rsidR="00A128B0" w:rsidRPr="00A128B0" w:rsidRDefault="00A128B0" w:rsidP="00A128B0">
            <w:pPr>
              <w:pStyle w:val="Body"/>
              <w:spacing w:after="0"/>
              <w:jc w:val="center"/>
              <w:rPr>
                <w:rFonts w:ascii="Arial" w:hAnsi="Arial" w:cs="Arial"/>
                <w:sz w:val="20"/>
                <w:szCs w:val="20"/>
              </w:rPr>
            </w:pPr>
            <w:r w:rsidRPr="00A128B0">
              <w:rPr>
                <w:rFonts w:ascii="Arial" w:hAnsi="Arial" w:cs="Arial"/>
                <w:sz w:val="20"/>
                <w:szCs w:val="20"/>
              </w:rPr>
              <w:t>n= 85</w:t>
            </w:r>
          </w:p>
        </w:tc>
        <w:tc>
          <w:tcPr>
            <w:tcW w:w="2410" w:type="dxa"/>
            <w:tcBorders>
              <w:top w:val="single" w:sz="4" w:space="0" w:color="auto"/>
              <w:bottom w:val="single" w:sz="4" w:space="0" w:color="auto"/>
            </w:tcBorders>
            <w:noWrap/>
            <w:vAlign w:val="center"/>
            <w:hideMark/>
          </w:tcPr>
          <w:p w14:paraId="2097A375" w14:textId="77777777" w:rsidR="00A128B0" w:rsidRPr="00A128B0" w:rsidRDefault="00A128B0" w:rsidP="00A128B0">
            <w:pPr>
              <w:pStyle w:val="Body"/>
              <w:spacing w:after="0"/>
              <w:jc w:val="center"/>
              <w:rPr>
                <w:rFonts w:ascii="Arial" w:hAnsi="Arial" w:cs="Arial"/>
                <w:sz w:val="20"/>
                <w:szCs w:val="20"/>
              </w:rPr>
            </w:pPr>
            <w:r w:rsidRPr="00A128B0">
              <w:rPr>
                <w:rFonts w:ascii="Arial" w:hAnsi="Arial" w:cs="Arial"/>
                <w:sz w:val="20"/>
                <w:szCs w:val="20"/>
              </w:rPr>
              <w:t>Males</w:t>
            </w:r>
          </w:p>
          <w:p w14:paraId="5F2D2194" w14:textId="7466858F" w:rsidR="00A128B0" w:rsidRPr="00A128B0" w:rsidRDefault="00A128B0" w:rsidP="00A128B0">
            <w:pPr>
              <w:pStyle w:val="Body"/>
              <w:spacing w:after="0"/>
              <w:jc w:val="center"/>
              <w:rPr>
                <w:rFonts w:ascii="Arial" w:hAnsi="Arial" w:cs="Arial"/>
                <w:sz w:val="20"/>
                <w:szCs w:val="20"/>
              </w:rPr>
            </w:pPr>
            <w:r w:rsidRPr="00A128B0">
              <w:rPr>
                <w:rFonts w:ascii="Arial" w:hAnsi="Arial" w:cs="Arial"/>
                <w:sz w:val="20"/>
                <w:szCs w:val="20"/>
              </w:rPr>
              <w:t>n= 53</w:t>
            </w:r>
          </w:p>
        </w:tc>
      </w:tr>
      <w:tr w:rsidR="00A128B0" w:rsidRPr="001E53FF" w14:paraId="66F3D101" w14:textId="77777777" w:rsidTr="00A128B0">
        <w:trPr>
          <w:trHeight w:val="288"/>
        </w:trPr>
        <w:tc>
          <w:tcPr>
            <w:tcW w:w="1413" w:type="dxa"/>
            <w:tcBorders>
              <w:top w:val="single" w:sz="4" w:space="0" w:color="auto"/>
            </w:tcBorders>
            <w:shd w:val="clear" w:color="auto" w:fill="auto"/>
            <w:noWrap/>
            <w:vAlign w:val="center"/>
            <w:hideMark/>
          </w:tcPr>
          <w:p w14:paraId="592B8C82" w14:textId="797C8956" w:rsidR="00A128B0" w:rsidRPr="001E53FF" w:rsidRDefault="00A128B0" w:rsidP="00A128B0">
            <w:pPr>
              <w:pStyle w:val="Body"/>
              <w:spacing w:after="0"/>
              <w:rPr>
                <w:rFonts w:ascii="Arial" w:hAnsi="Arial" w:cs="Arial"/>
                <w:sz w:val="20"/>
                <w:szCs w:val="20"/>
              </w:rPr>
            </w:pPr>
            <w:bookmarkStart w:id="3" w:name="_Hlk195981136"/>
            <w:r w:rsidRPr="001E53FF">
              <w:rPr>
                <w:rFonts w:ascii="Arial" w:hAnsi="Arial" w:cs="Arial"/>
                <w:color w:val="000000"/>
                <w:sz w:val="20"/>
                <w:szCs w:val="20"/>
              </w:rPr>
              <w:t>Dyspnoea</w:t>
            </w:r>
            <w:bookmarkEnd w:id="3"/>
          </w:p>
        </w:tc>
        <w:tc>
          <w:tcPr>
            <w:tcW w:w="2268" w:type="dxa"/>
            <w:tcBorders>
              <w:top w:val="nil"/>
              <w:left w:val="nil"/>
              <w:bottom w:val="nil"/>
              <w:right w:val="nil"/>
            </w:tcBorders>
            <w:shd w:val="clear" w:color="auto" w:fill="auto"/>
            <w:noWrap/>
            <w:hideMark/>
          </w:tcPr>
          <w:p w14:paraId="76BA3A0E" w14:textId="6AFC93FA"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12; 8.7, (4.3-13.8)</w:t>
            </w:r>
          </w:p>
        </w:tc>
        <w:tc>
          <w:tcPr>
            <w:tcW w:w="2268" w:type="dxa"/>
            <w:tcBorders>
              <w:top w:val="single" w:sz="4" w:space="0" w:color="auto"/>
              <w:left w:val="nil"/>
              <w:bottom w:val="nil"/>
              <w:right w:val="nil"/>
            </w:tcBorders>
            <w:shd w:val="clear" w:color="auto" w:fill="auto"/>
            <w:noWrap/>
            <w:vAlign w:val="center"/>
            <w:hideMark/>
          </w:tcPr>
          <w:p w14:paraId="61521B54" w14:textId="3C791B52"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6; 11.3, (3.8-20.8)</w:t>
            </w:r>
          </w:p>
        </w:tc>
        <w:tc>
          <w:tcPr>
            <w:tcW w:w="2410" w:type="dxa"/>
            <w:tcBorders>
              <w:top w:val="single" w:sz="4" w:space="0" w:color="auto"/>
              <w:left w:val="nil"/>
              <w:bottom w:val="nil"/>
              <w:right w:val="nil"/>
            </w:tcBorders>
            <w:shd w:val="clear" w:color="auto" w:fill="auto"/>
            <w:noWrap/>
            <w:vAlign w:val="center"/>
            <w:hideMark/>
          </w:tcPr>
          <w:p w14:paraId="25EF4341" w14:textId="2FF170E6"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6; 7.1, (2.4-12.9)</w:t>
            </w:r>
          </w:p>
        </w:tc>
      </w:tr>
      <w:tr w:rsidR="00A128B0" w:rsidRPr="001E53FF" w14:paraId="3228302A" w14:textId="77777777" w:rsidTr="00A128B0">
        <w:trPr>
          <w:trHeight w:val="288"/>
        </w:trPr>
        <w:tc>
          <w:tcPr>
            <w:tcW w:w="1413" w:type="dxa"/>
            <w:shd w:val="clear" w:color="auto" w:fill="auto"/>
            <w:noWrap/>
            <w:vAlign w:val="center"/>
            <w:hideMark/>
          </w:tcPr>
          <w:p w14:paraId="32A5FCA3" w14:textId="5A618B8A" w:rsidR="00A128B0" w:rsidRPr="001E53FF" w:rsidRDefault="00A128B0" w:rsidP="00A128B0">
            <w:pPr>
              <w:pStyle w:val="Body"/>
              <w:spacing w:after="0"/>
              <w:rPr>
                <w:rFonts w:ascii="Arial" w:hAnsi="Arial" w:cs="Arial"/>
                <w:sz w:val="20"/>
                <w:szCs w:val="20"/>
              </w:rPr>
            </w:pPr>
            <w:r>
              <w:rPr>
                <w:rFonts w:ascii="Arial" w:hAnsi="Arial" w:cs="Arial"/>
                <w:sz w:val="20"/>
                <w:szCs w:val="20"/>
              </w:rPr>
              <w:t>PF</w:t>
            </w:r>
            <w:r w:rsidR="005B69DD">
              <w:rPr>
                <w:rFonts w:ascii="Arial" w:hAnsi="Arial" w:cs="Arial"/>
                <w:sz w:val="20"/>
                <w:szCs w:val="20"/>
              </w:rPr>
              <w:t>*</w:t>
            </w:r>
          </w:p>
        </w:tc>
        <w:tc>
          <w:tcPr>
            <w:tcW w:w="2268" w:type="dxa"/>
            <w:tcBorders>
              <w:top w:val="nil"/>
              <w:left w:val="nil"/>
              <w:bottom w:val="nil"/>
              <w:right w:val="nil"/>
            </w:tcBorders>
            <w:shd w:val="clear" w:color="auto" w:fill="auto"/>
            <w:noWrap/>
            <w:hideMark/>
          </w:tcPr>
          <w:p w14:paraId="24D9DAEC" w14:textId="1D56DB36"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14; 10.1, (5.1-15.9)</w:t>
            </w:r>
          </w:p>
        </w:tc>
        <w:tc>
          <w:tcPr>
            <w:tcW w:w="2268" w:type="dxa"/>
            <w:tcBorders>
              <w:top w:val="nil"/>
              <w:left w:val="nil"/>
              <w:bottom w:val="nil"/>
              <w:right w:val="nil"/>
            </w:tcBorders>
            <w:shd w:val="clear" w:color="auto" w:fill="auto"/>
            <w:noWrap/>
            <w:vAlign w:val="center"/>
            <w:hideMark/>
          </w:tcPr>
          <w:p w14:paraId="54B0642D" w14:textId="367E07AC"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9; 17, (7.5-28.3)</w:t>
            </w:r>
          </w:p>
        </w:tc>
        <w:tc>
          <w:tcPr>
            <w:tcW w:w="2410" w:type="dxa"/>
            <w:tcBorders>
              <w:top w:val="nil"/>
              <w:left w:val="nil"/>
              <w:bottom w:val="nil"/>
              <w:right w:val="nil"/>
            </w:tcBorders>
            <w:shd w:val="clear" w:color="auto" w:fill="auto"/>
            <w:noWrap/>
            <w:vAlign w:val="center"/>
            <w:hideMark/>
          </w:tcPr>
          <w:p w14:paraId="0E000764" w14:textId="761A6B48"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5; 5.9, (1.2-11.8)</w:t>
            </w:r>
          </w:p>
        </w:tc>
      </w:tr>
      <w:tr w:rsidR="00A128B0" w:rsidRPr="001E53FF" w14:paraId="75149100" w14:textId="77777777" w:rsidTr="00A128B0">
        <w:trPr>
          <w:trHeight w:val="288"/>
        </w:trPr>
        <w:tc>
          <w:tcPr>
            <w:tcW w:w="1413" w:type="dxa"/>
            <w:shd w:val="clear" w:color="auto" w:fill="auto"/>
            <w:noWrap/>
            <w:vAlign w:val="center"/>
            <w:hideMark/>
          </w:tcPr>
          <w:p w14:paraId="4ACC94DF" w14:textId="79F446BF"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Chest pain</w:t>
            </w:r>
          </w:p>
        </w:tc>
        <w:tc>
          <w:tcPr>
            <w:tcW w:w="2268" w:type="dxa"/>
            <w:tcBorders>
              <w:top w:val="nil"/>
              <w:left w:val="nil"/>
              <w:bottom w:val="nil"/>
              <w:right w:val="nil"/>
            </w:tcBorders>
            <w:shd w:val="clear" w:color="auto" w:fill="auto"/>
            <w:noWrap/>
            <w:hideMark/>
          </w:tcPr>
          <w:p w14:paraId="25781225" w14:textId="17C90390"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9; 6.5, (2.9-10.9)</w:t>
            </w:r>
          </w:p>
        </w:tc>
        <w:tc>
          <w:tcPr>
            <w:tcW w:w="2268" w:type="dxa"/>
            <w:tcBorders>
              <w:top w:val="nil"/>
              <w:left w:val="nil"/>
              <w:bottom w:val="nil"/>
              <w:right w:val="nil"/>
            </w:tcBorders>
            <w:shd w:val="clear" w:color="auto" w:fill="auto"/>
            <w:noWrap/>
            <w:vAlign w:val="center"/>
            <w:hideMark/>
          </w:tcPr>
          <w:p w14:paraId="0A5CD4D6" w14:textId="3E67DEB3"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3; 5.7, (0-11.3)</w:t>
            </w:r>
          </w:p>
        </w:tc>
        <w:tc>
          <w:tcPr>
            <w:tcW w:w="2410" w:type="dxa"/>
            <w:tcBorders>
              <w:top w:val="nil"/>
              <w:left w:val="nil"/>
              <w:bottom w:val="nil"/>
              <w:right w:val="nil"/>
            </w:tcBorders>
            <w:shd w:val="clear" w:color="auto" w:fill="auto"/>
            <w:noWrap/>
            <w:vAlign w:val="center"/>
            <w:hideMark/>
          </w:tcPr>
          <w:p w14:paraId="265DBC7B" w14:textId="0B1EE41B"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6; 7.1, (2.4-12.9)</w:t>
            </w:r>
          </w:p>
        </w:tc>
      </w:tr>
      <w:tr w:rsidR="00A128B0" w:rsidRPr="001E53FF" w14:paraId="1015E4AA" w14:textId="77777777" w:rsidTr="00A128B0">
        <w:trPr>
          <w:trHeight w:val="288"/>
        </w:trPr>
        <w:tc>
          <w:tcPr>
            <w:tcW w:w="1413" w:type="dxa"/>
            <w:shd w:val="clear" w:color="auto" w:fill="auto"/>
            <w:noWrap/>
            <w:vAlign w:val="center"/>
            <w:hideMark/>
          </w:tcPr>
          <w:p w14:paraId="310B906E" w14:textId="7A6BFEFB"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Cough</w:t>
            </w:r>
          </w:p>
        </w:tc>
        <w:tc>
          <w:tcPr>
            <w:tcW w:w="2268" w:type="dxa"/>
            <w:tcBorders>
              <w:top w:val="nil"/>
              <w:left w:val="nil"/>
              <w:bottom w:val="nil"/>
              <w:right w:val="nil"/>
            </w:tcBorders>
            <w:shd w:val="clear" w:color="auto" w:fill="auto"/>
            <w:noWrap/>
            <w:hideMark/>
          </w:tcPr>
          <w:p w14:paraId="23B0A74D" w14:textId="6049E500"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60; 43.5, (35.5-52.2)</w:t>
            </w:r>
          </w:p>
        </w:tc>
        <w:tc>
          <w:tcPr>
            <w:tcW w:w="2268" w:type="dxa"/>
            <w:tcBorders>
              <w:top w:val="nil"/>
              <w:left w:val="nil"/>
              <w:bottom w:val="nil"/>
              <w:right w:val="nil"/>
            </w:tcBorders>
            <w:shd w:val="clear" w:color="auto" w:fill="auto"/>
            <w:noWrap/>
            <w:vAlign w:val="center"/>
            <w:hideMark/>
          </w:tcPr>
          <w:p w14:paraId="4B0EF88F" w14:textId="2B708D62"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23; 43.4, (30.2-56.6)</w:t>
            </w:r>
          </w:p>
        </w:tc>
        <w:tc>
          <w:tcPr>
            <w:tcW w:w="2410" w:type="dxa"/>
            <w:tcBorders>
              <w:top w:val="nil"/>
              <w:left w:val="nil"/>
              <w:bottom w:val="nil"/>
              <w:right w:val="nil"/>
            </w:tcBorders>
            <w:shd w:val="clear" w:color="auto" w:fill="auto"/>
            <w:noWrap/>
            <w:vAlign w:val="center"/>
            <w:hideMark/>
          </w:tcPr>
          <w:p w14:paraId="186259A6" w14:textId="13F393FC"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37; 43.5, (32.9-54.1)</w:t>
            </w:r>
          </w:p>
        </w:tc>
      </w:tr>
      <w:tr w:rsidR="00A128B0" w:rsidRPr="001E53FF" w14:paraId="4A8EF64E" w14:textId="77777777" w:rsidTr="00A128B0">
        <w:trPr>
          <w:trHeight w:val="288"/>
        </w:trPr>
        <w:tc>
          <w:tcPr>
            <w:tcW w:w="1413" w:type="dxa"/>
            <w:shd w:val="clear" w:color="auto" w:fill="auto"/>
            <w:noWrap/>
            <w:vAlign w:val="center"/>
            <w:hideMark/>
          </w:tcPr>
          <w:p w14:paraId="32F1F971" w14:textId="58A1DB5E"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Odynophagia</w:t>
            </w:r>
          </w:p>
        </w:tc>
        <w:tc>
          <w:tcPr>
            <w:tcW w:w="2268" w:type="dxa"/>
            <w:tcBorders>
              <w:top w:val="nil"/>
              <w:left w:val="nil"/>
              <w:bottom w:val="nil"/>
              <w:right w:val="nil"/>
            </w:tcBorders>
            <w:shd w:val="clear" w:color="auto" w:fill="auto"/>
            <w:noWrap/>
            <w:hideMark/>
          </w:tcPr>
          <w:p w14:paraId="07FB39EC" w14:textId="5A2F2B42"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22; 15.9, (10.1-22.4)</w:t>
            </w:r>
          </w:p>
        </w:tc>
        <w:tc>
          <w:tcPr>
            <w:tcW w:w="2268" w:type="dxa"/>
            <w:tcBorders>
              <w:top w:val="nil"/>
              <w:left w:val="nil"/>
              <w:bottom w:val="nil"/>
              <w:right w:val="nil"/>
            </w:tcBorders>
            <w:shd w:val="clear" w:color="auto" w:fill="auto"/>
            <w:noWrap/>
            <w:vAlign w:val="center"/>
            <w:hideMark/>
          </w:tcPr>
          <w:p w14:paraId="4BE9CC5B" w14:textId="6FFDA574"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9; 17, (7.5-28.3)</w:t>
            </w:r>
          </w:p>
        </w:tc>
        <w:tc>
          <w:tcPr>
            <w:tcW w:w="2410" w:type="dxa"/>
            <w:tcBorders>
              <w:top w:val="nil"/>
              <w:left w:val="nil"/>
              <w:bottom w:val="nil"/>
              <w:right w:val="nil"/>
            </w:tcBorders>
            <w:shd w:val="clear" w:color="auto" w:fill="auto"/>
            <w:noWrap/>
            <w:vAlign w:val="center"/>
            <w:hideMark/>
          </w:tcPr>
          <w:p w14:paraId="63518CAF" w14:textId="26F48548"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13; 15.3, (8.2-24.7)</w:t>
            </w:r>
          </w:p>
        </w:tc>
      </w:tr>
      <w:tr w:rsidR="00A128B0" w:rsidRPr="001E53FF" w14:paraId="044D7D9C" w14:textId="77777777" w:rsidTr="00A128B0">
        <w:trPr>
          <w:trHeight w:val="288"/>
        </w:trPr>
        <w:tc>
          <w:tcPr>
            <w:tcW w:w="1413" w:type="dxa"/>
            <w:shd w:val="clear" w:color="auto" w:fill="auto"/>
            <w:noWrap/>
            <w:vAlign w:val="center"/>
            <w:hideMark/>
          </w:tcPr>
          <w:p w14:paraId="698BFB48" w14:textId="6EC09B80"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Heart failure</w:t>
            </w:r>
          </w:p>
        </w:tc>
        <w:tc>
          <w:tcPr>
            <w:tcW w:w="2268" w:type="dxa"/>
            <w:tcBorders>
              <w:top w:val="nil"/>
              <w:left w:val="nil"/>
              <w:bottom w:val="nil"/>
              <w:right w:val="nil"/>
            </w:tcBorders>
            <w:shd w:val="clear" w:color="auto" w:fill="auto"/>
            <w:noWrap/>
            <w:hideMark/>
          </w:tcPr>
          <w:p w14:paraId="3A33D70B" w14:textId="0C7AAA9D"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hideMark/>
          </w:tcPr>
          <w:p w14:paraId="71CD8B52" w14:textId="431A4F21"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0; 0, (0-0)</w:t>
            </w:r>
          </w:p>
        </w:tc>
        <w:tc>
          <w:tcPr>
            <w:tcW w:w="2410" w:type="dxa"/>
            <w:tcBorders>
              <w:top w:val="nil"/>
              <w:left w:val="nil"/>
              <w:bottom w:val="nil"/>
              <w:right w:val="nil"/>
            </w:tcBorders>
            <w:shd w:val="clear" w:color="auto" w:fill="auto"/>
            <w:noWrap/>
            <w:vAlign w:val="center"/>
            <w:hideMark/>
          </w:tcPr>
          <w:p w14:paraId="7566D02E" w14:textId="49BBDF3F"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 1.2, (0-3.5)</w:t>
            </w:r>
          </w:p>
        </w:tc>
      </w:tr>
      <w:tr w:rsidR="00A128B0" w:rsidRPr="001E53FF" w14:paraId="70F03227" w14:textId="77777777" w:rsidTr="00A128B0">
        <w:trPr>
          <w:trHeight w:val="288"/>
        </w:trPr>
        <w:tc>
          <w:tcPr>
            <w:tcW w:w="1413" w:type="dxa"/>
            <w:shd w:val="clear" w:color="auto" w:fill="auto"/>
            <w:noWrap/>
            <w:vAlign w:val="center"/>
            <w:hideMark/>
          </w:tcPr>
          <w:p w14:paraId="2BD877C1" w14:textId="08FC1813"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Myalgia</w:t>
            </w:r>
          </w:p>
        </w:tc>
        <w:tc>
          <w:tcPr>
            <w:tcW w:w="2268" w:type="dxa"/>
            <w:tcBorders>
              <w:top w:val="nil"/>
              <w:left w:val="nil"/>
              <w:bottom w:val="nil"/>
              <w:right w:val="nil"/>
            </w:tcBorders>
            <w:shd w:val="clear" w:color="auto" w:fill="auto"/>
            <w:noWrap/>
            <w:hideMark/>
          </w:tcPr>
          <w:p w14:paraId="2A76F5CA" w14:textId="0B3DEDAD"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17; 12.3, (7.2-18.1)</w:t>
            </w:r>
          </w:p>
        </w:tc>
        <w:tc>
          <w:tcPr>
            <w:tcW w:w="2268" w:type="dxa"/>
            <w:tcBorders>
              <w:top w:val="nil"/>
              <w:left w:val="nil"/>
              <w:bottom w:val="nil"/>
              <w:right w:val="nil"/>
            </w:tcBorders>
            <w:shd w:val="clear" w:color="auto" w:fill="auto"/>
            <w:noWrap/>
            <w:vAlign w:val="center"/>
            <w:hideMark/>
          </w:tcPr>
          <w:p w14:paraId="30C01595" w14:textId="1F8CF60A"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4; 7.5, (1.9-15.1)</w:t>
            </w:r>
          </w:p>
        </w:tc>
        <w:tc>
          <w:tcPr>
            <w:tcW w:w="2410" w:type="dxa"/>
            <w:tcBorders>
              <w:top w:val="nil"/>
              <w:left w:val="nil"/>
              <w:bottom w:val="nil"/>
              <w:right w:val="nil"/>
            </w:tcBorders>
            <w:shd w:val="clear" w:color="auto" w:fill="auto"/>
            <w:noWrap/>
            <w:vAlign w:val="center"/>
            <w:hideMark/>
          </w:tcPr>
          <w:p w14:paraId="5408CEBE" w14:textId="3A208D38"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13; 15.3, (8.2-22.4)</w:t>
            </w:r>
          </w:p>
        </w:tc>
      </w:tr>
      <w:tr w:rsidR="00A128B0" w:rsidRPr="001E53FF" w14:paraId="450B1E68" w14:textId="77777777" w:rsidTr="00A128B0">
        <w:trPr>
          <w:trHeight w:val="288"/>
        </w:trPr>
        <w:tc>
          <w:tcPr>
            <w:tcW w:w="1413" w:type="dxa"/>
            <w:shd w:val="clear" w:color="auto" w:fill="auto"/>
            <w:noWrap/>
            <w:vAlign w:val="center"/>
            <w:hideMark/>
          </w:tcPr>
          <w:p w14:paraId="49C0E7EC" w14:textId="540779B3"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Asthenia</w:t>
            </w:r>
          </w:p>
        </w:tc>
        <w:tc>
          <w:tcPr>
            <w:tcW w:w="2268" w:type="dxa"/>
            <w:tcBorders>
              <w:top w:val="nil"/>
              <w:left w:val="nil"/>
              <w:bottom w:val="nil"/>
              <w:right w:val="nil"/>
            </w:tcBorders>
            <w:shd w:val="clear" w:color="auto" w:fill="auto"/>
            <w:noWrap/>
            <w:hideMark/>
          </w:tcPr>
          <w:p w14:paraId="088E15FD" w14:textId="14A71DBD"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7; 5.1, (1.4-9.4)</w:t>
            </w:r>
          </w:p>
        </w:tc>
        <w:tc>
          <w:tcPr>
            <w:tcW w:w="2268" w:type="dxa"/>
            <w:tcBorders>
              <w:top w:val="nil"/>
              <w:left w:val="nil"/>
              <w:bottom w:val="nil"/>
              <w:right w:val="nil"/>
            </w:tcBorders>
            <w:shd w:val="clear" w:color="auto" w:fill="auto"/>
            <w:noWrap/>
            <w:vAlign w:val="center"/>
            <w:hideMark/>
          </w:tcPr>
          <w:p w14:paraId="4DEE48CD" w14:textId="6C55EDFF"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4; 7.5, (1.9-15.1)</w:t>
            </w:r>
          </w:p>
        </w:tc>
        <w:tc>
          <w:tcPr>
            <w:tcW w:w="2410" w:type="dxa"/>
            <w:tcBorders>
              <w:top w:val="nil"/>
              <w:left w:val="nil"/>
              <w:bottom w:val="nil"/>
              <w:right w:val="nil"/>
            </w:tcBorders>
            <w:shd w:val="clear" w:color="auto" w:fill="auto"/>
            <w:noWrap/>
            <w:vAlign w:val="center"/>
            <w:hideMark/>
          </w:tcPr>
          <w:p w14:paraId="496BBBA9" w14:textId="748ADB91"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3; 3.5, (0-8.2)</w:t>
            </w:r>
          </w:p>
        </w:tc>
      </w:tr>
      <w:tr w:rsidR="00A128B0" w:rsidRPr="001E53FF" w14:paraId="11C19CB6" w14:textId="77777777" w:rsidTr="00A128B0">
        <w:trPr>
          <w:trHeight w:val="288"/>
        </w:trPr>
        <w:tc>
          <w:tcPr>
            <w:tcW w:w="1413" w:type="dxa"/>
            <w:shd w:val="clear" w:color="auto" w:fill="auto"/>
            <w:noWrap/>
            <w:vAlign w:val="center"/>
            <w:hideMark/>
          </w:tcPr>
          <w:p w14:paraId="569A57B8" w14:textId="422B1722" w:rsidR="00A128B0" w:rsidRPr="001E53FF" w:rsidRDefault="00A128B0" w:rsidP="00A128B0">
            <w:pPr>
              <w:pStyle w:val="Body"/>
              <w:spacing w:after="0"/>
              <w:rPr>
                <w:rFonts w:ascii="Arial" w:hAnsi="Arial" w:cs="Arial"/>
                <w:sz w:val="20"/>
                <w:szCs w:val="20"/>
              </w:rPr>
            </w:pPr>
            <w:r>
              <w:rPr>
                <w:rFonts w:ascii="Arial" w:hAnsi="Arial" w:cs="Arial"/>
                <w:sz w:val="20"/>
                <w:szCs w:val="20"/>
              </w:rPr>
              <w:t>CB</w:t>
            </w:r>
          </w:p>
        </w:tc>
        <w:tc>
          <w:tcPr>
            <w:tcW w:w="2268" w:type="dxa"/>
            <w:tcBorders>
              <w:top w:val="nil"/>
              <w:left w:val="nil"/>
              <w:bottom w:val="nil"/>
              <w:right w:val="nil"/>
            </w:tcBorders>
            <w:shd w:val="clear" w:color="auto" w:fill="auto"/>
            <w:noWrap/>
            <w:hideMark/>
          </w:tcPr>
          <w:p w14:paraId="7A2402CF" w14:textId="4B56798F"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2; 1.4, (0-3.6)</w:t>
            </w:r>
          </w:p>
        </w:tc>
        <w:tc>
          <w:tcPr>
            <w:tcW w:w="2268" w:type="dxa"/>
            <w:tcBorders>
              <w:top w:val="nil"/>
              <w:left w:val="nil"/>
              <w:bottom w:val="nil"/>
              <w:right w:val="nil"/>
            </w:tcBorders>
            <w:shd w:val="clear" w:color="auto" w:fill="auto"/>
            <w:noWrap/>
            <w:vAlign w:val="center"/>
            <w:hideMark/>
          </w:tcPr>
          <w:p w14:paraId="528CBEA7" w14:textId="6713D5AE"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0; 0, (0-0)</w:t>
            </w:r>
          </w:p>
        </w:tc>
        <w:tc>
          <w:tcPr>
            <w:tcW w:w="2410" w:type="dxa"/>
            <w:tcBorders>
              <w:top w:val="nil"/>
              <w:left w:val="nil"/>
              <w:bottom w:val="nil"/>
              <w:right w:val="nil"/>
            </w:tcBorders>
            <w:shd w:val="clear" w:color="auto" w:fill="auto"/>
            <w:noWrap/>
            <w:vAlign w:val="center"/>
            <w:hideMark/>
          </w:tcPr>
          <w:p w14:paraId="7C7AE574" w14:textId="06A47F5B"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2; 2.4, (0-5.9)</w:t>
            </w:r>
          </w:p>
        </w:tc>
      </w:tr>
      <w:tr w:rsidR="00A128B0" w:rsidRPr="001E53FF" w14:paraId="4D84A8C7" w14:textId="77777777" w:rsidTr="00A128B0">
        <w:trPr>
          <w:trHeight w:val="288"/>
        </w:trPr>
        <w:tc>
          <w:tcPr>
            <w:tcW w:w="1413" w:type="dxa"/>
            <w:shd w:val="clear" w:color="auto" w:fill="auto"/>
            <w:noWrap/>
            <w:vAlign w:val="center"/>
            <w:hideMark/>
          </w:tcPr>
          <w:p w14:paraId="4BA5B879" w14:textId="6E675B76"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Dysphagia</w:t>
            </w:r>
          </w:p>
        </w:tc>
        <w:tc>
          <w:tcPr>
            <w:tcW w:w="2268" w:type="dxa"/>
            <w:tcBorders>
              <w:top w:val="nil"/>
              <w:left w:val="nil"/>
              <w:bottom w:val="nil"/>
              <w:right w:val="nil"/>
            </w:tcBorders>
            <w:shd w:val="clear" w:color="auto" w:fill="auto"/>
            <w:noWrap/>
            <w:hideMark/>
          </w:tcPr>
          <w:p w14:paraId="2FA2E94D" w14:textId="51602EB1"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hideMark/>
          </w:tcPr>
          <w:p w14:paraId="17DD05AB" w14:textId="41C605C2"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1; 1.9, (0-5.7)</w:t>
            </w:r>
          </w:p>
        </w:tc>
        <w:tc>
          <w:tcPr>
            <w:tcW w:w="2410" w:type="dxa"/>
            <w:tcBorders>
              <w:top w:val="nil"/>
              <w:left w:val="nil"/>
              <w:bottom w:val="nil"/>
              <w:right w:val="nil"/>
            </w:tcBorders>
            <w:shd w:val="clear" w:color="auto" w:fill="auto"/>
            <w:noWrap/>
            <w:vAlign w:val="center"/>
            <w:hideMark/>
          </w:tcPr>
          <w:p w14:paraId="152F2AAB" w14:textId="46BA6A6F"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0; 0, (0-0)</w:t>
            </w:r>
          </w:p>
        </w:tc>
      </w:tr>
      <w:tr w:rsidR="00A128B0" w:rsidRPr="001E53FF" w14:paraId="5A810175" w14:textId="77777777" w:rsidTr="00A128B0">
        <w:trPr>
          <w:trHeight w:val="288"/>
        </w:trPr>
        <w:tc>
          <w:tcPr>
            <w:tcW w:w="1413" w:type="dxa"/>
            <w:shd w:val="clear" w:color="auto" w:fill="auto"/>
            <w:noWrap/>
            <w:vAlign w:val="center"/>
            <w:hideMark/>
          </w:tcPr>
          <w:p w14:paraId="754BBF25" w14:textId="60DE7FD3"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Adynamia</w:t>
            </w:r>
          </w:p>
        </w:tc>
        <w:tc>
          <w:tcPr>
            <w:tcW w:w="2268" w:type="dxa"/>
            <w:tcBorders>
              <w:top w:val="nil"/>
              <w:left w:val="nil"/>
              <w:bottom w:val="nil"/>
              <w:right w:val="nil"/>
            </w:tcBorders>
            <w:shd w:val="clear" w:color="auto" w:fill="auto"/>
            <w:noWrap/>
            <w:hideMark/>
          </w:tcPr>
          <w:p w14:paraId="75F0DB02" w14:textId="0CE0094D"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3; 2.2, (0-5.1)</w:t>
            </w:r>
          </w:p>
        </w:tc>
        <w:tc>
          <w:tcPr>
            <w:tcW w:w="2268" w:type="dxa"/>
            <w:tcBorders>
              <w:top w:val="nil"/>
              <w:left w:val="nil"/>
              <w:bottom w:val="nil"/>
              <w:right w:val="nil"/>
            </w:tcBorders>
            <w:shd w:val="clear" w:color="auto" w:fill="auto"/>
            <w:noWrap/>
            <w:vAlign w:val="center"/>
            <w:hideMark/>
          </w:tcPr>
          <w:p w14:paraId="340EE393" w14:textId="45134C40"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1; 1.9, (0-5.7)</w:t>
            </w:r>
          </w:p>
        </w:tc>
        <w:tc>
          <w:tcPr>
            <w:tcW w:w="2410" w:type="dxa"/>
            <w:tcBorders>
              <w:top w:val="nil"/>
              <w:left w:val="nil"/>
              <w:bottom w:val="nil"/>
              <w:right w:val="nil"/>
            </w:tcBorders>
            <w:shd w:val="clear" w:color="auto" w:fill="auto"/>
            <w:noWrap/>
            <w:vAlign w:val="center"/>
            <w:hideMark/>
          </w:tcPr>
          <w:p w14:paraId="3A3D3E04" w14:textId="11DC396F"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2; 2.4, (0-5.9)</w:t>
            </w:r>
          </w:p>
        </w:tc>
      </w:tr>
      <w:tr w:rsidR="00A128B0" w:rsidRPr="001E53FF" w14:paraId="2D5A503E" w14:textId="77777777" w:rsidTr="00A128B0">
        <w:trPr>
          <w:trHeight w:val="288"/>
        </w:trPr>
        <w:tc>
          <w:tcPr>
            <w:tcW w:w="1413" w:type="dxa"/>
            <w:shd w:val="clear" w:color="auto" w:fill="auto"/>
            <w:noWrap/>
            <w:vAlign w:val="center"/>
            <w:hideMark/>
          </w:tcPr>
          <w:p w14:paraId="2221D5D3" w14:textId="2B3DB7E6"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Nausea</w:t>
            </w:r>
          </w:p>
        </w:tc>
        <w:tc>
          <w:tcPr>
            <w:tcW w:w="2268" w:type="dxa"/>
            <w:tcBorders>
              <w:top w:val="nil"/>
              <w:left w:val="nil"/>
              <w:bottom w:val="nil"/>
              <w:right w:val="nil"/>
            </w:tcBorders>
            <w:shd w:val="clear" w:color="auto" w:fill="auto"/>
            <w:noWrap/>
            <w:hideMark/>
          </w:tcPr>
          <w:p w14:paraId="0714BDD9" w14:textId="44F0CE2D"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4; 2.9, (0.7-6.5)</w:t>
            </w:r>
          </w:p>
        </w:tc>
        <w:tc>
          <w:tcPr>
            <w:tcW w:w="2268" w:type="dxa"/>
            <w:tcBorders>
              <w:top w:val="nil"/>
              <w:left w:val="nil"/>
              <w:bottom w:val="nil"/>
              <w:right w:val="nil"/>
            </w:tcBorders>
            <w:shd w:val="clear" w:color="auto" w:fill="auto"/>
            <w:noWrap/>
            <w:vAlign w:val="center"/>
            <w:hideMark/>
          </w:tcPr>
          <w:p w14:paraId="41C3D82B" w14:textId="77317229"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1; 1.9, (0-5.7)</w:t>
            </w:r>
          </w:p>
        </w:tc>
        <w:tc>
          <w:tcPr>
            <w:tcW w:w="2410" w:type="dxa"/>
            <w:tcBorders>
              <w:top w:val="nil"/>
              <w:left w:val="nil"/>
              <w:bottom w:val="nil"/>
              <w:right w:val="nil"/>
            </w:tcBorders>
            <w:shd w:val="clear" w:color="auto" w:fill="auto"/>
            <w:noWrap/>
            <w:vAlign w:val="center"/>
            <w:hideMark/>
          </w:tcPr>
          <w:p w14:paraId="1148B527" w14:textId="76577F23"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3; 3.5, (0-7.1)</w:t>
            </w:r>
          </w:p>
        </w:tc>
      </w:tr>
      <w:tr w:rsidR="00A128B0" w:rsidRPr="001E53FF" w14:paraId="28D70B29" w14:textId="77777777" w:rsidTr="00A128B0">
        <w:trPr>
          <w:trHeight w:val="288"/>
        </w:trPr>
        <w:tc>
          <w:tcPr>
            <w:tcW w:w="1413" w:type="dxa"/>
            <w:shd w:val="clear" w:color="auto" w:fill="auto"/>
            <w:noWrap/>
            <w:vAlign w:val="center"/>
            <w:hideMark/>
          </w:tcPr>
          <w:p w14:paraId="7CC52167" w14:textId="0BD9C7C6"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Rhinorrhoea</w:t>
            </w:r>
          </w:p>
        </w:tc>
        <w:tc>
          <w:tcPr>
            <w:tcW w:w="2268" w:type="dxa"/>
            <w:tcBorders>
              <w:top w:val="nil"/>
              <w:left w:val="nil"/>
              <w:bottom w:val="nil"/>
              <w:right w:val="nil"/>
            </w:tcBorders>
            <w:shd w:val="clear" w:color="auto" w:fill="auto"/>
            <w:noWrap/>
            <w:hideMark/>
          </w:tcPr>
          <w:p w14:paraId="319F662D" w14:textId="7277554D"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14; 10.1, (5.1-15.2)</w:t>
            </w:r>
          </w:p>
        </w:tc>
        <w:tc>
          <w:tcPr>
            <w:tcW w:w="2268" w:type="dxa"/>
            <w:tcBorders>
              <w:top w:val="nil"/>
              <w:left w:val="nil"/>
              <w:bottom w:val="nil"/>
              <w:right w:val="nil"/>
            </w:tcBorders>
            <w:shd w:val="clear" w:color="auto" w:fill="auto"/>
            <w:noWrap/>
            <w:vAlign w:val="center"/>
            <w:hideMark/>
          </w:tcPr>
          <w:p w14:paraId="4B1FACA1" w14:textId="6D4BC627"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6; 11.3, (3.8-20.8)</w:t>
            </w:r>
          </w:p>
        </w:tc>
        <w:tc>
          <w:tcPr>
            <w:tcW w:w="2410" w:type="dxa"/>
            <w:tcBorders>
              <w:top w:val="nil"/>
              <w:left w:val="nil"/>
              <w:bottom w:val="nil"/>
              <w:right w:val="nil"/>
            </w:tcBorders>
            <w:shd w:val="clear" w:color="auto" w:fill="auto"/>
            <w:noWrap/>
            <w:vAlign w:val="center"/>
            <w:hideMark/>
          </w:tcPr>
          <w:p w14:paraId="192E85FD" w14:textId="6835A03D"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8; 9.4, (3.5-15.3)</w:t>
            </w:r>
          </w:p>
        </w:tc>
      </w:tr>
      <w:tr w:rsidR="00A128B0" w:rsidRPr="001E53FF" w14:paraId="4715B6BB" w14:textId="77777777" w:rsidTr="00A128B0">
        <w:trPr>
          <w:trHeight w:val="288"/>
        </w:trPr>
        <w:tc>
          <w:tcPr>
            <w:tcW w:w="1413" w:type="dxa"/>
            <w:shd w:val="clear" w:color="auto" w:fill="auto"/>
            <w:noWrap/>
            <w:vAlign w:val="center"/>
            <w:hideMark/>
          </w:tcPr>
          <w:p w14:paraId="5CD3EBF9" w14:textId="55014CBE"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Headache</w:t>
            </w:r>
          </w:p>
        </w:tc>
        <w:tc>
          <w:tcPr>
            <w:tcW w:w="2268" w:type="dxa"/>
            <w:tcBorders>
              <w:top w:val="nil"/>
              <w:left w:val="nil"/>
              <w:bottom w:val="nil"/>
              <w:right w:val="nil"/>
            </w:tcBorders>
            <w:shd w:val="clear" w:color="auto" w:fill="auto"/>
            <w:noWrap/>
            <w:hideMark/>
          </w:tcPr>
          <w:p w14:paraId="4910A59E" w14:textId="78829668"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18; 13, (8-18.8)</w:t>
            </w:r>
          </w:p>
        </w:tc>
        <w:tc>
          <w:tcPr>
            <w:tcW w:w="2268" w:type="dxa"/>
            <w:tcBorders>
              <w:top w:val="nil"/>
              <w:left w:val="nil"/>
              <w:bottom w:val="nil"/>
              <w:right w:val="nil"/>
            </w:tcBorders>
            <w:shd w:val="clear" w:color="auto" w:fill="auto"/>
            <w:noWrap/>
            <w:vAlign w:val="center"/>
            <w:hideMark/>
          </w:tcPr>
          <w:p w14:paraId="1EAE8966" w14:textId="39485554"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5; 9.4, (1.9-18.8)</w:t>
            </w:r>
          </w:p>
        </w:tc>
        <w:tc>
          <w:tcPr>
            <w:tcW w:w="2410" w:type="dxa"/>
            <w:tcBorders>
              <w:top w:val="nil"/>
              <w:left w:val="nil"/>
              <w:bottom w:val="nil"/>
              <w:right w:val="nil"/>
            </w:tcBorders>
            <w:shd w:val="clear" w:color="auto" w:fill="auto"/>
            <w:noWrap/>
            <w:vAlign w:val="center"/>
            <w:hideMark/>
          </w:tcPr>
          <w:p w14:paraId="28D9D038" w14:textId="03F7DE20"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13; 15.3, (8.2-23.5)</w:t>
            </w:r>
          </w:p>
        </w:tc>
      </w:tr>
      <w:tr w:rsidR="00A128B0" w:rsidRPr="001E53FF" w14:paraId="3DE08CCD" w14:textId="77777777" w:rsidTr="00A128B0">
        <w:trPr>
          <w:trHeight w:val="288"/>
        </w:trPr>
        <w:tc>
          <w:tcPr>
            <w:tcW w:w="1413" w:type="dxa"/>
            <w:shd w:val="clear" w:color="auto" w:fill="auto"/>
            <w:noWrap/>
            <w:vAlign w:val="center"/>
            <w:hideMark/>
          </w:tcPr>
          <w:p w14:paraId="270FFB3A" w14:textId="034C5CA6"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Dyslalia</w:t>
            </w:r>
          </w:p>
        </w:tc>
        <w:tc>
          <w:tcPr>
            <w:tcW w:w="2268" w:type="dxa"/>
            <w:tcBorders>
              <w:top w:val="nil"/>
              <w:left w:val="nil"/>
              <w:bottom w:val="nil"/>
              <w:right w:val="nil"/>
            </w:tcBorders>
            <w:shd w:val="clear" w:color="auto" w:fill="auto"/>
            <w:noWrap/>
            <w:hideMark/>
          </w:tcPr>
          <w:p w14:paraId="2B25AB00" w14:textId="22F8A7E1"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hideMark/>
          </w:tcPr>
          <w:p w14:paraId="5F1DEB0D" w14:textId="0735EE35"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0; 0, (0-0)</w:t>
            </w:r>
          </w:p>
        </w:tc>
        <w:tc>
          <w:tcPr>
            <w:tcW w:w="2410" w:type="dxa"/>
            <w:tcBorders>
              <w:top w:val="nil"/>
              <w:left w:val="nil"/>
              <w:bottom w:val="nil"/>
              <w:right w:val="nil"/>
            </w:tcBorders>
            <w:shd w:val="clear" w:color="auto" w:fill="auto"/>
            <w:noWrap/>
            <w:vAlign w:val="center"/>
            <w:hideMark/>
          </w:tcPr>
          <w:p w14:paraId="19CF3993" w14:textId="48DD1BB4"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 1.2, (0-3.5)</w:t>
            </w:r>
          </w:p>
        </w:tc>
      </w:tr>
      <w:tr w:rsidR="00A128B0" w:rsidRPr="001E53FF" w14:paraId="4E6BA631" w14:textId="77777777" w:rsidTr="00A128B0">
        <w:trPr>
          <w:trHeight w:val="288"/>
        </w:trPr>
        <w:tc>
          <w:tcPr>
            <w:tcW w:w="1413" w:type="dxa"/>
            <w:shd w:val="clear" w:color="auto" w:fill="auto"/>
            <w:noWrap/>
            <w:vAlign w:val="center"/>
            <w:hideMark/>
          </w:tcPr>
          <w:p w14:paraId="6A866A7D" w14:textId="27F91C85"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Dysgeusia</w:t>
            </w:r>
          </w:p>
        </w:tc>
        <w:tc>
          <w:tcPr>
            <w:tcW w:w="2268" w:type="dxa"/>
            <w:tcBorders>
              <w:top w:val="nil"/>
              <w:left w:val="nil"/>
              <w:bottom w:val="nil"/>
              <w:right w:val="nil"/>
            </w:tcBorders>
            <w:shd w:val="clear" w:color="auto" w:fill="auto"/>
            <w:noWrap/>
            <w:hideMark/>
          </w:tcPr>
          <w:p w14:paraId="41B02B55" w14:textId="05987143"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3; 2.2, (0-5.1)</w:t>
            </w:r>
          </w:p>
        </w:tc>
        <w:tc>
          <w:tcPr>
            <w:tcW w:w="2268" w:type="dxa"/>
            <w:tcBorders>
              <w:top w:val="nil"/>
              <w:left w:val="nil"/>
              <w:bottom w:val="nil"/>
              <w:right w:val="nil"/>
            </w:tcBorders>
            <w:shd w:val="clear" w:color="auto" w:fill="auto"/>
            <w:noWrap/>
            <w:vAlign w:val="center"/>
            <w:hideMark/>
          </w:tcPr>
          <w:p w14:paraId="1E7B2144" w14:textId="0CB83900"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1; 1.9, (0-5.7)</w:t>
            </w:r>
          </w:p>
        </w:tc>
        <w:tc>
          <w:tcPr>
            <w:tcW w:w="2410" w:type="dxa"/>
            <w:tcBorders>
              <w:top w:val="nil"/>
              <w:left w:val="nil"/>
              <w:bottom w:val="nil"/>
              <w:right w:val="nil"/>
            </w:tcBorders>
            <w:shd w:val="clear" w:color="auto" w:fill="auto"/>
            <w:noWrap/>
            <w:vAlign w:val="center"/>
            <w:hideMark/>
          </w:tcPr>
          <w:p w14:paraId="74B7E8D2" w14:textId="778B5892"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2; 2.4, (0-5.9)</w:t>
            </w:r>
          </w:p>
        </w:tc>
      </w:tr>
      <w:tr w:rsidR="00A128B0" w:rsidRPr="001E53FF" w14:paraId="27E7F57F" w14:textId="77777777" w:rsidTr="00A128B0">
        <w:trPr>
          <w:trHeight w:val="288"/>
        </w:trPr>
        <w:tc>
          <w:tcPr>
            <w:tcW w:w="1413" w:type="dxa"/>
            <w:shd w:val="clear" w:color="auto" w:fill="auto"/>
            <w:noWrap/>
            <w:vAlign w:val="center"/>
            <w:hideMark/>
          </w:tcPr>
          <w:p w14:paraId="12D380D7" w14:textId="01C3AD2B"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Arthralgia</w:t>
            </w:r>
          </w:p>
        </w:tc>
        <w:tc>
          <w:tcPr>
            <w:tcW w:w="2268" w:type="dxa"/>
            <w:tcBorders>
              <w:top w:val="nil"/>
              <w:left w:val="nil"/>
              <w:bottom w:val="nil"/>
              <w:right w:val="nil"/>
            </w:tcBorders>
            <w:shd w:val="clear" w:color="auto" w:fill="auto"/>
            <w:noWrap/>
            <w:hideMark/>
          </w:tcPr>
          <w:p w14:paraId="5702862E" w14:textId="1094F15F"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9; 6.5, (2.9-11.6)</w:t>
            </w:r>
          </w:p>
        </w:tc>
        <w:tc>
          <w:tcPr>
            <w:tcW w:w="2268" w:type="dxa"/>
            <w:tcBorders>
              <w:top w:val="nil"/>
              <w:left w:val="nil"/>
              <w:bottom w:val="nil"/>
              <w:right w:val="nil"/>
            </w:tcBorders>
            <w:shd w:val="clear" w:color="auto" w:fill="auto"/>
            <w:noWrap/>
            <w:vAlign w:val="center"/>
            <w:hideMark/>
          </w:tcPr>
          <w:p w14:paraId="16E276E5" w14:textId="55B7911F"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2; 3.8, (0-9.4)</w:t>
            </w:r>
          </w:p>
        </w:tc>
        <w:tc>
          <w:tcPr>
            <w:tcW w:w="2410" w:type="dxa"/>
            <w:tcBorders>
              <w:top w:val="nil"/>
              <w:left w:val="nil"/>
              <w:bottom w:val="nil"/>
              <w:right w:val="nil"/>
            </w:tcBorders>
            <w:shd w:val="clear" w:color="auto" w:fill="auto"/>
            <w:noWrap/>
            <w:vAlign w:val="center"/>
            <w:hideMark/>
          </w:tcPr>
          <w:p w14:paraId="08F7DD0D" w14:textId="077F7D2C"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7; 8.2, (2.4-14.1)</w:t>
            </w:r>
          </w:p>
        </w:tc>
      </w:tr>
      <w:tr w:rsidR="00A128B0" w:rsidRPr="001E53FF" w14:paraId="6BF5CF6F" w14:textId="77777777" w:rsidTr="00A128B0">
        <w:trPr>
          <w:trHeight w:val="288"/>
        </w:trPr>
        <w:tc>
          <w:tcPr>
            <w:tcW w:w="1413" w:type="dxa"/>
            <w:shd w:val="clear" w:color="auto" w:fill="auto"/>
            <w:noWrap/>
            <w:vAlign w:val="center"/>
            <w:hideMark/>
          </w:tcPr>
          <w:p w14:paraId="08C1BE57" w14:textId="3343C940"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Pharyngitis</w:t>
            </w:r>
          </w:p>
        </w:tc>
        <w:tc>
          <w:tcPr>
            <w:tcW w:w="2268" w:type="dxa"/>
            <w:tcBorders>
              <w:top w:val="nil"/>
              <w:left w:val="nil"/>
              <w:bottom w:val="nil"/>
              <w:right w:val="nil"/>
            </w:tcBorders>
            <w:shd w:val="clear" w:color="auto" w:fill="auto"/>
            <w:noWrap/>
            <w:hideMark/>
          </w:tcPr>
          <w:p w14:paraId="0BAFC1BC" w14:textId="3BF7F73B"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hideMark/>
          </w:tcPr>
          <w:p w14:paraId="70A810A0" w14:textId="0EA6EE43"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1; 1.9, (0-5.7)</w:t>
            </w:r>
          </w:p>
        </w:tc>
        <w:tc>
          <w:tcPr>
            <w:tcW w:w="2410" w:type="dxa"/>
            <w:tcBorders>
              <w:top w:val="nil"/>
              <w:left w:val="nil"/>
              <w:bottom w:val="nil"/>
              <w:right w:val="nil"/>
            </w:tcBorders>
            <w:shd w:val="clear" w:color="auto" w:fill="auto"/>
            <w:noWrap/>
            <w:vAlign w:val="center"/>
            <w:hideMark/>
          </w:tcPr>
          <w:p w14:paraId="7A92C754" w14:textId="13F2810D"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0; 0, (0-0)</w:t>
            </w:r>
          </w:p>
        </w:tc>
      </w:tr>
      <w:tr w:rsidR="00A128B0" w:rsidRPr="001E53FF" w14:paraId="0D466ED4" w14:textId="77777777" w:rsidTr="00A128B0">
        <w:trPr>
          <w:trHeight w:val="288"/>
        </w:trPr>
        <w:tc>
          <w:tcPr>
            <w:tcW w:w="1413" w:type="dxa"/>
            <w:shd w:val="clear" w:color="auto" w:fill="auto"/>
            <w:noWrap/>
            <w:vAlign w:val="center"/>
            <w:hideMark/>
          </w:tcPr>
          <w:p w14:paraId="5023C125" w14:textId="09506565"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Insomnia</w:t>
            </w:r>
          </w:p>
        </w:tc>
        <w:tc>
          <w:tcPr>
            <w:tcW w:w="2268" w:type="dxa"/>
            <w:tcBorders>
              <w:top w:val="nil"/>
              <w:left w:val="nil"/>
              <w:bottom w:val="nil"/>
              <w:right w:val="nil"/>
            </w:tcBorders>
            <w:shd w:val="clear" w:color="auto" w:fill="auto"/>
            <w:noWrap/>
            <w:hideMark/>
          </w:tcPr>
          <w:p w14:paraId="06B590F8" w14:textId="1A366C02"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hideMark/>
          </w:tcPr>
          <w:p w14:paraId="7E873C7A" w14:textId="256B91C5"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0; 0, (0-0)</w:t>
            </w:r>
          </w:p>
        </w:tc>
        <w:tc>
          <w:tcPr>
            <w:tcW w:w="2410" w:type="dxa"/>
            <w:tcBorders>
              <w:top w:val="nil"/>
              <w:left w:val="nil"/>
              <w:bottom w:val="nil"/>
              <w:right w:val="nil"/>
            </w:tcBorders>
            <w:shd w:val="clear" w:color="auto" w:fill="auto"/>
            <w:noWrap/>
            <w:vAlign w:val="center"/>
            <w:hideMark/>
          </w:tcPr>
          <w:p w14:paraId="252811FA" w14:textId="0E306762"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 1.2, (0-3.5)</w:t>
            </w:r>
          </w:p>
        </w:tc>
      </w:tr>
      <w:tr w:rsidR="00A128B0" w:rsidRPr="001E53FF" w14:paraId="3EACA6FD" w14:textId="77777777" w:rsidTr="00A128B0">
        <w:trPr>
          <w:trHeight w:val="288"/>
        </w:trPr>
        <w:tc>
          <w:tcPr>
            <w:tcW w:w="1413" w:type="dxa"/>
            <w:shd w:val="clear" w:color="auto" w:fill="auto"/>
            <w:noWrap/>
            <w:vAlign w:val="center"/>
            <w:hideMark/>
          </w:tcPr>
          <w:p w14:paraId="621667AC" w14:textId="1A625CC8"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Palpitations</w:t>
            </w:r>
          </w:p>
        </w:tc>
        <w:tc>
          <w:tcPr>
            <w:tcW w:w="2268" w:type="dxa"/>
            <w:tcBorders>
              <w:top w:val="nil"/>
              <w:left w:val="nil"/>
              <w:bottom w:val="nil"/>
              <w:right w:val="nil"/>
            </w:tcBorders>
            <w:shd w:val="clear" w:color="auto" w:fill="auto"/>
            <w:noWrap/>
            <w:hideMark/>
          </w:tcPr>
          <w:p w14:paraId="10941538" w14:textId="3785D78C"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hideMark/>
          </w:tcPr>
          <w:p w14:paraId="1BFEAFC1" w14:textId="3A73AD9D"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0; 0, (0-0)</w:t>
            </w:r>
          </w:p>
        </w:tc>
        <w:tc>
          <w:tcPr>
            <w:tcW w:w="2410" w:type="dxa"/>
            <w:tcBorders>
              <w:top w:val="nil"/>
              <w:left w:val="nil"/>
              <w:bottom w:val="nil"/>
              <w:right w:val="nil"/>
            </w:tcBorders>
            <w:shd w:val="clear" w:color="auto" w:fill="auto"/>
            <w:noWrap/>
            <w:vAlign w:val="center"/>
            <w:hideMark/>
          </w:tcPr>
          <w:p w14:paraId="14A9519D" w14:textId="3EA3BCB9"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 1.2, (0-3.5)</w:t>
            </w:r>
          </w:p>
        </w:tc>
      </w:tr>
      <w:tr w:rsidR="00A128B0" w:rsidRPr="001E53FF" w14:paraId="532EA516" w14:textId="77777777" w:rsidTr="00A128B0">
        <w:trPr>
          <w:trHeight w:val="288"/>
        </w:trPr>
        <w:tc>
          <w:tcPr>
            <w:tcW w:w="1413" w:type="dxa"/>
            <w:shd w:val="clear" w:color="auto" w:fill="auto"/>
            <w:noWrap/>
            <w:vAlign w:val="center"/>
            <w:hideMark/>
          </w:tcPr>
          <w:p w14:paraId="008EFF2C" w14:textId="48632079"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Dysphonia</w:t>
            </w:r>
          </w:p>
        </w:tc>
        <w:tc>
          <w:tcPr>
            <w:tcW w:w="2268" w:type="dxa"/>
            <w:tcBorders>
              <w:top w:val="nil"/>
              <w:left w:val="nil"/>
              <w:bottom w:val="nil"/>
              <w:right w:val="nil"/>
            </w:tcBorders>
            <w:shd w:val="clear" w:color="auto" w:fill="auto"/>
            <w:noWrap/>
            <w:hideMark/>
          </w:tcPr>
          <w:p w14:paraId="08DFE480" w14:textId="4E4FC577"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hideMark/>
          </w:tcPr>
          <w:p w14:paraId="104DA7BE" w14:textId="3C3C9788"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0; 0, (0-0)</w:t>
            </w:r>
          </w:p>
        </w:tc>
        <w:tc>
          <w:tcPr>
            <w:tcW w:w="2410" w:type="dxa"/>
            <w:tcBorders>
              <w:top w:val="nil"/>
              <w:left w:val="nil"/>
              <w:bottom w:val="nil"/>
              <w:right w:val="nil"/>
            </w:tcBorders>
            <w:shd w:val="clear" w:color="auto" w:fill="auto"/>
            <w:noWrap/>
            <w:vAlign w:val="center"/>
            <w:hideMark/>
          </w:tcPr>
          <w:p w14:paraId="0E28ED92" w14:textId="501E81E1"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 1.2, (0-3.5)</w:t>
            </w:r>
          </w:p>
        </w:tc>
      </w:tr>
      <w:tr w:rsidR="00A128B0" w:rsidRPr="001E53FF" w14:paraId="0820F949" w14:textId="77777777" w:rsidTr="00A128B0">
        <w:trPr>
          <w:trHeight w:val="288"/>
        </w:trPr>
        <w:tc>
          <w:tcPr>
            <w:tcW w:w="1413" w:type="dxa"/>
            <w:shd w:val="clear" w:color="auto" w:fill="auto"/>
            <w:noWrap/>
            <w:vAlign w:val="center"/>
            <w:hideMark/>
          </w:tcPr>
          <w:p w14:paraId="3F80112D" w14:textId="716806B2"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Dysarthria</w:t>
            </w:r>
          </w:p>
        </w:tc>
        <w:tc>
          <w:tcPr>
            <w:tcW w:w="2268" w:type="dxa"/>
            <w:tcBorders>
              <w:top w:val="nil"/>
              <w:left w:val="nil"/>
              <w:bottom w:val="nil"/>
              <w:right w:val="nil"/>
            </w:tcBorders>
            <w:shd w:val="clear" w:color="auto" w:fill="auto"/>
            <w:noWrap/>
            <w:hideMark/>
          </w:tcPr>
          <w:p w14:paraId="2F1FB4C7" w14:textId="5E58EEAF"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hideMark/>
          </w:tcPr>
          <w:p w14:paraId="6E67106E" w14:textId="126EB4CB"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0; 0, (0-0)</w:t>
            </w:r>
          </w:p>
        </w:tc>
        <w:tc>
          <w:tcPr>
            <w:tcW w:w="2410" w:type="dxa"/>
            <w:tcBorders>
              <w:top w:val="nil"/>
              <w:left w:val="nil"/>
              <w:bottom w:val="nil"/>
              <w:right w:val="nil"/>
            </w:tcBorders>
            <w:shd w:val="clear" w:color="auto" w:fill="auto"/>
            <w:noWrap/>
            <w:vAlign w:val="center"/>
            <w:hideMark/>
          </w:tcPr>
          <w:p w14:paraId="02EE3983" w14:textId="12566356"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 1.2, (0-3.5)</w:t>
            </w:r>
          </w:p>
        </w:tc>
      </w:tr>
      <w:tr w:rsidR="00A128B0" w:rsidRPr="001E53FF" w14:paraId="0E0330D7" w14:textId="77777777" w:rsidTr="00A128B0">
        <w:trPr>
          <w:trHeight w:val="288"/>
        </w:trPr>
        <w:tc>
          <w:tcPr>
            <w:tcW w:w="1413" w:type="dxa"/>
            <w:shd w:val="clear" w:color="auto" w:fill="auto"/>
            <w:noWrap/>
            <w:vAlign w:val="center"/>
          </w:tcPr>
          <w:p w14:paraId="4F25C7E4" w14:textId="293986E5" w:rsidR="00A128B0" w:rsidRPr="001E53FF" w:rsidRDefault="00A128B0" w:rsidP="00A128B0">
            <w:pPr>
              <w:pStyle w:val="Body"/>
              <w:spacing w:after="0"/>
              <w:rPr>
                <w:rFonts w:ascii="Arial" w:hAnsi="Arial" w:cs="Arial"/>
                <w:sz w:val="20"/>
                <w:szCs w:val="20"/>
                <w:lang w:val="en-US"/>
              </w:rPr>
            </w:pPr>
            <w:r>
              <w:rPr>
                <w:rFonts w:ascii="Arial" w:hAnsi="Arial" w:cs="Arial"/>
                <w:sz w:val="20"/>
                <w:szCs w:val="20"/>
                <w:lang w:val="en-US"/>
              </w:rPr>
              <w:t>NC</w:t>
            </w:r>
          </w:p>
        </w:tc>
        <w:tc>
          <w:tcPr>
            <w:tcW w:w="2268" w:type="dxa"/>
            <w:tcBorders>
              <w:top w:val="nil"/>
              <w:left w:val="nil"/>
              <w:bottom w:val="nil"/>
              <w:right w:val="nil"/>
            </w:tcBorders>
            <w:shd w:val="clear" w:color="auto" w:fill="auto"/>
            <w:noWrap/>
          </w:tcPr>
          <w:p w14:paraId="77724373" w14:textId="14C9A3DE"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tcPr>
          <w:p w14:paraId="759299DF" w14:textId="3C1A846C"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1; 1.9, (0-7.5)</w:t>
            </w:r>
          </w:p>
        </w:tc>
        <w:tc>
          <w:tcPr>
            <w:tcW w:w="2410" w:type="dxa"/>
            <w:tcBorders>
              <w:top w:val="nil"/>
              <w:left w:val="nil"/>
              <w:bottom w:val="nil"/>
              <w:right w:val="nil"/>
            </w:tcBorders>
            <w:shd w:val="clear" w:color="auto" w:fill="auto"/>
            <w:noWrap/>
            <w:vAlign w:val="center"/>
          </w:tcPr>
          <w:p w14:paraId="1425ED09" w14:textId="172D8BC6"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0; 0, (0-0)</w:t>
            </w:r>
          </w:p>
        </w:tc>
      </w:tr>
      <w:tr w:rsidR="00A128B0" w:rsidRPr="001E53FF" w14:paraId="64D8E044" w14:textId="77777777" w:rsidTr="00A128B0">
        <w:trPr>
          <w:trHeight w:val="288"/>
        </w:trPr>
        <w:tc>
          <w:tcPr>
            <w:tcW w:w="1413" w:type="dxa"/>
            <w:shd w:val="clear" w:color="auto" w:fill="auto"/>
            <w:noWrap/>
            <w:vAlign w:val="center"/>
          </w:tcPr>
          <w:p w14:paraId="3BFA83A0" w14:textId="68E93AC8" w:rsidR="00A128B0" w:rsidRPr="001E53FF" w:rsidRDefault="00A128B0" w:rsidP="00A128B0">
            <w:pPr>
              <w:pStyle w:val="Body"/>
              <w:spacing w:after="0"/>
              <w:rPr>
                <w:rFonts w:ascii="Arial" w:hAnsi="Arial" w:cs="Arial"/>
                <w:sz w:val="20"/>
                <w:szCs w:val="20"/>
                <w:lang w:val="en-US"/>
              </w:rPr>
            </w:pPr>
            <w:r>
              <w:rPr>
                <w:rFonts w:ascii="Arial" w:hAnsi="Arial" w:cs="Arial"/>
                <w:sz w:val="20"/>
                <w:szCs w:val="20"/>
                <w:lang w:val="en-US"/>
              </w:rPr>
              <w:t>ILD</w:t>
            </w:r>
          </w:p>
        </w:tc>
        <w:tc>
          <w:tcPr>
            <w:tcW w:w="2268" w:type="dxa"/>
            <w:tcBorders>
              <w:top w:val="nil"/>
              <w:left w:val="nil"/>
              <w:bottom w:val="nil"/>
              <w:right w:val="nil"/>
            </w:tcBorders>
            <w:shd w:val="clear" w:color="auto" w:fill="auto"/>
            <w:noWrap/>
          </w:tcPr>
          <w:p w14:paraId="1498614D" w14:textId="16A02B88"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tcPr>
          <w:p w14:paraId="34D98816" w14:textId="6056F14F"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0; 0, (0-0)</w:t>
            </w:r>
          </w:p>
        </w:tc>
        <w:tc>
          <w:tcPr>
            <w:tcW w:w="2410" w:type="dxa"/>
            <w:tcBorders>
              <w:top w:val="nil"/>
              <w:left w:val="nil"/>
              <w:bottom w:val="nil"/>
              <w:right w:val="nil"/>
            </w:tcBorders>
            <w:shd w:val="clear" w:color="auto" w:fill="auto"/>
            <w:noWrap/>
            <w:vAlign w:val="center"/>
          </w:tcPr>
          <w:p w14:paraId="184687EA" w14:textId="4957E0E1"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 1.2, (0-3.5)</w:t>
            </w:r>
          </w:p>
        </w:tc>
      </w:tr>
      <w:tr w:rsidR="00A128B0" w:rsidRPr="001E53FF" w14:paraId="37DD6E62" w14:textId="77777777" w:rsidTr="00A128B0">
        <w:trPr>
          <w:trHeight w:val="288"/>
        </w:trPr>
        <w:tc>
          <w:tcPr>
            <w:tcW w:w="1413" w:type="dxa"/>
            <w:shd w:val="clear" w:color="auto" w:fill="auto"/>
            <w:noWrap/>
            <w:vAlign w:val="center"/>
          </w:tcPr>
          <w:p w14:paraId="0941371B" w14:textId="5DB8BA5A" w:rsidR="00A128B0" w:rsidRPr="001E53FF" w:rsidRDefault="00A128B0" w:rsidP="00A128B0">
            <w:pPr>
              <w:pStyle w:val="Body"/>
              <w:spacing w:after="0"/>
              <w:rPr>
                <w:rFonts w:ascii="Arial" w:hAnsi="Arial" w:cs="Arial"/>
                <w:sz w:val="20"/>
                <w:szCs w:val="20"/>
                <w:lang w:val="en-US"/>
              </w:rPr>
            </w:pPr>
            <w:r w:rsidRPr="001E53FF">
              <w:rPr>
                <w:rFonts w:ascii="Arial" w:hAnsi="Arial" w:cs="Arial"/>
                <w:color w:val="000000"/>
                <w:sz w:val="20"/>
                <w:szCs w:val="20"/>
              </w:rPr>
              <w:t>Apnoea</w:t>
            </w:r>
          </w:p>
        </w:tc>
        <w:tc>
          <w:tcPr>
            <w:tcW w:w="2268" w:type="dxa"/>
            <w:tcBorders>
              <w:top w:val="nil"/>
              <w:left w:val="nil"/>
              <w:right w:val="nil"/>
            </w:tcBorders>
            <w:shd w:val="clear" w:color="auto" w:fill="auto"/>
            <w:noWrap/>
          </w:tcPr>
          <w:p w14:paraId="25EBCEBE" w14:textId="19B2B682"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tcPr>
          <w:p w14:paraId="626710E2" w14:textId="027447E2"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0; 0, (0-0)</w:t>
            </w:r>
          </w:p>
        </w:tc>
        <w:tc>
          <w:tcPr>
            <w:tcW w:w="2410" w:type="dxa"/>
            <w:tcBorders>
              <w:top w:val="nil"/>
              <w:left w:val="nil"/>
              <w:bottom w:val="nil"/>
              <w:right w:val="nil"/>
            </w:tcBorders>
            <w:shd w:val="clear" w:color="auto" w:fill="auto"/>
            <w:noWrap/>
            <w:vAlign w:val="center"/>
          </w:tcPr>
          <w:p w14:paraId="26FFA158" w14:textId="4B5AE92F"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 1.2, (0-4.7)</w:t>
            </w:r>
          </w:p>
        </w:tc>
      </w:tr>
      <w:tr w:rsidR="00A128B0" w:rsidRPr="001E53FF" w14:paraId="4DBA27DE" w14:textId="77777777" w:rsidTr="00A128B0">
        <w:trPr>
          <w:trHeight w:val="288"/>
        </w:trPr>
        <w:tc>
          <w:tcPr>
            <w:tcW w:w="1413" w:type="dxa"/>
            <w:tcBorders>
              <w:bottom w:val="single" w:sz="4" w:space="0" w:color="auto"/>
            </w:tcBorders>
            <w:shd w:val="clear" w:color="auto" w:fill="auto"/>
            <w:noWrap/>
            <w:vAlign w:val="center"/>
            <w:hideMark/>
          </w:tcPr>
          <w:p w14:paraId="74081CD1" w14:textId="1968463B"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Fatigue</w:t>
            </w:r>
          </w:p>
        </w:tc>
        <w:tc>
          <w:tcPr>
            <w:tcW w:w="2268" w:type="dxa"/>
            <w:tcBorders>
              <w:top w:val="nil"/>
              <w:left w:val="nil"/>
              <w:bottom w:val="single" w:sz="4" w:space="0" w:color="auto"/>
              <w:right w:val="nil"/>
            </w:tcBorders>
            <w:shd w:val="clear" w:color="auto" w:fill="auto"/>
            <w:noWrap/>
            <w:vAlign w:val="center"/>
            <w:hideMark/>
          </w:tcPr>
          <w:p w14:paraId="764670B4" w14:textId="7810523E"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single" w:sz="4" w:space="0" w:color="auto"/>
              <w:right w:val="nil"/>
            </w:tcBorders>
            <w:shd w:val="clear" w:color="auto" w:fill="auto"/>
            <w:noWrap/>
            <w:vAlign w:val="center"/>
            <w:hideMark/>
          </w:tcPr>
          <w:p w14:paraId="075EA4F3" w14:textId="41F656F5"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1; 1.9, (0-7.5)</w:t>
            </w:r>
          </w:p>
        </w:tc>
        <w:tc>
          <w:tcPr>
            <w:tcW w:w="2410" w:type="dxa"/>
            <w:tcBorders>
              <w:top w:val="nil"/>
              <w:left w:val="nil"/>
              <w:bottom w:val="single" w:sz="4" w:space="0" w:color="auto"/>
              <w:right w:val="nil"/>
            </w:tcBorders>
            <w:shd w:val="clear" w:color="auto" w:fill="auto"/>
            <w:noWrap/>
            <w:vAlign w:val="center"/>
            <w:hideMark/>
          </w:tcPr>
          <w:p w14:paraId="54EAC5FC" w14:textId="79B09AEB"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0; 0, (0-0)</w:t>
            </w:r>
          </w:p>
        </w:tc>
      </w:tr>
    </w:tbl>
    <w:p w14:paraId="50147860" w14:textId="00C34976" w:rsidR="009312B8" w:rsidRPr="006F4089" w:rsidRDefault="006F4089" w:rsidP="006F4089">
      <w:pPr>
        <w:tabs>
          <w:tab w:val="left" w:pos="1080"/>
        </w:tabs>
        <w:jc w:val="both"/>
        <w:rPr>
          <w:rFonts w:ascii="Arial" w:hAnsi="Arial" w:cs="Arial"/>
          <w:sz w:val="18"/>
          <w:szCs w:val="18"/>
        </w:rPr>
      </w:pPr>
      <w:r w:rsidRPr="001E53FF">
        <w:rPr>
          <w:rFonts w:ascii="Arial" w:hAnsi="Arial" w:cs="Arial"/>
          <w:bCs/>
        </w:rPr>
        <w:t>S</w:t>
      </w:r>
      <w:r w:rsidRPr="008F39F5">
        <w:rPr>
          <w:rFonts w:ascii="Arial" w:hAnsi="Arial"/>
          <w:bCs/>
          <w:sz w:val="18"/>
          <w:szCs w:val="18"/>
        </w:rPr>
        <w:t xml:space="preserve">ource: Prepared by the authors using data from the </w:t>
      </w:r>
      <w:r w:rsidR="001E53FF">
        <w:rPr>
          <w:rFonts w:ascii="Arial" w:hAnsi="Arial"/>
          <w:bCs/>
          <w:sz w:val="18"/>
          <w:szCs w:val="18"/>
        </w:rPr>
        <w:t>study</w:t>
      </w:r>
      <w:r w:rsidRPr="008F39F5">
        <w:rPr>
          <w:rFonts w:ascii="Arial" w:hAnsi="Arial"/>
          <w:bCs/>
          <w:sz w:val="18"/>
          <w:szCs w:val="18"/>
        </w:rPr>
        <w:t>.</w:t>
      </w:r>
      <w:r>
        <w:rPr>
          <w:rFonts w:ascii="Arial" w:hAnsi="Arial"/>
          <w:bCs/>
          <w:sz w:val="18"/>
          <w:szCs w:val="18"/>
        </w:rPr>
        <w:t xml:space="preserve"> </w:t>
      </w:r>
      <w:r w:rsidR="001E53FF">
        <w:rPr>
          <w:rFonts w:ascii="Arial" w:hAnsi="Arial"/>
          <w:bCs/>
          <w:sz w:val="18"/>
          <w:szCs w:val="18"/>
        </w:rPr>
        <w:t>PF</w:t>
      </w:r>
      <w:r w:rsidR="00971074">
        <w:rPr>
          <w:rFonts w:ascii="Arial" w:hAnsi="Arial"/>
          <w:bCs/>
          <w:sz w:val="18"/>
          <w:szCs w:val="18"/>
        </w:rPr>
        <w:t xml:space="preserve">: </w:t>
      </w:r>
      <w:r w:rsidR="001E53FF">
        <w:rPr>
          <w:rFonts w:ascii="Arial" w:hAnsi="Arial"/>
          <w:bCs/>
          <w:sz w:val="18"/>
          <w:szCs w:val="18"/>
        </w:rPr>
        <w:t>p</w:t>
      </w:r>
      <w:r w:rsidR="001E53FF" w:rsidRPr="001E53FF">
        <w:rPr>
          <w:rFonts w:ascii="Arial" w:hAnsi="Arial"/>
          <w:bCs/>
          <w:sz w:val="18"/>
          <w:szCs w:val="18"/>
        </w:rPr>
        <w:t>ulmonary fibrosis</w:t>
      </w:r>
      <w:r w:rsidR="001E53FF">
        <w:rPr>
          <w:rFonts w:ascii="Arial" w:hAnsi="Arial"/>
          <w:bCs/>
          <w:sz w:val="18"/>
          <w:szCs w:val="18"/>
        </w:rPr>
        <w:t>.</w:t>
      </w:r>
      <w:r w:rsidR="001E53FF" w:rsidRPr="001E53FF">
        <w:rPr>
          <w:rFonts w:ascii="Arial" w:hAnsi="Arial"/>
          <w:bCs/>
          <w:sz w:val="18"/>
          <w:szCs w:val="18"/>
        </w:rPr>
        <w:t xml:space="preserve"> C</w:t>
      </w:r>
      <w:r w:rsidR="001E53FF">
        <w:rPr>
          <w:rFonts w:ascii="Arial" w:hAnsi="Arial"/>
          <w:bCs/>
          <w:sz w:val="18"/>
          <w:szCs w:val="18"/>
        </w:rPr>
        <w:t>B</w:t>
      </w:r>
      <w:r w:rsidR="00971074">
        <w:rPr>
          <w:rFonts w:ascii="Arial" w:hAnsi="Arial"/>
          <w:bCs/>
          <w:sz w:val="18"/>
          <w:szCs w:val="18"/>
        </w:rPr>
        <w:t xml:space="preserve">: </w:t>
      </w:r>
      <w:r w:rsidR="001E53FF">
        <w:rPr>
          <w:rFonts w:ascii="Arial" w:hAnsi="Arial"/>
          <w:bCs/>
          <w:sz w:val="18"/>
          <w:szCs w:val="18"/>
        </w:rPr>
        <w:t>c</w:t>
      </w:r>
      <w:r w:rsidR="001E53FF" w:rsidRPr="001E53FF">
        <w:rPr>
          <w:rFonts w:ascii="Arial" w:hAnsi="Arial"/>
          <w:bCs/>
          <w:sz w:val="18"/>
          <w:szCs w:val="18"/>
        </w:rPr>
        <w:t>hronic bronchitis</w:t>
      </w:r>
      <w:r w:rsidR="001E53FF">
        <w:rPr>
          <w:rFonts w:ascii="Arial" w:hAnsi="Arial"/>
          <w:bCs/>
          <w:sz w:val="18"/>
          <w:szCs w:val="18"/>
        </w:rPr>
        <w:t>.</w:t>
      </w:r>
      <w:r w:rsidR="001E53FF" w:rsidRPr="001E53FF">
        <w:rPr>
          <w:rFonts w:ascii="Arial" w:hAnsi="Arial"/>
          <w:bCs/>
          <w:sz w:val="18"/>
          <w:szCs w:val="18"/>
        </w:rPr>
        <w:t xml:space="preserve"> N</w:t>
      </w:r>
      <w:r w:rsidR="001E53FF">
        <w:rPr>
          <w:rFonts w:ascii="Arial" w:hAnsi="Arial"/>
          <w:bCs/>
          <w:sz w:val="18"/>
          <w:szCs w:val="18"/>
        </w:rPr>
        <w:t>C</w:t>
      </w:r>
      <w:r w:rsidR="00971074">
        <w:rPr>
          <w:rFonts w:ascii="Arial" w:hAnsi="Arial"/>
          <w:bCs/>
          <w:sz w:val="18"/>
          <w:szCs w:val="18"/>
        </w:rPr>
        <w:t xml:space="preserve">: </w:t>
      </w:r>
      <w:r w:rsidR="001E53FF">
        <w:rPr>
          <w:rFonts w:ascii="Arial" w:hAnsi="Arial"/>
          <w:bCs/>
          <w:sz w:val="18"/>
          <w:szCs w:val="18"/>
        </w:rPr>
        <w:t>n</w:t>
      </w:r>
      <w:r w:rsidR="001E53FF" w:rsidRPr="001E53FF">
        <w:rPr>
          <w:rFonts w:ascii="Arial" w:hAnsi="Arial"/>
          <w:bCs/>
          <w:sz w:val="18"/>
          <w:szCs w:val="18"/>
        </w:rPr>
        <w:t>asal congestion</w:t>
      </w:r>
      <w:r w:rsidR="001E53FF">
        <w:rPr>
          <w:rFonts w:ascii="Arial" w:hAnsi="Arial"/>
          <w:bCs/>
          <w:sz w:val="18"/>
          <w:szCs w:val="18"/>
        </w:rPr>
        <w:t>.</w:t>
      </w:r>
      <w:r w:rsidR="001E53FF" w:rsidRPr="001E53FF">
        <w:rPr>
          <w:rFonts w:ascii="Arial" w:hAnsi="Arial"/>
          <w:bCs/>
          <w:sz w:val="18"/>
          <w:szCs w:val="18"/>
        </w:rPr>
        <w:t xml:space="preserve"> I</w:t>
      </w:r>
      <w:r w:rsidR="001E53FF">
        <w:rPr>
          <w:rFonts w:ascii="Arial" w:hAnsi="Arial"/>
          <w:bCs/>
          <w:sz w:val="18"/>
          <w:szCs w:val="18"/>
        </w:rPr>
        <w:t>LD</w:t>
      </w:r>
      <w:r w:rsidR="00971074">
        <w:rPr>
          <w:rFonts w:ascii="Arial" w:hAnsi="Arial"/>
          <w:bCs/>
          <w:sz w:val="18"/>
          <w:szCs w:val="18"/>
        </w:rPr>
        <w:t xml:space="preserve">: </w:t>
      </w:r>
      <w:r w:rsidR="001E53FF">
        <w:rPr>
          <w:rFonts w:ascii="Arial" w:hAnsi="Arial"/>
          <w:bCs/>
          <w:sz w:val="18"/>
          <w:szCs w:val="18"/>
        </w:rPr>
        <w:t>i</w:t>
      </w:r>
      <w:r w:rsidR="001E53FF" w:rsidRPr="001E53FF">
        <w:rPr>
          <w:rFonts w:ascii="Arial" w:hAnsi="Arial"/>
          <w:bCs/>
          <w:sz w:val="18"/>
          <w:szCs w:val="18"/>
        </w:rPr>
        <w:t>nterstitial lung disease</w:t>
      </w:r>
      <w:r w:rsidR="00E118DE">
        <w:rPr>
          <w:rFonts w:ascii="Arial" w:hAnsi="Arial"/>
          <w:bCs/>
          <w:sz w:val="18"/>
          <w:szCs w:val="18"/>
        </w:rPr>
        <w:t>.</w:t>
      </w:r>
      <w:r w:rsidR="001E53FF" w:rsidRPr="001E53FF">
        <w:rPr>
          <w:rFonts w:ascii="Arial" w:hAnsi="Arial"/>
          <w:bCs/>
          <w:sz w:val="18"/>
          <w:szCs w:val="18"/>
        </w:rPr>
        <w:t xml:space="preserve"> </w:t>
      </w:r>
      <w:r>
        <w:rPr>
          <w:rFonts w:ascii="Arial" w:hAnsi="Arial" w:cs="Arial"/>
          <w:sz w:val="18"/>
          <w:szCs w:val="18"/>
        </w:rPr>
        <w:t xml:space="preserve">For categorical variables P value was </w:t>
      </w:r>
      <w:r w:rsidRPr="006F4089">
        <w:rPr>
          <w:rFonts w:ascii="Arial" w:hAnsi="Arial" w:cs="Arial"/>
          <w:sz w:val="18"/>
          <w:szCs w:val="18"/>
        </w:rPr>
        <w:t xml:space="preserve">calculated by </w:t>
      </w:r>
      <w:r>
        <w:rPr>
          <w:rFonts w:ascii="Arial" w:hAnsi="Arial" w:cs="Arial"/>
          <w:sz w:val="18"/>
          <w:szCs w:val="18"/>
        </w:rPr>
        <w:t>Yates C</w:t>
      </w:r>
      <w:r w:rsidRPr="006F4089">
        <w:rPr>
          <w:rFonts w:ascii="Arial" w:hAnsi="Arial" w:cs="Arial"/>
          <w:sz w:val="18"/>
          <w:szCs w:val="18"/>
        </w:rPr>
        <w:t>orrected</w:t>
      </w:r>
      <w:r>
        <w:rPr>
          <w:rFonts w:ascii="Arial" w:hAnsi="Arial" w:cs="Arial"/>
          <w:sz w:val="18"/>
          <w:szCs w:val="18"/>
        </w:rPr>
        <w:t xml:space="preserve"> </w:t>
      </w:r>
      <w:r w:rsidRPr="006F4089">
        <w:rPr>
          <w:rFonts w:ascii="Arial" w:hAnsi="Arial" w:cs="Arial"/>
          <w:sz w:val="18"/>
          <w:szCs w:val="18"/>
        </w:rPr>
        <w:t>Chi-Square Test</w:t>
      </w:r>
      <w:r w:rsidR="005B69DD">
        <w:rPr>
          <w:rFonts w:ascii="Arial" w:hAnsi="Arial" w:cs="Arial"/>
          <w:sz w:val="18"/>
          <w:szCs w:val="18"/>
        </w:rPr>
        <w:t xml:space="preserve"> and Fisher exact test, as appropriated. </w:t>
      </w:r>
      <w:r w:rsidR="009312B8" w:rsidRPr="006F4089">
        <w:rPr>
          <w:rFonts w:ascii="Arial" w:hAnsi="Arial" w:cs="Arial"/>
          <w:sz w:val="18"/>
          <w:szCs w:val="18"/>
        </w:rPr>
        <w:t xml:space="preserve">*P value </w:t>
      </w:r>
      <w:r w:rsidR="00E118DE">
        <w:rPr>
          <w:rFonts w:ascii="Arial" w:hAnsi="Arial" w:cs="Arial"/>
          <w:sz w:val="18"/>
          <w:szCs w:val="18"/>
        </w:rPr>
        <w:t xml:space="preserve">= </w:t>
      </w:r>
      <w:r w:rsidR="009312B8" w:rsidRPr="006F4089">
        <w:rPr>
          <w:rFonts w:ascii="Arial" w:hAnsi="Arial" w:cs="Arial"/>
          <w:sz w:val="18"/>
          <w:szCs w:val="18"/>
        </w:rPr>
        <w:t>0.0</w:t>
      </w:r>
      <w:r w:rsidR="00E118DE">
        <w:rPr>
          <w:rFonts w:ascii="Arial" w:hAnsi="Arial" w:cs="Arial"/>
          <w:sz w:val="18"/>
          <w:szCs w:val="18"/>
        </w:rPr>
        <w:t>4</w:t>
      </w:r>
      <w:r w:rsidR="005B69DD">
        <w:rPr>
          <w:rFonts w:ascii="Arial" w:hAnsi="Arial" w:cs="Arial"/>
          <w:sz w:val="18"/>
          <w:szCs w:val="18"/>
        </w:rPr>
        <w:t>5</w:t>
      </w:r>
      <w:r w:rsidR="009312B8" w:rsidRPr="006F4089">
        <w:rPr>
          <w:rFonts w:ascii="Arial" w:hAnsi="Arial" w:cs="Arial"/>
          <w:sz w:val="18"/>
          <w:szCs w:val="18"/>
        </w:rPr>
        <w:t>.</w:t>
      </w:r>
    </w:p>
    <w:p w14:paraId="03E454A1" w14:textId="3C5AD6F6" w:rsidR="009312B8" w:rsidRDefault="009312B8" w:rsidP="00B81459">
      <w:pPr>
        <w:pStyle w:val="Body"/>
        <w:spacing w:after="0"/>
        <w:rPr>
          <w:rFonts w:ascii="Arial" w:hAnsi="Arial" w:cs="Arial"/>
        </w:rPr>
      </w:pPr>
    </w:p>
    <w:p w14:paraId="14F695AD" w14:textId="73103C4D" w:rsidR="001E3763" w:rsidRPr="008F39F5" w:rsidRDefault="001E3763" w:rsidP="001E3763">
      <w:pPr>
        <w:pStyle w:val="Body"/>
        <w:spacing w:after="0"/>
        <w:rPr>
          <w:rFonts w:ascii="Arial" w:hAnsi="Arial" w:cs="Arial"/>
        </w:rPr>
      </w:pPr>
      <w:r w:rsidRPr="008F39F5">
        <w:rPr>
          <w:rFonts w:ascii="Arial" w:hAnsi="Arial" w:cs="Arial"/>
          <w:b/>
          <w:caps/>
          <w:sz w:val="22"/>
        </w:rPr>
        <w:t>3.</w:t>
      </w:r>
      <w:r>
        <w:rPr>
          <w:rFonts w:ascii="Arial" w:hAnsi="Arial" w:cs="Arial"/>
          <w:b/>
          <w:caps/>
          <w:sz w:val="22"/>
        </w:rPr>
        <w:t>3</w:t>
      </w:r>
      <w:r w:rsidRPr="008F39F5">
        <w:rPr>
          <w:rFonts w:ascii="Arial" w:hAnsi="Arial" w:cs="Arial"/>
          <w:b/>
          <w:caps/>
          <w:sz w:val="22"/>
        </w:rPr>
        <w:t xml:space="preserve"> </w:t>
      </w:r>
      <w:r>
        <w:rPr>
          <w:rFonts w:ascii="Arial" w:hAnsi="Arial" w:cs="Arial"/>
          <w:b/>
          <w:sz w:val="22"/>
        </w:rPr>
        <w:t>A</w:t>
      </w:r>
      <w:r w:rsidRPr="001E3763">
        <w:rPr>
          <w:rFonts w:ascii="Arial" w:hAnsi="Arial" w:cs="Arial"/>
          <w:b/>
          <w:sz w:val="22"/>
        </w:rPr>
        <w:t xml:space="preserve">ssociated factors analysis with </w:t>
      </w:r>
      <w:r w:rsidR="00272B09">
        <w:rPr>
          <w:rFonts w:ascii="Arial" w:hAnsi="Arial" w:cs="Arial"/>
          <w:b/>
          <w:sz w:val="22"/>
        </w:rPr>
        <w:t xml:space="preserve">long </w:t>
      </w:r>
      <w:r w:rsidRPr="001E3763">
        <w:rPr>
          <w:rFonts w:ascii="Arial" w:hAnsi="Arial" w:cs="Arial"/>
          <w:b/>
          <w:sz w:val="22"/>
        </w:rPr>
        <w:t>COVID-19 sequelae</w:t>
      </w:r>
      <w:r w:rsidRPr="008F39F5">
        <w:rPr>
          <w:rFonts w:ascii="Arial" w:hAnsi="Arial" w:cs="Arial"/>
          <w:b/>
          <w:caps/>
          <w:sz w:val="22"/>
        </w:rPr>
        <w:t xml:space="preserve"> </w:t>
      </w:r>
      <w:r w:rsidRPr="008F39F5">
        <w:rPr>
          <w:rFonts w:ascii="Arial" w:hAnsi="Arial" w:cs="Arial"/>
          <w:b/>
          <w:sz w:val="22"/>
        </w:rPr>
        <w:t>of</w:t>
      </w:r>
      <w:r w:rsidRPr="008F39F5">
        <w:rPr>
          <w:rFonts w:ascii="Arial" w:hAnsi="Arial" w:cs="Arial"/>
          <w:b/>
          <w:caps/>
          <w:sz w:val="22"/>
        </w:rPr>
        <w:t xml:space="preserve"> </w:t>
      </w:r>
      <w:r w:rsidRPr="008F39F5">
        <w:rPr>
          <w:rFonts w:ascii="Arial" w:hAnsi="Arial" w:cs="Arial"/>
          <w:b/>
          <w:sz w:val="22"/>
        </w:rPr>
        <w:t>the study population.</w:t>
      </w:r>
    </w:p>
    <w:p w14:paraId="73DA8772" w14:textId="439692B2" w:rsidR="00D65FD8" w:rsidRDefault="00CC2332" w:rsidP="00B81459">
      <w:pPr>
        <w:pStyle w:val="Body"/>
        <w:spacing w:after="0"/>
        <w:rPr>
          <w:rFonts w:ascii="Arial" w:hAnsi="Arial" w:cs="Arial"/>
        </w:rPr>
      </w:pPr>
      <w:r w:rsidRPr="00CC2332">
        <w:rPr>
          <w:rFonts w:ascii="Arial" w:hAnsi="Arial" w:cs="Arial"/>
        </w:rPr>
        <w:t>Tables 3 and 4 present the results of multivariate logistic regression analyses exploring factors associated with long COVID-19 symptoms, specifically cough and dyspnoea. In Table 3, VH was the only variable significantly associated with cough as a sequelae of long COVID-19, suggesting that individuals with a history of vaccination had higher odds of experiencing persistent cough. Other conditions, such as type 2 diabetes, COPD, hypertension, cancer, and CKD, did not show statistically significant associations.</w:t>
      </w:r>
    </w:p>
    <w:p w14:paraId="640C5076" w14:textId="77777777" w:rsidR="00D65FD8" w:rsidRPr="00B81459" w:rsidRDefault="00D65FD8" w:rsidP="00B81459">
      <w:pPr>
        <w:pStyle w:val="Body"/>
        <w:spacing w:after="0"/>
        <w:rPr>
          <w:rFonts w:ascii="Arial" w:hAnsi="Arial" w:cs="Arial"/>
        </w:rPr>
      </w:pPr>
    </w:p>
    <w:p w14:paraId="072B8A66" w14:textId="3C33FB7B" w:rsidR="00614C1C" w:rsidRPr="00873F35" w:rsidRDefault="00614C1C" w:rsidP="00614C1C">
      <w:pPr>
        <w:tabs>
          <w:tab w:val="left" w:pos="1080"/>
        </w:tabs>
        <w:jc w:val="both"/>
        <w:rPr>
          <w:rFonts w:ascii="Arial" w:hAnsi="Arial"/>
          <w:b/>
          <w:sz w:val="22"/>
          <w:szCs w:val="22"/>
        </w:rPr>
      </w:pPr>
      <w:r w:rsidRPr="00873F35">
        <w:rPr>
          <w:rFonts w:ascii="Arial" w:hAnsi="Arial"/>
          <w:b/>
          <w:sz w:val="22"/>
          <w:szCs w:val="22"/>
        </w:rPr>
        <w:t xml:space="preserve">Table </w:t>
      </w:r>
      <w:r w:rsidR="005E57C3">
        <w:rPr>
          <w:rFonts w:ascii="Arial" w:hAnsi="Arial"/>
          <w:b/>
          <w:sz w:val="22"/>
          <w:szCs w:val="22"/>
        </w:rPr>
        <w:t>3</w:t>
      </w:r>
      <w:r w:rsidRPr="00873F35">
        <w:rPr>
          <w:rFonts w:ascii="Arial" w:hAnsi="Arial"/>
          <w:b/>
          <w:sz w:val="22"/>
          <w:szCs w:val="22"/>
        </w:rPr>
        <w:t>.</w:t>
      </w:r>
      <w:r w:rsidRPr="00873F35">
        <w:rPr>
          <w:rFonts w:ascii="Arial" w:hAnsi="Arial"/>
          <w:b/>
          <w:sz w:val="22"/>
          <w:szCs w:val="22"/>
        </w:rPr>
        <w:tab/>
      </w:r>
      <w:r w:rsidR="00272B09" w:rsidRPr="00272B09">
        <w:rPr>
          <w:rFonts w:ascii="Arial" w:hAnsi="Arial"/>
          <w:b/>
          <w:sz w:val="22"/>
          <w:szCs w:val="22"/>
        </w:rPr>
        <w:t>Associated factors with long COVID-19 cough</w:t>
      </w:r>
    </w:p>
    <w:tbl>
      <w:tblPr>
        <w:tblStyle w:val="Tablaconcuadrcula"/>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1220"/>
        <w:gridCol w:w="1220"/>
        <w:gridCol w:w="1108"/>
        <w:gridCol w:w="1333"/>
        <w:gridCol w:w="1220"/>
      </w:tblGrid>
      <w:tr w:rsidR="00971074" w:rsidRPr="00971074" w14:paraId="2445A7F6" w14:textId="77777777" w:rsidTr="001E3763">
        <w:trPr>
          <w:trHeight w:val="336"/>
        </w:trPr>
        <w:tc>
          <w:tcPr>
            <w:tcW w:w="2097" w:type="dxa"/>
            <w:tcBorders>
              <w:bottom w:val="single" w:sz="4" w:space="0" w:color="auto"/>
            </w:tcBorders>
            <w:noWrap/>
            <w:hideMark/>
          </w:tcPr>
          <w:p w14:paraId="3C7C46A3" w14:textId="77777777" w:rsidR="00971074" w:rsidRPr="00971074" w:rsidRDefault="00971074" w:rsidP="001E3763">
            <w:pPr>
              <w:pStyle w:val="Body"/>
              <w:spacing w:after="0"/>
              <w:rPr>
                <w:rFonts w:ascii="Arial" w:hAnsi="Arial" w:cs="Arial"/>
                <w:sz w:val="20"/>
                <w:szCs w:val="20"/>
                <w:lang w:val="es-MX"/>
              </w:rPr>
            </w:pPr>
            <w:r w:rsidRPr="00971074">
              <w:rPr>
                <w:rFonts w:ascii="Arial" w:hAnsi="Arial" w:cs="Arial"/>
                <w:sz w:val="20"/>
                <w:szCs w:val="20"/>
              </w:rPr>
              <w:t>Variables</w:t>
            </w:r>
          </w:p>
        </w:tc>
        <w:tc>
          <w:tcPr>
            <w:tcW w:w="1220" w:type="dxa"/>
            <w:tcBorders>
              <w:bottom w:val="single" w:sz="4" w:space="0" w:color="auto"/>
            </w:tcBorders>
            <w:noWrap/>
            <w:hideMark/>
          </w:tcPr>
          <w:p w14:paraId="06AEA5FF" w14:textId="16379E99"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B</w:t>
            </w:r>
            <w:r>
              <w:rPr>
                <w:rFonts w:ascii="Arial" w:hAnsi="Arial" w:cs="Arial"/>
                <w:sz w:val="20"/>
                <w:szCs w:val="20"/>
              </w:rPr>
              <w:t>eta</w:t>
            </w:r>
          </w:p>
        </w:tc>
        <w:tc>
          <w:tcPr>
            <w:tcW w:w="1220" w:type="dxa"/>
            <w:tcBorders>
              <w:bottom w:val="single" w:sz="4" w:space="0" w:color="auto"/>
            </w:tcBorders>
            <w:noWrap/>
            <w:hideMark/>
          </w:tcPr>
          <w:p w14:paraId="7522E5C0"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OR</w:t>
            </w:r>
          </w:p>
        </w:tc>
        <w:tc>
          <w:tcPr>
            <w:tcW w:w="2441" w:type="dxa"/>
            <w:gridSpan w:val="2"/>
            <w:tcBorders>
              <w:bottom w:val="single" w:sz="4" w:space="0" w:color="auto"/>
            </w:tcBorders>
            <w:noWrap/>
            <w:hideMark/>
          </w:tcPr>
          <w:p w14:paraId="56D4E6D7"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CI 95%</w:t>
            </w:r>
          </w:p>
        </w:tc>
        <w:tc>
          <w:tcPr>
            <w:tcW w:w="1220" w:type="dxa"/>
            <w:tcBorders>
              <w:bottom w:val="single" w:sz="4" w:space="0" w:color="auto"/>
            </w:tcBorders>
            <w:noWrap/>
            <w:hideMark/>
          </w:tcPr>
          <w:p w14:paraId="40A8BC1E"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P value</w:t>
            </w:r>
          </w:p>
        </w:tc>
      </w:tr>
      <w:tr w:rsidR="00971074" w:rsidRPr="00971074" w14:paraId="109F0F9B" w14:textId="77777777" w:rsidTr="001E3763">
        <w:trPr>
          <w:trHeight w:val="324"/>
        </w:trPr>
        <w:tc>
          <w:tcPr>
            <w:tcW w:w="2097" w:type="dxa"/>
            <w:tcBorders>
              <w:top w:val="single" w:sz="4" w:space="0" w:color="auto"/>
              <w:bottom w:val="nil"/>
            </w:tcBorders>
            <w:noWrap/>
            <w:hideMark/>
          </w:tcPr>
          <w:p w14:paraId="1F4952C6" w14:textId="77777777" w:rsidR="00971074" w:rsidRPr="00971074" w:rsidRDefault="00971074" w:rsidP="001E3763">
            <w:pPr>
              <w:pStyle w:val="Body"/>
              <w:spacing w:after="0"/>
              <w:rPr>
                <w:rFonts w:ascii="Arial" w:hAnsi="Arial" w:cs="Arial"/>
                <w:sz w:val="20"/>
                <w:szCs w:val="20"/>
              </w:rPr>
            </w:pPr>
            <w:r w:rsidRPr="00971074">
              <w:rPr>
                <w:rFonts w:ascii="Arial" w:hAnsi="Arial" w:cs="Arial"/>
                <w:sz w:val="20"/>
                <w:szCs w:val="20"/>
              </w:rPr>
              <w:t>Type 2 Diabetes (1)</w:t>
            </w:r>
          </w:p>
        </w:tc>
        <w:tc>
          <w:tcPr>
            <w:tcW w:w="1220" w:type="dxa"/>
            <w:tcBorders>
              <w:top w:val="single" w:sz="4" w:space="0" w:color="auto"/>
              <w:bottom w:val="nil"/>
            </w:tcBorders>
            <w:noWrap/>
            <w:hideMark/>
          </w:tcPr>
          <w:p w14:paraId="5AF93791" w14:textId="7A81EA9F"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w:t>
            </w:r>
            <w:r>
              <w:rPr>
                <w:rFonts w:ascii="Arial" w:hAnsi="Arial" w:cs="Arial"/>
                <w:sz w:val="20"/>
                <w:szCs w:val="20"/>
              </w:rPr>
              <w:t>0</w:t>
            </w:r>
            <w:r w:rsidRPr="00971074">
              <w:rPr>
                <w:rFonts w:ascii="Arial" w:hAnsi="Arial" w:cs="Arial"/>
                <w:sz w:val="20"/>
                <w:szCs w:val="20"/>
              </w:rPr>
              <w:t>.610</w:t>
            </w:r>
          </w:p>
        </w:tc>
        <w:tc>
          <w:tcPr>
            <w:tcW w:w="1220" w:type="dxa"/>
            <w:tcBorders>
              <w:top w:val="single" w:sz="4" w:space="0" w:color="auto"/>
              <w:bottom w:val="nil"/>
            </w:tcBorders>
            <w:noWrap/>
            <w:hideMark/>
          </w:tcPr>
          <w:p w14:paraId="25D59403" w14:textId="2E3FF35D"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.543</w:t>
            </w:r>
          </w:p>
        </w:tc>
        <w:tc>
          <w:tcPr>
            <w:tcW w:w="1108" w:type="dxa"/>
            <w:tcBorders>
              <w:top w:val="single" w:sz="4" w:space="0" w:color="auto"/>
              <w:bottom w:val="nil"/>
            </w:tcBorders>
            <w:noWrap/>
            <w:hideMark/>
          </w:tcPr>
          <w:p w14:paraId="0D9C04DE" w14:textId="15892B6D"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.197</w:t>
            </w:r>
          </w:p>
        </w:tc>
        <w:tc>
          <w:tcPr>
            <w:tcW w:w="1333" w:type="dxa"/>
            <w:tcBorders>
              <w:top w:val="single" w:sz="4" w:space="0" w:color="auto"/>
              <w:bottom w:val="nil"/>
            </w:tcBorders>
            <w:noWrap/>
            <w:hideMark/>
          </w:tcPr>
          <w:p w14:paraId="357380F5"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1.494</w:t>
            </w:r>
          </w:p>
        </w:tc>
        <w:tc>
          <w:tcPr>
            <w:tcW w:w="1220" w:type="dxa"/>
            <w:tcBorders>
              <w:top w:val="single" w:sz="4" w:space="0" w:color="auto"/>
              <w:bottom w:val="nil"/>
            </w:tcBorders>
            <w:noWrap/>
            <w:hideMark/>
          </w:tcPr>
          <w:p w14:paraId="2B26F559" w14:textId="5755E7F5"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.237</w:t>
            </w:r>
          </w:p>
        </w:tc>
      </w:tr>
      <w:tr w:rsidR="00971074" w:rsidRPr="00971074" w14:paraId="1DBD37F8" w14:textId="77777777" w:rsidTr="001E3763">
        <w:trPr>
          <w:trHeight w:val="312"/>
        </w:trPr>
        <w:tc>
          <w:tcPr>
            <w:tcW w:w="2097" w:type="dxa"/>
            <w:tcBorders>
              <w:top w:val="nil"/>
            </w:tcBorders>
            <w:noWrap/>
            <w:hideMark/>
          </w:tcPr>
          <w:p w14:paraId="41267098" w14:textId="77777777" w:rsidR="00971074" w:rsidRPr="00971074" w:rsidRDefault="00971074" w:rsidP="001E3763">
            <w:pPr>
              <w:pStyle w:val="Body"/>
              <w:spacing w:after="0"/>
              <w:rPr>
                <w:rFonts w:ascii="Arial" w:hAnsi="Arial" w:cs="Arial"/>
                <w:sz w:val="20"/>
                <w:szCs w:val="20"/>
              </w:rPr>
            </w:pPr>
            <w:r w:rsidRPr="00971074">
              <w:rPr>
                <w:rFonts w:ascii="Arial" w:hAnsi="Arial" w:cs="Arial"/>
                <w:sz w:val="20"/>
                <w:szCs w:val="20"/>
              </w:rPr>
              <w:t>COPD (1)</w:t>
            </w:r>
          </w:p>
        </w:tc>
        <w:tc>
          <w:tcPr>
            <w:tcW w:w="1220" w:type="dxa"/>
            <w:tcBorders>
              <w:top w:val="nil"/>
            </w:tcBorders>
            <w:noWrap/>
            <w:hideMark/>
          </w:tcPr>
          <w:p w14:paraId="7ABA5566" w14:textId="792AD031"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w:t>
            </w:r>
            <w:r>
              <w:rPr>
                <w:rFonts w:ascii="Arial" w:hAnsi="Arial" w:cs="Arial"/>
                <w:sz w:val="20"/>
                <w:szCs w:val="20"/>
              </w:rPr>
              <w:t>0</w:t>
            </w:r>
            <w:r w:rsidRPr="00971074">
              <w:rPr>
                <w:rFonts w:ascii="Arial" w:hAnsi="Arial" w:cs="Arial"/>
                <w:sz w:val="20"/>
                <w:szCs w:val="20"/>
              </w:rPr>
              <w:t>.310</w:t>
            </w:r>
          </w:p>
        </w:tc>
        <w:tc>
          <w:tcPr>
            <w:tcW w:w="1220" w:type="dxa"/>
            <w:tcBorders>
              <w:top w:val="nil"/>
            </w:tcBorders>
            <w:noWrap/>
            <w:hideMark/>
          </w:tcPr>
          <w:p w14:paraId="596B369E" w14:textId="666807C8"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.733</w:t>
            </w:r>
          </w:p>
        </w:tc>
        <w:tc>
          <w:tcPr>
            <w:tcW w:w="1108" w:type="dxa"/>
            <w:tcBorders>
              <w:top w:val="nil"/>
            </w:tcBorders>
            <w:noWrap/>
            <w:hideMark/>
          </w:tcPr>
          <w:p w14:paraId="011B4250" w14:textId="4A53BC01"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.070</w:t>
            </w:r>
          </w:p>
        </w:tc>
        <w:tc>
          <w:tcPr>
            <w:tcW w:w="1333" w:type="dxa"/>
            <w:tcBorders>
              <w:top w:val="nil"/>
            </w:tcBorders>
            <w:noWrap/>
            <w:hideMark/>
          </w:tcPr>
          <w:p w14:paraId="0DCBB4A8"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7.735</w:t>
            </w:r>
          </w:p>
        </w:tc>
        <w:tc>
          <w:tcPr>
            <w:tcW w:w="1220" w:type="dxa"/>
            <w:tcBorders>
              <w:top w:val="nil"/>
            </w:tcBorders>
            <w:noWrap/>
            <w:hideMark/>
          </w:tcPr>
          <w:p w14:paraId="5ADE5058" w14:textId="15B07BC5"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.796</w:t>
            </w:r>
          </w:p>
        </w:tc>
      </w:tr>
      <w:tr w:rsidR="00971074" w:rsidRPr="00971074" w14:paraId="4472556E" w14:textId="77777777" w:rsidTr="001E3763">
        <w:trPr>
          <w:trHeight w:val="312"/>
        </w:trPr>
        <w:tc>
          <w:tcPr>
            <w:tcW w:w="2097" w:type="dxa"/>
            <w:noWrap/>
            <w:hideMark/>
          </w:tcPr>
          <w:p w14:paraId="7F18E7C7" w14:textId="22A6C55A" w:rsidR="00971074" w:rsidRPr="00971074" w:rsidRDefault="00971074" w:rsidP="001E3763">
            <w:pPr>
              <w:pStyle w:val="Body"/>
              <w:spacing w:after="0"/>
              <w:rPr>
                <w:rFonts w:ascii="Arial" w:hAnsi="Arial" w:cs="Arial"/>
                <w:sz w:val="20"/>
                <w:szCs w:val="20"/>
              </w:rPr>
            </w:pPr>
            <w:r w:rsidRPr="00971074">
              <w:rPr>
                <w:rFonts w:ascii="Arial" w:hAnsi="Arial" w:cs="Arial"/>
                <w:sz w:val="20"/>
                <w:szCs w:val="20"/>
              </w:rPr>
              <w:t>Hypertension (1)</w:t>
            </w:r>
          </w:p>
        </w:tc>
        <w:tc>
          <w:tcPr>
            <w:tcW w:w="1220" w:type="dxa"/>
            <w:noWrap/>
            <w:hideMark/>
          </w:tcPr>
          <w:p w14:paraId="7980B074" w14:textId="3EEBDA84"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.388</w:t>
            </w:r>
          </w:p>
        </w:tc>
        <w:tc>
          <w:tcPr>
            <w:tcW w:w="1220" w:type="dxa"/>
            <w:noWrap/>
            <w:hideMark/>
          </w:tcPr>
          <w:p w14:paraId="58FE5963"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1.473</w:t>
            </w:r>
          </w:p>
        </w:tc>
        <w:tc>
          <w:tcPr>
            <w:tcW w:w="1108" w:type="dxa"/>
            <w:noWrap/>
            <w:hideMark/>
          </w:tcPr>
          <w:p w14:paraId="30B7FF8F" w14:textId="0960502D"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.651</w:t>
            </w:r>
          </w:p>
        </w:tc>
        <w:tc>
          <w:tcPr>
            <w:tcW w:w="1333" w:type="dxa"/>
            <w:noWrap/>
            <w:hideMark/>
          </w:tcPr>
          <w:p w14:paraId="1DD3ED90"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3.334</w:t>
            </w:r>
          </w:p>
        </w:tc>
        <w:tc>
          <w:tcPr>
            <w:tcW w:w="1220" w:type="dxa"/>
            <w:noWrap/>
            <w:hideMark/>
          </w:tcPr>
          <w:p w14:paraId="664D7445" w14:textId="2E88FF45"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.352</w:t>
            </w:r>
          </w:p>
        </w:tc>
      </w:tr>
      <w:tr w:rsidR="00971074" w:rsidRPr="00971074" w14:paraId="457F5625" w14:textId="77777777" w:rsidTr="001E3763">
        <w:trPr>
          <w:trHeight w:val="312"/>
        </w:trPr>
        <w:tc>
          <w:tcPr>
            <w:tcW w:w="2097" w:type="dxa"/>
            <w:noWrap/>
            <w:hideMark/>
          </w:tcPr>
          <w:p w14:paraId="7144390C" w14:textId="77777777" w:rsidR="00971074" w:rsidRPr="00971074" w:rsidRDefault="00971074" w:rsidP="001E3763">
            <w:pPr>
              <w:pStyle w:val="Body"/>
              <w:spacing w:after="0"/>
              <w:rPr>
                <w:rFonts w:ascii="Arial" w:hAnsi="Arial" w:cs="Arial"/>
                <w:sz w:val="20"/>
                <w:szCs w:val="20"/>
              </w:rPr>
            </w:pPr>
            <w:r w:rsidRPr="00971074">
              <w:rPr>
                <w:rFonts w:ascii="Arial" w:hAnsi="Arial" w:cs="Arial"/>
                <w:sz w:val="20"/>
                <w:szCs w:val="20"/>
              </w:rPr>
              <w:t>Cancer (1)</w:t>
            </w:r>
          </w:p>
        </w:tc>
        <w:tc>
          <w:tcPr>
            <w:tcW w:w="1220" w:type="dxa"/>
            <w:noWrap/>
            <w:hideMark/>
          </w:tcPr>
          <w:p w14:paraId="614D6443" w14:textId="680C6782"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w:t>
            </w:r>
            <w:r>
              <w:rPr>
                <w:rFonts w:ascii="Arial" w:hAnsi="Arial" w:cs="Arial"/>
                <w:sz w:val="20"/>
                <w:szCs w:val="20"/>
              </w:rPr>
              <w:t>0</w:t>
            </w:r>
            <w:r w:rsidRPr="00971074">
              <w:rPr>
                <w:rFonts w:ascii="Arial" w:hAnsi="Arial" w:cs="Arial"/>
                <w:sz w:val="20"/>
                <w:szCs w:val="20"/>
              </w:rPr>
              <w:t>.265</w:t>
            </w:r>
          </w:p>
        </w:tc>
        <w:tc>
          <w:tcPr>
            <w:tcW w:w="1220" w:type="dxa"/>
            <w:noWrap/>
            <w:hideMark/>
          </w:tcPr>
          <w:p w14:paraId="710C558C" w14:textId="3FFF6B0F"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.767</w:t>
            </w:r>
          </w:p>
        </w:tc>
        <w:tc>
          <w:tcPr>
            <w:tcW w:w="1108" w:type="dxa"/>
            <w:noWrap/>
            <w:hideMark/>
          </w:tcPr>
          <w:p w14:paraId="013ADBB1" w14:textId="4EF091B5"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.023</w:t>
            </w:r>
          </w:p>
        </w:tc>
        <w:tc>
          <w:tcPr>
            <w:tcW w:w="1333" w:type="dxa"/>
            <w:noWrap/>
            <w:hideMark/>
          </w:tcPr>
          <w:p w14:paraId="4A0AC448"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25.238</w:t>
            </w:r>
          </w:p>
        </w:tc>
        <w:tc>
          <w:tcPr>
            <w:tcW w:w="1220" w:type="dxa"/>
            <w:noWrap/>
            <w:hideMark/>
          </w:tcPr>
          <w:p w14:paraId="1A18D3BA" w14:textId="58B5D793"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.882</w:t>
            </w:r>
          </w:p>
        </w:tc>
      </w:tr>
      <w:tr w:rsidR="00971074" w:rsidRPr="00971074" w14:paraId="363FF28E" w14:textId="77777777" w:rsidTr="001E3763">
        <w:trPr>
          <w:trHeight w:val="312"/>
        </w:trPr>
        <w:tc>
          <w:tcPr>
            <w:tcW w:w="2097" w:type="dxa"/>
            <w:noWrap/>
            <w:hideMark/>
          </w:tcPr>
          <w:p w14:paraId="41189F89" w14:textId="77777777" w:rsidR="00971074" w:rsidRPr="00971074" w:rsidRDefault="00971074" w:rsidP="001E3763">
            <w:pPr>
              <w:pStyle w:val="Body"/>
              <w:spacing w:after="0"/>
              <w:rPr>
                <w:rFonts w:ascii="Arial" w:hAnsi="Arial" w:cs="Arial"/>
                <w:sz w:val="20"/>
                <w:szCs w:val="20"/>
              </w:rPr>
            </w:pPr>
            <w:r w:rsidRPr="00971074">
              <w:rPr>
                <w:rFonts w:ascii="Arial" w:hAnsi="Arial" w:cs="Arial"/>
                <w:sz w:val="20"/>
                <w:szCs w:val="20"/>
              </w:rPr>
              <w:t>CKD (1)</w:t>
            </w:r>
          </w:p>
        </w:tc>
        <w:tc>
          <w:tcPr>
            <w:tcW w:w="1220" w:type="dxa"/>
            <w:noWrap/>
            <w:hideMark/>
          </w:tcPr>
          <w:p w14:paraId="68AD194B" w14:textId="37DB02EF"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.548</w:t>
            </w:r>
          </w:p>
        </w:tc>
        <w:tc>
          <w:tcPr>
            <w:tcW w:w="1220" w:type="dxa"/>
            <w:noWrap/>
            <w:hideMark/>
          </w:tcPr>
          <w:p w14:paraId="53B039DF"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1.729</w:t>
            </w:r>
          </w:p>
        </w:tc>
        <w:tc>
          <w:tcPr>
            <w:tcW w:w="1108" w:type="dxa"/>
            <w:noWrap/>
            <w:hideMark/>
          </w:tcPr>
          <w:p w14:paraId="2AA901DF" w14:textId="7E12B1E7"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.054</w:t>
            </w:r>
          </w:p>
        </w:tc>
        <w:tc>
          <w:tcPr>
            <w:tcW w:w="1333" w:type="dxa"/>
            <w:noWrap/>
            <w:hideMark/>
          </w:tcPr>
          <w:p w14:paraId="30B98408"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55.461</w:t>
            </w:r>
          </w:p>
        </w:tc>
        <w:tc>
          <w:tcPr>
            <w:tcW w:w="1220" w:type="dxa"/>
            <w:noWrap/>
            <w:hideMark/>
          </w:tcPr>
          <w:p w14:paraId="580AED56" w14:textId="531C169E"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.757</w:t>
            </w:r>
          </w:p>
        </w:tc>
      </w:tr>
      <w:tr w:rsidR="00971074" w:rsidRPr="00971074" w14:paraId="5301E6E8" w14:textId="77777777" w:rsidTr="001E3763">
        <w:trPr>
          <w:trHeight w:val="312"/>
        </w:trPr>
        <w:tc>
          <w:tcPr>
            <w:tcW w:w="2097" w:type="dxa"/>
            <w:noWrap/>
            <w:hideMark/>
          </w:tcPr>
          <w:p w14:paraId="4E490428" w14:textId="77777777" w:rsidR="00971074" w:rsidRPr="00971074" w:rsidRDefault="00971074" w:rsidP="001E3763">
            <w:pPr>
              <w:pStyle w:val="Body"/>
              <w:spacing w:after="0"/>
              <w:rPr>
                <w:rFonts w:ascii="Arial" w:hAnsi="Arial" w:cs="Arial"/>
                <w:sz w:val="20"/>
                <w:szCs w:val="20"/>
              </w:rPr>
            </w:pPr>
            <w:r w:rsidRPr="00971074">
              <w:rPr>
                <w:rFonts w:ascii="Arial" w:hAnsi="Arial" w:cs="Arial"/>
                <w:sz w:val="20"/>
                <w:szCs w:val="20"/>
              </w:rPr>
              <w:t>VH (1)</w:t>
            </w:r>
          </w:p>
        </w:tc>
        <w:tc>
          <w:tcPr>
            <w:tcW w:w="1220" w:type="dxa"/>
            <w:noWrap/>
            <w:hideMark/>
          </w:tcPr>
          <w:p w14:paraId="623152D0" w14:textId="21F46532"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.813</w:t>
            </w:r>
          </w:p>
        </w:tc>
        <w:tc>
          <w:tcPr>
            <w:tcW w:w="1220" w:type="dxa"/>
            <w:noWrap/>
            <w:hideMark/>
          </w:tcPr>
          <w:p w14:paraId="1942DF10"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2.254</w:t>
            </w:r>
          </w:p>
        </w:tc>
        <w:tc>
          <w:tcPr>
            <w:tcW w:w="1108" w:type="dxa"/>
            <w:noWrap/>
            <w:hideMark/>
          </w:tcPr>
          <w:p w14:paraId="35743910"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1.100</w:t>
            </w:r>
          </w:p>
        </w:tc>
        <w:tc>
          <w:tcPr>
            <w:tcW w:w="1333" w:type="dxa"/>
            <w:noWrap/>
            <w:hideMark/>
          </w:tcPr>
          <w:p w14:paraId="46BDE2E5"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4.619</w:t>
            </w:r>
          </w:p>
        </w:tc>
        <w:tc>
          <w:tcPr>
            <w:tcW w:w="1220" w:type="dxa"/>
            <w:noWrap/>
            <w:hideMark/>
          </w:tcPr>
          <w:p w14:paraId="7DB63AFD" w14:textId="779C7AAB"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.026</w:t>
            </w:r>
          </w:p>
        </w:tc>
      </w:tr>
      <w:tr w:rsidR="00971074" w:rsidRPr="00971074" w14:paraId="7F12A58B" w14:textId="77777777" w:rsidTr="001E3763">
        <w:trPr>
          <w:trHeight w:val="324"/>
        </w:trPr>
        <w:tc>
          <w:tcPr>
            <w:tcW w:w="2097" w:type="dxa"/>
            <w:noWrap/>
            <w:hideMark/>
          </w:tcPr>
          <w:p w14:paraId="0B043ACF" w14:textId="77777777" w:rsidR="00971074" w:rsidRPr="00971074" w:rsidRDefault="00971074" w:rsidP="001E3763">
            <w:pPr>
              <w:pStyle w:val="Body"/>
              <w:spacing w:after="0"/>
              <w:rPr>
                <w:rFonts w:ascii="Arial" w:hAnsi="Arial" w:cs="Arial"/>
                <w:sz w:val="20"/>
                <w:szCs w:val="20"/>
              </w:rPr>
            </w:pPr>
            <w:r w:rsidRPr="00971074">
              <w:rPr>
                <w:rFonts w:ascii="Arial" w:hAnsi="Arial" w:cs="Arial"/>
                <w:sz w:val="20"/>
                <w:szCs w:val="20"/>
              </w:rPr>
              <w:t>Constant</w:t>
            </w:r>
          </w:p>
        </w:tc>
        <w:tc>
          <w:tcPr>
            <w:tcW w:w="1220" w:type="dxa"/>
            <w:noWrap/>
            <w:hideMark/>
          </w:tcPr>
          <w:p w14:paraId="3C50D996" w14:textId="6FD6FBC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w:t>
            </w:r>
            <w:r>
              <w:rPr>
                <w:rFonts w:ascii="Arial" w:hAnsi="Arial" w:cs="Arial"/>
                <w:sz w:val="20"/>
                <w:szCs w:val="20"/>
              </w:rPr>
              <w:t>0</w:t>
            </w:r>
            <w:r w:rsidRPr="00971074">
              <w:rPr>
                <w:rFonts w:ascii="Arial" w:hAnsi="Arial" w:cs="Arial"/>
                <w:sz w:val="20"/>
                <w:szCs w:val="20"/>
              </w:rPr>
              <w:t>.710</w:t>
            </w:r>
          </w:p>
        </w:tc>
        <w:tc>
          <w:tcPr>
            <w:tcW w:w="1220" w:type="dxa"/>
            <w:noWrap/>
            <w:hideMark/>
          </w:tcPr>
          <w:p w14:paraId="04B826CA" w14:textId="44BAEB67"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.492</w:t>
            </w:r>
          </w:p>
        </w:tc>
        <w:tc>
          <w:tcPr>
            <w:tcW w:w="1108" w:type="dxa"/>
            <w:noWrap/>
            <w:hideMark/>
          </w:tcPr>
          <w:p w14:paraId="27B4B7F3" w14:textId="23FF8731" w:rsidR="00971074" w:rsidRPr="00971074" w:rsidRDefault="00971074" w:rsidP="001E3763">
            <w:pPr>
              <w:pStyle w:val="Body"/>
              <w:spacing w:after="0"/>
              <w:jc w:val="center"/>
              <w:rPr>
                <w:rFonts w:ascii="Arial" w:hAnsi="Arial" w:cs="Arial"/>
                <w:sz w:val="20"/>
                <w:szCs w:val="20"/>
              </w:rPr>
            </w:pPr>
          </w:p>
        </w:tc>
        <w:tc>
          <w:tcPr>
            <w:tcW w:w="1333" w:type="dxa"/>
            <w:noWrap/>
            <w:hideMark/>
          </w:tcPr>
          <w:p w14:paraId="5B01B154" w14:textId="1CF21D8C" w:rsidR="00971074" w:rsidRPr="00971074" w:rsidRDefault="00971074" w:rsidP="001E3763">
            <w:pPr>
              <w:pStyle w:val="Body"/>
              <w:spacing w:after="0"/>
              <w:jc w:val="center"/>
              <w:rPr>
                <w:rFonts w:ascii="Arial" w:hAnsi="Arial" w:cs="Arial"/>
                <w:sz w:val="20"/>
                <w:szCs w:val="20"/>
              </w:rPr>
            </w:pPr>
          </w:p>
        </w:tc>
        <w:tc>
          <w:tcPr>
            <w:tcW w:w="1220" w:type="dxa"/>
            <w:noWrap/>
            <w:hideMark/>
          </w:tcPr>
          <w:p w14:paraId="6AFCCB5D" w14:textId="491AF911"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.023</w:t>
            </w:r>
          </w:p>
        </w:tc>
      </w:tr>
    </w:tbl>
    <w:p w14:paraId="2AD36E1C" w14:textId="4D66EC79" w:rsidR="00971074" w:rsidRPr="006F4089" w:rsidRDefault="00971074" w:rsidP="00971074">
      <w:pPr>
        <w:tabs>
          <w:tab w:val="left" w:pos="1080"/>
        </w:tabs>
        <w:jc w:val="both"/>
        <w:rPr>
          <w:rFonts w:ascii="Arial" w:hAnsi="Arial" w:cs="Arial"/>
          <w:sz w:val="18"/>
          <w:szCs w:val="18"/>
        </w:rPr>
      </w:pPr>
      <w:r w:rsidRPr="008F39F5">
        <w:rPr>
          <w:rFonts w:ascii="Arial" w:hAnsi="Arial"/>
          <w:bCs/>
          <w:sz w:val="18"/>
          <w:szCs w:val="18"/>
        </w:rPr>
        <w:t xml:space="preserve">Source: Prepared by the authors using data from the </w:t>
      </w:r>
      <w:r>
        <w:rPr>
          <w:rFonts w:ascii="Arial" w:hAnsi="Arial"/>
          <w:bCs/>
          <w:sz w:val="18"/>
          <w:szCs w:val="18"/>
        </w:rPr>
        <w:t>study</w:t>
      </w:r>
      <w:r w:rsidRPr="008F39F5">
        <w:rPr>
          <w:rFonts w:ascii="Arial" w:hAnsi="Arial"/>
          <w:bCs/>
          <w:sz w:val="18"/>
          <w:szCs w:val="18"/>
        </w:rPr>
        <w:t>.</w:t>
      </w:r>
      <w:r>
        <w:rPr>
          <w:rFonts w:ascii="Arial" w:hAnsi="Arial"/>
          <w:bCs/>
          <w:sz w:val="18"/>
          <w:szCs w:val="18"/>
        </w:rPr>
        <w:t xml:space="preserve"> </w:t>
      </w:r>
      <w:r w:rsidRPr="00B81459">
        <w:rPr>
          <w:rFonts w:ascii="Arial" w:hAnsi="Arial"/>
          <w:bCs/>
          <w:sz w:val="18"/>
          <w:szCs w:val="18"/>
        </w:rPr>
        <w:t>COPD</w:t>
      </w:r>
      <w:r>
        <w:rPr>
          <w:rFonts w:ascii="Arial" w:hAnsi="Arial"/>
          <w:bCs/>
          <w:sz w:val="18"/>
          <w:szCs w:val="18"/>
        </w:rPr>
        <w:t>:</w:t>
      </w:r>
      <w:r w:rsidRPr="00B81459">
        <w:rPr>
          <w:rFonts w:ascii="Arial" w:hAnsi="Arial"/>
          <w:bCs/>
          <w:sz w:val="18"/>
          <w:szCs w:val="18"/>
        </w:rPr>
        <w:t xml:space="preserve"> Chronic Obstructive Pulmonary Disease</w:t>
      </w:r>
      <w:r>
        <w:rPr>
          <w:rFonts w:ascii="Arial" w:hAnsi="Arial"/>
          <w:bCs/>
          <w:sz w:val="18"/>
          <w:szCs w:val="18"/>
        </w:rPr>
        <w:t xml:space="preserve">. CKD: </w:t>
      </w:r>
      <w:r w:rsidRPr="00B81459">
        <w:rPr>
          <w:rFonts w:ascii="Arial" w:hAnsi="Arial"/>
          <w:bCs/>
          <w:sz w:val="18"/>
          <w:szCs w:val="18"/>
        </w:rPr>
        <w:t>Chronic Kidney Disease</w:t>
      </w:r>
      <w:r>
        <w:rPr>
          <w:rFonts w:ascii="Arial" w:hAnsi="Arial"/>
          <w:bCs/>
          <w:sz w:val="18"/>
          <w:szCs w:val="18"/>
        </w:rPr>
        <w:t xml:space="preserve">. </w:t>
      </w:r>
      <w:r w:rsidRPr="006F4089">
        <w:rPr>
          <w:rFonts w:ascii="Arial" w:hAnsi="Arial" w:cs="Arial"/>
          <w:sz w:val="18"/>
          <w:szCs w:val="18"/>
        </w:rPr>
        <w:t>VH: vaccination history</w:t>
      </w:r>
      <w:r>
        <w:rPr>
          <w:rFonts w:ascii="Arial" w:hAnsi="Arial" w:cs="Arial"/>
          <w:sz w:val="18"/>
          <w:szCs w:val="18"/>
        </w:rPr>
        <w:t xml:space="preserve">. </w:t>
      </w:r>
      <w:r w:rsidRPr="00971074">
        <w:rPr>
          <w:rFonts w:ascii="Arial" w:hAnsi="Arial" w:cs="Arial"/>
          <w:sz w:val="18"/>
          <w:szCs w:val="18"/>
        </w:rPr>
        <w:t>Variables included in the multivariate logistic regression model: type 2 diabetes: presence=1, absence=0, chronic obstructive pulmonary disease: presence=1, absence=0, hypertension: presence=1, absence=0, cancer: presence=1, absence=0, chronic kidney disease: presence=1, absence=0, vaccination history: presence=1, absence=0.</w:t>
      </w:r>
    </w:p>
    <w:p w14:paraId="525BE993" w14:textId="77777777" w:rsidR="00971074" w:rsidRDefault="00971074" w:rsidP="00B81459">
      <w:pPr>
        <w:pStyle w:val="Body"/>
        <w:spacing w:after="0"/>
        <w:rPr>
          <w:rFonts w:ascii="Arial" w:hAnsi="Arial" w:cs="Arial"/>
        </w:rPr>
      </w:pPr>
    </w:p>
    <w:p w14:paraId="7A05EAB3" w14:textId="6862EDF9" w:rsidR="00B33980" w:rsidRDefault="00CC2332" w:rsidP="00B33980">
      <w:pPr>
        <w:pStyle w:val="Body"/>
        <w:spacing w:after="0"/>
        <w:rPr>
          <w:rFonts w:ascii="Arial" w:hAnsi="Arial" w:cs="Arial"/>
          <w:bCs/>
        </w:rPr>
      </w:pPr>
      <w:r w:rsidRPr="00CC2332">
        <w:rPr>
          <w:rFonts w:ascii="Arial" w:hAnsi="Arial" w:cs="Arial"/>
          <w:bCs/>
        </w:rPr>
        <w:t>In contrast, Table 4 shows that vaccination history was significantly associated with a reduced likelihood of dyspnoea as a sequelae of long COVID-19, indicating a potential protective effect. No other comorbidities, including diabetes, COPD, or hypertension, reached statistical significance. These findings highlight the complex and potentially symptom-specific role of vaccination and comorbidities in the persistence of post-COVID-19 respiratory symptoms.</w:t>
      </w:r>
    </w:p>
    <w:p w14:paraId="0D5EDE6A" w14:textId="77777777" w:rsidR="00B33980" w:rsidRDefault="00B33980" w:rsidP="00B33980">
      <w:pPr>
        <w:pStyle w:val="Body"/>
        <w:spacing w:after="0"/>
        <w:rPr>
          <w:rFonts w:ascii="Arial" w:hAnsi="Arial" w:cs="Arial"/>
          <w:bCs/>
        </w:rPr>
      </w:pPr>
    </w:p>
    <w:p w14:paraId="1C22D441" w14:textId="0293103B" w:rsidR="00272B09" w:rsidRPr="00873F35" w:rsidRDefault="00272B09" w:rsidP="00272B09">
      <w:pPr>
        <w:tabs>
          <w:tab w:val="left" w:pos="1080"/>
        </w:tabs>
        <w:jc w:val="both"/>
        <w:rPr>
          <w:rFonts w:ascii="Arial" w:hAnsi="Arial"/>
          <w:b/>
          <w:sz w:val="22"/>
          <w:szCs w:val="22"/>
        </w:rPr>
      </w:pPr>
      <w:r w:rsidRPr="00873F35">
        <w:rPr>
          <w:rFonts w:ascii="Arial" w:hAnsi="Arial"/>
          <w:b/>
          <w:sz w:val="22"/>
          <w:szCs w:val="22"/>
        </w:rPr>
        <w:t xml:space="preserve">Table </w:t>
      </w:r>
      <w:r>
        <w:rPr>
          <w:rFonts w:ascii="Arial" w:hAnsi="Arial"/>
          <w:b/>
          <w:sz w:val="22"/>
          <w:szCs w:val="22"/>
        </w:rPr>
        <w:t>4</w:t>
      </w:r>
      <w:r w:rsidRPr="00873F35">
        <w:rPr>
          <w:rFonts w:ascii="Arial" w:hAnsi="Arial"/>
          <w:b/>
          <w:sz w:val="22"/>
          <w:szCs w:val="22"/>
        </w:rPr>
        <w:t>.</w:t>
      </w:r>
      <w:r w:rsidRPr="00873F35">
        <w:rPr>
          <w:rFonts w:ascii="Arial" w:hAnsi="Arial"/>
          <w:b/>
          <w:sz w:val="22"/>
          <w:szCs w:val="22"/>
        </w:rPr>
        <w:tab/>
      </w:r>
      <w:r w:rsidRPr="00272B09">
        <w:rPr>
          <w:rFonts w:ascii="Arial" w:hAnsi="Arial"/>
          <w:b/>
          <w:sz w:val="22"/>
          <w:szCs w:val="22"/>
        </w:rPr>
        <w:t xml:space="preserve">Associated factors with long COVID-19 </w:t>
      </w:r>
      <w:r>
        <w:rPr>
          <w:rFonts w:ascii="Arial" w:hAnsi="Arial"/>
          <w:b/>
          <w:sz w:val="22"/>
          <w:szCs w:val="22"/>
        </w:rPr>
        <w:t>d</w:t>
      </w:r>
      <w:r w:rsidRPr="00272B09">
        <w:rPr>
          <w:rFonts w:ascii="Arial" w:hAnsi="Arial"/>
          <w:b/>
          <w:sz w:val="22"/>
          <w:szCs w:val="22"/>
        </w:rPr>
        <w:t>yspnoea</w:t>
      </w:r>
    </w:p>
    <w:tbl>
      <w:tblPr>
        <w:tblStyle w:val="Tablaconcuadrcula"/>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1220"/>
        <w:gridCol w:w="1220"/>
        <w:gridCol w:w="1108"/>
        <w:gridCol w:w="1333"/>
        <w:gridCol w:w="1220"/>
      </w:tblGrid>
      <w:tr w:rsidR="00272B09" w:rsidRPr="00971074" w14:paraId="313F395F" w14:textId="77777777" w:rsidTr="00272B09">
        <w:trPr>
          <w:trHeight w:val="336"/>
        </w:trPr>
        <w:tc>
          <w:tcPr>
            <w:tcW w:w="2097" w:type="dxa"/>
            <w:tcBorders>
              <w:top w:val="nil"/>
              <w:bottom w:val="single" w:sz="4" w:space="0" w:color="auto"/>
            </w:tcBorders>
            <w:noWrap/>
            <w:hideMark/>
          </w:tcPr>
          <w:p w14:paraId="7F35783C" w14:textId="77777777" w:rsidR="00272B09" w:rsidRPr="00971074" w:rsidRDefault="00272B09" w:rsidP="00D36F74">
            <w:pPr>
              <w:pStyle w:val="Body"/>
              <w:spacing w:after="0"/>
              <w:rPr>
                <w:rFonts w:ascii="Arial" w:hAnsi="Arial" w:cs="Arial"/>
                <w:sz w:val="20"/>
                <w:szCs w:val="20"/>
                <w:lang w:val="es-MX"/>
              </w:rPr>
            </w:pPr>
            <w:r w:rsidRPr="00971074">
              <w:rPr>
                <w:rFonts w:ascii="Arial" w:hAnsi="Arial" w:cs="Arial"/>
                <w:sz w:val="20"/>
                <w:szCs w:val="20"/>
              </w:rPr>
              <w:t>Variables</w:t>
            </w:r>
          </w:p>
        </w:tc>
        <w:tc>
          <w:tcPr>
            <w:tcW w:w="1220" w:type="dxa"/>
            <w:tcBorders>
              <w:top w:val="nil"/>
              <w:bottom w:val="single" w:sz="4" w:space="0" w:color="auto"/>
            </w:tcBorders>
            <w:noWrap/>
            <w:hideMark/>
          </w:tcPr>
          <w:p w14:paraId="41527F99" w14:textId="77777777" w:rsidR="00272B09" w:rsidRPr="00971074" w:rsidRDefault="00272B09" w:rsidP="00272B09">
            <w:pPr>
              <w:pStyle w:val="Body"/>
              <w:spacing w:after="0"/>
              <w:jc w:val="center"/>
              <w:rPr>
                <w:rFonts w:ascii="Arial" w:hAnsi="Arial" w:cs="Arial"/>
                <w:sz w:val="20"/>
                <w:szCs w:val="20"/>
              </w:rPr>
            </w:pPr>
            <w:r w:rsidRPr="00971074">
              <w:rPr>
                <w:rFonts w:ascii="Arial" w:hAnsi="Arial" w:cs="Arial"/>
                <w:sz w:val="20"/>
                <w:szCs w:val="20"/>
              </w:rPr>
              <w:t>B</w:t>
            </w:r>
            <w:r>
              <w:rPr>
                <w:rFonts w:ascii="Arial" w:hAnsi="Arial" w:cs="Arial"/>
                <w:sz w:val="20"/>
                <w:szCs w:val="20"/>
              </w:rPr>
              <w:t>eta</w:t>
            </w:r>
          </w:p>
        </w:tc>
        <w:tc>
          <w:tcPr>
            <w:tcW w:w="1220" w:type="dxa"/>
            <w:tcBorders>
              <w:top w:val="nil"/>
              <w:bottom w:val="single" w:sz="4" w:space="0" w:color="auto"/>
            </w:tcBorders>
            <w:noWrap/>
            <w:hideMark/>
          </w:tcPr>
          <w:p w14:paraId="14F5D658" w14:textId="77777777" w:rsidR="00272B09" w:rsidRPr="00971074" w:rsidRDefault="00272B09" w:rsidP="00272B09">
            <w:pPr>
              <w:pStyle w:val="Body"/>
              <w:spacing w:after="0"/>
              <w:jc w:val="center"/>
              <w:rPr>
                <w:rFonts w:ascii="Arial" w:hAnsi="Arial" w:cs="Arial"/>
                <w:sz w:val="20"/>
                <w:szCs w:val="20"/>
              </w:rPr>
            </w:pPr>
            <w:r w:rsidRPr="00971074">
              <w:rPr>
                <w:rFonts w:ascii="Arial" w:hAnsi="Arial" w:cs="Arial"/>
                <w:sz w:val="20"/>
                <w:szCs w:val="20"/>
              </w:rPr>
              <w:t>OR</w:t>
            </w:r>
          </w:p>
        </w:tc>
        <w:tc>
          <w:tcPr>
            <w:tcW w:w="2441" w:type="dxa"/>
            <w:gridSpan w:val="2"/>
            <w:tcBorders>
              <w:top w:val="nil"/>
              <w:bottom w:val="single" w:sz="4" w:space="0" w:color="auto"/>
            </w:tcBorders>
            <w:noWrap/>
            <w:hideMark/>
          </w:tcPr>
          <w:p w14:paraId="362CA591" w14:textId="77777777" w:rsidR="00272B09" w:rsidRPr="00971074" w:rsidRDefault="00272B09" w:rsidP="00272B09">
            <w:pPr>
              <w:pStyle w:val="Body"/>
              <w:spacing w:after="0"/>
              <w:jc w:val="center"/>
              <w:rPr>
                <w:rFonts w:ascii="Arial" w:hAnsi="Arial" w:cs="Arial"/>
                <w:sz w:val="20"/>
                <w:szCs w:val="20"/>
              </w:rPr>
            </w:pPr>
            <w:r w:rsidRPr="00971074">
              <w:rPr>
                <w:rFonts w:ascii="Arial" w:hAnsi="Arial" w:cs="Arial"/>
                <w:sz w:val="20"/>
                <w:szCs w:val="20"/>
              </w:rPr>
              <w:t>CI 95%</w:t>
            </w:r>
          </w:p>
        </w:tc>
        <w:tc>
          <w:tcPr>
            <w:tcW w:w="1220" w:type="dxa"/>
            <w:tcBorders>
              <w:top w:val="nil"/>
              <w:bottom w:val="single" w:sz="4" w:space="0" w:color="auto"/>
            </w:tcBorders>
            <w:noWrap/>
            <w:hideMark/>
          </w:tcPr>
          <w:p w14:paraId="69D87CF9" w14:textId="77777777" w:rsidR="00272B09" w:rsidRPr="00971074" w:rsidRDefault="00272B09" w:rsidP="00272B09">
            <w:pPr>
              <w:pStyle w:val="Body"/>
              <w:spacing w:after="0"/>
              <w:jc w:val="center"/>
              <w:rPr>
                <w:rFonts w:ascii="Arial" w:hAnsi="Arial" w:cs="Arial"/>
                <w:sz w:val="20"/>
                <w:szCs w:val="20"/>
              </w:rPr>
            </w:pPr>
            <w:r w:rsidRPr="00971074">
              <w:rPr>
                <w:rFonts w:ascii="Arial" w:hAnsi="Arial" w:cs="Arial"/>
                <w:sz w:val="20"/>
                <w:szCs w:val="20"/>
              </w:rPr>
              <w:t>P value</w:t>
            </w:r>
          </w:p>
        </w:tc>
      </w:tr>
      <w:tr w:rsidR="00272B09" w:rsidRPr="00971074" w14:paraId="3D63C77D" w14:textId="77777777" w:rsidTr="00272B09">
        <w:trPr>
          <w:trHeight w:val="324"/>
        </w:trPr>
        <w:tc>
          <w:tcPr>
            <w:tcW w:w="2097" w:type="dxa"/>
            <w:tcBorders>
              <w:top w:val="single" w:sz="4" w:space="0" w:color="auto"/>
              <w:bottom w:val="nil"/>
              <w:right w:val="nil"/>
            </w:tcBorders>
            <w:noWrap/>
            <w:vAlign w:val="center"/>
            <w:hideMark/>
          </w:tcPr>
          <w:p w14:paraId="6188ADFA" w14:textId="77777777" w:rsidR="00272B09" w:rsidRPr="00971074" w:rsidRDefault="00272B09" w:rsidP="00272B09">
            <w:pPr>
              <w:pStyle w:val="Body"/>
              <w:spacing w:after="0"/>
              <w:rPr>
                <w:rFonts w:ascii="Arial" w:hAnsi="Arial" w:cs="Arial"/>
                <w:sz w:val="20"/>
                <w:szCs w:val="20"/>
              </w:rPr>
            </w:pPr>
            <w:r w:rsidRPr="00971074">
              <w:rPr>
                <w:rFonts w:ascii="Arial" w:hAnsi="Arial" w:cs="Arial"/>
                <w:sz w:val="20"/>
                <w:szCs w:val="20"/>
              </w:rPr>
              <w:t>Type 2 Diabetes (1)</w:t>
            </w:r>
          </w:p>
        </w:tc>
        <w:tc>
          <w:tcPr>
            <w:tcW w:w="1220" w:type="dxa"/>
            <w:tcBorders>
              <w:top w:val="single" w:sz="4" w:space="0" w:color="auto"/>
              <w:left w:val="nil"/>
              <w:bottom w:val="nil"/>
              <w:right w:val="nil"/>
            </w:tcBorders>
            <w:shd w:val="clear" w:color="auto" w:fill="auto"/>
            <w:noWrap/>
            <w:vAlign w:val="center"/>
            <w:hideMark/>
          </w:tcPr>
          <w:p w14:paraId="53874010" w14:textId="07B985A2"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.387</w:t>
            </w:r>
          </w:p>
        </w:tc>
        <w:tc>
          <w:tcPr>
            <w:tcW w:w="1220" w:type="dxa"/>
            <w:tcBorders>
              <w:top w:val="single" w:sz="4" w:space="0" w:color="auto"/>
              <w:left w:val="nil"/>
              <w:bottom w:val="nil"/>
              <w:right w:val="nil"/>
            </w:tcBorders>
            <w:shd w:val="clear" w:color="auto" w:fill="auto"/>
            <w:noWrap/>
            <w:vAlign w:val="center"/>
            <w:hideMark/>
          </w:tcPr>
          <w:p w14:paraId="06B18367" w14:textId="3F73AE1E" w:rsidR="00272B09" w:rsidRPr="00272B09" w:rsidRDefault="00272B09" w:rsidP="00272B09">
            <w:pPr>
              <w:pStyle w:val="Body"/>
              <w:spacing w:after="0"/>
              <w:jc w:val="center"/>
              <w:rPr>
                <w:rFonts w:ascii="Arial" w:hAnsi="Arial" w:cs="Arial"/>
                <w:sz w:val="20"/>
                <w:szCs w:val="20"/>
              </w:rPr>
            </w:pPr>
            <w:r w:rsidRPr="00272B09">
              <w:rPr>
                <w:rFonts w:ascii="Arial" w:hAnsi="Arial" w:cs="Arial"/>
                <w:color w:val="000000"/>
                <w:sz w:val="20"/>
                <w:szCs w:val="20"/>
              </w:rPr>
              <w:t>1.472</w:t>
            </w:r>
          </w:p>
        </w:tc>
        <w:tc>
          <w:tcPr>
            <w:tcW w:w="1108" w:type="dxa"/>
            <w:tcBorders>
              <w:top w:val="single" w:sz="4" w:space="0" w:color="auto"/>
              <w:left w:val="nil"/>
              <w:bottom w:val="nil"/>
              <w:right w:val="nil"/>
            </w:tcBorders>
            <w:shd w:val="clear" w:color="auto" w:fill="auto"/>
            <w:noWrap/>
            <w:vAlign w:val="center"/>
            <w:hideMark/>
          </w:tcPr>
          <w:p w14:paraId="630AB4DF" w14:textId="26AF6B0B"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.316</w:t>
            </w:r>
          </w:p>
        </w:tc>
        <w:tc>
          <w:tcPr>
            <w:tcW w:w="1333" w:type="dxa"/>
            <w:tcBorders>
              <w:top w:val="single" w:sz="4" w:space="0" w:color="auto"/>
              <w:left w:val="nil"/>
              <w:bottom w:val="nil"/>
              <w:right w:val="nil"/>
            </w:tcBorders>
            <w:shd w:val="clear" w:color="auto" w:fill="auto"/>
            <w:noWrap/>
            <w:vAlign w:val="center"/>
            <w:hideMark/>
          </w:tcPr>
          <w:p w14:paraId="2CC9C088" w14:textId="184736FD" w:rsidR="00272B09" w:rsidRPr="00272B09" w:rsidRDefault="00272B09" w:rsidP="00272B09">
            <w:pPr>
              <w:pStyle w:val="Body"/>
              <w:spacing w:after="0"/>
              <w:jc w:val="center"/>
              <w:rPr>
                <w:rFonts w:ascii="Arial" w:hAnsi="Arial" w:cs="Arial"/>
                <w:sz w:val="20"/>
                <w:szCs w:val="20"/>
              </w:rPr>
            </w:pPr>
            <w:r w:rsidRPr="00272B09">
              <w:rPr>
                <w:rFonts w:ascii="Arial" w:hAnsi="Arial" w:cs="Arial"/>
                <w:color w:val="000000"/>
                <w:sz w:val="20"/>
                <w:szCs w:val="20"/>
              </w:rPr>
              <w:t>6.860</w:t>
            </w:r>
          </w:p>
        </w:tc>
        <w:tc>
          <w:tcPr>
            <w:tcW w:w="1220" w:type="dxa"/>
            <w:tcBorders>
              <w:top w:val="single" w:sz="4" w:space="0" w:color="auto"/>
              <w:left w:val="nil"/>
              <w:bottom w:val="nil"/>
              <w:right w:val="nil"/>
            </w:tcBorders>
            <w:shd w:val="clear" w:color="auto" w:fill="auto"/>
            <w:noWrap/>
            <w:vAlign w:val="center"/>
            <w:hideMark/>
          </w:tcPr>
          <w:p w14:paraId="52EBDC00" w14:textId="49227629"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.622</w:t>
            </w:r>
          </w:p>
        </w:tc>
      </w:tr>
      <w:tr w:rsidR="00272B09" w:rsidRPr="00971074" w14:paraId="019E3DC3" w14:textId="77777777" w:rsidTr="00272B09">
        <w:trPr>
          <w:trHeight w:val="312"/>
        </w:trPr>
        <w:tc>
          <w:tcPr>
            <w:tcW w:w="2097" w:type="dxa"/>
            <w:tcBorders>
              <w:top w:val="nil"/>
              <w:right w:val="nil"/>
            </w:tcBorders>
            <w:noWrap/>
            <w:vAlign w:val="center"/>
            <w:hideMark/>
          </w:tcPr>
          <w:p w14:paraId="37E8D7EF" w14:textId="77777777" w:rsidR="00272B09" w:rsidRPr="00971074" w:rsidRDefault="00272B09" w:rsidP="00272B09">
            <w:pPr>
              <w:pStyle w:val="Body"/>
              <w:spacing w:after="0"/>
              <w:rPr>
                <w:rFonts w:ascii="Arial" w:hAnsi="Arial" w:cs="Arial"/>
                <w:sz w:val="20"/>
                <w:szCs w:val="20"/>
              </w:rPr>
            </w:pPr>
            <w:r w:rsidRPr="00971074">
              <w:rPr>
                <w:rFonts w:ascii="Arial" w:hAnsi="Arial" w:cs="Arial"/>
                <w:sz w:val="20"/>
                <w:szCs w:val="20"/>
              </w:rPr>
              <w:t>COPD (1)</w:t>
            </w:r>
          </w:p>
        </w:tc>
        <w:tc>
          <w:tcPr>
            <w:tcW w:w="1220" w:type="dxa"/>
            <w:tcBorders>
              <w:top w:val="nil"/>
              <w:left w:val="nil"/>
              <w:bottom w:val="nil"/>
              <w:right w:val="nil"/>
            </w:tcBorders>
            <w:shd w:val="clear" w:color="auto" w:fill="auto"/>
            <w:noWrap/>
            <w:vAlign w:val="center"/>
            <w:hideMark/>
          </w:tcPr>
          <w:p w14:paraId="7AB0B746" w14:textId="73484747"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.778</w:t>
            </w:r>
          </w:p>
        </w:tc>
        <w:tc>
          <w:tcPr>
            <w:tcW w:w="1220" w:type="dxa"/>
            <w:tcBorders>
              <w:top w:val="nil"/>
              <w:left w:val="nil"/>
              <w:bottom w:val="nil"/>
              <w:right w:val="nil"/>
            </w:tcBorders>
            <w:shd w:val="clear" w:color="auto" w:fill="auto"/>
            <w:noWrap/>
            <w:vAlign w:val="center"/>
            <w:hideMark/>
          </w:tcPr>
          <w:p w14:paraId="6873F542" w14:textId="66FED2A5" w:rsidR="00272B09" w:rsidRPr="00272B09" w:rsidRDefault="00272B09" w:rsidP="00272B09">
            <w:pPr>
              <w:pStyle w:val="Body"/>
              <w:spacing w:after="0"/>
              <w:jc w:val="center"/>
              <w:rPr>
                <w:rFonts w:ascii="Arial" w:hAnsi="Arial" w:cs="Arial"/>
                <w:sz w:val="20"/>
                <w:szCs w:val="20"/>
              </w:rPr>
            </w:pPr>
            <w:r w:rsidRPr="00272B09">
              <w:rPr>
                <w:rFonts w:ascii="Arial" w:hAnsi="Arial" w:cs="Arial"/>
                <w:color w:val="000000"/>
                <w:sz w:val="20"/>
                <w:szCs w:val="20"/>
              </w:rPr>
              <w:t>2.178</w:t>
            </w:r>
          </w:p>
        </w:tc>
        <w:tc>
          <w:tcPr>
            <w:tcW w:w="1108" w:type="dxa"/>
            <w:tcBorders>
              <w:top w:val="nil"/>
              <w:left w:val="nil"/>
              <w:bottom w:val="nil"/>
              <w:right w:val="nil"/>
            </w:tcBorders>
            <w:shd w:val="clear" w:color="auto" w:fill="auto"/>
            <w:noWrap/>
            <w:vAlign w:val="center"/>
            <w:hideMark/>
          </w:tcPr>
          <w:p w14:paraId="4394D67E" w14:textId="66CECD86"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.179</w:t>
            </w:r>
          </w:p>
        </w:tc>
        <w:tc>
          <w:tcPr>
            <w:tcW w:w="1333" w:type="dxa"/>
            <w:tcBorders>
              <w:top w:val="nil"/>
              <w:left w:val="nil"/>
              <w:bottom w:val="nil"/>
              <w:right w:val="nil"/>
            </w:tcBorders>
            <w:shd w:val="clear" w:color="auto" w:fill="auto"/>
            <w:noWrap/>
            <w:vAlign w:val="center"/>
            <w:hideMark/>
          </w:tcPr>
          <w:p w14:paraId="3FF580BB" w14:textId="7DAECBAC" w:rsidR="00272B09" w:rsidRPr="00272B09" w:rsidRDefault="00272B09" w:rsidP="00272B09">
            <w:pPr>
              <w:pStyle w:val="Body"/>
              <w:spacing w:after="0"/>
              <w:jc w:val="center"/>
              <w:rPr>
                <w:rFonts w:ascii="Arial" w:hAnsi="Arial" w:cs="Arial"/>
                <w:sz w:val="20"/>
                <w:szCs w:val="20"/>
              </w:rPr>
            </w:pPr>
            <w:r w:rsidRPr="00272B09">
              <w:rPr>
                <w:rFonts w:ascii="Arial" w:hAnsi="Arial" w:cs="Arial"/>
                <w:color w:val="000000"/>
                <w:sz w:val="20"/>
                <w:szCs w:val="20"/>
              </w:rPr>
              <w:t>26.432</w:t>
            </w:r>
          </w:p>
        </w:tc>
        <w:tc>
          <w:tcPr>
            <w:tcW w:w="1220" w:type="dxa"/>
            <w:tcBorders>
              <w:top w:val="nil"/>
              <w:left w:val="nil"/>
              <w:bottom w:val="nil"/>
              <w:right w:val="nil"/>
            </w:tcBorders>
            <w:shd w:val="clear" w:color="auto" w:fill="auto"/>
            <w:noWrap/>
            <w:vAlign w:val="center"/>
            <w:hideMark/>
          </w:tcPr>
          <w:p w14:paraId="4858616C" w14:textId="4A1BE2BA"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.541</w:t>
            </w:r>
          </w:p>
        </w:tc>
      </w:tr>
      <w:tr w:rsidR="00272B09" w:rsidRPr="00971074" w14:paraId="17571ABF" w14:textId="77777777" w:rsidTr="00272B09">
        <w:trPr>
          <w:trHeight w:val="312"/>
        </w:trPr>
        <w:tc>
          <w:tcPr>
            <w:tcW w:w="2097" w:type="dxa"/>
            <w:tcBorders>
              <w:right w:val="nil"/>
            </w:tcBorders>
            <w:noWrap/>
            <w:vAlign w:val="center"/>
            <w:hideMark/>
          </w:tcPr>
          <w:p w14:paraId="2EB406EE" w14:textId="77777777" w:rsidR="00272B09" w:rsidRPr="00971074" w:rsidRDefault="00272B09" w:rsidP="00272B09">
            <w:pPr>
              <w:pStyle w:val="Body"/>
              <w:spacing w:after="0"/>
              <w:rPr>
                <w:rFonts w:ascii="Arial" w:hAnsi="Arial" w:cs="Arial"/>
                <w:sz w:val="20"/>
                <w:szCs w:val="20"/>
              </w:rPr>
            </w:pPr>
            <w:r w:rsidRPr="00971074">
              <w:rPr>
                <w:rFonts w:ascii="Arial" w:hAnsi="Arial" w:cs="Arial"/>
                <w:sz w:val="20"/>
                <w:szCs w:val="20"/>
              </w:rPr>
              <w:t>Hypertension (1)</w:t>
            </w:r>
          </w:p>
        </w:tc>
        <w:tc>
          <w:tcPr>
            <w:tcW w:w="1220" w:type="dxa"/>
            <w:tcBorders>
              <w:top w:val="nil"/>
              <w:left w:val="nil"/>
              <w:bottom w:val="nil"/>
              <w:right w:val="nil"/>
            </w:tcBorders>
            <w:shd w:val="clear" w:color="auto" w:fill="auto"/>
            <w:noWrap/>
            <w:vAlign w:val="center"/>
            <w:hideMark/>
          </w:tcPr>
          <w:p w14:paraId="4B7AAEEE" w14:textId="36E36E2C" w:rsidR="00272B09" w:rsidRPr="00272B09" w:rsidRDefault="00272B09" w:rsidP="00272B09">
            <w:pPr>
              <w:pStyle w:val="Body"/>
              <w:spacing w:after="0"/>
              <w:jc w:val="center"/>
              <w:rPr>
                <w:rFonts w:ascii="Arial" w:hAnsi="Arial" w:cs="Arial"/>
                <w:sz w:val="20"/>
                <w:szCs w:val="20"/>
              </w:rPr>
            </w:pPr>
            <w:r w:rsidRPr="00272B09">
              <w:rPr>
                <w:rFonts w:ascii="Arial" w:hAnsi="Arial" w:cs="Arial"/>
                <w:color w:val="000000"/>
                <w:sz w:val="20"/>
                <w:szCs w:val="20"/>
              </w:rPr>
              <w:t>-</w:t>
            </w:r>
            <w:r>
              <w:rPr>
                <w:rFonts w:ascii="Arial" w:hAnsi="Arial" w:cs="Arial"/>
                <w:color w:val="000000"/>
                <w:sz w:val="20"/>
                <w:szCs w:val="20"/>
              </w:rPr>
              <w:t>0</w:t>
            </w:r>
            <w:r w:rsidRPr="00272B09">
              <w:rPr>
                <w:rFonts w:ascii="Arial" w:hAnsi="Arial" w:cs="Arial"/>
                <w:color w:val="000000"/>
                <w:sz w:val="20"/>
                <w:szCs w:val="20"/>
              </w:rPr>
              <w:t>.323</w:t>
            </w:r>
          </w:p>
        </w:tc>
        <w:tc>
          <w:tcPr>
            <w:tcW w:w="1220" w:type="dxa"/>
            <w:tcBorders>
              <w:top w:val="nil"/>
              <w:left w:val="nil"/>
              <w:bottom w:val="nil"/>
              <w:right w:val="nil"/>
            </w:tcBorders>
            <w:shd w:val="clear" w:color="auto" w:fill="auto"/>
            <w:noWrap/>
            <w:vAlign w:val="center"/>
            <w:hideMark/>
          </w:tcPr>
          <w:p w14:paraId="3C95B6F7" w14:textId="4E065FBB"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.724</w:t>
            </w:r>
          </w:p>
        </w:tc>
        <w:tc>
          <w:tcPr>
            <w:tcW w:w="1108" w:type="dxa"/>
            <w:tcBorders>
              <w:top w:val="nil"/>
              <w:left w:val="nil"/>
              <w:bottom w:val="nil"/>
              <w:right w:val="nil"/>
            </w:tcBorders>
            <w:shd w:val="clear" w:color="auto" w:fill="auto"/>
            <w:noWrap/>
            <w:vAlign w:val="center"/>
            <w:hideMark/>
          </w:tcPr>
          <w:p w14:paraId="56990370" w14:textId="475A1B1C"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.158</w:t>
            </w:r>
          </w:p>
        </w:tc>
        <w:tc>
          <w:tcPr>
            <w:tcW w:w="1333" w:type="dxa"/>
            <w:tcBorders>
              <w:top w:val="nil"/>
              <w:left w:val="nil"/>
              <w:bottom w:val="nil"/>
              <w:right w:val="nil"/>
            </w:tcBorders>
            <w:shd w:val="clear" w:color="auto" w:fill="auto"/>
            <w:noWrap/>
            <w:vAlign w:val="center"/>
            <w:hideMark/>
          </w:tcPr>
          <w:p w14:paraId="4725B422" w14:textId="6302632E" w:rsidR="00272B09" w:rsidRPr="00272B09" w:rsidRDefault="00272B09" w:rsidP="00272B09">
            <w:pPr>
              <w:pStyle w:val="Body"/>
              <w:spacing w:after="0"/>
              <w:jc w:val="center"/>
              <w:rPr>
                <w:rFonts w:ascii="Arial" w:hAnsi="Arial" w:cs="Arial"/>
                <w:sz w:val="20"/>
                <w:szCs w:val="20"/>
              </w:rPr>
            </w:pPr>
            <w:r w:rsidRPr="00272B09">
              <w:rPr>
                <w:rFonts w:ascii="Arial" w:hAnsi="Arial" w:cs="Arial"/>
                <w:color w:val="000000"/>
                <w:sz w:val="20"/>
                <w:szCs w:val="20"/>
              </w:rPr>
              <w:t>3.309</w:t>
            </w:r>
          </w:p>
        </w:tc>
        <w:tc>
          <w:tcPr>
            <w:tcW w:w="1220" w:type="dxa"/>
            <w:tcBorders>
              <w:top w:val="nil"/>
              <w:left w:val="nil"/>
              <w:bottom w:val="nil"/>
              <w:right w:val="nil"/>
            </w:tcBorders>
            <w:shd w:val="clear" w:color="auto" w:fill="auto"/>
            <w:noWrap/>
            <w:vAlign w:val="center"/>
            <w:hideMark/>
          </w:tcPr>
          <w:p w14:paraId="0C7C4B08" w14:textId="2AD5DFA0"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.677</w:t>
            </w:r>
          </w:p>
        </w:tc>
      </w:tr>
      <w:tr w:rsidR="00272B09" w:rsidRPr="00971074" w14:paraId="0889F968" w14:textId="77777777" w:rsidTr="00272B09">
        <w:trPr>
          <w:trHeight w:val="312"/>
        </w:trPr>
        <w:tc>
          <w:tcPr>
            <w:tcW w:w="2097" w:type="dxa"/>
            <w:tcBorders>
              <w:right w:val="nil"/>
            </w:tcBorders>
            <w:noWrap/>
            <w:vAlign w:val="center"/>
            <w:hideMark/>
          </w:tcPr>
          <w:p w14:paraId="5844FEDC" w14:textId="77777777" w:rsidR="00272B09" w:rsidRPr="00971074" w:rsidRDefault="00272B09" w:rsidP="00272B09">
            <w:pPr>
              <w:pStyle w:val="Body"/>
              <w:spacing w:after="0"/>
              <w:rPr>
                <w:rFonts w:ascii="Arial" w:hAnsi="Arial" w:cs="Arial"/>
                <w:sz w:val="20"/>
                <w:szCs w:val="20"/>
              </w:rPr>
            </w:pPr>
            <w:r w:rsidRPr="00971074">
              <w:rPr>
                <w:rFonts w:ascii="Arial" w:hAnsi="Arial" w:cs="Arial"/>
                <w:sz w:val="20"/>
                <w:szCs w:val="20"/>
              </w:rPr>
              <w:t>VH (1)</w:t>
            </w:r>
          </w:p>
        </w:tc>
        <w:tc>
          <w:tcPr>
            <w:tcW w:w="1220" w:type="dxa"/>
            <w:tcBorders>
              <w:top w:val="nil"/>
              <w:left w:val="nil"/>
              <w:bottom w:val="nil"/>
              <w:right w:val="nil"/>
            </w:tcBorders>
            <w:shd w:val="clear" w:color="auto" w:fill="auto"/>
            <w:noWrap/>
            <w:vAlign w:val="center"/>
            <w:hideMark/>
          </w:tcPr>
          <w:p w14:paraId="69F22A57" w14:textId="1007755E" w:rsidR="00272B09" w:rsidRPr="00272B09" w:rsidRDefault="00272B09" w:rsidP="00272B09">
            <w:pPr>
              <w:pStyle w:val="Body"/>
              <w:spacing w:after="0"/>
              <w:jc w:val="center"/>
              <w:rPr>
                <w:rFonts w:ascii="Arial" w:hAnsi="Arial" w:cs="Arial"/>
                <w:sz w:val="20"/>
                <w:szCs w:val="20"/>
              </w:rPr>
            </w:pPr>
            <w:r w:rsidRPr="00272B09">
              <w:rPr>
                <w:rFonts w:ascii="Arial" w:hAnsi="Arial" w:cs="Arial"/>
                <w:color w:val="000000"/>
                <w:sz w:val="20"/>
                <w:szCs w:val="20"/>
              </w:rPr>
              <w:t>-1.870</w:t>
            </w:r>
          </w:p>
        </w:tc>
        <w:tc>
          <w:tcPr>
            <w:tcW w:w="1220" w:type="dxa"/>
            <w:tcBorders>
              <w:top w:val="nil"/>
              <w:left w:val="nil"/>
              <w:bottom w:val="nil"/>
              <w:right w:val="nil"/>
            </w:tcBorders>
            <w:shd w:val="clear" w:color="auto" w:fill="auto"/>
            <w:noWrap/>
            <w:vAlign w:val="center"/>
            <w:hideMark/>
          </w:tcPr>
          <w:p w14:paraId="0A4F4571" w14:textId="6593694A"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.154</w:t>
            </w:r>
          </w:p>
        </w:tc>
        <w:tc>
          <w:tcPr>
            <w:tcW w:w="1108" w:type="dxa"/>
            <w:tcBorders>
              <w:top w:val="nil"/>
              <w:left w:val="nil"/>
              <w:bottom w:val="nil"/>
              <w:right w:val="nil"/>
            </w:tcBorders>
            <w:shd w:val="clear" w:color="auto" w:fill="auto"/>
            <w:noWrap/>
            <w:vAlign w:val="center"/>
            <w:hideMark/>
          </w:tcPr>
          <w:p w14:paraId="1E27C0DE" w14:textId="702144D2"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.032</w:t>
            </w:r>
          </w:p>
        </w:tc>
        <w:tc>
          <w:tcPr>
            <w:tcW w:w="1333" w:type="dxa"/>
            <w:tcBorders>
              <w:top w:val="nil"/>
              <w:left w:val="nil"/>
              <w:bottom w:val="nil"/>
              <w:right w:val="nil"/>
            </w:tcBorders>
            <w:shd w:val="clear" w:color="auto" w:fill="auto"/>
            <w:noWrap/>
            <w:vAlign w:val="center"/>
            <w:hideMark/>
          </w:tcPr>
          <w:p w14:paraId="761EBCB1" w14:textId="32AA44E9"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.745</w:t>
            </w:r>
          </w:p>
        </w:tc>
        <w:tc>
          <w:tcPr>
            <w:tcW w:w="1220" w:type="dxa"/>
            <w:tcBorders>
              <w:top w:val="nil"/>
              <w:left w:val="nil"/>
              <w:bottom w:val="nil"/>
              <w:right w:val="nil"/>
            </w:tcBorders>
            <w:shd w:val="clear" w:color="auto" w:fill="auto"/>
            <w:noWrap/>
            <w:vAlign w:val="center"/>
            <w:hideMark/>
          </w:tcPr>
          <w:p w14:paraId="1439CD69" w14:textId="69F0BFBC"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.020</w:t>
            </w:r>
          </w:p>
        </w:tc>
      </w:tr>
      <w:tr w:rsidR="00272B09" w:rsidRPr="00971074" w14:paraId="4EB19EA8" w14:textId="77777777" w:rsidTr="00272B09">
        <w:trPr>
          <w:trHeight w:val="324"/>
        </w:trPr>
        <w:tc>
          <w:tcPr>
            <w:tcW w:w="2097" w:type="dxa"/>
            <w:tcBorders>
              <w:bottom w:val="single" w:sz="4" w:space="0" w:color="auto"/>
              <w:right w:val="nil"/>
            </w:tcBorders>
            <w:noWrap/>
            <w:vAlign w:val="center"/>
            <w:hideMark/>
          </w:tcPr>
          <w:p w14:paraId="3031D077" w14:textId="77777777" w:rsidR="00272B09" w:rsidRPr="00971074" w:rsidRDefault="00272B09" w:rsidP="00272B09">
            <w:pPr>
              <w:pStyle w:val="Body"/>
              <w:spacing w:after="0"/>
              <w:rPr>
                <w:rFonts w:ascii="Arial" w:hAnsi="Arial" w:cs="Arial"/>
                <w:sz w:val="20"/>
                <w:szCs w:val="20"/>
              </w:rPr>
            </w:pPr>
            <w:r w:rsidRPr="00971074">
              <w:rPr>
                <w:rFonts w:ascii="Arial" w:hAnsi="Arial" w:cs="Arial"/>
                <w:sz w:val="20"/>
                <w:szCs w:val="20"/>
              </w:rPr>
              <w:t>Constant</w:t>
            </w:r>
          </w:p>
        </w:tc>
        <w:tc>
          <w:tcPr>
            <w:tcW w:w="1220" w:type="dxa"/>
            <w:tcBorders>
              <w:top w:val="nil"/>
              <w:left w:val="nil"/>
              <w:bottom w:val="single" w:sz="4" w:space="0" w:color="auto"/>
              <w:right w:val="nil"/>
            </w:tcBorders>
            <w:shd w:val="clear" w:color="auto" w:fill="auto"/>
            <w:noWrap/>
            <w:vAlign w:val="center"/>
            <w:hideMark/>
          </w:tcPr>
          <w:p w14:paraId="02173C3A" w14:textId="7BD0D876" w:rsidR="00272B09" w:rsidRPr="00272B09" w:rsidRDefault="00272B09" w:rsidP="00272B09">
            <w:pPr>
              <w:pStyle w:val="Body"/>
              <w:spacing w:after="0"/>
              <w:jc w:val="center"/>
              <w:rPr>
                <w:rFonts w:ascii="Arial" w:hAnsi="Arial" w:cs="Arial"/>
                <w:sz w:val="20"/>
                <w:szCs w:val="20"/>
              </w:rPr>
            </w:pPr>
            <w:r w:rsidRPr="00272B09">
              <w:rPr>
                <w:rFonts w:ascii="Arial" w:hAnsi="Arial" w:cs="Arial"/>
                <w:color w:val="000000"/>
                <w:sz w:val="20"/>
                <w:szCs w:val="20"/>
              </w:rPr>
              <w:t>-1.730</w:t>
            </w:r>
          </w:p>
        </w:tc>
        <w:tc>
          <w:tcPr>
            <w:tcW w:w="1220" w:type="dxa"/>
            <w:tcBorders>
              <w:top w:val="nil"/>
              <w:left w:val="nil"/>
              <w:bottom w:val="single" w:sz="4" w:space="0" w:color="auto"/>
              <w:right w:val="nil"/>
            </w:tcBorders>
            <w:shd w:val="clear" w:color="auto" w:fill="auto"/>
            <w:noWrap/>
            <w:vAlign w:val="center"/>
            <w:hideMark/>
          </w:tcPr>
          <w:p w14:paraId="506E2C20" w14:textId="633B2C59"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.177</w:t>
            </w:r>
          </w:p>
        </w:tc>
        <w:tc>
          <w:tcPr>
            <w:tcW w:w="1108" w:type="dxa"/>
            <w:tcBorders>
              <w:top w:val="nil"/>
              <w:left w:val="nil"/>
              <w:bottom w:val="single" w:sz="4" w:space="0" w:color="auto"/>
              <w:right w:val="nil"/>
            </w:tcBorders>
            <w:shd w:val="clear" w:color="auto" w:fill="auto"/>
            <w:noWrap/>
            <w:vAlign w:val="center"/>
            <w:hideMark/>
          </w:tcPr>
          <w:p w14:paraId="2D9FA42A" w14:textId="7EA675B3" w:rsidR="00272B09" w:rsidRPr="00272B09" w:rsidRDefault="00272B09" w:rsidP="00272B09">
            <w:pPr>
              <w:pStyle w:val="Body"/>
              <w:spacing w:after="0"/>
              <w:jc w:val="center"/>
              <w:rPr>
                <w:rFonts w:ascii="Arial" w:hAnsi="Arial" w:cs="Arial"/>
                <w:sz w:val="20"/>
                <w:szCs w:val="20"/>
              </w:rPr>
            </w:pPr>
          </w:p>
        </w:tc>
        <w:tc>
          <w:tcPr>
            <w:tcW w:w="1333" w:type="dxa"/>
            <w:tcBorders>
              <w:top w:val="nil"/>
              <w:left w:val="nil"/>
              <w:bottom w:val="single" w:sz="4" w:space="0" w:color="auto"/>
              <w:right w:val="nil"/>
            </w:tcBorders>
            <w:shd w:val="clear" w:color="auto" w:fill="auto"/>
            <w:noWrap/>
            <w:vAlign w:val="center"/>
            <w:hideMark/>
          </w:tcPr>
          <w:p w14:paraId="6069B63F" w14:textId="52FE4791" w:rsidR="00272B09" w:rsidRPr="00272B09" w:rsidRDefault="00272B09" w:rsidP="00272B09">
            <w:pPr>
              <w:pStyle w:val="Body"/>
              <w:spacing w:after="0"/>
              <w:jc w:val="center"/>
              <w:rPr>
                <w:rFonts w:ascii="Arial" w:hAnsi="Arial" w:cs="Arial"/>
                <w:sz w:val="20"/>
                <w:szCs w:val="20"/>
              </w:rPr>
            </w:pPr>
          </w:p>
        </w:tc>
        <w:tc>
          <w:tcPr>
            <w:tcW w:w="1220" w:type="dxa"/>
            <w:tcBorders>
              <w:top w:val="nil"/>
              <w:left w:val="nil"/>
              <w:bottom w:val="single" w:sz="4" w:space="0" w:color="auto"/>
              <w:right w:val="nil"/>
            </w:tcBorders>
            <w:shd w:val="clear" w:color="auto" w:fill="auto"/>
            <w:noWrap/>
            <w:vAlign w:val="center"/>
            <w:hideMark/>
          </w:tcPr>
          <w:p w14:paraId="52818AAB" w14:textId="53F87B7E"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.000</w:t>
            </w:r>
          </w:p>
        </w:tc>
      </w:tr>
    </w:tbl>
    <w:p w14:paraId="0F207963" w14:textId="57ED95FA" w:rsidR="00272B09" w:rsidRPr="006F4089" w:rsidRDefault="00272B09" w:rsidP="00272B09">
      <w:pPr>
        <w:tabs>
          <w:tab w:val="left" w:pos="1080"/>
        </w:tabs>
        <w:jc w:val="both"/>
        <w:rPr>
          <w:rFonts w:ascii="Arial" w:hAnsi="Arial" w:cs="Arial"/>
          <w:sz w:val="18"/>
          <w:szCs w:val="18"/>
        </w:rPr>
      </w:pPr>
      <w:r w:rsidRPr="008F39F5">
        <w:rPr>
          <w:rFonts w:ascii="Arial" w:hAnsi="Arial"/>
          <w:bCs/>
          <w:sz w:val="18"/>
          <w:szCs w:val="18"/>
        </w:rPr>
        <w:t xml:space="preserve">Source: Prepared by the authors using data from the </w:t>
      </w:r>
      <w:r>
        <w:rPr>
          <w:rFonts w:ascii="Arial" w:hAnsi="Arial"/>
          <w:bCs/>
          <w:sz w:val="18"/>
          <w:szCs w:val="18"/>
        </w:rPr>
        <w:t>study</w:t>
      </w:r>
      <w:r w:rsidRPr="008F39F5">
        <w:rPr>
          <w:rFonts w:ascii="Arial" w:hAnsi="Arial"/>
          <w:bCs/>
          <w:sz w:val="18"/>
          <w:szCs w:val="18"/>
        </w:rPr>
        <w:t>.</w:t>
      </w:r>
      <w:r>
        <w:rPr>
          <w:rFonts w:ascii="Arial" w:hAnsi="Arial"/>
          <w:bCs/>
          <w:sz w:val="18"/>
          <w:szCs w:val="18"/>
        </w:rPr>
        <w:t xml:space="preserve"> </w:t>
      </w:r>
      <w:r w:rsidRPr="00B81459">
        <w:rPr>
          <w:rFonts w:ascii="Arial" w:hAnsi="Arial"/>
          <w:bCs/>
          <w:sz w:val="18"/>
          <w:szCs w:val="18"/>
        </w:rPr>
        <w:t>COPD</w:t>
      </w:r>
      <w:r>
        <w:rPr>
          <w:rFonts w:ascii="Arial" w:hAnsi="Arial"/>
          <w:bCs/>
          <w:sz w:val="18"/>
          <w:szCs w:val="18"/>
        </w:rPr>
        <w:t>:</w:t>
      </w:r>
      <w:r w:rsidRPr="00B81459">
        <w:rPr>
          <w:rFonts w:ascii="Arial" w:hAnsi="Arial"/>
          <w:bCs/>
          <w:sz w:val="18"/>
          <w:szCs w:val="18"/>
        </w:rPr>
        <w:t xml:space="preserve"> Chronic Obstructive Pulmonary Disease</w:t>
      </w:r>
      <w:r>
        <w:rPr>
          <w:rFonts w:ascii="Arial" w:hAnsi="Arial"/>
          <w:bCs/>
          <w:sz w:val="18"/>
          <w:szCs w:val="18"/>
        </w:rPr>
        <w:t xml:space="preserve">. CKD: </w:t>
      </w:r>
      <w:r w:rsidRPr="00B81459">
        <w:rPr>
          <w:rFonts w:ascii="Arial" w:hAnsi="Arial"/>
          <w:bCs/>
          <w:sz w:val="18"/>
          <w:szCs w:val="18"/>
        </w:rPr>
        <w:t>Chronic Kidney Disease</w:t>
      </w:r>
      <w:r>
        <w:rPr>
          <w:rFonts w:ascii="Arial" w:hAnsi="Arial"/>
          <w:bCs/>
          <w:sz w:val="18"/>
          <w:szCs w:val="18"/>
        </w:rPr>
        <w:t xml:space="preserve">. </w:t>
      </w:r>
      <w:r w:rsidRPr="006F4089">
        <w:rPr>
          <w:rFonts w:ascii="Arial" w:hAnsi="Arial" w:cs="Arial"/>
          <w:sz w:val="18"/>
          <w:szCs w:val="18"/>
        </w:rPr>
        <w:t>VH: vaccination history</w:t>
      </w:r>
      <w:r>
        <w:rPr>
          <w:rFonts w:ascii="Arial" w:hAnsi="Arial" w:cs="Arial"/>
          <w:sz w:val="18"/>
          <w:szCs w:val="18"/>
        </w:rPr>
        <w:t xml:space="preserve">. </w:t>
      </w:r>
      <w:r w:rsidRPr="00971074">
        <w:rPr>
          <w:rFonts w:ascii="Arial" w:hAnsi="Arial" w:cs="Arial"/>
          <w:sz w:val="18"/>
          <w:szCs w:val="18"/>
        </w:rPr>
        <w:t>Variables included in the multivariate logistic regression model: type 2 diabetes: presence=1, absence=0, chronic obstructive pulmonary disease: presence=1, absence=0, hypertension: presence=1, absence=0, vaccination history: presence=1, absence=0.</w:t>
      </w:r>
    </w:p>
    <w:p w14:paraId="417BA2D4" w14:textId="77777777" w:rsidR="00272B09" w:rsidRDefault="00272B09" w:rsidP="00B33980">
      <w:pPr>
        <w:pStyle w:val="Body"/>
        <w:spacing w:after="0"/>
        <w:rPr>
          <w:rFonts w:ascii="Arial" w:hAnsi="Arial" w:cs="Arial"/>
          <w:bCs/>
        </w:rPr>
      </w:pPr>
    </w:p>
    <w:p w14:paraId="1E513C91" w14:textId="155EB798" w:rsidR="00034843" w:rsidRPr="008F39F5" w:rsidRDefault="00D25DAB" w:rsidP="00D25DAB">
      <w:pPr>
        <w:pStyle w:val="Body"/>
        <w:spacing w:after="0"/>
        <w:rPr>
          <w:rFonts w:ascii="Arial" w:hAnsi="Arial" w:cs="Arial"/>
          <w:b/>
          <w:sz w:val="22"/>
        </w:rPr>
      </w:pPr>
      <w:r w:rsidRPr="008F39F5">
        <w:rPr>
          <w:rFonts w:ascii="Arial" w:hAnsi="Arial" w:cs="Arial"/>
          <w:b/>
          <w:caps/>
          <w:sz w:val="22"/>
        </w:rPr>
        <w:t>3.</w:t>
      </w:r>
      <w:r w:rsidR="00CC2332">
        <w:rPr>
          <w:rFonts w:ascii="Arial" w:hAnsi="Arial" w:cs="Arial"/>
          <w:b/>
          <w:caps/>
          <w:sz w:val="22"/>
        </w:rPr>
        <w:t>4</w:t>
      </w:r>
      <w:r w:rsidRPr="008F39F5">
        <w:rPr>
          <w:rFonts w:ascii="Arial" w:hAnsi="Arial" w:cs="Arial"/>
          <w:b/>
          <w:caps/>
          <w:sz w:val="22"/>
        </w:rPr>
        <w:t xml:space="preserve"> </w:t>
      </w:r>
      <w:r w:rsidR="00034843" w:rsidRPr="008F39F5">
        <w:rPr>
          <w:rFonts w:ascii="Arial" w:hAnsi="Arial" w:cs="Arial"/>
          <w:b/>
          <w:sz w:val="22"/>
        </w:rPr>
        <w:t>Discussion.</w:t>
      </w:r>
    </w:p>
    <w:p w14:paraId="1C96E5C3" w14:textId="1DC66499" w:rsidR="004414DB" w:rsidRDefault="00EA7438" w:rsidP="004414DB">
      <w:pPr>
        <w:pStyle w:val="Body"/>
        <w:spacing w:after="0"/>
        <w:rPr>
          <w:rFonts w:ascii="Arial" w:hAnsi="Arial" w:cs="Arial"/>
        </w:rPr>
      </w:pPr>
      <w:r w:rsidRPr="00EA7438">
        <w:rPr>
          <w:rFonts w:ascii="Arial" w:hAnsi="Arial" w:cs="Arial"/>
        </w:rPr>
        <w:t xml:space="preserve">The study included 138 patients diagnosed with long COVID-19, with a predominance of females, a pattern also observed in studies conducted in Mexico (Galván-Tejada et al., 2020), Africa (Galal et al., 2021), Asia (Liang et al., 2020; Iqbal et al., 2021), and Europe (Salamanna et al., 2021). The </w:t>
      </w:r>
      <w:r w:rsidR="00331120" w:rsidRPr="00331120">
        <w:rPr>
          <w:rFonts w:ascii="Arial" w:hAnsi="Arial" w:cs="Arial"/>
        </w:rPr>
        <w:t>average age</w:t>
      </w:r>
      <w:r w:rsidRPr="00EA7438">
        <w:rPr>
          <w:rFonts w:ascii="Arial" w:hAnsi="Arial" w:cs="Arial"/>
        </w:rPr>
        <w:t xml:space="preserve"> was 48.19 years</w:t>
      </w:r>
      <w:r w:rsidR="008C2E34">
        <w:rPr>
          <w:rFonts w:ascii="Arial" w:hAnsi="Arial" w:cs="Arial"/>
        </w:rPr>
        <w:t xml:space="preserve"> old</w:t>
      </w:r>
      <w:r w:rsidRPr="00EA7438">
        <w:rPr>
          <w:rFonts w:ascii="Arial" w:hAnsi="Arial" w:cs="Arial"/>
        </w:rPr>
        <w:t>, with a broad age range spanning from 19 to 93 years</w:t>
      </w:r>
      <w:r w:rsidR="008C2E34">
        <w:rPr>
          <w:rFonts w:ascii="Arial" w:hAnsi="Arial" w:cs="Arial"/>
        </w:rPr>
        <w:t xml:space="preserve"> old</w:t>
      </w:r>
      <w:r w:rsidRPr="00EA7438">
        <w:rPr>
          <w:rFonts w:ascii="Arial" w:hAnsi="Arial" w:cs="Arial"/>
        </w:rPr>
        <w:t>. This average age was higher than that reported in other Latin American countries, such as Bolivia (43.9 years), Brazil (44.8 years), Chile (39 years), and Ecuador (40 years) (Escalera-Antezana et al., 2020; Soares et al., 2020; Ashktorab et al., 2021; Ortiz-Prado et al., 2021). A similar trend was observed when compared with studies focused on the Mexican population (Ashktorab et al., 2021; López-Hernández, 2022; López-Hernández et al., 2024; Castillo-Cruz et al., 2025). However, the average age in our cohort remained lower than that reported in Peru, where a mean age of 56.8 years was documented (Ashktorab et al., 2021). While our findings regarding age and sex distribution are in line with some previously published studies, they contrast with the majority of reports which indicate a higher prevalence of long COVID symptoms among middle-aged male adults</w:t>
      </w:r>
      <w:r w:rsidR="00331120">
        <w:rPr>
          <w:rFonts w:ascii="Arial" w:hAnsi="Arial" w:cs="Arial"/>
        </w:rPr>
        <w:t xml:space="preserve"> </w:t>
      </w:r>
      <w:r w:rsidR="00331120" w:rsidRPr="00EA7438">
        <w:rPr>
          <w:rFonts w:ascii="Arial" w:hAnsi="Arial" w:cs="Arial"/>
        </w:rPr>
        <w:t>(Salamanna et al., 2021)</w:t>
      </w:r>
      <w:r w:rsidRPr="00EA7438">
        <w:rPr>
          <w:rFonts w:ascii="Arial" w:hAnsi="Arial" w:cs="Arial"/>
        </w:rPr>
        <w:t>.</w:t>
      </w:r>
      <w:r w:rsidR="00BC527D">
        <w:rPr>
          <w:rFonts w:ascii="Arial" w:hAnsi="Arial" w:cs="Arial"/>
        </w:rPr>
        <w:t xml:space="preserve"> On the other hand, a</w:t>
      </w:r>
      <w:r w:rsidR="00BC527D" w:rsidRPr="00BC527D">
        <w:rPr>
          <w:rFonts w:ascii="Arial" w:hAnsi="Arial" w:cs="Arial"/>
        </w:rPr>
        <w:t>nthropometric data revealed a BMI categorising the study population as overweight, which is consistent with previous reports suggesting that a higher BMI may be a risk factor for developing persistent symptoms following acute COVID-19 infection</w:t>
      </w:r>
      <w:r w:rsidR="00B46B8E">
        <w:rPr>
          <w:rFonts w:ascii="Arial" w:hAnsi="Arial" w:cs="Arial"/>
        </w:rPr>
        <w:t xml:space="preserve"> (</w:t>
      </w:r>
      <w:r w:rsidR="00B46B8E" w:rsidRPr="00B46B8E">
        <w:rPr>
          <w:rFonts w:ascii="Arial" w:hAnsi="Arial" w:cs="Arial"/>
        </w:rPr>
        <w:t>Fernández-García</w:t>
      </w:r>
      <w:r w:rsidR="00B46B8E">
        <w:rPr>
          <w:rFonts w:ascii="Arial" w:hAnsi="Arial" w:cs="Arial"/>
        </w:rPr>
        <w:t xml:space="preserve"> et al. </w:t>
      </w:r>
      <w:r w:rsidR="00B46B8E" w:rsidRPr="00B46B8E">
        <w:rPr>
          <w:rFonts w:ascii="Arial" w:hAnsi="Arial" w:cs="Arial"/>
        </w:rPr>
        <w:t>2025</w:t>
      </w:r>
      <w:r w:rsidR="00B46B8E">
        <w:rPr>
          <w:rFonts w:ascii="Arial" w:hAnsi="Arial" w:cs="Arial"/>
        </w:rPr>
        <w:t>)</w:t>
      </w:r>
      <w:r w:rsidR="00BC527D" w:rsidRPr="00BC527D">
        <w:rPr>
          <w:rFonts w:ascii="Arial" w:hAnsi="Arial" w:cs="Arial"/>
        </w:rPr>
        <w:t>. However, in our study, multivariate regression models did not show any significant association between BMI and the presence of long COVID-19 sequelae.</w:t>
      </w:r>
    </w:p>
    <w:p w14:paraId="61A13B03" w14:textId="77777777" w:rsidR="00BC527D" w:rsidRPr="004414DB" w:rsidRDefault="00BC527D" w:rsidP="004414DB">
      <w:pPr>
        <w:pStyle w:val="Body"/>
        <w:spacing w:after="0"/>
        <w:rPr>
          <w:rFonts w:ascii="Arial" w:hAnsi="Arial" w:cs="Arial"/>
        </w:rPr>
      </w:pPr>
    </w:p>
    <w:p w14:paraId="25D8522A" w14:textId="7557DE8B" w:rsidR="004414DB" w:rsidRPr="004414DB" w:rsidRDefault="004414DB" w:rsidP="004414DB">
      <w:pPr>
        <w:pStyle w:val="Body"/>
        <w:spacing w:after="0"/>
        <w:rPr>
          <w:rFonts w:ascii="Arial" w:hAnsi="Arial" w:cs="Arial"/>
        </w:rPr>
      </w:pPr>
      <w:r w:rsidRPr="004414DB">
        <w:rPr>
          <w:rFonts w:ascii="Arial" w:hAnsi="Arial" w:cs="Arial"/>
        </w:rPr>
        <w:t xml:space="preserve">Regarding comorbidities, 37% of the total population had at least one pre-existing condition. Although statistical tests did not show significant differences between sexes, clinically relevant patterns emerged. Males exhibited higher proportions of hypertension and type 2 diabetes, while COPD was only reported among females. Notably, cancer, HIV, and </w:t>
      </w:r>
      <w:r w:rsidR="00B46B8E">
        <w:rPr>
          <w:rFonts w:ascii="Arial" w:hAnsi="Arial" w:cs="Arial"/>
        </w:rPr>
        <w:t>CKD</w:t>
      </w:r>
      <w:r w:rsidRPr="004414DB">
        <w:rPr>
          <w:rFonts w:ascii="Arial" w:hAnsi="Arial" w:cs="Arial"/>
        </w:rPr>
        <w:t xml:space="preserve"> were exclusively recorded in males, albeit in small numbers. These findings reflect trends seen in other studies, where the presence of comorbidities, particularly cardiometabolic conditions, is frequently associated with both severe acute COVID-19 and prolonged symptomatology. These trends in males may suggest further exploration in larger or more diverse populations. Moreover, our findings underline the importance of considering sex-specific patterns in long COVID-19 management at the primary care level.</w:t>
      </w:r>
      <w:r w:rsidR="006729D9">
        <w:rPr>
          <w:rFonts w:ascii="Arial" w:hAnsi="Arial" w:cs="Arial"/>
        </w:rPr>
        <w:t xml:space="preserve"> </w:t>
      </w:r>
      <w:r w:rsidRPr="004414DB">
        <w:rPr>
          <w:rFonts w:ascii="Arial" w:hAnsi="Arial" w:cs="Arial"/>
        </w:rPr>
        <w:t>Mortality was low overall, with just one recorded death (0.7%) in a male patient, suggesting relatively favourable survival in this cohort.</w:t>
      </w:r>
    </w:p>
    <w:p w14:paraId="76D4EDBF" w14:textId="77777777" w:rsidR="004414DB" w:rsidRPr="004414DB" w:rsidRDefault="004414DB" w:rsidP="004414DB">
      <w:pPr>
        <w:pStyle w:val="Body"/>
        <w:spacing w:after="0"/>
        <w:rPr>
          <w:rFonts w:ascii="Arial" w:hAnsi="Arial" w:cs="Arial"/>
        </w:rPr>
      </w:pPr>
    </w:p>
    <w:p w14:paraId="4168120E" w14:textId="32227C97" w:rsidR="00254321" w:rsidRDefault="004414DB" w:rsidP="004414DB">
      <w:pPr>
        <w:pStyle w:val="Body"/>
        <w:spacing w:after="0"/>
        <w:rPr>
          <w:rFonts w:ascii="Arial" w:hAnsi="Arial" w:cs="Arial"/>
        </w:rPr>
      </w:pPr>
      <w:r w:rsidRPr="004414DB">
        <w:rPr>
          <w:rFonts w:ascii="Arial" w:hAnsi="Arial" w:cs="Arial"/>
        </w:rPr>
        <w:t xml:space="preserve">Vaccination history was reported in over half of the population (53.6%), with slightly higher coverage in females. This is </w:t>
      </w:r>
      <w:r w:rsidR="006729D9">
        <w:rPr>
          <w:rFonts w:ascii="Arial" w:hAnsi="Arial" w:cs="Arial"/>
        </w:rPr>
        <w:t xml:space="preserve">not </w:t>
      </w:r>
      <w:r w:rsidRPr="004414DB">
        <w:rPr>
          <w:rFonts w:ascii="Arial" w:hAnsi="Arial" w:cs="Arial"/>
        </w:rPr>
        <w:t xml:space="preserve">in line with global trends indicating higher </w:t>
      </w:r>
      <w:r w:rsidR="00F22FE3" w:rsidRPr="00F22FE3">
        <w:rPr>
          <w:rFonts w:ascii="Arial" w:hAnsi="Arial" w:cs="Arial"/>
        </w:rPr>
        <w:t>vaccination intentions</w:t>
      </w:r>
      <w:r w:rsidR="00F22FE3">
        <w:rPr>
          <w:rFonts w:ascii="Arial" w:hAnsi="Arial" w:cs="Arial"/>
        </w:rPr>
        <w:t xml:space="preserve"> </w:t>
      </w:r>
      <w:r w:rsidRPr="004414DB">
        <w:rPr>
          <w:rFonts w:ascii="Arial" w:hAnsi="Arial" w:cs="Arial"/>
        </w:rPr>
        <w:t xml:space="preserve">among </w:t>
      </w:r>
      <w:r w:rsidR="006729D9">
        <w:rPr>
          <w:rFonts w:ascii="Arial" w:hAnsi="Arial" w:cs="Arial"/>
        </w:rPr>
        <w:t>males (</w:t>
      </w:r>
      <w:r w:rsidR="006729D9" w:rsidRPr="006729D9">
        <w:rPr>
          <w:rFonts w:ascii="Arial" w:hAnsi="Arial" w:cs="Arial"/>
        </w:rPr>
        <w:t>Zintel</w:t>
      </w:r>
      <w:r w:rsidR="006729D9">
        <w:rPr>
          <w:rFonts w:ascii="Arial" w:hAnsi="Arial" w:cs="Arial"/>
        </w:rPr>
        <w:t xml:space="preserve"> et al. </w:t>
      </w:r>
      <w:r w:rsidR="006729D9" w:rsidRPr="006729D9">
        <w:rPr>
          <w:rFonts w:ascii="Arial" w:hAnsi="Arial" w:cs="Arial"/>
        </w:rPr>
        <w:t>2022</w:t>
      </w:r>
      <w:r w:rsidR="006729D9">
        <w:rPr>
          <w:rFonts w:ascii="Arial" w:hAnsi="Arial" w:cs="Arial"/>
        </w:rPr>
        <w:t>)</w:t>
      </w:r>
      <w:r w:rsidRPr="004414DB">
        <w:rPr>
          <w:rFonts w:ascii="Arial" w:hAnsi="Arial" w:cs="Arial"/>
        </w:rPr>
        <w:t xml:space="preserve">. </w:t>
      </w:r>
      <w:r w:rsidR="00D467A6" w:rsidRPr="00D467A6">
        <w:rPr>
          <w:rFonts w:ascii="Arial" w:hAnsi="Arial" w:cs="Arial"/>
        </w:rPr>
        <w:t>The relationship between vaccination and the mitigation or modulation of long COVID symptoms remains an active area of research. Some studies have reported a protective effect against the development of long COVID symptoms overall (OR: 0.34; 95% CI: 0.21–0.58), with particularly notable reductions in neuropsychiatric symptoms, especially those associated with infection by the Delta variant</w:t>
      </w:r>
      <w:r w:rsidR="00D467A6">
        <w:rPr>
          <w:rFonts w:ascii="Arial" w:hAnsi="Arial" w:cs="Arial"/>
        </w:rPr>
        <w:t xml:space="preserve"> (</w:t>
      </w:r>
      <w:r w:rsidR="00D467A6" w:rsidRPr="00D467A6">
        <w:rPr>
          <w:rFonts w:ascii="Arial" w:hAnsi="Arial" w:cs="Arial"/>
        </w:rPr>
        <w:t>Gennaro</w:t>
      </w:r>
      <w:r w:rsidR="00D467A6">
        <w:rPr>
          <w:rFonts w:ascii="Arial" w:hAnsi="Arial" w:cs="Arial"/>
        </w:rPr>
        <w:t xml:space="preserve"> et al. </w:t>
      </w:r>
      <w:r w:rsidR="00D467A6" w:rsidRPr="00D467A6">
        <w:rPr>
          <w:rFonts w:ascii="Arial" w:hAnsi="Arial" w:cs="Arial"/>
        </w:rPr>
        <w:t>2024</w:t>
      </w:r>
      <w:r w:rsidR="00D467A6">
        <w:rPr>
          <w:rFonts w:ascii="Arial" w:hAnsi="Arial" w:cs="Arial"/>
        </w:rPr>
        <w:t>)</w:t>
      </w:r>
      <w:r w:rsidR="00D467A6" w:rsidRPr="00D467A6">
        <w:rPr>
          <w:rFonts w:ascii="Arial" w:hAnsi="Arial" w:cs="Arial"/>
        </w:rPr>
        <w:t>.</w:t>
      </w:r>
      <w:r w:rsidRPr="004414DB">
        <w:rPr>
          <w:rFonts w:ascii="Arial" w:hAnsi="Arial" w:cs="Arial"/>
        </w:rPr>
        <w:t xml:space="preserve"> </w:t>
      </w:r>
      <w:r w:rsidR="008C2E34">
        <w:rPr>
          <w:rFonts w:ascii="Arial" w:hAnsi="Arial" w:cs="Arial"/>
        </w:rPr>
        <w:t>Therefore, t</w:t>
      </w:r>
      <w:r w:rsidR="00DA01AC" w:rsidRPr="00DA01AC">
        <w:rPr>
          <w:rFonts w:ascii="Arial" w:hAnsi="Arial" w:cs="Arial"/>
        </w:rPr>
        <w:t>hese baseline characteristics provide important context for interpreting the outcomes and risk profiles associated with long COVID-19 in the population attending primary care units and underline the need to consider demographic and clinical diversity in both research and clinical care.</w:t>
      </w:r>
    </w:p>
    <w:p w14:paraId="346E6CE4" w14:textId="77777777" w:rsidR="00254321" w:rsidRDefault="00254321" w:rsidP="004414DB">
      <w:pPr>
        <w:pStyle w:val="Body"/>
        <w:spacing w:after="0"/>
        <w:rPr>
          <w:rFonts w:ascii="Arial" w:hAnsi="Arial" w:cs="Arial"/>
        </w:rPr>
      </w:pPr>
    </w:p>
    <w:p w14:paraId="527C60E1" w14:textId="7A018CD8" w:rsidR="008F0C48" w:rsidRDefault="004414DB" w:rsidP="004414DB">
      <w:pPr>
        <w:pStyle w:val="Body"/>
        <w:spacing w:after="0"/>
        <w:rPr>
          <w:rFonts w:ascii="Arial" w:hAnsi="Arial" w:cs="Arial"/>
        </w:rPr>
      </w:pPr>
      <w:r w:rsidRPr="004414DB">
        <w:rPr>
          <w:rFonts w:ascii="Arial" w:hAnsi="Arial" w:cs="Arial"/>
        </w:rPr>
        <w:t xml:space="preserve">Importantly, our findings highlight the potential role of vaccination in the context of long COVID-19, as observed in the regression analyses. Vaccination was associated with a significantly increased likelihood of persistent cough, yet a protective effect against dyspnoea, in patients with long COVID-related symptoms. These contrasting outcomes underscore the complexity of the post-acute immune response and suggest symptom-specific effects of prior vaccination. </w:t>
      </w:r>
      <w:r w:rsidR="008C2E34">
        <w:rPr>
          <w:rFonts w:ascii="Arial" w:hAnsi="Arial" w:cs="Arial"/>
        </w:rPr>
        <w:t>Besides, t</w:t>
      </w:r>
      <w:r w:rsidRPr="004414DB">
        <w:rPr>
          <w:rFonts w:ascii="Arial" w:hAnsi="Arial" w:cs="Arial"/>
        </w:rPr>
        <w:t>hese findings are in line with those of other authors who have reported that vaccination may reduce the risk or severity of certain long COVID symptoms</w:t>
      </w:r>
      <w:r w:rsidR="00D44FA3">
        <w:rPr>
          <w:rFonts w:ascii="Arial" w:hAnsi="Arial" w:cs="Arial"/>
        </w:rPr>
        <w:t xml:space="preserve"> (</w:t>
      </w:r>
      <w:r w:rsidR="00D44FA3" w:rsidRPr="00D467A6">
        <w:rPr>
          <w:rFonts w:ascii="Arial" w:hAnsi="Arial" w:cs="Arial"/>
        </w:rPr>
        <w:t>Gennaro</w:t>
      </w:r>
      <w:r w:rsidR="00D44FA3">
        <w:rPr>
          <w:rFonts w:ascii="Arial" w:hAnsi="Arial" w:cs="Arial"/>
        </w:rPr>
        <w:t xml:space="preserve"> et al. </w:t>
      </w:r>
      <w:r w:rsidR="00D44FA3" w:rsidRPr="00D467A6">
        <w:rPr>
          <w:rFonts w:ascii="Arial" w:hAnsi="Arial" w:cs="Arial"/>
        </w:rPr>
        <w:t>2024</w:t>
      </w:r>
      <w:r w:rsidR="00D44FA3">
        <w:rPr>
          <w:rFonts w:ascii="Arial" w:hAnsi="Arial" w:cs="Arial"/>
        </w:rPr>
        <w:t>)</w:t>
      </w:r>
      <w:r w:rsidRPr="004414DB">
        <w:rPr>
          <w:rFonts w:ascii="Arial" w:hAnsi="Arial" w:cs="Arial"/>
        </w:rPr>
        <w:t>, although results have varied depending on the dominant viral variants at the time. The evidence from our cohort supports the growing body of literature suggesting that while vaccination may not entirely prevent long COVID, it could influence the nature and severity of its presentation. This also reinforces the importance of considering vaccination history in clinical follow-up and future research on long COVID-19.</w:t>
      </w:r>
    </w:p>
    <w:p w14:paraId="619F3B8A" w14:textId="77777777" w:rsidR="004414DB" w:rsidRPr="008F39F5" w:rsidRDefault="004414DB" w:rsidP="00DA4A7C">
      <w:pPr>
        <w:pStyle w:val="Body"/>
        <w:spacing w:after="0"/>
        <w:rPr>
          <w:rFonts w:ascii="Arial" w:hAnsi="Arial" w:cs="Arial"/>
        </w:rPr>
      </w:pPr>
    </w:p>
    <w:p w14:paraId="54ACF471" w14:textId="576839F3" w:rsidR="00D25DAB" w:rsidRPr="008F39F5" w:rsidRDefault="00D25DAB" w:rsidP="00DA4A7C">
      <w:pPr>
        <w:pStyle w:val="Body"/>
        <w:spacing w:after="0"/>
        <w:rPr>
          <w:rFonts w:ascii="Arial" w:hAnsi="Arial" w:cs="Arial"/>
        </w:rPr>
      </w:pPr>
      <w:r w:rsidRPr="008F39F5">
        <w:rPr>
          <w:rFonts w:ascii="Arial" w:hAnsi="Arial" w:cs="Arial"/>
          <w:b/>
          <w:caps/>
          <w:sz w:val="22"/>
        </w:rPr>
        <w:t>3.</w:t>
      </w:r>
      <w:r w:rsidR="001F2314" w:rsidRPr="008F39F5">
        <w:rPr>
          <w:rFonts w:ascii="Arial" w:hAnsi="Arial" w:cs="Arial"/>
          <w:b/>
          <w:caps/>
          <w:sz w:val="22"/>
        </w:rPr>
        <w:t>6</w:t>
      </w:r>
      <w:r w:rsidRPr="008F39F5">
        <w:rPr>
          <w:rFonts w:ascii="Arial" w:hAnsi="Arial" w:cs="Arial"/>
          <w:b/>
          <w:caps/>
          <w:sz w:val="22"/>
        </w:rPr>
        <w:t xml:space="preserve"> </w:t>
      </w:r>
      <w:r w:rsidR="006D74DF" w:rsidRPr="008F39F5">
        <w:rPr>
          <w:rFonts w:ascii="Arial" w:hAnsi="Arial" w:cs="Arial"/>
          <w:b/>
          <w:sz w:val="22"/>
        </w:rPr>
        <w:t>Limit</w:t>
      </w:r>
      <w:r w:rsidR="00FB1E3E" w:rsidRPr="008F39F5">
        <w:rPr>
          <w:rFonts w:ascii="Arial" w:hAnsi="Arial" w:cs="Arial"/>
          <w:b/>
          <w:sz w:val="22"/>
        </w:rPr>
        <w:t>ation</w:t>
      </w:r>
      <w:r w:rsidR="006D74DF" w:rsidRPr="008F39F5">
        <w:rPr>
          <w:rFonts w:ascii="Arial" w:hAnsi="Arial" w:cs="Arial"/>
          <w:b/>
          <w:sz w:val="22"/>
        </w:rPr>
        <w:t>s</w:t>
      </w:r>
      <w:r w:rsidR="00FB1E3E" w:rsidRPr="008F39F5">
        <w:rPr>
          <w:rFonts w:ascii="Arial" w:hAnsi="Arial" w:cs="Arial"/>
          <w:b/>
          <w:sz w:val="22"/>
        </w:rPr>
        <w:t xml:space="preserve"> and applications</w:t>
      </w:r>
      <w:r w:rsidR="006B5904" w:rsidRPr="008F39F5">
        <w:rPr>
          <w:rFonts w:ascii="Arial" w:hAnsi="Arial" w:cs="Arial"/>
          <w:b/>
          <w:sz w:val="22"/>
        </w:rPr>
        <w:t>.</w:t>
      </w:r>
    </w:p>
    <w:p w14:paraId="01AC1068" w14:textId="6D39C637" w:rsidR="00194B7C" w:rsidRPr="00194B7C" w:rsidRDefault="00194B7C" w:rsidP="00194B7C">
      <w:pPr>
        <w:pStyle w:val="Body"/>
        <w:spacing w:after="0"/>
        <w:rPr>
          <w:rFonts w:ascii="Arial" w:hAnsi="Arial" w:cs="Arial"/>
        </w:rPr>
      </w:pPr>
      <w:r w:rsidRPr="00194B7C">
        <w:rPr>
          <w:rFonts w:ascii="Arial" w:hAnsi="Arial" w:cs="Arial"/>
        </w:rPr>
        <w:t xml:space="preserve">This study has several limitations that should be acknowledged. First, the cross-sectional design limits the ability to establish causal relationships between risk factors and long COVID-19 symptoms. </w:t>
      </w:r>
      <w:r w:rsidR="00D0674D">
        <w:rPr>
          <w:rFonts w:ascii="Arial" w:hAnsi="Arial" w:cs="Arial"/>
        </w:rPr>
        <w:t xml:space="preserve">  A l</w:t>
      </w:r>
      <w:r w:rsidRPr="00194B7C">
        <w:rPr>
          <w:rFonts w:ascii="Arial" w:hAnsi="Arial" w:cs="Arial"/>
        </w:rPr>
        <w:t>ongitudinal follow-up would be necessary to confirm the persistence and progression of symptoms over time. Second, the sample was drawn from a single primary care unit, which may affect the generalisability of the findings to other settings or regions. Additionally, the sample size, while sufficient for initial analyses, may not have provided the statistical power needed to detect associations with less common comorbidities or outcomes.</w:t>
      </w:r>
    </w:p>
    <w:p w14:paraId="40FE09BF" w14:textId="77777777" w:rsidR="00194B7C" w:rsidRPr="00194B7C" w:rsidRDefault="00194B7C" w:rsidP="00194B7C">
      <w:pPr>
        <w:pStyle w:val="Body"/>
        <w:spacing w:after="0"/>
        <w:rPr>
          <w:rFonts w:ascii="Arial" w:hAnsi="Arial" w:cs="Arial"/>
        </w:rPr>
      </w:pPr>
    </w:p>
    <w:p w14:paraId="31761BA2" w14:textId="25C2890A" w:rsidR="00893E8A" w:rsidRPr="008F39F5" w:rsidRDefault="00194B7C" w:rsidP="00194B7C">
      <w:pPr>
        <w:pStyle w:val="Body"/>
        <w:spacing w:after="0"/>
        <w:rPr>
          <w:rFonts w:ascii="Arial" w:hAnsi="Arial" w:cs="Arial"/>
        </w:rPr>
      </w:pPr>
      <w:r w:rsidRPr="00194B7C">
        <w:rPr>
          <w:rFonts w:ascii="Arial" w:hAnsi="Arial" w:cs="Arial"/>
        </w:rPr>
        <w:t>Despite these limitations, the findings have important clinical and public health implications. The descriptive characterisation of patients with long COVID-19 in a primary care setting highlights the need for tailored follow-up strategies, particularly for individuals with comorbidities or specific demographic profiles. Furthermore, the potential protective role of vaccination against certain long COVID symptoms reinforces the importance of sustained immunisation efforts and patient education. These results may inform future research, healthcare planning, and policy development aimed at mitigating the long-term impacts of COVID-19 in similar populations.</w:t>
      </w:r>
      <w:r w:rsidR="006D49E1" w:rsidRPr="006D49E1">
        <w:t xml:space="preserve"> </w:t>
      </w:r>
      <w:r w:rsidR="006D49E1" w:rsidRPr="000A1284">
        <w:rPr>
          <w:highlight w:val="yellow"/>
        </w:rPr>
        <w:t>Moreover, we recognise that another</w:t>
      </w:r>
      <w:r w:rsidR="006D49E1" w:rsidRPr="000A1284">
        <w:rPr>
          <w:rFonts w:ascii="Arial" w:hAnsi="Arial" w:cs="Arial"/>
          <w:highlight w:val="yellow"/>
        </w:rPr>
        <w:t xml:space="preserve"> significant limitation of this study is the absence of detailed vaccination data, including the number of doses received, specific vaccine types, and the timing of vaccination relative to SARS-CoV-2 infection. </w:t>
      </w:r>
      <w:r w:rsidR="00D0674D">
        <w:rPr>
          <w:rFonts w:ascii="Arial" w:hAnsi="Arial" w:cs="Arial"/>
          <w:highlight w:val="yellow"/>
        </w:rPr>
        <w:t>Thus, t</w:t>
      </w:r>
      <w:r w:rsidR="006D49E1" w:rsidRPr="000A1284">
        <w:rPr>
          <w:rFonts w:ascii="Arial" w:hAnsi="Arial" w:cs="Arial"/>
          <w:highlight w:val="yellow"/>
        </w:rPr>
        <w:t>his constraint restricts our ability to assess the potential influence of these factors on the development and persistence of post-COVID-19 symptoms. Future studies should collect comprehensive vaccination data to facilitate a more thorough analysis of these variables and their potential effects against post-COVID-19 conditions.</w:t>
      </w:r>
    </w:p>
    <w:p w14:paraId="185D3D89" w14:textId="77777777" w:rsidR="00CE7693" w:rsidRPr="008F39F5" w:rsidRDefault="00CE7693" w:rsidP="00CE7693">
      <w:pPr>
        <w:pStyle w:val="Body"/>
        <w:spacing w:after="0"/>
        <w:rPr>
          <w:rFonts w:ascii="Arial" w:hAnsi="Arial" w:cs="Arial"/>
        </w:rPr>
      </w:pPr>
    </w:p>
    <w:p w14:paraId="100F902E" w14:textId="77777777" w:rsidR="00113660" w:rsidRPr="008F39F5" w:rsidRDefault="00000F8F" w:rsidP="00CE7693">
      <w:pPr>
        <w:pStyle w:val="ConcHead"/>
        <w:spacing w:after="0"/>
        <w:jc w:val="both"/>
        <w:rPr>
          <w:rFonts w:ascii="Arial" w:hAnsi="Arial" w:cs="Arial"/>
        </w:rPr>
      </w:pPr>
      <w:r w:rsidRPr="008F39F5">
        <w:rPr>
          <w:rFonts w:ascii="Arial" w:hAnsi="Arial" w:cs="Arial"/>
        </w:rPr>
        <w:t xml:space="preserve">4. </w:t>
      </w:r>
      <w:r w:rsidR="00B01FCD" w:rsidRPr="008F39F5">
        <w:rPr>
          <w:rFonts w:ascii="Arial" w:hAnsi="Arial" w:cs="Arial"/>
        </w:rPr>
        <w:t>Conclusion</w:t>
      </w:r>
      <w:r w:rsidR="006B5904" w:rsidRPr="008F39F5">
        <w:rPr>
          <w:rFonts w:ascii="Arial" w:hAnsi="Arial" w:cs="Arial"/>
        </w:rPr>
        <w:t>.</w:t>
      </w:r>
    </w:p>
    <w:p w14:paraId="6B711AC2" w14:textId="4792C69D" w:rsidR="00113660" w:rsidRDefault="00CE7693" w:rsidP="009103D4">
      <w:pPr>
        <w:pStyle w:val="AcknHead"/>
        <w:spacing w:after="0"/>
        <w:jc w:val="both"/>
        <w:rPr>
          <w:rFonts w:ascii="Arial" w:hAnsi="Arial" w:cs="Arial"/>
          <w:b w:val="0"/>
          <w:caps w:val="0"/>
          <w:sz w:val="20"/>
        </w:rPr>
      </w:pPr>
      <w:r w:rsidRPr="008F39F5">
        <w:rPr>
          <w:rFonts w:ascii="Arial" w:hAnsi="Arial" w:cs="Arial"/>
          <w:b w:val="0"/>
          <w:caps w:val="0"/>
          <w:sz w:val="20"/>
        </w:rPr>
        <w:t xml:space="preserve">In conclusion, </w:t>
      </w:r>
      <w:r w:rsidR="00153D50">
        <w:rPr>
          <w:rFonts w:ascii="Arial" w:hAnsi="Arial" w:cs="Arial"/>
          <w:b w:val="0"/>
          <w:caps w:val="0"/>
          <w:sz w:val="20"/>
        </w:rPr>
        <w:t xml:space="preserve">our </w:t>
      </w:r>
      <w:r w:rsidR="00153D50" w:rsidRPr="00153D50">
        <w:rPr>
          <w:rFonts w:ascii="Arial" w:hAnsi="Arial" w:cs="Arial"/>
          <w:b w:val="0"/>
          <w:caps w:val="0"/>
          <w:sz w:val="20"/>
        </w:rPr>
        <w:t>study of patients with long COVID-19 in a primary care setting, the most frequently reported sequelae were respiratory symptoms, particularly persistent cough and odynophagia. Notably, vaccination history emerged as a potentially protective factor, particularly in reducing the likelihood of developing certain long COVID symptoms such as dyspnoea.</w:t>
      </w:r>
      <w:r w:rsidR="00D0674D">
        <w:rPr>
          <w:rFonts w:ascii="Arial" w:hAnsi="Arial" w:cs="Arial"/>
          <w:b w:val="0"/>
          <w:caps w:val="0"/>
          <w:sz w:val="20"/>
        </w:rPr>
        <w:t xml:space="preserve"> Hence, t</w:t>
      </w:r>
      <w:r w:rsidR="00153D50" w:rsidRPr="00153D50">
        <w:rPr>
          <w:rFonts w:ascii="Arial" w:hAnsi="Arial" w:cs="Arial"/>
          <w:b w:val="0"/>
          <w:caps w:val="0"/>
          <w:sz w:val="20"/>
        </w:rPr>
        <w:t>hese findings underscore the importance of ongoing vaccination campaigns and support the need for targeted follow-up strategies in post-COVID care, with attention to individual risk profiles and sociodemographic characteristics.</w:t>
      </w:r>
    </w:p>
    <w:p w14:paraId="4603BD9E" w14:textId="77777777" w:rsidR="00526459" w:rsidRDefault="00526459" w:rsidP="009103D4">
      <w:pPr>
        <w:pStyle w:val="AcknHead"/>
        <w:spacing w:after="0"/>
        <w:jc w:val="both"/>
        <w:rPr>
          <w:rFonts w:ascii="Arial" w:hAnsi="Arial" w:cs="Arial"/>
          <w:b w:val="0"/>
          <w:caps w:val="0"/>
          <w:sz w:val="20"/>
        </w:rPr>
      </w:pPr>
    </w:p>
    <w:p w14:paraId="050EF6FD" w14:textId="511BF4BD" w:rsidR="00526459" w:rsidRPr="009103D4" w:rsidRDefault="009103D4" w:rsidP="009103D4">
      <w:pPr>
        <w:rPr>
          <w:rFonts w:ascii="Arial" w:eastAsia="Calibri" w:hAnsi="Arial" w:cs="Arial"/>
          <w:b/>
          <w:bCs/>
          <w:kern w:val="2"/>
          <w:sz w:val="22"/>
          <w:szCs w:val="22"/>
          <w:highlight w:val="yellow"/>
          <w:lang w:val="en-US"/>
          <w14:ligatures w14:val="standardContextual"/>
        </w:rPr>
      </w:pPr>
      <w:r w:rsidRPr="009103D4">
        <w:rPr>
          <w:rFonts w:ascii="Arial" w:eastAsia="Calibri" w:hAnsi="Arial" w:cs="Arial"/>
          <w:b/>
          <w:bCs/>
          <w:kern w:val="2"/>
          <w:sz w:val="22"/>
          <w:szCs w:val="22"/>
          <w:highlight w:val="yellow"/>
          <w:lang w:val="en-US"/>
          <w14:ligatures w14:val="standardContextual"/>
        </w:rPr>
        <w:t>DISCLAIMER (ARTIFICIAL INTELLIGENCE)</w:t>
      </w:r>
    </w:p>
    <w:p w14:paraId="0CAE67B6" w14:textId="77777777" w:rsidR="00526459" w:rsidRPr="009103D4" w:rsidRDefault="00526459" w:rsidP="009103D4">
      <w:pPr>
        <w:jc w:val="both"/>
        <w:rPr>
          <w:rFonts w:ascii="Arial" w:eastAsia="Calibri" w:hAnsi="Arial" w:cs="Arial"/>
          <w:kern w:val="2"/>
          <w:highlight w:val="yellow"/>
          <w:lang w:val="en-US"/>
          <w14:ligatures w14:val="standardContextual"/>
        </w:rPr>
      </w:pPr>
      <w:r w:rsidRPr="009103D4">
        <w:rPr>
          <w:rFonts w:ascii="Arial" w:eastAsia="Calibri" w:hAnsi="Arial" w:cs="Arial"/>
          <w:kern w:val="2"/>
          <w:highlight w:val="yellow"/>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3232A667" w14:textId="77777777" w:rsidR="00B65AF6" w:rsidRPr="008F39F5" w:rsidRDefault="00B65AF6" w:rsidP="009103D4">
      <w:pPr>
        <w:pStyle w:val="ReferHead"/>
        <w:spacing w:after="0"/>
        <w:jc w:val="both"/>
        <w:rPr>
          <w:rFonts w:ascii="Arial" w:hAnsi="Arial" w:cs="Arial"/>
          <w:b w:val="0"/>
          <w:caps w:val="0"/>
          <w:sz w:val="20"/>
        </w:rPr>
      </w:pPr>
    </w:p>
    <w:p w14:paraId="19F7E77E" w14:textId="77777777" w:rsidR="00B01FCD" w:rsidRPr="008F39F5" w:rsidRDefault="00B01FCD" w:rsidP="009103D4">
      <w:pPr>
        <w:pStyle w:val="ReferHead"/>
        <w:spacing w:after="0"/>
        <w:jc w:val="both"/>
        <w:rPr>
          <w:rFonts w:ascii="Arial" w:hAnsi="Arial" w:cs="Arial"/>
        </w:rPr>
      </w:pPr>
      <w:r w:rsidRPr="008F39F5">
        <w:rPr>
          <w:rFonts w:ascii="Arial" w:hAnsi="Arial" w:cs="Arial"/>
        </w:rPr>
        <w:t>References</w:t>
      </w:r>
    </w:p>
    <w:p w14:paraId="72360ED4" w14:textId="327B4B87" w:rsidR="00570BF0" w:rsidRPr="00570BF0" w:rsidRDefault="00570BF0" w:rsidP="004034EB">
      <w:pPr>
        <w:pStyle w:val="Prrafodelista"/>
        <w:numPr>
          <w:ilvl w:val="0"/>
          <w:numId w:val="31"/>
        </w:numPr>
        <w:jc w:val="both"/>
        <w:rPr>
          <w:rFonts w:ascii="Arial" w:hAnsi="Arial" w:cs="Arial"/>
          <w:sz w:val="20"/>
          <w:szCs w:val="20"/>
          <w:lang w:val="en-GB"/>
        </w:rPr>
      </w:pPr>
      <w:r w:rsidRPr="00570BF0">
        <w:rPr>
          <w:rFonts w:ascii="Arial" w:hAnsi="Arial" w:cs="Arial"/>
          <w:sz w:val="20"/>
          <w:szCs w:val="20"/>
        </w:rPr>
        <w:t xml:space="preserve">Ashktorab, H., Pizuorno, A., Fierro, N. A., Villagrana, E. D. C., Solis, M. E. H., Cardenas, G., et al. </w:t>
      </w:r>
      <w:r w:rsidRPr="00570BF0">
        <w:rPr>
          <w:rFonts w:ascii="Arial" w:hAnsi="Arial" w:cs="Arial"/>
          <w:sz w:val="20"/>
          <w:szCs w:val="20"/>
          <w:lang w:val="en-GB"/>
        </w:rPr>
        <w:t>(2021). A Comprehensive Meta-Analysis of COVID-19 in Latin America. SOJ microbiology &amp; infectious diseases, 8(1), 1–11. https://doi.org/10.15226/sojmid/8/1/001108</w:t>
      </w:r>
    </w:p>
    <w:p w14:paraId="71E1AC30" w14:textId="75A26628" w:rsidR="001773C5" w:rsidRPr="001773C5" w:rsidRDefault="001773C5" w:rsidP="004034EB">
      <w:pPr>
        <w:pStyle w:val="Prrafodelista"/>
        <w:numPr>
          <w:ilvl w:val="0"/>
          <w:numId w:val="31"/>
        </w:numPr>
        <w:jc w:val="both"/>
        <w:rPr>
          <w:rFonts w:ascii="Arial" w:hAnsi="Arial" w:cs="Arial"/>
          <w:sz w:val="20"/>
          <w:szCs w:val="20"/>
          <w:lang w:val="en-GB"/>
        </w:rPr>
      </w:pPr>
      <w:r w:rsidRPr="001773C5">
        <w:rPr>
          <w:rFonts w:ascii="Arial" w:hAnsi="Arial" w:cs="Arial"/>
          <w:sz w:val="20"/>
          <w:szCs w:val="20"/>
        </w:rPr>
        <w:t xml:space="preserve">Ares-Blanco, S., Astier-Peña, M. P., Gómez-Bravo, R., Fernández-García, M., &amp; Bueno-Ortiz, J. M. (2021). El papel de la atención primaria en la pandemia COVID-19: Una mirada hacia Europa [The role of primary care during COVID-19 pandemic: A European overview]. </w:t>
      </w:r>
      <w:r w:rsidRPr="001773C5">
        <w:rPr>
          <w:rFonts w:ascii="Arial" w:hAnsi="Arial" w:cs="Arial"/>
          <w:sz w:val="20"/>
          <w:szCs w:val="20"/>
          <w:lang w:val="en-GB"/>
        </w:rPr>
        <w:t xml:space="preserve">Atencion primaria, 53(8), 102134. </w:t>
      </w:r>
      <w:hyperlink r:id="rId14" w:history="1">
        <w:r w:rsidRPr="006022F1">
          <w:rPr>
            <w:rStyle w:val="Hipervnculo"/>
            <w:rFonts w:ascii="Arial" w:hAnsi="Arial" w:cs="Arial"/>
            <w:sz w:val="20"/>
            <w:szCs w:val="20"/>
            <w:lang w:val="en-GB"/>
          </w:rPr>
          <w:t>https://doi.org/10.1016/j.aprim.2021.102134</w:t>
        </w:r>
      </w:hyperlink>
      <w:r>
        <w:rPr>
          <w:rFonts w:ascii="Arial" w:hAnsi="Arial" w:cs="Arial"/>
          <w:sz w:val="20"/>
          <w:szCs w:val="20"/>
          <w:lang w:val="en-GB"/>
        </w:rPr>
        <w:t xml:space="preserve"> </w:t>
      </w:r>
    </w:p>
    <w:p w14:paraId="6BF4619F" w14:textId="0131E317" w:rsidR="00381DA5" w:rsidRDefault="00381DA5" w:rsidP="004034EB">
      <w:pPr>
        <w:pStyle w:val="Prrafodelista"/>
        <w:numPr>
          <w:ilvl w:val="0"/>
          <w:numId w:val="31"/>
        </w:numPr>
        <w:jc w:val="both"/>
        <w:rPr>
          <w:rFonts w:ascii="Arial" w:hAnsi="Arial" w:cs="Arial"/>
          <w:sz w:val="20"/>
          <w:szCs w:val="20"/>
          <w:lang w:val="en-GB"/>
        </w:rPr>
      </w:pPr>
      <w:r w:rsidRPr="00381DA5">
        <w:rPr>
          <w:rFonts w:ascii="Arial" w:hAnsi="Arial" w:cs="Arial"/>
          <w:sz w:val="20"/>
          <w:szCs w:val="20"/>
          <w:lang w:val="it-IT"/>
        </w:rPr>
        <w:t xml:space="preserve">Bartoletti, M., Azap, O., Barac, A., Bussini, L., Ergonul, O., Krause, R., et al. </w:t>
      </w:r>
      <w:r w:rsidRPr="00381DA5">
        <w:rPr>
          <w:rFonts w:ascii="Arial" w:hAnsi="Arial" w:cs="Arial"/>
          <w:sz w:val="20"/>
          <w:szCs w:val="20"/>
          <w:lang w:val="en-GB"/>
        </w:rPr>
        <w:t xml:space="preserve">(2021). ESCMID COVID-19 living guidelines: Drug treatment and clinical management. Clinical Microbiology and Infection, 28(2), 222. </w:t>
      </w:r>
      <w:hyperlink r:id="rId15" w:history="1">
        <w:r w:rsidRPr="006022F1">
          <w:rPr>
            <w:rStyle w:val="Hipervnculo"/>
            <w:rFonts w:ascii="Arial" w:hAnsi="Arial" w:cs="Arial"/>
            <w:sz w:val="20"/>
            <w:szCs w:val="20"/>
            <w:lang w:val="en-GB"/>
          </w:rPr>
          <w:t>https://doi.org/10.1016/j.cmi.2021.11.007</w:t>
        </w:r>
      </w:hyperlink>
      <w:r>
        <w:rPr>
          <w:rFonts w:ascii="Arial" w:hAnsi="Arial" w:cs="Arial"/>
          <w:sz w:val="20"/>
          <w:szCs w:val="20"/>
          <w:lang w:val="en-GB"/>
        </w:rPr>
        <w:t xml:space="preserve"> </w:t>
      </w:r>
    </w:p>
    <w:p w14:paraId="4BAC960B" w14:textId="07F1B101" w:rsidR="00FD3178" w:rsidRDefault="00FD3178" w:rsidP="004034EB">
      <w:pPr>
        <w:pStyle w:val="Prrafodelista"/>
        <w:numPr>
          <w:ilvl w:val="0"/>
          <w:numId w:val="31"/>
        </w:numPr>
        <w:jc w:val="both"/>
        <w:rPr>
          <w:rFonts w:ascii="Arial" w:hAnsi="Arial" w:cs="Arial"/>
          <w:sz w:val="20"/>
          <w:szCs w:val="20"/>
          <w:lang w:val="en-GB"/>
        </w:rPr>
      </w:pPr>
      <w:r w:rsidRPr="00FD3178">
        <w:rPr>
          <w:rFonts w:ascii="Arial" w:hAnsi="Arial" w:cs="Arial"/>
          <w:sz w:val="20"/>
          <w:szCs w:val="20"/>
        </w:rPr>
        <w:t xml:space="preserve">Cai, M., Xie, Y., Topol, E. J., &amp; Al-Aly, Z. (2024). </w:t>
      </w:r>
      <w:r w:rsidRPr="00FD3178">
        <w:rPr>
          <w:rFonts w:ascii="Arial" w:hAnsi="Arial" w:cs="Arial"/>
          <w:sz w:val="20"/>
          <w:szCs w:val="20"/>
          <w:lang w:val="en-GB"/>
        </w:rPr>
        <w:t xml:space="preserve">Three-year outcomes of post-acute sequelae of COVID-19. Nature Medicine, 30(6), 1564. </w:t>
      </w:r>
      <w:hyperlink r:id="rId16" w:history="1">
        <w:r w:rsidRPr="006022F1">
          <w:rPr>
            <w:rStyle w:val="Hipervnculo"/>
            <w:rFonts w:ascii="Arial" w:hAnsi="Arial" w:cs="Arial"/>
            <w:sz w:val="20"/>
            <w:szCs w:val="20"/>
            <w:lang w:val="en-GB"/>
          </w:rPr>
          <w:t>https://doi.org/10.1038/s41591-024-02987-8</w:t>
        </w:r>
      </w:hyperlink>
      <w:r>
        <w:rPr>
          <w:rFonts w:ascii="Arial" w:hAnsi="Arial" w:cs="Arial"/>
          <w:sz w:val="20"/>
          <w:szCs w:val="20"/>
          <w:lang w:val="en-GB"/>
        </w:rPr>
        <w:t xml:space="preserve"> </w:t>
      </w:r>
    </w:p>
    <w:p w14:paraId="0497BF44" w14:textId="7CEA8059" w:rsidR="002837BD" w:rsidRDefault="002837BD" w:rsidP="00381DA5">
      <w:pPr>
        <w:pStyle w:val="Prrafodelista"/>
        <w:numPr>
          <w:ilvl w:val="0"/>
          <w:numId w:val="31"/>
        </w:numPr>
        <w:spacing w:after="0" w:line="240" w:lineRule="auto"/>
        <w:jc w:val="both"/>
        <w:rPr>
          <w:rFonts w:ascii="Arial" w:hAnsi="Arial" w:cs="Arial"/>
          <w:sz w:val="20"/>
          <w:szCs w:val="20"/>
          <w:lang w:val="en-GB"/>
        </w:rPr>
      </w:pPr>
      <w:r w:rsidRPr="002837BD">
        <w:rPr>
          <w:rFonts w:ascii="Arial" w:hAnsi="Arial" w:cs="Arial"/>
          <w:sz w:val="20"/>
          <w:szCs w:val="20"/>
        </w:rPr>
        <w:t>Castillo-Cruz, T., Lopez-Hernandez, D., Mayoral-Ortiz,</w:t>
      </w:r>
      <w:r>
        <w:rPr>
          <w:rFonts w:ascii="Arial" w:hAnsi="Arial" w:cs="Arial"/>
          <w:sz w:val="20"/>
          <w:szCs w:val="20"/>
        </w:rPr>
        <w:t xml:space="preserve"> </w:t>
      </w:r>
      <w:r w:rsidRPr="002837BD">
        <w:rPr>
          <w:rFonts w:ascii="Arial" w:hAnsi="Arial" w:cs="Arial"/>
          <w:sz w:val="20"/>
          <w:szCs w:val="20"/>
        </w:rPr>
        <w:t>A.,</w:t>
      </w:r>
      <w:r>
        <w:rPr>
          <w:rFonts w:ascii="Arial" w:hAnsi="Arial" w:cs="Arial"/>
          <w:sz w:val="20"/>
          <w:szCs w:val="20"/>
        </w:rPr>
        <w:t xml:space="preserve"> </w:t>
      </w:r>
      <w:r w:rsidRPr="002837BD">
        <w:rPr>
          <w:rFonts w:ascii="Arial" w:hAnsi="Arial" w:cs="Arial"/>
          <w:sz w:val="20"/>
          <w:szCs w:val="20"/>
        </w:rPr>
        <w:t>Brito-Aranda,</w:t>
      </w:r>
      <w:r>
        <w:rPr>
          <w:rFonts w:ascii="Arial" w:hAnsi="Arial" w:cs="Arial"/>
          <w:sz w:val="20"/>
          <w:szCs w:val="20"/>
        </w:rPr>
        <w:t xml:space="preserve"> </w:t>
      </w:r>
      <w:r w:rsidRPr="002837BD">
        <w:rPr>
          <w:rFonts w:ascii="Arial" w:hAnsi="Arial" w:cs="Arial"/>
          <w:sz w:val="20"/>
          <w:szCs w:val="20"/>
        </w:rPr>
        <w:t>L.,</w:t>
      </w:r>
      <w:r>
        <w:rPr>
          <w:rFonts w:ascii="Arial" w:hAnsi="Arial" w:cs="Arial"/>
          <w:sz w:val="20"/>
          <w:szCs w:val="20"/>
        </w:rPr>
        <w:t xml:space="preserve"> </w:t>
      </w:r>
      <w:r w:rsidRPr="002837BD">
        <w:rPr>
          <w:rFonts w:ascii="Arial" w:hAnsi="Arial" w:cs="Arial"/>
          <w:sz w:val="20"/>
          <w:szCs w:val="20"/>
        </w:rPr>
        <w:t>Blanco-Osorio, N.,</w:t>
      </w:r>
      <w:r>
        <w:rPr>
          <w:rFonts w:ascii="Arial" w:hAnsi="Arial" w:cs="Arial"/>
          <w:sz w:val="20"/>
          <w:szCs w:val="20"/>
        </w:rPr>
        <w:t xml:space="preserve"> </w:t>
      </w:r>
      <w:r w:rsidRPr="002837BD">
        <w:rPr>
          <w:rFonts w:ascii="Arial" w:hAnsi="Arial" w:cs="Arial"/>
          <w:sz w:val="20"/>
          <w:szCs w:val="20"/>
        </w:rPr>
        <w:t>Castro-Diaz,</w:t>
      </w:r>
      <w:r>
        <w:rPr>
          <w:rFonts w:ascii="Arial" w:hAnsi="Arial" w:cs="Arial"/>
          <w:sz w:val="20"/>
          <w:szCs w:val="20"/>
        </w:rPr>
        <w:t xml:space="preserve"> </w:t>
      </w:r>
      <w:r w:rsidRPr="002837BD">
        <w:rPr>
          <w:rFonts w:ascii="Arial" w:hAnsi="Arial" w:cs="Arial"/>
          <w:sz w:val="20"/>
          <w:szCs w:val="20"/>
        </w:rPr>
        <w:t>A.M.,</w:t>
      </w:r>
      <w:r>
        <w:rPr>
          <w:rFonts w:ascii="Arial" w:hAnsi="Arial" w:cs="Arial"/>
          <w:sz w:val="20"/>
          <w:szCs w:val="20"/>
        </w:rPr>
        <w:t xml:space="preserve"> </w:t>
      </w:r>
      <w:r w:rsidRPr="002837BD">
        <w:rPr>
          <w:rFonts w:ascii="Arial" w:hAnsi="Arial" w:cs="Arial"/>
          <w:sz w:val="20"/>
          <w:szCs w:val="20"/>
        </w:rPr>
        <w:t>et</w:t>
      </w:r>
      <w:r>
        <w:rPr>
          <w:rFonts w:ascii="Arial" w:hAnsi="Arial" w:cs="Arial"/>
          <w:sz w:val="20"/>
          <w:szCs w:val="20"/>
        </w:rPr>
        <w:t xml:space="preserve"> </w:t>
      </w:r>
      <w:r w:rsidRPr="002837BD">
        <w:rPr>
          <w:rFonts w:ascii="Arial" w:hAnsi="Arial" w:cs="Arial"/>
          <w:sz w:val="20"/>
          <w:szCs w:val="20"/>
        </w:rPr>
        <w:t xml:space="preserve">al. </w:t>
      </w:r>
      <w:r w:rsidRPr="002837BD">
        <w:rPr>
          <w:rFonts w:ascii="Arial" w:hAnsi="Arial" w:cs="Arial"/>
          <w:sz w:val="20"/>
          <w:szCs w:val="20"/>
          <w:lang w:val="en-GB"/>
        </w:rPr>
        <w:t>(2025). Analytical</w:t>
      </w:r>
      <w:r>
        <w:rPr>
          <w:rFonts w:ascii="Arial" w:hAnsi="Arial" w:cs="Arial"/>
          <w:sz w:val="20"/>
          <w:szCs w:val="20"/>
          <w:lang w:val="en-GB"/>
        </w:rPr>
        <w:t xml:space="preserve"> </w:t>
      </w:r>
      <w:r w:rsidRPr="002837BD">
        <w:rPr>
          <w:rFonts w:ascii="Arial" w:hAnsi="Arial" w:cs="Arial"/>
          <w:sz w:val="20"/>
          <w:szCs w:val="20"/>
          <w:lang w:val="en-GB"/>
        </w:rPr>
        <w:t>Study</w:t>
      </w:r>
      <w:r>
        <w:rPr>
          <w:rFonts w:ascii="Arial" w:hAnsi="Arial" w:cs="Arial"/>
          <w:sz w:val="20"/>
          <w:szCs w:val="20"/>
          <w:lang w:val="en-GB"/>
        </w:rPr>
        <w:t xml:space="preserve"> </w:t>
      </w:r>
      <w:r w:rsidRPr="002837BD">
        <w:rPr>
          <w:rFonts w:ascii="Arial" w:hAnsi="Arial" w:cs="Arial"/>
          <w:sz w:val="20"/>
          <w:szCs w:val="20"/>
          <w:lang w:val="en-GB"/>
        </w:rPr>
        <w:t>of</w:t>
      </w:r>
      <w:r>
        <w:rPr>
          <w:rFonts w:ascii="Arial" w:hAnsi="Arial" w:cs="Arial"/>
          <w:sz w:val="20"/>
          <w:szCs w:val="20"/>
          <w:lang w:val="en-GB"/>
        </w:rPr>
        <w:t xml:space="preserve"> </w:t>
      </w:r>
      <w:r w:rsidRPr="002837BD">
        <w:rPr>
          <w:rFonts w:ascii="Arial" w:hAnsi="Arial" w:cs="Arial"/>
          <w:sz w:val="20"/>
          <w:szCs w:val="20"/>
          <w:lang w:val="en-GB"/>
        </w:rPr>
        <w:t>the</w:t>
      </w:r>
      <w:r>
        <w:rPr>
          <w:rFonts w:ascii="Arial" w:hAnsi="Arial" w:cs="Arial"/>
          <w:sz w:val="20"/>
          <w:szCs w:val="20"/>
          <w:lang w:val="en-GB"/>
        </w:rPr>
        <w:t xml:space="preserve"> </w:t>
      </w:r>
      <w:r w:rsidRPr="002837BD">
        <w:rPr>
          <w:rFonts w:ascii="Arial" w:hAnsi="Arial" w:cs="Arial"/>
          <w:sz w:val="20"/>
          <w:szCs w:val="20"/>
          <w:lang w:val="en-GB"/>
        </w:rPr>
        <w:t>Geographical Distribution</w:t>
      </w:r>
      <w:r>
        <w:rPr>
          <w:rFonts w:ascii="Arial" w:hAnsi="Arial" w:cs="Arial"/>
          <w:sz w:val="20"/>
          <w:szCs w:val="20"/>
          <w:lang w:val="en-GB"/>
        </w:rPr>
        <w:t xml:space="preserve"> </w:t>
      </w:r>
      <w:r w:rsidRPr="002837BD">
        <w:rPr>
          <w:rFonts w:ascii="Arial" w:hAnsi="Arial" w:cs="Arial"/>
          <w:sz w:val="20"/>
          <w:szCs w:val="20"/>
          <w:lang w:val="en-GB"/>
        </w:rPr>
        <w:t>and</w:t>
      </w:r>
      <w:r>
        <w:rPr>
          <w:rFonts w:ascii="Arial" w:hAnsi="Arial" w:cs="Arial"/>
          <w:sz w:val="20"/>
          <w:szCs w:val="20"/>
          <w:lang w:val="en-GB"/>
        </w:rPr>
        <w:t xml:space="preserve"> </w:t>
      </w:r>
      <w:r w:rsidRPr="002837BD">
        <w:rPr>
          <w:rFonts w:ascii="Arial" w:hAnsi="Arial" w:cs="Arial"/>
          <w:sz w:val="20"/>
          <w:szCs w:val="20"/>
          <w:lang w:val="en-GB"/>
        </w:rPr>
        <w:t>Seasonality</w:t>
      </w:r>
      <w:r>
        <w:rPr>
          <w:rFonts w:ascii="Arial" w:hAnsi="Arial" w:cs="Arial"/>
          <w:sz w:val="20"/>
          <w:szCs w:val="20"/>
          <w:lang w:val="en-GB"/>
        </w:rPr>
        <w:t xml:space="preserve"> </w:t>
      </w:r>
      <w:r w:rsidRPr="002837BD">
        <w:rPr>
          <w:rFonts w:ascii="Arial" w:hAnsi="Arial" w:cs="Arial"/>
          <w:sz w:val="20"/>
          <w:szCs w:val="20"/>
          <w:lang w:val="en-GB"/>
        </w:rPr>
        <w:t>Patterns</w:t>
      </w:r>
      <w:r>
        <w:rPr>
          <w:rFonts w:ascii="Arial" w:hAnsi="Arial" w:cs="Arial"/>
          <w:sz w:val="20"/>
          <w:szCs w:val="20"/>
          <w:lang w:val="en-GB"/>
        </w:rPr>
        <w:t xml:space="preserve"> </w:t>
      </w:r>
      <w:r w:rsidRPr="002837BD">
        <w:rPr>
          <w:rFonts w:ascii="Arial" w:hAnsi="Arial" w:cs="Arial"/>
          <w:sz w:val="20"/>
          <w:szCs w:val="20"/>
          <w:lang w:val="en-GB"/>
        </w:rPr>
        <w:t>of COVID-19 Cases in Primary Care Units: A Descriptive</w:t>
      </w:r>
      <w:r>
        <w:rPr>
          <w:rFonts w:ascii="Arial" w:hAnsi="Arial" w:cs="Arial"/>
          <w:sz w:val="20"/>
          <w:szCs w:val="20"/>
          <w:lang w:val="en-GB"/>
        </w:rPr>
        <w:t xml:space="preserve"> </w:t>
      </w:r>
      <w:r w:rsidRPr="002837BD">
        <w:rPr>
          <w:rFonts w:ascii="Arial" w:hAnsi="Arial" w:cs="Arial"/>
          <w:sz w:val="20"/>
          <w:szCs w:val="20"/>
          <w:lang w:val="en-GB"/>
        </w:rPr>
        <w:t>Analytical</w:t>
      </w:r>
      <w:r>
        <w:rPr>
          <w:rFonts w:ascii="Arial" w:hAnsi="Arial" w:cs="Arial"/>
          <w:sz w:val="20"/>
          <w:szCs w:val="20"/>
          <w:lang w:val="en-GB"/>
        </w:rPr>
        <w:t xml:space="preserve"> </w:t>
      </w:r>
      <w:r w:rsidRPr="002837BD">
        <w:rPr>
          <w:rFonts w:ascii="Arial" w:hAnsi="Arial" w:cs="Arial"/>
          <w:sz w:val="20"/>
          <w:szCs w:val="20"/>
          <w:lang w:val="en-GB"/>
        </w:rPr>
        <w:t>Study.</w:t>
      </w:r>
      <w:r>
        <w:rPr>
          <w:rFonts w:ascii="Arial" w:hAnsi="Arial" w:cs="Arial"/>
          <w:sz w:val="20"/>
          <w:szCs w:val="20"/>
          <w:lang w:val="en-GB"/>
        </w:rPr>
        <w:t xml:space="preserve"> </w:t>
      </w:r>
      <w:r w:rsidRPr="002837BD">
        <w:rPr>
          <w:rFonts w:ascii="Arial" w:hAnsi="Arial" w:cs="Arial"/>
          <w:sz w:val="20"/>
          <w:szCs w:val="20"/>
          <w:lang w:val="en-GB"/>
        </w:rPr>
        <w:t xml:space="preserve">Current Journal of Applied Science and Technology 44 (2):23-37. </w:t>
      </w:r>
      <w:hyperlink r:id="rId17" w:history="1">
        <w:r w:rsidRPr="005E4D4E">
          <w:rPr>
            <w:rStyle w:val="Hipervnculo"/>
            <w:rFonts w:ascii="Arial" w:hAnsi="Arial" w:cs="Arial"/>
            <w:sz w:val="20"/>
            <w:szCs w:val="20"/>
            <w:lang w:val="en-GB"/>
          </w:rPr>
          <w:t>https://doi.org/10.9734/cjast/2025/v44i24481</w:t>
        </w:r>
      </w:hyperlink>
      <w:r>
        <w:rPr>
          <w:rFonts w:ascii="Arial" w:hAnsi="Arial" w:cs="Arial"/>
          <w:sz w:val="20"/>
          <w:szCs w:val="20"/>
          <w:lang w:val="en-GB"/>
        </w:rPr>
        <w:t xml:space="preserve"> </w:t>
      </w:r>
    </w:p>
    <w:p w14:paraId="302683E2" w14:textId="50FFE8ED" w:rsidR="00381DA5" w:rsidRDefault="00381DA5" w:rsidP="00381DA5">
      <w:pPr>
        <w:pStyle w:val="Prrafodelista"/>
        <w:numPr>
          <w:ilvl w:val="0"/>
          <w:numId w:val="31"/>
        </w:numPr>
        <w:spacing w:after="0" w:line="240" w:lineRule="auto"/>
        <w:jc w:val="both"/>
        <w:rPr>
          <w:rFonts w:ascii="Arial" w:hAnsi="Arial" w:cs="Arial"/>
          <w:sz w:val="20"/>
          <w:szCs w:val="20"/>
          <w:lang w:val="en-GB"/>
        </w:rPr>
      </w:pPr>
      <w:r w:rsidRPr="00381DA5">
        <w:rPr>
          <w:rFonts w:ascii="Arial" w:hAnsi="Arial" w:cs="Arial"/>
          <w:sz w:val="20"/>
          <w:szCs w:val="20"/>
          <w:lang w:val="en-GB"/>
        </w:rPr>
        <w:t>Clinical management of COVID-19: Living guideline. (2022). World Health Organization.</w:t>
      </w:r>
    </w:p>
    <w:p w14:paraId="06110133" w14:textId="682FC7E9" w:rsidR="00570BF0" w:rsidRDefault="00570BF0" w:rsidP="00381DA5">
      <w:pPr>
        <w:pStyle w:val="Prrafodelista"/>
        <w:numPr>
          <w:ilvl w:val="0"/>
          <w:numId w:val="31"/>
        </w:numPr>
        <w:spacing w:after="0" w:line="240" w:lineRule="auto"/>
        <w:jc w:val="both"/>
        <w:rPr>
          <w:rFonts w:ascii="Arial" w:hAnsi="Arial" w:cs="Arial"/>
          <w:sz w:val="20"/>
          <w:szCs w:val="20"/>
          <w:lang w:val="en-GB"/>
        </w:rPr>
      </w:pPr>
      <w:r w:rsidRPr="00570BF0">
        <w:rPr>
          <w:rFonts w:ascii="Arial" w:hAnsi="Arial" w:cs="Arial"/>
          <w:sz w:val="20"/>
          <w:szCs w:val="20"/>
          <w:lang w:val="en-GB"/>
        </w:rPr>
        <w:t>Escalera-Antezana,</w:t>
      </w:r>
      <w:r>
        <w:rPr>
          <w:rFonts w:ascii="Arial" w:hAnsi="Arial" w:cs="Arial"/>
          <w:sz w:val="20"/>
          <w:szCs w:val="20"/>
          <w:lang w:val="en-GB"/>
        </w:rPr>
        <w:t xml:space="preserve"> </w:t>
      </w:r>
      <w:r w:rsidRPr="00570BF0">
        <w:rPr>
          <w:rFonts w:ascii="Arial" w:hAnsi="Arial" w:cs="Arial"/>
          <w:sz w:val="20"/>
          <w:szCs w:val="20"/>
          <w:lang w:val="en-GB"/>
        </w:rPr>
        <w:t>J.</w:t>
      </w:r>
      <w:r>
        <w:rPr>
          <w:rFonts w:ascii="Arial" w:hAnsi="Arial" w:cs="Arial"/>
          <w:sz w:val="20"/>
          <w:szCs w:val="20"/>
          <w:lang w:val="en-GB"/>
        </w:rPr>
        <w:t xml:space="preserve"> </w:t>
      </w:r>
      <w:r w:rsidRPr="00570BF0">
        <w:rPr>
          <w:rFonts w:ascii="Arial" w:hAnsi="Arial" w:cs="Arial"/>
          <w:sz w:val="20"/>
          <w:szCs w:val="20"/>
          <w:lang w:val="en-GB"/>
        </w:rPr>
        <w:t>P.,</w:t>
      </w:r>
      <w:r>
        <w:rPr>
          <w:rFonts w:ascii="Arial" w:hAnsi="Arial" w:cs="Arial"/>
          <w:sz w:val="20"/>
          <w:szCs w:val="20"/>
          <w:lang w:val="en-GB"/>
        </w:rPr>
        <w:t xml:space="preserve"> </w:t>
      </w:r>
      <w:r w:rsidRPr="00570BF0">
        <w:rPr>
          <w:rFonts w:ascii="Arial" w:hAnsi="Arial" w:cs="Arial"/>
          <w:sz w:val="20"/>
          <w:szCs w:val="20"/>
          <w:lang w:val="en-GB"/>
        </w:rPr>
        <w:t>Lizon-Ferrufino,</w:t>
      </w:r>
      <w:r>
        <w:rPr>
          <w:rFonts w:ascii="Arial" w:hAnsi="Arial" w:cs="Arial"/>
          <w:sz w:val="20"/>
          <w:szCs w:val="20"/>
          <w:lang w:val="en-GB"/>
        </w:rPr>
        <w:t xml:space="preserve"> </w:t>
      </w:r>
      <w:r w:rsidRPr="00570BF0">
        <w:rPr>
          <w:rFonts w:ascii="Arial" w:hAnsi="Arial" w:cs="Arial"/>
          <w:sz w:val="20"/>
          <w:szCs w:val="20"/>
          <w:lang w:val="en-GB"/>
        </w:rPr>
        <w:t>N.</w:t>
      </w:r>
      <w:r>
        <w:rPr>
          <w:rFonts w:ascii="Arial" w:hAnsi="Arial" w:cs="Arial"/>
          <w:sz w:val="20"/>
          <w:szCs w:val="20"/>
          <w:lang w:val="en-GB"/>
        </w:rPr>
        <w:t xml:space="preserve"> </w:t>
      </w:r>
      <w:r w:rsidRPr="00570BF0">
        <w:rPr>
          <w:rFonts w:ascii="Arial" w:hAnsi="Arial" w:cs="Arial"/>
          <w:sz w:val="20"/>
          <w:szCs w:val="20"/>
          <w:lang w:val="en-GB"/>
        </w:rPr>
        <w:t>F., Maldonado-Alanoca,</w:t>
      </w:r>
      <w:r>
        <w:rPr>
          <w:rFonts w:ascii="Arial" w:hAnsi="Arial" w:cs="Arial"/>
          <w:sz w:val="20"/>
          <w:szCs w:val="20"/>
          <w:lang w:val="en-GB"/>
        </w:rPr>
        <w:t xml:space="preserve"> </w:t>
      </w:r>
      <w:r w:rsidRPr="00570BF0">
        <w:rPr>
          <w:rFonts w:ascii="Arial" w:hAnsi="Arial" w:cs="Arial"/>
          <w:sz w:val="20"/>
          <w:szCs w:val="20"/>
          <w:lang w:val="en-GB"/>
        </w:rPr>
        <w:t>A.,</w:t>
      </w:r>
      <w:r>
        <w:rPr>
          <w:rFonts w:ascii="Arial" w:hAnsi="Arial" w:cs="Arial"/>
          <w:sz w:val="20"/>
          <w:szCs w:val="20"/>
          <w:lang w:val="en-GB"/>
        </w:rPr>
        <w:t xml:space="preserve"> </w:t>
      </w:r>
      <w:r w:rsidRPr="00570BF0">
        <w:rPr>
          <w:rFonts w:ascii="Arial" w:hAnsi="Arial" w:cs="Arial"/>
          <w:sz w:val="20"/>
          <w:szCs w:val="20"/>
          <w:lang w:val="en-GB"/>
        </w:rPr>
        <w:t>Alarcon-De-la-Vega, G., Alvarado-Arnez, L. E., Balderrama-Saavedra, M. A., et al. (2020). Risk</w:t>
      </w:r>
      <w:r>
        <w:rPr>
          <w:rFonts w:ascii="Arial" w:hAnsi="Arial" w:cs="Arial"/>
          <w:sz w:val="20"/>
          <w:szCs w:val="20"/>
          <w:lang w:val="en-GB"/>
        </w:rPr>
        <w:t xml:space="preserve"> </w:t>
      </w:r>
      <w:r w:rsidRPr="00570BF0">
        <w:rPr>
          <w:rFonts w:ascii="Arial" w:hAnsi="Arial" w:cs="Arial"/>
          <w:sz w:val="20"/>
          <w:szCs w:val="20"/>
          <w:lang w:val="en-GB"/>
        </w:rPr>
        <w:t>factors</w:t>
      </w:r>
      <w:r>
        <w:rPr>
          <w:rFonts w:ascii="Arial" w:hAnsi="Arial" w:cs="Arial"/>
          <w:sz w:val="20"/>
          <w:szCs w:val="20"/>
          <w:lang w:val="en-GB"/>
        </w:rPr>
        <w:t xml:space="preserve"> </w:t>
      </w:r>
      <w:r w:rsidRPr="00570BF0">
        <w:rPr>
          <w:rFonts w:ascii="Arial" w:hAnsi="Arial" w:cs="Arial"/>
          <w:sz w:val="20"/>
          <w:szCs w:val="20"/>
          <w:lang w:val="en-GB"/>
        </w:rPr>
        <w:t>for</w:t>
      </w:r>
      <w:r>
        <w:rPr>
          <w:rFonts w:ascii="Arial" w:hAnsi="Arial" w:cs="Arial"/>
          <w:sz w:val="20"/>
          <w:szCs w:val="20"/>
          <w:lang w:val="en-GB"/>
        </w:rPr>
        <w:t xml:space="preserve"> </w:t>
      </w:r>
      <w:r w:rsidRPr="00570BF0">
        <w:rPr>
          <w:rFonts w:ascii="Arial" w:hAnsi="Arial" w:cs="Arial"/>
          <w:sz w:val="20"/>
          <w:szCs w:val="20"/>
          <w:lang w:val="en-GB"/>
        </w:rPr>
        <w:t>mortality</w:t>
      </w:r>
      <w:r>
        <w:rPr>
          <w:rFonts w:ascii="Arial" w:hAnsi="Arial" w:cs="Arial"/>
          <w:sz w:val="20"/>
          <w:szCs w:val="20"/>
          <w:lang w:val="en-GB"/>
        </w:rPr>
        <w:t xml:space="preserve"> </w:t>
      </w:r>
      <w:r w:rsidRPr="00570BF0">
        <w:rPr>
          <w:rFonts w:ascii="Arial" w:hAnsi="Arial" w:cs="Arial"/>
          <w:sz w:val="20"/>
          <w:szCs w:val="20"/>
          <w:lang w:val="en-GB"/>
        </w:rPr>
        <w:t>in</w:t>
      </w:r>
      <w:r>
        <w:rPr>
          <w:rFonts w:ascii="Arial" w:hAnsi="Arial" w:cs="Arial"/>
          <w:sz w:val="20"/>
          <w:szCs w:val="20"/>
          <w:lang w:val="en-GB"/>
        </w:rPr>
        <w:t xml:space="preserve"> </w:t>
      </w:r>
      <w:r w:rsidRPr="00570BF0">
        <w:rPr>
          <w:rFonts w:ascii="Arial" w:hAnsi="Arial" w:cs="Arial"/>
          <w:sz w:val="20"/>
          <w:szCs w:val="20"/>
          <w:lang w:val="en-GB"/>
        </w:rPr>
        <w:t>patients</w:t>
      </w:r>
      <w:r>
        <w:rPr>
          <w:rFonts w:ascii="Arial" w:hAnsi="Arial" w:cs="Arial"/>
          <w:sz w:val="20"/>
          <w:szCs w:val="20"/>
          <w:lang w:val="en-GB"/>
        </w:rPr>
        <w:t xml:space="preserve"> </w:t>
      </w:r>
      <w:r w:rsidRPr="00570BF0">
        <w:rPr>
          <w:rFonts w:ascii="Arial" w:hAnsi="Arial" w:cs="Arial"/>
          <w:sz w:val="20"/>
          <w:szCs w:val="20"/>
          <w:lang w:val="en-GB"/>
        </w:rPr>
        <w:t>with Coronavirus</w:t>
      </w:r>
      <w:r>
        <w:rPr>
          <w:rFonts w:ascii="Arial" w:hAnsi="Arial" w:cs="Arial"/>
          <w:sz w:val="20"/>
          <w:szCs w:val="20"/>
          <w:lang w:val="en-GB"/>
        </w:rPr>
        <w:t xml:space="preserve"> </w:t>
      </w:r>
      <w:r w:rsidRPr="00570BF0">
        <w:rPr>
          <w:rFonts w:ascii="Arial" w:hAnsi="Arial" w:cs="Arial"/>
          <w:sz w:val="20"/>
          <w:szCs w:val="20"/>
          <w:lang w:val="en-GB"/>
        </w:rPr>
        <w:t>Disease</w:t>
      </w:r>
      <w:r>
        <w:rPr>
          <w:rFonts w:ascii="Arial" w:hAnsi="Arial" w:cs="Arial"/>
          <w:sz w:val="20"/>
          <w:szCs w:val="20"/>
          <w:lang w:val="en-GB"/>
        </w:rPr>
        <w:t xml:space="preserve"> </w:t>
      </w:r>
      <w:r w:rsidRPr="00570BF0">
        <w:rPr>
          <w:rFonts w:ascii="Arial" w:hAnsi="Arial" w:cs="Arial"/>
          <w:sz w:val="20"/>
          <w:szCs w:val="20"/>
          <w:lang w:val="en-GB"/>
        </w:rPr>
        <w:t>2019</w:t>
      </w:r>
      <w:r>
        <w:rPr>
          <w:rFonts w:ascii="Arial" w:hAnsi="Arial" w:cs="Arial"/>
          <w:sz w:val="20"/>
          <w:szCs w:val="20"/>
          <w:lang w:val="en-GB"/>
        </w:rPr>
        <w:t xml:space="preserve"> </w:t>
      </w:r>
      <w:r w:rsidRPr="00570BF0">
        <w:rPr>
          <w:rFonts w:ascii="Arial" w:hAnsi="Arial" w:cs="Arial"/>
          <w:sz w:val="20"/>
          <w:szCs w:val="20"/>
          <w:lang w:val="en-GB"/>
        </w:rPr>
        <w:t>(COVID-19)</w:t>
      </w:r>
      <w:r>
        <w:rPr>
          <w:rFonts w:ascii="Arial" w:hAnsi="Arial" w:cs="Arial"/>
          <w:sz w:val="20"/>
          <w:szCs w:val="20"/>
          <w:lang w:val="en-GB"/>
        </w:rPr>
        <w:t xml:space="preserve"> </w:t>
      </w:r>
      <w:r w:rsidRPr="00570BF0">
        <w:rPr>
          <w:rFonts w:ascii="Arial" w:hAnsi="Arial" w:cs="Arial"/>
          <w:sz w:val="20"/>
          <w:szCs w:val="20"/>
          <w:lang w:val="en-GB"/>
        </w:rPr>
        <w:t>in Bolivia:</w:t>
      </w:r>
      <w:r>
        <w:rPr>
          <w:rFonts w:ascii="Arial" w:hAnsi="Arial" w:cs="Arial"/>
          <w:sz w:val="20"/>
          <w:szCs w:val="20"/>
          <w:lang w:val="en-GB"/>
        </w:rPr>
        <w:t xml:space="preserve"> </w:t>
      </w:r>
      <w:r w:rsidRPr="00570BF0">
        <w:rPr>
          <w:rFonts w:ascii="Arial" w:hAnsi="Arial" w:cs="Arial"/>
          <w:sz w:val="20"/>
          <w:szCs w:val="20"/>
          <w:lang w:val="en-GB"/>
        </w:rPr>
        <w:t>An</w:t>
      </w:r>
      <w:r>
        <w:rPr>
          <w:rFonts w:ascii="Arial" w:hAnsi="Arial" w:cs="Arial"/>
          <w:sz w:val="20"/>
          <w:szCs w:val="20"/>
          <w:lang w:val="en-GB"/>
        </w:rPr>
        <w:t xml:space="preserve"> </w:t>
      </w:r>
      <w:r w:rsidRPr="00570BF0">
        <w:rPr>
          <w:rFonts w:ascii="Arial" w:hAnsi="Arial" w:cs="Arial"/>
          <w:sz w:val="20"/>
          <w:szCs w:val="20"/>
          <w:lang w:val="en-GB"/>
        </w:rPr>
        <w:t>analysis</w:t>
      </w:r>
      <w:r>
        <w:rPr>
          <w:rFonts w:ascii="Arial" w:hAnsi="Arial" w:cs="Arial"/>
          <w:sz w:val="20"/>
          <w:szCs w:val="20"/>
          <w:lang w:val="en-GB"/>
        </w:rPr>
        <w:t xml:space="preserve"> </w:t>
      </w:r>
      <w:r w:rsidRPr="00570BF0">
        <w:rPr>
          <w:rFonts w:ascii="Arial" w:hAnsi="Arial" w:cs="Arial"/>
          <w:sz w:val="20"/>
          <w:szCs w:val="20"/>
          <w:lang w:val="en-GB"/>
        </w:rPr>
        <w:t>of</w:t>
      </w:r>
      <w:r>
        <w:rPr>
          <w:rFonts w:ascii="Arial" w:hAnsi="Arial" w:cs="Arial"/>
          <w:sz w:val="20"/>
          <w:szCs w:val="20"/>
          <w:lang w:val="en-GB"/>
        </w:rPr>
        <w:t xml:space="preserve"> </w:t>
      </w:r>
      <w:r w:rsidRPr="00570BF0">
        <w:rPr>
          <w:rFonts w:ascii="Arial" w:hAnsi="Arial" w:cs="Arial"/>
          <w:sz w:val="20"/>
          <w:szCs w:val="20"/>
          <w:lang w:val="en-GB"/>
        </w:rPr>
        <w:t>the</w:t>
      </w:r>
      <w:r>
        <w:rPr>
          <w:rFonts w:ascii="Arial" w:hAnsi="Arial" w:cs="Arial"/>
          <w:sz w:val="20"/>
          <w:szCs w:val="20"/>
          <w:lang w:val="en-GB"/>
        </w:rPr>
        <w:t xml:space="preserve"> </w:t>
      </w:r>
      <w:r w:rsidRPr="00570BF0">
        <w:rPr>
          <w:rFonts w:ascii="Arial" w:hAnsi="Arial" w:cs="Arial"/>
          <w:sz w:val="20"/>
          <w:szCs w:val="20"/>
          <w:lang w:val="en-GB"/>
        </w:rPr>
        <w:t>first</w:t>
      </w:r>
      <w:r>
        <w:rPr>
          <w:rFonts w:ascii="Arial" w:hAnsi="Arial" w:cs="Arial"/>
          <w:sz w:val="20"/>
          <w:szCs w:val="20"/>
          <w:lang w:val="en-GB"/>
        </w:rPr>
        <w:t xml:space="preserve"> </w:t>
      </w:r>
      <w:r w:rsidRPr="00570BF0">
        <w:rPr>
          <w:rFonts w:ascii="Arial" w:hAnsi="Arial" w:cs="Arial"/>
          <w:sz w:val="20"/>
          <w:szCs w:val="20"/>
          <w:lang w:val="en-GB"/>
        </w:rPr>
        <w:t>107 confirmed</w:t>
      </w:r>
      <w:r>
        <w:rPr>
          <w:rFonts w:ascii="Arial" w:hAnsi="Arial" w:cs="Arial"/>
          <w:sz w:val="20"/>
          <w:szCs w:val="20"/>
          <w:lang w:val="en-GB"/>
        </w:rPr>
        <w:t xml:space="preserve"> </w:t>
      </w:r>
      <w:r w:rsidRPr="00570BF0">
        <w:rPr>
          <w:rFonts w:ascii="Arial" w:hAnsi="Arial" w:cs="Arial"/>
          <w:sz w:val="20"/>
          <w:szCs w:val="20"/>
          <w:lang w:val="en-GB"/>
        </w:rPr>
        <w:t>cases.</w:t>
      </w:r>
      <w:r>
        <w:rPr>
          <w:rFonts w:ascii="Arial" w:hAnsi="Arial" w:cs="Arial"/>
          <w:sz w:val="20"/>
          <w:szCs w:val="20"/>
          <w:lang w:val="en-GB"/>
        </w:rPr>
        <w:t xml:space="preserve"> </w:t>
      </w:r>
      <w:r w:rsidRPr="00570BF0">
        <w:rPr>
          <w:rFonts w:ascii="Arial" w:hAnsi="Arial" w:cs="Arial"/>
          <w:sz w:val="20"/>
          <w:szCs w:val="20"/>
          <w:lang w:val="en-GB"/>
        </w:rPr>
        <w:t>Le</w:t>
      </w:r>
      <w:r>
        <w:rPr>
          <w:rFonts w:ascii="Arial" w:hAnsi="Arial" w:cs="Arial"/>
          <w:sz w:val="20"/>
          <w:szCs w:val="20"/>
          <w:lang w:val="en-GB"/>
        </w:rPr>
        <w:t xml:space="preserve"> </w:t>
      </w:r>
      <w:r w:rsidRPr="00570BF0">
        <w:rPr>
          <w:rFonts w:ascii="Arial" w:hAnsi="Arial" w:cs="Arial"/>
          <w:sz w:val="20"/>
          <w:szCs w:val="20"/>
          <w:lang w:val="en-GB"/>
        </w:rPr>
        <w:t>infezioni</w:t>
      </w:r>
      <w:r>
        <w:rPr>
          <w:rFonts w:ascii="Arial" w:hAnsi="Arial" w:cs="Arial"/>
          <w:sz w:val="20"/>
          <w:szCs w:val="20"/>
          <w:lang w:val="en-GB"/>
        </w:rPr>
        <w:t xml:space="preserve"> </w:t>
      </w:r>
      <w:r w:rsidRPr="00570BF0">
        <w:rPr>
          <w:rFonts w:ascii="Arial" w:hAnsi="Arial" w:cs="Arial"/>
          <w:sz w:val="20"/>
          <w:szCs w:val="20"/>
          <w:lang w:val="en-GB"/>
        </w:rPr>
        <w:t>in</w:t>
      </w:r>
      <w:r>
        <w:rPr>
          <w:rFonts w:ascii="Arial" w:hAnsi="Arial" w:cs="Arial"/>
          <w:sz w:val="20"/>
          <w:szCs w:val="20"/>
          <w:lang w:val="en-GB"/>
        </w:rPr>
        <w:t xml:space="preserve"> </w:t>
      </w:r>
      <w:r w:rsidRPr="00570BF0">
        <w:rPr>
          <w:rFonts w:ascii="Arial" w:hAnsi="Arial" w:cs="Arial"/>
          <w:sz w:val="20"/>
          <w:szCs w:val="20"/>
          <w:lang w:val="en-GB"/>
        </w:rPr>
        <w:t>medicina, 28(2), 238–242.</w:t>
      </w:r>
    </w:p>
    <w:p w14:paraId="72FE56CA" w14:textId="3ECCEEA5" w:rsidR="00B46B8E" w:rsidRPr="00B46B8E" w:rsidRDefault="00B46B8E" w:rsidP="00381DA5">
      <w:pPr>
        <w:pStyle w:val="Prrafodelista"/>
        <w:numPr>
          <w:ilvl w:val="0"/>
          <w:numId w:val="31"/>
        </w:numPr>
        <w:spacing w:after="0" w:line="240" w:lineRule="auto"/>
        <w:jc w:val="both"/>
        <w:rPr>
          <w:rFonts w:ascii="Arial" w:hAnsi="Arial" w:cs="Arial"/>
          <w:sz w:val="20"/>
          <w:szCs w:val="20"/>
        </w:rPr>
      </w:pPr>
      <w:r w:rsidRPr="00B46B8E">
        <w:rPr>
          <w:rFonts w:ascii="Arial" w:hAnsi="Arial" w:cs="Arial"/>
          <w:sz w:val="20"/>
          <w:szCs w:val="20"/>
        </w:rPr>
        <w:t xml:space="preserve">Fernández-García, J. M., Romero-Secin, A., &amp; Rubín-García, M. (2025). Asociación entre obesidad y Long-Covid: una revisión narrativa [Association between obesity and Long-Covid: A narrative review]. Semergen, 51(3), 102390. </w:t>
      </w:r>
      <w:hyperlink r:id="rId18" w:history="1">
        <w:r w:rsidRPr="00B46B8E">
          <w:rPr>
            <w:rStyle w:val="Hipervnculo"/>
            <w:rFonts w:ascii="Arial" w:hAnsi="Arial" w:cs="Arial"/>
            <w:sz w:val="20"/>
            <w:szCs w:val="20"/>
          </w:rPr>
          <w:t>https://doi.org/10.1016/j.semerg.2024.102390</w:t>
        </w:r>
      </w:hyperlink>
      <w:r w:rsidRPr="00B46B8E">
        <w:rPr>
          <w:rFonts w:ascii="Arial" w:hAnsi="Arial" w:cs="Arial"/>
          <w:sz w:val="20"/>
          <w:szCs w:val="20"/>
        </w:rPr>
        <w:t xml:space="preserve"> </w:t>
      </w:r>
    </w:p>
    <w:p w14:paraId="16E55FF4" w14:textId="559A1417" w:rsidR="00AA40B3" w:rsidRDefault="00AA40B3" w:rsidP="00381DA5">
      <w:pPr>
        <w:pStyle w:val="Prrafodelista"/>
        <w:numPr>
          <w:ilvl w:val="0"/>
          <w:numId w:val="31"/>
        </w:numPr>
        <w:spacing w:after="0" w:line="240" w:lineRule="auto"/>
        <w:jc w:val="both"/>
        <w:rPr>
          <w:rFonts w:ascii="Arial" w:hAnsi="Arial" w:cs="Arial"/>
          <w:sz w:val="20"/>
          <w:szCs w:val="20"/>
          <w:lang w:val="en-GB"/>
        </w:rPr>
      </w:pPr>
      <w:r w:rsidRPr="008A47A8">
        <w:rPr>
          <w:rFonts w:ascii="Arial" w:hAnsi="Arial" w:cs="Arial"/>
          <w:sz w:val="20"/>
          <w:szCs w:val="20"/>
        </w:rPr>
        <w:t xml:space="preserve">Galal, I., R Mohamed Hussein, A. A., Amin, M. T., Saad, M. M., E Zayan, H. E., Abdelsayed, M. Z., et al. </w:t>
      </w:r>
      <w:r w:rsidRPr="00AA40B3">
        <w:rPr>
          <w:rFonts w:ascii="Arial" w:hAnsi="Arial" w:cs="Arial"/>
          <w:sz w:val="20"/>
          <w:szCs w:val="20"/>
          <w:lang w:val="en-GB"/>
        </w:rPr>
        <w:t xml:space="preserve">(2021). Determinants of persistent post-COVID-19 symptoms: Value of a novel COVID-19 symptom score. The Egyptian Journal of Bronchology, 15(1), 10. </w:t>
      </w:r>
      <w:hyperlink r:id="rId19" w:history="1">
        <w:r w:rsidRPr="005E4D4E">
          <w:rPr>
            <w:rStyle w:val="Hipervnculo"/>
            <w:rFonts w:ascii="Arial" w:hAnsi="Arial" w:cs="Arial"/>
            <w:sz w:val="20"/>
            <w:szCs w:val="20"/>
            <w:lang w:val="en-GB"/>
          </w:rPr>
          <w:t>https://doi.org/10.1186/s43168-020-00049-4</w:t>
        </w:r>
      </w:hyperlink>
      <w:r>
        <w:rPr>
          <w:rFonts w:ascii="Arial" w:hAnsi="Arial" w:cs="Arial"/>
          <w:sz w:val="20"/>
          <w:szCs w:val="20"/>
          <w:lang w:val="en-GB"/>
        </w:rPr>
        <w:t xml:space="preserve"> </w:t>
      </w:r>
    </w:p>
    <w:p w14:paraId="7569EC60" w14:textId="77236B0A" w:rsidR="0005717F" w:rsidRDefault="0005717F" w:rsidP="00D36F74">
      <w:pPr>
        <w:pStyle w:val="Prrafodelista"/>
        <w:numPr>
          <w:ilvl w:val="0"/>
          <w:numId w:val="31"/>
        </w:numPr>
        <w:spacing w:after="0" w:line="240" w:lineRule="auto"/>
        <w:jc w:val="both"/>
        <w:rPr>
          <w:rFonts w:ascii="Arial" w:hAnsi="Arial" w:cs="Arial"/>
          <w:sz w:val="20"/>
          <w:szCs w:val="20"/>
          <w:lang w:val="en-GB"/>
        </w:rPr>
      </w:pPr>
      <w:r w:rsidRPr="0005717F">
        <w:rPr>
          <w:rFonts w:ascii="Arial" w:hAnsi="Arial" w:cs="Arial"/>
          <w:sz w:val="20"/>
          <w:szCs w:val="20"/>
        </w:rPr>
        <w:t xml:space="preserve">Galván-Tejada CE, Herrera-García CF, Godina-González S, Villagrana-Bañuelos KE, Amaro JDL, Herrera-García K, et al. </w:t>
      </w:r>
      <w:r w:rsidRPr="0005717F">
        <w:rPr>
          <w:rFonts w:ascii="Arial" w:hAnsi="Arial" w:cs="Arial"/>
          <w:sz w:val="20"/>
          <w:szCs w:val="20"/>
          <w:lang w:val="en-GB"/>
        </w:rPr>
        <w:t xml:space="preserve">(2020) </w:t>
      </w:r>
      <w:r w:rsidRPr="0005717F">
        <w:rPr>
          <w:rFonts w:ascii="Arial" w:hAnsi="Arial" w:cs="Arial"/>
          <w:sz w:val="20"/>
          <w:szCs w:val="20"/>
          <w:lang w:val="en-US"/>
        </w:rPr>
        <w:t xml:space="preserve">Persistence of COVID-19 </w:t>
      </w:r>
      <w:r w:rsidRPr="0005717F">
        <w:rPr>
          <w:rFonts w:ascii="Arial" w:hAnsi="Arial" w:cs="Arial"/>
          <w:sz w:val="20"/>
          <w:szCs w:val="20"/>
          <w:lang w:val="en-GB"/>
        </w:rPr>
        <w:t xml:space="preserve">symptoms after recovery in Mexican population. </w:t>
      </w:r>
      <w:r w:rsidRPr="0005717F">
        <w:rPr>
          <w:rFonts w:ascii="Arial" w:hAnsi="Arial" w:cs="Arial"/>
          <w:sz w:val="20"/>
          <w:szCs w:val="20"/>
          <w:lang w:val="en-US"/>
        </w:rPr>
        <w:t xml:space="preserve">Int J Environ Res Public </w:t>
      </w:r>
      <w:r w:rsidRPr="0005717F">
        <w:rPr>
          <w:rFonts w:ascii="Arial" w:hAnsi="Arial" w:cs="Arial"/>
          <w:sz w:val="20"/>
          <w:szCs w:val="20"/>
          <w:lang w:val="en-GB"/>
        </w:rPr>
        <w:t xml:space="preserve">Health, 17:9367. doi: 10.3390/ijerph17249367 </w:t>
      </w:r>
    </w:p>
    <w:p w14:paraId="6BED0BD8" w14:textId="0005A046" w:rsidR="00D467A6" w:rsidRDefault="00D467A6" w:rsidP="00D36F74">
      <w:pPr>
        <w:pStyle w:val="Prrafodelista"/>
        <w:numPr>
          <w:ilvl w:val="0"/>
          <w:numId w:val="31"/>
        </w:numPr>
        <w:spacing w:after="0" w:line="240" w:lineRule="auto"/>
        <w:jc w:val="both"/>
        <w:rPr>
          <w:rFonts w:ascii="Arial" w:hAnsi="Arial" w:cs="Arial"/>
          <w:sz w:val="20"/>
          <w:szCs w:val="20"/>
          <w:lang w:val="en-GB"/>
        </w:rPr>
      </w:pPr>
      <w:r w:rsidRPr="00D467A6">
        <w:rPr>
          <w:rFonts w:ascii="Arial" w:hAnsi="Arial" w:cs="Arial"/>
          <w:sz w:val="20"/>
          <w:szCs w:val="20"/>
          <w:lang w:val="it-IT"/>
        </w:rPr>
        <w:t xml:space="preserve">Gennaro, F. D., Veronese, N., Segala, F. V., Frallonardo, L., Guido, G., Cormio, M., </w:t>
      </w:r>
      <w:r>
        <w:rPr>
          <w:rFonts w:ascii="Arial" w:hAnsi="Arial" w:cs="Arial"/>
          <w:sz w:val="20"/>
          <w:szCs w:val="20"/>
          <w:lang w:val="it-IT"/>
        </w:rPr>
        <w:t xml:space="preserve">et al. </w:t>
      </w:r>
      <w:r w:rsidRPr="00D467A6">
        <w:rPr>
          <w:rFonts w:ascii="Arial" w:hAnsi="Arial" w:cs="Arial"/>
          <w:sz w:val="20"/>
          <w:szCs w:val="20"/>
          <w:lang w:val="en-GB"/>
        </w:rPr>
        <w:t xml:space="preserve">(2024). Protective role of vaccination on the development of long COVID: data from a large, multicenter, prospective cohort study. BMC infectious diseases, 24(1), 1313. </w:t>
      </w:r>
      <w:hyperlink r:id="rId20" w:history="1">
        <w:r w:rsidRPr="005E4D4E">
          <w:rPr>
            <w:rStyle w:val="Hipervnculo"/>
            <w:rFonts w:ascii="Arial" w:hAnsi="Arial" w:cs="Arial"/>
            <w:sz w:val="20"/>
            <w:szCs w:val="20"/>
            <w:lang w:val="en-GB"/>
          </w:rPr>
          <w:t>https://doi.org/10.1186/s12879-024-10226-1</w:t>
        </w:r>
      </w:hyperlink>
      <w:r>
        <w:rPr>
          <w:rFonts w:ascii="Arial" w:hAnsi="Arial" w:cs="Arial"/>
          <w:sz w:val="20"/>
          <w:szCs w:val="20"/>
          <w:lang w:val="en-GB"/>
        </w:rPr>
        <w:t xml:space="preserve"> </w:t>
      </w:r>
    </w:p>
    <w:p w14:paraId="0DEE9266" w14:textId="3B955BBC" w:rsidR="00DA2107" w:rsidRDefault="00DA2107" w:rsidP="00D36F74">
      <w:pPr>
        <w:pStyle w:val="Prrafodelista"/>
        <w:numPr>
          <w:ilvl w:val="0"/>
          <w:numId w:val="31"/>
        </w:numPr>
        <w:spacing w:after="0" w:line="240" w:lineRule="auto"/>
        <w:jc w:val="both"/>
        <w:rPr>
          <w:rFonts w:ascii="Arial" w:hAnsi="Arial" w:cs="Arial"/>
          <w:sz w:val="20"/>
          <w:szCs w:val="20"/>
          <w:lang w:val="en-GB"/>
        </w:rPr>
      </w:pPr>
      <w:r w:rsidRPr="00DA2107">
        <w:rPr>
          <w:rFonts w:ascii="Arial" w:hAnsi="Arial" w:cs="Arial"/>
          <w:sz w:val="20"/>
          <w:szCs w:val="20"/>
          <w:lang w:val="en-GB"/>
        </w:rPr>
        <w:t xml:space="preserve">Iqbal, A., Iqbal, K., Arshad Ali, S., Azim, D., Farid, E., Baig, M. D., </w:t>
      </w:r>
      <w:r>
        <w:rPr>
          <w:rFonts w:ascii="Arial" w:hAnsi="Arial" w:cs="Arial"/>
          <w:sz w:val="20"/>
          <w:szCs w:val="20"/>
          <w:lang w:val="en-GB"/>
        </w:rPr>
        <w:t>et al</w:t>
      </w:r>
      <w:r w:rsidRPr="00DA2107">
        <w:rPr>
          <w:rFonts w:ascii="Arial" w:hAnsi="Arial" w:cs="Arial"/>
          <w:sz w:val="20"/>
          <w:szCs w:val="20"/>
          <w:lang w:val="en-GB"/>
        </w:rPr>
        <w:t xml:space="preserve">. (2021). The COVID-19 Sequelae: A Cross-Sectional Evaluation of Post-recovery Symptoms and the Need for Rehabilitation of COVID-19 Survivors. Cureus, 13(2), e13080. </w:t>
      </w:r>
      <w:hyperlink r:id="rId21" w:history="1">
        <w:r w:rsidRPr="005E4D4E">
          <w:rPr>
            <w:rStyle w:val="Hipervnculo"/>
            <w:rFonts w:ascii="Arial" w:hAnsi="Arial" w:cs="Arial"/>
            <w:sz w:val="20"/>
            <w:szCs w:val="20"/>
            <w:lang w:val="en-GB"/>
          </w:rPr>
          <w:t>https://doi.org/10.7759/cureus.13080</w:t>
        </w:r>
      </w:hyperlink>
      <w:r>
        <w:rPr>
          <w:rFonts w:ascii="Arial" w:hAnsi="Arial" w:cs="Arial"/>
          <w:sz w:val="20"/>
          <w:szCs w:val="20"/>
          <w:lang w:val="en-GB"/>
        </w:rPr>
        <w:t xml:space="preserve"> </w:t>
      </w:r>
    </w:p>
    <w:p w14:paraId="46EE7335" w14:textId="6EAD30D7" w:rsidR="00DA2107" w:rsidRPr="0005717F" w:rsidRDefault="00DA2107" w:rsidP="00D36F74">
      <w:pPr>
        <w:pStyle w:val="Prrafodelista"/>
        <w:numPr>
          <w:ilvl w:val="0"/>
          <w:numId w:val="31"/>
        </w:numPr>
        <w:spacing w:after="0" w:line="240" w:lineRule="auto"/>
        <w:jc w:val="both"/>
        <w:rPr>
          <w:rFonts w:ascii="Arial" w:hAnsi="Arial" w:cs="Arial"/>
          <w:sz w:val="20"/>
          <w:szCs w:val="20"/>
          <w:lang w:val="en-GB"/>
        </w:rPr>
      </w:pPr>
      <w:r w:rsidRPr="00DA2107">
        <w:rPr>
          <w:rFonts w:ascii="Arial" w:hAnsi="Arial" w:cs="Arial"/>
          <w:sz w:val="20"/>
          <w:szCs w:val="20"/>
          <w:lang w:val="en-GB"/>
        </w:rPr>
        <w:t xml:space="preserve">Liang, L., Yang, B., Jiang, N., Fu, W., He, X., Zhou, Y., </w:t>
      </w:r>
      <w:r>
        <w:rPr>
          <w:rFonts w:ascii="Arial" w:hAnsi="Arial" w:cs="Arial"/>
          <w:sz w:val="20"/>
          <w:szCs w:val="20"/>
          <w:lang w:val="en-GB"/>
        </w:rPr>
        <w:t>et al</w:t>
      </w:r>
      <w:r w:rsidRPr="00DA2107">
        <w:rPr>
          <w:rFonts w:ascii="Arial" w:hAnsi="Arial" w:cs="Arial"/>
          <w:sz w:val="20"/>
          <w:szCs w:val="20"/>
          <w:lang w:val="en-GB"/>
        </w:rPr>
        <w:t xml:space="preserve">. (2020). Three-month Follow-up Study of Survivors of Coronavirus Disease 2019 after Discharge. Journal of Korean medical science, 35(47), e418. </w:t>
      </w:r>
      <w:hyperlink r:id="rId22" w:history="1">
        <w:r w:rsidRPr="005E4D4E">
          <w:rPr>
            <w:rStyle w:val="Hipervnculo"/>
            <w:rFonts w:ascii="Arial" w:hAnsi="Arial" w:cs="Arial"/>
            <w:sz w:val="20"/>
            <w:szCs w:val="20"/>
            <w:lang w:val="en-GB"/>
          </w:rPr>
          <w:t>https://doi.org/10.3346/jkms.2020.35.e418</w:t>
        </w:r>
      </w:hyperlink>
      <w:r>
        <w:rPr>
          <w:rFonts w:ascii="Arial" w:hAnsi="Arial" w:cs="Arial"/>
          <w:sz w:val="20"/>
          <w:szCs w:val="20"/>
          <w:lang w:val="en-GB"/>
        </w:rPr>
        <w:t xml:space="preserve"> </w:t>
      </w:r>
    </w:p>
    <w:p w14:paraId="1FC3FFDB" w14:textId="0DB45A76" w:rsidR="004034EB" w:rsidRDefault="004034EB" w:rsidP="004034EB">
      <w:pPr>
        <w:pStyle w:val="Prrafodelista"/>
        <w:numPr>
          <w:ilvl w:val="0"/>
          <w:numId w:val="31"/>
        </w:numPr>
        <w:jc w:val="both"/>
        <w:rPr>
          <w:rFonts w:ascii="Arial" w:hAnsi="Arial" w:cs="Arial"/>
          <w:sz w:val="20"/>
          <w:szCs w:val="20"/>
          <w:lang w:val="en-GB"/>
        </w:rPr>
      </w:pPr>
      <w:r w:rsidRPr="004034EB">
        <w:rPr>
          <w:rFonts w:ascii="Arial" w:hAnsi="Arial" w:cs="Arial"/>
          <w:sz w:val="20"/>
          <w:szCs w:val="20"/>
          <w:lang w:val="en-GB"/>
        </w:rPr>
        <w:t>López-Hernández</w:t>
      </w:r>
      <w:r w:rsidR="002837BD">
        <w:rPr>
          <w:rFonts w:ascii="Arial" w:hAnsi="Arial" w:cs="Arial"/>
          <w:sz w:val="20"/>
          <w:szCs w:val="20"/>
          <w:lang w:val="en-GB"/>
        </w:rPr>
        <w:t>,</w:t>
      </w:r>
      <w:r w:rsidRPr="004034EB">
        <w:rPr>
          <w:rFonts w:ascii="Arial" w:hAnsi="Arial" w:cs="Arial"/>
          <w:sz w:val="20"/>
          <w:szCs w:val="20"/>
          <w:lang w:val="en-GB"/>
        </w:rPr>
        <w:t xml:space="preserve"> D. (2022). Clinical Presentation and Factors Associated to COVID-19 Disease in Mexican Patients. Curr. J. Appl. Sci. Technol. 41(1):40-58.</w:t>
      </w:r>
    </w:p>
    <w:p w14:paraId="529A3DFF" w14:textId="22948A2C" w:rsidR="002837BD" w:rsidRDefault="002837BD" w:rsidP="004034EB">
      <w:pPr>
        <w:pStyle w:val="Prrafodelista"/>
        <w:numPr>
          <w:ilvl w:val="0"/>
          <w:numId w:val="31"/>
        </w:numPr>
        <w:jc w:val="both"/>
        <w:rPr>
          <w:rFonts w:ascii="Arial" w:hAnsi="Arial" w:cs="Arial"/>
          <w:sz w:val="20"/>
          <w:szCs w:val="20"/>
          <w:lang w:val="en-GB"/>
        </w:rPr>
      </w:pPr>
      <w:r w:rsidRPr="002837BD">
        <w:rPr>
          <w:rFonts w:ascii="Arial" w:hAnsi="Arial" w:cs="Arial"/>
          <w:sz w:val="20"/>
          <w:szCs w:val="20"/>
        </w:rPr>
        <w:t>Lopez-Hernandez,</w:t>
      </w:r>
      <w:r>
        <w:rPr>
          <w:rFonts w:ascii="Arial" w:hAnsi="Arial" w:cs="Arial"/>
          <w:sz w:val="20"/>
          <w:szCs w:val="20"/>
        </w:rPr>
        <w:t xml:space="preserve"> </w:t>
      </w:r>
      <w:r w:rsidRPr="002837BD">
        <w:rPr>
          <w:rFonts w:ascii="Arial" w:hAnsi="Arial" w:cs="Arial"/>
          <w:sz w:val="20"/>
          <w:szCs w:val="20"/>
        </w:rPr>
        <w:t>D.,</w:t>
      </w:r>
      <w:r>
        <w:rPr>
          <w:rFonts w:ascii="Arial" w:hAnsi="Arial" w:cs="Arial"/>
          <w:sz w:val="20"/>
          <w:szCs w:val="20"/>
        </w:rPr>
        <w:t xml:space="preserve"> </w:t>
      </w:r>
      <w:r w:rsidRPr="002837BD">
        <w:rPr>
          <w:rFonts w:ascii="Arial" w:hAnsi="Arial" w:cs="Arial"/>
          <w:sz w:val="20"/>
          <w:szCs w:val="20"/>
        </w:rPr>
        <w:t>Melgarejo-Estefan,</w:t>
      </w:r>
      <w:r>
        <w:rPr>
          <w:rFonts w:ascii="Arial" w:hAnsi="Arial" w:cs="Arial"/>
          <w:sz w:val="20"/>
          <w:szCs w:val="20"/>
        </w:rPr>
        <w:t xml:space="preserve"> </w:t>
      </w:r>
      <w:r w:rsidRPr="002837BD">
        <w:rPr>
          <w:rFonts w:ascii="Arial" w:hAnsi="Arial" w:cs="Arial"/>
          <w:sz w:val="20"/>
          <w:szCs w:val="20"/>
        </w:rPr>
        <w:t>E., Brito-Aranda,</w:t>
      </w:r>
      <w:r>
        <w:rPr>
          <w:rFonts w:ascii="Arial" w:hAnsi="Arial" w:cs="Arial"/>
          <w:sz w:val="20"/>
          <w:szCs w:val="20"/>
        </w:rPr>
        <w:t xml:space="preserve"> </w:t>
      </w:r>
      <w:r w:rsidRPr="002837BD">
        <w:rPr>
          <w:rFonts w:ascii="Arial" w:hAnsi="Arial" w:cs="Arial"/>
          <w:sz w:val="20"/>
          <w:szCs w:val="20"/>
        </w:rPr>
        <w:t>L.,</w:t>
      </w:r>
      <w:r>
        <w:rPr>
          <w:rFonts w:ascii="Arial" w:hAnsi="Arial" w:cs="Arial"/>
          <w:sz w:val="20"/>
          <w:szCs w:val="20"/>
        </w:rPr>
        <w:t xml:space="preserve"> </w:t>
      </w:r>
      <w:r w:rsidRPr="002837BD">
        <w:rPr>
          <w:rFonts w:ascii="Arial" w:hAnsi="Arial" w:cs="Arial"/>
          <w:sz w:val="20"/>
          <w:szCs w:val="20"/>
        </w:rPr>
        <w:t>Torres-García,</w:t>
      </w:r>
      <w:r>
        <w:rPr>
          <w:rFonts w:ascii="Arial" w:hAnsi="Arial" w:cs="Arial"/>
          <w:sz w:val="20"/>
          <w:szCs w:val="20"/>
        </w:rPr>
        <w:t xml:space="preserve"> </w:t>
      </w:r>
      <w:r w:rsidRPr="002837BD">
        <w:rPr>
          <w:rFonts w:ascii="Arial" w:hAnsi="Arial" w:cs="Arial"/>
          <w:sz w:val="20"/>
          <w:szCs w:val="20"/>
        </w:rPr>
        <w:t>E.E., Vazquez-Sanchez, A., Jimenez-Hernandez,</w:t>
      </w:r>
      <w:r>
        <w:rPr>
          <w:rFonts w:ascii="Arial" w:hAnsi="Arial" w:cs="Arial"/>
          <w:sz w:val="20"/>
          <w:szCs w:val="20"/>
        </w:rPr>
        <w:t xml:space="preserve"> </w:t>
      </w:r>
      <w:r w:rsidRPr="002837BD">
        <w:rPr>
          <w:rFonts w:ascii="Arial" w:hAnsi="Arial" w:cs="Arial"/>
          <w:sz w:val="20"/>
          <w:szCs w:val="20"/>
        </w:rPr>
        <w:t>R.L.,</w:t>
      </w:r>
      <w:r>
        <w:rPr>
          <w:rFonts w:ascii="Arial" w:hAnsi="Arial" w:cs="Arial"/>
          <w:sz w:val="20"/>
          <w:szCs w:val="20"/>
        </w:rPr>
        <w:t xml:space="preserve"> </w:t>
      </w:r>
      <w:r w:rsidRPr="002837BD">
        <w:rPr>
          <w:rFonts w:ascii="Arial" w:hAnsi="Arial" w:cs="Arial"/>
          <w:sz w:val="20"/>
          <w:szCs w:val="20"/>
        </w:rPr>
        <w:t>et</w:t>
      </w:r>
      <w:r>
        <w:rPr>
          <w:rFonts w:ascii="Arial" w:hAnsi="Arial" w:cs="Arial"/>
          <w:sz w:val="20"/>
          <w:szCs w:val="20"/>
        </w:rPr>
        <w:t xml:space="preserve"> </w:t>
      </w:r>
      <w:r w:rsidRPr="002837BD">
        <w:rPr>
          <w:rFonts w:ascii="Arial" w:hAnsi="Arial" w:cs="Arial"/>
          <w:sz w:val="20"/>
          <w:szCs w:val="20"/>
        </w:rPr>
        <w:t xml:space="preserve">al. </w:t>
      </w:r>
      <w:r w:rsidRPr="002837BD">
        <w:rPr>
          <w:rFonts w:ascii="Arial" w:hAnsi="Arial" w:cs="Arial"/>
          <w:sz w:val="20"/>
          <w:szCs w:val="20"/>
          <w:lang w:val="en-GB"/>
        </w:rPr>
        <w:t>(2024).</w:t>
      </w:r>
      <w:r>
        <w:rPr>
          <w:rFonts w:ascii="Arial" w:hAnsi="Arial" w:cs="Arial"/>
          <w:sz w:val="20"/>
          <w:szCs w:val="20"/>
          <w:lang w:val="en-GB"/>
        </w:rPr>
        <w:t xml:space="preserve"> </w:t>
      </w:r>
      <w:r w:rsidRPr="002837BD">
        <w:rPr>
          <w:rFonts w:ascii="Arial" w:hAnsi="Arial" w:cs="Arial"/>
          <w:sz w:val="20"/>
          <w:szCs w:val="20"/>
          <w:lang w:val="en-GB"/>
        </w:rPr>
        <w:t>Seasonal Trends and Epidemiological Characteristics of COVID-19 in Mexico City Primary</w:t>
      </w:r>
      <w:r>
        <w:rPr>
          <w:rFonts w:ascii="Arial" w:hAnsi="Arial" w:cs="Arial"/>
          <w:sz w:val="20"/>
          <w:szCs w:val="20"/>
          <w:lang w:val="en-GB"/>
        </w:rPr>
        <w:t xml:space="preserve"> </w:t>
      </w:r>
      <w:r w:rsidRPr="002837BD">
        <w:rPr>
          <w:rFonts w:ascii="Arial" w:hAnsi="Arial" w:cs="Arial"/>
          <w:sz w:val="20"/>
          <w:szCs w:val="20"/>
          <w:lang w:val="en-GB"/>
        </w:rPr>
        <w:t>Care</w:t>
      </w:r>
      <w:r>
        <w:rPr>
          <w:rFonts w:ascii="Arial" w:hAnsi="Arial" w:cs="Arial"/>
          <w:sz w:val="20"/>
          <w:szCs w:val="20"/>
          <w:lang w:val="en-GB"/>
        </w:rPr>
        <w:t xml:space="preserve"> </w:t>
      </w:r>
      <w:r w:rsidRPr="002837BD">
        <w:rPr>
          <w:rFonts w:ascii="Arial" w:hAnsi="Arial" w:cs="Arial"/>
          <w:sz w:val="20"/>
          <w:szCs w:val="20"/>
          <w:lang w:val="en-GB"/>
        </w:rPr>
        <w:t>Facilities:</w:t>
      </w:r>
      <w:r>
        <w:rPr>
          <w:rFonts w:ascii="Arial" w:hAnsi="Arial" w:cs="Arial"/>
          <w:sz w:val="20"/>
          <w:szCs w:val="20"/>
          <w:lang w:val="en-GB"/>
        </w:rPr>
        <w:t xml:space="preserve"> </w:t>
      </w:r>
      <w:r w:rsidRPr="002837BD">
        <w:rPr>
          <w:rFonts w:ascii="Arial" w:hAnsi="Arial" w:cs="Arial"/>
          <w:sz w:val="20"/>
          <w:szCs w:val="20"/>
          <w:lang w:val="en-GB"/>
        </w:rPr>
        <w:t>A</w:t>
      </w:r>
      <w:r>
        <w:rPr>
          <w:rFonts w:ascii="Arial" w:hAnsi="Arial" w:cs="Arial"/>
          <w:sz w:val="20"/>
          <w:szCs w:val="20"/>
          <w:lang w:val="en-GB"/>
        </w:rPr>
        <w:t xml:space="preserve"> </w:t>
      </w:r>
      <w:r w:rsidRPr="002837BD">
        <w:rPr>
          <w:rFonts w:ascii="Arial" w:hAnsi="Arial" w:cs="Arial"/>
          <w:sz w:val="20"/>
          <w:szCs w:val="20"/>
          <w:lang w:val="en-GB"/>
        </w:rPr>
        <w:t>Descriptive Study.</w:t>
      </w:r>
      <w:r>
        <w:rPr>
          <w:rFonts w:ascii="Arial" w:hAnsi="Arial" w:cs="Arial"/>
          <w:sz w:val="20"/>
          <w:szCs w:val="20"/>
          <w:lang w:val="en-GB"/>
        </w:rPr>
        <w:t xml:space="preserve"> </w:t>
      </w:r>
      <w:r w:rsidRPr="002837BD">
        <w:rPr>
          <w:rFonts w:ascii="Arial" w:hAnsi="Arial" w:cs="Arial"/>
          <w:sz w:val="20"/>
          <w:szCs w:val="20"/>
          <w:lang w:val="en-GB"/>
        </w:rPr>
        <w:t>Curr.</w:t>
      </w:r>
      <w:r>
        <w:rPr>
          <w:rFonts w:ascii="Arial" w:hAnsi="Arial" w:cs="Arial"/>
          <w:sz w:val="20"/>
          <w:szCs w:val="20"/>
          <w:lang w:val="en-GB"/>
        </w:rPr>
        <w:t xml:space="preserve"> </w:t>
      </w:r>
      <w:r w:rsidRPr="002837BD">
        <w:rPr>
          <w:rFonts w:ascii="Arial" w:hAnsi="Arial" w:cs="Arial"/>
          <w:sz w:val="20"/>
          <w:szCs w:val="20"/>
          <w:lang w:val="en-GB"/>
        </w:rPr>
        <w:t>J.</w:t>
      </w:r>
      <w:r>
        <w:rPr>
          <w:rFonts w:ascii="Arial" w:hAnsi="Arial" w:cs="Arial"/>
          <w:sz w:val="20"/>
          <w:szCs w:val="20"/>
          <w:lang w:val="en-GB"/>
        </w:rPr>
        <w:t xml:space="preserve"> </w:t>
      </w:r>
      <w:r w:rsidRPr="002837BD">
        <w:rPr>
          <w:rFonts w:ascii="Arial" w:hAnsi="Arial" w:cs="Arial"/>
          <w:sz w:val="20"/>
          <w:szCs w:val="20"/>
          <w:lang w:val="en-GB"/>
        </w:rPr>
        <w:t>Appl.</w:t>
      </w:r>
      <w:r>
        <w:rPr>
          <w:rFonts w:ascii="Arial" w:hAnsi="Arial" w:cs="Arial"/>
          <w:sz w:val="20"/>
          <w:szCs w:val="20"/>
          <w:lang w:val="en-GB"/>
        </w:rPr>
        <w:t xml:space="preserve"> </w:t>
      </w:r>
      <w:r w:rsidRPr="002837BD">
        <w:rPr>
          <w:rFonts w:ascii="Arial" w:hAnsi="Arial" w:cs="Arial"/>
          <w:sz w:val="20"/>
          <w:szCs w:val="20"/>
          <w:lang w:val="en-GB"/>
        </w:rPr>
        <w:t>Sci.</w:t>
      </w:r>
      <w:r>
        <w:rPr>
          <w:rFonts w:ascii="Arial" w:hAnsi="Arial" w:cs="Arial"/>
          <w:sz w:val="20"/>
          <w:szCs w:val="20"/>
          <w:lang w:val="en-GB"/>
        </w:rPr>
        <w:t xml:space="preserve"> </w:t>
      </w:r>
      <w:r w:rsidRPr="002837BD">
        <w:rPr>
          <w:rFonts w:ascii="Arial" w:hAnsi="Arial" w:cs="Arial"/>
          <w:sz w:val="20"/>
          <w:szCs w:val="20"/>
          <w:lang w:val="en-GB"/>
        </w:rPr>
        <w:t>Technol, 43(12):149-63.</w:t>
      </w:r>
    </w:p>
    <w:p w14:paraId="67454F59" w14:textId="35164EDE" w:rsidR="00390EF1" w:rsidRPr="004034EB" w:rsidRDefault="00390EF1" w:rsidP="004034EB">
      <w:pPr>
        <w:pStyle w:val="Prrafodelista"/>
        <w:numPr>
          <w:ilvl w:val="0"/>
          <w:numId w:val="31"/>
        </w:numPr>
        <w:jc w:val="both"/>
        <w:rPr>
          <w:rFonts w:ascii="Arial" w:hAnsi="Arial" w:cs="Arial"/>
          <w:sz w:val="20"/>
          <w:szCs w:val="20"/>
          <w:lang w:val="en-GB"/>
        </w:rPr>
      </w:pPr>
      <w:r w:rsidRPr="00390EF1">
        <w:rPr>
          <w:rFonts w:ascii="Arial" w:hAnsi="Arial" w:cs="Arial"/>
          <w:sz w:val="20"/>
          <w:szCs w:val="20"/>
        </w:rPr>
        <w:t xml:space="preserve">López-Sampalo, A., Bernal-López, M., &amp; Gómez-Huelgas, R. (2022). Síndrome de COVID-19 persistente. Una revisión narrativa. Revista ClíNica Española, 222(4), 241-250. </w:t>
      </w:r>
      <w:hyperlink r:id="rId23" w:history="1">
        <w:r w:rsidRPr="006022F1">
          <w:rPr>
            <w:rStyle w:val="Hipervnculo"/>
            <w:rFonts w:ascii="Arial" w:hAnsi="Arial" w:cs="Arial"/>
            <w:sz w:val="20"/>
            <w:szCs w:val="20"/>
            <w:lang w:val="en-GB"/>
          </w:rPr>
          <w:t>https://doi.org/10.1016/j.rce.2021.10.003</w:t>
        </w:r>
      </w:hyperlink>
      <w:r>
        <w:rPr>
          <w:rFonts w:ascii="Arial" w:hAnsi="Arial" w:cs="Arial"/>
          <w:sz w:val="20"/>
          <w:szCs w:val="20"/>
          <w:lang w:val="en-GB"/>
        </w:rPr>
        <w:t xml:space="preserve"> </w:t>
      </w:r>
    </w:p>
    <w:p w14:paraId="213D4C7B" w14:textId="4CC5FFE1" w:rsidR="001773C5" w:rsidRDefault="001773C5" w:rsidP="0032794D">
      <w:pPr>
        <w:pStyle w:val="Prrafodelista"/>
        <w:numPr>
          <w:ilvl w:val="0"/>
          <w:numId w:val="31"/>
        </w:numPr>
        <w:spacing w:after="0" w:line="240" w:lineRule="auto"/>
        <w:jc w:val="both"/>
        <w:rPr>
          <w:rFonts w:ascii="Arial" w:hAnsi="Arial" w:cs="Arial"/>
          <w:sz w:val="20"/>
          <w:szCs w:val="20"/>
          <w:lang w:val="en-GB"/>
        </w:rPr>
      </w:pPr>
      <w:r w:rsidRPr="007D0F0D">
        <w:rPr>
          <w:rFonts w:ascii="Arial" w:hAnsi="Arial" w:cs="Arial"/>
          <w:sz w:val="20"/>
          <w:szCs w:val="20"/>
          <w:lang w:val="de-DE"/>
        </w:rPr>
        <w:t xml:space="preserve">Mughal, F., Khunti, K., &amp; Mallen, C. D. (2021). </w:t>
      </w:r>
      <w:r w:rsidRPr="001773C5">
        <w:rPr>
          <w:rFonts w:ascii="Arial" w:hAnsi="Arial" w:cs="Arial"/>
          <w:sz w:val="20"/>
          <w:szCs w:val="20"/>
          <w:lang w:val="en-GB"/>
        </w:rPr>
        <w:t xml:space="preserve">The impact of COVID-19 on primary care: Insights from the National Health Service (NHS) and future recommendations. Journal of Family Medicine and Primary Care, 10(12), 4345. </w:t>
      </w:r>
      <w:hyperlink r:id="rId24" w:history="1">
        <w:r w:rsidRPr="006022F1">
          <w:rPr>
            <w:rStyle w:val="Hipervnculo"/>
            <w:rFonts w:ascii="Arial" w:hAnsi="Arial" w:cs="Arial"/>
            <w:sz w:val="20"/>
            <w:szCs w:val="20"/>
            <w:lang w:val="en-GB"/>
          </w:rPr>
          <w:t>https://doi.org/10.4103/jfmpc.jfmpc_756_21</w:t>
        </w:r>
      </w:hyperlink>
      <w:r>
        <w:rPr>
          <w:rFonts w:ascii="Arial" w:hAnsi="Arial" w:cs="Arial"/>
          <w:sz w:val="20"/>
          <w:szCs w:val="20"/>
          <w:lang w:val="en-GB"/>
        </w:rPr>
        <w:t xml:space="preserve"> </w:t>
      </w:r>
    </w:p>
    <w:p w14:paraId="1AD2A403" w14:textId="6C0EE2EE" w:rsidR="00DC056F" w:rsidRDefault="00DC056F" w:rsidP="0032794D">
      <w:pPr>
        <w:pStyle w:val="Prrafodelista"/>
        <w:numPr>
          <w:ilvl w:val="0"/>
          <w:numId w:val="31"/>
        </w:numPr>
        <w:spacing w:after="0" w:line="240" w:lineRule="auto"/>
        <w:jc w:val="both"/>
        <w:rPr>
          <w:rFonts w:ascii="Arial" w:hAnsi="Arial" w:cs="Arial"/>
          <w:sz w:val="20"/>
          <w:szCs w:val="20"/>
          <w:lang w:val="en-GB"/>
        </w:rPr>
      </w:pPr>
      <w:r w:rsidRPr="00DC056F">
        <w:rPr>
          <w:rFonts w:ascii="Arial" w:hAnsi="Arial" w:cs="Arial"/>
          <w:sz w:val="20"/>
          <w:szCs w:val="20"/>
          <w:lang w:val="en-GB"/>
        </w:rPr>
        <w:t xml:space="preserve">Ortiz-Prado, E., Simbaña-Rivera, K., Barreno, L. G., Diaz, A. M., Barreto, A., Moyano, C., </w:t>
      </w:r>
      <w:r>
        <w:rPr>
          <w:rFonts w:ascii="Arial" w:hAnsi="Arial" w:cs="Arial"/>
          <w:sz w:val="20"/>
          <w:szCs w:val="20"/>
          <w:lang w:val="en-GB"/>
        </w:rPr>
        <w:t>et al</w:t>
      </w:r>
      <w:r w:rsidRPr="00DC056F">
        <w:rPr>
          <w:rFonts w:ascii="Arial" w:hAnsi="Arial" w:cs="Arial"/>
          <w:sz w:val="20"/>
          <w:szCs w:val="20"/>
          <w:lang w:val="en-GB"/>
        </w:rPr>
        <w:t xml:space="preserve">. (2021). Epidemiological, socio-demographic and clinical features of the early phase of the COVID-19 epidemic in Ecuador. PLoS neglected tropical diseases, 15(1), e0008958. </w:t>
      </w:r>
      <w:hyperlink r:id="rId25" w:history="1">
        <w:r w:rsidRPr="005E4D4E">
          <w:rPr>
            <w:rStyle w:val="Hipervnculo"/>
            <w:rFonts w:ascii="Arial" w:hAnsi="Arial" w:cs="Arial"/>
            <w:sz w:val="20"/>
            <w:szCs w:val="20"/>
            <w:lang w:val="en-GB"/>
          </w:rPr>
          <w:t>https://doi.org/10.1371/journal.pntd.0008958</w:t>
        </w:r>
      </w:hyperlink>
      <w:r>
        <w:rPr>
          <w:rFonts w:ascii="Arial" w:hAnsi="Arial" w:cs="Arial"/>
          <w:sz w:val="20"/>
          <w:szCs w:val="20"/>
          <w:lang w:val="en-GB"/>
        </w:rPr>
        <w:t xml:space="preserve"> </w:t>
      </w:r>
    </w:p>
    <w:p w14:paraId="7681E9ED" w14:textId="11A5A5B4" w:rsidR="00CD302C" w:rsidRDefault="00CD302C" w:rsidP="0032794D">
      <w:pPr>
        <w:pStyle w:val="Prrafodelista"/>
        <w:numPr>
          <w:ilvl w:val="0"/>
          <w:numId w:val="31"/>
        </w:numPr>
        <w:spacing w:after="0" w:line="240" w:lineRule="auto"/>
        <w:jc w:val="both"/>
        <w:rPr>
          <w:rFonts w:ascii="Arial" w:hAnsi="Arial" w:cs="Arial"/>
          <w:sz w:val="20"/>
          <w:szCs w:val="20"/>
          <w:lang w:val="en-GB"/>
        </w:rPr>
      </w:pPr>
      <w:r w:rsidRPr="00CD302C">
        <w:rPr>
          <w:rFonts w:ascii="Arial" w:hAnsi="Arial" w:cs="Arial"/>
          <w:sz w:val="20"/>
          <w:szCs w:val="20"/>
          <w:lang w:val="en-GB"/>
        </w:rPr>
        <w:t xml:space="preserve">Palakshappa, J. A., Krall, J. T., Belfield, L. T., &amp; Files, D. C. (2021). Long-Term Outcomes in Acute Respiratory Distress Syndrome: Epidemiology, Mechanisms, and Patient Evaluation. Critical Care Clinics, 37(4), 895. </w:t>
      </w:r>
      <w:hyperlink r:id="rId26" w:history="1">
        <w:r w:rsidRPr="006022F1">
          <w:rPr>
            <w:rStyle w:val="Hipervnculo"/>
            <w:rFonts w:ascii="Arial" w:hAnsi="Arial" w:cs="Arial"/>
            <w:sz w:val="20"/>
            <w:szCs w:val="20"/>
            <w:lang w:val="en-GB"/>
          </w:rPr>
          <w:t>https://doi.org/10.1016/j.ccc.2021.05.010</w:t>
        </w:r>
      </w:hyperlink>
      <w:r>
        <w:rPr>
          <w:rFonts w:ascii="Arial" w:hAnsi="Arial" w:cs="Arial"/>
          <w:sz w:val="20"/>
          <w:szCs w:val="20"/>
          <w:lang w:val="en-GB"/>
        </w:rPr>
        <w:t xml:space="preserve"> </w:t>
      </w:r>
    </w:p>
    <w:p w14:paraId="6137E53E" w14:textId="01F03084" w:rsidR="00636F8E" w:rsidRDefault="00636F8E" w:rsidP="0032794D">
      <w:pPr>
        <w:pStyle w:val="Prrafodelista"/>
        <w:numPr>
          <w:ilvl w:val="0"/>
          <w:numId w:val="31"/>
        </w:numPr>
        <w:spacing w:after="0" w:line="240" w:lineRule="auto"/>
        <w:jc w:val="both"/>
        <w:rPr>
          <w:rFonts w:ascii="Arial" w:hAnsi="Arial" w:cs="Arial"/>
          <w:sz w:val="20"/>
          <w:szCs w:val="20"/>
          <w:lang w:val="en-GB"/>
        </w:rPr>
      </w:pPr>
      <w:r w:rsidRPr="00636F8E">
        <w:rPr>
          <w:rFonts w:ascii="Arial" w:hAnsi="Arial" w:cs="Arial"/>
          <w:sz w:val="20"/>
          <w:szCs w:val="20"/>
          <w:lang w:val="en-GB"/>
        </w:rPr>
        <w:t xml:space="preserve">Pandharipande, P., Williams Roberson, S., Harrison, F. E., Wilson, J. E., Bastarache, J. A., &amp; Ely, E. W. (2023). Mitigating neurological, cognitive, and psychiatric sequelae of COVID-19-related critical illness. The Lancet. Respiratory medicine, 11(8), 726–738. </w:t>
      </w:r>
      <w:hyperlink r:id="rId27" w:history="1">
        <w:r w:rsidRPr="006022F1">
          <w:rPr>
            <w:rStyle w:val="Hipervnculo"/>
            <w:rFonts w:ascii="Arial" w:hAnsi="Arial" w:cs="Arial"/>
            <w:sz w:val="20"/>
            <w:szCs w:val="20"/>
            <w:lang w:val="en-GB"/>
          </w:rPr>
          <w:t>https://doi.org/10.1016/S2213-2600(23)00238-2</w:t>
        </w:r>
      </w:hyperlink>
      <w:r>
        <w:rPr>
          <w:rFonts w:ascii="Arial" w:hAnsi="Arial" w:cs="Arial"/>
          <w:sz w:val="20"/>
          <w:szCs w:val="20"/>
          <w:lang w:val="en-GB"/>
        </w:rPr>
        <w:t xml:space="preserve"> </w:t>
      </w:r>
    </w:p>
    <w:p w14:paraId="532C19ED" w14:textId="57C2A4C4" w:rsidR="003657EE" w:rsidRDefault="003657EE" w:rsidP="0032794D">
      <w:pPr>
        <w:pStyle w:val="Prrafodelista"/>
        <w:numPr>
          <w:ilvl w:val="0"/>
          <w:numId w:val="31"/>
        </w:numPr>
        <w:spacing w:after="0" w:line="240" w:lineRule="auto"/>
        <w:jc w:val="both"/>
        <w:rPr>
          <w:rFonts w:ascii="Arial" w:hAnsi="Arial" w:cs="Arial"/>
          <w:sz w:val="20"/>
          <w:szCs w:val="20"/>
          <w:lang w:val="en-GB"/>
        </w:rPr>
      </w:pPr>
      <w:r w:rsidRPr="003657EE">
        <w:rPr>
          <w:rFonts w:ascii="Arial" w:hAnsi="Arial" w:cs="Arial"/>
          <w:sz w:val="20"/>
          <w:szCs w:val="20"/>
          <w:lang w:val="en-GB"/>
        </w:rPr>
        <w:t xml:space="preserve">Parotto, M., Gyöngyösi, M., Howe, K., Myatra, S. N., Ranzani, O., Shankar-Hari, M., </w:t>
      </w:r>
      <w:r>
        <w:rPr>
          <w:rFonts w:ascii="Arial" w:hAnsi="Arial" w:cs="Arial"/>
          <w:sz w:val="20"/>
          <w:szCs w:val="20"/>
          <w:lang w:val="en-GB"/>
        </w:rPr>
        <w:t>et al</w:t>
      </w:r>
      <w:r w:rsidRPr="003657EE">
        <w:rPr>
          <w:rFonts w:ascii="Arial" w:hAnsi="Arial" w:cs="Arial"/>
          <w:sz w:val="20"/>
          <w:szCs w:val="20"/>
          <w:lang w:val="en-GB"/>
        </w:rPr>
        <w:t xml:space="preserve">. (2023). Post-acute sequelae of COVID-19: understanding and addressing the burden of multisystem manifestations. The Lancet. Respiratory medicine, 11(8), 739–754. </w:t>
      </w:r>
      <w:hyperlink r:id="rId28" w:history="1">
        <w:r w:rsidRPr="006022F1">
          <w:rPr>
            <w:rStyle w:val="Hipervnculo"/>
            <w:rFonts w:ascii="Arial" w:hAnsi="Arial" w:cs="Arial"/>
            <w:sz w:val="20"/>
            <w:szCs w:val="20"/>
            <w:lang w:val="en-GB"/>
          </w:rPr>
          <w:t>https://doi.org/10.1016/S2213-2600(23)00239-4</w:t>
        </w:r>
      </w:hyperlink>
      <w:r>
        <w:rPr>
          <w:rFonts w:ascii="Arial" w:hAnsi="Arial" w:cs="Arial"/>
          <w:sz w:val="20"/>
          <w:szCs w:val="20"/>
          <w:lang w:val="en-GB"/>
        </w:rPr>
        <w:t xml:space="preserve"> </w:t>
      </w:r>
    </w:p>
    <w:p w14:paraId="7BA791CC" w14:textId="377BF64D" w:rsidR="00390EF1" w:rsidRPr="00390EF1" w:rsidRDefault="00390EF1" w:rsidP="0032794D">
      <w:pPr>
        <w:pStyle w:val="Prrafodelista"/>
        <w:numPr>
          <w:ilvl w:val="0"/>
          <w:numId w:val="31"/>
        </w:numPr>
        <w:spacing w:after="0" w:line="240" w:lineRule="auto"/>
        <w:jc w:val="both"/>
        <w:rPr>
          <w:rFonts w:ascii="Arial" w:hAnsi="Arial" w:cs="Arial"/>
          <w:sz w:val="20"/>
          <w:szCs w:val="20"/>
        </w:rPr>
      </w:pPr>
      <w:r w:rsidRPr="00390EF1">
        <w:rPr>
          <w:rFonts w:ascii="Arial" w:hAnsi="Arial" w:cs="Arial"/>
          <w:sz w:val="20"/>
          <w:szCs w:val="20"/>
        </w:rPr>
        <w:t xml:space="preserve">Peramo-Álvarez, F. P., López-Zúñiga, M. Á., &amp; López-Ruz, M. Á. (2021). Secuelas médicas de la COVID-19. Medicina ClíNica, 157(8), 388-394. </w:t>
      </w:r>
      <w:hyperlink r:id="rId29" w:history="1">
        <w:r w:rsidRPr="00390EF1">
          <w:rPr>
            <w:rStyle w:val="Hipervnculo"/>
            <w:rFonts w:ascii="Arial" w:hAnsi="Arial" w:cs="Arial"/>
            <w:sz w:val="20"/>
            <w:szCs w:val="20"/>
          </w:rPr>
          <w:t>https://doi.org/10.1016/j.medcli.2021.04.023</w:t>
        </w:r>
      </w:hyperlink>
      <w:r w:rsidRPr="00390EF1">
        <w:rPr>
          <w:rFonts w:ascii="Arial" w:hAnsi="Arial" w:cs="Arial"/>
          <w:sz w:val="20"/>
          <w:szCs w:val="20"/>
        </w:rPr>
        <w:t xml:space="preserve"> </w:t>
      </w:r>
    </w:p>
    <w:p w14:paraId="33D16CB0" w14:textId="77777777" w:rsidR="00636F8E" w:rsidRDefault="00636F8E" w:rsidP="00636F8E">
      <w:pPr>
        <w:pStyle w:val="Prrafodelista"/>
        <w:numPr>
          <w:ilvl w:val="0"/>
          <w:numId w:val="31"/>
        </w:numPr>
        <w:spacing w:after="0" w:line="240" w:lineRule="auto"/>
        <w:jc w:val="both"/>
        <w:rPr>
          <w:rFonts w:ascii="Arial" w:hAnsi="Arial" w:cs="Arial"/>
          <w:sz w:val="20"/>
          <w:szCs w:val="20"/>
          <w:lang w:val="en-GB"/>
        </w:rPr>
      </w:pPr>
      <w:r w:rsidRPr="007D0F0D">
        <w:rPr>
          <w:rFonts w:ascii="Arial" w:hAnsi="Arial" w:cs="Arial"/>
          <w:sz w:val="20"/>
          <w:szCs w:val="20"/>
          <w:lang w:val="en-US"/>
        </w:rPr>
        <w:t xml:space="preserve">Qiu, H., Tong, Z., Ma, P., Hu, M., Peng, Z., Wu, W., et al. </w:t>
      </w:r>
      <w:r w:rsidRPr="00992AF4">
        <w:rPr>
          <w:rFonts w:ascii="Arial" w:hAnsi="Arial" w:cs="Arial"/>
          <w:sz w:val="20"/>
          <w:szCs w:val="20"/>
          <w:lang w:val="en-US"/>
        </w:rPr>
        <w:t xml:space="preserve">(2020). </w:t>
      </w:r>
      <w:r w:rsidRPr="004034EB">
        <w:rPr>
          <w:rFonts w:ascii="Arial" w:hAnsi="Arial" w:cs="Arial"/>
          <w:sz w:val="20"/>
          <w:szCs w:val="20"/>
          <w:lang w:val="en-GB"/>
        </w:rPr>
        <w:t xml:space="preserve">Intensive care during the coronavirus epidemic. Intensive Care Medicine, 46(4), 576. </w:t>
      </w:r>
      <w:hyperlink r:id="rId30" w:history="1">
        <w:r w:rsidRPr="006022F1">
          <w:rPr>
            <w:rStyle w:val="Hipervnculo"/>
            <w:rFonts w:ascii="Arial" w:hAnsi="Arial" w:cs="Arial"/>
            <w:sz w:val="20"/>
            <w:szCs w:val="20"/>
            <w:lang w:val="en-GB"/>
          </w:rPr>
          <w:t>https://doi.org/10.1007/s00134-020-05966-y</w:t>
        </w:r>
      </w:hyperlink>
      <w:r>
        <w:rPr>
          <w:rFonts w:ascii="Arial" w:hAnsi="Arial" w:cs="Arial"/>
          <w:sz w:val="20"/>
          <w:szCs w:val="20"/>
          <w:lang w:val="en-GB"/>
        </w:rPr>
        <w:t xml:space="preserve"> </w:t>
      </w:r>
    </w:p>
    <w:p w14:paraId="6B1973A8" w14:textId="3182767E" w:rsidR="00423A65" w:rsidRDefault="00423A65" w:rsidP="00636F8E">
      <w:pPr>
        <w:pStyle w:val="Prrafodelista"/>
        <w:numPr>
          <w:ilvl w:val="0"/>
          <w:numId w:val="31"/>
        </w:numPr>
        <w:spacing w:after="0" w:line="240" w:lineRule="auto"/>
        <w:jc w:val="both"/>
        <w:rPr>
          <w:rFonts w:ascii="Arial" w:hAnsi="Arial" w:cs="Arial"/>
          <w:sz w:val="20"/>
          <w:szCs w:val="20"/>
          <w:lang w:val="en-GB"/>
        </w:rPr>
      </w:pPr>
      <w:r w:rsidRPr="00423A65">
        <w:rPr>
          <w:rFonts w:ascii="Arial" w:hAnsi="Arial" w:cs="Arial"/>
          <w:sz w:val="20"/>
          <w:szCs w:val="20"/>
          <w:lang w:val="it-IT"/>
        </w:rPr>
        <w:t xml:space="preserve">Salamanna, F., Veronesi, F., Martini, L., Landini, M. P., &amp; Fini, M. (2021). </w:t>
      </w:r>
      <w:r w:rsidRPr="00423A65">
        <w:rPr>
          <w:rFonts w:ascii="Arial" w:hAnsi="Arial" w:cs="Arial"/>
          <w:sz w:val="20"/>
          <w:szCs w:val="20"/>
          <w:lang w:val="en-GB"/>
        </w:rPr>
        <w:t xml:space="preserve">Post-COVID-19 Syndrome: The Persistent Symptoms at the Post-viral Stage of the Disease. A Systematic Review of the Current Data. Frontiers in Medicine, 8, 653516. </w:t>
      </w:r>
      <w:hyperlink r:id="rId31" w:history="1">
        <w:r w:rsidRPr="005E4D4E">
          <w:rPr>
            <w:rStyle w:val="Hipervnculo"/>
            <w:rFonts w:ascii="Arial" w:hAnsi="Arial" w:cs="Arial"/>
            <w:sz w:val="20"/>
            <w:szCs w:val="20"/>
            <w:lang w:val="en-GB"/>
          </w:rPr>
          <w:t>https://doi.org/10.3389/fmed.2021.653516</w:t>
        </w:r>
      </w:hyperlink>
      <w:r>
        <w:rPr>
          <w:rFonts w:ascii="Arial" w:hAnsi="Arial" w:cs="Arial"/>
          <w:sz w:val="20"/>
          <w:szCs w:val="20"/>
          <w:lang w:val="en-GB"/>
        </w:rPr>
        <w:t xml:space="preserve"> </w:t>
      </w:r>
    </w:p>
    <w:p w14:paraId="08D667F8" w14:textId="212A33FF" w:rsidR="00636F8E" w:rsidRDefault="00636F8E" w:rsidP="00636F8E">
      <w:pPr>
        <w:pStyle w:val="Prrafodelista"/>
        <w:numPr>
          <w:ilvl w:val="0"/>
          <w:numId w:val="31"/>
        </w:numPr>
        <w:spacing w:after="0" w:line="240" w:lineRule="auto"/>
        <w:jc w:val="both"/>
        <w:rPr>
          <w:rFonts w:ascii="Arial" w:hAnsi="Arial" w:cs="Arial"/>
          <w:sz w:val="20"/>
          <w:szCs w:val="20"/>
          <w:lang w:val="en-GB"/>
        </w:rPr>
      </w:pPr>
      <w:r w:rsidRPr="00636F8E">
        <w:rPr>
          <w:rFonts w:ascii="Arial" w:hAnsi="Arial" w:cs="Arial"/>
          <w:sz w:val="20"/>
          <w:szCs w:val="20"/>
          <w:lang w:val="en-GB"/>
        </w:rPr>
        <w:t xml:space="preserve">Selvam, K. P., Kosalram, K., &amp; Chinnaiyan, S. (2024). </w:t>
      </w:r>
      <w:r w:rsidRPr="004034EB">
        <w:rPr>
          <w:rFonts w:ascii="Arial" w:hAnsi="Arial" w:cs="Arial"/>
          <w:sz w:val="20"/>
          <w:szCs w:val="20"/>
          <w:lang w:val="en-GB"/>
        </w:rPr>
        <w:t xml:space="preserve">Post-COVID pandemic: The new normal and aftermath. Journal of Family Medicine and Primary Care, 13(10), 4308. </w:t>
      </w:r>
      <w:hyperlink r:id="rId32" w:history="1">
        <w:r w:rsidRPr="006022F1">
          <w:rPr>
            <w:rStyle w:val="Hipervnculo"/>
            <w:rFonts w:ascii="Arial" w:hAnsi="Arial" w:cs="Arial"/>
            <w:sz w:val="20"/>
            <w:szCs w:val="20"/>
            <w:lang w:val="en-GB"/>
          </w:rPr>
          <w:t>https://doi.org/10.4103/jfmpc.jfmpc_313_24</w:t>
        </w:r>
      </w:hyperlink>
      <w:r>
        <w:rPr>
          <w:rFonts w:ascii="Arial" w:hAnsi="Arial" w:cs="Arial"/>
          <w:sz w:val="20"/>
          <w:szCs w:val="20"/>
          <w:lang w:val="en-GB"/>
        </w:rPr>
        <w:t xml:space="preserve"> </w:t>
      </w:r>
    </w:p>
    <w:p w14:paraId="245F5271" w14:textId="77777777" w:rsidR="00636F8E" w:rsidRDefault="00636F8E" w:rsidP="00636F8E">
      <w:pPr>
        <w:pStyle w:val="Prrafodelista"/>
        <w:numPr>
          <w:ilvl w:val="0"/>
          <w:numId w:val="31"/>
        </w:numPr>
        <w:spacing w:after="0" w:line="240" w:lineRule="auto"/>
        <w:jc w:val="both"/>
        <w:rPr>
          <w:rFonts w:ascii="Arial" w:hAnsi="Arial" w:cs="Arial"/>
          <w:sz w:val="20"/>
          <w:szCs w:val="20"/>
          <w:lang w:val="en-GB"/>
        </w:rPr>
      </w:pPr>
      <w:r w:rsidRPr="00636F8E">
        <w:rPr>
          <w:rFonts w:ascii="Arial" w:hAnsi="Arial" w:cs="Arial"/>
          <w:sz w:val="20"/>
          <w:szCs w:val="20"/>
          <w:lang w:val="nb-NO"/>
        </w:rPr>
        <w:t xml:space="preserve">Singh, S. J., Baldwin, M. M., Daynes, E., Evans, R. A., Greening, N. J., Jenkins, R. G., et al. </w:t>
      </w:r>
      <w:r w:rsidRPr="006600D0">
        <w:rPr>
          <w:rFonts w:ascii="Arial" w:hAnsi="Arial" w:cs="Arial"/>
          <w:sz w:val="20"/>
          <w:szCs w:val="20"/>
          <w:lang w:val="en-GB"/>
        </w:rPr>
        <w:t xml:space="preserve">E. (2023). Respiratory sequelae of COVID-19: Pulmonary and extrapulmonary origins, and approaches to clinical care and rehabilitation. The Lancet. Respiratory Medicine. </w:t>
      </w:r>
      <w:hyperlink r:id="rId33" w:history="1">
        <w:r w:rsidRPr="006022F1">
          <w:rPr>
            <w:rStyle w:val="Hipervnculo"/>
            <w:rFonts w:ascii="Arial" w:hAnsi="Arial" w:cs="Arial"/>
            <w:sz w:val="20"/>
            <w:szCs w:val="20"/>
            <w:lang w:val="en-GB"/>
          </w:rPr>
          <w:t>https://doi.org/10.1016/S2213-2600(23)00159-5</w:t>
        </w:r>
      </w:hyperlink>
      <w:r>
        <w:rPr>
          <w:rFonts w:ascii="Arial" w:hAnsi="Arial" w:cs="Arial"/>
          <w:sz w:val="20"/>
          <w:szCs w:val="20"/>
          <w:lang w:val="en-GB"/>
        </w:rPr>
        <w:t xml:space="preserve"> </w:t>
      </w:r>
    </w:p>
    <w:p w14:paraId="75177DB6" w14:textId="49DAF5C9" w:rsidR="00570BF0" w:rsidRDefault="00570BF0" w:rsidP="0032794D">
      <w:pPr>
        <w:pStyle w:val="Prrafodelista"/>
        <w:numPr>
          <w:ilvl w:val="0"/>
          <w:numId w:val="31"/>
        </w:numPr>
        <w:spacing w:after="0" w:line="240" w:lineRule="auto"/>
        <w:jc w:val="both"/>
        <w:rPr>
          <w:rFonts w:ascii="Arial" w:hAnsi="Arial" w:cs="Arial"/>
          <w:sz w:val="20"/>
          <w:szCs w:val="20"/>
          <w:lang w:val="en-US"/>
        </w:rPr>
      </w:pPr>
      <w:r w:rsidRPr="00570BF0">
        <w:rPr>
          <w:rFonts w:ascii="Arial" w:hAnsi="Arial" w:cs="Arial"/>
          <w:sz w:val="20"/>
          <w:szCs w:val="20"/>
        </w:rPr>
        <w:t xml:space="preserve">Soares, C. M., Mattos, L. R., &amp; Raposo, L. M. (2020). </w:t>
      </w:r>
      <w:r w:rsidRPr="00570BF0">
        <w:rPr>
          <w:rFonts w:ascii="Arial" w:hAnsi="Arial" w:cs="Arial"/>
          <w:sz w:val="20"/>
          <w:szCs w:val="20"/>
          <w:lang w:val="en-US"/>
        </w:rPr>
        <w:t xml:space="preserve">Risk Factors for Hospitalization and Mortality due to COVID-19 in Espírito Santo State, Brazil. The American Journal of Tropical Medicine and Hygiene, 103(3), 1184. </w:t>
      </w:r>
      <w:hyperlink r:id="rId34" w:history="1">
        <w:r w:rsidRPr="005E4D4E">
          <w:rPr>
            <w:rStyle w:val="Hipervnculo"/>
            <w:rFonts w:ascii="Arial" w:hAnsi="Arial" w:cs="Arial"/>
            <w:sz w:val="20"/>
            <w:szCs w:val="20"/>
            <w:lang w:val="en-US"/>
          </w:rPr>
          <w:t>https://doi.org/10.4269/ajtmh.20-0483</w:t>
        </w:r>
      </w:hyperlink>
      <w:r>
        <w:rPr>
          <w:rFonts w:ascii="Arial" w:hAnsi="Arial" w:cs="Arial"/>
          <w:sz w:val="20"/>
          <w:szCs w:val="20"/>
          <w:lang w:val="en-US"/>
        </w:rPr>
        <w:t xml:space="preserve"> </w:t>
      </w:r>
    </w:p>
    <w:p w14:paraId="456B4234" w14:textId="33704518" w:rsidR="00CD302C" w:rsidRPr="00CD302C" w:rsidRDefault="00CD302C" w:rsidP="0032794D">
      <w:pPr>
        <w:pStyle w:val="Prrafodelista"/>
        <w:numPr>
          <w:ilvl w:val="0"/>
          <w:numId w:val="31"/>
        </w:numPr>
        <w:spacing w:after="0" w:line="240" w:lineRule="auto"/>
        <w:jc w:val="both"/>
        <w:rPr>
          <w:rFonts w:ascii="Arial" w:hAnsi="Arial" w:cs="Arial"/>
          <w:sz w:val="20"/>
          <w:szCs w:val="20"/>
          <w:lang w:val="en-US"/>
        </w:rPr>
      </w:pPr>
      <w:r w:rsidRPr="00CD302C">
        <w:rPr>
          <w:rFonts w:ascii="Arial" w:hAnsi="Arial" w:cs="Arial"/>
          <w:sz w:val="20"/>
          <w:szCs w:val="20"/>
          <w:lang w:val="en-US"/>
        </w:rPr>
        <w:t xml:space="preserve">Tziolos, N. R., Ioannou, P., Baliou, S., &amp; Kofteridis, D. P. (2023). Long COVID-19 Pathophysiology: What Do We Know So Far?. Microorganisms, 11(10), 2458. </w:t>
      </w:r>
      <w:hyperlink r:id="rId35" w:history="1">
        <w:r w:rsidRPr="006022F1">
          <w:rPr>
            <w:rStyle w:val="Hipervnculo"/>
            <w:rFonts w:ascii="Arial" w:hAnsi="Arial" w:cs="Arial"/>
            <w:sz w:val="20"/>
            <w:szCs w:val="20"/>
            <w:lang w:val="en-US"/>
          </w:rPr>
          <w:t>https://doi.org/10.3390/microorganisms11102458</w:t>
        </w:r>
      </w:hyperlink>
      <w:r>
        <w:rPr>
          <w:rFonts w:ascii="Arial" w:hAnsi="Arial" w:cs="Arial"/>
          <w:sz w:val="20"/>
          <w:szCs w:val="20"/>
          <w:lang w:val="en-US"/>
        </w:rPr>
        <w:t xml:space="preserve"> </w:t>
      </w:r>
    </w:p>
    <w:p w14:paraId="4EFFF922" w14:textId="75D85CE1" w:rsidR="00463BE4" w:rsidRPr="00463BE4" w:rsidRDefault="00463BE4" w:rsidP="0032794D">
      <w:pPr>
        <w:pStyle w:val="Prrafodelista"/>
        <w:numPr>
          <w:ilvl w:val="0"/>
          <w:numId w:val="31"/>
        </w:numPr>
        <w:spacing w:after="0" w:line="240" w:lineRule="auto"/>
        <w:jc w:val="both"/>
        <w:rPr>
          <w:rFonts w:ascii="Arial" w:hAnsi="Arial" w:cs="Arial"/>
          <w:sz w:val="20"/>
          <w:szCs w:val="20"/>
          <w:lang w:val="en-US"/>
        </w:rPr>
      </w:pPr>
      <w:r w:rsidRPr="00463BE4">
        <w:rPr>
          <w:rFonts w:ascii="Arial" w:hAnsi="Arial" w:cs="Arial"/>
          <w:sz w:val="20"/>
          <w:szCs w:val="20"/>
          <w:lang w:val="en-US"/>
        </w:rPr>
        <w:t xml:space="preserve">Turner, S., Khan, M. A., Putrino, D., Woodcock, A., Kell, D. B., &amp; Pretorius, E. (2023). Long COVID: Pathophysiological factors and abnormalities of coagulation. Trends in Endocrinology &amp; Metabolism, 34(6), 321-344. </w:t>
      </w:r>
      <w:hyperlink r:id="rId36" w:history="1">
        <w:r w:rsidRPr="006022F1">
          <w:rPr>
            <w:rStyle w:val="Hipervnculo"/>
            <w:rFonts w:ascii="Arial" w:hAnsi="Arial" w:cs="Arial"/>
            <w:sz w:val="20"/>
            <w:szCs w:val="20"/>
            <w:lang w:val="en-US"/>
          </w:rPr>
          <w:t>https://doi.org/10.1016/j.tem.2023.03.002</w:t>
        </w:r>
      </w:hyperlink>
      <w:r>
        <w:rPr>
          <w:rFonts w:ascii="Arial" w:hAnsi="Arial" w:cs="Arial"/>
          <w:sz w:val="20"/>
          <w:szCs w:val="20"/>
          <w:lang w:val="en-US"/>
        </w:rPr>
        <w:t xml:space="preserve"> </w:t>
      </w:r>
    </w:p>
    <w:p w14:paraId="61683C69" w14:textId="76B9BFCC" w:rsidR="00FD3178" w:rsidRPr="00FD3178" w:rsidRDefault="00FD3178" w:rsidP="0032794D">
      <w:pPr>
        <w:pStyle w:val="Prrafodelista"/>
        <w:numPr>
          <w:ilvl w:val="0"/>
          <w:numId w:val="31"/>
        </w:numPr>
        <w:spacing w:after="0" w:line="240" w:lineRule="auto"/>
        <w:jc w:val="both"/>
        <w:rPr>
          <w:rFonts w:ascii="Arial" w:hAnsi="Arial" w:cs="Arial"/>
          <w:sz w:val="20"/>
          <w:szCs w:val="20"/>
          <w:lang w:val="en-US"/>
        </w:rPr>
      </w:pPr>
      <w:r w:rsidRPr="00FD3178">
        <w:rPr>
          <w:rFonts w:ascii="Arial" w:hAnsi="Arial" w:cs="Arial"/>
          <w:sz w:val="20"/>
          <w:szCs w:val="20"/>
          <w:lang w:val="en-GB"/>
        </w:rPr>
        <w:t xml:space="preserve">Umakanthan, S., Katwaroo, A. R., Bukelo, M., BG, S., Boralingaiah, P., Ranade, A. V., Rangan, P., </w:t>
      </w:r>
      <w:r>
        <w:rPr>
          <w:rFonts w:ascii="Arial" w:hAnsi="Arial" w:cs="Arial"/>
          <w:sz w:val="20"/>
          <w:szCs w:val="20"/>
          <w:lang w:val="en-GB"/>
        </w:rPr>
        <w:t>et al</w:t>
      </w:r>
      <w:r w:rsidRPr="00FD3178">
        <w:rPr>
          <w:rFonts w:ascii="Arial" w:hAnsi="Arial" w:cs="Arial"/>
          <w:sz w:val="20"/>
          <w:szCs w:val="20"/>
          <w:lang w:val="en-GB"/>
        </w:rPr>
        <w:t xml:space="preserve">. (2024). </w:t>
      </w:r>
      <w:r w:rsidRPr="00FD3178">
        <w:rPr>
          <w:rFonts w:ascii="Arial" w:hAnsi="Arial" w:cs="Arial"/>
          <w:sz w:val="20"/>
          <w:szCs w:val="20"/>
          <w:lang w:val="en-US"/>
        </w:rPr>
        <w:t xml:space="preserve">Post-Acute Sequelae of Covid-19: A System-wise Approach on the Effects of Long-Covid-19. American Journal of Medicine Open, 12, 100071. </w:t>
      </w:r>
      <w:hyperlink r:id="rId37" w:history="1">
        <w:r w:rsidRPr="00FD3178">
          <w:rPr>
            <w:rStyle w:val="Hipervnculo"/>
            <w:rFonts w:ascii="Arial" w:hAnsi="Arial" w:cs="Arial"/>
            <w:sz w:val="20"/>
            <w:szCs w:val="20"/>
            <w:lang w:val="en-US"/>
          </w:rPr>
          <w:t>https://doi.org/10.1016/j.ajmo.2024.100071</w:t>
        </w:r>
      </w:hyperlink>
      <w:r w:rsidRPr="00FD3178">
        <w:rPr>
          <w:rFonts w:ascii="Arial" w:hAnsi="Arial" w:cs="Arial"/>
          <w:sz w:val="20"/>
          <w:szCs w:val="20"/>
          <w:lang w:val="en-US"/>
        </w:rPr>
        <w:t xml:space="preserve"> </w:t>
      </w:r>
    </w:p>
    <w:p w14:paraId="3629273F" w14:textId="498DD66F" w:rsidR="00381DA5" w:rsidRPr="003657EE" w:rsidRDefault="003657EE" w:rsidP="0032794D">
      <w:pPr>
        <w:pStyle w:val="Prrafodelista"/>
        <w:numPr>
          <w:ilvl w:val="0"/>
          <w:numId w:val="31"/>
        </w:numPr>
        <w:spacing w:after="0" w:line="240" w:lineRule="auto"/>
        <w:jc w:val="both"/>
        <w:rPr>
          <w:rFonts w:ascii="Arial" w:hAnsi="Arial" w:cs="Arial"/>
          <w:sz w:val="20"/>
          <w:szCs w:val="20"/>
        </w:rPr>
      </w:pPr>
      <w:r w:rsidRPr="003657EE">
        <w:rPr>
          <w:rFonts w:ascii="Arial" w:hAnsi="Arial" w:cs="Arial"/>
          <w:sz w:val="20"/>
          <w:szCs w:val="20"/>
        </w:rPr>
        <w:t xml:space="preserve">Vázquez, J. B., Menchén, D. A., Lloréns, M. M., &amp; Moreno, J. S. (2022). Manifestaciones sistémicas y extrapulmonares en la COVID-19. Medicine, 13(55), 3235. </w:t>
      </w:r>
      <w:hyperlink r:id="rId38" w:history="1">
        <w:r w:rsidRPr="003657EE">
          <w:rPr>
            <w:rStyle w:val="Hipervnculo"/>
            <w:rFonts w:ascii="Arial" w:hAnsi="Arial" w:cs="Arial"/>
            <w:sz w:val="20"/>
            <w:szCs w:val="20"/>
          </w:rPr>
          <w:t>https://doi.org/10.1016/j.med.2022.05.004</w:t>
        </w:r>
      </w:hyperlink>
      <w:r w:rsidRPr="003657EE">
        <w:rPr>
          <w:rFonts w:ascii="Arial" w:hAnsi="Arial" w:cs="Arial"/>
          <w:sz w:val="20"/>
          <w:szCs w:val="20"/>
        </w:rPr>
        <w:t xml:space="preserve"> </w:t>
      </w:r>
    </w:p>
    <w:p w14:paraId="79157A05" w14:textId="740A103F" w:rsidR="003657EE" w:rsidRDefault="00463BE4" w:rsidP="0032794D">
      <w:pPr>
        <w:pStyle w:val="Prrafodelista"/>
        <w:numPr>
          <w:ilvl w:val="0"/>
          <w:numId w:val="31"/>
        </w:numPr>
        <w:spacing w:after="0" w:line="240" w:lineRule="auto"/>
        <w:jc w:val="both"/>
        <w:rPr>
          <w:rFonts w:ascii="Arial" w:hAnsi="Arial" w:cs="Arial"/>
          <w:sz w:val="20"/>
          <w:szCs w:val="20"/>
        </w:rPr>
      </w:pPr>
      <w:r w:rsidRPr="007D0F0D">
        <w:rPr>
          <w:rFonts w:ascii="Arial" w:hAnsi="Arial" w:cs="Arial"/>
          <w:sz w:val="20"/>
          <w:szCs w:val="20"/>
          <w:lang w:val="de-DE"/>
        </w:rPr>
        <w:t xml:space="preserve">Zeber, J. E., &amp; Khanna, N. (2021). </w:t>
      </w:r>
      <w:r w:rsidRPr="001773C5">
        <w:rPr>
          <w:rFonts w:ascii="Arial" w:hAnsi="Arial" w:cs="Arial"/>
          <w:sz w:val="20"/>
          <w:szCs w:val="20"/>
          <w:lang w:val="en-US"/>
        </w:rPr>
        <w:t xml:space="preserve">Primary care responses to the COVID-19 pandemic. </w:t>
      </w:r>
      <w:r w:rsidRPr="00463BE4">
        <w:rPr>
          <w:rFonts w:ascii="Arial" w:hAnsi="Arial" w:cs="Arial"/>
          <w:sz w:val="20"/>
          <w:szCs w:val="20"/>
        </w:rPr>
        <w:t xml:space="preserve">Family practice, 38(Suppl 1), i1–i2. </w:t>
      </w:r>
      <w:hyperlink r:id="rId39" w:history="1">
        <w:r w:rsidRPr="006022F1">
          <w:rPr>
            <w:rStyle w:val="Hipervnculo"/>
            <w:rFonts w:ascii="Arial" w:hAnsi="Arial" w:cs="Arial"/>
            <w:sz w:val="20"/>
            <w:szCs w:val="20"/>
          </w:rPr>
          <w:t>https://doi.org/10.1093/fampra/cmab087</w:t>
        </w:r>
      </w:hyperlink>
      <w:r>
        <w:rPr>
          <w:rFonts w:ascii="Arial" w:hAnsi="Arial" w:cs="Arial"/>
          <w:sz w:val="20"/>
          <w:szCs w:val="20"/>
        </w:rPr>
        <w:t xml:space="preserve"> </w:t>
      </w:r>
    </w:p>
    <w:p w14:paraId="45909C0E" w14:textId="585C1E6B" w:rsidR="00463BE4" w:rsidRDefault="00F22FE3" w:rsidP="0032794D">
      <w:pPr>
        <w:pStyle w:val="Prrafodelista"/>
        <w:numPr>
          <w:ilvl w:val="0"/>
          <w:numId w:val="31"/>
        </w:numPr>
        <w:spacing w:after="0" w:line="240" w:lineRule="auto"/>
        <w:jc w:val="both"/>
        <w:rPr>
          <w:rFonts w:ascii="Arial" w:hAnsi="Arial" w:cs="Arial"/>
          <w:sz w:val="20"/>
          <w:szCs w:val="20"/>
        </w:rPr>
      </w:pPr>
      <w:r w:rsidRPr="007D0F0D">
        <w:rPr>
          <w:rFonts w:ascii="Arial" w:hAnsi="Arial" w:cs="Arial"/>
          <w:sz w:val="20"/>
          <w:szCs w:val="20"/>
          <w:lang w:val="de-DE"/>
        </w:rPr>
        <w:t xml:space="preserve">Zintel, S., Flock, C., Arbogast, A. L., Forster, A., &amp; Sieverding, M. (2022). </w:t>
      </w:r>
      <w:r w:rsidRPr="00F22FE3">
        <w:rPr>
          <w:rFonts w:ascii="Arial" w:hAnsi="Arial" w:cs="Arial"/>
          <w:sz w:val="20"/>
          <w:szCs w:val="20"/>
          <w:lang w:val="en-US"/>
        </w:rPr>
        <w:t xml:space="preserve">Gender differences in the intention to get vaccinated against COVID-19: A systematic review and meta-analysis. </w:t>
      </w:r>
      <w:r w:rsidRPr="00F22FE3">
        <w:rPr>
          <w:rFonts w:ascii="Arial" w:hAnsi="Arial" w:cs="Arial"/>
          <w:sz w:val="20"/>
          <w:szCs w:val="20"/>
        </w:rPr>
        <w:t xml:space="preserve">Zeitschrift Fur Gesundheitswissenschaften, 1. </w:t>
      </w:r>
      <w:hyperlink r:id="rId40" w:history="1">
        <w:r w:rsidRPr="005E4D4E">
          <w:rPr>
            <w:rStyle w:val="Hipervnculo"/>
            <w:rFonts w:ascii="Arial" w:hAnsi="Arial" w:cs="Arial"/>
            <w:sz w:val="20"/>
            <w:szCs w:val="20"/>
          </w:rPr>
          <w:t>https://doi.org/10.1007/s10389-021-01677-w</w:t>
        </w:r>
      </w:hyperlink>
      <w:r>
        <w:rPr>
          <w:rFonts w:ascii="Arial" w:hAnsi="Arial" w:cs="Arial"/>
          <w:sz w:val="20"/>
          <w:szCs w:val="20"/>
        </w:rPr>
        <w:t xml:space="preserve"> </w:t>
      </w:r>
    </w:p>
    <w:p w14:paraId="0380849C" w14:textId="77777777" w:rsidR="00F22FE3" w:rsidRDefault="00F22FE3" w:rsidP="00F22FE3">
      <w:pPr>
        <w:jc w:val="both"/>
        <w:rPr>
          <w:rFonts w:ascii="Arial" w:hAnsi="Arial" w:cs="Arial"/>
        </w:rPr>
      </w:pPr>
    </w:p>
    <w:sectPr w:rsidR="00F22FE3" w:rsidSect="00C4514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7494" w14:textId="77777777" w:rsidR="00534499" w:rsidRPr="0054404D" w:rsidRDefault="00534499" w:rsidP="00C37E61">
      <w:r w:rsidRPr="0054404D">
        <w:separator/>
      </w:r>
    </w:p>
  </w:endnote>
  <w:endnote w:type="continuationSeparator" w:id="0">
    <w:p w14:paraId="64136280" w14:textId="77777777" w:rsidR="00534499" w:rsidRPr="0054404D" w:rsidRDefault="00534499" w:rsidP="00C37E61">
      <w:r w:rsidRPr="005440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altName w:val="Sylfaen"/>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3E64" w14:textId="77777777" w:rsidR="00D36F74" w:rsidRDefault="00D36F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E543" w14:textId="77777777" w:rsidR="00D36F74" w:rsidRDefault="00D36F7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A79B" w14:textId="77777777" w:rsidR="00D36F74" w:rsidRPr="0054404D" w:rsidRDefault="00D36F74">
    <w:pPr>
      <w:pStyle w:val="Piedepgina"/>
      <w:rPr>
        <w:rFonts w:ascii="Arial" w:hAnsi="Arial" w:cs="Arial"/>
        <w:sz w:val="16"/>
      </w:rPr>
    </w:pPr>
  </w:p>
  <w:p w14:paraId="0BBA9916" w14:textId="77777777" w:rsidR="00D36F74" w:rsidRPr="0054404D" w:rsidRDefault="00D36F74" w:rsidP="009E048A">
    <w:pPr>
      <w:pStyle w:val="Piedepgina"/>
      <w:jc w:val="center"/>
      <w:rPr>
        <w:rFonts w:ascii="Arial" w:hAnsi="Arial" w:cs="Arial"/>
        <w:sz w:val="16"/>
      </w:rPr>
    </w:pPr>
    <w:r w:rsidRPr="0054404D">
      <w:rPr>
        <w:rFonts w:ascii="Arial" w:hAnsi="Arial" w:cs="Arial"/>
        <w:sz w:val="16"/>
      </w:rPr>
      <w:t>____________________________________________________________________________________________</w:t>
    </w:r>
  </w:p>
  <w:p w14:paraId="108FA82D" w14:textId="77777777" w:rsidR="00D36F74" w:rsidRPr="0054404D" w:rsidRDefault="00D36F74">
    <w:pPr>
      <w:pStyle w:val="Piedepgina"/>
      <w:rPr>
        <w:rFonts w:ascii="Arial" w:hAnsi="Arial" w:cs="Arial"/>
        <w:sz w:val="16"/>
      </w:rPr>
    </w:pPr>
  </w:p>
  <w:p w14:paraId="72338F40" w14:textId="77777777" w:rsidR="00D36F74" w:rsidRPr="0054404D" w:rsidRDefault="00D36F74">
    <w:pPr>
      <w:pStyle w:val="Piedepgina"/>
      <w:rPr>
        <w:rFonts w:ascii="Arial" w:hAnsi="Arial" w:cs="Arial"/>
        <w:i/>
        <w:sz w:val="16"/>
      </w:rPr>
    </w:pPr>
    <w:r w:rsidRPr="0054404D">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40BC1" w14:textId="77777777" w:rsidR="00534499" w:rsidRPr="0054404D" w:rsidRDefault="00534499" w:rsidP="00C37E61">
      <w:r w:rsidRPr="0054404D">
        <w:separator/>
      </w:r>
    </w:p>
  </w:footnote>
  <w:footnote w:type="continuationSeparator" w:id="0">
    <w:p w14:paraId="7CD01F4B" w14:textId="77777777" w:rsidR="00534499" w:rsidRPr="0054404D" w:rsidRDefault="00534499" w:rsidP="00C37E61">
      <w:r w:rsidRPr="005440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2AE8" w14:textId="34BADCF7" w:rsidR="00D36F74" w:rsidRDefault="00F173E1">
    <w:pPr>
      <w:pStyle w:val="Encabezado"/>
    </w:pPr>
    <w:r>
      <w:rPr>
        <w:noProof/>
      </w:rPr>
    </w:r>
    <w:r w:rsidR="00F173E1">
      <w:rPr>
        <w:noProof/>
      </w:rPr>
      <w:pict w14:anchorId="751EA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352704" o:spid="_x0000_s1026" type="#_x0000_t136" style="position:absolute;margin-left:0;margin-top:0;width:291.55pt;height:32.3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D516" w14:textId="79E0140A" w:rsidR="00D36F74" w:rsidRDefault="00F173E1">
    <w:pPr>
      <w:pStyle w:val="Encabezado"/>
    </w:pPr>
    <w:r>
      <w:rPr>
        <w:noProof/>
      </w:rPr>
    </w:r>
    <w:r w:rsidR="00F173E1">
      <w:rPr>
        <w:noProof/>
      </w:rPr>
      <w:pict w14:anchorId="4D1A0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352705" o:spid="_x0000_s1027" type="#_x0000_t136" style="position:absolute;margin-left:0;margin-top:0;width:291.55pt;height:32.3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75BF" w14:textId="6A72E0D8" w:rsidR="00D36F74" w:rsidRPr="0054404D" w:rsidRDefault="00F173E1" w:rsidP="00296529">
    <w:pPr>
      <w:ind w:left="2160"/>
      <w:jc w:val="center"/>
      <w:rPr>
        <w:rFonts w:ascii="Times New Roman" w:eastAsia="Calibri" w:hAnsi="Times New Roman"/>
        <w:i/>
        <w:sz w:val="18"/>
        <w:szCs w:val="22"/>
      </w:rPr>
    </w:pPr>
    <w:r>
      <w:rPr>
        <w:noProof/>
      </w:rPr>
    </w:r>
    <w:r w:rsidR="00F173E1">
      <w:rPr>
        <w:noProof/>
      </w:rPr>
      <w:pict w14:anchorId="5FB98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352703" o:spid="_x0000_s1025" type="#_x0000_t136" style="position:absolute;left:0;text-align:left;margin-left:0;margin-top:0;width:291.55pt;height:32.3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A82CDB9" w14:textId="77777777" w:rsidR="00D36F74" w:rsidRPr="0054404D" w:rsidRDefault="00D36F74" w:rsidP="00296529">
    <w:pPr>
      <w:ind w:left="4320"/>
      <w:rPr>
        <w:rFonts w:ascii="Times New Roman" w:eastAsia="Calibri" w:hAnsi="Times New Roman"/>
        <w:i/>
        <w:sz w:val="18"/>
        <w:szCs w:val="22"/>
      </w:rPr>
    </w:pPr>
    <w:r w:rsidRPr="0054404D">
      <w:rPr>
        <w:rFonts w:ascii="Times New Roman" w:eastAsia="Calibri" w:hAnsi="Times New Roman"/>
        <w:i/>
        <w:sz w:val="18"/>
        <w:szCs w:val="22"/>
      </w:rPr>
      <w:t xml:space="preserve">.     </w:t>
    </w:r>
  </w:p>
  <w:p w14:paraId="271AE190" w14:textId="77777777" w:rsidR="00D36F74" w:rsidRPr="0054404D" w:rsidRDefault="00D36F74" w:rsidP="00296529">
    <w:pPr>
      <w:jc w:val="center"/>
      <w:rPr>
        <w:rFonts w:ascii="Times New Roman" w:eastAsia="Calibri" w:hAnsi="Times New Roman"/>
        <w:i/>
        <w:sz w:val="18"/>
        <w:szCs w:val="22"/>
      </w:rPr>
    </w:pPr>
    <w:r w:rsidRPr="0054404D">
      <w:rPr>
        <w:rFonts w:ascii="Times New Roman" w:eastAsia="Calibri" w:hAnsi="Times New Roman"/>
        <w:i/>
        <w:sz w:val="18"/>
        <w:szCs w:val="22"/>
      </w:rPr>
      <w:t>.</w:t>
    </w:r>
  </w:p>
  <w:p w14:paraId="4D4C235C" w14:textId="77777777" w:rsidR="00D36F74" w:rsidRPr="0054404D" w:rsidRDefault="00D36F74" w:rsidP="00296529">
    <w:pPr>
      <w:spacing w:after="200"/>
      <w:jc w:val="center"/>
      <w:rPr>
        <w:rFonts w:ascii="Times New Roman" w:eastAsia="Calibri" w:hAnsi="Times New Roman"/>
        <w:b/>
        <w:i/>
        <w:sz w:val="32"/>
        <w:szCs w:val="22"/>
      </w:rPr>
    </w:pPr>
    <w:r w:rsidRPr="0054404D">
      <w:rPr>
        <w:rFonts w:ascii="Times New Roman" w:eastAsia="Calibri" w:hAnsi="Times New Roman"/>
        <w:b/>
        <w:i/>
        <w:sz w:val="32"/>
        <w:szCs w:val="22"/>
      </w:rPr>
      <w:t xml:space="preserve">              . </w:t>
    </w:r>
  </w:p>
  <w:p w14:paraId="7CF55649" w14:textId="77777777" w:rsidR="00D36F74" w:rsidRPr="0054404D" w:rsidRDefault="00D36F74" w:rsidP="00296529">
    <w:pPr>
      <w:jc w:val="center"/>
      <w:rPr>
        <w:rFonts w:ascii="Times New Roman" w:eastAsia="Calibri" w:hAnsi="Times New Roman"/>
        <w:i/>
        <w:sz w:val="18"/>
        <w:szCs w:val="22"/>
      </w:rPr>
    </w:pPr>
    <w:r w:rsidRPr="0054404D">
      <w:rPr>
        <w:rFonts w:ascii="Times New Roman" w:eastAsia="Calibri" w:hAnsi="Times New Roman"/>
        <w:i/>
        <w:sz w:val="18"/>
        <w:szCs w:val="22"/>
      </w:rPr>
      <w:t xml:space="preserve">                     </w:t>
    </w:r>
  </w:p>
  <w:p w14:paraId="6AFC34DD" w14:textId="77777777" w:rsidR="00D36F74" w:rsidRPr="0054404D" w:rsidRDefault="00D36F74" w:rsidP="00296529">
    <w:pPr>
      <w:tabs>
        <w:tab w:val="left" w:pos="2145"/>
      </w:tabs>
      <w:rPr>
        <w:rFonts w:ascii="Times New Roman" w:eastAsia="Calibri" w:hAnsi="Times New Roman"/>
        <w:i/>
        <w:sz w:val="18"/>
        <w:szCs w:val="22"/>
      </w:rPr>
    </w:pPr>
    <w:r w:rsidRPr="0054404D">
      <w:rPr>
        <w:rFonts w:ascii="Times New Roman" w:eastAsia="Calibri" w:hAnsi="Times New Roman"/>
        <w:i/>
        <w:sz w:val="18"/>
        <w:szCs w:val="22"/>
      </w:rPr>
      <w:tab/>
      <w:t>.</w:t>
    </w:r>
  </w:p>
  <w:p w14:paraId="6884F659" w14:textId="77777777" w:rsidR="00D36F74" w:rsidRPr="0054404D" w:rsidRDefault="00D36F74">
    <w:pPr>
      <w:pStyle w:val="Encabezado"/>
    </w:pPr>
    <w:r w:rsidRPr="0054404D">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7D4626E"/>
    <w:multiLevelType w:val="hybridMultilevel"/>
    <w:tmpl w:val="D9AADC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09E36F6"/>
    <w:multiLevelType w:val="hybridMultilevel"/>
    <w:tmpl w:val="5DA87B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087222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26291787">
    <w:abstractNumId w:val="16"/>
  </w:num>
  <w:num w:numId="3" w16cid:durableId="51127547">
    <w:abstractNumId w:val="25"/>
  </w:num>
  <w:num w:numId="4" w16cid:durableId="207769823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12259352">
    <w:abstractNumId w:val="7"/>
  </w:num>
  <w:num w:numId="6" w16cid:durableId="1543982820">
    <w:abstractNumId w:val="6"/>
  </w:num>
  <w:num w:numId="7" w16cid:durableId="1737240362">
    <w:abstractNumId w:val="1"/>
  </w:num>
  <w:num w:numId="8" w16cid:durableId="1476024328">
    <w:abstractNumId w:val="12"/>
  </w:num>
  <w:num w:numId="9" w16cid:durableId="535855079">
    <w:abstractNumId w:val="27"/>
  </w:num>
  <w:num w:numId="10" w16cid:durableId="1010178555">
    <w:abstractNumId w:val="2"/>
  </w:num>
  <w:num w:numId="11" w16cid:durableId="1487160016">
    <w:abstractNumId w:val="19"/>
  </w:num>
  <w:num w:numId="12" w16cid:durableId="1539121796">
    <w:abstractNumId w:val="3"/>
  </w:num>
  <w:num w:numId="13" w16cid:durableId="1443958652">
    <w:abstractNumId w:val="18"/>
  </w:num>
  <w:num w:numId="14" w16cid:durableId="900748521">
    <w:abstractNumId w:val="8"/>
  </w:num>
  <w:num w:numId="15" w16cid:durableId="71775915">
    <w:abstractNumId w:val="23"/>
  </w:num>
  <w:num w:numId="16" w16cid:durableId="303700733">
    <w:abstractNumId w:val="5"/>
  </w:num>
  <w:num w:numId="17" w16cid:durableId="444274603">
    <w:abstractNumId w:val="24"/>
  </w:num>
  <w:num w:numId="18" w16cid:durableId="821002017">
    <w:abstractNumId w:val="14"/>
  </w:num>
  <w:num w:numId="19" w16cid:durableId="444036366">
    <w:abstractNumId w:val="30"/>
  </w:num>
  <w:num w:numId="20" w16cid:durableId="1792507770">
    <w:abstractNumId w:val="11"/>
  </w:num>
  <w:num w:numId="21" w16cid:durableId="1137378400">
    <w:abstractNumId w:val="9"/>
  </w:num>
  <w:num w:numId="22" w16cid:durableId="1927424881">
    <w:abstractNumId w:val="13"/>
  </w:num>
  <w:num w:numId="23" w16cid:durableId="412432904">
    <w:abstractNumId w:val="21"/>
  </w:num>
  <w:num w:numId="24" w16cid:durableId="746537962">
    <w:abstractNumId w:val="28"/>
  </w:num>
  <w:num w:numId="25" w16cid:durableId="507672177">
    <w:abstractNumId w:val="4"/>
  </w:num>
  <w:num w:numId="26" w16cid:durableId="835195845">
    <w:abstractNumId w:val="17"/>
  </w:num>
  <w:num w:numId="27" w16cid:durableId="905650302">
    <w:abstractNumId w:val="22"/>
  </w:num>
  <w:num w:numId="28" w16cid:durableId="862131612">
    <w:abstractNumId w:val="29"/>
  </w:num>
  <w:num w:numId="29" w16cid:durableId="500969866">
    <w:abstractNumId w:val="26"/>
  </w:num>
  <w:num w:numId="30" w16cid:durableId="770324353">
    <w:abstractNumId w:val="10"/>
  </w:num>
  <w:num w:numId="31" w16cid:durableId="1174493979">
    <w:abstractNumId w:val="15"/>
  </w:num>
  <w:num w:numId="32" w16cid:durableId="14391370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370"/>
    <w:rsid w:val="0000289E"/>
    <w:rsid w:val="000132A4"/>
    <w:rsid w:val="00020DFD"/>
    <w:rsid w:val="00022946"/>
    <w:rsid w:val="000252CC"/>
    <w:rsid w:val="00026694"/>
    <w:rsid w:val="00030174"/>
    <w:rsid w:val="000302ED"/>
    <w:rsid w:val="000330F0"/>
    <w:rsid w:val="00034843"/>
    <w:rsid w:val="0003511C"/>
    <w:rsid w:val="000361A4"/>
    <w:rsid w:val="000375EE"/>
    <w:rsid w:val="000429A3"/>
    <w:rsid w:val="0004579C"/>
    <w:rsid w:val="000471B4"/>
    <w:rsid w:val="000526E9"/>
    <w:rsid w:val="00054C46"/>
    <w:rsid w:val="000554BF"/>
    <w:rsid w:val="00055970"/>
    <w:rsid w:val="00056815"/>
    <w:rsid w:val="0005717F"/>
    <w:rsid w:val="000632C6"/>
    <w:rsid w:val="00065358"/>
    <w:rsid w:val="000655B7"/>
    <w:rsid w:val="00065A5B"/>
    <w:rsid w:val="00070926"/>
    <w:rsid w:val="0007598E"/>
    <w:rsid w:val="0007780E"/>
    <w:rsid w:val="00084A11"/>
    <w:rsid w:val="000858B9"/>
    <w:rsid w:val="00087168"/>
    <w:rsid w:val="00087F81"/>
    <w:rsid w:val="00093F73"/>
    <w:rsid w:val="00094BC9"/>
    <w:rsid w:val="000A1284"/>
    <w:rsid w:val="000A2143"/>
    <w:rsid w:val="000A21EE"/>
    <w:rsid w:val="000A47FA"/>
    <w:rsid w:val="000A65D3"/>
    <w:rsid w:val="000B1137"/>
    <w:rsid w:val="000B1E33"/>
    <w:rsid w:val="000B616D"/>
    <w:rsid w:val="000C190A"/>
    <w:rsid w:val="000C3FFA"/>
    <w:rsid w:val="000C6330"/>
    <w:rsid w:val="000D38D3"/>
    <w:rsid w:val="000D4C97"/>
    <w:rsid w:val="000D689F"/>
    <w:rsid w:val="000E115A"/>
    <w:rsid w:val="000E1B92"/>
    <w:rsid w:val="000E1FC0"/>
    <w:rsid w:val="000E7B7B"/>
    <w:rsid w:val="000E7D62"/>
    <w:rsid w:val="000F3CBF"/>
    <w:rsid w:val="000F7B09"/>
    <w:rsid w:val="001007F6"/>
    <w:rsid w:val="00102245"/>
    <w:rsid w:val="00102B74"/>
    <w:rsid w:val="00103357"/>
    <w:rsid w:val="00107359"/>
    <w:rsid w:val="001135E3"/>
    <w:rsid w:val="00113660"/>
    <w:rsid w:val="00115D19"/>
    <w:rsid w:val="0012309D"/>
    <w:rsid w:val="00123C9F"/>
    <w:rsid w:val="00123E74"/>
    <w:rsid w:val="00123FC7"/>
    <w:rsid w:val="00124DFD"/>
    <w:rsid w:val="0012524D"/>
    <w:rsid w:val="00126190"/>
    <w:rsid w:val="001274FA"/>
    <w:rsid w:val="001302B1"/>
    <w:rsid w:val="00130F17"/>
    <w:rsid w:val="001310CA"/>
    <w:rsid w:val="0013110F"/>
    <w:rsid w:val="001320BF"/>
    <w:rsid w:val="00133E95"/>
    <w:rsid w:val="001378DA"/>
    <w:rsid w:val="0014502A"/>
    <w:rsid w:val="00147007"/>
    <w:rsid w:val="00150C62"/>
    <w:rsid w:val="001515E7"/>
    <w:rsid w:val="0015182C"/>
    <w:rsid w:val="0015186F"/>
    <w:rsid w:val="0015255C"/>
    <w:rsid w:val="00152E32"/>
    <w:rsid w:val="00153D50"/>
    <w:rsid w:val="00154391"/>
    <w:rsid w:val="00155A5A"/>
    <w:rsid w:val="00155BE4"/>
    <w:rsid w:val="00161EE6"/>
    <w:rsid w:val="00163BC4"/>
    <w:rsid w:val="00167606"/>
    <w:rsid w:val="001700F7"/>
    <w:rsid w:val="001748A0"/>
    <w:rsid w:val="00174AC1"/>
    <w:rsid w:val="001773C5"/>
    <w:rsid w:val="00180638"/>
    <w:rsid w:val="00181945"/>
    <w:rsid w:val="00181E21"/>
    <w:rsid w:val="0018332E"/>
    <w:rsid w:val="0018432A"/>
    <w:rsid w:val="001856A5"/>
    <w:rsid w:val="001856EE"/>
    <w:rsid w:val="001859F3"/>
    <w:rsid w:val="00191062"/>
    <w:rsid w:val="00192B72"/>
    <w:rsid w:val="00194B7C"/>
    <w:rsid w:val="0019549D"/>
    <w:rsid w:val="00196DAA"/>
    <w:rsid w:val="001A29D8"/>
    <w:rsid w:val="001A3AED"/>
    <w:rsid w:val="001A3FC1"/>
    <w:rsid w:val="001A4CC4"/>
    <w:rsid w:val="001A5CAA"/>
    <w:rsid w:val="001A5D0D"/>
    <w:rsid w:val="001A7925"/>
    <w:rsid w:val="001B0427"/>
    <w:rsid w:val="001B172C"/>
    <w:rsid w:val="001B309C"/>
    <w:rsid w:val="001B4179"/>
    <w:rsid w:val="001B7F21"/>
    <w:rsid w:val="001C3C28"/>
    <w:rsid w:val="001C45F2"/>
    <w:rsid w:val="001C7AB2"/>
    <w:rsid w:val="001D1C0A"/>
    <w:rsid w:val="001D22F8"/>
    <w:rsid w:val="001D2F33"/>
    <w:rsid w:val="001D3519"/>
    <w:rsid w:val="001D3A51"/>
    <w:rsid w:val="001D71B0"/>
    <w:rsid w:val="001E10D2"/>
    <w:rsid w:val="001E25B4"/>
    <w:rsid w:val="001E3763"/>
    <w:rsid w:val="001E44FE"/>
    <w:rsid w:val="001E53FF"/>
    <w:rsid w:val="001F09D0"/>
    <w:rsid w:val="001F18FC"/>
    <w:rsid w:val="001F2314"/>
    <w:rsid w:val="001F2A7C"/>
    <w:rsid w:val="001F57C5"/>
    <w:rsid w:val="00200595"/>
    <w:rsid w:val="00200FD9"/>
    <w:rsid w:val="0020350E"/>
    <w:rsid w:val="00204835"/>
    <w:rsid w:val="00206560"/>
    <w:rsid w:val="002108D0"/>
    <w:rsid w:val="00210D18"/>
    <w:rsid w:val="0021345D"/>
    <w:rsid w:val="0021534C"/>
    <w:rsid w:val="00216CF8"/>
    <w:rsid w:val="0021706F"/>
    <w:rsid w:val="00217C3B"/>
    <w:rsid w:val="00225D3C"/>
    <w:rsid w:val="002269D9"/>
    <w:rsid w:val="00227DE4"/>
    <w:rsid w:val="00231920"/>
    <w:rsid w:val="0023195C"/>
    <w:rsid w:val="00232064"/>
    <w:rsid w:val="002346B5"/>
    <w:rsid w:val="00234856"/>
    <w:rsid w:val="00234C6B"/>
    <w:rsid w:val="00236B03"/>
    <w:rsid w:val="002370CA"/>
    <w:rsid w:val="00237968"/>
    <w:rsid w:val="0024282C"/>
    <w:rsid w:val="002456DE"/>
    <w:rsid w:val="002460DC"/>
    <w:rsid w:val="00246461"/>
    <w:rsid w:val="00250985"/>
    <w:rsid w:val="002510E2"/>
    <w:rsid w:val="0025140E"/>
    <w:rsid w:val="002520DE"/>
    <w:rsid w:val="00252288"/>
    <w:rsid w:val="00253BC6"/>
    <w:rsid w:val="00254321"/>
    <w:rsid w:val="002556F6"/>
    <w:rsid w:val="00256D0D"/>
    <w:rsid w:val="002603DA"/>
    <w:rsid w:val="002630C9"/>
    <w:rsid w:val="00271BAB"/>
    <w:rsid w:val="00272A65"/>
    <w:rsid w:val="00272B09"/>
    <w:rsid w:val="00273038"/>
    <w:rsid w:val="00283105"/>
    <w:rsid w:val="002837BD"/>
    <w:rsid w:val="00284497"/>
    <w:rsid w:val="00284C4C"/>
    <w:rsid w:val="00286D4D"/>
    <w:rsid w:val="00287E68"/>
    <w:rsid w:val="00291903"/>
    <w:rsid w:val="002944D1"/>
    <w:rsid w:val="002955E3"/>
    <w:rsid w:val="00296529"/>
    <w:rsid w:val="00297E5B"/>
    <w:rsid w:val="002A27C5"/>
    <w:rsid w:val="002A3B84"/>
    <w:rsid w:val="002A418B"/>
    <w:rsid w:val="002A67EA"/>
    <w:rsid w:val="002B02B2"/>
    <w:rsid w:val="002B0BEF"/>
    <w:rsid w:val="002B27FB"/>
    <w:rsid w:val="002B685A"/>
    <w:rsid w:val="002C3523"/>
    <w:rsid w:val="002C366A"/>
    <w:rsid w:val="002C57D2"/>
    <w:rsid w:val="002D383A"/>
    <w:rsid w:val="002D3907"/>
    <w:rsid w:val="002D5B1B"/>
    <w:rsid w:val="002D6B2B"/>
    <w:rsid w:val="002E0D56"/>
    <w:rsid w:val="002E0F31"/>
    <w:rsid w:val="002E1A16"/>
    <w:rsid w:val="002E43A5"/>
    <w:rsid w:val="002E5A4F"/>
    <w:rsid w:val="002E5C8E"/>
    <w:rsid w:val="002F039B"/>
    <w:rsid w:val="002F04AF"/>
    <w:rsid w:val="002F0814"/>
    <w:rsid w:val="002F1716"/>
    <w:rsid w:val="002F3313"/>
    <w:rsid w:val="002F5367"/>
    <w:rsid w:val="002F5454"/>
    <w:rsid w:val="002F592D"/>
    <w:rsid w:val="002F644E"/>
    <w:rsid w:val="002F6FE0"/>
    <w:rsid w:val="003025D1"/>
    <w:rsid w:val="00305A1B"/>
    <w:rsid w:val="00310013"/>
    <w:rsid w:val="00310BD1"/>
    <w:rsid w:val="00311EE5"/>
    <w:rsid w:val="00312D15"/>
    <w:rsid w:val="00313B9C"/>
    <w:rsid w:val="00315186"/>
    <w:rsid w:val="00316002"/>
    <w:rsid w:val="003161F9"/>
    <w:rsid w:val="00320175"/>
    <w:rsid w:val="0032319B"/>
    <w:rsid w:val="00324B27"/>
    <w:rsid w:val="00325841"/>
    <w:rsid w:val="0032794D"/>
    <w:rsid w:val="00331120"/>
    <w:rsid w:val="00331BE1"/>
    <w:rsid w:val="0033343E"/>
    <w:rsid w:val="00342D26"/>
    <w:rsid w:val="003436EF"/>
    <w:rsid w:val="0034440F"/>
    <w:rsid w:val="0034793D"/>
    <w:rsid w:val="00350D83"/>
    <w:rsid w:val="003512C2"/>
    <w:rsid w:val="00351B1C"/>
    <w:rsid w:val="00353AE5"/>
    <w:rsid w:val="003568E1"/>
    <w:rsid w:val="00360388"/>
    <w:rsid w:val="0036208B"/>
    <w:rsid w:val="003639D4"/>
    <w:rsid w:val="003657EE"/>
    <w:rsid w:val="00367FF0"/>
    <w:rsid w:val="00371FB6"/>
    <w:rsid w:val="00372BF5"/>
    <w:rsid w:val="00373B00"/>
    <w:rsid w:val="003763C1"/>
    <w:rsid w:val="00376BBE"/>
    <w:rsid w:val="003772F4"/>
    <w:rsid w:val="00381DA5"/>
    <w:rsid w:val="003829AB"/>
    <w:rsid w:val="00383524"/>
    <w:rsid w:val="00383B36"/>
    <w:rsid w:val="003872A1"/>
    <w:rsid w:val="00390EF1"/>
    <w:rsid w:val="0039224F"/>
    <w:rsid w:val="00394E78"/>
    <w:rsid w:val="003953A8"/>
    <w:rsid w:val="00396E29"/>
    <w:rsid w:val="003A016A"/>
    <w:rsid w:val="003A43A4"/>
    <w:rsid w:val="003A5E45"/>
    <w:rsid w:val="003A7E18"/>
    <w:rsid w:val="003B142F"/>
    <w:rsid w:val="003B370E"/>
    <w:rsid w:val="003B4484"/>
    <w:rsid w:val="003B5368"/>
    <w:rsid w:val="003C15C5"/>
    <w:rsid w:val="003C161F"/>
    <w:rsid w:val="003C499B"/>
    <w:rsid w:val="003C4C86"/>
    <w:rsid w:val="003C4D5D"/>
    <w:rsid w:val="003C6258"/>
    <w:rsid w:val="003C67BB"/>
    <w:rsid w:val="003C7465"/>
    <w:rsid w:val="003D19BA"/>
    <w:rsid w:val="003D224B"/>
    <w:rsid w:val="003E0BA8"/>
    <w:rsid w:val="003E250A"/>
    <w:rsid w:val="003E2904"/>
    <w:rsid w:val="003E3775"/>
    <w:rsid w:val="003E37BB"/>
    <w:rsid w:val="003E4483"/>
    <w:rsid w:val="003E5443"/>
    <w:rsid w:val="003E57BD"/>
    <w:rsid w:val="003E7BA8"/>
    <w:rsid w:val="003E7D4C"/>
    <w:rsid w:val="003F24A4"/>
    <w:rsid w:val="003F4927"/>
    <w:rsid w:val="00400F85"/>
    <w:rsid w:val="00401927"/>
    <w:rsid w:val="0040278D"/>
    <w:rsid w:val="0040301C"/>
    <w:rsid w:val="004034EB"/>
    <w:rsid w:val="00407B5E"/>
    <w:rsid w:val="0041027F"/>
    <w:rsid w:val="00411BC4"/>
    <w:rsid w:val="00412475"/>
    <w:rsid w:val="00415D84"/>
    <w:rsid w:val="00415E51"/>
    <w:rsid w:val="00423789"/>
    <w:rsid w:val="00423A65"/>
    <w:rsid w:val="00423BF0"/>
    <w:rsid w:val="00425788"/>
    <w:rsid w:val="00425A91"/>
    <w:rsid w:val="00426317"/>
    <w:rsid w:val="00426610"/>
    <w:rsid w:val="0042796D"/>
    <w:rsid w:val="00434C43"/>
    <w:rsid w:val="00435FE5"/>
    <w:rsid w:val="00440D9B"/>
    <w:rsid w:val="00440F43"/>
    <w:rsid w:val="00441278"/>
    <w:rsid w:val="004414DB"/>
    <w:rsid w:val="00441ABC"/>
    <w:rsid w:val="00441B6F"/>
    <w:rsid w:val="00446221"/>
    <w:rsid w:val="00446636"/>
    <w:rsid w:val="00446D99"/>
    <w:rsid w:val="00450E62"/>
    <w:rsid w:val="004539DB"/>
    <w:rsid w:val="00453B98"/>
    <w:rsid w:val="00454703"/>
    <w:rsid w:val="00455515"/>
    <w:rsid w:val="00456291"/>
    <w:rsid w:val="004578E9"/>
    <w:rsid w:val="004614A6"/>
    <w:rsid w:val="004620A2"/>
    <w:rsid w:val="00463BE4"/>
    <w:rsid w:val="004675AD"/>
    <w:rsid w:val="00471A80"/>
    <w:rsid w:val="004729A0"/>
    <w:rsid w:val="00474AD0"/>
    <w:rsid w:val="00480B29"/>
    <w:rsid w:val="004818D6"/>
    <w:rsid w:val="004828FD"/>
    <w:rsid w:val="0048344C"/>
    <w:rsid w:val="00484845"/>
    <w:rsid w:val="0048499D"/>
    <w:rsid w:val="00491795"/>
    <w:rsid w:val="0049684C"/>
    <w:rsid w:val="004978D8"/>
    <w:rsid w:val="004A10BF"/>
    <w:rsid w:val="004A5D11"/>
    <w:rsid w:val="004A695A"/>
    <w:rsid w:val="004B1535"/>
    <w:rsid w:val="004B1D49"/>
    <w:rsid w:val="004B2EF5"/>
    <w:rsid w:val="004B33C9"/>
    <w:rsid w:val="004B3E3A"/>
    <w:rsid w:val="004B3FB5"/>
    <w:rsid w:val="004B41CE"/>
    <w:rsid w:val="004B435E"/>
    <w:rsid w:val="004B78E9"/>
    <w:rsid w:val="004C0900"/>
    <w:rsid w:val="004C2C99"/>
    <w:rsid w:val="004C36BD"/>
    <w:rsid w:val="004C4070"/>
    <w:rsid w:val="004C6C55"/>
    <w:rsid w:val="004D2E83"/>
    <w:rsid w:val="004D305E"/>
    <w:rsid w:val="004D4277"/>
    <w:rsid w:val="004D452B"/>
    <w:rsid w:val="004E14BA"/>
    <w:rsid w:val="004E40E0"/>
    <w:rsid w:val="004F0740"/>
    <w:rsid w:val="004F0F0F"/>
    <w:rsid w:val="004F2964"/>
    <w:rsid w:val="004F66EB"/>
    <w:rsid w:val="004F68CA"/>
    <w:rsid w:val="004F6DC1"/>
    <w:rsid w:val="004F6F8D"/>
    <w:rsid w:val="00500E60"/>
    <w:rsid w:val="00500FDB"/>
    <w:rsid w:val="00501747"/>
    <w:rsid w:val="00502516"/>
    <w:rsid w:val="00505F06"/>
    <w:rsid w:val="00506828"/>
    <w:rsid w:val="00506E06"/>
    <w:rsid w:val="0051387D"/>
    <w:rsid w:val="00520940"/>
    <w:rsid w:val="0052425A"/>
    <w:rsid w:val="00526459"/>
    <w:rsid w:val="0053056E"/>
    <w:rsid w:val="00534499"/>
    <w:rsid w:val="0053637F"/>
    <w:rsid w:val="00537310"/>
    <w:rsid w:val="005424D1"/>
    <w:rsid w:val="00542CC2"/>
    <w:rsid w:val="0054404D"/>
    <w:rsid w:val="00545392"/>
    <w:rsid w:val="00547A33"/>
    <w:rsid w:val="00547D0C"/>
    <w:rsid w:val="00554FDA"/>
    <w:rsid w:val="00555112"/>
    <w:rsid w:val="005573BE"/>
    <w:rsid w:val="00560571"/>
    <w:rsid w:val="00563143"/>
    <w:rsid w:val="00570BF0"/>
    <w:rsid w:val="00571D7A"/>
    <w:rsid w:val="0057376E"/>
    <w:rsid w:val="00574AD2"/>
    <w:rsid w:val="00576343"/>
    <w:rsid w:val="00585059"/>
    <w:rsid w:val="005854BB"/>
    <w:rsid w:val="00585F72"/>
    <w:rsid w:val="00592403"/>
    <w:rsid w:val="0059323C"/>
    <w:rsid w:val="005A2470"/>
    <w:rsid w:val="005A313E"/>
    <w:rsid w:val="005B1496"/>
    <w:rsid w:val="005B5919"/>
    <w:rsid w:val="005B69DD"/>
    <w:rsid w:val="005C1C3E"/>
    <w:rsid w:val="005C436E"/>
    <w:rsid w:val="005C443D"/>
    <w:rsid w:val="005C6123"/>
    <w:rsid w:val="005C784C"/>
    <w:rsid w:val="005D17F6"/>
    <w:rsid w:val="005D5CB5"/>
    <w:rsid w:val="005D67D6"/>
    <w:rsid w:val="005D6FD6"/>
    <w:rsid w:val="005D7291"/>
    <w:rsid w:val="005E2727"/>
    <w:rsid w:val="005E3C7B"/>
    <w:rsid w:val="005E50CF"/>
    <w:rsid w:val="005E5539"/>
    <w:rsid w:val="005E57C3"/>
    <w:rsid w:val="005F2C54"/>
    <w:rsid w:val="005F33D7"/>
    <w:rsid w:val="00602BF5"/>
    <w:rsid w:val="006050FE"/>
    <w:rsid w:val="00605F3B"/>
    <w:rsid w:val="006063EF"/>
    <w:rsid w:val="00606976"/>
    <w:rsid w:val="00606EB6"/>
    <w:rsid w:val="006138E3"/>
    <w:rsid w:val="00614C1C"/>
    <w:rsid w:val="00615779"/>
    <w:rsid w:val="00615A5E"/>
    <w:rsid w:val="00617FDD"/>
    <w:rsid w:val="0062345B"/>
    <w:rsid w:val="00623569"/>
    <w:rsid w:val="00623968"/>
    <w:rsid w:val="00623976"/>
    <w:rsid w:val="00633614"/>
    <w:rsid w:val="00633F68"/>
    <w:rsid w:val="00636E56"/>
    <w:rsid w:val="00636EB2"/>
    <w:rsid w:val="00636F8E"/>
    <w:rsid w:val="006375B8"/>
    <w:rsid w:val="0064399E"/>
    <w:rsid w:val="0065015C"/>
    <w:rsid w:val="00650880"/>
    <w:rsid w:val="006515F1"/>
    <w:rsid w:val="00653EF8"/>
    <w:rsid w:val="00653FFB"/>
    <w:rsid w:val="00656A8C"/>
    <w:rsid w:val="006600D0"/>
    <w:rsid w:val="00660550"/>
    <w:rsid w:val="00661DF9"/>
    <w:rsid w:val="0066241A"/>
    <w:rsid w:val="00662AD3"/>
    <w:rsid w:val="00663E83"/>
    <w:rsid w:val="006648AE"/>
    <w:rsid w:val="0066510A"/>
    <w:rsid w:val="00665C8D"/>
    <w:rsid w:val="006701D2"/>
    <w:rsid w:val="0067033C"/>
    <w:rsid w:val="00670EC7"/>
    <w:rsid w:val="0067238B"/>
    <w:rsid w:val="006729D9"/>
    <w:rsid w:val="00673F9F"/>
    <w:rsid w:val="006777B7"/>
    <w:rsid w:val="0068020E"/>
    <w:rsid w:val="00680985"/>
    <w:rsid w:val="00683132"/>
    <w:rsid w:val="00686953"/>
    <w:rsid w:val="00687DEA"/>
    <w:rsid w:val="00687E67"/>
    <w:rsid w:val="006967F7"/>
    <w:rsid w:val="006A0556"/>
    <w:rsid w:val="006A250C"/>
    <w:rsid w:val="006A3491"/>
    <w:rsid w:val="006A38E3"/>
    <w:rsid w:val="006A5A83"/>
    <w:rsid w:val="006A647E"/>
    <w:rsid w:val="006A6BE2"/>
    <w:rsid w:val="006A71B1"/>
    <w:rsid w:val="006B21D3"/>
    <w:rsid w:val="006B3937"/>
    <w:rsid w:val="006B57D0"/>
    <w:rsid w:val="006B5904"/>
    <w:rsid w:val="006C1ED3"/>
    <w:rsid w:val="006C4657"/>
    <w:rsid w:val="006C5188"/>
    <w:rsid w:val="006C7BE1"/>
    <w:rsid w:val="006D2495"/>
    <w:rsid w:val="006D30FF"/>
    <w:rsid w:val="006D49E1"/>
    <w:rsid w:val="006D6940"/>
    <w:rsid w:val="006D72CC"/>
    <w:rsid w:val="006D74DF"/>
    <w:rsid w:val="006E7273"/>
    <w:rsid w:val="006F11EC"/>
    <w:rsid w:val="006F2133"/>
    <w:rsid w:val="006F2F7C"/>
    <w:rsid w:val="006F4089"/>
    <w:rsid w:val="006F4421"/>
    <w:rsid w:val="006F5022"/>
    <w:rsid w:val="006F56B1"/>
    <w:rsid w:val="006F5A74"/>
    <w:rsid w:val="006F5B86"/>
    <w:rsid w:val="0070082C"/>
    <w:rsid w:val="00701BF9"/>
    <w:rsid w:val="007061FC"/>
    <w:rsid w:val="0071217E"/>
    <w:rsid w:val="00712246"/>
    <w:rsid w:val="007134DE"/>
    <w:rsid w:val="0071376F"/>
    <w:rsid w:val="00713C50"/>
    <w:rsid w:val="00717E89"/>
    <w:rsid w:val="007210A9"/>
    <w:rsid w:val="007216D8"/>
    <w:rsid w:val="0072358B"/>
    <w:rsid w:val="007369E6"/>
    <w:rsid w:val="00742443"/>
    <w:rsid w:val="00746E59"/>
    <w:rsid w:val="007526F0"/>
    <w:rsid w:val="00754C9A"/>
    <w:rsid w:val="0075599A"/>
    <w:rsid w:val="00760142"/>
    <w:rsid w:val="00760853"/>
    <w:rsid w:val="00761816"/>
    <w:rsid w:val="0076181E"/>
    <w:rsid w:val="00761D52"/>
    <w:rsid w:val="007627CF"/>
    <w:rsid w:val="0076502E"/>
    <w:rsid w:val="00765A2B"/>
    <w:rsid w:val="00765BAD"/>
    <w:rsid w:val="00767718"/>
    <w:rsid w:val="00771CF1"/>
    <w:rsid w:val="00773678"/>
    <w:rsid w:val="00774472"/>
    <w:rsid w:val="0077749E"/>
    <w:rsid w:val="007805E2"/>
    <w:rsid w:val="007831D9"/>
    <w:rsid w:val="00787EB8"/>
    <w:rsid w:val="00790ADA"/>
    <w:rsid w:val="007939A6"/>
    <w:rsid w:val="00795B14"/>
    <w:rsid w:val="00796CF8"/>
    <w:rsid w:val="00796D46"/>
    <w:rsid w:val="00797B6D"/>
    <w:rsid w:val="007A017B"/>
    <w:rsid w:val="007B01AE"/>
    <w:rsid w:val="007B101D"/>
    <w:rsid w:val="007B25B1"/>
    <w:rsid w:val="007B3602"/>
    <w:rsid w:val="007B396F"/>
    <w:rsid w:val="007B5C8C"/>
    <w:rsid w:val="007C5FDD"/>
    <w:rsid w:val="007D0F0D"/>
    <w:rsid w:val="007D2288"/>
    <w:rsid w:val="007D30C0"/>
    <w:rsid w:val="007D6478"/>
    <w:rsid w:val="007D78B1"/>
    <w:rsid w:val="007E03B8"/>
    <w:rsid w:val="007E088F"/>
    <w:rsid w:val="007E1780"/>
    <w:rsid w:val="007E38FA"/>
    <w:rsid w:val="007E4412"/>
    <w:rsid w:val="007E54C8"/>
    <w:rsid w:val="007E7F04"/>
    <w:rsid w:val="007F1B0E"/>
    <w:rsid w:val="007F7B32"/>
    <w:rsid w:val="00800012"/>
    <w:rsid w:val="00804241"/>
    <w:rsid w:val="00804989"/>
    <w:rsid w:val="00804BC2"/>
    <w:rsid w:val="0081431A"/>
    <w:rsid w:val="008162B5"/>
    <w:rsid w:val="00820900"/>
    <w:rsid w:val="00822522"/>
    <w:rsid w:val="008240C4"/>
    <w:rsid w:val="00824226"/>
    <w:rsid w:val="00824674"/>
    <w:rsid w:val="008268A7"/>
    <w:rsid w:val="00827EC4"/>
    <w:rsid w:val="0083216F"/>
    <w:rsid w:val="00833672"/>
    <w:rsid w:val="00833E15"/>
    <w:rsid w:val="00834052"/>
    <w:rsid w:val="0083536C"/>
    <w:rsid w:val="008437B2"/>
    <w:rsid w:val="00846D11"/>
    <w:rsid w:val="00855FEC"/>
    <w:rsid w:val="00860000"/>
    <w:rsid w:val="008601DC"/>
    <w:rsid w:val="008609D7"/>
    <w:rsid w:val="00860B4B"/>
    <w:rsid w:val="0086141A"/>
    <w:rsid w:val="008629F7"/>
    <w:rsid w:val="00863BD3"/>
    <w:rsid w:val="008641ED"/>
    <w:rsid w:val="00864A71"/>
    <w:rsid w:val="00866D66"/>
    <w:rsid w:val="008671C6"/>
    <w:rsid w:val="00870FC9"/>
    <w:rsid w:val="00872A1C"/>
    <w:rsid w:val="00873F35"/>
    <w:rsid w:val="00874698"/>
    <w:rsid w:val="00874F7B"/>
    <w:rsid w:val="00875803"/>
    <w:rsid w:val="00876975"/>
    <w:rsid w:val="00881E22"/>
    <w:rsid w:val="00885756"/>
    <w:rsid w:val="0088650A"/>
    <w:rsid w:val="00892D39"/>
    <w:rsid w:val="00893E8A"/>
    <w:rsid w:val="00896F28"/>
    <w:rsid w:val="00897FEC"/>
    <w:rsid w:val="008A06EF"/>
    <w:rsid w:val="008A259A"/>
    <w:rsid w:val="008A3056"/>
    <w:rsid w:val="008A3058"/>
    <w:rsid w:val="008A47A8"/>
    <w:rsid w:val="008A55C4"/>
    <w:rsid w:val="008A755B"/>
    <w:rsid w:val="008B459E"/>
    <w:rsid w:val="008B75FD"/>
    <w:rsid w:val="008C1F30"/>
    <w:rsid w:val="008C2E34"/>
    <w:rsid w:val="008C6C92"/>
    <w:rsid w:val="008C7F86"/>
    <w:rsid w:val="008D6293"/>
    <w:rsid w:val="008E00E1"/>
    <w:rsid w:val="008E13AE"/>
    <w:rsid w:val="008E1506"/>
    <w:rsid w:val="008E27B1"/>
    <w:rsid w:val="008E4170"/>
    <w:rsid w:val="008E51E8"/>
    <w:rsid w:val="008E5A0D"/>
    <w:rsid w:val="008E5B53"/>
    <w:rsid w:val="008E710C"/>
    <w:rsid w:val="008F0C48"/>
    <w:rsid w:val="008F39F5"/>
    <w:rsid w:val="008F69D6"/>
    <w:rsid w:val="008F7F74"/>
    <w:rsid w:val="009001E3"/>
    <w:rsid w:val="00902823"/>
    <w:rsid w:val="00904BCF"/>
    <w:rsid w:val="009103D4"/>
    <w:rsid w:val="00912C31"/>
    <w:rsid w:val="00912E19"/>
    <w:rsid w:val="00915CA6"/>
    <w:rsid w:val="009168C5"/>
    <w:rsid w:val="0092083D"/>
    <w:rsid w:val="00920F35"/>
    <w:rsid w:val="0092203B"/>
    <w:rsid w:val="0092647D"/>
    <w:rsid w:val="009268CE"/>
    <w:rsid w:val="00926A41"/>
    <w:rsid w:val="00927834"/>
    <w:rsid w:val="0093050F"/>
    <w:rsid w:val="00930E88"/>
    <w:rsid w:val="009312B8"/>
    <w:rsid w:val="0093359B"/>
    <w:rsid w:val="00937DCE"/>
    <w:rsid w:val="00941636"/>
    <w:rsid w:val="00945C92"/>
    <w:rsid w:val="009475BD"/>
    <w:rsid w:val="009500A6"/>
    <w:rsid w:val="009518D6"/>
    <w:rsid w:val="009544C0"/>
    <w:rsid w:val="00956970"/>
    <w:rsid w:val="00957C18"/>
    <w:rsid w:val="00960A6A"/>
    <w:rsid w:val="00961410"/>
    <w:rsid w:val="00961DA2"/>
    <w:rsid w:val="0096397B"/>
    <w:rsid w:val="00965559"/>
    <w:rsid w:val="009659BA"/>
    <w:rsid w:val="00967155"/>
    <w:rsid w:val="00970D49"/>
    <w:rsid w:val="00971074"/>
    <w:rsid w:val="0097299C"/>
    <w:rsid w:val="009745F2"/>
    <w:rsid w:val="00983040"/>
    <w:rsid w:val="00983CE8"/>
    <w:rsid w:val="00985389"/>
    <w:rsid w:val="009857F3"/>
    <w:rsid w:val="00987417"/>
    <w:rsid w:val="009915C5"/>
    <w:rsid w:val="00992AF4"/>
    <w:rsid w:val="00993BBC"/>
    <w:rsid w:val="00996363"/>
    <w:rsid w:val="00996569"/>
    <w:rsid w:val="009A28D2"/>
    <w:rsid w:val="009A2958"/>
    <w:rsid w:val="009A36E4"/>
    <w:rsid w:val="009A3E4A"/>
    <w:rsid w:val="009A70EA"/>
    <w:rsid w:val="009B003A"/>
    <w:rsid w:val="009B164B"/>
    <w:rsid w:val="009B1C0A"/>
    <w:rsid w:val="009B20AE"/>
    <w:rsid w:val="009B2ADB"/>
    <w:rsid w:val="009B3613"/>
    <w:rsid w:val="009B3FB9"/>
    <w:rsid w:val="009B427A"/>
    <w:rsid w:val="009B7793"/>
    <w:rsid w:val="009C2465"/>
    <w:rsid w:val="009D042C"/>
    <w:rsid w:val="009D35A0"/>
    <w:rsid w:val="009D6332"/>
    <w:rsid w:val="009D7EB7"/>
    <w:rsid w:val="009E048A"/>
    <w:rsid w:val="009E08E9"/>
    <w:rsid w:val="009E10E5"/>
    <w:rsid w:val="009E2081"/>
    <w:rsid w:val="009E2E36"/>
    <w:rsid w:val="009E32DB"/>
    <w:rsid w:val="009E3DB9"/>
    <w:rsid w:val="009E4487"/>
    <w:rsid w:val="009E6E35"/>
    <w:rsid w:val="009F0EDA"/>
    <w:rsid w:val="009F43DD"/>
    <w:rsid w:val="00A03B96"/>
    <w:rsid w:val="00A04951"/>
    <w:rsid w:val="00A05B19"/>
    <w:rsid w:val="00A1134E"/>
    <w:rsid w:val="00A11B9F"/>
    <w:rsid w:val="00A128B0"/>
    <w:rsid w:val="00A13056"/>
    <w:rsid w:val="00A1396C"/>
    <w:rsid w:val="00A14788"/>
    <w:rsid w:val="00A16BE1"/>
    <w:rsid w:val="00A22C84"/>
    <w:rsid w:val="00A22CD4"/>
    <w:rsid w:val="00A24365"/>
    <w:rsid w:val="00A24E7E"/>
    <w:rsid w:val="00A258C3"/>
    <w:rsid w:val="00A27614"/>
    <w:rsid w:val="00A31430"/>
    <w:rsid w:val="00A330EB"/>
    <w:rsid w:val="00A3404D"/>
    <w:rsid w:val="00A347C0"/>
    <w:rsid w:val="00A34E54"/>
    <w:rsid w:val="00A3531F"/>
    <w:rsid w:val="00A51431"/>
    <w:rsid w:val="00A5325C"/>
    <w:rsid w:val="00A539AD"/>
    <w:rsid w:val="00A54219"/>
    <w:rsid w:val="00A566FF"/>
    <w:rsid w:val="00A57B20"/>
    <w:rsid w:val="00A6291A"/>
    <w:rsid w:val="00A64E76"/>
    <w:rsid w:val="00A66F97"/>
    <w:rsid w:val="00A679D5"/>
    <w:rsid w:val="00A67B31"/>
    <w:rsid w:val="00A72A14"/>
    <w:rsid w:val="00A74237"/>
    <w:rsid w:val="00A747D4"/>
    <w:rsid w:val="00A75888"/>
    <w:rsid w:val="00A80E00"/>
    <w:rsid w:val="00A81295"/>
    <w:rsid w:val="00A813E9"/>
    <w:rsid w:val="00A8263C"/>
    <w:rsid w:val="00A84E7F"/>
    <w:rsid w:val="00A86C67"/>
    <w:rsid w:val="00A94063"/>
    <w:rsid w:val="00A95C1F"/>
    <w:rsid w:val="00A972C7"/>
    <w:rsid w:val="00AA40B3"/>
    <w:rsid w:val="00AA4694"/>
    <w:rsid w:val="00AA540F"/>
    <w:rsid w:val="00AA574D"/>
    <w:rsid w:val="00AA6219"/>
    <w:rsid w:val="00AA6B04"/>
    <w:rsid w:val="00AA74E0"/>
    <w:rsid w:val="00AB062A"/>
    <w:rsid w:val="00AB0D32"/>
    <w:rsid w:val="00AB1345"/>
    <w:rsid w:val="00AB38CB"/>
    <w:rsid w:val="00AB5827"/>
    <w:rsid w:val="00AB703F"/>
    <w:rsid w:val="00AC10BD"/>
    <w:rsid w:val="00AC1ABC"/>
    <w:rsid w:val="00AC2139"/>
    <w:rsid w:val="00AC3548"/>
    <w:rsid w:val="00AC6BB8"/>
    <w:rsid w:val="00AD02BB"/>
    <w:rsid w:val="00AD235E"/>
    <w:rsid w:val="00AD32A2"/>
    <w:rsid w:val="00AD401F"/>
    <w:rsid w:val="00AE008F"/>
    <w:rsid w:val="00AE5A94"/>
    <w:rsid w:val="00AF4639"/>
    <w:rsid w:val="00AF6C32"/>
    <w:rsid w:val="00B00258"/>
    <w:rsid w:val="00B01FCD"/>
    <w:rsid w:val="00B0382C"/>
    <w:rsid w:val="00B04C47"/>
    <w:rsid w:val="00B05A75"/>
    <w:rsid w:val="00B07EFA"/>
    <w:rsid w:val="00B13AD2"/>
    <w:rsid w:val="00B15FF9"/>
    <w:rsid w:val="00B1776C"/>
    <w:rsid w:val="00B17CC2"/>
    <w:rsid w:val="00B209D8"/>
    <w:rsid w:val="00B21771"/>
    <w:rsid w:val="00B21854"/>
    <w:rsid w:val="00B2465C"/>
    <w:rsid w:val="00B24950"/>
    <w:rsid w:val="00B263A7"/>
    <w:rsid w:val="00B26844"/>
    <w:rsid w:val="00B33980"/>
    <w:rsid w:val="00B40197"/>
    <w:rsid w:val="00B40D1C"/>
    <w:rsid w:val="00B44D08"/>
    <w:rsid w:val="00B460F8"/>
    <w:rsid w:val="00B46B8E"/>
    <w:rsid w:val="00B47BB7"/>
    <w:rsid w:val="00B52583"/>
    <w:rsid w:val="00B52896"/>
    <w:rsid w:val="00B601E3"/>
    <w:rsid w:val="00B60ECD"/>
    <w:rsid w:val="00B65AF6"/>
    <w:rsid w:val="00B6629A"/>
    <w:rsid w:val="00B7224F"/>
    <w:rsid w:val="00B74220"/>
    <w:rsid w:val="00B76697"/>
    <w:rsid w:val="00B76AFE"/>
    <w:rsid w:val="00B775B7"/>
    <w:rsid w:val="00B80059"/>
    <w:rsid w:val="00B81459"/>
    <w:rsid w:val="00B841CB"/>
    <w:rsid w:val="00B843E8"/>
    <w:rsid w:val="00B91C07"/>
    <w:rsid w:val="00B92685"/>
    <w:rsid w:val="00B92DF2"/>
    <w:rsid w:val="00B94584"/>
    <w:rsid w:val="00B950DB"/>
    <w:rsid w:val="00B95236"/>
    <w:rsid w:val="00B96BD9"/>
    <w:rsid w:val="00BA1B01"/>
    <w:rsid w:val="00BA2228"/>
    <w:rsid w:val="00BA2641"/>
    <w:rsid w:val="00BA47AA"/>
    <w:rsid w:val="00BA6D90"/>
    <w:rsid w:val="00BB07E9"/>
    <w:rsid w:val="00BB0E00"/>
    <w:rsid w:val="00BB37AA"/>
    <w:rsid w:val="00BB6822"/>
    <w:rsid w:val="00BC0421"/>
    <w:rsid w:val="00BC14F3"/>
    <w:rsid w:val="00BC3FC9"/>
    <w:rsid w:val="00BC4492"/>
    <w:rsid w:val="00BC49FD"/>
    <w:rsid w:val="00BC527D"/>
    <w:rsid w:val="00BC53A0"/>
    <w:rsid w:val="00BC5E05"/>
    <w:rsid w:val="00BC6420"/>
    <w:rsid w:val="00BD1A31"/>
    <w:rsid w:val="00BD41CD"/>
    <w:rsid w:val="00BD7D54"/>
    <w:rsid w:val="00BD7D73"/>
    <w:rsid w:val="00BE5101"/>
    <w:rsid w:val="00BE62AD"/>
    <w:rsid w:val="00BF0DEF"/>
    <w:rsid w:val="00BF121F"/>
    <w:rsid w:val="00BF1F80"/>
    <w:rsid w:val="00BF2353"/>
    <w:rsid w:val="00BF3593"/>
    <w:rsid w:val="00BF3CE9"/>
    <w:rsid w:val="00BF5632"/>
    <w:rsid w:val="00BF7522"/>
    <w:rsid w:val="00C01BF6"/>
    <w:rsid w:val="00C01FF7"/>
    <w:rsid w:val="00C02D10"/>
    <w:rsid w:val="00C02EAD"/>
    <w:rsid w:val="00C07E47"/>
    <w:rsid w:val="00C101A5"/>
    <w:rsid w:val="00C126A7"/>
    <w:rsid w:val="00C166EF"/>
    <w:rsid w:val="00C17EB0"/>
    <w:rsid w:val="00C219A3"/>
    <w:rsid w:val="00C21ABE"/>
    <w:rsid w:val="00C21D2E"/>
    <w:rsid w:val="00C22734"/>
    <w:rsid w:val="00C24097"/>
    <w:rsid w:val="00C27F5F"/>
    <w:rsid w:val="00C303FA"/>
    <w:rsid w:val="00C30A0F"/>
    <w:rsid w:val="00C35CBC"/>
    <w:rsid w:val="00C37281"/>
    <w:rsid w:val="00C37E61"/>
    <w:rsid w:val="00C40661"/>
    <w:rsid w:val="00C45146"/>
    <w:rsid w:val="00C4542B"/>
    <w:rsid w:val="00C46840"/>
    <w:rsid w:val="00C46A4D"/>
    <w:rsid w:val="00C504A4"/>
    <w:rsid w:val="00C5405C"/>
    <w:rsid w:val="00C567AC"/>
    <w:rsid w:val="00C57FAD"/>
    <w:rsid w:val="00C61FE7"/>
    <w:rsid w:val="00C66E58"/>
    <w:rsid w:val="00C70F1B"/>
    <w:rsid w:val="00C71249"/>
    <w:rsid w:val="00C71A47"/>
    <w:rsid w:val="00C73B52"/>
    <w:rsid w:val="00C74112"/>
    <w:rsid w:val="00C7464C"/>
    <w:rsid w:val="00C751D3"/>
    <w:rsid w:val="00C77249"/>
    <w:rsid w:val="00C83D23"/>
    <w:rsid w:val="00C85588"/>
    <w:rsid w:val="00C927FD"/>
    <w:rsid w:val="00C94427"/>
    <w:rsid w:val="00C969CA"/>
    <w:rsid w:val="00C96F81"/>
    <w:rsid w:val="00CA042C"/>
    <w:rsid w:val="00CA1F20"/>
    <w:rsid w:val="00CA59B1"/>
    <w:rsid w:val="00CA6FAB"/>
    <w:rsid w:val="00CB1605"/>
    <w:rsid w:val="00CB3221"/>
    <w:rsid w:val="00CB42B7"/>
    <w:rsid w:val="00CB46CE"/>
    <w:rsid w:val="00CB60DE"/>
    <w:rsid w:val="00CB69C9"/>
    <w:rsid w:val="00CB7319"/>
    <w:rsid w:val="00CC0047"/>
    <w:rsid w:val="00CC2332"/>
    <w:rsid w:val="00CC4C1F"/>
    <w:rsid w:val="00CC7335"/>
    <w:rsid w:val="00CC7C1D"/>
    <w:rsid w:val="00CD04B3"/>
    <w:rsid w:val="00CD2549"/>
    <w:rsid w:val="00CD25AE"/>
    <w:rsid w:val="00CD27ED"/>
    <w:rsid w:val="00CD302C"/>
    <w:rsid w:val="00CD6755"/>
    <w:rsid w:val="00CD6856"/>
    <w:rsid w:val="00CD6C87"/>
    <w:rsid w:val="00CD6D9A"/>
    <w:rsid w:val="00CE0089"/>
    <w:rsid w:val="00CE1145"/>
    <w:rsid w:val="00CE158A"/>
    <w:rsid w:val="00CE22D5"/>
    <w:rsid w:val="00CE4FD9"/>
    <w:rsid w:val="00CE5705"/>
    <w:rsid w:val="00CE7693"/>
    <w:rsid w:val="00CE793C"/>
    <w:rsid w:val="00CF03D6"/>
    <w:rsid w:val="00CF193C"/>
    <w:rsid w:val="00CF1E0B"/>
    <w:rsid w:val="00CF288E"/>
    <w:rsid w:val="00CF4C98"/>
    <w:rsid w:val="00CF7181"/>
    <w:rsid w:val="00CF7FC4"/>
    <w:rsid w:val="00D012C8"/>
    <w:rsid w:val="00D0421C"/>
    <w:rsid w:val="00D04C04"/>
    <w:rsid w:val="00D04F09"/>
    <w:rsid w:val="00D0566D"/>
    <w:rsid w:val="00D060E4"/>
    <w:rsid w:val="00D0674D"/>
    <w:rsid w:val="00D13C83"/>
    <w:rsid w:val="00D159D0"/>
    <w:rsid w:val="00D173F1"/>
    <w:rsid w:val="00D176A4"/>
    <w:rsid w:val="00D20FE6"/>
    <w:rsid w:val="00D218AF"/>
    <w:rsid w:val="00D256B6"/>
    <w:rsid w:val="00D25DAB"/>
    <w:rsid w:val="00D26D16"/>
    <w:rsid w:val="00D275F6"/>
    <w:rsid w:val="00D35AA2"/>
    <w:rsid w:val="00D35FC8"/>
    <w:rsid w:val="00D36F74"/>
    <w:rsid w:val="00D40E69"/>
    <w:rsid w:val="00D43034"/>
    <w:rsid w:val="00D43114"/>
    <w:rsid w:val="00D4470F"/>
    <w:rsid w:val="00D44FA3"/>
    <w:rsid w:val="00D467A6"/>
    <w:rsid w:val="00D5085A"/>
    <w:rsid w:val="00D52256"/>
    <w:rsid w:val="00D5628C"/>
    <w:rsid w:val="00D56A94"/>
    <w:rsid w:val="00D61574"/>
    <w:rsid w:val="00D6405B"/>
    <w:rsid w:val="00D65FD8"/>
    <w:rsid w:val="00D70609"/>
    <w:rsid w:val="00D7387F"/>
    <w:rsid w:val="00D74C2D"/>
    <w:rsid w:val="00D74CB0"/>
    <w:rsid w:val="00D74D86"/>
    <w:rsid w:val="00D802E7"/>
    <w:rsid w:val="00D81186"/>
    <w:rsid w:val="00D8176A"/>
    <w:rsid w:val="00D8295D"/>
    <w:rsid w:val="00D873F5"/>
    <w:rsid w:val="00D87463"/>
    <w:rsid w:val="00D9319C"/>
    <w:rsid w:val="00D93E2B"/>
    <w:rsid w:val="00DA01AC"/>
    <w:rsid w:val="00DA03EC"/>
    <w:rsid w:val="00DA2107"/>
    <w:rsid w:val="00DA32DE"/>
    <w:rsid w:val="00DA4A7C"/>
    <w:rsid w:val="00DA5537"/>
    <w:rsid w:val="00DA6738"/>
    <w:rsid w:val="00DA6CCA"/>
    <w:rsid w:val="00DA76F5"/>
    <w:rsid w:val="00DA7ECE"/>
    <w:rsid w:val="00DB1603"/>
    <w:rsid w:val="00DB58D8"/>
    <w:rsid w:val="00DB60CE"/>
    <w:rsid w:val="00DB6541"/>
    <w:rsid w:val="00DC056F"/>
    <w:rsid w:val="00DC13D1"/>
    <w:rsid w:val="00DC2A65"/>
    <w:rsid w:val="00DC6B9A"/>
    <w:rsid w:val="00DD1571"/>
    <w:rsid w:val="00DD4A33"/>
    <w:rsid w:val="00DE0B36"/>
    <w:rsid w:val="00DE15F0"/>
    <w:rsid w:val="00DE4FD7"/>
    <w:rsid w:val="00DE5663"/>
    <w:rsid w:val="00DE78AA"/>
    <w:rsid w:val="00DE7E24"/>
    <w:rsid w:val="00DF1A7F"/>
    <w:rsid w:val="00DF2552"/>
    <w:rsid w:val="00DF2964"/>
    <w:rsid w:val="00DF472A"/>
    <w:rsid w:val="00DF696D"/>
    <w:rsid w:val="00E00935"/>
    <w:rsid w:val="00E022C7"/>
    <w:rsid w:val="00E0528E"/>
    <w:rsid w:val="00E053D0"/>
    <w:rsid w:val="00E07410"/>
    <w:rsid w:val="00E118DE"/>
    <w:rsid w:val="00E135DB"/>
    <w:rsid w:val="00E14264"/>
    <w:rsid w:val="00E15994"/>
    <w:rsid w:val="00E173DA"/>
    <w:rsid w:val="00E31065"/>
    <w:rsid w:val="00E3114E"/>
    <w:rsid w:val="00E31258"/>
    <w:rsid w:val="00E31A70"/>
    <w:rsid w:val="00E333C9"/>
    <w:rsid w:val="00E353C6"/>
    <w:rsid w:val="00E35A6C"/>
    <w:rsid w:val="00E35B02"/>
    <w:rsid w:val="00E4071D"/>
    <w:rsid w:val="00E41774"/>
    <w:rsid w:val="00E41AF9"/>
    <w:rsid w:val="00E443E0"/>
    <w:rsid w:val="00E460A2"/>
    <w:rsid w:val="00E507E8"/>
    <w:rsid w:val="00E527B7"/>
    <w:rsid w:val="00E5289C"/>
    <w:rsid w:val="00E5367B"/>
    <w:rsid w:val="00E560CD"/>
    <w:rsid w:val="00E65A0F"/>
    <w:rsid w:val="00E66496"/>
    <w:rsid w:val="00E665EE"/>
    <w:rsid w:val="00E66B35"/>
    <w:rsid w:val="00E66E10"/>
    <w:rsid w:val="00E70431"/>
    <w:rsid w:val="00E74100"/>
    <w:rsid w:val="00E74C99"/>
    <w:rsid w:val="00E75F19"/>
    <w:rsid w:val="00E769F6"/>
    <w:rsid w:val="00E806A2"/>
    <w:rsid w:val="00E82427"/>
    <w:rsid w:val="00E82C17"/>
    <w:rsid w:val="00E83D71"/>
    <w:rsid w:val="00E8407C"/>
    <w:rsid w:val="00E84F3C"/>
    <w:rsid w:val="00E9562F"/>
    <w:rsid w:val="00EA012C"/>
    <w:rsid w:val="00EA2561"/>
    <w:rsid w:val="00EA2878"/>
    <w:rsid w:val="00EA361C"/>
    <w:rsid w:val="00EA3B94"/>
    <w:rsid w:val="00EA5ECD"/>
    <w:rsid w:val="00EA7438"/>
    <w:rsid w:val="00EB7E4D"/>
    <w:rsid w:val="00EC485D"/>
    <w:rsid w:val="00EC6A55"/>
    <w:rsid w:val="00EC7194"/>
    <w:rsid w:val="00ED0288"/>
    <w:rsid w:val="00ED0F8B"/>
    <w:rsid w:val="00ED45B4"/>
    <w:rsid w:val="00ED62AD"/>
    <w:rsid w:val="00ED7A84"/>
    <w:rsid w:val="00EE2DEB"/>
    <w:rsid w:val="00EE4E26"/>
    <w:rsid w:val="00EE52CB"/>
    <w:rsid w:val="00EE5DCF"/>
    <w:rsid w:val="00EF581D"/>
    <w:rsid w:val="00EF6E23"/>
    <w:rsid w:val="00EF7FD8"/>
    <w:rsid w:val="00EF7FE4"/>
    <w:rsid w:val="00F0313D"/>
    <w:rsid w:val="00F040B4"/>
    <w:rsid w:val="00F06F59"/>
    <w:rsid w:val="00F173E1"/>
    <w:rsid w:val="00F17988"/>
    <w:rsid w:val="00F22271"/>
    <w:rsid w:val="00F22FE3"/>
    <w:rsid w:val="00F2386D"/>
    <w:rsid w:val="00F273E4"/>
    <w:rsid w:val="00F30D73"/>
    <w:rsid w:val="00F30F21"/>
    <w:rsid w:val="00F36DF6"/>
    <w:rsid w:val="00F36E68"/>
    <w:rsid w:val="00F3717D"/>
    <w:rsid w:val="00F375D8"/>
    <w:rsid w:val="00F4013A"/>
    <w:rsid w:val="00F4041F"/>
    <w:rsid w:val="00F424A8"/>
    <w:rsid w:val="00F468E0"/>
    <w:rsid w:val="00F469F0"/>
    <w:rsid w:val="00F46E98"/>
    <w:rsid w:val="00F47FA4"/>
    <w:rsid w:val="00F53273"/>
    <w:rsid w:val="00F56272"/>
    <w:rsid w:val="00F56792"/>
    <w:rsid w:val="00F56EB8"/>
    <w:rsid w:val="00F60C92"/>
    <w:rsid w:val="00F61C08"/>
    <w:rsid w:val="00F62719"/>
    <w:rsid w:val="00F63BEA"/>
    <w:rsid w:val="00F64856"/>
    <w:rsid w:val="00F706EE"/>
    <w:rsid w:val="00F70EFC"/>
    <w:rsid w:val="00F71FE7"/>
    <w:rsid w:val="00F755E4"/>
    <w:rsid w:val="00F76C64"/>
    <w:rsid w:val="00F77D02"/>
    <w:rsid w:val="00F81EB2"/>
    <w:rsid w:val="00F916AB"/>
    <w:rsid w:val="00F9690F"/>
    <w:rsid w:val="00F96D9A"/>
    <w:rsid w:val="00FA2280"/>
    <w:rsid w:val="00FA74F8"/>
    <w:rsid w:val="00FB1998"/>
    <w:rsid w:val="00FB1E3E"/>
    <w:rsid w:val="00FB3A86"/>
    <w:rsid w:val="00FB3EA3"/>
    <w:rsid w:val="00FB46E0"/>
    <w:rsid w:val="00FB7E9A"/>
    <w:rsid w:val="00FC218E"/>
    <w:rsid w:val="00FC226A"/>
    <w:rsid w:val="00FC2D93"/>
    <w:rsid w:val="00FC5A6B"/>
    <w:rsid w:val="00FD3178"/>
    <w:rsid w:val="00FD36C8"/>
    <w:rsid w:val="00FD4DC1"/>
    <w:rsid w:val="00FD52F6"/>
    <w:rsid w:val="00FD6EF7"/>
    <w:rsid w:val="00FE2AF0"/>
    <w:rsid w:val="00FE7C5E"/>
    <w:rsid w:val="00FF0095"/>
    <w:rsid w:val="00FF2779"/>
    <w:rsid w:val="00FF3C2F"/>
    <w:rsid w:val="00FF4C86"/>
    <w:rsid w:val="00FF6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A30A07"/>
  <w15:docId w15:val="{DA0C6436-E0E0-4090-AA6B-07E123DC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lang w:val="en-GB"/>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customStyle="1" w:styleId="Mencinsinresolver1">
    <w:name w:val="Mención sin resolver1"/>
    <w:basedOn w:val="Fuentedeprrafopredeter"/>
    <w:uiPriority w:val="99"/>
    <w:semiHidden/>
    <w:unhideWhenUsed/>
    <w:rsid w:val="00287E68"/>
    <w:rPr>
      <w:color w:val="605E5C"/>
      <w:shd w:val="clear" w:color="auto" w:fill="E1DFDD"/>
    </w:rPr>
  </w:style>
  <w:style w:type="paragraph" w:styleId="Prrafodelista">
    <w:name w:val="List Paragraph"/>
    <w:basedOn w:val="Normal"/>
    <w:uiPriority w:val="34"/>
    <w:qFormat/>
    <w:rsid w:val="00DC6B9A"/>
    <w:pPr>
      <w:spacing w:after="160" w:line="259" w:lineRule="auto"/>
      <w:ind w:left="720"/>
      <w:contextualSpacing/>
    </w:pPr>
    <w:rPr>
      <w:rFonts w:asciiTheme="minorHAnsi" w:eastAsiaTheme="minorHAnsi" w:hAnsiTheme="minorHAnsi" w:cstheme="minorBidi"/>
      <w:kern w:val="2"/>
      <w:sz w:val="22"/>
      <w:szCs w:val="22"/>
      <w:lang w:val="es-MX"/>
    </w:rPr>
  </w:style>
  <w:style w:type="character" w:customStyle="1" w:styleId="Mencinsinresolver2">
    <w:name w:val="Mención sin resolver2"/>
    <w:basedOn w:val="Fuentedeprrafopredeter"/>
    <w:uiPriority w:val="99"/>
    <w:semiHidden/>
    <w:unhideWhenUsed/>
    <w:rsid w:val="009B1C0A"/>
    <w:rPr>
      <w:color w:val="605E5C"/>
      <w:shd w:val="clear" w:color="auto" w:fill="E1DFDD"/>
    </w:rPr>
  </w:style>
  <w:style w:type="character" w:customStyle="1" w:styleId="Mencinsinresolver3">
    <w:name w:val="Mención sin resolver3"/>
    <w:basedOn w:val="Fuentedeprrafopredeter"/>
    <w:uiPriority w:val="99"/>
    <w:semiHidden/>
    <w:unhideWhenUsed/>
    <w:rsid w:val="00CD6C87"/>
    <w:rPr>
      <w:color w:val="605E5C"/>
      <w:shd w:val="clear" w:color="auto" w:fill="E1DFDD"/>
    </w:rPr>
  </w:style>
  <w:style w:type="character" w:styleId="Textoennegrita">
    <w:name w:val="Strong"/>
    <w:basedOn w:val="Fuentedeprrafopredeter"/>
    <w:uiPriority w:val="22"/>
    <w:qFormat/>
    <w:rsid w:val="006A3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3695455">
      <w:bodyDiv w:val="1"/>
      <w:marLeft w:val="0"/>
      <w:marRight w:val="0"/>
      <w:marTop w:val="0"/>
      <w:marBottom w:val="0"/>
      <w:divBdr>
        <w:top w:val="none" w:sz="0" w:space="0" w:color="auto"/>
        <w:left w:val="none" w:sz="0" w:space="0" w:color="auto"/>
        <w:bottom w:val="none" w:sz="0" w:space="0" w:color="auto"/>
        <w:right w:val="none" w:sz="0" w:space="0" w:color="auto"/>
      </w:divBdr>
    </w:div>
    <w:div w:id="13699454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2072398">
      <w:bodyDiv w:val="1"/>
      <w:marLeft w:val="0"/>
      <w:marRight w:val="0"/>
      <w:marTop w:val="0"/>
      <w:marBottom w:val="0"/>
      <w:divBdr>
        <w:top w:val="none" w:sz="0" w:space="0" w:color="auto"/>
        <w:left w:val="none" w:sz="0" w:space="0" w:color="auto"/>
        <w:bottom w:val="none" w:sz="0" w:space="0" w:color="auto"/>
        <w:right w:val="none" w:sz="0" w:space="0" w:color="auto"/>
      </w:divBdr>
    </w:div>
    <w:div w:id="530265329">
      <w:bodyDiv w:val="1"/>
      <w:marLeft w:val="0"/>
      <w:marRight w:val="0"/>
      <w:marTop w:val="0"/>
      <w:marBottom w:val="0"/>
      <w:divBdr>
        <w:top w:val="none" w:sz="0" w:space="0" w:color="auto"/>
        <w:left w:val="none" w:sz="0" w:space="0" w:color="auto"/>
        <w:bottom w:val="none" w:sz="0" w:space="0" w:color="auto"/>
        <w:right w:val="none" w:sz="0" w:space="0" w:color="auto"/>
      </w:divBdr>
    </w:div>
    <w:div w:id="5678088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2467264">
      <w:bodyDiv w:val="1"/>
      <w:marLeft w:val="0"/>
      <w:marRight w:val="0"/>
      <w:marTop w:val="0"/>
      <w:marBottom w:val="0"/>
      <w:divBdr>
        <w:top w:val="none" w:sz="0" w:space="0" w:color="auto"/>
        <w:left w:val="none" w:sz="0" w:space="0" w:color="auto"/>
        <w:bottom w:val="none" w:sz="0" w:space="0" w:color="auto"/>
        <w:right w:val="none" w:sz="0" w:space="0" w:color="auto"/>
      </w:divBdr>
    </w:div>
    <w:div w:id="706641064">
      <w:bodyDiv w:val="1"/>
      <w:marLeft w:val="0"/>
      <w:marRight w:val="0"/>
      <w:marTop w:val="0"/>
      <w:marBottom w:val="0"/>
      <w:divBdr>
        <w:top w:val="none" w:sz="0" w:space="0" w:color="auto"/>
        <w:left w:val="none" w:sz="0" w:space="0" w:color="auto"/>
        <w:bottom w:val="none" w:sz="0" w:space="0" w:color="auto"/>
        <w:right w:val="none" w:sz="0" w:space="0" w:color="auto"/>
      </w:divBdr>
    </w:div>
    <w:div w:id="897743321">
      <w:bodyDiv w:val="1"/>
      <w:marLeft w:val="0"/>
      <w:marRight w:val="0"/>
      <w:marTop w:val="0"/>
      <w:marBottom w:val="0"/>
      <w:divBdr>
        <w:top w:val="none" w:sz="0" w:space="0" w:color="auto"/>
        <w:left w:val="none" w:sz="0" w:space="0" w:color="auto"/>
        <w:bottom w:val="none" w:sz="0" w:space="0" w:color="auto"/>
        <w:right w:val="none" w:sz="0" w:space="0" w:color="auto"/>
      </w:divBdr>
    </w:div>
    <w:div w:id="94149691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001394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879064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5628378">
      <w:bodyDiv w:val="1"/>
      <w:marLeft w:val="0"/>
      <w:marRight w:val="0"/>
      <w:marTop w:val="0"/>
      <w:marBottom w:val="0"/>
      <w:divBdr>
        <w:top w:val="none" w:sz="0" w:space="0" w:color="auto"/>
        <w:left w:val="none" w:sz="0" w:space="0" w:color="auto"/>
        <w:bottom w:val="none" w:sz="0" w:space="0" w:color="auto"/>
        <w:right w:val="none" w:sz="0" w:space="0" w:color="auto"/>
      </w:divBdr>
    </w:div>
    <w:div w:id="1251812545">
      <w:bodyDiv w:val="1"/>
      <w:marLeft w:val="0"/>
      <w:marRight w:val="0"/>
      <w:marTop w:val="0"/>
      <w:marBottom w:val="0"/>
      <w:divBdr>
        <w:top w:val="none" w:sz="0" w:space="0" w:color="auto"/>
        <w:left w:val="none" w:sz="0" w:space="0" w:color="auto"/>
        <w:bottom w:val="none" w:sz="0" w:space="0" w:color="auto"/>
        <w:right w:val="none" w:sz="0" w:space="0" w:color="auto"/>
      </w:divBdr>
    </w:div>
    <w:div w:id="1350178019">
      <w:bodyDiv w:val="1"/>
      <w:marLeft w:val="0"/>
      <w:marRight w:val="0"/>
      <w:marTop w:val="0"/>
      <w:marBottom w:val="0"/>
      <w:divBdr>
        <w:top w:val="none" w:sz="0" w:space="0" w:color="auto"/>
        <w:left w:val="none" w:sz="0" w:space="0" w:color="auto"/>
        <w:bottom w:val="none" w:sz="0" w:space="0" w:color="auto"/>
        <w:right w:val="none" w:sz="0" w:space="0" w:color="auto"/>
      </w:divBdr>
    </w:div>
    <w:div w:id="145255695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5995548">
      <w:bodyDiv w:val="1"/>
      <w:marLeft w:val="0"/>
      <w:marRight w:val="0"/>
      <w:marTop w:val="0"/>
      <w:marBottom w:val="0"/>
      <w:divBdr>
        <w:top w:val="none" w:sz="0" w:space="0" w:color="auto"/>
        <w:left w:val="none" w:sz="0" w:space="0" w:color="auto"/>
        <w:bottom w:val="none" w:sz="0" w:space="0" w:color="auto"/>
        <w:right w:val="none" w:sz="0" w:space="0" w:color="auto"/>
      </w:divBdr>
    </w:div>
    <w:div w:id="189866741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5619161">
      <w:bodyDiv w:val="1"/>
      <w:marLeft w:val="0"/>
      <w:marRight w:val="0"/>
      <w:marTop w:val="0"/>
      <w:marBottom w:val="0"/>
      <w:divBdr>
        <w:top w:val="none" w:sz="0" w:space="0" w:color="auto"/>
        <w:left w:val="none" w:sz="0" w:space="0" w:color="auto"/>
        <w:bottom w:val="none" w:sz="0" w:space="0" w:color="auto"/>
        <w:right w:val="none" w:sz="0" w:space="0" w:color="auto"/>
      </w:divBdr>
    </w:div>
    <w:div w:id="208479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hyperlink" Target="https://doi.org/10.1016/j.semerg.2024.102390" TargetMode="External" /><Relationship Id="rId26" Type="http://schemas.openxmlformats.org/officeDocument/2006/relationships/hyperlink" Target="https://doi.org/10.1016/j.ccc.2021.05.010" TargetMode="External" /><Relationship Id="rId39" Type="http://schemas.openxmlformats.org/officeDocument/2006/relationships/hyperlink" Target="https://doi.org/10.1093/fampra/cmab087" TargetMode="External" /><Relationship Id="rId3" Type="http://schemas.openxmlformats.org/officeDocument/2006/relationships/styles" Target="styles.xml" /><Relationship Id="rId21" Type="http://schemas.openxmlformats.org/officeDocument/2006/relationships/hyperlink" Target="https://doi.org/10.7759/cureus.13080" TargetMode="External" /><Relationship Id="rId34" Type="http://schemas.openxmlformats.org/officeDocument/2006/relationships/hyperlink" Target="https://doi.org/10.4269/ajtmh.20-0483" TargetMode="External" /><Relationship Id="rId42"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hyperlink" Target="https://doi.org/10.9734/cjast/2025/v44i24481" TargetMode="External" /><Relationship Id="rId25" Type="http://schemas.openxmlformats.org/officeDocument/2006/relationships/hyperlink" Target="https://doi.org/10.1371/journal.pntd.0008958" TargetMode="External" /><Relationship Id="rId33" Type="http://schemas.openxmlformats.org/officeDocument/2006/relationships/hyperlink" Target="https://doi.org/10.1016/S2213-2600(23)00159-5" TargetMode="External" /><Relationship Id="rId38" Type="http://schemas.openxmlformats.org/officeDocument/2006/relationships/hyperlink" Target="https://doi.org/10.1016/j.med.2022.05.004" TargetMode="External" /><Relationship Id="rId2" Type="http://schemas.openxmlformats.org/officeDocument/2006/relationships/numbering" Target="numbering.xml" /><Relationship Id="rId16" Type="http://schemas.openxmlformats.org/officeDocument/2006/relationships/hyperlink" Target="https://doi.org/10.1038/s41591-024-02987-8" TargetMode="External" /><Relationship Id="rId20" Type="http://schemas.openxmlformats.org/officeDocument/2006/relationships/hyperlink" Target="https://doi.org/10.1186/s12879-024-10226-1" TargetMode="External" /><Relationship Id="rId29" Type="http://schemas.openxmlformats.org/officeDocument/2006/relationships/hyperlink" Target="https://doi.org/10.1016/j.medcli.2021.04.023" TargetMode="External" /><Relationship Id="rId41"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24" Type="http://schemas.openxmlformats.org/officeDocument/2006/relationships/hyperlink" Target="https://doi.org/10.4103/jfmpc.jfmpc_756_21" TargetMode="External" /><Relationship Id="rId32" Type="http://schemas.openxmlformats.org/officeDocument/2006/relationships/hyperlink" Target="https://doi.org/10.4103/jfmpc.jfmpc_313_24" TargetMode="External" /><Relationship Id="rId37" Type="http://schemas.openxmlformats.org/officeDocument/2006/relationships/hyperlink" Target="https://doi.org/10.1016/j.ajmo.2024.100071" TargetMode="External" /><Relationship Id="rId40" Type="http://schemas.openxmlformats.org/officeDocument/2006/relationships/hyperlink" Target="https://doi.org/10.1007/s10389-021-01677-w" TargetMode="External" /><Relationship Id="rId5" Type="http://schemas.openxmlformats.org/officeDocument/2006/relationships/webSettings" Target="webSettings.xml" /><Relationship Id="rId15" Type="http://schemas.openxmlformats.org/officeDocument/2006/relationships/hyperlink" Target="https://doi.org/10.1016/j.cmi.2021.11.007" TargetMode="External" /><Relationship Id="rId23" Type="http://schemas.openxmlformats.org/officeDocument/2006/relationships/hyperlink" Target="https://doi.org/10.1016/j.rce.2021.10.003" TargetMode="External" /><Relationship Id="rId28" Type="http://schemas.openxmlformats.org/officeDocument/2006/relationships/hyperlink" Target="https://doi.org/10.1016/S2213-2600(23)00239-4" TargetMode="External" /><Relationship Id="rId36" Type="http://schemas.openxmlformats.org/officeDocument/2006/relationships/hyperlink" Target="https://doi.org/10.1016/j.tem.2023.03.002" TargetMode="External" /><Relationship Id="rId10" Type="http://schemas.openxmlformats.org/officeDocument/2006/relationships/footer" Target="footer1.xml" /><Relationship Id="rId19" Type="http://schemas.openxmlformats.org/officeDocument/2006/relationships/hyperlink" Target="https://doi.org/10.1186/s43168-020-00049-4" TargetMode="External" /><Relationship Id="rId31" Type="http://schemas.openxmlformats.org/officeDocument/2006/relationships/hyperlink" Target="https://doi.org/10.3389/fmed.2021.653516" TargetMode="Externa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yperlink" Target="https://doi.org/10.1016/j.aprim.2021.102134" TargetMode="External" /><Relationship Id="rId22" Type="http://schemas.openxmlformats.org/officeDocument/2006/relationships/hyperlink" Target="https://doi.org/10.3346/jkms.2020.35.e418" TargetMode="External" /><Relationship Id="rId27" Type="http://schemas.openxmlformats.org/officeDocument/2006/relationships/hyperlink" Target="https://doi.org/10.1016/S2213-2600(23)00238-2" TargetMode="External" /><Relationship Id="rId30" Type="http://schemas.openxmlformats.org/officeDocument/2006/relationships/hyperlink" Target="https://doi.org/10.1007/s00134-020-05966-y" TargetMode="External" /><Relationship Id="rId35" Type="http://schemas.openxmlformats.org/officeDocument/2006/relationships/hyperlink" Target="https://doi.org/10.3390/microorganisms11102458"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9D8E2-AD08-412A-BD14-277163BAA3F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2007%20paper%20template.dot</Template>
  <TotalTime>1</TotalTime>
  <Pages>1</Pages>
  <Words>5750</Words>
  <Characters>36809</Characters>
  <Application>Microsoft Office Word</Application>
  <DocSecurity>0</DocSecurity>
  <Lines>306</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42475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Daniel López Hernández</cp:lastModifiedBy>
  <cp:revision>2</cp:revision>
  <cp:lastPrinted>1999-07-06T11:00:00Z</cp:lastPrinted>
  <dcterms:created xsi:type="dcterms:W3CDTF">2025-05-15T05:15:00Z</dcterms:created>
  <dcterms:modified xsi:type="dcterms:W3CDTF">2025-05-15T05:15:00Z</dcterms:modified>
</cp:coreProperties>
</file>