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AE4C9" w14:textId="21918AFD" w:rsidR="00675542" w:rsidRPr="00B057B5" w:rsidRDefault="00675542" w:rsidP="00A33C89">
      <w:pPr>
        <w:jc w:val="center"/>
        <w:rPr>
          <w:rFonts w:cstheme="minorHAnsi"/>
          <w:b/>
          <w:sz w:val="32"/>
          <w:u w:val="single"/>
        </w:rPr>
      </w:pPr>
      <w:r w:rsidRPr="00B057B5">
        <w:rPr>
          <w:rFonts w:cstheme="minorHAnsi"/>
          <w:b/>
          <w:sz w:val="32"/>
          <w:u w:val="single"/>
        </w:rPr>
        <w:t xml:space="preserve">No Cut, Just Close: </w:t>
      </w:r>
      <w:r w:rsidR="001633A5" w:rsidRPr="001633A5">
        <w:rPr>
          <w:rFonts w:cstheme="minorHAnsi"/>
          <w:b/>
          <w:sz w:val="32"/>
          <w:highlight w:val="yellow"/>
          <w:u w:val="single"/>
        </w:rPr>
        <w:t>Transcatheter</w:t>
      </w:r>
      <w:r w:rsidR="00A33C89" w:rsidRPr="00B057B5">
        <w:rPr>
          <w:rFonts w:cstheme="minorHAnsi"/>
          <w:b/>
          <w:sz w:val="32"/>
          <w:u w:val="single"/>
        </w:rPr>
        <w:t xml:space="preserve"> device closure of mitral Paravalvular leak</w:t>
      </w:r>
    </w:p>
    <w:p w14:paraId="5BE3F4E1" w14:textId="77777777" w:rsidR="00655F81" w:rsidRPr="004C0BEF" w:rsidRDefault="00655F81" w:rsidP="00A33C89">
      <w:pPr>
        <w:rPr>
          <w:rFonts w:cstheme="minorHAnsi"/>
        </w:rPr>
      </w:pPr>
    </w:p>
    <w:p w14:paraId="59F9868C" w14:textId="77F3325B" w:rsidR="00675542" w:rsidRDefault="00675542" w:rsidP="00BA358C">
      <w:pPr>
        <w:rPr>
          <w:rFonts w:cstheme="minorHAnsi"/>
          <w:b/>
        </w:rPr>
      </w:pPr>
      <w:r w:rsidRPr="004C0BEF">
        <w:rPr>
          <w:rFonts w:cstheme="minorHAnsi"/>
          <w:b/>
        </w:rPr>
        <w:t>Abstract</w:t>
      </w:r>
      <w:r w:rsidR="004C0BEF" w:rsidRPr="004C0BEF">
        <w:rPr>
          <w:rFonts w:cstheme="minorHAnsi"/>
          <w:b/>
        </w:rPr>
        <w:t>:</w:t>
      </w:r>
    </w:p>
    <w:p w14:paraId="5D8B3DD0" w14:textId="453BBBE5" w:rsidR="00B057B5" w:rsidRPr="004C0BEF" w:rsidRDefault="00B057B5" w:rsidP="00BA358C">
      <w:pPr>
        <w:rPr>
          <w:rFonts w:cstheme="minorHAnsi"/>
        </w:rPr>
      </w:pPr>
      <w:r w:rsidRPr="00B057B5">
        <w:rPr>
          <w:rFonts w:cstheme="minorHAnsi"/>
        </w:rPr>
        <w:t xml:space="preserve">​Paravalvular </w:t>
      </w:r>
      <w:r w:rsidR="002D6525">
        <w:rPr>
          <w:rFonts w:cstheme="minorHAnsi"/>
        </w:rPr>
        <w:t>leaks</w:t>
      </w:r>
      <w:r w:rsidRPr="00B057B5">
        <w:rPr>
          <w:rFonts w:cstheme="minorHAnsi"/>
        </w:rPr>
        <w:t xml:space="preserve"> (PVLs) are increasingly recognized after valve replacement procedures, resulting from factors such as incomplete sealing, suture dehiscence, or annular calcification. Mitral PVLs are particularly common and can lead to symptoms ranging from mild dyspnea to severe heart failure. While surgical repair remains the traditional approach, </w:t>
      </w:r>
      <w:r w:rsidR="001633A5" w:rsidRPr="001633A5">
        <w:rPr>
          <w:rFonts w:cstheme="minorHAnsi"/>
          <w:highlight w:val="yellow"/>
        </w:rPr>
        <w:t>transcatheter</w:t>
      </w:r>
      <w:r w:rsidRPr="00B057B5">
        <w:rPr>
          <w:rFonts w:cstheme="minorHAnsi"/>
        </w:rPr>
        <w:t xml:space="preserve"> PVL closure has emerged as a less invasive alternative, offering comparable outcomes with reduced procedural risks. This technique is guided by advanced imaging modalities, with three-dimensional </w:t>
      </w:r>
      <w:r w:rsidR="00361937" w:rsidRPr="00B057B5">
        <w:rPr>
          <w:rFonts w:cstheme="minorHAnsi"/>
        </w:rPr>
        <w:t>trans esophageal</w:t>
      </w:r>
      <w:r w:rsidRPr="00B057B5">
        <w:rPr>
          <w:rFonts w:cstheme="minorHAnsi"/>
        </w:rPr>
        <w:t xml:space="preserve"> echocardiography (TEE) serving as the gold standard for assessing leak location, size, and severity. </w:t>
      </w:r>
      <w:r w:rsidR="00361937">
        <w:rPr>
          <w:rFonts w:cstheme="minorHAnsi"/>
        </w:rPr>
        <w:t xml:space="preserve">Recently, devices </w:t>
      </w:r>
      <w:r w:rsidRPr="00B057B5">
        <w:rPr>
          <w:rFonts w:cstheme="minorHAnsi"/>
        </w:rPr>
        <w:t>have been developed specifically for PVL closure, demonstrating high technical success rates and favorable post-procedural outcomes. The procedure can be performed via antegrade or retrograde approaches, depending on the leak's anatomy, and is associated with a low incidence of complications such as device embolization or stroke. Overall, percutaneous PVL closure represents a promising strategy, particularly for patients with suitable anatomy and contraindications to surgery, leading to significant improvements in symptoms and quality of life</w:t>
      </w:r>
      <w:r w:rsidR="00361937">
        <w:rPr>
          <w:rFonts w:cstheme="minorHAnsi"/>
        </w:rPr>
        <w:t xml:space="preserve">. </w:t>
      </w:r>
    </w:p>
    <w:p w14:paraId="28AB9066" w14:textId="17B067EE" w:rsidR="00963E45" w:rsidRPr="004C0BEF" w:rsidRDefault="004C0BEF" w:rsidP="00BA358C">
      <w:pPr>
        <w:rPr>
          <w:rFonts w:cstheme="minorHAnsi"/>
        </w:rPr>
      </w:pPr>
      <w:r w:rsidRPr="004C0BEF">
        <w:rPr>
          <w:rFonts w:cstheme="minorHAnsi"/>
          <w:b/>
        </w:rPr>
        <w:t>Keywords:</w:t>
      </w:r>
      <w:r w:rsidR="00963E45" w:rsidRPr="004C0BEF">
        <w:rPr>
          <w:rFonts w:cstheme="minorHAnsi"/>
        </w:rPr>
        <w:t xml:space="preserve"> Paravalvular leak (PVL</w:t>
      </w:r>
      <w:r w:rsidR="00675542" w:rsidRPr="004C0BEF">
        <w:rPr>
          <w:rFonts w:cstheme="minorHAnsi"/>
        </w:rPr>
        <w:t>),</w:t>
      </w:r>
      <w:r w:rsidR="00963E45" w:rsidRPr="004C0BEF">
        <w:rPr>
          <w:rFonts w:cstheme="minorHAnsi"/>
        </w:rPr>
        <w:t xml:space="preserve"> TEE, 3D TEE, Heart failure, Transcatheter closure, Minimally invasive procedure</w:t>
      </w:r>
    </w:p>
    <w:p w14:paraId="30BAF252" w14:textId="064A8EEB" w:rsidR="004C0BEF" w:rsidRPr="004C0BEF" w:rsidRDefault="004C0BEF" w:rsidP="00BA358C">
      <w:pPr>
        <w:rPr>
          <w:rFonts w:cstheme="minorHAnsi"/>
          <w:b/>
        </w:rPr>
      </w:pPr>
      <w:r w:rsidRPr="004C0BEF">
        <w:rPr>
          <w:rFonts w:cstheme="minorHAnsi"/>
          <w:b/>
        </w:rPr>
        <w:t>Introduction:</w:t>
      </w:r>
    </w:p>
    <w:p w14:paraId="40BD6A64" w14:textId="2E952643" w:rsidR="00BA358C" w:rsidRPr="004C0BEF" w:rsidRDefault="00BA358C" w:rsidP="00BA358C">
      <w:pPr>
        <w:rPr>
          <w:rFonts w:cstheme="minorHAnsi"/>
        </w:rPr>
      </w:pPr>
      <w:r w:rsidRPr="004C0BEF">
        <w:rPr>
          <w:rFonts w:cstheme="minorHAnsi"/>
        </w:rPr>
        <w:t>Paravalvular leak (PVL</w:t>
      </w:r>
      <w:r w:rsidR="00361937" w:rsidRPr="00361937">
        <w:rPr>
          <w:rFonts w:cstheme="minorHAnsi"/>
          <w:bCs/>
        </w:rPr>
        <w:t>)</w:t>
      </w:r>
      <w:r w:rsidRPr="004C0BEF">
        <w:rPr>
          <w:rFonts w:cstheme="minorHAnsi"/>
        </w:rPr>
        <w:t xml:space="preserve"> is a condition where an abnormal passage forms between the prosthetic valve and the anatomical annulus, causing regurgitant flow between heart chambers (1). Common presentations include congestive heart failure and/or hemolysis (2). These symptoms require prompt intervention, emphasizing timely detection, effective management, and a thorough understanding of PVL pathophysiology (</w:t>
      </w:r>
      <w:r w:rsidR="001633A5" w:rsidRPr="001633A5">
        <w:rPr>
          <w:rFonts w:cstheme="minorHAnsi"/>
          <w:highlight w:val="yellow"/>
        </w:rPr>
        <w:t>3</w:t>
      </w:r>
      <w:r w:rsidR="001633A5">
        <w:rPr>
          <w:rFonts w:cstheme="minorHAnsi"/>
        </w:rPr>
        <w:t xml:space="preserve">, </w:t>
      </w:r>
      <w:r w:rsidRPr="004C0BEF">
        <w:rPr>
          <w:rFonts w:cstheme="minorHAnsi"/>
        </w:rPr>
        <w:t>6). While redo valve replacement is traditionally needed, transcatheter PVL closure is gaining recognition as a safe and effective alternative (3). This procedure is particularly complex, with success dependent on the defect's anatomical characteristics, especially in the mitral position (4). A comprehensive baseline echocardiographic evaluation, including TTE and TEE with 2D and 3D imaging, is necessary to assess PVL's hemodynamic impact and suitability for percutaneous repair (5</w:t>
      </w:r>
      <w:r w:rsidR="001633A5">
        <w:rPr>
          <w:rFonts w:cstheme="minorHAnsi"/>
        </w:rPr>
        <w:t xml:space="preserve">, </w:t>
      </w:r>
      <w:r w:rsidR="001633A5" w:rsidRPr="001633A5">
        <w:rPr>
          <w:rFonts w:cstheme="minorHAnsi"/>
          <w:highlight w:val="yellow"/>
        </w:rPr>
        <w:t>6</w:t>
      </w:r>
      <w:r w:rsidRPr="004C0BEF">
        <w:rPr>
          <w:rFonts w:cstheme="minorHAnsi"/>
        </w:rPr>
        <w:t>). The effect of percutaneous PVL closure on quality of life remains underexplored, with the hypothesis that it improves quality of life and reduces NT-pro BNP levels (7).</w:t>
      </w:r>
    </w:p>
    <w:p w14:paraId="0F663D95" w14:textId="77777777" w:rsidR="00BA358C" w:rsidRPr="004C0BEF" w:rsidRDefault="00BA358C" w:rsidP="0067699A">
      <w:pPr>
        <w:rPr>
          <w:rFonts w:cstheme="minorHAnsi"/>
        </w:rPr>
      </w:pPr>
    </w:p>
    <w:p w14:paraId="440F7A3A" w14:textId="06054CC1" w:rsidR="0067699A" w:rsidRPr="004C0BEF" w:rsidRDefault="0067699A" w:rsidP="0067699A">
      <w:pPr>
        <w:rPr>
          <w:rFonts w:cstheme="minorHAnsi"/>
          <w:b/>
        </w:rPr>
      </w:pPr>
      <w:r w:rsidRPr="004C0BEF">
        <w:rPr>
          <w:rFonts w:cstheme="minorHAnsi"/>
          <w:b/>
        </w:rPr>
        <w:t xml:space="preserve">Case </w:t>
      </w:r>
      <w:r w:rsidR="00D34720">
        <w:rPr>
          <w:rFonts w:cstheme="minorHAnsi"/>
          <w:b/>
        </w:rPr>
        <w:t>Presentation</w:t>
      </w:r>
      <w:r w:rsidRPr="004C0BEF">
        <w:rPr>
          <w:rFonts w:cstheme="minorHAnsi"/>
          <w:b/>
        </w:rPr>
        <w:t>:</w:t>
      </w:r>
    </w:p>
    <w:p w14:paraId="22209C77" w14:textId="12136B20" w:rsidR="004A7D9F" w:rsidRPr="004C0BEF" w:rsidRDefault="004C0BEF" w:rsidP="0067699A">
      <w:pPr>
        <w:rPr>
          <w:rFonts w:cstheme="minorHAnsi"/>
        </w:rPr>
      </w:pPr>
      <w:r w:rsidRPr="004C0BEF">
        <w:rPr>
          <w:rFonts w:cstheme="minorHAnsi"/>
        </w:rPr>
        <w:t xml:space="preserve"> </w:t>
      </w:r>
      <w:r w:rsidR="004A7D9F" w:rsidRPr="004C0BEF">
        <w:rPr>
          <w:rFonts w:cstheme="minorHAnsi"/>
        </w:rPr>
        <w:t>A 33-year-old male with a history of rheumatic heart disease (RHD) and severe mitral stenosis (MS) underwent mitral valve replacement</w:t>
      </w:r>
      <w:r w:rsidR="003E5167" w:rsidRPr="004C0BEF">
        <w:rPr>
          <w:rFonts w:cstheme="minorHAnsi"/>
        </w:rPr>
        <w:t xml:space="preserve"> (MVR)</w:t>
      </w:r>
      <w:r w:rsidR="004A7D9F" w:rsidRPr="004C0BEF">
        <w:rPr>
          <w:rFonts w:cstheme="minorHAnsi"/>
        </w:rPr>
        <w:t xml:space="preserve"> in 2023 with a TTK Chitra mechanical valve. Two months post-surgery, he presented with new-onset dyspnea on exertion</w:t>
      </w:r>
      <w:r w:rsidR="003E5167" w:rsidRPr="004C0BEF">
        <w:rPr>
          <w:rFonts w:cstheme="minorHAnsi"/>
        </w:rPr>
        <w:t xml:space="preserve"> (DOE)</w:t>
      </w:r>
      <w:r w:rsidR="004A7D9F" w:rsidRPr="004C0BEF">
        <w:rPr>
          <w:rFonts w:cstheme="minorHAnsi"/>
        </w:rPr>
        <w:t xml:space="preserve">. </w:t>
      </w:r>
      <w:r w:rsidR="003E5167" w:rsidRPr="004C0BEF">
        <w:rPr>
          <w:rFonts w:cstheme="minorHAnsi"/>
        </w:rPr>
        <w:t>L</w:t>
      </w:r>
      <w:r w:rsidR="004A7D9F" w:rsidRPr="004C0BEF">
        <w:rPr>
          <w:rFonts w:cstheme="minorHAnsi"/>
        </w:rPr>
        <w:t>aboratory findings revealed elevated NT-pro BNP levels, suggestive of heart failure. 2D echocardiography and transesophageal echocardiography (TEE) was done which showed a moderate to severe paravalvular leak, a dilated left atrium (LA), a color jet flow area &gt;50%, a vena contracta (VC) of 0.7 cm, a regurgitant fraction (RF) of 55%, and a regurgitant volume (R Vol) of 60 ml (</w:t>
      </w:r>
      <w:r w:rsidR="003E5167" w:rsidRPr="004C0BEF">
        <w:rPr>
          <w:rFonts w:cstheme="minorHAnsi"/>
        </w:rPr>
        <w:t>Figure</w:t>
      </w:r>
      <w:r w:rsidR="004A7D9F" w:rsidRPr="004C0BEF">
        <w:rPr>
          <w:rFonts w:cstheme="minorHAnsi"/>
        </w:rPr>
        <w:t>. 1). Considering the patient's recent open-heart surgery and the feasibility of a transcatheter approach, he was planned for transcatheter device closure of the paravalvular leak.</w:t>
      </w:r>
    </w:p>
    <w:p w14:paraId="68E6D893" w14:textId="109BDAC8" w:rsidR="004A7D9F" w:rsidRPr="004C0BEF" w:rsidRDefault="004C0BEF" w:rsidP="0067699A">
      <w:pPr>
        <w:rPr>
          <w:rFonts w:cstheme="minorHAnsi"/>
        </w:rPr>
      </w:pPr>
      <w:r w:rsidRPr="004C0BEF">
        <w:rPr>
          <w:rFonts w:cstheme="minorHAnsi"/>
        </w:rPr>
        <w:lastRenderedPageBreak/>
        <w:t xml:space="preserve"> </w:t>
      </w:r>
      <w:r w:rsidR="00361937">
        <w:rPr>
          <w:rFonts w:cstheme="minorHAnsi"/>
        </w:rPr>
        <w:t>The p</w:t>
      </w:r>
      <w:r w:rsidR="003E5167" w:rsidRPr="004C0BEF">
        <w:rPr>
          <w:rFonts w:cstheme="minorHAnsi"/>
        </w:rPr>
        <w:t>rocedure started by taking a</w:t>
      </w:r>
      <w:r w:rsidR="004A7D9F" w:rsidRPr="004C0BEF">
        <w:rPr>
          <w:rFonts w:cstheme="minorHAnsi"/>
        </w:rPr>
        <w:t xml:space="preserve">ccess </w:t>
      </w:r>
      <w:r w:rsidR="003E5167" w:rsidRPr="004C0BEF">
        <w:rPr>
          <w:rFonts w:cstheme="minorHAnsi"/>
        </w:rPr>
        <w:t>through</w:t>
      </w:r>
      <w:r w:rsidR="004A7D9F" w:rsidRPr="004C0BEF">
        <w:rPr>
          <w:rFonts w:cstheme="minorHAnsi"/>
        </w:rPr>
        <w:t xml:space="preserve"> right femoral artery (RFA), right femoral vein (RFV), and left femoral artery (LFA). A pigtail catheter was placed in the left ventricular (LV) cavity. A transseptal (TSP) needle was used to puncture the septum, which was confirmed with a left atrial (LA) contrast injection. A JR catheter was advanced across the paravalvular leak (PVL) over a 0.032" Terumo wire into the LV cavity under 3D TEE guidance (</w:t>
      </w:r>
      <w:r w:rsidR="003E5167" w:rsidRPr="004C0BEF">
        <w:rPr>
          <w:rFonts w:cstheme="minorHAnsi"/>
        </w:rPr>
        <w:t>Figure</w:t>
      </w:r>
      <w:r w:rsidR="004A7D9F" w:rsidRPr="004C0BEF">
        <w:rPr>
          <w:rFonts w:cstheme="minorHAnsi"/>
        </w:rPr>
        <w:t>. 2). The 0.032" Terumo wire was then exchanged for a double-length Terumo wire, which was subsequently snared from the aorta using a 6F snare (</w:t>
      </w:r>
      <w:r w:rsidR="003E5167" w:rsidRPr="004C0BEF">
        <w:rPr>
          <w:rFonts w:cstheme="minorHAnsi"/>
        </w:rPr>
        <w:t>Figure</w:t>
      </w:r>
      <w:r w:rsidR="004A7D9F" w:rsidRPr="004C0BEF">
        <w:rPr>
          <w:rFonts w:cstheme="minorHAnsi"/>
        </w:rPr>
        <w:t>. 3). The JR catheter was exchanged for an MPA catheter, which was positioned in the descending aorta. The Terumo wire was then exchanged for an Amplatz Super Stiff wire (</w:t>
      </w:r>
      <w:r w:rsidR="003E5167" w:rsidRPr="004C0BEF">
        <w:rPr>
          <w:rFonts w:cstheme="minorHAnsi"/>
        </w:rPr>
        <w:t>Figure</w:t>
      </w:r>
      <w:r w:rsidR="004A7D9F" w:rsidRPr="004C0BEF">
        <w:rPr>
          <w:rFonts w:cstheme="minorHAnsi"/>
        </w:rPr>
        <w:t>. 4). A Lifetech Konar MF VSD Occluder device (12/10) was deployed across the defect, and its position was confirmed by 2D echocardiography, TEE, and 3D TEE (</w:t>
      </w:r>
      <w:r w:rsidR="003E5167" w:rsidRPr="004C0BEF">
        <w:rPr>
          <w:rFonts w:cstheme="minorHAnsi"/>
        </w:rPr>
        <w:t>Figure</w:t>
      </w:r>
      <w:r w:rsidR="004A7D9F" w:rsidRPr="004C0BEF">
        <w:rPr>
          <w:rFonts w:cstheme="minorHAnsi"/>
        </w:rPr>
        <w:t>. 5). After confirming the correct positioning of the device and the absence of any residual leak, the device was released (</w:t>
      </w:r>
      <w:r w:rsidR="003E5167" w:rsidRPr="004C0BEF">
        <w:rPr>
          <w:rFonts w:cstheme="minorHAnsi"/>
        </w:rPr>
        <w:t>Figure</w:t>
      </w:r>
      <w:r w:rsidR="004A7D9F" w:rsidRPr="004C0BEF">
        <w:rPr>
          <w:rFonts w:cstheme="minorHAnsi"/>
        </w:rPr>
        <w:t>. 6).</w:t>
      </w:r>
    </w:p>
    <w:p w14:paraId="477BE587" w14:textId="4D6BC872" w:rsidR="004A7D9F" w:rsidRPr="004C0BEF" w:rsidRDefault="004C0BEF" w:rsidP="004A7D9F">
      <w:pPr>
        <w:rPr>
          <w:rFonts w:cstheme="minorHAnsi"/>
          <w:lang w:val="en-IN"/>
        </w:rPr>
      </w:pPr>
      <w:r w:rsidRPr="004C0BEF">
        <w:rPr>
          <w:rFonts w:cstheme="minorHAnsi"/>
        </w:rPr>
        <w:t xml:space="preserve"> </w:t>
      </w:r>
      <w:r w:rsidR="004A7D9F" w:rsidRPr="004C0BEF">
        <w:rPr>
          <w:rFonts w:cstheme="minorHAnsi"/>
          <w:lang w:val="en-IN"/>
        </w:rPr>
        <w:t>Post-procedure, the patient was monitored in the intensive coronary care unit (ICCU) and was started on vitamin K antagonist (VKA) anticoagulation after bridging with heparin. The patient was discharged after stabilization. At 1-month follow-up, the patient remained stable without any complaints. 2D echocardiography and 3D TEE confirmed that the device was well-positioned, with no residual paravalvular leak (</w:t>
      </w:r>
      <w:r w:rsidR="003E5167" w:rsidRPr="004C0BEF">
        <w:rPr>
          <w:rFonts w:cstheme="minorHAnsi"/>
          <w:lang w:val="en-IN"/>
        </w:rPr>
        <w:t>Figure</w:t>
      </w:r>
      <w:r w:rsidR="004A7D9F" w:rsidRPr="004C0BEF">
        <w:rPr>
          <w:rFonts w:cstheme="minorHAnsi"/>
          <w:lang w:val="en-IN"/>
        </w:rPr>
        <w:t xml:space="preserve">. 7 and </w:t>
      </w:r>
      <w:bookmarkStart w:id="0" w:name="_GoBack"/>
      <w:r w:rsidR="003E5167" w:rsidRPr="004C0BEF">
        <w:rPr>
          <w:rFonts w:cstheme="minorHAnsi"/>
          <w:lang w:val="en-IN"/>
        </w:rPr>
        <w:t>Fig</w:t>
      </w:r>
      <w:bookmarkEnd w:id="0"/>
      <w:r w:rsidR="003E5167" w:rsidRPr="004C0BEF">
        <w:rPr>
          <w:rFonts w:cstheme="minorHAnsi"/>
          <w:lang w:val="en-IN"/>
        </w:rPr>
        <w:t>ure</w:t>
      </w:r>
      <w:r w:rsidR="004A7D9F" w:rsidRPr="004C0BEF">
        <w:rPr>
          <w:rFonts w:cstheme="minorHAnsi"/>
          <w:lang w:val="en-IN"/>
        </w:rPr>
        <w:t>. 8)</w:t>
      </w:r>
    </w:p>
    <w:p w14:paraId="17E4ABE9" w14:textId="772159A9" w:rsidR="002E3523" w:rsidRPr="004C0BEF" w:rsidRDefault="002E3523" w:rsidP="0067699A">
      <w:pPr>
        <w:rPr>
          <w:rFonts w:cstheme="minorHAnsi"/>
          <w:noProof/>
        </w:rPr>
      </w:pPr>
    </w:p>
    <w:p w14:paraId="26D3219F" w14:textId="0DA7236E" w:rsidR="002808C0" w:rsidRPr="004C0BEF" w:rsidRDefault="002808C0" w:rsidP="0067699A">
      <w:pPr>
        <w:rPr>
          <w:rFonts w:cstheme="minorHAnsi"/>
        </w:rPr>
      </w:pPr>
      <w:r w:rsidRPr="004C0BEF">
        <w:rPr>
          <w:rFonts w:cstheme="minorHAnsi"/>
          <w:noProof/>
          <w:lang w:val="en-IN" w:eastAsia="en-IN"/>
        </w:rPr>
        <w:lastRenderedPageBreak/>
        <w:drawing>
          <wp:inline distT="0" distB="0" distL="0" distR="0" wp14:anchorId="766F65FF" wp14:editId="024434B8">
            <wp:extent cx="3084203" cy="2639060"/>
            <wp:effectExtent l="0" t="0" r="1905" b="8890"/>
            <wp:docPr id="998903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367" cy="2676850"/>
                    </a:xfrm>
                    <a:prstGeom prst="rect">
                      <a:avLst/>
                    </a:prstGeom>
                    <a:noFill/>
                    <a:ln>
                      <a:noFill/>
                    </a:ln>
                  </pic:spPr>
                </pic:pic>
              </a:graphicData>
            </a:graphic>
          </wp:inline>
        </w:drawing>
      </w:r>
      <w:r w:rsidR="00720F81" w:rsidRPr="004C0BEF">
        <w:rPr>
          <w:rFonts w:cstheme="minorHAnsi"/>
          <w:noProof/>
        </w:rPr>
        <w:t xml:space="preserve">      </w:t>
      </w:r>
      <w:r w:rsidR="002E3523" w:rsidRPr="004C0BEF">
        <w:rPr>
          <w:rFonts w:cstheme="minorHAnsi"/>
          <w:noProof/>
          <w:lang w:val="en-IN" w:eastAsia="en-IN"/>
        </w:rPr>
        <w:drawing>
          <wp:inline distT="0" distB="0" distL="0" distR="0" wp14:anchorId="6AD5D601" wp14:editId="3F74C12D">
            <wp:extent cx="3076575" cy="2601570"/>
            <wp:effectExtent l="0" t="0" r="0" b="8890"/>
            <wp:docPr id="10422847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5524" cy="2642962"/>
                    </a:xfrm>
                    <a:prstGeom prst="rect">
                      <a:avLst/>
                    </a:prstGeom>
                    <a:noFill/>
                    <a:ln>
                      <a:noFill/>
                    </a:ln>
                  </pic:spPr>
                </pic:pic>
              </a:graphicData>
            </a:graphic>
          </wp:inline>
        </w:drawing>
      </w:r>
      <w:r w:rsidR="002E3523" w:rsidRPr="004C0BEF">
        <w:rPr>
          <w:rFonts w:cstheme="minorHAnsi"/>
          <w:noProof/>
        </w:rPr>
        <w:t xml:space="preserve">      </w:t>
      </w:r>
      <w:r w:rsidR="00720F81" w:rsidRPr="004C0BEF">
        <w:rPr>
          <w:rFonts w:cstheme="minorHAnsi"/>
          <w:noProof/>
          <w:lang w:val="en-IN" w:eastAsia="en-IN"/>
        </w:rPr>
        <w:drawing>
          <wp:inline distT="0" distB="0" distL="0" distR="0" wp14:anchorId="34A6D794" wp14:editId="6D97C28E">
            <wp:extent cx="3091044" cy="2743200"/>
            <wp:effectExtent l="0" t="0" r="0" b="0"/>
            <wp:docPr id="1102270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0749" cy="2778437"/>
                    </a:xfrm>
                    <a:prstGeom prst="rect">
                      <a:avLst/>
                    </a:prstGeom>
                    <a:noFill/>
                    <a:ln>
                      <a:noFill/>
                    </a:ln>
                  </pic:spPr>
                </pic:pic>
              </a:graphicData>
            </a:graphic>
          </wp:inline>
        </w:drawing>
      </w:r>
    </w:p>
    <w:p w14:paraId="77B9F962" w14:textId="572268F9" w:rsidR="002E3523" w:rsidRPr="004C0BEF" w:rsidRDefault="008750D1" w:rsidP="0067699A">
      <w:pPr>
        <w:rPr>
          <w:rFonts w:cstheme="minorHAnsi"/>
        </w:rPr>
      </w:pPr>
      <w:r w:rsidRPr="004C0BEF">
        <w:rPr>
          <w:rFonts w:cstheme="minorHAnsi"/>
        </w:rPr>
        <w:lastRenderedPageBreak/>
        <w:t xml:space="preserve"> </w:t>
      </w:r>
      <w:r w:rsidR="00361937" w:rsidRPr="004C0BEF">
        <w:rPr>
          <w:rFonts w:cstheme="minorHAnsi"/>
          <w:noProof/>
          <w:lang w:val="en-IN" w:eastAsia="en-IN"/>
        </w:rPr>
        <w:drawing>
          <wp:inline distT="0" distB="0" distL="0" distR="0" wp14:anchorId="7A097A43" wp14:editId="3B8A1FE4">
            <wp:extent cx="3142797" cy="2933700"/>
            <wp:effectExtent l="0" t="0" r="635" b="0"/>
            <wp:docPr id="1947948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849" cy="2960819"/>
                    </a:xfrm>
                    <a:prstGeom prst="rect">
                      <a:avLst/>
                    </a:prstGeom>
                    <a:noFill/>
                    <a:ln>
                      <a:noFill/>
                    </a:ln>
                  </pic:spPr>
                </pic:pic>
              </a:graphicData>
            </a:graphic>
          </wp:inline>
        </w:drawing>
      </w:r>
      <w:r w:rsidRPr="004C0BEF">
        <w:rPr>
          <w:rFonts w:cstheme="minorHAnsi"/>
        </w:rPr>
        <w:t xml:space="preserve">     </w:t>
      </w:r>
      <w:r w:rsidRPr="004C0BEF">
        <w:rPr>
          <w:rFonts w:cstheme="minorHAnsi"/>
          <w:noProof/>
        </w:rPr>
        <w:t xml:space="preserve">   </w:t>
      </w:r>
      <w:r w:rsidR="002E3523" w:rsidRPr="004C0BEF">
        <w:rPr>
          <w:rFonts w:cstheme="minorHAnsi"/>
          <w:noProof/>
          <w:lang w:val="en-IN" w:eastAsia="en-IN"/>
        </w:rPr>
        <w:drawing>
          <wp:inline distT="0" distB="0" distL="0" distR="0" wp14:anchorId="556F92C5" wp14:editId="2CBC501C">
            <wp:extent cx="3133725" cy="2909359"/>
            <wp:effectExtent l="0" t="0" r="0" b="5715"/>
            <wp:docPr id="1554965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3481" cy="2974120"/>
                    </a:xfrm>
                    <a:prstGeom prst="rect">
                      <a:avLst/>
                    </a:prstGeom>
                    <a:noFill/>
                    <a:ln>
                      <a:noFill/>
                    </a:ln>
                  </pic:spPr>
                </pic:pic>
              </a:graphicData>
            </a:graphic>
          </wp:inline>
        </w:drawing>
      </w:r>
      <w:r w:rsidRPr="004C0BEF">
        <w:rPr>
          <w:rFonts w:cstheme="minorHAnsi"/>
          <w:noProof/>
        </w:rPr>
        <w:t xml:space="preserve">       </w:t>
      </w:r>
      <w:r w:rsidRPr="004C0BEF">
        <w:rPr>
          <w:rFonts w:cstheme="minorHAnsi"/>
          <w:noProof/>
          <w:lang w:val="en-IN" w:eastAsia="en-IN"/>
        </w:rPr>
        <w:drawing>
          <wp:inline distT="0" distB="0" distL="0" distR="0" wp14:anchorId="1A6E9CD2" wp14:editId="68DA63D4">
            <wp:extent cx="3157530" cy="2676525"/>
            <wp:effectExtent l="0" t="0" r="5080" b="0"/>
            <wp:docPr id="1451169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940" cy="2724341"/>
                    </a:xfrm>
                    <a:prstGeom prst="rect">
                      <a:avLst/>
                    </a:prstGeom>
                    <a:noFill/>
                    <a:ln>
                      <a:noFill/>
                    </a:ln>
                  </pic:spPr>
                </pic:pic>
              </a:graphicData>
            </a:graphic>
          </wp:inline>
        </w:drawing>
      </w:r>
      <w:r w:rsidR="00361937">
        <w:rPr>
          <w:rFonts w:cstheme="minorHAnsi"/>
          <w:noProof/>
          <w:lang w:val="en-IN" w:eastAsia="en-IN"/>
        </w:rPr>
        <w:t xml:space="preserve">         </w:t>
      </w:r>
      <w:r w:rsidR="00361937" w:rsidRPr="004C0BEF">
        <w:rPr>
          <w:rFonts w:cstheme="minorHAnsi"/>
          <w:noProof/>
          <w:lang w:val="en-IN" w:eastAsia="en-IN"/>
        </w:rPr>
        <w:drawing>
          <wp:inline distT="0" distB="0" distL="0" distR="0" wp14:anchorId="24C1F937" wp14:editId="40826E2D">
            <wp:extent cx="2944495" cy="2653223"/>
            <wp:effectExtent l="0" t="0" r="8255" b="0"/>
            <wp:docPr id="15728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5550" cy="2681206"/>
                    </a:xfrm>
                    <a:prstGeom prst="rect">
                      <a:avLst/>
                    </a:prstGeom>
                    <a:noFill/>
                    <a:ln>
                      <a:noFill/>
                    </a:ln>
                  </pic:spPr>
                </pic:pic>
              </a:graphicData>
            </a:graphic>
          </wp:inline>
        </w:drawing>
      </w:r>
    </w:p>
    <w:p w14:paraId="767C86AB" w14:textId="77777777" w:rsidR="002808C0" w:rsidRPr="004C0BEF" w:rsidRDefault="002808C0" w:rsidP="0067699A">
      <w:pPr>
        <w:rPr>
          <w:rFonts w:cstheme="minorHAnsi"/>
        </w:rPr>
      </w:pPr>
    </w:p>
    <w:p w14:paraId="691FD46A" w14:textId="150FA000" w:rsidR="00680A61" w:rsidRPr="004C0BEF" w:rsidRDefault="00361937" w:rsidP="0067699A">
      <w:pPr>
        <w:rPr>
          <w:rFonts w:cstheme="minorHAnsi"/>
        </w:rPr>
      </w:pPr>
      <w:r w:rsidRPr="004C0BEF">
        <w:rPr>
          <w:rFonts w:cstheme="minorHAnsi"/>
          <w:noProof/>
          <w:lang w:val="en-IN" w:eastAsia="en-IN"/>
        </w:rPr>
        <w:lastRenderedPageBreak/>
        <w:drawing>
          <wp:inline distT="0" distB="0" distL="0" distR="0" wp14:anchorId="69160FBD" wp14:editId="0E66B3E2">
            <wp:extent cx="3150235" cy="2422133"/>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8244" cy="2451357"/>
                    </a:xfrm>
                    <a:prstGeom prst="rect">
                      <a:avLst/>
                    </a:prstGeom>
                    <a:noFill/>
                    <a:ln>
                      <a:noFill/>
                    </a:ln>
                  </pic:spPr>
                </pic:pic>
              </a:graphicData>
            </a:graphic>
          </wp:inline>
        </w:drawing>
      </w:r>
      <w:r w:rsidR="004A43AF" w:rsidRPr="004C0BEF">
        <w:rPr>
          <w:rFonts w:cstheme="minorHAnsi"/>
        </w:rPr>
        <w:t xml:space="preserve">          </w:t>
      </w:r>
      <w:r w:rsidR="00D60B27" w:rsidRPr="004C0BEF">
        <w:rPr>
          <w:rFonts w:cstheme="minorHAnsi"/>
        </w:rPr>
        <w:t xml:space="preserve">  </w:t>
      </w:r>
      <w:r w:rsidR="004A43AF" w:rsidRPr="004C0BEF">
        <w:rPr>
          <w:rFonts w:cstheme="minorHAnsi"/>
        </w:rPr>
        <w:t xml:space="preserve">   </w:t>
      </w:r>
      <w:r w:rsidR="0004017E" w:rsidRPr="004C0BEF">
        <w:rPr>
          <w:rFonts w:cstheme="minorHAnsi"/>
        </w:rPr>
        <w:t xml:space="preserve">       </w:t>
      </w:r>
    </w:p>
    <w:p w14:paraId="7A4B2F32" w14:textId="77777777" w:rsidR="004C0BEF" w:rsidRPr="004C0BEF" w:rsidRDefault="004C0BEF" w:rsidP="0099220E">
      <w:pPr>
        <w:rPr>
          <w:rFonts w:cstheme="minorHAnsi"/>
          <w:sz w:val="24"/>
          <w:szCs w:val="24"/>
        </w:rPr>
      </w:pPr>
    </w:p>
    <w:p w14:paraId="1478DA2C" w14:textId="315E9411" w:rsidR="0099220E" w:rsidRPr="004C0BEF" w:rsidRDefault="0099220E" w:rsidP="0099220E">
      <w:pPr>
        <w:rPr>
          <w:rFonts w:cstheme="minorHAnsi"/>
          <w:b/>
          <w:sz w:val="24"/>
          <w:szCs w:val="24"/>
        </w:rPr>
      </w:pPr>
      <w:r w:rsidRPr="004C0BEF">
        <w:rPr>
          <w:rFonts w:cstheme="minorHAnsi"/>
          <w:b/>
          <w:sz w:val="24"/>
          <w:szCs w:val="24"/>
        </w:rPr>
        <w:t xml:space="preserve">Discussion </w:t>
      </w:r>
    </w:p>
    <w:p w14:paraId="7B569030" w14:textId="49F6A311" w:rsidR="0099220E" w:rsidRPr="004C0BEF" w:rsidRDefault="0099220E" w:rsidP="0099220E">
      <w:pPr>
        <w:rPr>
          <w:rFonts w:cstheme="minorHAnsi"/>
          <w:sz w:val="24"/>
          <w:szCs w:val="24"/>
        </w:rPr>
      </w:pPr>
      <w:r w:rsidRPr="004C0BEF">
        <w:rPr>
          <w:rFonts w:cstheme="minorHAnsi"/>
          <w:sz w:val="24"/>
          <w:szCs w:val="24"/>
        </w:rPr>
        <w:t xml:space="preserve">Paravalvular leak (PVL) has become relatively common nowadays following surgical and </w:t>
      </w:r>
      <w:r w:rsidR="001633A5" w:rsidRPr="001633A5">
        <w:rPr>
          <w:rFonts w:cstheme="minorHAnsi"/>
          <w:sz w:val="24"/>
          <w:szCs w:val="24"/>
          <w:highlight w:val="yellow"/>
        </w:rPr>
        <w:t>transcatheter</w:t>
      </w:r>
      <w:r w:rsidRPr="004C0BEF">
        <w:rPr>
          <w:rFonts w:cstheme="minorHAnsi"/>
          <w:sz w:val="24"/>
          <w:szCs w:val="24"/>
        </w:rPr>
        <w:t xml:space="preserve"> valve replacement (1, 2, 3). It can result from incomplete sealing of the prosthetic valve, suture dehiscence, malposition, improper sizing, or a calcified or friable annulus (1, 3). PVL is defined as a defect between the anatomical and prosthetic valve annulus, leading to regurgitation of blood through this defect (1). The incidence of PVL after mitral valve replacement (MVR) ranges from 7% to 17%, of which fewer than 5% of patients remain symptomatic and have significant regurgitation (1, 2). Surgical repair remains the gold standard in these patients (1, 3). However, because many patients have comorbidities, redo sternotomy for PVL carries a high procedural risk (2, 3). Surgical intervention is also associated with higher 30-day mortality and a trend toward increased stroke risk and prolonged hospital stays (3). With the emergence of </w:t>
      </w:r>
      <w:r w:rsidR="001633A5">
        <w:rPr>
          <w:rFonts w:cstheme="minorHAnsi"/>
          <w:sz w:val="24"/>
          <w:szCs w:val="24"/>
        </w:rPr>
        <w:t>transcatheter</w:t>
      </w:r>
      <w:r w:rsidRPr="004C0BEF">
        <w:rPr>
          <w:rFonts w:cstheme="minorHAnsi"/>
          <w:sz w:val="24"/>
          <w:szCs w:val="24"/>
        </w:rPr>
        <w:t xml:space="preserve"> techniques for PVL closure—which are less invasive and more cost-efficient—it has become a promising alternative with lower operative risk and outcomes comparable to surgical repair (2, 3, 4). In some centers, it is now considered the first-line treatment option (1, 2). PVL can cause symptoms ranging from mild dyspnea to pulmonary edema and heart failure (1). Hemolysis is more common in mitral PVL than in aortic PVL, due to the occurrence of PVL during systole. The appearance of a new murmur in a valve replacement patient may raise suspicion and should be evaluated using echocardiography (1, 2). Transthoracic echocardiography (TTE) may be limited in these patients due to acoustic shadowing from calcium and the prosthetic valve (1). Trans esophageal echocardiography (TEE) remains the gold standard for diagnosing PVL (1, 2).  It provides detailed information about the location, size, and severity of the leak. 3D TEE is superior to 2D TEE in assessing PVL (1, 2, 6). A </w:t>
      </w:r>
      <w:r w:rsidR="009F4903">
        <w:rPr>
          <w:rFonts w:cstheme="minorHAnsi"/>
          <w:sz w:val="24"/>
          <w:szCs w:val="24"/>
        </w:rPr>
        <w:t>semi-quantitative</w:t>
      </w:r>
      <w:r w:rsidRPr="004C0BEF">
        <w:rPr>
          <w:rFonts w:cstheme="minorHAnsi"/>
          <w:sz w:val="24"/>
          <w:szCs w:val="24"/>
        </w:rPr>
        <w:t xml:space="preserve"> assessment can be performed using pulsed-wave Doppler to evaluate flow pattern distortion upstream (e.g., pulmonary veins in mitral PVL) (5). An elevated </w:t>
      </w:r>
      <w:r w:rsidR="009F4903" w:rsidRPr="004C0BEF">
        <w:rPr>
          <w:rFonts w:cstheme="minorHAnsi"/>
          <w:sz w:val="24"/>
          <w:szCs w:val="24"/>
        </w:rPr>
        <w:t>trans prosthetic</w:t>
      </w:r>
      <w:r w:rsidRPr="004C0BEF">
        <w:rPr>
          <w:rFonts w:cstheme="minorHAnsi"/>
          <w:sz w:val="24"/>
          <w:szCs w:val="24"/>
        </w:rPr>
        <w:t xml:space="preserve"> gradient, despite a normal appearance and mobility of the cusps or discs, should raise suspicion for significant PVL causing volume overload (4, 5). Progressive left ventricular (LV) enlargement may also suggest severe PVL (5). TEE is also useful during percutaneous procedures (1, 6). Severe mitral PVL is indicated by significant flow convergence, a vena </w:t>
      </w:r>
      <w:proofErr w:type="spellStart"/>
      <w:r w:rsidRPr="004C0BEF">
        <w:rPr>
          <w:rFonts w:cstheme="minorHAnsi"/>
          <w:sz w:val="24"/>
          <w:szCs w:val="24"/>
        </w:rPr>
        <w:t>contracta</w:t>
      </w:r>
      <w:proofErr w:type="spellEnd"/>
      <w:r w:rsidRPr="004C0BEF">
        <w:rPr>
          <w:rFonts w:cstheme="minorHAnsi"/>
          <w:sz w:val="24"/>
          <w:szCs w:val="24"/>
        </w:rPr>
        <w:t xml:space="preserve"> ≥7 mm, regurgitant volume </w:t>
      </w:r>
      <w:r w:rsidRPr="004C0BEF">
        <w:rPr>
          <w:rFonts w:cstheme="minorHAnsi"/>
          <w:sz w:val="24"/>
          <w:szCs w:val="24"/>
        </w:rPr>
        <w:lastRenderedPageBreak/>
        <w:t xml:space="preserve">&gt;60 mL, regurgitant fraction &gt;50%, and an effective regurgitant orifice area (EROA) &gt;40 mm² (1, 5). Cardiac MRI may be considered in patients with multiple PVLs (2). The location of mitral PVL can be described using a clock-face analogy: near the aortic valve at the 12 o’clock position, toward the left atrial appendage (LAA) at 9 o’clock, and near the interatrial septum (IAS) at 3 o’clock. The most common locations for mitral PVL are the 10 and 11 o’clock positions (2, 3). A meta-analysis by Busu et al. showed a 72.1% success rate for transcatheter PVL closure (3). The current ACC/AHA guidelines recommend device closure of PVL in patients with symptomatic heart failure or persistent hemolytic anemia, provided they have suitable anatomy for percutaneous intervention (3). PVL can be approached </w:t>
      </w:r>
      <w:proofErr w:type="spellStart"/>
      <w:r w:rsidRPr="004C0BEF">
        <w:rPr>
          <w:rFonts w:cstheme="minorHAnsi"/>
          <w:sz w:val="24"/>
          <w:szCs w:val="24"/>
        </w:rPr>
        <w:t>antegradely</w:t>
      </w:r>
      <w:proofErr w:type="spellEnd"/>
      <w:r w:rsidRPr="004C0BEF">
        <w:rPr>
          <w:rFonts w:cstheme="minorHAnsi"/>
          <w:sz w:val="24"/>
          <w:szCs w:val="24"/>
        </w:rPr>
        <w:t xml:space="preserve"> via trans</w:t>
      </w:r>
      <w:r w:rsidR="009F4903">
        <w:rPr>
          <w:rFonts w:cstheme="minorHAnsi"/>
          <w:sz w:val="24"/>
          <w:szCs w:val="24"/>
        </w:rPr>
        <w:t>-</w:t>
      </w:r>
      <w:r w:rsidRPr="004C0BEF">
        <w:rPr>
          <w:rFonts w:cstheme="minorHAnsi"/>
          <w:sz w:val="24"/>
          <w:szCs w:val="24"/>
        </w:rPr>
        <w:t>septal puncture or retrogradely by crossing the PVL from the left ventricle to the left atrium (trans</w:t>
      </w:r>
      <w:r w:rsidR="009F4903">
        <w:rPr>
          <w:rFonts w:cstheme="minorHAnsi"/>
          <w:sz w:val="24"/>
          <w:szCs w:val="24"/>
        </w:rPr>
        <w:t>-</w:t>
      </w:r>
      <w:r w:rsidRPr="004C0BEF">
        <w:rPr>
          <w:rFonts w:cstheme="minorHAnsi"/>
          <w:sz w:val="24"/>
          <w:szCs w:val="24"/>
        </w:rPr>
        <w:t>apical approach) (1, 4). A snaring technique may be used to establish an arteriovenous wire loop when advancing the delivery sheath is difficult. This method facilitates sheath passage through sharp angles and calcified lesions (4). Local anesthesia may be considered in patients undergoing trans</w:t>
      </w:r>
      <w:r w:rsidR="009F4903">
        <w:rPr>
          <w:rFonts w:cstheme="minorHAnsi"/>
          <w:sz w:val="24"/>
          <w:szCs w:val="24"/>
        </w:rPr>
        <w:t>-</w:t>
      </w:r>
      <w:r w:rsidRPr="004C0BEF">
        <w:rPr>
          <w:rFonts w:cstheme="minorHAnsi"/>
          <w:sz w:val="24"/>
          <w:szCs w:val="24"/>
        </w:rPr>
        <w:t>femoral access, whereas general anesthesia is preferred for the trans</w:t>
      </w:r>
      <w:r w:rsidR="009F4903">
        <w:rPr>
          <w:rFonts w:cstheme="minorHAnsi"/>
          <w:sz w:val="24"/>
          <w:szCs w:val="24"/>
        </w:rPr>
        <w:t>-</w:t>
      </w:r>
      <w:r w:rsidRPr="004C0BEF">
        <w:rPr>
          <w:rFonts w:cstheme="minorHAnsi"/>
          <w:sz w:val="24"/>
          <w:szCs w:val="24"/>
        </w:rPr>
        <w:t xml:space="preserve">apical route (4). The most common complications after PVL device closure includes Valve interference (3.5–5.0%), Stroke, Endocarditis, Post-procedural hemolysis, Device erosion, Emergent cardiac surgery (0.7–2.0%), </w:t>
      </w:r>
      <w:r w:rsidR="009F4903">
        <w:rPr>
          <w:rFonts w:cstheme="minorHAnsi"/>
          <w:sz w:val="24"/>
          <w:szCs w:val="24"/>
        </w:rPr>
        <w:t xml:space="preserve">and </w:t>
      </w:r>
      <w:r w:rsidRPr="004C0BEF">
        <w:rPr>
          <w:rFonts w:cstheme="minorHAnsi"/>
          <w:sz w:val="24"/>
          <w:szCs w:val="24"/>
        </w:rPr>
        <w:t>Death (1.4–2.0%) (3). Percutaneous PVL closure has been associated with improved quality of life in patients with successful procedures during 12 months of follow-up (7).</w:t>
      </w:r>
    </w:p>
    <w:p w14:paraId="343B7DFE" w14:textId="02571191" w:rsidR="002D6525" w:rsidRPr="009F4903" w:rsidRDefault="002D6525" w:rsidP="0099220E">
      <w:pPr>
        <w:rPr>
          <w:rFonts w:cstheme="minorHAnsi"/>
          <w:b/>
          <w:sz w:val="24"/>
          <w:szCs w:val="24"/>
        </w:rPr>
      </w:pPr>
      <w:r w:rsidRPr="009F4903">
        <w:rPr>
          <w:rFonts w:cstheme="minorHAnsi"/>
          <w:b/>
          <w:sz w:val="24"/>
          <w:szCs w:val="24"/>
        </w:rPr>
        <w:t>Conclusion:</w:t>
      </w:r>
    </w:p>
    <w:p w14:paraId="614994A2" w14:textId="5FFB3FDB" w:rsidR="002D6525" w:rsidRDefault="002D6525" w:rsidP="0099220E">
      <w:pPr>
        <w:rPr>
          <w:sz w:val="24"/>
          <w:szCs w:val="24"/>
        </w:rPr>
      </w:pPr>
      <w:r w:rsidRPr="009F4903">
        <w:rPr>
          <w:rStyle w:val="relative"/>
          <w:sz w:val="24"/>
          <w:szCs w:val="24"/>
        </w:rPr>
        <w:t>Percutaneous closure of paravalvular leaks (PVLs) has emerged as a viable and effective alternative to traditional surgical repair, particularly for patients at high surgical risk.</w:t>
      </w:r>
      <w:r w:rsidRPr="009F4903">
        <w:rPr>
          <w:sz w:val="24"/>
          <w:szCs w:val="24"/>
        </w:rPr>
        <w:t xml:space="preserve"> </w:t>
      </w:r>
      <w:r w:rsidRPr="009F4903">
        <w:rPr>
          <w:rStyle w:val="relative"/>
          <w:sz w:val="24"/>
          <w:szCs w:val="24"/>
        </w:rPr>
        <w:t>This minimally invasive approach offers favorable outcomes, including significant reductions in leak severity and improvements in symptoms, with a low incidence of major adverse events.</w:t>
      </w:r>
      <w:r w:rsidRPr="009F4903">
        <w:rPr>
          <w:sz w:val="24"/>
          <w:szCs w:val="24"/>
        </w:rPr>
        <w:t xml:space="preserve"> </w:t>
      </w:r>
      <w:r w:rsidRPr="009F4903">
        <w:rPr>
          <w:rStyle w:val="relative"/>
          <w:sz w:val="24"/>
          <w:szCs w:val="24"/>
        </w:rPr>
        <w:t>Advanced imaging techniques, such as three-dimensional transesophageal echocardiography, play a crucial role in accurately diagnosing and guiding the closure of PVLs.</w:t>
      </w:r>
      <w:r w:rsidRPr="009F4903">
        <w:rPr>
          <w:sz w:val="24"/>
          <w:szCs w:val="24"/>
        </w:rPr>
        <w:t xml:space="preserve"> </w:t>
      </w:r>
      <w:r w:rsidRPr="009F4903">
        <w:rPr>
          <w:rStyle w:val="relative"/>
          <w:sz w:val="24"/>
          <w:szCs w:val="24"/>
        </w:rPr>
        <w:t>While the procedure has shown promising short-term results, long-term prognosis remains influenced by underlying patient comorbidities.</w:t>
      </w:r>
      <w:r w:rsidRPr="009F4903">
        <w:rPr>
          <w:sz w:val="24"/>
          <w:szCs w:val="24"/>
        </w:rPr>
        <w:t xml:space="preserve"> </w:t>
      </w:r>
      <w:r w:rsidRPr="009F4903">
        <w:rPr>
          <w:rStyle w:val="relative"/>
          <w:sz w:val="24"/>
          <w:szCs w:val="24"/>
        </w:rPr>
        <w:t>Therefore, percutaneous PVL closure should be considered a first-line treatment option in appropriately selected patients, offering a safe and effective means to manage this challenging complication.</w:t>
      </w:r>
      <w:r w:rsidRPr="009F4903">
        <w:rPr>
          <w:sz w:val="24"/>
          <w:szCs w:val="24"/>
        </w:rPr>
        <w:t xml:space="preserve"> </w:t>
      </w:r>
    </w:p>
    <w:p w14:paraId="44CDAC12" w14:textId="214EFD84" w:rsidR="00194865" w:rsidRDefault="00194865" w:rsidP="0099220E">
      <w:pPr>
        <w:rPr>
          <w:rFonts w:cstheme="minorHAnsi"/>
          <w:sz w:val="24"/>
          <w:szCs w:val="24"/>
        </w:rPr>
      </w:pPr>
    </w:p>
    <w:p w14:paraId="6E6075A9" w14:textId="058EC3E4" w:rsidR="00194865" w:rsidRDefault="00194865" w:rsidP="0099220E">
      <w:pPr>
        <w:rPr>
          <w:rFonts w:cstheme="minorHAnsi"/>
          <w:sz w:val="24"/>
          <w:szCs w:val="24"/>
        </w:rPr>
      </w:pPr>
    </w:p>
    <w:p w14:paraId="50FDC018" w14:textId="31BF3063" w:rsidR="00194865" w:rsidRDefault="00194865" w:rsidP="0099220E">
      <w:pPr>
        <w:rPr>
          <w:rFonts w:cstheme="minorHAnsi"/>
          <w:sz w:val="24"/>
          <w:szCs w:val="24"/>
        </w:rPr>
      </w:pPr>
    </w:p>
    <w:p w14:paraId="0EB00D60" w14:textId="12FDD353" w:rsidR="00194865" w:rsidRDefault="00194865" w:rsidP="0099220E">
      <w:pPr>
        <w:rPr>
          <w:rFonts w:cstheme="minorHAnsi"/>
          <w:sz w:val="24"/>
          <w:szCs w:val="24"/>
        </w:rPr>
      </w:pPr>
    </w:p>
    <w:p w14:paraId="2EA0DA84" w14:textId="6BEBB8BE" w:rsidR="00194865" w:rsidRDefault="00194865" w:rsidP="0099220E">
      <w:pPr>
        <w:rPr>
          <w:rFonts w:cstheme="minorHAnsi"/>
          <w:sz w:val="24"/>
          <w:szCs w:val="24"/>
        </w:rPr>
      </w:pPr>
    </w:p>
    <w:p w14:paraId="4D1B331B" w14:textId="278463CF" w:rsidR="00194865" w:rsidRDefault="00194865" w:rsidP="0099220E">
      <w:pPr>
        <w:rPr>
          <w:rFonts w:cstheme="minorHAnsi"/>
          <w:sz w:val="24"/>
          <w:szCs w:val="24"/>
        </w:rPr>
      </w:pPr>
    </w:p>
    <w:p w14:paraId="1CF5BD3D" w14:textId="1A699A1D" w:rsidR="00194865" w:rsidRDefault="00194865" w:rsidP="0099220E">
      <w:pPr>
        <w:rPr>
          <w:rFonts w:cstheme="minorHAnsi"/>
          <w:sz w:val="24"/>
          <w:szCs w:val="24"/>
        </w:rPr>
      </w:pPr>
    </w:p>
    <w:p w14:paraId="604A12EA" w14:textId="14C486AF" w:rsidR="00194865" w:rsidRDefault="00194865" w:rsidP="0099220E">
      <w:pPr>
        <w:rPr>
          <w:rFonts w:cstheme="minorHAnsi"/>
          <w:sz w:val="24"/>
          <w:szCs w:val="24"/>
        </w:rPr>
      </w:pPr>
    </w:p>
    <w:p w14:paraId="526F9BB9" w14:textId="1EB5F23C" w:rsidR="00194865" w:rsidRDefault="00194865" w:rsidP="0099220E">
      <w:pPr>
        <w:rPr>
          <w:rFonts w:cstheme="minorHAnsi"/>
          <w:sz w:val="24"/>
          <w:szCs w:val="24"/>
        </w:rPr>
      </w:pPr>
    </w:p>
    <w:p w14:paraId="28E33CAE" w14:textId="77777777" w:rsidR="00194865" w:rsidRPr="00D34720" w:rsidRDefault="00194865" w:rsidP="00194865">
      <w:pPr>
        <w:rPr>
          <w:rFonts w:ascii="Calibri" w:eastAsia="Calibri" w:hAnsi="Calibri" w:cs="Times New Roman"/>
          <w:b/>
          <w:kern w:val="2"/>
          <w:highlight w:val="yellow"/>
        </w:rPr>
      </w:pPr>
      <w:bookmarkStart w:id="1" w:name="_Hlk197682619"/>
      <w:bookmarkStart w:id="2" w:name="_Hlk180402183"/>
      <w:bookmarkStart w:id="3" w:name="_Hlk183680988"/>
      <w:r w:rsidRPr="00D34720">
        <w:rPr>
          <w:rFonts w:ascii="Calibri" w:eastAsia="Calibri" w:hAnsi="Calibri" w:cs="Times New Roman"/>
          <w:b/>
          <w:kern w:val="2"/>
          <w:highlight w:val="yellow"/>
        </w:rPr>
        <w:t>Disclaimer (Artificial intelligence)</w:t>
      </w:r>
    </w:p>
    <w:p w14:paraId="309BB1A2" w14:textId="77777777" w:rsidR="00194865" w:rsidRPr="009C5487" w:rsidRDefault="00194865" w:rsidP="0019486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5FFA6632" w14:textId="77777777" w:rsidR="00194865" w:rsidRPr="009C5487" w:rsidRDefault="00194865" w:rsidP="00194865">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242F7DE8" w14:textId="77777777" w:rsidR="00194865" w:rsidRPr="009C5487" w:rsidRDefault="00194865" w:rsidP="0019486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4CFDFCC8" w14:textId="77777777" w:rsidR="00194865" w:rsidRPr="009C5487" w:rsidRDefault="00194865" w:rsidP="00194865">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6D753C8" w14:textId="77777777" w:rsidR="00194865" w:rsidRPr="009C5487" w:rsidRDefault="00194865" w:rsidP="00194865">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4DB5F24D" w14:textId="77777777" w:rsidR="00194865" w:rsidRPr="009C5487" w:rsidRDefault="00194865" w:rsidP="00194865">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581D5B39" w14:textId="77777777" w:rsidR="00194865" w:rsidRPr="009C5487" w:rsidRDefault="00194865" w:rsidP="00194865">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79417F15" w14:textId="77777777" w:rsidR="00194865" w:rsidRPr="009C5487" w:rsidRDefault="00194865" w:rsidP="00194865">
      <w:pPr>
        <w:rPr>
          <w:rFonts w:ascii="Calibri" w:eastAsia="Calibri" w:hAnsi="Calibri" w:cs="Times New Roman"/>
          <w:kern w:val="2"/>
        </w:rPr>
      </w:pPr>
      <w:bookmarkStart w:id="4" w:name="_Hlk197682629"/>
      <w:bookmarkEnd w:id="1"/>
      <w:r w:rsidRPr="009C5487">
        <w:rPr>
          <w:rFonts w:ascii="Calibri" w:eastAsia="Calibri" w:hAnsi="Calibri" w:cs="Times New Roman"/>
          <w:kern w:val="2"/>
          <w:highlight w:val="yellow"/>
        </w:rPr>
        <w:t>3.</w:t>
      </w:r>
    </w:p>
    <w:bookmarkEnd w:id="2"/>
    <w:bookmarkEnd w:id="3"/>
    <w:bookmarkEnd w:id="4"/>
    <w:p w14:paraId="451A9C19" w14:textId="77777777" w:rsidR="00194865" w:rsidRPr="009F4903" w:rsidRDefault="00194865" w:rsidP="0099220E">
      <w:pPr>
        <w:rPr>
          <w:rFonts w:cstheme="minorHAnsi"/>
          <w:sz w:val="24"/>
          <w:szCs w:val="24"/>
        </w:rPr>
      </w:pPr>
    </w:p>
    <w:p w14:paraId="38F7777D" w14:textId="77777777" w:rsidR="002D6525" w:rsidRDefault="002D6525" w:rsidP="0099220E">
      <w:pPr>
        <w:rPr>
          <w:rFonts w:cstheme="minorHAnsi"/>
          <w:b/>
          <w:sz w:val="24"/>
          <w:szCs w:val="24"/>
        </w:rPr>
      </w:pPr>
    </w:p>
    <w:p w14:paraId="174F49BC" w14:textId="695D3CEE" w:rsidR="0099220E" w:rsidRPr="004C0BEF" w:rsidRDefault="0099220E" w:rsidP="0099220E">
      <w:pPr>
        <w:rPr>
          <w:rFonts w:cstheme="minorHAnsi"/>
          <w:b/>
          <w:sz w:val="24"/>
          <w:szCs w:val="24"/>
        </w:rPr>
      </w:pPr>
      <w:r w:rsidRPr="004C0BEF">
        <w:rPr>
          <w:rFonts w:cstheme="minorHAnsi"/>
          <w:b/>
          <w:sz w:val="24"/>
          <w:szCs w:val="24"/>
        </w:rPr>
        <w:t xml:space="preserve">References </w:t>
      </w:r>
    </w:p>
    <w:p w14:paraId="57CC7674" w14:textId="77777777" w:rsidR="0099220E" w:rsidRPr="004C0BEF" w:rsidRDefault="0099220E" w:rsidP="0099220E">
      <w:pPr>
        <w:pStyle w:val="ListParagraph"/>
        <w:numPr>
          <w:ilvl w:val="0"/>
          <w:numId w:val="1"/>
        </w:numPr>
        <w:spacing w:after="160" w:line="259" w:lineRule="auto"/>
        <w:rPr>
          <w:rFonts w:cstheme="minorHAnsi"/>
          <w:sz w:val="24"/>
          <w:szCs w:val="24"/>
        </w:rPr>
      </w:pPr>
      <w:r w:rsidRPr="004C0BEF">
        <w:rPr>
          <w:rFonts w:cstheme="minorHAnsi"/>
          <w:color w:val="1B1B1B"/>
          <w:sz w:val="24"/>
          <w:szCs w:val="24"/>
          <w:shd w:val="clear" w:color="auto" w:fill="FFFFFF"/>
        </w:rPr>
        <w:t xml:space="preserve">Cruz-Gonzalez I, </w:t>
      </w:r>
      <w:proofErr w:type="spellStart"/>
      <w:r w:rsidRPr="004C0BEF">
        <w:rPr>
          <w:rFonts w:cstheme="minorHAnsi"/>
          <w:color w:val="1B1B1B"/>
          <w:sz w:val="24"/>
          <w:szCs w:val="24"/>
          <w:shd w:val="clear" w:color="auto" w:fill="FFFFFF"/>
        </w:rPr>
        <w:t>Antunez-Muiños</w:t>
      </w:r>
      <w:proofErr w:type="spellEnd"/>
      <w:r w:rsidRPr="004C0BEF">
        <w:rPr>
          <w:rFonts w:cstheme="minorHAnsi"/>
          <w:color w:val="1B1B1B"/>
          <w:sz w:val="24"/>
          <w:szCs w:val="24"/>
          <w:shd w:val="clear" w:color="auto" w:fill="FFFFFF"/>
        </w:rPr>
        <w:t xml:space="preserve"> P, Lopez-</w:t>
      </w:r>
      <w:proofErr w:type="spellStart"/>
      <w:r w:rsidRPr="004C0BEF">
        <w:rPr>
          <w:rFonts w:cstheme="minorHAnsi"/>
          <w:color w:val="1B1B1B"/>
          <w:sz w:val="24"/>
          <w:szCs w:val="24"/>
          <w:shd w:val="clear" w:color="auto" w:fill="FFFFFF"/>
        </w:rPr>
        <w:t>Tejero</w:t>
      </w:r>
      <w:proofErr w:type="spellEnd"/>
      <w:r w:rsidRPr="004C0BEF">
        <w:rPr>
          <w:rFonts w:cstheme="minorHAnsi"/>
          <w:color w:val="1B1B1B"/>
          <w:sz w:val="24"/>
          <w:szCs w:val="24"/>
          <w:shd w:val="clear" w:color="auto" w:fill="FFFFFF"/>
        </w:rPr>
        <w:t xml:space="preserve"> S, Sanchez PL. Mitral Paravalvular Leak: Clinical Implications, Diagnosis and Management. J Clin Med. 2022 Feb 25;11(5):1245. </w:t>
      </w:r>
      <w:proofErr w:type="spellStart"/>
      <w:r w:rsidRPr="004C0BEF">
        <w:rPr>
          <w:rFonts w:cstheme="minorHAnsi"/>
          <w:color w:val="1B1B1B"/>
          <w:sz w:val="24"/>
          <w:szCs w:val="24"/>
          <w:shd w:val="clear" w:color="auto" w:fill="FFFFFF"/>
        </w:rPr>
        <w:t>doi</w:t>
      </w:r>
      <w:proofErr w:type="spellEnd"/>
      <w:r w:rsidRPr="004C0BEF">
        <w:rPr>
          <w:rFonts w:cstheme="minorHAnsi"/>
          <w:color w:val="1B1B1B"/>
          <w:sz w:val="24"/>
          <w:szCs w:val="24"/>
          <w:shd w:val="clear" w:color="auto" w:fill="FFFFFF"/>
        </w:rPr>
        <w:t>: 10.3390/jcm11051245. PMID: 35268336; PMCID: PMC8911516.</w:t>
      </w:r>
    </w:p>
    <w:p w14:paraId="59E93314" w14:textId="77777777" w:rsidR="0099220E" w:rsidRPr="004C0BEF" w:rsidRDefault="0099220E" w:rsidP="0099220E">
      <w:pPr>
        <w:pStyle w:val="ListParagraph"/>
        <w:numPr>
          <w:ilvl w:val="0"/>
          <w:numId w:val="1"/>
        </w:numPr>
        <w:spacing w:after="160" w:line="259" w:lineRule="auto"/>
        <w:rPr>
          <w:rFonts w:cstheme="minorHAnsi"/>
          <w:sz w:val="24"/>
          <w:szCs w:val="24"/>
        </w:rPr>
      </w:pPr>
      <w:r w:rsidRPr="004C0BEF">
        <w:rPr>
          <w:rFonts w:cstheme="minorHAnsi"/>
          <w:color w:val="212121"/>
          <w:sz w:val="24"/>
          <w:szCs w:val="24"/>
          <w:shd w:val="clear" w:color="auto" w:fill="FFFFFF"/>
        </w:rPr>
        <w:t xml:space="preserve">Krishnaswamy A, Kapadia SR, </w:t>
      </w:r>
      <w:proofErr w:type="spellStart"/>
      <w:r w:rsidRPr="004C0BEF">
        <w:rPr>
          <w:rFonts w:cstheme="minorHAnsi"/>
          <w:color w:val="212121"/>
          <w:sz w:val="24"/>
          <w:szCs w:val="24"/>
          <w:shd w:val="clear" w:color="auto" w:fill="FFFFFF"/>
        </w:rPr>
        <w:t>Tuzcu</w:t>
      </w:r>
      <w:proofErr w:type="spellEnd"/>
      <w:r w:rsidRPr="004C0BEF">
        <w:rPr>
          <w:rFonts w:cstheme="minorHAnsi"/>
          <w:color w:val="212121"/>
          <w:sz w:val="24"/>
          <w:szCs w:val="24"/>
          <w:shd w:val="clear" w:color="auto" w:fill="FFFFFF"/>
        </w:rPr>
        <w:t xml:space="preserve"> EM. Percutaneous paravalvular leak closure- imaging, techniques and outcomes. Circ J. 2013;77(1):19-27. </w:t>
      </w:r>
      <w:proofErr w:type="spellStart"/>
      <w:r w:rsidRPr="004C0BEF">
        <w:rPr>
          <w:rFonts w:cstheme="minorHAnsi"/>
          <w:color w:val="212121"/>
          <w:sz w:val="24"/>
          <w:szCs w:val="24"/>
          <w:shd w:val="clear" w:color="auto" w:fill="FFFFFF"/>
        </w:rPr>
        <w:t>doi</w:t>
      </w:r>
      <w:proofErr w:type="spellEnd"/>
      <w:r w:rsidRPr="004C0BEF">
        <w:rPr>
          <w:rFonts w:cstheme="minorHAnsi"/>
          <w:color w:val="212121"/>
          <w:sz w:val="24"/>
          <w:szCs w:val="24"/>
          <w:shd w:val="clear" w:color="auto" w:fill="FFFFFF"/>
        </w:rPr>
        <w:t>: 10.1253/</w:t>
      </w:r>
      <w:proofErr w:type="gramStart"/>
      <w:r w:rsidRPr="004C0BEF">
        <w:rPr>
          <w:rFonts w:cstheme="minorHAnsi"/>
          <w:color w:val="212121"/>
          <w:sz w:val="24"/>
          <w:szCs w:val="24"/>
          <w:shd w:val="clear" w:color="auto" w:fill="FFFFFF"/>
        </w:rPr>
        <w:t>circj.cj</w:t>
      </w:r>
      <w:proofErr w:type="gramEnd"/>
      <w:r w:rsidRPr="004C0BEF">
        <w:rPr>
          <w:rFonts w:cstheme="minorHAnsi"/>
          <w:color w:val="212121"/>
          <w:sz w:val="24"/>
          <w:szCs w:val="24"/>
          <w:shd w:val="clear" w:color="auto" w:fill="FFFFFF"/>
        </w:rPr>
        <w:t xml:space="preserve">-12-1433. </w:t>
      </w:r>
      <w:proofErr w:type="spellStart"/>
      <w:r w:rsidRPr="004C0BEF">
        <w:rPr>
          <w:rFonts w:cstheme="minorHAnsi"/>
          <w:color w:val="212121"/>
          <w:sz w:val="24"/>
          <w:szCs w:val="24"/>
          <w:shd w:val="clear" w:color="auto" w:fill="FFFFFF"/>
        </w:rPr>
        <w:t>Epub</w:t>
      </w:r>
      <w:proofErr w:type="spellEnd"/>
      <w:r w:rsidRPr="004C0BEF">
        <w:rPr>
          <w:rFonts w:cstheme="minorHAnsi"/>
          <w:color w:val="212121"/>
          <w:sz w:val="24"/>
          <w:szCs w:val="24"/>
          <w:shd w:val="clear" w:color="auto" w:fill="FFFFFF"/>
        </w:rPr>
        <w:t xml:space="preserve"> 2012 Dec 15. PMID: 23258128.</w:t>
      </w:r>
    </w:p>
    <w:p w14:paraId="62597888" w14:textId="77777777" w:rsidR="0099220E" w:rsidRPr="004C0BEF" w:rsidRDefault="0099220E" w:rsidP="0099220E">
      <w:pPr>
        <w:pStyle w:val="ListParagraph"/>
        <w:numPr>
          <w:ilvl w:val="0"/>
          <w:numId w:val="1"/>
        </w:numPr>
        <w:spacing w:after="160" w:line="259" w:lineRule="auto"/>
        <w:rPr>
          <w:rFonts w:cstheme="minorHAnsi"/>
          <w:sz w:val="24"/>
          <w:szCs w:val="24"/>
        </w:rPr>
      </w:pPr>
      <w:r w:rsidRPr="004C0BEF">
        <w:rPr>
          <w:rFonts w:cstheme="minorHAnsi"/>
          <w:color w:val="212121"/>
          <w:sz w:val="24"/>
          <w:szCs w:val="24"/>
          <w:shd w:val="clear" w:color="auto" w:fill="FFFFFF"/>
        </w:rPr>
        <w:t xml:space="preserve">Kalogeras K, Ntalekou K, Aggeli K, Moldovan C, </w:t>
      </w:r>
      <w:proofErr w:type="spellStart"/>
      <w:r w:rsidRPr="004C0BEF">
        <w:rPr>
          <w:rFonts w:cstheme="minorHAnsi"/>
          <w:color w:val="212121"/>
          <w:sz w:val="24"/>
          <w:szCs w:val="24"/>
          <w:shd w:val="clear" w:color="auto" w:fill="FFFFFF"/>
        </w:rPr>
        <w:t>Katsianos</w:t>
      </w:r>
      <w:proofErr w:type="spellEnd"/>
      <w:r w:rsidRPr="004C0BEF">
        <w:rPr>
          <w:rFonts w:cstheme="minorHAnsi"/>
          <w:color w:val="212121"/>
          <w:sz w:val="24"/>
          <w:szCs w:val="24"/>
          <w:shd w:val="clear" w:color="auto" w:fill="FFFFFF"/>
        </w:rPr>
        <w:t xml:space="preserve"> E, </w:t>
      </w:r>
      <w:proofErr w:type="spellStart"/>
      <w:r w:rsidRPr="004C0BEF">
        <w:rPr>
          <w:rFonts w:cstheme="minorHAnsi"/>
          <w:color w:val="212121"/>
          <w:sz w:val="24"/>
          <w:szCs w:val="24"/>
          <w:shd w:val="clear" w:color="auto" w:fill="FFFFFF"/>
        </w:rPr>
        <w:t>Kalantzis</w:t>
      </w:r>
      <w:proofErr w:type="spellEnd"/>
      <w:r w:rsidRPr="004C0BEF">
        <w:rPr>
          <w:rFonts w:cstheme="minorHAnsi"/>
          <w:color w:val="212121"/>
          <w:sz w:val="24"/>
          <w:szCs w:val="24"/>
          <w:shd w:val="clear" w:color="auto" w:fill="FFFFFF"/>
        </w:rPr>
        <w:t xml:space="preserve"> C, Bei E, </w:t>
      </w:r>
      <w:proofErr w:type="spellStart"/>
      <w:r w:rsidRPr="004C0BEF">
        <w:rPr>
          <w:rFonts w:cstheme="minorHAnsi"/>
          <w:color w:val="212121"/>
          <w:sz w:val="24"/>
          <w:szCs w:val="24"/>
          <w:shd w:val="clear" w:color="auto" w:fill="FFFFFF"/>
        </w:rPr>
        <w:t>Mourmouris</w:t>
      </w:r>
      <w:proofErr w:type="spellEnd"/>
      <w:r w:rsidRPr="004C0BEF">
        <w:rPr>
          <w:rFonts w:cstheme="minorHAnsi"/>
          <w:color w:val="212121"/>
          <w:sz w:val="24"/>
          <w:szCs w:val="24"/>
          <w:shd w:val="clear" w:color="auto" w:fill="FFFFFF"/>
        </w:rPr>
        <w:t xml:space="preserve"> C, </w:t>
      </w:r>
      <w:proofErr w:type="spellStart"/>
      <w:r w:rsidRPr="004C0BEF">
        <w:rPr>
          <w:rFonts w:cstheme="minorHAnsi"/>
          <w:color w:val="212121"/>
          <w:sz w:val="24"/>
          <w:szCs w:val="24"/>
          <w:shd w:val="clear" w:color="auto" w:fill="FFFFFF"/>
        </w:rPr>
        <w:t>Spargias</w:t>
      </w:r>
      <w:proofErr w:type="spellEnd"/>
      <w:r w:rsidRPr="004C0BEF">
        <w:rPr>
          <w:rFonts w:cstheme="minorHAnsi"/>
          <w:color w:val="212121"/>
          <w:sz w:val="24"/>
          <w:szCs w:val="24"/>
          <w:shd w:val="clear" w:color="auto" w:fill="FFFFFF"/>
        </w:rPr>
        <w:t xml:space="preserve"> K, </w:t>
      </w:r>
      <w:proofErr w:type="spellStart"/>
      <w:r w:rsidRPr="004C0BEF">
        <w:rPr>
          <w:rFonts w:cstheme="minorHAnsi"/>
          <w:color w:val="212121"/>
          <w:sz w:val="24"/>
          <w:szCs w:val="24"/>
          <w:shd w:val="clear" w:color="auto" w:fill="FFFFFF"/>
        </w:rPr>
        <w:t>Chrissoheris</w:t>
      </w:r>
      <w:proofErr w:type="spellEnd"/>
      <w:r w:rsidRPr="004C0BEF">
        <w:rPr>
          <w:rFonts w:cstheme="minorHAnsi"/>
          <w:color w:val="212121"/>
          <w:sz w:val="24"/>
          <w:szCs w:val="24"/>
          <w:shd w:val="clear" w:color="auto" w:fill="FFFFFF"/>
        </w:rPr>
        <w:t xml:space="preserve"> M, </w:t>
      </w:r>
      <w:proofErr w:type="spellStart"/>
      <w:r w:rsidRPr="004C0BEF">
        <w:rPr>
          <w:rFonts w:cstheme="minorHAnsi"/>
          <w:color w:val="212121"/>
          <w:sz w:val="24"/>
          <w:szCs w:val="24"/>
          <w:shd w:val="clear" w:color="auto" w:fill="FFFFFF"/>
        </w:rPr>
        <w:t>Dardas</w:t>
      </w:r>
      <w:proofErr w:type="spellEnd"/>
      <w:r w:rsidRPr="004C0BEF">
        <w:rPr>
          <w:rFonts w:cstheme="minorHAnsi"/>
          <w:color w:val="212121"/>
          <w:sz w:val="24"/>
          <w:szCs w:val="24"/>
          <w:shd w:val="clear" w:color="auto" w:fill="FFFFFF"/>
        </w:rPr>
        <w:t xml:space="preserve"> P, </w:t>
      </w:r>
      <w:proofErr w:type="spellStart"/>
      <w:r w:rsidRPr="004C0BEF">
        <w:rPr>
          <w:rFonts w:cstheme="minorHAnsi"/>
          <w:color w:val="212121"/>
          <w:sz w:val="24"/>
          <w:szCs w:val="24"/>
          <w:shd w:val="clear" w:color="auto" w:fill="FFFFFF"/>
        </w:rPr>
        <w:t>Aznaouridis</w:t>
      </w:r>
      <w:proofErr w:type="spellEnd"/>
      <w:r w:rsidRPr="004C0BEF">
        <w:rPr>
          <w:rFonts w:cstheme="minorHAnsi"/>
          <w:color w:val="212121"/>
          <w:sz w:val="24"/>
          <w:szCs w:val="24"/>
          <w:shd w:val="clear" w:color="auto" w:fill="FFFFFF"/>
        </w:rPr>
        <w:t xml:space="preserve"> K, </w:t>
      </w:r>
      <w:proofErr w:type="spellStart"/>
      <w:r w:rsidRPr="004C0BEF">
        <w:rPr>
          <w:rFonts w:cstheme="minorHAnsi"/>
          <w:color w:val="212121"/>
          <w:sz w:val="24"/>
          <w:szCs w:val="24"/>
          <w:shd w:val="clear" w:color="auto" w:fill="FFFFFF"/>
        </w:rPr>
        <w:t>Tzifa</w:t>
      </w:r>
      <w:proofErr w:type="spellEnd"/>
      <w:r w:rsidRPr="004C0BEF">
        <w:rPr>
          <w:rFonts w:cstheme="minorHAnsi"/>
          <w:color w:val="212121"/>
          <w:sz w:val="24"/>
          <w:szCs w:val="24"/>
          <w:shd w:val="clear" w:color="auto" w:fill="FFFFFF"/>
        </w:rPr>
        <w:t xml:space="preserve"> A, </w:t>
      </w:r>
      <w:proofErr w:type="spellStart"/>
      <w:r w:rsidRPr="004C0BEF">
        <w:rPr>
          <w:rFonts w:cstheme="minorHAnsi"/>
          <w:color w:val="212121"/>
          <w:sz w:val="24"/>
          <w:szCs w:val="24"/>
          <w:shd w:val="clear" w:color="auto" w:fill="FFFFFF"/>
        </w:rPr>
        <w:t>Theofilogiannakos</w:t>
      </w:r>
      <w:proofErr w:type="spellEnd"/>
      <w:r w:rsidRPr="004C0BEF">
        <w:rPr>
          <w:rFonts w:cstheme="minorHAnsi"/>
          <w:color w:val="212121"/>
          <w:sz w:val="24"/>
          <w:szCs w:val="24"/>
          <w:shd w:val="clear" w:color="auto" w:fill="FFFFFF"/>
        </w:rPr>
        <w:t xml:space="preserve"> E, </w:t>
      </w:r>
      <w:proofErr w:type="spellStart"/>
      <w:r w:rsidRPr="004C0BEF">
        <w:rPr>
          <w:rFonts w:cstheme="minorHAnsi"/>
          <w:color w:val="212121"/>
          <w:sz w:val="24"/>
          <w:szCs w:val="24"/>
          <w:shd w:val="clear" w:color="auto" w:fill="FFFFFF"/>
        </w:rPr>
        <w:t>Siasos</w:t>
      </w:r>
      <w:proofErr w:type="spellEnd"/>
      <w:r w:rsidRPr="004C0BEF">
        <w:rPr>
          <w:rFonts w:cstheme="minorHAnsi"/>
          <w:color w:val="212121"/>
          <w:sz w:val="24"/>
          <w:szCs w:val="24"/>
          <w:shd w:val="clear" w:color="auto" w:fill="FFFFFF"/>
        </w:rPr>
        <w:t xml:space="preserve"> G, </w:t>
      </w:r>
      <w:proofErr w:type="spellStart"/>
      <w:r w:rsidRPr="004C0BEF">
        <w:rPr>
          <w:rFonts w:cstheme="minorHAnsi"/>
          <w:color w:val="212121"/>
          <w:sz w:val="24"/>
          <w:szCs w:val="24"/>
          <w:shd w:val="clear" w:color="auto" w:fill="FFFFFF"/>
        </w:rPr>
        <w:t>Tousoulis</w:t>
      </w:r>
      <w:proofErr w:type="spellEnd"/>
      <w:r w:rsidRPr="004C0BEF">
        <w:rPr>
          <w:rFonts w:cstheme="minorHAnsi"/>
          <w:color w:val="212121"/>
          <w:sz w:val="24"/>
          <w:szCs w:val="24"/>
          <w:shd w:val="clear" w:color="auto" w:fill="FFFFFF"/>
        </w:rPr>
        <w:t xml:space="preserve"> D, </w:t>
      </w:r>
      <w:proofErr w:type="spellStart"/>
      <w:r w:rsidRPr="004C0BEF">
        <w:rPr>
          <w:rFonts w:cstheme="minorHAnsi"/>
          <w:color w:val="212121"/>
          <w:sz w:val="24"/>
          <w:szCs w:val="24"/>
          <w:shd w:val="clear" w:color="auto" w:fill="FFFFFF"/>
        </w:rPr>
        <w:t>Vavuranakis</w:t>
      </w:r>
      <w:proofErr w:type="spellEnd"/>
      <w:r w:rsidRPr="004C0BEF">
        <w:rPr>
          <w:rFonts w:cstheme="minorHAnsi"/>
          <w:color w:val="212121"/>
          <w:sz w:val="24"/>
          <w:szCs w:val="24"/>
          <w:shd w:val="clear" w:color="auto" w:fill="FFFFFF"/>
        </w:rPr>
        <w:t xml:space="preserve"> M. Transcatheter closure of paravalvular leak: Multicenter experience and follow-up. Hellenic J </w:t>
      </w:r>
      <w:proofErr w:type="spellStart"/>
      <w:r w:rsidRPr="004C0BEF">
        <w:rPr>
          <w:rFonts w:cstheme="minorHAnsi"/>
          <w:color w:val="212121"/>
          <w:sz w:val="24"/>
          <w:szCs w:val="24"/>
          <w:shd w:val="clear" w:color="auto" w:fill="FFFFFF"/>
        </w:rPr>
        <w:t>Cardiol</w:t>
      </w:r>
      <w:proofErr w:type="spellEnd"/>
      <w:r w:rsidRPr="004C0BEF">
        <w:rPr>
          <w:rFonts w:cstheme="minorHAnsi"/>
          <w:color w:val="212121"/>
          <w:sz w:val="24"/>
          <w:szCs w:val="24"/>
          <w:shd w:val="clear" w:color="auto" w:fill="FFFFFF"/>
        </w:rPr>
        <w:t xml:space="preserve">. 2021 Nov-Dec;62(6):416-422. </w:t>
      </w:r>
      <w:proofErr w:type="spellStart"/>
      <w:r w:rsidRPr="004C0BEF">
        <w:rPr>
          <w:rFonts w:cstheme="minorHAnsi"/>
          <w:color w:val="212121"/>
          <w:sz w:val="24"/>
          <w:szCs w:val="24"/>
          <w:shd w:val="clear" w:color="auto" w:fill="FFFFFF"/>
        </w:rPr>
        <w:t>doi</w:t>
      </w:r>
      <w:proofErr w:type="spellEnd"/>
      <w:r w:rsidRPr="004C0BEF">
        <w:rPr>
          <w:rFonts w:cstheme="minorHAnsi"/>
          <w:color w:val="212121"/>
          <w:sz w:val="24"/>
          <w:szCs w:val="24"/>
          <w:shd w:val="clear" w:color="auto" w:fill="FFFFFF"/>
        </w:rPr>
        <w:t xml:space="preserve">: 10.1016/j.hjc.2021.02.002. </w:t>
      </w:r>
      <w:proofErr w:type="spellStart"/>
      <w:r w:rsidRPr="004C0BEF">
        <w:rPr>
          <w:rFonts w:cstheme="minorHAnsi"/>
          <w:color w:val="212121"/>
          <w:sz w:val="24"/>
          <w:szCs w:val="24"/>
          <w:shd w:val="clear" w:color="auto" w:fill="FFFFFF"/>
        </w:rPr>
        <w:t>Epub</w:t>
      </w:r>
      <w:proofErr w:type="spellEnd"/>
      <w:r w:rsidRPr="004C0BEF">
        <w:rPr>
          <w:rFonts w:cstheme="minorHAnsi"/>
          <w:color w:val="212121"/>
          <w:sz w:val="24"/>
          <w:szCs w:val="24"/>
          <w:shd w:val="clear" w:color="auto" w:fill="FFFFFF"/>
        </w:rPr>
        <w:t xml:space="preserve"> 2021 Feb 19. PMID: 33617960.</w:t>
      </w:r>
    </w:p>
    <w:p w14:paraId="1D71D353" w14:textId="77777777" w:rsidR="0099220E" w:rsidRPr="004C0BEF" w:rsidRDefault="0099220E" w:rsidP="0099220E">
      <w:pPr>
        <w:pStyle w:val="ListParagraph"/>
        <w:numPr>
          <w:ilvl w:val="0"/>
          <w:numId w:val="1"/>
        </w:numPr>
        <w:spacing w:after="160" w:line="259" w:lineRule="auto"/>
        <w:rPr>
          <w:rFonts w:cstheme="minorHAnsi"/>
          <w:color w:val="1B1B1B"/>
          <w:sz w:val="24"/>
          <w:szCs w:val="24"/>
          <w:shd w:val="clear" w:color="auto" w:fill="FFFFFF"/>
        </w:rPr>
      </w:pPr>
      <w:r w:rsidRPr="004C0BEF">
        <w:rPr>
          <w:rFonts w:cstheme="minorHAnsi"/>
          <w:color w:val="212121"/>
          <w:sz w:val="24"/>
          <w:szCs w:val="24"/>
          <w:shd w:val="clear" w:color="auto" w:fill="FFFFFF"/>
        </w:rPr>
        <w:t xml:space="preserve">Liu Y, Xu C, Ding P, Tang J, Jin P, Li L, Chen M, Meng X, Zhao H, Yang J. Transcatheter Closure of Mitral Paravalvular Leak via Multiple Approaches. J </w:t>
      </w:r>
      <w:proofErr w:type="spellStart"/>
      <w:r w:rsidRPr="004C0BEF">
        <w:rPr>
          <w:rFonts w:cstheme="minorHAnsi"/>
          <w:color w:val="212121"/>
          <w:sz w:val="24"/>
          <w:szCs w:val="24"/>
          <w:shd w:val="clear" w:color="auto" w:fill="FFFFFF"/>
        </w:rPr>
        <w:t>Interv</w:t>
      </w:r>
      <w:proofErr w:type="spellEnd"/>
      <w:r w:rsidRPr="004C0BEF">
        <w:rPr>
          <w:rFonts w:cstheme="minorHAnsi"/>
          <w:color w:val="212121"/>
          <w:sz w:val="24"/>
          <w:szCs w:val="24"/>
          <w:shd w:val="clear" w:color="auto" w:fill="FFFFFF"/>
        </w:rPr>
        <w:t xml:space="preserve"> </w:t>
      </w:r>
      <w:proofErr w:type="spellStart"/>
      <w:r w:rsidRPr="004C0BEF">
        <w:rPr>
          <w:rFonts w:cstheme="minorHAnsi"/>
          <w:color w:val="212121"/>
          <w:sz w:val="24"/>
          <w:szCs w:val="24"/>
          <w:shd w:val="clear" w:color="auto" w:fill="FFFFFF"/>
        </w:rPr>
        <w:t>Cardiol</w:t>
      </w:r>
      <w:proofErr w:type="spellEnd"/>
      <w:r w:rsidRPr="004C0BEF">
        <w:rPr>
          <w:rFonts w:cstheme="minorHAnsi"/>
          <w:color w:val="212121"/>
          <w:sz w:val="24"/>
          <w:szCs w:val="24"/>
          <w:shd w:val="clear" w:color="auto" w:fill="FFFFFF"/>
        </w:rPr>
        <w:t xml:space="preserve">. 2021 Mar </w:t>
      </w:r>
      <w:proofErr w:type="gramStart"/>
      <w:r w:rsidRPr="004C0BEF">
        <w:rPr>
          <w:rFonts w:cstheme="minorHAnsi"/>
          <w:color w:val="212121"/>
          <w:sz w:val="24"/>
          <w:szCs w:val="24"/>
          <w:shd w:val="clear" w:color="auto" w:fill="FFFFFF"/>
        </w:rPr>
        <w:t>2;2021:6630774</w:t>
      </w:r>
      <w:proofErr w:type="gramEnd"/>
      <w:r w:rsidRPr="004C0BEF">
        <w:rPr>
          <w:rFonts w:cstheme="minorHAnsi"/>
          <w:color w:val="212121"/>
          <w:sz w:val="24"/>
          <w:szCs w:val="24"/>
          <w:shd w:val="clear" w:color="auto" w:fill="FFFFFF"/>
        </w:rPr>
        <w:t xml:space="preserve">. </w:t>
      </w:r>
      <w:proofErr w:type="spellStart"/>
      <w:r w:rsidRPr="004C0BEF">
        <w:rPr>
          <w:rFonts w:cstheme="minorHAnsi"/>
          <w:color w:val="212121"/>
          <w:sz w:val="24"/>
          <w:szCs w:val="24"/>
          <w:shd w:val="clear" w:color="auto" w:fill="FFFFFF"/>
        </w:rPr>
        <w:t>doi</w:t>
      </w:r>
      <w:proofErr w:type="spellEnd"/>
      <w:r w:rsidRPr="004C0BEF">
        <w:rPr>
          <w:rFonts w:cstheme="minorHAnsi"/>
          <w:color w:val="212121"/>
          <w:sz w:val="24"/>
          <w:szCs w:val="24"/>
          <w:shd w:val="clear" w:color="auto" w:fill="FFFFFF"/>
        </w:rPr>
        <w:t>: 10.1155/2021/6630774. PMID: 33746639; PMCID: PMC7943287.</w:t>
      </w:r>
    </w:p>
    <w:p w14:paraId="32C4C96E" w14:textId="77777777" w:rsidR="0099220E" w:rsidRPr="004C0BEF" w:rsidRDefault="0099220E" w:rsidP="0099220E">
      <w:pPr>
        <w:pStyle w:val="ListParagraph"/>
        <w:numPr>
          <w:ilvl w:val="0"/>
          <w:numId w:val="1"/>
        </w:numPr>
        <w:spacing w:after="160" w:line="259" w:lineRule="auto"/>
        <w:rPr>
          <w:rFonts w:cstheme="minorHAnsi"/>
          <w:color w:val="1B1B1B"/>
          <w:sz w:val="24"/>
          <w:szCs w:val="24"/>
          <w:shd w:val="clear" w:color="auto" w:fill="FFFFFF"/>
        </w:rPr>
      </w:pPr>
      <w:proofErr w:type="spellStart"/>
      <w:r w:rsidRPr="004C0BEF">
        <w:rPr>
          <w:rFonts w:cstheme="minorHAnsi"/>
          <w:color w:val="1B1B1B"/>
          <w:sz w:val="24"/>
          <w:szCs w:val="24"/>
          <w:shd w:val="clear" w:color="auto" w:fill="FFFFFF"/>
        </w:rPr>
        <w:lastRenderedPageBreak/>
        <w:t>Pysz</w:t>
      </w:r>
      <w:proofErr w:type="spellEnd"/>
      <w:r w:rsidRPr="004C0BEF">
        <w:rPr>
          <w:rFonts w:cstheme="minorHAnsi"/>
          <w:color w:val="1B1B1B"/>
          <w:sz w:val="24"/>
          <w:szCs w:val="24"/>
          <w:shd w:val="clear" w:color="auto" w:fill="FFFFFF"/>
        </w:rPr>
        <w:t xml:space="preserve"> P, </w:t>
      </w:r>
      <w:proofErr w:type="spellStart"/>
      <w:r w:rsidRPr="004C0BEF">
        <w:rPr>
          <w:rFonts w:cstheme="minorHAnsi"/>
          <w:color w:val="1B1B1B"/>
          <w:sz w:val="24"/>
          <w:szCs w:val="24"/>
          <w:shd w:val="clear" w:color="auto" w:fill="FFFFFF"/>
        </w:rPr>
        <w:t>Wojakowski</w:t>
      </w:r>
      <w:proofErr w:type="spellEnd"/>
      <w:r w:rsidRPr="004C0BEF">
        <w:rPr>
          <w:rFonts w:cstheme="minorHAnsi"/>
          <w:color w:val="1B1B1B"/>
          <w:sz w:val="24"/>
          <w:szCs w:val="24"/>
          <w:shd w:val="clear" w:color="auto" w:fill="FFFFFF"/>
        </w:rPr>
        <w:t xml:space="preserve"> W, </w:t>
      </w:r>
      <w:proofErr w:type="spellStart"/>
      <w:r w:rsidRPr="004C0BEF">
        <w:rPr>
          <w:rFonts w:cstheme="minorHAnsi"/>
          <w:color w:val="1B1B1B"/>
          <w:sz w:val="24"/>
          <w:szCs w:val="24"/>
          <w:shd w:val="clear" w:color="auto" w:fill="FFFFFF"/>
        </w:rPr>
        <w:t>Smolka</w:t>
      </w:r>
      <w:proofErr w:type="spellEnd"/>
      <w:r w:rsidRPr="004C0BEF">
        <w:rPr>
          <w:rFonts w:cstheme="minorHAnsi"/>
          <w:color w:val="1B1B1B"/>
          <w:sz w:val="24"/>
          <w:szCs w:val="24"/>
          <w:shd w:val="clear" w:color="auto" w:fill="FFFFFF"/>
        </w:rPr>
        <w:t xml:space="preserve"> G. Paravalvular Leak Echo Imaging before and during the Percutaneous Procedure. J Clin Med. 2022 Jun 1;11(11):3155. </w:t>
      </w:r>
      <w:proofErr w:type="spellStart"/>
      <w:r w:rsidRPr="004C0BEF">
        <w:rPr>
          <w:rFonts w:cstheme="minorHAnsi"/>
          <w:color w:val="1B1B1B"/>
          <w:sz w:val="24"/>
          <w:szCs w:val="24"/>
          <w:shd w:val="clear" w:color="auto" w:fill="FFFFFF"/>
        </w:rPr>
        <w:t>doi</w:t>
      </w:r>
      <w:proofErr w:type="spellEnd"/>
      <w:r w:rsidRPr="004C0BEF">
        <w:rPr>
          <w:rFonts w:cstheme="minorHAnsi"/>
          <w:color w:val="1B1B1B"/>
          <w:sz w:val="24"/>
          <w:szCs w:val="24"/>
          <w:shd w:val="clear" w:color="auto" w:fill="FFFFFF"/>
        </w:rPr>
        <w:t>: 10.3390/jcm11113155. PMID: 35683542; PMCID: PMC9180997.</w:t>
      </w:r>
    </w:p>
    <w:p w14:paraId="4270563B" w14:textId="77777777" w:rsidR="0099220E" w:rsidRPr="004C0BEF" w:rsidRDefault="0099220E" w:rsidP="0099220E">
      <w:pPr>
        <w:pStyle w:val="ListParagraph"/>
        <w:numPr>
          <w:ilvl w:val="0"/>
          <w:numId w:val="1"/>
        </w:numPr>
        <w:spacing w:after="160" w:line="259" w:lineRule="auto"/>
        <w:rPr>
          <w:rFonts w:cstheme="minorHAnsi"/>
          <w:color w:val="1B1B1B"/>
          <w:sz w:val="24"/>
          <w:szCs w:val="24"/>
          <w:shd w:val="clear" w:color="auto" w:fill="FFFFFF"/>
        </w:rPr>
      </w:pPr>
      <w:r w:rsidRPr="004C0BEF">
        <w:rPr>
          <w:rFonts w:cstheme="minorHAnsi"/>
          <w:color w:val="212121"/>
          <w:sz w:val="24"/>
          <w:szCs w:val="24"/>
          <w:shd w:val="clear" w:color="auto" w:fill="FFFFFF"/>
        </w:rPr>
        <w:t xml:space="preserve">Hayashi Y, Russell JK, Dvorak CJ, </w:t>
      </w:r>
      <w:proofErr w:type="spellStart"/>
      <w:r w:rsidRPr="004C0BEF">
        <w:rPr>
          <w:rFonts w:cstheme="minorHAnsi"/>
          <w:color w:val="212121"/>
          <w:sz w:val="24"/>
          <w:szCs w:val="24"/>
          <w:shd w:val="clear" w:color="auto" w:fill="FFFFFF"/>
        </w:rPr>
        <w:t>Gebska</w:t>
      </w:r>
      <w:proofErr w:type="spellEnd"/>
      <w:r w:rsidRPr="004C0BEF">
        <w:rPr>
          <w:rFonts w:cstheme="minorHAnsi"/>
          <w:color w:val="212121"/>
          <w:sz w:val="24"/>
          <w:szCs w:val="24"/>
          <w:shd w:val="clear" w:color="auto" w:fill="FFFFFF"/>
        </w:rPr>
        <w:t xml:space="preserve"> MA, </w:t>
      </w:r>
      <w:proofErr w:type="spellStart"/>
      <w:r w:rsidRPr="004C0BEF">
        <w:rPr>
          <w:rFonts w:cstheme="minorHAnsi"/>
          <w:color w:val="212121"/>
          <w:sz w:val="24"/>
          <w:szCs w:val="24"/>
          <w:shd w:val="clear" w:color="auto" w:fill="FFFFFF"/>
        </w:rPr>
        <w:t>Hanada</w:t>
      </w:r>
      <w:proofErr w:type="spellEnd"/>
      <w:r w:rsidRPr="004C0BEF">
        <w:rPr>
          <w:rFonts w:cstheme="minorHAnsi"/>
          <w:color w:val="212121"/>
          <w:sz w:val="24"/>
          <w:szCs w:val="24"/>
          <w:shd w:val="clear" w:color="auto" w:fill="FFFFFF"/>
        </w:rPr>
        <w:t xml:space="preserve"> S, Singhal AK. Echocardiographic characteristics of paravalvular leak following surgical aortic valve replacement: a retrospective cohort study. J </w:t>
      </w:r>
      <w:proofErr w:type="spellStart"/>
      <w:r w:rsidRPr="004C0BEF">
        <w:rPr>
          <w:rFonts w:cstheme="minorHAnsi"/>
          <w:color w:val="212121"/>
          <w:sz w:val="24"/>
          <w:szCs w:val="24"/>
          <w:shd w:val="clear" w:color="auto" w:fill="FFFFFF"/>
        </w:rPr>
        <w:t>Thorac</w:t>
      </w:r>
      <w:proofErr w:type="spellEnd"/>
      <w:r w:rsidRPr="004C0BEF">
        <w:rPr>
          <w:rFonts w:cstheme="minorHAnsi"/>
          <w:color w:val="212121"/>
          <w:sz w:val="24"/>
          <w:szCs w:val="24"/>
          <w:shd w:val="clear" w:color="auto" w:fill="FFFFFF"/>
        </w:rPr>
        <w:t xml:space="preserve"> Dis. 2025 Mar 31;17(3):1249-1258. </w:t>
      </w:r>
      <w:proofErr w:type="spellStart"/>
      <w:r w:rsidRPr="004C0BEF">
        <w:rPr>
          <w:rFonts w:cstheme="minorHAnsi"/>
          <w:color w:val="212121"/>
          <w:sz w:val="24"/>
          <w:szCs w:val="24"/>
          <w:shd w:val="clear" w:color="auto" w:fill="FFFFFF"/>
        </w:rPr>
        <w:t>doi</w:t>
      </w:r>
      <w:proofErr w:type="spellEnd"/>
      <w:r w:rsidRPr="004C0BEF">
        <w:rPr>
          <w:rFonts w:cstheme="minorHAnsi"/>
          <w:color w:val="212121"/>
          <w:sz w:val="24"/>
          <w:szCs w:val="24"/>
          <w:shd w:val="clear" w:color="auto" w:fill="FFFFFF"/>
        </w:rPr>
        <w:t xml:space="preserve">: 10.21037/jtd-2024-1989. </w:t>
      </w:r>
      <w:proofErr w:type="spellStart"/>
      <w:r w:rsidRPr="004C0BEF">
        <w:rPr>
          <w:rFonts w:cstheme="minorHAnsi"/>
          <w:color w:val="212121"/>
          <w:sz w:val="24"/>
          <w:szCs w:val="24"/>
          <w:shd w:val="clear" w:color="auto" w:fill="FFFFFF"/>
        </w:rPr>
        <w:t>Epub</w:t>
      </w:r>
      <w:proofErr w:type="spellEnd"/>
      <w:r w:rsidRPr="004C0BEF">
        <w:rPr>
          <w:rFonts w:cstheme="minorHAnsi"/>
          <w:color w:val="212121"/>
          <w:sz w:val="24"/>
          <w:szCs w:val="24"/>
          <w:shd w:val="clear" w:color="auto" w:fill="FFFFFF"/>
        </w:rPr>
        <w:t xml:space="preserve"> 2025 Mar 18. PMID: 40223993; PMCID: PMC11986758.</w:t>
      </w:r>
    </w:p>
    <w:p w14:paraId="6AA8E408" w14:textId="77777777" w:rsidR="0099220E" w:rsidRPr="004C0BEF" w:rsidRDefault="0099220E" w:rsidP="0099220E">
      <w:pPr>
        <w:pStyle w:val="ListParagraph"/>
        <w:numPr>
          <w:ilvl w:val="0"/>
          <w:numId w:val="1"/>
        </w:numPr>
        <w:spacing w:after="160" w:line="259" w:lineRule="auto"/>
        <w:rPr>
          <w:rFonts w:cstheme="minorHAnsi"/>
          <w:sz w:val="24"/>
          <w:szCs w:val="24"/>
        </w:rPr>
      </w:pPr>
      <w:r w:rsidRPr="004C0BEF">
        <w:rPr>
          <w:rFonts w:cstheme="minorHAnsi"/>
          <w:color w:val="1B1B1B"/>
          <w:sz w:val="24"/>
          <w:szCs w:val="24"/>
          <w:shd w:val="clear" w:color="auto" w:fill="FFFFFF"/>
        </w:rPr>
        <w:t xml:space="preserve">Kozlowski M, </w:t>
      </w:r>
      <w:proofErr w:type="spellStart"/>
      <w:r w:rsidRPr="004C0BEF">
        <w:rPr>
          <w:rFonts w:cstheme="minorHAnsi"/>
          <w:color w:val="1B1B1B"/>
          <w:sz w:val="24"/>
          <w:szCs w:val="24"/>
          <w:shd w:val="clear" w:color="auto" w:fill="FFFFFF"/>
        </w:rPr>
        <w:t>Malczewska</w:t>
      </w:r>
      <w:proofErr w:type="spellEnd"/>
      <w:r w:rsidRPr="004C0BEF">
        <w:rPr>
          <w:rFonts w:cstheme="minorHAnsi"/>
          <w:color w:val="1B1B1B"/>
          <w:sz w:val="24"/>
          <w:szCs w:val="24"/>
          <w:shd w:val="clear" w:color="auto" w:fill="FFFFFF"/>
        </w:rPr>
        <w:t xml:space="preserve"> M, </w:t>
      </w:r>
      <w:proofErr w:type="spellStart"/>
      <w:r w:rsidRPr="004C0BEF">
        <w:rPr>
          <w:rFonts w:cstheme="minorHAnsi"/>
          <w:color w:val="1B1B1B"/>
          <w:sz w:val="24"/>
          <w:szCs w:val="24"/>
          <w:shd w:val="clear" w:color="auto" w:fill="FFFFFF"/>
        </w:rPr>
        <w:t>Pysz</w:t>
      </w:r>
      <w:proofErr w:type="spellEnd"/>
      <w:r w:rsidRPr="004C0BEF">
        <w:rPr>
          <w:rFonts w:cstheme="minorHAnsi"/>
          <w:color w:val="1B1B1B"/>
          <w:sz w:val="24"/>
          <w:szCs w:val="24"/>
          <w:shd w:val="clear" w:color="auto" w:fill="FFFFFF"/>
        </w:rPr>
        <w:t xml:space="preserve"> P, </w:t>
      </w:r>
      <w:proofErr w:type="spellStart"/>
      <w:r w:rsidRPr="004C0BEF">
        <w:rPr>
          <w:rFonts w:cstheme="minorHAnsi"/>
          <w:color w:val="1B1B1B"/>
          <w:sz w:val="24"/>
          <w:szCs w:val="24"/>
          <w:shd w:val="clear" w:color="auto" w:fill="FFFFFF"/>
        </w:rPr>
        <w:t>Jędrzejek</w:t>
      </w:r>
      <w:proofErr w:type="spellEnd"/>
      <w:r w:rsidRPr="004C0BEF">
        <w:rPr>
          <w:rFonts w:cstheme="minorHAnsi"/>
          <w:color w:val="1B1B1B"/>
          <w:sz w:val="24"/>
          <w:szCs w:val="24"/>
          <w:shd w:val="clear" w:color="auto" w:fill="FFFFFF"/>
        </w:rPr>
        <w:t xml:space="preserve"> M, </w:t>
      </w:r>
      <w:proofErr w:type="spellStart"/>
      <w:r w:rsidRPr="004C0BEF">
        <w:rPr>
          <w:rFonts w:cstheme="minorHAnsi"/>
          <w:color w:val="1B1B1B"/>
          <w:sz w:val="24"/>
          <w:szCs w:val="24"/>
          <w:shd w:val="clear" w:color="auto" w:fill="FFFFFF"/>
        </w:rPr>
        <w:t>Wojakowski</w:t>
      </w:r>
      <w:proofErr w:type="spellEnd"/>
      <w:r w:rsidRPr="004C0BEF">
        <w:rPr>
          <w:rFonts w:cstheme="minorHAnsi"/>
          <w:color w:val="1B1B1B"/>
          <w:sz w:val="24"/>
          <w:szCs w:val="24"/>
          <w:shd w:val="clear" w:color="auto" w:fill="FFFFFF"/>
        </w:rPr>
        <w:t xml:space="preserve"> W, </w:t>
      </w:r>
      <w:proofErr w:type="spellStart"/>
      <w:r w:rsidRPr="004C0BEF">
        <w:rPr>
          <w:rFonts w:cstheme="minorHAnsi"/>
          <w:color w:val="1B1B1B"/>
          <w:sz w:val="24"/>
          <w:szCs w:val="24"/>
          <w:shd w:val="clear" w:color="auto" w:fill="FFFFFF"/>
        </w:rPr>
        <w:t>Smolka</w:t>
      </w:r>
      <w:proofErr w:type="spellEnd"/>
      <w:r w:rsidRPr="004C0BEF">
        <w:rPr>
          <w:rFonts w:cstheme="minorHAnsi"/>
          <w:color w:val="1B1B1B"/>
          <w:sz w:val="24"/>
          <w:szCs w:val="24"/>
          <w:shd w:val="clear" w:color="auto" w:fill="FFFFFF"/>
        </w:rPr>
        <w:t xml:space="preserve"> G. Quality of life after percutaneous paravalvular leak closure - a prospective registry. </w:t>
      </w:r>
      <w:proofErr w:type="spellStart"/>
      <w:r w:rsidRPr="004C0BEF">
        <w:rPr>
          <w:rFonts w:cstheme="minorHAnsi"/>
          <w:color w:val="1B1B1B"/>
          <w:sz w:val="24"/>
          <w:szCs w:val="24"/>
          <w:shd w:val="clear" w:color="auto" w:fill="FFFFFF"/>
        </w:rPr>
        <w:t>Postepy</w:t>
      </w:r>
      <w:proofErr w:type="spellEnd"/>
      <w:r w:rsidRPr="004C0BEF">
        <w:rPr>
          <w:rFonts w:cstheme="minorHAnsi"/>
          <w:color w:val="1B1B1B"/>
          <w:sz w:val="24"/>
          <w:szCs w:val="24"/>
          <w:shd w:val="clear" w:color="auto" w:fill="FFFFFF"/>
        </w:rPr>
        <w:t xml:space="preserve"> </w:t>
      </w:r>
      <w:proofErr w:type="spellStart"/>
      <w:r w:rsidRPr="004C0BEF">
        <w:rPr>
          <w:rFonts w:cstheme="minorHAnsi"/>
          <w:color w:val="1B1B1B"/>
          <w:sz w:val="24"/>
          <w:szCs w:val="24"/>
          <w:shd w:val="clear" w:color="auto" w:fill="FFFFFF"/>
        </w:rPr>
        <w:t>Kardiol</w:t>
      </w:r>
      <w:proofErr w:type="spellEnd"/>
      <w:r w:rsidRPr="004C0BEF">
        <w:rPr>
          <w:rFonts w:cstheme="minorHAnsi"/>
          <w:color w:val="1B1B1B"/>
          <w:sz w:val="24"/>
          <w:szCs w:val="24"/>
          <w:shd w:val="clear" w:color="auto" w:fill="FFFFFF"/>
        </w:rPr>
        <w:t xml:space="preserve"> </w:t>
      </w:r>
      <w:proofErr w:type="spellStart"/>
      <w:r w:rsidRPr="004C0BEF">
        <w:rPr>
          <w:rFonts w:cstheme="minorHAnsi"/>
          <w:color w:val="1B1B1B"/>
          <w:sz w:val="24"/>
          <w:szCs w:val="24"/>
          <w:shd w:val="clear" w:color="auto" w:fill="FFFFFF"/>
        </w:rPr>
        <w:t>Interwencyjnej</w:t>
      </w:r>
      <w:proofErr w:type="spellEnd"/>
      <w:r w:rsidRPr="004C0BEF">
        <w:rPr>
          <w:rFonts w:cstheme="minorHAnsi"/>
          <w:color w:val="1B1B1B"/>
          <w:sz w:val="24"/>
          <w:szCs w:val="24"/>
          <w:shd w:val="clear" w:color="auto" w:fill="FFFFFF"/>
        </w:rPr>
        <w:t xml:space="preserve">. 2022 Sep;18(3):261-268. </w:t>
      </w:r>
      <w:proofErr w:type="spellStart"/>
      <w:r w:rsidRPr="004C0BEF">
        <w:rPr>
          <w:rFonts w:cstheme="minorHAnsi"/>
          <w:color w:val="1B1B1B"/>
          <w:sz w:val="24"/>
          <w:szCs w:val="24"/>
          <w:shd w:val="clear" w:color="auto" w:fill="FFFFFF"/>
        </w:rPr>
        <w:t>doi</w:t>
      </w:r>
      <w:proofErr w:type="spellEnd"/>
      <w:r w:rsidRPr="004C0BEF">
        <w:rPr>
          <w:rFonts w:cstheme="minorHAnsi"/>
          <w:color w:val="1B1B1B"/>
          <w:sz w:val="24"/>
          <w:szCs w:val="24"/>
          <w:shd w:val="clear" w:color="auto" w:fill="FFFFFF"/>
        </w:rPr>
        <w:t xml:space="preserve">: 10.5114/aic.2022.120451. </w:t>
      </w:r>
      <w:proofErr w:type="spellStart"/>
      <w:r w:rsidRPr="004C0BEF">
        <w:rPr>
          <w:rFonts w:cstheme="minorHAnsi"/>
          <w:color w:val="1B1B1B"/>
          <w:sz w:val="24"/>
          <w:szCs w:val="24"/>
          <w:shd w:val="clear" w:color="auto" w:fill="FFFFFF"/>
        </w:rPr>
        <w:t>Epub</w:t>
      </w:r>
      <w:proofErr w:type="spellEnd"/>
      <w:r w:rsidRPr="004C0BEF">
        <w:rPr>
          <w:rFonts w:cstheme="minorHAnsi"/>
          <w:color w:val="1B1B1B"/>
          <w:sz w:val="24"/>
          <w:szCs w:val="24"/>
          <w:shd w:val="clear" w:color="auto" w:fill="FFFFFF"/>
        </w:rPr>
        <w:t xml:space="preserve"> 2022 Oct 19. PMID: 36751296; PMCID: PMC9885231.</w:t>
      </w:r>
    </w:p>
    <w:p w14:paraId="6C40F57F" w14:textId="77777777" w:rsidR="0099220E" w:rsidRPr="004C0BEF" w:rsidRDefault="0099220E" w:rsidP="0099220E">
      <w:pPr>
        <w:rPr>
          <w:rFonts w:cstheme="minorHAnsi"/>
          <w:sz w:val="24"/>
          <w:szCs w:val="24"/>
        </w:rPr>
      </w:pPr>
      <w:r w:rsidRPr="004C0BEF">
        <w:rPr>
          <w:rFonts w:cstheme="minorHAnsi"/>
          <w:sz w:val="24"/>
          <w:szCs w:val="24"/>
        </w:rPr>
        <w:t xml:space="preserve"> </w:t>
      </w:r>
    </w:p>
    <w:p w14:paraId="13170D3D" w14:textId="77777777" w:rsidR="0099220E" w:rsidRPr="004C0BEF" w:rsidRDefault="0099220E" w:rsidP="0099220E">
      <w:pPr>
        <w:rPr>
          <w:rFonts w:cstheme="minorHAnsi"/>
          <w:sz w:val="24"/>
          <w:szCs w:val="24"/>
        </w:rPr>
      </w:pPr>
    </w:p>
    <w:p w14:paraId="39F2317B" w14:textId="77777777" w:rsidR="002E3523" w:rsidRPr="004C0BEF" w:rsidRDefault="002E3523" w:rsidP="0067699A">
      <w:pPr>
        <w:rPr>
          <w:rFonts w:cstheme="minorHAnsi"/>
        </w:rPr>
      </w:pPr>
    </w:p>
    <w:p w14:paraId="7137F809" w14:textId="62DBDF85" w:rsidR="004A43AF" w:rsidRPr="004C0BEF" w:rsidRDefault="004A43AF" w:rsidP="0067699A">
      <w:pPr>
        <w:rPr>
          <w:rFonts w:cstheme="minorHAnsi"/>
          <w:lang w:val="en-IN"/>
        </w:rPr>
      </w:pPr>
    </w:p>
    <w:sectPr w:rsidR="004A43AF" w:rsidRPr="004C0BEF" w:rsidSect="002E3523">
      <w:headerReference w:type="even" r:id="rId15"/>
      <w:headerReference w:type="default" r:id="rId16"/>
      <w:footerReference w:type="even" r:id="rId17"/>
      <w:footerReference w:type="default" r:id="rId18"/>
      <w:headerReference w:type="first" r:id="rId19"/>
      <w:footerReference w:type="first" r:id="rId20"/>
      <w:pgSz w:w="12240" w:h="15840"/>
      <w:pgMar w:top="1503" w:right="600" w:bottom="280" w:left="1134"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38851" w14:textId="77777777" w:rsidR="001730E2" w:rsidRDefault="001730E2" w:rsidP="004E61D7">
      <w:pPr>
        <w:spacing w:after="0" w:line="240" w:lineRule="auto"/>
      </w:pPr>
      <w:r>
        <w:separator/>
      </w:r>
    </w:p>
  </w:endnote>
  <w:endnote w:type="continuationSeparator" w:id="0">
    <w:p w14:paraId="58A5657F" w14:textId="77777777" w:rsidR="001730E2" w:rsidRDefault="001730E2" w:rsidP="004E6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52EFD" w14:textId="77777777" w:rsidR="004E61D7" w:rsidRDefault="004E6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1758D" w14:textId="77777777" w:rsidR="004E61D7" w:rsidRDefault="004E61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C4F41" w14:textId="77777777" w:rsidR="004E61D7" w:rsidRDefault="004E6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CFA00" w14:textId="77777777" w:rsidR="001730E2" w:rsidRDefault="001730E2" w:rsidP="004E61D7">
      <w:pPr>
        <w:spacing w:after="0" w:line="240" w:lineRule="auto"/>
      </w:pPr>
      <w:r>
        <w:separator/>
      </w:r>
    </w:p>
  </w:footnote>
  <w:footnote w:type="continuationSeparator" w:id="0">
    <w:p w14:paraId="6D87D5C8" w14:textId="77777777" w:rsidR="001730E2" w:rsidRDefault="001730E2" w:rsidP="004E61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5E0A7" w14:textId="36F5F260" w:rsidR="004E61D7" w:rsidRDefault="001730E2">
    <w:pPr>
      <w:pStyle w:val="Header"/>
    </w:pPr>
    <w:r>
      <w:rPr>
        <w:noProof/>
      </w:rPr>
      <w:pict w14:anchorId="2AF29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90469" o:spid="_x0000_s2050" type="#_x0000_t136" style="position:absolute;margin-left:0;margin-top:0;width:623.6pt;height:116.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E496D" w14:textId="4724C548" w:rsidR="004E61D7" w:rsidRDefault="001730E2">
    <w:pPr>
      <w:pStyle w:val="Header"/>
    </w:pPr>
    <w:r>
      <w:rPr>
        <w:noProof/>
      </w:rPr>
      <w:pict w14:anchorId="5DCE1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90470" o:spid="_x0000_s2051" type="#_x0000_t136" style="position:absolute;margin-left:0;margin-top:0;width:623.6pt;height:116.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FBDF" w14:textId="4E6E08F8" w:rsidR="004E61D7" w:rsidRDefault="001730E2">
    <w:pPr>
      <w:pStyle w:val="Header"/>
    </w:pPr>
    <w:r>
      <w:rPr>
        <w:noProof/>
      </w:rPr>
      <w:pict w14:anchorId="3E6F4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90468" o:spid="_x0000_s2049" type="#_x0000_t136" style="position:absolute;margin-left:0;margin-top:0;width:623.6pt;height:116.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F2737"/>
    <w:multiLevelType w:val="hybridMultilevel"/>
    <w:tmpl w:val="FDA656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99A"/>
    <w:rsid w:val="0004017E"/>
    <w:rsid w:val="0007048F"/>
    <w:rsid w:val="000D19D2"/>
    <w:rsid w:val="001633A5"/>
    <w:rsid w:val="001730E2"/>
    <w:rsid w:val="00194865"/>
    <w:rsid w:val="001A201B"/>
    <w:rsid w:val="001A5440"/>
    <w:rsid w:val="001B51D9"/>
    <w:rsid w:val="002808C0"/>
    <w:rsid w:val="00290FE4"/>
    <w:rsid w:val="002B2397"/>
    <w:rsid w:val="002D44AC"/>
    <w:rsid w:val="002D6525"/>
    <w:rsid w:val="002E3523"/>
    <w:rsid w:val="00361937"/>
    <w:rsid w:val="0038451E"/>
    <w:rsid w:val="00391332"/>
    <w:rsid w:val="003E5167"/>
    <w:rsid w:val="004630CC"/>
    <w:rsid w:val="004A43AF"/>
    <w:rsid w:val="004A7D9F"/>
    <w:rsid w:val="004C0BEF"/>
    <w:rsid w:val="004E61D7"/>
    <w:rsid w:val="00655F81"/>
    <w:rsid w:val="00667F78"/>
    <w:rsid w:val="00675542"/>
    <w:rsid w:val="0067699A"/>
    <w:rsid w:val="00680A61"/>
    <w:rsid w:val="00720F81"/>
    <w:rsid w:val="007A3236"/>
    <w:rsid w:val="007A5350"/>
    <w:rsid w:val="008750D1"/>
    <w:rsid w:val="00900F99"/>
    <w:rsid w:val="00924A20"/>
    <w:rsid w:val="00963E45"/>
    <w:rsid w:val="0099220E"/>
    <w:rsid w:val="009F4903"/>
    <w:rsid w:val="00A33C89"/>
    <w:rsid w:val="00B057B5"/>
    <w:rsid w:val="00B33B83"/>
    <w:rsid w:val="00B93F29"/>
    <w:rsid w:val="00BA358C"/>
    <w:rsid w:val="00BA64BC"/>
    <w:rsid w:val="00C428BC"/>
    <w:rsid w:val="00C82D29"/>
    <w:rsid w:val="00CD7C98"/>
    <w:rsid w:val="00D34720"/>
    <w:rsid w:val="00D60B27"/>
    <w:rsid w:val="00E121BB"/>
    <w:rsid w:val="00E214B2"/>
    <w:rsid w:val="00E70CD6"/>
    <w:rsid w:val="00E723EA"/>
    <w:rsid w:val="00EE47F8"/>
    <w:rsid w:val="00F41B3C"/>
    <w:rsid w:val="00F636B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D43C435"/>
  <w15:chartTrackingRefBased/>
  <w15:docId w15:val="{4ACF7A71-1368-47E6-BE9D-7A0D5FE26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4B2"/>
    <w:pPr>
      <w:spacing w:after="200" w:line="276" w:lineRule="auto"/>
    </w:pPr>
    <w:rPr>
      <w:sz w:val="22"/>
      <w:szCs w:val="22"/>
      <w:lang w:val="en-US"/>
    </w:rPr>
  </w:style>
  <w:style w:type="paragraph" w:styleId="Heading1">
    <w:name w:val="heading 1"/>
    <w:basedOn w:val="Normal"/>
    <w:link w:val="Heading1Char"/>
    <w:uiPriority w:val="9"/>
    <w:qFormat/>
    <w:rsid w:val="00E214B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67699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7699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7699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7699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769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69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69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69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ontMatter">
    <w:name w:val="FrontMatter"/>
    <w:basedOn w:val="Normal"/>
    <w:qFormat/>
    <w:rsid w:val="00E214B2"/>
    <w:pPr>
      <w:spacing w:after="0" w:line="240" w:lineRule="auto"/>
      <w:jc w:val="center"/>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214B2"/>
    <w:rPr>
      <w:rFonts w:ascii="Times New Roman" w:eastAsia="Times New Roman" w:hAnsi="Times New Roman" w:cs="Times New Roman"/>
      <w:b/>
      <w:bCs/>
      <w:kern w:val="36"/>
      <w:sz w:val="48"/>
      <w:szCs w:val="48"/>
      <w:lang w:eastAsia="en-IN"/>
    </w:rPr>
  </w:style>
  <w:style w:type="paragraph" w:styleId="ListParagraph">
    <w:name w:val="List Paragraph"/>
    <w:basedOn w:val="Normal"/>
    <w:uiPriority w:val="34"/>
    <w:qFormat/>
    <w:rsid w:val="00E214B2"/>
    <w:pPr>
      <w:ind w:left="720"/>
      <w:contextualSpacing/>
    </w:pPr>
  </w:style>
  <w:style w:type="character" w:customStyle="1" w:styleId="Heading2Char">
    <w:name w:val="Heading 2 Char"/>
    <w:basedOn w:val="DefaultParagraphFont"/>
    <w:link w:val="Heading2"/>
    <w:uiPriority w:val="9"/>
    <w:semiHidden/>
    <w:rsid w:val="0067699A"/>
    <w:rPr>
      <w:rFonts w:asciiTheme="majorHAnsi" w:eastAsiaTheme="majorEastAsia" w:hAnsiTheme="majorHAnsi" w:cstheme="majorBidi"/>
      <w:color w:val="365F91" w:themeColor="accent1" w:themeShade="BF"/>
      <w:sz w:val="32"/>
      <w:szCs w:val="32"/>
      <w:lang w:val="en-US"/>
    </w:rPr>
  </w:style>
  <w:style w:type="character" w:customStyle="1" w:styleId="Heading3Char">
    <w:name w:val="Heading 3 Char"/>
    <w:basedOn w:val="DefaultParagraphFont"/>
    <w:link w:val="Heading3"/>
    <w:uiPriority w:val="9"/>
    <w:semiHidden/>
    <w:rsid w:val="0067699A"/>
    <w:rPr>
      <w:rFonts w:eastAsiaTheme="majorEastAsia" w:cstheme="majorBidi"/>
      <w:color w:val="365F91" w:themeColor="accent1" w:themeShade="BF"/>
      <w:sz w:val="28"/>
      <w:szCs w:val="28"/>
      <w:lang w:val="en-US"/>
    </w:rPr>
  </w:style>
  <w:style w:type="character" w:customStyle="1" w:styleId="Heading4Char">
    <w:name w:val="Heading 4 Char"/>
    <w:basedOn w:val="DefaultParagraphFont"/>
    <w:link w:val="Heading4"/>
    <w:uiPriority w:val="9"/>
    <w:semiHidden/>
    <w:rsid w:val="0067699A"/>
    <w:rPr>
      <w:rFonts w:eastAsiaTheme="majorEastAsia" w:cstheme="majorBidi"/>
      <w:i/>
      <w:iCs/>
      <w:color w:val="365F91" w:themeColor="accent1" w:themeShade="BF"/>
      <w:sz w:val="22"/>
      <w:szCs w:val="22"/>
      <w:lang w:val="en-US"/>
    </w:rPr>
  </w:style>
  <w:style w:type="character" w:customStyle="1" w:styleId="Heading5Char">
    <w:name w:val="Heading 5 Char"/>
    <w:basedOn w:val="DefaultParagraphFont"/>
    <w:link w:val="Heading5"/>
    <w:uiPriority w:val="9"/>
    <w:semiHidden/>
    <w:rsid w:val="0067699A"/>
    <w:rPr>
      <w:rFonts w:eastAsiaTheme="majorEastAsia" w:cstheme="majorBidi"/>
      <w:color w:val="365F91" w:themeColor="accent1" w:themeShade="BF"/>
      <w:sz w:val="22"/>
      <w:szCs w:val="22"/>
      <w:lang w:val="en-US"/>
    </w:rPr>
  </w:style>
  <w:style w:type="character" w:customStyle="1" w:styleId="Heading6Char">
    <w:name w:val="Heading 6 Char"/>
    <w:basedOn w:val="DefaultParagraphFont"/>
    <w:link w:val="Heading6"/>
    <w:uiPriority w:val="9"/>
    <w:semiHidden/>
    <w:rsid w:val="0067699A"/>
    <w:rPr>
      <w:rFonts w:eastAsiaTheme="majorEastAsia" w:cstheme="majorBidi"/>
      <w:i/>
      <w:iCs/>
      <w:color w:val="595959" w:themeColor="text1" w:themeTint="A6"/>
      <w:sz w:val="22"/>
      <w:szCs w:val="22"/>
      <w:lang w:val="en-US"/>
    </w:rPr>
  </w:style>
  <w:style w:type="character" w:customStyle="1" w:styleId="Heading7Char">
    <w:name w:val="Heading 7 Char"/>
    <w:basedOn w:val="DefaultParagraphFont"/>
    <w:link w:val="Heading7"/>
    <w:uiPriority w:val="9"/>
    <w:semiHidden/>
    <w:rsid w:val="0067699A"/>
    <w:rPr>
      <w:rFonts w:eastAsiaTheme="majorEastAsia" w:cstheme="majorBidi"/>
      <w:color w:val="595959" w:themeColor="text1" w:themeTint="A6"/>
      <w:sz w:val="22"/>
      <w:szCs w:val="22"/>
      <w:lang w:val="en-US"/>
    </w:rPr>
  </w:style>
  <w:style w:type="character" w:customStyle="1" w:styleId="Heading8Char">
    <w:name w:val="Heading 8 Char"/>
    <w:basedOn w:val="DefaultParagraphFont"/>
    <w:link w:val="Heading8"/>
    <w:uiPriority w:val="9"/>
    <w:semiHidden/>
    <w:rsid w:val="0067699A"/>
    <w:rPr>
      <w:rFonts w:eastAsiaTheme="majorEastAsia" w:cstheme="majorBidi"/>
      <w:i/>
      <w:iCs/>
      <w:color w:val="272727" w:themeColor="text1" w:themeTint="D8"/>
      <w:sz w:val="22"/>
      <w:szCs w:val="22"/>
      <w:lang w:val="en-US"/>
    </w:rPr>
  </w:style>
  <w:style w:type="character" w:customStyle="1" w:styleId="Heading9Char">
    <w:name w:val="Heading 9 Char"/>
    <w:basedOn w:val="DefaultParagraphFont"/>
    <w:link w:val="Heading9"/>
    <w:uiPriority w:val="9"/>
    <w:semiHidden/>
    <w:rsid w:val="0067699A"/>
    <w:rPr>
      <w:rFonts w:eastAsiaTheme="majorEastAsia" w:cstheme="majorBidi"/>
      <w:color w:val="272727" w:themeColor="text1" w:themeTint="D8"/>
      <w:sz w:val="22"/>
      <w:szCs w:val="22"/>
      <w:lang w:val="en-US"/>
    </w:rPr>
  </w:style>
  <w:style w:type="paragraph" w:styleId="Title">
    <w:name w:val="Title"/>
    <w:basedOn w:val="Normal"/>
    <w:next w:val="Normal"/>
    <w:link w:val="TitleChar"/>
    <w:uiPriority w:val="10"/>
    <w:qFormat/>
    <w:rsid w:val="006769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99A"/>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67699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699A"/>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rsid w:val="006769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7699A"/>
    <w:rPr>
      <w:i/>
      <w:iCs/>
      <w:color w:val="404040" w:themeColor="text1" w:themeTint="BF"/>
      <w:sz w:val="22"/>
      <w:szCs w:val="22"/>
      <w:lang w:val="en-US"/>
    </w:rPr>
  </w:style>
  <w:style w:type="character" w:styleId="IntenseEmphasis">
    <w:name w:val="Intense Emphasis"/>
    <w:basedOn w:val="DefaultParagraphFont"/>
    <w:uiPriority w:val="21"/>
    <w:qFormat/>
    <w:rsid w:val="0067699A"/>
    <w:rPr>
      <w:i/>
      <w:iCs/>
      <w:color w:val="365F91" w:themeColor="accent1" w:themeShade="BF"/>
    </w:rPr>
  </w:style>
  <w:style w:type="paragraph" w:styleId="IntenseQuote">
    <w:name w:val="Intense Quote"/>
    <w:basedOn w:val="Normal"/>
    <w:next w:val="Normal"/>
    <w:link w:val="IntenseQuoteChar"/>
    <w:uiPriority w:val="30"/>
    <w:rsid w:val="0067699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7699A"/>
    <w:rPr>
      <w:i/>
      <w:iCs/>
      <w:color w:val="365F91" w:themeColor="accent1" w:themeShade="BF"/>
      <w:sz w:val="22"/>
      <w:szCs w:val="22"/>
      <w:lang w:val="en-US"/>
    </w:rPr>
  </w:style>
  <w:style w:type="character" w:styleId="IntenseReference">
    <w:name w:val="Intense Reference"/>
    <w:basedOn w:val="DefaultParagraphFont"/>
    <w:uiPriority w:val="32"/>
    <w:qFormat/>
    <w:rsid w:val="0067699A"/>
    <w:rPr>
      <w:b/>
      <w:bCs/>
      <w:smallCaps/>
      <w:color w:val="365F91" w:themeColor="accent1" w:themeShade="BF"/>
      <w:spacing w:val="5"/>
    </w:rPr>
  </w:style>
  <w:style w:type="character" w:styleId="Hyperlink">
    <w:name w:val="Hyperlink"/>
    <w:basedOn w:val="DefaultParagraphFont"/>
    <w:uiPriority w:val="99"/>
    <w:unhideWhenUsed/>
    <w:rsid w:val="00A33C89"/>
    <w:rPr>
      <w:color w:val="0000FF" w:themeColor="hyperlink"/>
      <w:u w:val="single"/>
    </w:rPr>
  </w:style>
  <w:style w:type="character" w:customStyle="1" w:styleId="relative">
    <w:name w:val="relative"/>
    <w:basedOn w:val="DefaultParagraphFont"/>
    <w:rsid w:val="002D6525"/>
  </w:style>
  <w:style w:type="paragraph" w:styleId="Header">
    <w:name w:val="header"/>
    <w:basedOn w:val="Normal"/>
    <w:link w:val="HeaderChar"/>
    <w:uiPriority w:val="99"/>
    <w:unhideWhenUsed/>
    <w:rsid w:val="004E61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1D7"/>
    <w:rPr>
      <w:sz w:val="22"/>
      <w:szCs w:val="22"/>
      <w:lang w:val="en-US"/>
    </w:rPr>
  </w:style>
  <w:style w:type="paragraph" w:styleId="Footer">
    <w:name w:val="footer"/>
    <w:basedOn w:val="Normal"/>
    <w:link w:val="FooterChar"/>
    <w:uiPriority w:val="99"/>
    <w:unhideWhenUsed/>
    <w:rsid w:val="004E61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1D7"/>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44">
      <w:bodyDiv w:val="1"/>
      <w:marLeft w:val="0"/>
      <w:marRight w:val="0"/>
      <w:marTop w:val="0"/>
      <w:marBottom w:val="0"/>
      <w:divBdr>
        <w:top w:val="none" w:sz="0" w:space="0" w:color="auto"/>
        <w:left w:val="none" w:sz="0" w:space="0" w:color="auto"/>
        <w:bottom w:val="none" w:sz="0" w:space="0" w:color="auto"/>
        <w:right w:val="none" w:sz="0" w:space="0" w:color="auto"/>
      </w:divBdr>
    </w:div>
    <w:div w:id="1342464689">
      <w:bodyDiv w:val="1"/>
      <w:marLeft w:val="0"/>
      <w:marRight w:val="0"/>
      <w:marTop w:val="0"/>
      <w:marBottom w:val="0"/>
      <w:divBdr>
        <w:top w:val="none" w:sz="0" w:space="0" w:color="auto"/>
        <w:left w:val="none" w:sz="0" w:space="0" w:color="auto"/>
        <w:bottom w:val="none" w:sz="0" w:space="0" w:color="auto"/>
        <w:right w:val="none" w:sz="0" w:space="0" w:color="auto"/>
      </w:divBdr>
    </w:div>
    <w:div w:id="1538616939">
      <w:bodyDiv w:val="1"/>
      <w:marLeft w:val="0"/>
      <w:marRight w:val="0"/>
      <w:marTop w:val="0"/>
      <w:marBottom w:val="0"/>
      <w:divBdr>
        <w:top w:val="none" w:sz="0" w:space="0" w:color="auto"/>
        <w:left w:val="none" w:sz="0" w:space="0" w:color="auto"/>
        <w:bottom w:val="none" w:sz="0" w:space="0" w:color="auto"/>
        <w:right w:val="none" w:sz="0" w:space="0" w:color="auto"/>
      </w:divBdr>
    </w:div>
    <w:div w:id="191550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1894</Words>
  <Characters>10800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Darsha Jain</dc:creator>
  <cp:keywords/>
  <dc:description/>
  <cp:lastModifiedBy>SDI 1183</cp:lastModifiedBy>
  <cp:revision>42</cp:revision>
  <dcterms:created xsi:type="dcterms:W3CDTF">2025-04-16T08:43:00Z</dcterms:created>
  <dcterms:modified xsi:type="dcterms:W3CDTF">2025-05-20T09:45:00Z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b847b00326ef25c43ae5c0c1e081c5d6a369dad13f11b8df4657cfce86419ead</vt:lpwstr>
  </property>
</Properties>
</file>