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D324" w14:textId="23D4E05E" w:rsidR="009A06DC" w:rsidRPr="009A06DC" w:rsidRDefault="009A06DC" w:rsidP="00B5101C">
      <w:pPr>
        <w:jc w:val="both"/>
        <w:rPr>
          <w:rFonts w:ascii="Arial" w:hAnsi="Arial" w:cs="Arial"/>
          <w:b/>
          <w:u w:val="single"/>
          <w:lang w:val="en-US"/>
        </w:rPr>
      </w:pPr>
      <w:bookmarkStart w:id="0" w:name="OLE_LINK1"/>
      <w:r w:rsidRPr="009A06DC">
        <w:rPr>
          <w:rFonts w:ascii="Arial" w:hAnsi="Arial" w:cs="Arial"/>
          <w:b/>
          <w:u w:val="single"/>
          <w:lang w:val="en-US"/>
        </w:rPr>
        <w:t>Original Research Article</w:t>
      </w:r>
    </w:p>
    <w:p w14:paraId="5DA07E1A" w14:textId="77777777" w:rsidR="009A06DC" w:rsidRDefault="009A06DC" w:rsidP="00B5101C">
      <w:pPr>
        <w:jc w:val="both"/>
        <w:rPr>
          <w:rFonts w:ascii="Arial" w:hAnsi="Arial" w:cs="Arial"/>
          <w:b/>
          <w:lang w:val="en-US"/>
        </w:rPr>
      </w:pPr>
    </w:p>
    <w:p w14:paraId="36FA9915" w14:textId="30FB1F16" w:rsidR="000912D5" w:rsidRDefault="000912D5" w:rsidP="00B5101C">
      <w:pPr>
        <w:jc w:val="both"/>
        <w:rPr>
          <w:rFonts w:ascii="Arial" w:hAnsi="Arial" w:cs="Arial"/>
          <w:b/>
          <w:lang w:val="en-US"/>
        </w:rPr>
      </w:pPr>
      <w:r w:rsidRPr="00CA1482">
        <w:rPr>
          <w:rFonts w:ascii="Arial" w:hAnsi="Arial" w:cs="Arial"/>
          <w:b/>
          <w:lang w:val="en-US"/>
        </w:rPr>
        <w:t xml:space="preserve">A study to assess the socio demographic </w:t>
      </w:r>
      <w:r w:rsidR="00030A11" w:rsidRPr="00030A11">
        <w:rPr>
          <w:rFonts w:ascii="Arial" w:hAnsi="Arial" w:cs="Arial"/>
          <w:b/>
          <w:highlight w:val="yellow"/>
          <w:lang w:val="en-US"/>
        </w:rPr>
        <w:t>determinants</w:t>
      </w:r>
      <w:r w:rsidRPr="00CA1482">
        <w:rPr>
          <w:rFonts w:ascii="Arial" w:hAnsi="Arial" w:cs="Arial"/>
          <w:b/>
          <w:lang w:val="en-US"/>
        </w:rPr>
        <w:t xml:space="preserve"> and risk factors associated with pre-eclampsia and the associated perinatal outcomes</w:t>
      </w:r>
    </w:p>
    <w:p w14:paraId="1D477BD0" w14:textId="77777777" w:rsidR="008A24CD" w:rsidRPr="00CA1482" w:rsidRDefault="008A24CD" w:rsidP="00B5101C">
      <w:pPr>
        <w:jc w:val="both"/>
        <w:rPr>
          <w:rFonts w:ascii="Arial" w:hAnsi="Arial" w:cs="Arial"/>
          <w:b/>
          <w:lang w:val="en-US"/>
        </w:rPr>
      </w:pPr>
    </w:p>
    <w:bookmarkEnd w:id="0"/>
    <w:p w14:paraId="64D6317E" w14:textId="77777777" w:rsidR="00412A7A" w:rsidRDefault="00412A7A" w:rsidP="00412A7A">
      <w:pPr>
        <w:jc w:val="right"/>
        <w:rPr>
          <w:rFonts w:ascii="Times New Roman" w:hAnsi="Times New Roman" w:cs="Times New Roman"/>
          <w:b/>
          <w:lang w:val="en-US"/>
        </w:rPr>
      </w:pPr>
    </w:p>
    <w:p w14:paraId="4AC572F1" w14:textId="77777777" w:rsidR="00D53984" w:rsidRPr="00FE4092" w:rsidRDefault="00D53984" w:rsidP="00412A7A">
      <w:pPr>
        <w:jc w:val="right"/>
        <w:rPr>
          <w:rFonts w:ascii="Times New Roman" w:hAnsi="Times New Roman" w:cs="Times New Roman"/>
          <w:b/>
          <w:lang w:val="en-US"/>
        </w:rPr>
      </w:pPr>
    </w:p>
    <w:p w14:paraId="12486CB9" w14:textId="77777777" w:rsidR="007E3013" w:rsidRPr="00B5101C" w:rsidRDefault="007E3013" w:rsidP="00FE4092">
      <w:pPr>
        <w:jc w:val="right"/>
        <w:rPr>
          <w:rFonts w:ascii="Times New Roman" w:hAnsi="Times New Roman" w:cs="Times New Roman"/>
          <w:b/>
          <w:lang w:val="en-US"/>
        </w:rPr>
      </w:pPr>
    </w:p>
    <w:p w14:paraId="1C81F780" w14:textId="690403F8" w:rsidR="00B652FA" w:rsidRPr="00431E60" w:rsidRDefault="00431E60" w:rsidP="00B5101C">
      <w:pPr>
        <w:rPr>
          <w:rFonts w:ascii="Arial" w:hAnsi="Arial" w:cs="Arial"/>
          <w:b/>
          <w:bCs/>
          <w:sz w:val="22"/>
          <w:szCs w:val="22"/>
        </w:rPr>
      </w:pPr>
      <w:r w:rsidRPr="00431E60">
        <w:rPr>
          <w:rFonts w:ascii="Arial" w:hAnsi="Arial" w:cs="Arial"/>
          <w:b/>
          <w:bCs/>
          <w:sz w:val="22"/>
          <w:szCs w:val="22"/>
        </w:rPr>
        <w:t>ABSTRACT</w:t>
      </w:r>
    </w:p>
    <w:p w14:paraId="53104AC6" w14:textId="6F71918C" w:rsidR="00B652FA" w:rsidRPr="00CA1482" w:rsidRDefault="00B652FA" w:rsidP="00B5101C">
      <w:pPr>
        <w:jc w:val="both"/>
        <w:rPr>
          <w:rFonts w:ascii="Arial" w:hAnsi="Arial" w:cs="Arial"/>
          <w:sz w:val="20"/>
          <w:szCs w:val="20"/>
        </w:rPr>
      </w:pPr>
      <w:r w:rsidRPr="00CA1482">
        <w:rPr>
          <w:rFonts w:ascii="Arial" w:hAnsi="Arial" w:cs="Arial"/>
          <w:sz w:val="20"/>
          <w:szCs w:val="20"/>
        </w:rPr>
        <w:t>Hypertensive disorders of pregnancy are the second most common cause of maternal mortality right after haemorrhage. They constitute about 16% of maternal mortality</w:t>
      </w:r>
      <w:r w:rsidR="00D14B1B" w:rsidRPr="00CA1482">
        <w:rPr>
          <w:rFonts w:ascii="Arial" w:hAnsi="Arial" w:cs="Arial"/>
          <w:sz w:val="20"/>
          <w:szCs w:val="20"/>
        </w:rPr>
        <w:t>.</w:t>
      </w:r>
      <w:r w:rsidRPr="00CA1482">
        <w:rPr>
          <w:rFonts w:ascii="Arial" w:hAnsi="Arial" w:cs="Arial"/>
          <w:sz w:val="20"/>
          <w:szCs w:val="20"/>
        </w:rPr>
        <w:t xml:space="preserve"> </w:t>
      </w:r>
      <w:r w:rsidR="00F7799C" w:rsidRPr="00CA1482">
        <w:rPr>
          <w:rFonts w:ascii="Arial" w:hAnsi="Arial" w:cs="Arial"/>
          <w:sz w:val="20"/>
          <w:szCs w:val="20"/>
        </w:rPr>
        <w:t>[</w:t>
      </w:r>
      <w:r w:rsidRPr="00CA1482">
        <w:rPr>
          <w:rFonts w:ascii="Arial" w:hAnsi="Arial" w:cs="Arial"/>
          <w:sz w:val="20"/>
          <w:szCs w:val="20"/>
        </w:rPr>
        <w:t>1</w:t>
      </w:r>
      <w:r w:rsidR="00F7799C" w:rsidRPr="00CA1482">
        <w:rPr>
          <w:rFonts w:ascii="Arial" w:hAnsi="Arial" w:cs="Arial"/>
          <w:sz w:val="20"/>
          <w:szCs w:val="20"/>
        </w:rPr>
        <w:t>]</w:t>
      </w:r>
      <w:r w:rsidRPr="00CA1482">
        <w:rPr>
          <w:rFonts w:ascii="Arial" w:hAnsi="Arial" w:cs="Arial"/>
          <w:sz w:val="20"/>
          <w:szCs w:val="20"/>
        </w:rPr>
        <w:t xml:space="preserve"> The incidence of PIH is around 5-15 % of all pregnancies in India and it increases the risk of maternal morbidity and neonatal mortality. This study was undertaken to assess the socio demographic determinants and risk factors associated with </w:t>
      </w:r>
      <w:r w:rsidR="004078B5" w:rsidRPr="00CA1482">
        <w:rPr>
          <w:rFonts w:ascii="Arial" w:hAnsi="Arial" w:cs="Arial"/>
          <w:sz w:val="20"/>
          <w:szCs w:val="20"/>
        </w:rPr>
        <w:t>pre-eclampsia</w:t>
      </w:r>
      <w:r w:rsidRPr="00CA1482">
        <w:rPr>
          <w:rFonts w:ascii="Arial" w:hAnsi="Arial" w:cs="Arial"/>
          <w:sz w:val="20"/>
          <w:szCs w:val="20"/>
        </w:rPr>
        <w:t xml:space="preserve"> and its perinatal </w:t>
      </w:r>
      <w:r w:rsidR="004078B5" w:rsidRPr="00CA1482">
        <w:rPr>
          <w:rFonts w:ascii="Arial" w:hAnsi="Arial" w:cs="Arial"/>
          <w:sz w:val="20"/>
          <w:szCs w:val="20"/>
        </w:rPr>
        <w:t>outcomes.</w:t>
      </w:r>
      <w:r w:rsidR="00030A11">
        <w:rPr>
          <w:rFonts w:ascii="Arial" w:hAnsi="Arial" w:cs="Arial"/>
          <w:sz w:val="20"/>
          <w:szCs w:val="20"/>
        </w:rPr>
        <w:t xml:space="preserve"> </w:t>
      </w:r>
      <w:r w:rsidRPr="00CA1482">
        <w:rPr>
          <w:rFonts w:ascii="Arial" w:hAnsi="Arial" w:cs="Arial"/>
          <w:sz w:val="20"/>
          <w:szCs w:val="20"/>
        </w:rPr>
        <w:t xml:space="preserve">A </w:t>
      </w:r>
      <w:r w:rsidR="004078B5" w:rsidRPr="00CA1482">
        <w:rPr>
          <w:rFonts w:ascii="Arial" w:hAnsi="Arial" w:cs="Arial"/>
          <w:sz w:val="20"/>
          <w:szCs w:val="20"/>
        </w:rPr>
        <w:t>cross-sectional</w:t>
      </w:r>
      <w:r w:rsidRPr="00CA1482">
        <w:rPr>
          <w:rFonts w:ascii="Arial" w:hAnsi="Arial" w:cs="Arial"/>
          <w:sz w:val="20"/>
          <w:szCs w:val="20"/>
        </w:rPr>
        <w:t xml:space="preserve"> hospital based study was conducted in the obstetrics and gynaecology department of Integral Institute of </w:t>
      </w:r>
      <w:r w:rsidR="00030A11" w:rsidRPr="00030A11">
        <w:rPr>
          <w:rFonts w:ascii="Arial" w:hAnsi="Arial" w:cs="Arial"/>
          <w:sz w:val="20"/>
          <w:szCs w:val="20"/>
          <w:highlight w:val="yellow"/>
        </w:rPr>
        <w:t>M</w:t>
      </w:r>
      <w:r w:rsidRPr="00030A11">
        <w:rPr>
          <w:rFonts w:ascii="Arial" w:hAnsi="Arial" w:cs="Arial"/>
          <w:sz w:val="20"/>
          <w:szCs w:val="20"/>
          <w:highlight w:val="yellow"/>
        </w:rPr>
        <w:t xml:space="preserve">edical </w:t>
      </w:r>
      <w:r w:rsidR="00030A11" w:rsidRPr="00030A11">
        <w:rPr>
          <w:rFonts w:ascii="Arial" w:hAnsi="Arial" w:cs="Arial"/>
          <w:sz w:val="20"/>
          <w:szCs w:val="20"/>
          <w:highlight w:val="yellow"/>
        </w:rPr>
        <w:t>S</w:t>
      </w:r>
      <w:r w:rsidRPr="00030A11">
        <w:rPr>
          <w:rFonts w:ascii="Arial" w:hAnsi="Arial" w:cs="Arial"/>
          <w:sz w:val="20"/>
          <w:szCs w:val="20"/>
          <w:highlight w:val="yellow"/>
        </w:rPr>
        <w:t xml:space="preserve">cience and </w:t>
      </w:r>
      <w:r w:rsidR="00030A11" w:rsidRPr="00030A11">
        <w:rPr>
          <w:rFonts w:ascii="Arial" w:hAnsi="Arial" w:cs="Arial"/>
          <w:sz w:val="20"/>
          <w:szCs w:val="20"/>
          <w:highlight w:val="yellow"/>
        </w:rPr>
        <w:t>R</w:t>
      </w:r>
      <w:r w:rsidRPr="00030A11">
        <w:rPr>
          <w:rFonts w:ascii="Arial" w:hAnsi="Arial" w:cs="Arial"/>
          <w:sz w:val="20"/>
          <w:szCs w:val="20"/>
          <w:highlight w:val="yellow"/>
        </w:rPr>
        <w:t>esearch</w:t>
      </w:r>
      <w:r w:rsidR="00030A11" w:rsidRPr="00030A11">
        <w:rPr>
          <w:rFonts w:ascii="Arial" w:hAnsi="Arial" w:cs="Arial"/>
          <w:sz w:val="20"/>
          <w:szCs w:val="20"/>
          <w:highlight w:val="yellow"/>
        </w:rPr>
        <w:t>, Lucknow</w:t>
      </w:r>
      <w:r w:rsidRPr="00CA1482">
        <w:rPr>
          <w:rFonts w:ascii="Arial" w:hAnsi="Arial" w:cs="Arial"/>
          <w:sz w:val="20"/>
          <w:szCs w:val="20"/>
        </w:rPr>
        <w:t xml:space="preserve"> from </w:t>
      </w:r>
      <w:r w:rsidR="00307BD4" w:rsidRPr="00CA1482">
        <w:rPr>
          <w:rFonts w:ascii="Arial" w:hAnsi="Arial" w:cs="Arial"/>
          <w:color w:val="000000" w:themeColor="text1"/>
          <w:sz w:val="20"/>
          <w:szCs w:val="20"/>
        </w:rPr>
        <w:t>November 2023</w:t>
      </w:r>
      <w:r w:rsidR="00307BD4" w:rsidRPr="00CA1482">
        <w:rPr>
          <w:rFonts w:ascii="Arial" w:hAnsi="Arial" w:cs="Arial"/>
          <w:color w:val="FF0000"/>
          <w:sz w:val="20"/>
          <w:szCs w:val="20"/>
        </w:rPr>
        <w:t xml:space="preserve"> </w:t>
      </w:r>
      <w:r w:rsidR="00307BD4" w:rsidRPr="00CA1482">
        <w:rPr>
          <w:rFonts w:ascii="Arial" w:hAnsi="Arial" w:cs="Arial"/>
          <w:sz w:val="20"/>
          <w:szCs w:val="20"/>
        </w:rPr>
        <w:t>to</w:t>
      </w:r>
      <w:r w:rsidR="00307BD4" w:rsidRPr="00CA1482">
        <w:rPr>
          <w:rFonts w:ascii="Arial" w:hAnsi="Arial" w:cs="Arial"/>
          <w:color w:val="000000" w:themeColor="text1"/>
          <w:sz w:val="20"/>
          <w:szCs w:val="20"/>
        </w:rPr>
        <w:t xml:space="preserve"> March </w:t>
      </w:r>
      <w:r w:rsidR="004078B5" w:rsidRPr="00CA1482">
        <w:rPr>
          <w:rFonts w:ascii="Arial" w:hAnsi="Arial" w:cs="Arial"/>
          <w:color w:val="000000" w:themeColor="text1"/>
          <w:sz w:val="20"/>
          <w:szCs w:val="20"/>
        </w:rPr>
        <w:t>2025</w:t>
      </w:r>
      <w:r w:rsidR="004078B5" w:rsidRPr="00CA1482">
        <w:rPr>
          <w:rFonts w:ascii="Arial" w:hAnsi="Arial" w:cs="Arial"/>
          <w:sz w:val="20"/>
          <w:szCs w:val="20"/>
        </w:rPr>
        <w:t>.</w:t>
      </w:r>
      <w:r w:rsidR="00307BD4" w:rsidRPr="00CA1482">
        <w:rPr>
          <w:rFonts w:ascii="Arial" w:hAnsi="Arial" w:cs="Arial"/>
          <w:sz w:val="20"/>
          <w:szCs w:val="20"/>
        </w:rPr>
        <w:t xml:space="preserve"> 216 </w:t>
      </w:r>
      <w:r w:rsidRPr="00CA1482">
        <w:rPr>
          <w:rFonts w:ascii="Arial" w:hAnsi="Arial" w:cs="Arial"/>
          <w:sz w:val="20"/>
          <w:szCs w:val="20"/>
        </w:rPr>
        <w:t>patients with PIH presenting to the O</w:t>
      </w:r>
      <w:r w:rsidR="009400DA" w:rsidRPr="00CA1482">
        <w:rPr>
          <w:rFonts w:ascii="Arial" w:hAnsi="Arial" w:cs="Arial"/>
          <w:sz w:val="20"/>
          <w:szCs w:val="20"/>
        </w:rPr>
        <w:t>PD</w:t>
      </w:r>
      <w:r w:rsidRPr="00CA1482">
        <w:rPr>
          <w:rFonts w:ascii="Arial" w:hAnsi="Arial" w:cs="Arial"/>
          <w:sz w:val="20"/>
          <w:szCs w:val="20"/>
        </w:rPr>
        <w:t xml:space="preserve"> </w:t>
      </w:r>
      <w:r w:rsidR="00307BD4" w:rsidRPr="00CA1482">
        <w:rPr>
          <w:rFonts w:ascii="Arial" w:hAnsi="Arial" w:cs="Arial"/>
          <w:sz w:val="20"/>
          <w:szCs w:val="20"/>
        </w:rPr>
        <w:t xml:space="preserve">during this duration </w:t>
      </w:r>
      <w:r w:rsidRPr="00CA1482">
        <w:rPr>
          <w:rFonts w:ascii="Arial" w:hAnsi="Arial" w:cs="Arial"/>
          <w:sz w:val="20"/>
          <w:szCs w:val="20"/>
        </w:rPr>
        <w:t xml:space="preserve">were taken up for the study. Data regarding socio demographic </w:t>
      </w:r>
      <w:r w:rsidR="004078B5" w:rsidRPr="00CA1482">
        <w:rPr>
          <w:rFonts w:ascii="Arial" w:hAnsi="Arial" w:cs="Arial"/>
          <w:sz w:val="20"/>
          <w:szCs w:val="20"/>
        </w:rPr>
        <w:t>details,</w:t>
      </w:r>
      <w:r w:rsidRPr="00CA1482">
        <w:rPr>
          <w:rFonts w:ascii="Arial" w:hAnsi="Arial" w:cs="Arial"/>
          <w:sz w:val="20"/>
          <w:szCs w:val="20"/>
        </w:rPr>
        <w:t xml:space="preserve"> risk factors and adverse foetal outcomes were collected through a set of prepared questionnaires and hospital records and analysed. </w:t>
      </w:r>
      <w:r w:rsidR="00EC29AA" w:rsidRPr="00CA1482">
        <w:rPr>
          <w:rFonts w:ascii="Arial" w:hAnsi="Arial" w:cs="Arial"/>
          <w:sz w:val="20"/>
          <w:szCs w:val="20"/>
        </w:rPr>
        <w:t xml:space="preserve">A total of 216 women diagnosed with PIH and consenting for the study were taken up. Maximum cases of PIH were seen in the age bracket of 16-20 </w:t>
      </w:r>
      <w:r w:rsidR="00030A11" w:rsidRPr="00030A11">
        <w:rPr>
          <w:rFonts w:ascii="Arial" w:hAnsi="Arial" w:cs="Arial"/>
          <w:sz w:val="20"/>
          <w:szCs w:val="20"/>
          <w:highlight w:val="yellow"/>
        </w:rPr>
        <w:t>years</w:t>
      </w:r>
      <w:r w:rsidR="00030A11">
        <w:rPr>
          <w:rFonts w:ascii="Arial" w:hAnsi="Arial" w:cs="Arial"/>
          <w:sz w:val="20"/>
          <w:szCs w:val="20"/>
        </w:rPr>
        <w:t xml:space="preserve"> </w:t>
      </w:r>
      <w:r w:rsidR="00EC29AA" w:rsidRPr="00CA1482">
        <w:rPr>
          <w:rFonts w:ascii="Arial" w:hAnsi="Arial" w:cs="Arial"/>
          <w:sz w:val="20"/>
          <w:szCs w:val="20"/>
        </w:rPr>
        <w:t xml:space="preserve">which </w:t>
      </w:r>
      <w:r w:rsidR="00030A11" w:rsidRPr="00030A11">
        <w:rPr>
          <w:rFonts w:ascii="Arial" w:hAnsi="Arial" w:cs="Arial"/>
          <w:sz w:val="20"/>
          <w:szCs w:val="20"/>
          <w:highlight w:val="yellow"/>
        </w:rPr>
        <w:t>were</w:t>
      </w:r>
      <w:r w:rsidR="00EC29AA" w:rsidRPr="00CA1482">
        <w:rPr>
          <w:rFonts w:ascii="Arial" w:hAnsi="Arial" w:cs="Arial"/>
          <w:sz w:val="20"/>
          <w:szCs w:val="20"/>
        </w:rPr>
        <w:t xml:space="preserve"> 8</w:t>
      </w:r>
      <w:r w:rsidR="004757F7" w:rsidRPr="00CA1482">
        <w:rPr>
          <w:rFonts w:ascii="Arial" w:hAnsi="Arial" w:cs="Arial"/>
          <w:sz w:val="20"/>
          <w:szCs w:val="20"/>
        </w:rPr>
        <w:t>2</w:t>
      </w:r>
      <w:r w:rsidR="00EC29AA" w:rsidRPr="00CA1482">
        <w:rPr>
          <w:rFonts w:ascii="Arial" w:hAnsi="Arial" w:cs="Arial"/>
          <w:sz w:val="20"/>
          <w:szCs w:val="20"/>
        </w:rPr>
        <w:t xml:space="preserve"> </w:t>
      </w:r>
      <w:r w:rsidR="00030A11" w:rsidRPr="00030A11">
        <w:rPr>
          <w:rFonts w:ascii="Arial" w:hAnsi="Arial" w:cs="Arial"/>
          <w:sz w:val="20"/>
          <w:szCs w:val="20"/>
          <w:highlight w:val="yellow"/>
        </w:rPr>
        <w:t>patients</w:t>
      </w:r>
      <w:r w:rsidR="00030A11">
        <w:rPr>
          <w:rFonts w:ascii="Arial" w:hAnsi="Arial" w:cs="Arial"/>
          <w:sz w:val="20"/>
          <w:szCs w:val="20"/>
        </w:rPr>
        <w:t xml:space="preserve"> </w:t>
      </w:r>
      <w:r w:rsidR="00EC29AA" w:rsidRPr="00CA1482">
        <w:rPr>
          <w:rFonts w:ascii="Arial" w:hAnsi="Arial" w:cs="Arial"/>
          <w:sz w:val="20"/>
          <w:szCs w:val="20"/>
        </w:rPr>
        <w:t xml:space="preserve">accounting to about </w:t>
      </w:r>
      <w:r w:rsidR="005072AD" w:rsidRPr="00CA1482">
        <w:rPr>
          <w:rFonts w:ascii="Arial" w:hAnsi="Arial" w:cs="Arial"/>
          <w:sz w:val="20"/>
          <w:szCs w:val="20"/>
        </w:rPr>
        <w:t>38</w:t>
      </w:r>
      <w:r w:rsidR="00EC29AA" w:rsidRPr="00CA1482">
        <w:rPr>
          <w:rFonts w:ascii="Arial" w:hAnsi="Arial" w:cs="Arial"/>
          <w:sz w:val="20"/>
          <w:szCs w:val="20"/>
        </w:rPr>
        <w:t>%</w:t>
      </w:r>
      <w:r w:rsidR="00030A11">
        <w:rPr>
          <w:rFonts w:ascii="Arial" w:hAnsi="Arial" w:cs="Arial"/>
          <w:sz w:val="20"/>
          <w:szCs w:val="20"/>
        </w:rPr>
        <w:t xml:space="preserve"> </w:t>
      </w:r>
      <w:r w:rsidR="00030A11" w:rsidRPr="00030A11">
        <w:rPr>
          <w:rFonts w:ascii="Arial" w:hAnsi="Arial" w:cs="Arial"/>
          <w:sz w:val="20"/>
          <w:szCs w:val="20"/>
          <w:highlight w:val="yellow"/>
        </w:rPr>
        <w:t>of the total</w:t>
      </w:r>
      <w:r w:rsidR="00EC29AA" w:rsidRPr="00CA1482">
        <w:rPr>
          <w:rFonts w:ascii="Arial" w:hAnsi="Arial" w:cs="Arial"/>
          <w:color w:val="000000" w:themeColor="text1"/>
          <w:sz w:val="20"/>
          <w:szCs w:val="20"/>
        </w:rPr>
        <w:t>.</w:t>
      </w:r>
      <w:r w:rsidR="005072AD" w:rsidRPr="00CA1482">
        <w:rPr>
          <w:rFonts w:ascii="Arial" w:hAnsi="Arial" w:cs="Arial"/>
          <w:color w:val="000000" w:themeColor="text1"/>
          <w:sz w:val="20"/>
          <w:szCs w:val="20"/>
        </w:rPr>
        <w:t xml:space="preserve"> </w:t>
      </w:r>
      <w:r w:rsidR="00EC29AA" w:rsidRPr="00CA1482">
        <w:rPr>
          <w:rFonts w:ascii="Arial" w:hAnsi="Arial" w:cs="Arial"/>
          <w:sz w:val="20"/>
          <w:szCs w:val="20"/>
        </w:rPr>
        <w:t xml:space="preserve">134 patients belonged to low socioeconomic background which comprise about 62% of the total. </w:t>
      </w:r>
      <w:r w:rsidR="00030A11" w:rsidRPr="00030A11">
        <w:rPr>
          <w:rFonts w:ascii="Arial" w:hAnsi="Arial" w:cs="Arial"/>
          <w:sz w:val="20"/>
          <w:szCs w:val="20"/>
          <w:highlight w:val="yellow"/>
        </w:rPr>
        <w:t>Whereas</w:t>
      </w:r>
      <w:r w:rsidR="00030A11">
        <w:rPr>
          <w:rFonts w:ascii="Arial" w:hAnsi="Arial" w:cs="Arial"/>
          <w:sz w:val="20"/>
          <w:szCs w:val="20"/>
        </w:rPr>
        <w:t xml:space="preserve"> </w:t>
      </w:r>
      <w:r w:rsidR="00EC29AA" w:rsidRPr="00CA1482">
        <w:rPr>
          <w:rFonts w:ascii="Arial" w:hAnsi="Arial" w:cs="Arial"/>
          <w:sz w:val="20"/>
          <w:szCs w:val="20"/>
        </w:rPr>
        <w:t>58.3</w:t>
      </w:r>
      <w:r w:rsidR="004078B5" w:rsidRPr="00CA1482">
        <w:rPr>
          <w:rFonts w:ascii="Arial" w:hAnsi="Arial" w:cs="Arial"/>
          <w:sz w:val="20"/>
          <w:szCs w:val="20"/>
        </w:rPr>
        <w:t>% patients</w:t>
      </w:r>
      <w:r w:rsidR="00EC29AA" w:rsidRPr="00CA1482">
        <w:rPr>
          <w:rFonts w:ascii="Arial" w:hAnsi="Arial" w:cs="Arial"/>
          <w:sz w:val="20"/>
          <w:szCs w:val="20"/>
        </w:rPr>
        <w:t xml:space="preserve"> presenting with PIH came from rural areas</w:t>
      </w:r>
      <w:r w:rsidR="00030A11">
        <w:rPr>
          <w:rFonts w:ascii="Arial" w:hAnsi="Arial" w:cs="Arial"/>
          <w:sz w:val="20"/>
          <w:szCs w:val="20"/>
        </w:rPr>
        <w:t xml:space="preserve"> </w:t>
      </w:r>
      <w:r w:rsidR="00030A11" w:rsidRPr="00030A11">
        <w:rPr>
          <w:rFonts w:ascii="Arial" w:hAnsi="Arial" w:cs="Arial"/>
          <w:sz w:val="20"/>
          <w:szCs w:val="20"/>
          <w:highlight w:val="yellow"/>
        </w:rPr>
        <w:t>and</w:t>
      </w:r>
      <w:r w:rsidR="003278D8" w:rsidRPr="00CA1482">
        <w:rPr>
          <w:rFonts w:ascii="Arial" w:hAnsi="Arial" w:cs="Arial"/>
          <w:sz w:val="20"/>
          <w:szCs w:val="20"/>
        </w:rPr>
        <w:t xml:space="preserve"> </w:t>
      </w:r>
      <w:r w:rsidR="00EC29AA" w:rsidRPr="00CA1482">
        <w:rPr>
          <w:rFonts w:ascii="Arial" w:hAnsi="Arial" w:cs="Arial"/>
          <w:sz w:val="20"/>
          <w:szCs w:val="20"/>
        </w:rPr>
        <w:t>55.</w:t>
      </w:r>
      <w:r w:rsidR="00F57168" w:rsidRPr="00CA1482">
        <w:rPr>
          <w:rFonts w:ascii="Arial" w:hAnsi="Arial" w:cs="Arial"/>
          <w:sz w:val="20"/>
          <w:szCs w:val="20"/>
        </w:rPr>
        <w:t>6</w:t>
      </w:r>
      <w:r w:rsidR="00EC29AA" w:rsidRPr="00CA1482">
        <w:rPr>
          <w:rFonts w:ascii="Arial" w:hAnsi="Arial" w:cs="Arial"/>
          <w:sz w:val="20"/>
          <w:szCs w:val="20"/>
        </w:rPr>
        <w:t xml:space="preserve">% patients were uneducated. </w:t>
      </w:r>
      <w:r w:rsidR="00EC29AA" w:rsidRPr="00030A11">
        <w:rPr>
          <w:rFonts w:ascii="Arial" w:hAnsi="Arial" w:cs="Arial"/>
          <w:sz w:val="20"/>
          <w:szCs w:val="20"/>
          <w:highlight w:val="yellow"/>
        </w:rPr>
        <w:t>No significant difference can be seen on the basis of occupation and religion</w:t>
      </w:r>
      <w:r w:rsidR="00030A11" w:rsidRPr="00030A11">
        <w:rPr>
          <w:rFonts w:ascii="Arial" w:hAnsi="Arial" w:cs="Arial"/>
          <w:sz w:val="20"/>
          <w:szCs w:val="20"/>
          <w:highlight w:val="yellow"/>
        </w:rPr>
        <w:t xml:space="preserve"> in the incidence of PIH</w:t>
      </w:r>
      <w:r w:rsidR="00EC29AA" w:rsidRPr="00CA1482">
        <w:rPr>
          <w:rFonts w:ascii="Arial" w:hAnsi="Arial" w:cs="Arial"/>
          <w:sz w:val="20"/>
          <w:szCs w:val="20"/>
        </w:rPr>
        <w:t xml:space="preserve">. Majority of patients presenting with PIH which is 54.6% were primigravida. Most commonly observed adverse outcome was preterm delivery which occurred in </w:t>
      </w:r>
      <w:r w:rsidR="004078B5" w:rsidRPr="00CA1482">
        <w:rPr>
          <w:rFonts w:ascii="Arial" w:hAnsi="Arial" w:cs="Arial"/>
          <w:sz w:val="20"/>
          <w:szCs w:val="20"/>
        </w:rPr>
        <w:t>56</w:t>
      </w:r>
      <w:r w:rsidR="00EC29AA" w:rsidRPr="00CA1482">
        <w:rPr>
          <w:rFonts w:ascii="Arial" w:hAnsi="Arial" w:cs="Arial"/>
          <w:sz w:val="20"/>
          <w:szCs w:val="20"/>
        </w:rPr>
        <w:t xml:space="preserve"> </w:t>
      </w:r>
      <w:r w:rsidR="00EC29AA" w:rsidRPr="00CA1482">
        <w:rPr>
          <w:rFonts w:ascii="Arial" w:hAnsi="Arial" w:cs="Arial"/>
          <w:color w:val="000000" w:themeColor="text1"/>
          <w:sz w:val="20"/>
          <w:szCs w:val="20"/>
        </w:rPr>
        <w:t xml:space="preserve">patients accounting for about 25.9% of the cases followed by low birth weight babies which were 44 </w:t>
      </w:r>
      <w:r w:rsidR="00030A11" w:rsidRPr="00030A11">
        <w:rPr>
          <w:rFonts w:ascii="Arial" w:hAnsi="Arial" w:cs="Arial"/>
          <w:color w:val="000000" w:themeColor="text1"/>
          <w:sz w:val="20"/>
          <w:szCs w:val="20"/>
          <w:highlight w:val="yellow"/>
        </w:rPr>
        <w:t>patients making 20.3% of the total</w:t>
      </w:r>
      <w:r w:rsidR="00EC29AA" w:rsidRPr="00CA1482">
        <w:rPr>
          <w:rFonts w:ascii="Arial" w:hAnsi="Arial" w:cs="Arial"/>
          <w:color w:val="000000" w:themeColor="text1"/>
          <w:sz w:val="20"/>
          <w:szCs w:val="20"/>
        </w:rPr>
        <w:t>.</w:t>
      </w:r>
      <w:r w:rsidR="00030A11">
        <w:rPr>
          <w:rFonts w:ascii="Arial" w:hAnsi="Arial" w:cs="Arial"/>
          <w:color w:val="000000" w:themeColor="text1"/>
          <w:sz w:val="20"/>
          <w:szCs w:val="20"/>
        </w:rPr>
        <w:t xml:space="preserve"> </w:t>
      </w:r>
      <w:r w:rsidR="009400DA" w:rsidRPr="00CA1482">
        <w:rPr>
          <w:rFonts w:ascii="Arial" w:hAnsi="Arial" w:cs="Arial"/>
          <w:sz w:val="20"/>
          <w:szCs w:val="20"/>
        </w:rPr>
        <w:t xml:space="preserve">PIH being a multi system disorder has disastrous outcomes both on mother and child and due to its increasing incidence it is becoming a major public health concern. Therefore early </w:t>
      </w:r>
      <w:r w:rsidR="004078B5" w:rsidRPr="00CA1482">
        <w:rPr>
          <w:rFonts w:ascii="Arial" w:hAnsi="Arial" w:cs="Arial"/>
          <w:sz w:val="20"/>
          <w:szCs w:val="20"/>
        </w:rPr>
        <w:t>identification,</w:t>
      </w:r>
      <w:r w:rsidR="009400DA" w:rsidRPr="00CA1482">
        <w:rPr>
          <w:rFonts w:ascii="Arial" w:hAnsi="Arial" w:cs="Arial"/>
          <w:sz w:val="20"/>
          <w:szCs w:val="20"/>
        </w:rPr>
        <w:t xml:space="preserve"> intervention and management is the need of the hour to help curb its detrimental impact on feto-maternal health. Spreading awareness, spotting high risk individuals and careful monitoring and follow up is required to help reduce mortality and morbidity</w:t>
      </w:r>
      <w:r w:rsidR="00030A11">
        <w:rPr>
          <w:rFonts w:ascii="Arial" w:hAnsi="Arial" w:cs="Arial"/>
          <w:sz w:val="20"/>
          <w:szCs w:val="20"/>
        </w:rPr>
        <w:t xml:space="preserve"> </w:t>
      </w:r>
      <w:r w:rsidR="00030A11" w:rsidRPr="00030A11">
        <w:rPr>
          <w:rFonts w:ascii="Arial" w:hAnsi="Arial" w:cs="Arial"/>
          <w:sz w:val="20"/>
          <w:szCs w:val="20"/>
          <w:highlight w:val="yellow"/>
        </w:rPr>
        <w:t>associated with PIH</w:t>
      </w:r>
      <w:r w:rsidR="009400DA" w:rsidRPr="00CA1482">
        <w:rPr>
          <w:rFonts w:ascii="Arial" w:hAnsi="Arial" w:cs="Arial"/>
          <w:sz w:val="20"/>
          <w:szCs w:val="20"/>
        </w:rPr>
        <w:t xml:space="preserve">. </w:t>
      </w:r>
    </w:p>
    <w:p w14:paraId="30989105" w14:textId="77777777" w:rsidR="00AE1951" w:rsidRPr="00CA1482" w:rsidRDefault="00AE1951" w:rsidP="00B5101C">
      <w:pPr>
        <w:jc w:val="both"/>
        <w:rPr>
          <w:rFonts w:ascii="Arial" w:hAnsi="Arial" w:cs="Arial"/>
          <w:sz w:val="20"/>
          <w:szCs w:val="20"/>
        </w:rPr>
      </w:pPr>
    </w:p>
    <w:p w14:paraId="331180A5" w14:textId="5FBADC2B" w:rsidR="00B652FA" w:rsidRPr="00957FCF" w:rsidRDefault="00AE1951" w:rsidP="00B5101C">
      <w:pPr>
        <w:jc w:val="both"/>
        <w:rPr>
          <w:rFonts w:ascii="Arial" w:hAnsi="Arial" w:cs="Arial"/>
          <w:sz w:val="20"/>
          <w:szCs w:val="20"/>
        </w:rPr>
      </w:pPr>
      <w:r w:rsidRPr="00C36E3E">
        <w:rPr>
          <w:rFonts w:ascii="Arial" w:hAnsi="Arial" w:cs="Arial"/>
          <w:i/>
          <w:iCs/>
          <w:sz w:val="20"/>
          <w:szCs w:val="20"/>
        </w:rPr>
        <w:t>Keywords</w:t>
      </w:r>
      <w:r w:rsidRPr="007A5453">
        <w:rPr>
          <w:rFonts w:ascii="Times New Roman" w:hAnsi="Times New Roman" w:cs="Times New Roman"/>
          <w:sz w:val="20"/>
          <w:szCs w:val="20"/>
        </w:rPr>
        <w:t xml:space="preserve">: </w:t>
      </w:r>
      <w:r w:rsidR="00151E81" w:rsidRPr="00957FCF">
        <w:rPr>
          <w:rFonts w:ascii="Arial" w:hAnsi="Arial" w:cs="Arial"/>
          <w:sz w:val="20"/>
          <w:szCs w:val="20"/>
        </w:rPr>
        <w:t>PIH, perinatal, mortality</w:t>
      </w:r>
      <w:r w:rsidR="00796322" w:rsidRPr="00957FCF">
        <w:rPr>
          <w:rFonts w:ascii="Arial" w:hAnsi="Arial" w:cs="Arial"/>
          <w:sz w:val="20"/>
          <w:szCs w:val="20"/>
        </w:rPr>
        <w:t xml:space="preserve">, </w:t>
      </w:r>
      <w:r w:rsidR="00C371E1" w:rsidRPr="00957FCF">
        <w:rPr>
          <w:rFonts w:ascii="Arial" w:hAnsi="Arial" w:cs="Arial"/>
          <w:sz w:val="20"/>
          <w:szCs w:val="20"/>
        </w:rPr>
        <w:t>Pre-eclampsia</w:t>
      </w:r>
      <w:r w:rsidR="00796322" w:rsidRPr="00957FCF">
        <w:rPr>
          <w:rFonts w:ascii="Arial" w:hAnsi="Arial" w:cs="Arial"/>
          <w:sz w:val="20"/>
          <w:szCs w:val="20"/>
        </w:rPr>
        <w:t>, complications</w:t>
      </w:r>
    </w:p>
    <w:p w14:paraId="6A0DD7E0" w14:textId="77777777" w:rsidR="009D4CF2" w:rsidRDefault="009D4CF2" w:rsidP="00B5101C">
      <w:pPr>
        <w:tabs>
          <w:tab w:val="left" w:pos="2800"/>
        </w:tabs>
        <w:rPr>
          <w:rFonts w:ascii="Times New Roman" w:hAnsi="Times New Roman" w:cs="Times New Roman"/>
          <w:b/>
          <w:bCs/>
          <w:sz w:val="20"/>
          <w:szCs w:val="20"/>
        </w:rPr>
      </w:pPr>
    </w:p>
    <w:p w14:paraId="5BBA621C" w14:textId="77777777" w:rsidR="00F04730" w:rsidRDefault="00F04730" w:rsidP="00B5101C">
      <w:pPr>
        <w:tabs>
          <w:tab w:val="left" w:pos="2800"/>
        </w:tabs>
        <w:rPr>
          <w:rFonts w:ascii="Times New Roman" w:hAnsi="Times New Roman" w:cs="Times New Roman"/>
          <w:b/>
          <w:bCs/>
          <w:sz w:val="20"/>
          <w:szCs w:val="20"/>
        </w:rPr>
      </w:pPr>
    </w:p>
    <w:p w14:paraId="3E019809" w14:textId="299A24F5" w:rsidR="00B652FA" w:rsidRPr="00F04730" w:rsidRDefault="00F04730" w:rsidP="00B5101C">
      <w:pPr>
        <w:tabs>
          <w:tab w:val="left" w:pos="2800"/>
        </w:tabs>
        <w:rPr>
          <w:rFonts w:ascii="Arial" w:hAnsi="Arial" w:cs="Arial"/>
          <w:b/>
          <w:bCs/>
          <w:sz w:val="22"/>
          <w:szCs w:val="22"/>
        </w:rPr>
      </w:pPr>
      <w:r w:rsidRPr="00F04730">
        <w:rPr>
          <w:rFonts w:ascii="Arial" w:hAnsi="Arial" w:cs="Arial"/>
          <w:b/>
          <w:bCs/>
          <w:sz w:val="22"/>
          <w:szCs w:val="22"/>
        </w:rPr>
        <w:t>INTRODUCTION</w:t>
      </w:r>
    </w:p>
    <w:p w14:paraId="5E327765" w14:textId="77777777" w:rsidR="00B652FA" w:rsidRPr="007A5453" w:rsidRDefault="00B652FA" w:rsidP="00B5101C">
      <w:pPr>
        <w:tabs>
          <w:tab w:val="left" w:pos="2800"/>
        </w:tabs>
        <w:rPr>
          <w:rFonts w:ascii="Times New Roman" w:hAnsi="Times New Roman" w:cs="Times New Roman"/>
          <w:sz w:val="20"/>
          <w:szCs w:val="20"/>
        </w:rPr>
      </w:pPr>
    </w:p>
    <w:p w14:paraId="511B4DA2" w14:textId="77777777"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t>According to ACOG, Hypertensive disorders of pregnancy comprise of 4 categories:</w:t>
      </w:r>
    </w:p>
    <w:p w14:paraId="1F7E27EE"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Gestational hypertension</w:t>
      </w:r>
    </w:p>
    <w:p w14:paraId="45CE9467" w14:textId="5FDD054B"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and eclampsia </w:t>
      </w:r>
    </w:p>
    <w:p w14:paraId="211FFD13"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Chronic hypertension</w:t>
      </w:r>
    </w:p>
    <w:p w14:paraId="633C8A95" w14:textId="344610B7"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superimposed on chronic hypertension</w:t>
      </w:r>
    </w:p>
    <w:p w14:paraId="249D5750" w14:textId="77777777" w:rsidR="00B652FA" w:rsidRPr="00807FB2" w:rsidRDefault="00B652FA" w:rsidP="00807FB2">
      <w:pPr>
        <w:tabs>
          <w:tab w:val="left" w:pos="2800"/>
        </w:tabs>
        <w:jc w:val="both"/>
        <w:rPr>
          <w:rFonts w:ascii="Arial" w:hAnsi="Arial" w:cs="Arial"/>
          <w:sz w:val="20"/>
          <w:szCs w:val="20"/>
        </w:rPr>
      </w:pPr>
    </w:p>
    <w:p w14:paraId="432B6217" w14:textId="3801FEB9"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Gestational hypertension can be defined as increase in the blood pressure</w:t>
      </w:r>
      <w:r w:rsidR="00904039" w:rsidRPr="00807FB2">
        <w:rPr>
          <w:rFonts w:ascii="Arial" w:hAnsi="Arial" w:cs="Arial"/>
          <w:sz w:val="20"/>
          <w:szCs w:val="20"/>
        </w:rPr>
        <w:t xml:space="preserve"> ≥</w:t>
      </w:r>
      <w:r w:rsidRPr="00807FB2">
        <w:rPr>
          <w:rFonts w:ascii="Arial" w:hAnsi="Arial" w:cs="Arial"/>
          <w:sz w:val="20"/>
          <w:szCs w:val="20"/>
        </w:rPr>
        <w:t>140/90 mm</w:t>
      </w:r>
      <w:r w:rsidR="00701C84" w:rsidRPr="00807FB2">
        <w:rPr>
          <w:rFonts w:ascii="Arial" w:hAnsi="Arial" w:cs="Arial"/>
          <w:sz w:val="20"/>
          <w:szCs w:val="20"/>
        </w:rPr>
        <w:t xml:space="preserve"> of </w:t>
      </w:r>
      <w:r w:rsidRPr="00807FB2">
        <w:rPr>
          <w:rFonts w:ascii="Arial" w:hAnsi="Arial" w:cs="Arial"/>
          <w:sz w:val="20"/>
          <w:szCs w:val="20"/>
        </w:rPr>
        <w:t xml:space="preserve">hg on 2 occasions 4 hours apart after 20 weeks period of gestation in a previously normotensive patient and BP returns to normal after 12 weeks of </w:t>
      </w:r>
      <w:r w:rsidR="005F6C99" w:rsidRPr="00807FB2">
        <w:rPr>
          <w:rFonts w:ascii="Arial" w:hAnsi="Arial" w:cs="Arial"/>
          <w:sz w:val="20"/>
          <w:szCs w:val="20"/>
        </w:rPr>
        <w:t xml:space="preserve">delivery. </w:t>
      </w:r>
      <w:r w:rsidR="00904039" w:rsidRPr="00807FB2">
        <w:rPr>
          <w:rFonts w:ascii="Arial" w:hAnsi="Arial" w:cs="Arial"/>
          <w:sz w:val="20"/>
          <w:szCs w:val="20"/>
        </w:rPr>
        <w:t>[</w:t>
      </w:r>
      <w:r w:rsidR="009C1888" w:rsidRPr="00807FB2">
        <w:rPr>
          <w:rFonts w:ascii="Arial" w:hAnsi="Arial" w:cs="Arial"/>
          <w:sz w:val="20"/>
          <w:szCs w:val="20"/>
        </w:rPr>
        <w:t>2</w:t>
      </w:r>
      <w:r w:rsidR="00904039" w:rsidRPr="00807FB2">
        <w:rPr>
          <w:rFonts w:ascii="Arial" w:hAnsi="Arial" w:cs="Arial"/>
          <w:sz w:val="20"/>
          <w:szCs w:val="20"/>
        </w:rPr>
        <w:t>]</w:t>
      </w:r>
    </w:p>
    <w:p w14:paraId="725EF7E0" w14:textId="1D0A45A5" w:rsidR="00B652FA" w:rsidRPr="00807FB2" w:rsidRDefault="005F6C99" w:rsidP="00807FB2">
      <w:pPr>
        <w:tabs>
          <w:tab w:val="left" w:pos="2800"/>
        </w:tabs>
        <w:ind w:firstLine="709"/>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is a </w:t>
      </w:r>
      <w:r w:rsidR="00701C84" w:rsidRPr="00807FB2">
        <w:rPr>
          <w:rFonts w:ascii="Arial" w:hAnsi="Arial" w:cs="Arial"/>
          <w:sz w:val="20"/>
          <w:szCs w:val="20"/>
        </w:rPr>
        <w:t>multi-system</w:t>
      </w:r>
      <w:r w:rsidR="00B652FA" w:rsidRPr="00807FB2">
        <w:rPr>
          <w:rFonts w:ascii="Arial" w:hAnsi="Arial" w:cs="Arial"/>
          <w:sz w:val="20"/>
          <w:szCs w:val="20"/>
        </w:rPr>
        <w:t xml:space="preserve"> disorder characterized by increase in blood pressure </w:t>
      </w:r>
      <w:bookmarkStart w:id="1" w:name="OLE_LINK2"/>
      <w:r w:rsidR="00B30AE3" w:rsidRPr="00807FB2">
        <w:rPr>
          <w:rFonts w:ascii="Arial" w:hAnsi="Arial" w:cs="Arial"/>
          <w:sz w:val="20"/>
          <w:szCs w:val="20"/>
        </w:rPr>
        <w:t>≥</w:t>
      </w:r>
      <w:bookmarkEnd w:id="1"/>
      <w:r w:rsidR="00B652FA" w:rsidRPr="00807FB2">
        <w:rPr>
          <w:rFonts w:ascii="Arial" w:hAnsi="Arial" w:cs="Arial"/>
          <w:sz w:val="20"/>
          <w:szCs w:val="20"/>
        </w:rPr>
        <w:t>140/90 mm hg</w:t>
      </w:r>
      <w:r w:rsidR="00701C84" w:rsidRPr="00807FB2">
        <w:rPr>
          <w:rFonts w:ascii="Arial" w:hAnsi="Arial" w:cs="Arial"/>
          <w:sz w:val="20"/>
          <w:szCs w:val="20"/>
        </w:rPr>
        <w:t xml:space="preserve"> in two readings 4 hours apart</w:t>
      </w:r>
      <w:r w:rsidR="00B652FA" w:rsidRPr="00807FB2">
        <w:rPr>
          <w:rFonts w:ascii="Arial" w:hAnsi="Arial" w:cs="Arial"/>
          <w:sz w:val="20"/>
          <w:szCs w:val="20"/>
        </w:rPr>
        <w:t xml:space="preserve"> </w:t>
      </w:r>
      <w:r w:rsidR="00701C84" w:rsidRPr="00807FB2">
        <w:rPr>
          <w:rFonts w:ascii="Arial" w:hAnsi="Arial" w:cs="Arial"/>
          <w:sz w:val="20"/>
          <w:szCs w:val="20"/>
        </w:rPr>
        <w:t xml:space="preserve">or </w:t>
      </w:r>
      <w:r w:rsidR="000E5655" w:rsidRPr="000E5655">
        <w:rPr>
          <w:rFonts w:ascii="Arial" w:hAnsi="Arial" w:cs="Arial"/>
          <w:sz w:val="20"/>
          <w:szCs w:val="20"/>
          <w:highlight w:val="yellow"/>
        </w:rPr>
        <w:t>≥</w:t>
      </w:r>
      <w:r w:rsidR="00701C84" w:rsidRPr="00807FB2">
        <w:rPr>
          <w:rFonts w:ascii="Arial" w:hAnsi="Arial" w:cs="Arial"/>
          <w:sz w:val="20"/>
          <w:szCs w:val="20"/>
        </w:rPr>
        <w:t xml:space="preserve">160/110 mm of hg </w:t>
      </w:r>
      <w:r w:rsidR="00B652FA" w:rsidRPr="00807FB2">
        <w:rPr>
          <w:rFonts w:ascii="Arial" w:hAnsi="Arial" w:cs="Arial"/>
          <w:sz w:val="20"/>
          <w:szCs w:val="20"/>
        </w:rPr>
        <w:t>after 20 weeks period of gestation with either proteinuria</w:t>
      </w:r>
      <w:r w:rsidR="00701C84" w:rsidRPr="00807FB2">
        <w:rPr>
          <w:rFonts w:ascii="Arial" w:hAnsi="Arial" w:cs="Arial"/>
          <w:sz w:val="20"/>
          <w:szCs w:val="20"/>
        </w:rPr>
        <w:t xml:space="preserve"> (24 hours urinary protein excretion &gt;0.3g or protein /creatinine ration &gt;0.3)</w:t>
      </w:r>
      <w:r w:rsidR="00B652FA" w:rsidRPr="00807FB2">
        <w:rPr>
          <w:rFonts w:ascii="Arial" w:hAnsi="Arial" w:cs="Arial"/>
          <w:sz w:val="20"/>
          <w:szCs w:val="20"/>
        </w:rPr>
        <w:t xml:space="preserve"> or signs of end organ damage which include thrombocytopenia</w:t>
      </w:r>
      <w:r w:rsidR="00701C84" w:rsidRPr="00807FB2">
        <w:rPr>
          <w:rFonts w:ascii="Arial" w:hAnsi="Arial" w:cs="Arial"/>
          <w:sz w:val="20"/>
          <w:szCs w:val="20"/>
        </w:rPr>
        <w:t xml:space="preserve"> (platelet count &lt;1 lakh),</w:t>
      </w:r>
      <w:r w:rsidR="00B652FA" w:rsidRPr="00807FB2">
        <w:rPr>
          <w:rFonts w:ascii="Arial" w:hAnsi="Arial" w:cs="Arial"/>
          <w:sz w:val="20"/>
          <w:szCs w:val="20"/>
        </w:rPr>
        <w:t xml:space="preserve"> impaired liver function tests</w:t>
      </w:r>
      <w:r w:rsidR="00701C84" w:rsidRPr="00807FB2">
        <w:rPr>
          <w:rFonts w:ascii="Arial" w:hAnsi="Arial" w:cs="Arial"/>
          <w:sz w:val="20"/>
          <w:szCs w:val="20"/>
        </w:rPr>
        <w:t xml:space="preserve"> (transaminases greater than 2 times the normal range)</w:t>
      </w:r>
      <w:r w:rsidR="00B652FA" w:rsidRPr="00807FB2">
        <w:rPr>
          <w:rFonts w:ascii="Arial" w:hAnsi="Arial" w:cs="Arial"/>
          <w:sz w:val="20"/>
          <w:szCs w:val="20"/>
        </w:rPr>
        <w:t>, increased creatinine &gt;1.1 mg/dl, pulmonary oedema, visual symptoms</w:t>
      </w:r>
      <w:r w:rsidR="00701C84" w:rsidRPr="00807FB2">
        <w:rPr>
          <w:rFonts w:ascii="Arial" w:hAnsi="Arial" w:cs="Arial"/>
          <w:sz w:val="20"/>
          <w:szCs w:val="20"/>
        </w:rPr>
        <w:t xml:space="preserve"> (blindness, scotoma, diplopia, blurring of vision)</w:t>
      </w:r>
      <w:r w:rsidR="00B652FA" w:rsidRPr="00807FB2">
        <w:rPr>
          <w:rFonts w:ascii="Arial" w:hAnsi="Arial" w:cs="Arial"/>
          <w:sz w:val="20"/>
          <w:szCs w:val="20"/>
        </w:rPr>
        <w:t xml:space="preserve"> or neurological symptoms</w:t>
      </w:r>
      <w:r w:rsidR="00701C84" w:rsidRPr="00807FB2">
        <w:rPr>
          <w:rFonts w:ascii="Arial" w:hAnsi="Arial" w:cs="Arial"/>
          <w:sz w:val="20"/>
          <w:szCs w:val="20"/>
        </w:rPr>
        <w:t xml:space="preserve"> (new onset headache not relieved by medications) in a previously normotensive and normo-proteinuric patient.</w:t>
      </w:r>
      <w:r w:rsidR="000A0A20" w:rsidRPr="00807FB2">
        <w:rPr>
          <w:rFonts w:ascii="Arial" w:hAnsi="Arial" w:cs="Arial"/>
          <w:sz w:val="20"/>
          <w:szCs w:val="20"/>
        </w:rPr>
        <w:t xml:space="preserve"> </w:t>
      </w:r>
      <w:r w:rsidR="00B30AE3" w:rsidRPr="00807FB2">
        <w:rPr>
          <w:rFonts w:ascii="Arial" w:hAnsi="Arial" w:cs="Arial"/>
          <w:sz w:val="20"/>
          <w:szCs w:val="20"/>
        </w:rPr>
        <w:t>[</w:t>
      </w:r>
      <w:r w:rsidR="00B2526C" w:rsidRPr="00807FB2">
        <w:rPr>
          <w:rFonts w:ascii="Arial" w:hAnsi="Arial" w:cs="Arial"/>
          <w:sz w:val="20"/>
          <w:szCs w:val="20"/>
        </w:rPr>
        <w:t>3</w:t>
      </w:r>
      <w:r w:rsidR="00054F06" w:rsidRPr="00807FB2">
        <w:rPr>
          <w:rFonts w:ascii="Arial" w:hAnsi="Arial" w:cs="Arial"/>
          <w:sz w:val="20"/>
          <w:szCs w:val="20"/>
        </w:rPr>
        <w:t xml:space="preserve">, </w:t>
      </w:r>
      <w:r w:rsidR="00BE3E61" w:rsidRPr="00807FB2">
        <w:rPr>
          <w:rFonts w:ascii="Arial" w:hAnsi="Arial" w:cs="Arial"/>
          <w:sz w:val="20"/>
          <w:szCs w:val="20"/>
        </w:rPr>
        <w:t>4</w:t>
      </w:r>
      <w:r w:rsidR="00B30AE3" w:rsidRPr="00807FB2">
        <w:rPr>
          <w:rFonts w:ascii="Arial" w:hAnsi="Arial" w:cs="Arial"/>
          <w:sz w:val="20"/>
          <w:szCs w:val="20"/>
        </w:rPr>
        <w:t>]</w:t>
      </w:r>
    </w:p>
    <w:p w14:paraId="40583F51" w14:textId="77EF5B55"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lastRenderedPageBreak/>
        <w:t xml:space="preserve">Eclampsia is when patients with severe </w:t>
      </w:r>
      <w:r w:rsidR="005F6C99" w:rsidRPr="00807FB2">
        <w:rPr>
          <w:rFonts w:ascii="Arial" w:hAnsi="Arial" w:cs="Arial"/>
          <w:sz w:val="20"/>
          <w:szCs w:val="20"/>
        </w:rPr>
        <w:t>pre-eclampsia</w:t>
      </w:r>
      <w:r w:rsidRPr="00807FB2">
        <w:rPr>
          <w:rFonts w:ascii="Arial" w:hAnsi="Arial" w:cs="Arial"/>
          <w:sz w:val="20"/>
          <w:szCs w:val="20"/>
        </w:rPr>
        <w:t xml:space="preserve"> develop generalized tonic clonic seizures</w:t>
      </w:r>
      <w:r w:rsidR="000A0A20" w:rsidRPr="00807FB2">
        <w:rPr>
          <w:rFonts w:ascii="Arial" w:hAnsi="Arial" w:cs="Arial"/>
          <w:sz w:val="20"/>
          <w:szCs w:val="20"/>
        </w:rPr>
        <w:t xml:space="preserve"> which can ultimately result in hypoxia, aspiration and death</w:t>
      </w:r>
      <w:r w:rsidRPr="00807FB2">
        <w:rPr>
          <w:rFonts w:ascii="Arial" w:hAnsi="Arial" w:cs="Arial"/>
          <w:sz w:val="20"/>
          <w:szCs w:val="20"/>
        </w:rPr>
        <w:t xml:space="preserve">. </w:t>
      </w:r>
      <w:r w:rsidR="00B30AE3" w:rsidRPr="00807FB2">
        <w:rPr>
          <w:rFonts w:ascii="Arial" w:hAnsi="Arial" w:cs="Arial"/>
          <w:sz w:val="20"/>
          <w:szCs w:val="20"/>
        </w:rPr>
        <w:t>[</w:t>
      </w:r>
      <w:r w:rsidR="0059156D" w:rsidRPr="00807FB2">
        <w:rPr>
          <w:rFonts w:ascii="Arial" w:hAnsi="Arial" w:cs="Arial"/>
          <w:sz w:val="20"/>
          <w:szCs w:val="20"/>
        </w:rPr>
        <w:t>5</w:t>
      </w:r>
      <w:r w:rsidR="00B30AE3" w:rsidRPr="00807FB2">
        <w:rPr>
          <w:rFonts w:ascii="Arial" w:hAnsi="Arial" w:cs="Arial"/>
          <w:sz w:val="20"/>
          <w:szCs w:val="20"/>
        </w:rPr>
        <w:t>]</w:t>
      </w:r>
    </w:p>
    <w:p w14:paraId="1481D27B" w14:textId="468B62C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Chronic hypertension is either when a hypertensive female conceives or there is increase in blood pressure seen before 20 weeks period of gestation or hypertension persists beyond 12 weeks after </w:t>
      </w:r>
      <w:r w:rsidR="005F6C99" w:rsidRPr="00807FB2">
        <w:rPr>
          <w:rFonts w:ascii="Arial" w:hAnsi="Arial" w:cs="Arial"/>
          <w:sz w:val="20"/>
          <w:szCs w:val="20"/>
        </w:rPr>
        <w:t>delivery with</w:t>
      </w:r>
      <w:r w:rsidR="00701C84" w:rsidRPr="00807FB2">
        <w:rPr>
          <w:rFonts w:ascii="Arial" w:hAnsi="Arial" w:cs="Arial"/>
          <w:sz w:val="20"/>
          <w:szCs w:val="20"/>
        </w:rPr>
        <w:t xml:space="preserve"> no signs of proteinuria or end organ damage</w:t>
      </w:r>
      <w:r w:rsidR="002F1BD4" w:rsidRPr="00807FB2">
        <w:rPr>
          <w:rFonts w:ascii="Arial" w:hAnsi="Arial" w:cs="Arial"/>
          <w:sz w:val="20"/>
          <w:szCs w:val="20"/>
        </w:rPr>
        <w:t>.</w:t>
      </w:r>
      <w:r w:rsidR="00701C84" w:rsidRPr="00807FB2">
        <w:rPr>
          <w:rFonts w:ascii="Arial" w:hAnsi="Arial" w:cs="Arial"/>
          <w:sz w:val="20"/>
          <w:szCs w:val="20"/>
        </w:rPr>
        <w:t xml:space="preserve">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D249B9" w:rsidRPr="00807FB2">
        <w:rPr>
          <w:rFonts w:ascii="Arial" w:hAnsi="Arial" w:cs="Arial"/>
          <w:sz w:val="20"/>
          <w:szCs w:val="20"/>
        </w:rPr>
        <w:t>7</w:t>
      </w:r>
      <w:r w:rsidR="00B30AE3" w:rsidRPr="00807FB2">
        <w:rPr>
          <w:rFonts w:ascii="Arial" w:hAnsi="Arial" w:cs="Arial"/>
          <w:sz w:val="20"/>
          <w:szCs w:val="20"/>
        </w:rPr>
        <w:t>]</w:t>
      </w:r>
    </w:p>
    <w:p w14:paraId="53747A2C" w14:textId="7923594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Pregnancy induced hypertension is one of the prime causes of maternal and neonatal mortality. </w:t>
      </w:r>
      <w:r w:rsidR="00B30AE3" w:rsidRPr="00807FB2">
        <w:rPr>
          <w:rFonts w:ascii="Arial" w:hAnsi="Arial" w:cs="Arial"/>
          <w:sz w:val="20"/>
          <w:szCs w:val="20"/>
        </w:rPr>
        <w:t>[</w:t>
      </w:r>
      <w:r w:rsidR="006F7052" w:rsidRPr="00807FB2">
        <w:rPr>
          <w:rFonts w:ascii="Arial" w:hAnsi="Arial" w:cs="Arial"/>
          <w:sz w:val="20"/>
          <w:szCs w:val="20"/>
        </w:rPr>
        <w:t>8</w:t>
      </w:r>
      <w:r w:rsidR="00B30AE3" w:rsidRPr="00807FB2">
        <w:rPr>
          <w:rFonts w:ascii="Arial" w:hAnsi="Arial" w:cs="Arial"/>
          <w:sz w:val="20"/>
          <w:szCs w:val="20"/>
        </w:rPr>
        <w:t xml:space="preserve">] </w:t>
      </w:r>
      <w:r w:rsidRPr="00807FB2">
        <w:rPr>
          <w:rFonts w:ascii="Arial" w:hAnsi="Arial" w:cs="Arial"/>
          <w:sz w:val="20"/>
          <w:szCs w:val="20"/>
        </w:rPr>
        <w:t xml:space="preserve">Over 50000 of maternal deaths can be attributed to </w:t>
      </w:r>
      <w:r w:rsidR="005F6C99" w:rsidRPr="00807FB2">
        <w:rPr>
          <w:rFonts w:ascii="Arial" w:hAnsi="Arial" w:cs="Arial"/>
          <w:sz w:val="20"/>
          <w:szCs w:val="20"/>
        </w:rPr>
        <w:t>pre-eclampsia with</w:t>
      </w:r>
      <w:r w:rsidRPr="00807FB2">
        <w:rPr>
          <w:rFonts w:ascii="Arial" w:hAnsi="Arial" w:cs="Arial"/>
          <w:sz w:val="20"/>
          <w:szCs w:val="20"/>
        </w:rPr>
        <w:t xml:space="preserve"> a greater incidence in developing countries.</w:t>
      </w:r>
      <w:r w:rsidR="002F1BD4" w:rsidRPr="00807FB2">
        <w:rPr>
          <w:rFonts w:ascii="Arial" w:hAnsi="Arial" w:cs="Arial"/>
          <w:sz w:val="20"/>
          <w:szCs w:val="20"/>
        </w:rPr>
        <w:t xml:space="preserve"> </w:t>
      </w:r>
      <w:r w:rsidR="00B30AE3" w:rsidRPr="00807FB2">
        <w:rPr>
          <w:rFonts w:ascii="Arial" w:hAnsi="Arial" w:cs="Arial"/>
          <w:sz w:val="20"/>
          <w:szCs w:val="20"/>
        </w:rPr>
        <w:t>[</w:t>
      </w:r>
      <w:r w:rsidR="008F3B5A" w:rsidRPr="00807FB2">
        <w:rPr>
          <w:rFonts w:ascii="Arial" w:hAnsi="Arial" w:cs="Arial"/>
          <w:sz w:val="20"/>
          <w:szCs w:val="20"/>
        </w:rPr>
        <w:t>9</w:t>
      </w:r>
      <w:r w:rsidR="000A0A20" w:rsidRPr="00807FB2">
        <w:rPr>
          <w:rFonts w:ascii="Arial" w:hAnsi="Arial" w:cs="Arial"/>
          <w:sz w:val="20"/>
          <w:szCs w:val="20"/>
        </w:rPr>
        <w:t>,</w:t>
      </w:r>
      <w:r w:rsidR="008F3B5A" w:rsidRPr="00807FB2">
        <w:rPr>
          <w:rFonts w:ascii="Arial" w:hAnsi="Arial" w:cs="Arial"/>
          <w:sz w:val="20"/>
          <w:szCs w:val="20"/>
        </w:rPr>
        <w:t>10</w:t>
      </w:r>
      <w:r w:rsidR="00B30AE3" w:rsidRPr="00807FB2">
        <w:rPr>
          <w:rFonts w:ascii="Arial" w:hAnsi="Arial" w:cs="Arial"/>
          <w:sz w:val="20"/>
          <w:szCs w:val="20"/>
        </w:rPr>
        <w:t>]</w:t>
      </w:r>
      <w:r w:rsidRPr="00807FB2">
        <w:rPr>
          <w:rFonts w:ascii="Arial" w:hAnsi="Arial" w:cs="Arial"/>
          <w:sz w:val="20"/>
          <w:szCs w:val="20"/>
        </w:rPr>
        <w:t xml:space="preserve"> The incidence of pregnancy induced </w:t>
      </w:r>
      <w:r w:rsidR="008F3B5A" w:rsidRPr="00807FB2">
        <w:rPr>
          <w:rFonts w:ascii="Arial" w:hAnsi="Arial" w:cs="Arial"/>
          <w:sz w:val="20"/>
          <w:szCs w:val="20"/>
        </w:rPr>
        <w:t>hypertension is</w:t>
      </w:r>
      <w:r w:rsidRPr="00807FB2">
        <w:rPr>
          <w:rFonts w:ascii="Arial" w:hAnsi="Arial" w:cs="Arial"/>
          <w:sz w:val="20"/>
          <w:szCs w:val="20"/>
        </w:rPr>
        <w:t xml:space="preserve"> around 15% in </w:t>
      </w:r>
      <w:r w:rsidR="00701C84" w:rsidRPr="00807FB2">
        <w:rPr>
          <w:rFonts w:ascii="Arial" w:hAnsi="Arial" w:cs="Arial"/>
          <w:sz w:val="20"/>
          <w:szCs w:val="20"/>
        </w:rPr>
        <w:t>India</w:t>
      </w:r>
      <w:r w:rsidRPr="00807FB2">
        <w:rPr>
          <w:rFonts w:ascii="Arial" w:hAnsi="Arial" w:cs="Arial"/>
          <w:sz w:val="20"/>
          <w:szCs w:val="20"/>
        </w:rPr>
        <w:t xml:space="preserve"> </w:t>
      </w:r>
      <w:r w:rsidR="00701C84" w:rsidRPr="00807FB2">
        <w:rPr>
          <w:rFonts w:ascii="Arial" w:hAnsi="Arial" w:cs="Arial"/>
          <w:sz w:val="20"/>
          <w:szCs w:val="20"/>
        </w:rPr>
        <w:t xml:space="preserve">and in recent years the incidence is increasing </w:t>
      </w:r>
      <w:r w:rsidR="000E5655" w:rsidRPr="000E5655">
        <w:rPr>
          <w:rFonts w:ascii="Arial" w:hAnsi="Arial" w:cs="Arial"/>
          <w:sz w:val="20"/>
          <w:szCs w:val="20"/>
          <w:highlight w:val="yellow"/>
        </w:rPr>
        <w:t xml:space="preserve">which is </w:t>
      </w:r>
      <w:r w:rsidR="00701C84" w:rsidRPr="000E5655">
        <w:rPr>
          <w:rFonts w:ascii="Arial" w:hAnsi="Arial" w:cs="Arial"/>
          <w:sz w:val="20"/>
          <w:szCs w:val="20"/>
          <w:highlight w:val="yellow"/>
        </w:rPr>
        <w:t xml:space="preserve">a </w:t>
      </w:r>
      <w:r w:rsidR="000E5655" w:rsidRPr="000E5655">
        <w:rPr>
          <w:rFonts w:ascii="Arial" w:hAnsi="Arial" w:cs="Arial"/>
          <w:sz w:val="20"/>
          <w:szCs w:val="20"/>
          <w:highlight w:val="yellow"/>
        </w:rPr>
        <w:t>grave</w:t>
      </w:r>
      <w:r w:rsidR="00701C84" w:rsidRPr="00807FB2">
        <w:rPr>
          <w:rFonts w:ascii="Arial" w:hAnsi="Arial" w:cs="Arial"/>
          <w:sz w:val="20"/>
          <w:szCs w:val="20"/>
        </w:rPr>
        <w:t xml:space="preserve"> public health concern.</w:t>
      </w:r>
      <w:r w:rsidR="00B30AE3" w:rsidRPr="00807FB2">
        <w:rPr>
          <w:rFonts w:ascii="Arial" w:hAnsi="Arial" w:cs="Arial"/>
          <w:sz w:val="20"/>
          <w:szCs w:val="20"/>
        </w:rPr>
        <w:t xml:space="preserve"> [</w:t>
      </w:r>
      <w:r w:rsidR="006F7052" w:rsidRPr="00807FB2">
        <w:rPr>
          <w:rFonts w:ascii="Arial" w:hAnsi="Arial" w:cs="Arial"/>
          <w:sz w:val="20"/>
          <w:szCs w:val="20"/>
        </w:rPr>
        <w:t>1</w:t>
      </w:r>
      <w:r w:rsidR="0008045D" w:rsidRPr="00807FB2">
        <w:rPr>
          <w:rFonts w:ascii="Arial" w:hAnsi="Arial" w:cs="Arial"/>
          <w:sz w:val="20"/>
          <w:szCs w:val="20"/>
        </w:rPr>
        <w:t>1</w:t>
      </w:r>
      <w:r w:rsidRPr="00807FB2">
        <w:rPr>
          <w:rFonts w:ascii="Arial" w:hAnsi="Arial" w:cs="Arial"/>
          <w:sz w:val="20"/>
          <w:szCs w:val="20"/>
        </w:rPr>
        <w:t>,</w:t>
      </w:r>
      <w:r w:rsidR="00E2645D" w:rsidRPr="00807FB2">
        <w:rPr>
          <w:rFonts w:ascii="Arial" w:hAnsi="Arial" w:cs="Arial"/>
          <w:sz w:val="20"/>
          <w:szCs w:val="20"/>
        </w:rPr>
        <w:t>12</w:t>
      </w:r>
      <w:r w:rsidR="000A0A20"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F740D6" w:rsidRPr="00807FB2">
        <w:rPr>
          <w:rFonts w:ascii="Arial" w:hAnsi="Arial" w:cs="Arial"/>
          <w:sz w:val="20"/>
          <w:szCs w:val="20"/>
        </w:rPr>
        <w:t>,</w:t>
      </w:r>
      <w:r w:rsidR="000A0A20" w:rsidRPr="00807FB2">
        <w:rPr>
          <w:rFonts w:ascii="Arial" w:hAnsi="Arial" w:cs="Arial"/>
          <w:sz w:val="20"/>
          <w:szCs w:val="20"/>
        </w:rPr>
        <w:t>1</w:t>
      </w:r>
      <w:r w:rsidR="0008045D" w:rsidRPr="00807FB2">
        <w:rPr>
          <w:rFonts w:ascii="Arial" w:hAnsi="Arial" w:cs="Arial"/>
          <w:sz w:val="20"/>
          <w:szCs w:val="20"/>
        </w:rPr>
        <w:t>4</w:t>
      </w:r>
      <w:r w:rsidR="00B30AE3" w:rsidRPr="00807FB2">
        <w:rPr>
          <w:rFonts w:ascii="Arial" w:hAnsi="Arial" w:cs="Arial"/>
          <w:sz w:val="20"/>
          <w:szCs w:val="20"/>
        </w:rPr>
        <w:t>]</w:t>
      </w:r>
    </w:p>
    <w:p w14:paraId="5D1E179E" w14:textId="5BE29812"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Risk factors include extremes of age </w:t>
      </w:r>
      <w:r w:rsidR="003D312C" w:rsidRPr="00807FB2">
        <w:rPr>
          <w:rFonts w:ascii="Arial" w:hAnsi="Arial" w:cs="Arial"/>
          <w:sz w:val="20"/>
          <w:szCs w:val="20"/>
        </w:rPr>
        <w:t>(</w:t>
      </w:r>
      <w:r w:rsidRPr="00807FB2">
        <w:rPr>
          <w:rFonts w:ascii="Arial" w:hAnsi="Arial" w:cs="Arial"/>
          <w:sz w:val="20"/>
          <w:szCs w:val="20"/>
        </w:rPr>
        <w:t>&gt;35 or &lt;</w:t>
      </w:r>
      <w:r w:rsidR="005F6C99" w:rsidRPr="00807FB2">
        <w:rPr>
          <w:rFonts w:ascii="Arial" w:hAnsi="Arial" w:cs="Arial"/>
          <w:sz w:val="20"/>
          <w:szCs w:val="20"/>
        </w:rPr>
        <w:t>19</w:t>
      </w:r>
      <w:r w:rsidR="003D312C" w:rsidRPr="00807FB2">
        <w:rPr>
          <w:rFonts w:ascii="Arial" w:hAnsi="Arial" w:cs="Arial"/>
          <w:sz w:val="20"/>
          <w:szCs w:val="20"/>
        </w:rPr>
        <w:t>)</w:t>
      </w:r>
      <w:r w:rsidRPr="00807FB2">
        <w:rPr>
          <w:rFonts w:ascii="Arial" w:hAnsi="Arial" w:cs="Arial"/>
          <w:sz w:val="20"/>
          <w:szCs w:val="20"/>
        </w:rPr>
        <w:t xml:space="preserve">, nulliparity, obesity, multifetal pregnancies, pregestational diabetes, gestational diabetes, chronic hypertension, history of </w:t>
      </w:r>
      <w:r w:rsidR="005F6C99" w:rsidRPr="00807FB2">
        <w:rPr>
          <w:rFonts w:ascii="Arial" w:hAnsi="Arial" w:cs="Arial"/>
          <w:sz w:val="20"/>
          <w:szCs w:val="20"/>
        </w:rPr>
        <w:t>pre-eclampsia</w:t>
      </w:r>
      <w:r w:rsidRPr="00807FB2">
        <w:rPr>
          <w:rFonts w:ascii="Arial" w:hAnsi="Arial" w:cs="Arial"/>
          <w:sz w:val="20"/>
          <w:szCs w:val="20"/>
        </w:rPr>
        <w:t xml:space="preserve"> in previous pregnancy, molar pregnancy, assisted reproductive technologies, </w:t>
      </w:r>
      <w:r w:rsidR="00701C84" w:rsidRPr="00807FB2">
        <w:rPr>
          <w:rFonts w:ascii="Arial" w:hAnsi="Arial" w:cs="Arial"/>
          <w:sz w:val="20"/>
          <w:szCs w:val="20"/>
        </w:rPr>
        <w:t>thrombophilias</w:t>
      </w:r>
      <w:r w:rsidRPr="00807FB2">
        <w:rPr>
          <w:rFonts w:ascii="Arial" w:hAnsi="Arial" w:cs="Arial"/>
          <w:sz w:val="20"/>
          <w:szCs w:val="20"/>
        </w:rPr>
        <w:t xml:space="preserve">, chronic kidney disease, maternal anaemia, autoimmune </w:t>
      </w:r>
      <w:r w:rsidR="005F6C99" w:rsidRPr="00807FB2">
        <w:rPr>
          <w:rFonts w:ascii="Arial" w:hAnsi="Arial" w:cs="Arial"/>
          <w:sz w:val="20"/>
          <w:szCs w:val="20"/>
        </w:rPr>
        <w:t>diseases (</w:t>
      </w:r>
      <w:r w:rsidRPr="00807FB2">
        <w:rPr>
          <w:rFonts w:ascii="Arial" w:hAnsi="Arial" w:cs="Arial"/>
          <w:sz w:val="20"/>
          <w:szCs w:val="20"/>
        </w:rPr>
        <w:t>SLE, APLA</w:t>
      </w:r>
      <w:r w:rsidR="00B30AE3" w:rsidRPr="00807FB2">
        <w:rPr>
          <w:rFonts w:ascii="Arial" w:hAnsi="Arial" w:cs="Arial"/>
          <w:sz w:val="20"/>
          <w:szCs w:val="20"/>
        </w:rPr>
        <w:t>),</w:t>
      </w:r>
      <w:r w:rsidRPr="00807FB2">
        <w:rPr>
          <w:rFonts w:ascii="Arial" w:hAnsi="Arial" w:cs="Arial"/>
          <w:sz w:val="20"/>
          <w:szCs w:val="20"/>
        </w:rPr>
        <w:t xml:space="preserve"> new paternity and family history of hypertension.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38258D" w:rsidRPr="00807FB2">
        <w:rPr>
          <w:rFonts w:ascii="Arial" w:hAnsi="Arial" w:cs="Arial"/>
          <w:sz w:val="20"/>
          <w:szCs w:val="20"/>
        </w:rPr>
        <w:t>15</w:t>
      </w:r>
      <w:r w:rsidR="00B30AE3" w:rsidRPr="00807FB2">
        <w:rPr>
          <w:rFonts w:ascii="Arial" w:hAnsi="Arial" w:cs="Arial"/>
          <w:sz w:val="20"/>
          <w:szCs w:val="20"/>
        </w:rPr>
        <w:t>]</w:t>
      </w:r>
    </w:p>
    <w:p w14:paraId="667CF651" w14:textId="09A5C88A"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Its exact aetiology is not known</w:t>
      </w:r>
      <w:r w:rsidR="000E5655">
        <w:rPr>
          <w:rFonts w:ascii="Arial" w:hAnsi="Arial" w:cs="Arial"/>
          <w:sz w:val="20"/>
          <w:szCs w:val="20"/>
        </w:rPr>
        <w:t xml:space="preserve">, </w:t>
      </w:r>
      <w:r w:rsidR="000E5655" w:rsidRPr="000E5655">
        <w:rPr>
          <w:rFonts w:ascii="Arial" w:hAnsi="Arial" w:cs="Arial"/>
          <w:sz w:val="20"/>
          <w:szCs w:val="20"/>
          <w:highlight w:val="yellow"/>
        </w:rPr>
        <w:t>however</w:t>
      </w:r>
      <w:r w:rsidRPr="00807FB2">
        <w:rPr>
          <w:rFonts w:ascii="Arial" w:hAnsi="Arial" w:cs="Arial"/>
          <w:sz w:val="20"/>
          <w:szCs w:val="20"/>
        </w:rPr>
        <w:t xml:space="preserve"> a variety of mechanisms have been said to play a role in its causation like abnormal trophoblastic invasion of the spiral arteries by endovascular trophoblasts, abnormal immune tolerance, </w:t>
      </w:r>
      <w:r w:rsidR="005F6C99" w:rsidRPr="00807FB2">
        <w:rPr>
          <w:rFonts w:ascii="Arial" w:hAnsi="Arial" w:cs="Arial"/>
          <w:sz w:val="20"/>
          <w:szCs w:val="20"/>
        </w:rPr>
        <w:t>genetic,</w:t>
      </w:r>
      <w:r w:rsidRPr="00807FB2">
        <w:rPr>
          <w:rFonts w:ascii="Arial" w:hAnsi="Arial" w:cs="Arial"/>
          <w:sz w:val="20"/>
          <w:szCs w:val="20"/>
        </w:rPr>
        <w:t xml:space="preserve"> immunological and environmental factors.</w:t>
      </w:r>
      <w:r w:rsidR="002F1BD4" w:rsidRPr="00807FB2">
        <w:rPr>
          <w:rFonts w:ascii="Arial" w:hAnsi="Arial" w:cs="Arial"/>
          <w:sz w:val="20"/>
          <w:szCs w:val="20"/>
        </w:rPr>
        <w:t xml:space="preserve"> </w:t>
      </w:r>
      <w:r w:rsidR="00B30AE3"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0A0A20" w:rsidRPr="00807FB2">
        <w:rPr>
          <w:rFonts w:ascii="Arial" w:hAnsi="Arial" w:cs="Arial"/>
          <w:sz w:val="20"/>
          <w:szCs w:val="20"/>
        </w:rPr>
        <w:t>,</w:t>
      </w:r>
      <w:r w:rsidR="00B30AE3" w:rsidRPr="00807FB2">
        <w:rPr>
          <w:rFonts w:ascii="Arial" w:hAnsi="Arial" w:cs="Arial"/>
          <w:sz w:val="20"/>
          <w:szCs w:val="20"/>
        </w:rPr>
        <w:t xml:space="preserve"> </w:t>
      </w:r>
      <w:r w:rsidR="00FF25D5" w:rsidRPr="00807FB2">
        <w:rPr>
          <w:rFonts w:ascii="Arial" w:hAnsi="Arial" w:cs="Arial"/>
          <w:sz w:val="20"/>
          <w:szCs w:val="20"/>
        </w:rPr>
        <w:t>1</w:t>
      </w:r>
      <w:r w:rsidR="00287F8C" w:rsidRPr="00807FB2">
        <w:rPr>
          <w:rFonts w:ascii="Arial" w:hAnsi="Arial" w:cs="Arial"/>
          <w:sz w:val="20"/>
          <w:szCs w:val="20"/>
        </w:rPr>
        <w:t>6</w:t>
      </w:r>
      <w:r w:rsidR="00B30AE3" w:rsidRPr="00807FB2">
        <w:rPr>
          <w:rFonts w:ascii="Arial" w:hAnsi="Arial" w:cs="Arial"/>
          <w:sz w:val="20"/>
          <w:szCs w:val="20"/>
        </w:rPr>
        <w:t>]</w:t>
      </w:r>
    </w:p>
    <w:p w14:paraId="6F231277" w14:textId="70BE7957"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Its first clinical manifestation is increase in blood pressure, which may be followed by pathological edema and proteinuria. It is</w:t>
      </w:r>
      <w:r w:rsidR="000A0A20" w:rsidRPr="00807FB2">
        <w:rPr>
          <w:rFonts w:ascii="Arial" w:hAnsi="Arial" w:cs="Arial"/>
          <w:sz w:val="20"/>
          <w:szCs w:val="20"/>
        </w:rPr>
        <w:t xml:space="preserve"> </w:t>
      </w:r>
      <w:r w:rsidRPr="00807FB2">
        <w:rPr>
          <w:rFonts w:ascii="Arial" w:hAnsi="Arial" w:cs="Arial"/>
          <w:sz w:val="20"/>
          <w:szCs w:val="20"/>
        </w:rPr>
        <w:t xml:space="preserve">a multi-organ system disorder and hence there is haematological, liver, renal, and neurological </w:t>
      </w:r>
      <w:r w:rsidR="005F6C99" w:rsidRPr="00807FB2">
        <w:rPr>
          <w:rFonts w:ascii="Arial" w:hAnsi="Arial" w:cs="Arial"/>
          <w:sz w:val="20"/>
          <w:szCs w:val="20"/>
        </w:rPr>
        <w:t xml:space="preserve">involvement. </w:t>
      </w:r>
      <w:r w:rsidR="00A10561" w:rsidRPr="00807FB2">
        <w:rPr>
          <w:rFonts w:ascii="Arial" w:hAnsi="Arial" w:cs="Arial"/>
          <w:sz w:val="20"/>
          <w:szCs w:val="20"/>
        </w:rPr>
        <w:t>[</w:t>
      </w:r>
      <w:r w:rsidR="0094329F" w:rsidRPr="00807FB2">
        <w:rPr>
          <w:rFonts w:ascii="Arial" w:hAnsi="Arial" w:cs="Arial"/>
          <w:sz w:val="20"/>
          <w:szCs w:val="20"/>
        </w:rPr>
        <w:t>17</w:t>
      </w:r>
      <w:r w:rsidR="00A10561" w:rsidRPr="00807FB2">
        <w:rPr>
          <w:rFonts w:ascii="Arial" w:hAnsi="Arial" w:cs="Arial"/>
          <w:sz w:val="20"/>
          <w:szCs w:val="20"/>
        </w:rPr>
        <w:t>]</w:t>
      </w:r>
      <w:r w:rsidR="000A0A20" w:rsidRPr="00807FB2">
        <w:rPr>
          <w:rFonts w:ascii="Arial" w:hAnsi="Arial" w:cs="Arial"/>
          <w:sz w:val="20"/>
          <w:szCs w:val="20"/>
        </w:rPr>
        <w:t xml:space="preserve"> </w:t>
      </w:r>
      <w:r w:rsidRPr="00807FB2">
        <w:rPr>
          <w:rFonts w:ascii="Arial" w:hAnsi="Arial" w:cs="Arial"/>
          <w:sz w:val="20"/>
          <w:szCs w:val="20"/>
        </w:rPr>
        <w:t>Signs of impending eclampsia are epigastric pain, headache, oliguria, visual disturbances and therefore urgent medical attention needs to be undertaken in case one develops any of these symptoms to prevent complications, morbidity and mortality</w:t>
      </w:r>
      <w:r w:rsidR="00A10561" w:rsidRPr="00807FB2">
        <w:rPr>
          <w:rFonts w:ascii="Arial" w:hAnsi="Arial" w:cs="Arial"/>
          <w:sz w:val="20"/>
          <w:szCs w:val="20"/>
        </w:rPr>
        <w:t>. [</w:t>
      </w:r>
      <w:r w:rsidR="00D249B9" w:rsidRPr="00807FB2">
        <w:rPr>
          <w:rFonts w:ascii="Arial" w:hAnsi="Arial" w:cs="Arial"/>
          <w:sz w:val="20"/>
          <w:szCs w:val="20"/>
        </w:rPr>
        <w:t>7</w:t>
      </w:r>
      <w:r w:rsidR="00A10561" w:rsidRPr="00807FB2">
        <w:rPr>
          <w:rFonts w:ascii="Arial" w:hAnsi="Arial" w:cs="Arial"/>
          <w:sz w:val="20"/>
          <w:szCs w:val="20"/>
        </w:rPr>
        <w:t>]</w:t>
      </w:r>
    </w:p>
    <w:p w14:paraId="19D10464" w14:textId="67B8196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Certain predictors can be used to predict PIH which </w:t>
      </w:r>
      <w:r w:rsidRPr="000E5655">
        <w:rPr>
          <w:rFonts w:ascii="Arial" w:hAnsi="Arial" w:cs="Arial"/>
          <w:sz w:val="20"/>
          <w:szCs w:val="20"/>
          <w:highlight w:val="yellow"/>
        </w:rPr>
        <w:t>include</w:t>
      </w:r>
      <w:r w:rsidR="000E5655" w:rsidRPr="000E5655">
        <w:rPr>
          <w:rFonts w:ascii="Arial" w:hAnsi="Arial" w:cs="Arial"/>
          <w:sz w:val="20"/>
          <w:szCs w:val="20"/>
          <w:highlight w:val="yellow"/>
        </w:rPr>
        <w:t xml:space="preserve"> an increase in levels of</w:t>
      </w:r>
      <w:r w:rsidRPr="00807FB2">
        <w:rPr>
          <w:rFonts w:ascii="Arial" w:hAnsi="Arial" w:cs="Arial"/>
          <w:sz w:val="20"/>
          <w:szCs w:val="20"/>
        </w:rPr>
        <w:t xml:space="preserve"> </w:t>
      </w:r>
      <w:proofErr w:type="spellStart"/>
      <w:r w:rsidRPr="00807FB2">
        <w:rPr>
          <w:rFonts w:ascii="Arial" w:hAnsi="Arial" w:cs="Arial"/>
          <w:sz w:val="20"/>
          <w:szCs w:val="20"/>
        </w:rPr>
        <w:t>anti angiogenic</w:t>
      </w:r>
      <w:proofErr w:type="spellEnd"/>
      <w:r w:rsidRPr="00807FB2">
        <w:rPr>
          <w:rFonts w:ascii="Arial" w:hAnsi="Arial" w:cs="Arial"/>
          <w:sz w:val="20"/>
          <w:szCs w:val="20"/>
        </w:rPr>
        <w:t xml:space="preserve"> factors (sFLT1, solub</w:t>
      </w:r>
      <w:r w:rsidR="00701C84" w:rsidRPr="00807FB2">
        <w:rPr>
          <w:rFonts w:ascii="Arial" w:hAnsi="Arial" w:cs="Arial"/>
          <w:sz w:val="20"/>
          <w:szCs w:val="20"/>
        </w:rPr>
        <w:t>l</w:t>
      </w:r>
      <w:r w:rsidRPr="00807FB2">
        <w:rPr>
          <w:rFonts w:ascii="Arial" w:hAnsi="Arial" w:cs="Arial"/>
          <w:sz w:val="20"/>
          <w:szCs w:val="20"/>
        </w:rPr>
        <w:t xml:space="preserve">e endoglin levels), </w:t>
      </w:r>
      <w:r w:rsidR="000E5655" w:rsidRPr="000E5655">
        <w:rPr>
          <w:rFonts w:ascii="Arial" w:hAnsi="Arial" w:cs="Arial"/>
          <w:sz w:val="20"/>
          <w:szCs w:val="20"/>
          <w:highlight w:val="yellow"/>
        </w:rPr>
        <w:t>declining levels of</w:t>
      </w:r>
      <w:r w:rsidR="000E5655">
        <w:rPr>
          <w:rFonts w:ascii="Arial" w:hAnsi="Arial" w:cs="Arial"/>
          <w:sz w:val="20"/>
          <w:szCs w:val="20"/>
        </w:rPr>
        <w:t xml:space="preserve"> </w:t>
      </w:r>
      <w:r w:rsidRPr="00807FB2">
        <w:rPr>
          <w:rFonts w:ascii="Arial" w:hAnsi="Arial" w:cs="Arial"/>
          <w:sz w:val="20"/>
          <w:szCs w:val="20"/>
        </w:rPr>
        <w:t xml:space="preserve">angiogenic factors (placental growth factors, vascular endothelial growth factor), </w:t>
      </w:r>
      <w:r w:rsidR="000E5655" w:rsidRPr="000E5655">
        <w:rPr>
          <w:rFonts w:ascii="Arial" w:hAnsi="Arial" w:cs="Arial"/>
          <w:sz w:val="20"/>
          <w:szCs w:val="20"/>
          <w:highlight w:val="yellow"/>
        </w:rPr>
        <w:t>and</w:t>
      </w:r>
      <w:r w:rsidR="000E5655">
        <w:rPr>
          <w:rFonts w:ascii="Arial" w:hAnsi="Arial" w:cs="Arial"/>
          <w:sz w:val="20"/>
          <w:szCs w:val="20"/>
        </w:rPr>
        <w:t xml:space="preserve"> </w:t>
      </w:r>
      <w:r w:rsidRPr="00807FB2">
        <w:rPr>
          <w:rFonts w:ascii="Arial" w:hAnsi="Arial" w:cs="Arial"/>
          <w:sz w:val="20"/>
          <w:szCs w:val="20"/>
        </w:rPr>
        <w:t>persistence of diastolic notch beyond 24 weeks in uterine artery doppler.</w:t>
      </w:r>
      <w:r w:rsidR="00A10561" w:rsidRPr="00807FB2">
        <w:rPr>
          <w:rFonts w:ascii="Arial" w:hAnsi="Arial" w:cs="Arial"/>
          <w:sz w:val="20"/>
          <w:szCs w:val="20"/>
        </w:rPr>
        <w:t xml:space="preserve"> [</w:t>
      </w:r>
      <w:r w:rsidR="0094329F" w:rsidRPr="00807FB2">
        <w:rPr>
          <w:rFonts w:ascii="Arial" w:hAnsi="Arial" w:cs="Arial"/>
          <w:sz w:val="20"/>
          <w:szCs w:val="20"/>
        </w:rPr>
        <w:t>18</w:t>
      </w:r>
      <w:r w:rsidR="00A10561" w:rsidRPr="00807FB2">
        <w:rPr>
          <w:rFonts w:ascii="Arial" w:hAnsi="Arial" w:cs="Arial"/>
          <w:sz w:val="20"/>
          <w:szCs w:val="20"/>
        </w:rPr>
        <w:t>]</w:t>
      </w:r>
    </w:p>
    <w:p w14:paraId="2540D999" w14:textId="6370D67F"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Initial assessment includes a complete blood </w:t>
      </w:r>
      <w:r w:rsidR="005F6C99" w:rsidRPr="00807FB2">
        <w:rPr>
          <w:rFonts w:ascii="Arial" w:hAnsi="Arial" w:cs="Arial"/>
          <w:sz w:val="20"/>
          <w:szCs w:val="20"/>
        </w:rPr>
        <w:t>count,</w:t>
      </w:r>
      <w:r w:rsidRPr="00807FB2">
        <w:rPr>
          <w:rFonts w:ascii="Arial" w:hAnsi="Arial" w:cs="Arial"/>
          <w:sz w:val="20"/>
          <w:szCs w:val="20"/>
        </w:rPr>
        <w:t xml:space="preserve"> liver function test, kidney function </w:t>
      </w:r>
      <w:r w:rsidR="007F708E" w:rsidRPr="00807FB2">
        <w:rPr>
          <w:rFonts w:ascii="Arial" w:hAnsi="Arial" w:cs="Arial"/>
          <w:sz w:val="20"/>
          <w:szCs w:val="20"/>
        </w:rPr>
        <w:t>test,</w:t>
      </w:r>
      <w:r w:rsidRPr="00807FB2">
        <w:rPr>
          <w:rFonts w:ascii="Arial" w:hAnsi="Arial" w:cs="Arial"/>
          <w:sz w:val="20"/>
          <w:szCs w:val="20"/>
        </w:rPr>
        <w:t xml:space="preserve"> urine protein creatinine ratio, ultrasound for </w:t>
      </w:r>
      <w:r w:rsidR="009400DA" w:rsidRPr="00807FB2">
        <w:rPr>
          <w:rFonts w:ascii="Arial" w:hAnsi="Arial" w:cs="Arial"/>
          <w:sz w:val="20"/>
          <w:szCs w:val="20"/>
        </w:rPr>
        <w:t>foetal</w:t>
      </w:r>
      <w:r w:rsidRPr="00807FB2">
        <w:rPr>
          <w:rFonts w:ascii="Arial" w:hAnsi="Arial" w:cs="Arial"/>
          <w:sz w:val="20"/>
          <w:szCs w:val="20"/>
        </w:rPr>
        <w:t xml:space="preserve"> growth and amniotic fluid, umbilical artery doppler studies in cases of </w:t>
      </w:r>
      <w:r w:rsidR="009400DA" w:rsidRPr="00807FB2">
        <w:rPr>
          <w:rFonts w:ascii="Arial" w:hAnsi="Arial" w:cs="Arial"/>
          <w:sz w:val="20"/>
          <w:szCs w:val="20"/>
        </w:rPr>
        <w:t>foetal</w:t>
      </w:r>
      <w:r w:rsidRPr="00807FB2">
        <w:rPr>
          <w:rFonts w:ascii="Arial" w:hAnsi="Arial" w:cs="Arial"/>
          <w:sz w:val="20"/>
          <w:szCs w:val="20"/>
        </w:rPr>
        <w:t xml:space="preserve"> growth restriction, </w:t>
      </w:r>
      <w:r w:rsidR="009A2CA4" w:rsidRPr="009A2CA4">
        <w:rPr>
          <w:rFonts w:ascii="Arial" w:hAnsi="Arial" w:cs="Arial"/>
          <w:sz w:val="20"/>
          <w:szCs w:val="20"/>
          <w:highlight w:val="yellow"/>
        </w:rPr>
        <w:t>and</w:t>
      </w:r>
      <w:r w:rsidR="009A2CA4">
        <w:rPr>
          <w:rFonts w:ascii="Arial" w:hAnsi="Arial" w:cs="Arial"/>
          <w:sz w:val="20"/>
          <w:szCs w:val="20"/>
        </w:rPr>
        <w:t xml:space="preserve"> </w:t>
      </w:r>
      <w:r w:rsidRPr="00807FB2">
        <w:rPr>
          <w:rFonts w:ascii="Arial" w:hAnsi="Arial" w:cs="Arial"/>
          <w:sz w:val="20"/>
          <w:szCs w:val="20"/>
        </w:rPr>
        <w:t xml:space="preserve">fundus examination. If </w:t>
      </w:r>
      <w:r w:rsidR="000A0A20" w:rsidRPr="00807FB2">
        <w:rPr>
          <w:rFonts w:ascii="Arial" w:hAnsi="Arial" w:cs="Arial"/>
          <w:sz w:val="20"/>
          <w:szCs w:val="20"/>
        </w:rPr>
        <w:t>CBC</w:t>
      </w:r>
      <w:r w:rsidRPr="00807FB2">
        <w:rPr>
          <w:rFonts w:ascii="Arial" w:hAnsi="Arial" w:cs="Arial"/>
          <w:sz w:val="20"/>
          <w:szCs w:val="20"/>
        </w:rPr>
        <w:t xml:space="preserve"> is deranged then coagulation </w:t>
      </w:r>
      <w:r w:rsidR="007F708E" w:rsidRPr="00807FB2">
        <w:rPr>
          <w:rFonts w:ascii="Arial" w:hAnsi="Arial" w:cs="Arial"/>
          <w:sz w:val="20"/>
          <w:szCs w:val="20"/>
        </w:rPr>
        <w:t>profile,</w:t>
      </w:r>
      <w:r w:rsidRPr="00807FB2">
        <w:rPr>
          <w:rFonts w:ascii="Arial" w:hAnsi="Arial" w:cs="Arial"/>
          <w:sz w:val="20"/>
          <w:szCs w:val="20"/>
        </w:rPr>
        <w:t xml:space="preserve"> and LDH levels</w:t>
      </w:r>
      <w:r w:rsidR="000A0A20" w:rsidRPr="00807FB2">
        <w:rPr>
          <w:rFonts w:ascii="Arial" w:hAnsi="Arial" w:cs="Arial"/>
          <w:sz w:val="20"/>
          <w:szCs w:val="20"/>
        </w:rPr>
        <w:t xml:space="preserve"> needs to be </w:t>
      </w:r>
      <w:r w:rsidR="007F708E" w:rsidRPr="00807FB2">
        <w:rPr>
          <w:rFonts w:ascii="Arial" w:hAnsi="Arial" w:cs="Arial"/>
          <w:sz w:val="20"/>
          <w:szCs w:val="20"/>
        </w:rPr>
        <w:t xml:space="preserve">assessed. </w:t>
      </w:r>
      <w:r w:rsidR="00A10561" w:rsidRPr="00807FB2">
        <w:rPr>
          <w:rFonts w:ascii="Arial" w:hAnsi="Arial" w:cs="Arial"/>
          <w:sz w:val="20"/>
          <w:szCs w:val="20"/>
        </w:rPr>
        <w:t>[</w:t>
      </w:r>
      <w:r w:rsidR="003D312C" w:rsidRPr="00807FB2">
        <w:rPr>
          <w:rFonts w:ascii="Arial" w:hAnsi="Arial" w:cs="Arial"/>
          <w:sz w:val="20"/>
          <w:szCs w:val="20"/>
        </w:rPr>
        <w:t>19</w:t>
      </w:r>
      <w:r w:rsidR="00A10561" w:rsidRPr="00807FB2">
        <w:rPr>
          <w:rFonts w:ascii="Arial" w:hAnsi="Arial" w:cs="Arial"/>
          <w:sz w:val="20"/>
          <w:szCs w:val="20"/>
        </w:rPr>
        <w:t>]</w:t>
      </w:r>
    </w:p>
    <w:p w14:paraId="4CEE2D9C" w14:textId="3EF95204" w:rsidR="004D0473" w:rsidRPr="00807FB2" w:rsidRDefault="004D0473"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Management includes use of </w:t>
      </w:r>
      <w:r w:rsidR="007F708E" w:rsidRPr="00807FB2">
        <w:rPr>
          <w:rFonts w:ascii="Arial" w:hAnsi="Arial" w:cs="Arial"/>
          <w:sz w:val="20"/>
          <w:szCs w:val="20"/>
        </w:rPr>
        <w:t>antihypertensives (</w:t>
      </w:r>
      <w:r w:rsidRPr="00807FB2">
        <w:rPr>
          <w:rFonts w:ascii="Arial" w:hAnsi="Arial" w:cs="Arial"/>
          <w:sz w:val="20"/>
          <w:szCs w:val="20"/>
        </w:rPr>
        <w:t xml:space="preserve">labetalol, nifedipine, hydralazine, methyldopa), mgso4 prophylaxis (in case of impending eclampsia or </w:t>
      </w:r>
      <w:r w:rsidR="007F708E" w:rsidRPr="00807FB2">
        <w:rPr>
          <w:rFonts w:ascii="Arial" w:hAnsi="Arial" w:cs="Arial"/>
          <w:sz w:val="20"/>
          <w:szCs w:val="20"/>
        </w:rPr>
        <w:t>eclampsia)</w:t>
      </w:r>
      <w:r w:rsidRPr="00807FB2">
        <w:rPr>
          <w:rFonts w:ascii="Arial" w:hAnsi="Arial" w:cs="Arial"/>
          <w:sz w:val="20"/>
          <w:szCs w:val="20"/>
        </w:rPr>
        <w:t xml:space="preserve">, </w:t>
      </w:r>
      <w:r w:rsidR="009400DA" w:rsidRPr="00807FB2">
        <w:rPr>
          <w:rFonts w:ascii="Arial" w:hAnsi="Arial" w:cs="Arial"/>
          <w:sz w:val="20"/>
          <w:szCs w:val="20"/>
        </w:rPr>
        <w:t>foetal</w:t>
      </w:r>
      <w:r w:rsidRPr="00807FB2">
        <w:rPr>
          <w:rFonts w:ascii="Arial" w:hAnsi="Arial" w:cs="Arial"/>
          <w:sz w:val="20"/>
          <w:szCs w:val="20"/>
        </w:rPr>
        <w:t xml:space="preserve"> surveillance and finally timely termination of pregnancy depending upon maternal, </w:t>
      </w:r>
      <w:r w:rsidR="009400DA" w:rsidRPr="00807FB2">
        <w:rPr>
          <w:rFonts w:ascii="Arial" w:hAnsi="Arial" w:cs="Arial"/>
          <w:sz w:val="20"/>
          <w:szCs w:val="20"/>
        </w:rPr>
        <w:t>foetal</w:t>
      </w:r>
      <w:r w:rsidRPr="00807FB2">
        <w:rPr>
          <w:rFonts w:ascii="Arial" w:hAnsi="Arial" w:cs="Arial"/>
          <w:sz w:val="20"/>
          <w:szCs w:val="20"/>
        </w:rPr>
        <w:t xml:space="preserve"> </w:t>
      </w:r>
      <w:r w:rsidRPr="009A2CA4">
        <w:rPr>
          <w:rFonts w:ascii="Arial" w:hAnsi="Arial" w:cs="Arial"/>
          <w:sz w:val="20"/>
          <w:szCs w:val="20"/>
          <w:highlight w:val="yellow"/>
        </w:rPr>
        <w:t>conditions</w:t>
      </w:r>
      <w:r w:rsidR="009A2CA4" w:rsidRPr="009A2CA4">
        <w:rPr>
          <w:rFonts w:ascii="Arial" w:hAnsi="Arial" w:cs="Arial"/>
          <w:sz w:val="20"/>
          <w:szCs w:val="20"/>
          <w:highlight w:val="yellow"/>
        </w:rPr>
        <w:t>,</w:t>
      </w:r>
      <w:r w:rsidRPr="00807FB2">
        <w:rPr>
          <w:rFonts w:ascii="Arial" w:hAnsi="Arial" w:cs="Arial"/>
          <w:sz w:val="20"/>
          <w:szCs w:val="20"/>
        </w:rPr>
        <w:t xml:space="preserve"> blood pressure control and </w:t>
      </w:r>
      <w:r w:rsidR="007F708E" w:rsidRPr="00807FB2">
        <w:rPr>
          <w:rFonts w:ascii="Arial" w:hAnsi="Arial" w:cs="Arial"/>
          <w:sz w:val="20"/>
          <w:szCs w:val="20"/>
        </w:rPr>
        <w:t xml:space="preserve">investigations. </w:t>
      </w:r>
      <w:r w:rsidR="00A10561" w:rsidRPr="00807FB2">
        <w:rPr>
          <w:rFonts w:ascii="Arial" w:hAnsi="Arial" w:cs="Arial"/>
          <w:sz w:val="20"/>
          <w:szCs w:val="20"/>
        </w:rPr>
        <w:t>[</w:t>
      </w:r>
      <w:r w:rsidR="00D249B9" w:rsidRPr="00807FB2">
        <w:rPr>
          <w:rFonts w:ascii="Arial" w:hAnsi="Arial" w:cs="Arial"/>
          <w:sz w:val="20"/>
          <w:szCs w:val="20"/>
        </w:rPr>
        <w:t>7</w:t>
      </w:r>
      <w:r w:rsidR="00A10561" w:rsidRPr="00807FB2">
        <w:rPr>
          <w:rFonts w:ascii="Arial" w:hAnsi="Arial" w:cs="Arial"/>
          <w:sz w:val="20"/>
          <w:szCs w:val="20"/>
        </w:rPr>
        <w:t>]</w:t>
      </w:r>
    </w:p>
    <w:p w14:paraId="280626F0" w14:textId="1ED12995" w:rsidR="000A0A20"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PIH has been known to complicate 5-15% of all pregnancies and leads to an increased incidence of complications like preterm birth, intrauterine growth retardation, low birthweight babies, still birth, perinatal death, </w:t>
      </w:r>
      <w:r w:rsidR="00701C84" w:rsidRPr="00807FB2">
        <w:rPr>
          <w:rFonts w:ascii="Arial" w:hAnsi="Arial" w:cs="Arial"/>
          <w:sz w:val="20"/>
          <w:szCs w:val="20"/>
        </w:rPr>
        <w:t>post-partum</w:t>
      </w:r>
      <w:r w:rsidRPr="00807FB2">
        <w:rPr>
          <w:rFonts w:ascii="Arial" w:hAnsi="Arial" w:cs="Arial"/>
          <w:sz w:val="20"/>
          <w:szCs w:val="20"/>
        </w:rPr>
        <w:t xml:space="preserve"> </w:t>
      </w:r>
      <w:r w:rsidR="00701C84" w:rsidRPr="00807FB2">
        <w:rPr>
          <w:rFonts w:ascii="Arial" w:hAnsi="Arial" w:cs="Arial"/>
          <w:sz w:val="20"/>
          <w:szCs w:val="20"/>
        </w:rPr>
        <w:t>haemorrhage</w:t>
      </w:r>
      <w:r w:rsidRPr="00807FB2">
        <w:rPr>
          <w:rFonts w:ascii="Arial" w:hAnsi="Arial" w:cs="Arial"/>
          <w:sz w:val="20"/>
          <w:szCs w:val="20"/>
        </w:rPr>
        <w:t xml:space="preserve">, antepartum </w:t>
      </w:r>
      <w:r w:rsidR="00701C84" w:rsidRPr="00807FB2">
        <w:rPr>
          <w:rFonts w:ascii="Arial" w:hAnsi="Arial" w:cs="Arial"/>
          <w:sz w:val="20"/>
          <w:szCs w:val="20"/>
        </w:rPr>
        <w:t>haemorrhage</w:t>
      </w:r>
      <w:r w:rsidRPr="00807FB2">
        <w:rPr>
          <w:rFonts w:ascii="Arial" w:hAnsi="Arial" w:cs="Arial"/>
          <w:sz w:val="20"/>
          <w:szCs w:val="20"/>
        </w:rPr>
        <w:t>, HELLP</w:t>
      </w:r>
      <w:r w:rsidR="00701C84" w:rsidRPr="00807FB2">
        <w:rPr>
          <w:rFonts w:ascii="Arial" w:hAnsi="Arial" w:cs="Arial"/>
          <w:sz w:val="20"/>
          <w:szCs w:val="20"/>
        </w:rPr>
        <w:t xml:space="preserve"> syndrome</w:t>
      </w:r>
      <w:r w:rsidR="000A0A20" w:rsidRPr="00807FB2">
        <w:rPr>
          <w:rFonts w:ascii="Arial" w:hAnsi="Arial" w:cs="Arial"/>
          <w:sz w:val="20"/>
          <w:szCs w:val="20"/>
        </w:rPr>
        <w:t xml:space="preserve">, acute renal failure </w:t>
      </w:r>
      <w:r w:rsidRPr="00807FB2">
        <w:rPr>
          <w:rFonts w:ascii="Arial" w:hAnsi="Arial" w:cs="Arial"/>
          <w:sz w:val="20"/>
          <w:szCs w:val="20"/>
        </w:rPr>
        <w:t xml:space="preserve">and cardiovascular </w:t>
      </w:r>
      <w:r w:rsidR="007F708E" w:rsidRPr="00807FB2">
        <w:rPr>
          <w:rFonts w:ascii="Arial" w:hAnsi="Arial" w:cs="Arial"/>
          <w:sz w:val="20"/>
          <w:szCs w:val="20"/>
        </w:rPr>
        <w:t xml:space="preserve">diseases. </w:t>
      </w:r>
      <w:r w:rsidR="00A10561" w:rsidRPr="00807FB2">
        <w:rPr>
          <w:rFonts w:ascii="Arial" w:hAnsi="Arial" w:cs="Arial"/>
          <w:sz w:val="20"/>
          <w:szCs w:val="20"/>
        </w:rPr>
        <w:t>[</w:t>
      </w:r>
      <w:r w:rsidR="00305B8C" w:rsidRPr="00807FB2">
        <w:rPr>
          <w:rFonts w:ascii="Arial" w:hAnsi="Arial" w:cs="Arial"/>
          <w:sz w:val="20"/>
          <w:szCs w:val="20"/>
        </w:rPr>
        <w:t>20</w:t>
      </w:r>
      <w:r w:rsidR="000A0A20"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21</w:t>
      </w:r>
      <w:r w:rsidR="00474196">
        <w:rPr>
          <w:rFonts w:ascii="Arial" w:hAnsi="Arial" w:cs="Arial"/>
          <w:sz w:val="20"/>
          <w:szCs w:val="20"/>
        </w:rPr>
        <w:t xml:space="preserve">, </w:t>
      </w:r>
      <w:r w:rsidR="00474196" w:rsidRPr="00DE1BB4">
        <w:rPr>
          <w:rFonts w:ascii="Arial" w:hAnsi="Arial" w:cs="Arial"/>
          <w:sz w:val="20"/>
          <w:szCs w:val="20"/>
          <w:highlight w:val="yellow"/>
        </w:rPr>
        <w:t>2</w:t>
      </w:r>
      <w:r w:rsidR="00A0155A" w:rsidRPr="00DE1BB4">
        <w:rPr>
          <w:rFonts w:ascii="Arial" w:hAnsi="Arial" w:cs="Arial"/>
          <w:sz w:val="20"/>
          <w:szCs w:val="20"/>
          <w:highlight w:val="yellow"/>
        </w:rPr>
        <w:t>2</w:t>
      </w:r>
      <w:r w:rsidR="00A10561" w:rsidRPr="00807FB2">
        <w:rPr>
          <w:rFonts w:ascii="Arial" w:hAnsi="Arial" w:cs="Arial"/>
          <w:sz w:val="20"/>
          <w:szCs w:val="20"/>
        </w:rPr>
        <w:t>]</w:t>
      </w:r>
    </w:p>
    <w:p w14:paraId="08E8C14B" w14:textId="68D1AC06" w:rsidR="00B652FA" w:rsidRPr="007A5453" w:rsidRDefault="000A0A20" w:rsidP="00807FB2">
      <w:pPr>
        <w:tabs>
          <w:tab w:val="left" w:pos="2800"/>
        </w:tabs>
        <w:ind w:firstLine="709"/>
        <w:jc w:val="both"/>
        <w:rPr>
          <w:rFonts w:ascii="Times New Roman" w:hAnsi="Times New Roman" w:cs="Times New Roman"/>
          <w:sz w:val="20"/>
          <w:szCs w:val="20"/>
        </w:rPr>
      </w:pPr>
      <w:r w:rsidRPr="00807FB2">
        <w:rPr>
          <w:rFonts w:ascii="Arial" w:hAnsi="Arial" w:cs="Arial"/>
          <w:sz w:val="20"/>
          <w:szCs w:val="20"/>
        </w:rPr>
        <w:t xml:space="preserve">PIH is accountable for almost 7% of the perinatal deaths occurring annually in </w:t>
      </w:r>
      <w:r w:rsidR="007F708E" w:rsidRPr="00807FB2">
        <w:rPr>
          <w:rFonts w:ascii="Arial" w:hAnsi="Arial" w:cs="Arial"/>
          <w:sz w:val="20"/>
          <w:szCs w:val="20"/>
        </w:rPr>
        <w:t xml:space="preserve">India. </w:t>
      </w:r>
      <w:r w:rsidR="00A10561" w:rsidRPr="00807FB2">
        <w:rPr>
          <w:rFonts w:ascii="Arial" w:hAnsi="Arial" w:cs="Arial"/>
          <w:sz w:val="20"/>
          <w:szCs w:val="20"/>
        </w:rPr>
        <w:t>[</w:t>
      </w:r>
      <w:r w:rsidR="0094329F" w:rsidRPr="00807FB2">
        <w:rPr>
          <w:rFonts w:ascii="Arial" w:hAnsi="Arial" w:cs="Arial"/>
          <w:sz w:val="20"/>
          <w:szCs w:val="20"/>
        </w:rPr>
        <w:t>2</w:t>
      </w:r>
      <w:r w:rsidR="00A0155A">
        <w:rPr>
          <w:rFonts w:ascii="Arial" w:hAnsi="Arial" w:cs="Arial"/>
          <w:sz w:val="20"/>
          <w:szCs w:val="20"/>
        </w:rPr>
        <w:t>3</w:t>
      </w:r>
      <w:r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w:t>
      </w:r>
      <w:r w:rsidR="0096432D">
        <w:rPr>
          <w:rFonts w:ascii="Arial" w:hAnsi="Arial" w:cs="Arial"/>
          <w:sz w:val="20"/>
          <w:szCs w:val="20"/>
        </w:rPr>
        <w:t>4</w:t>
      </w:r>
      <w:r w:rsidR="00A10561" w:rsidRPr="00807FB2">
        <w:rPr>
          <w:rFonts w:ascii="Arial" w:hAnsi="Arial" w:cs="Arial"/>
          <w:sz w:val="20"/>
          <w:szCs w:val="20"/>
        </w:rPr>
        <w:t>]</w:t>
      </w:r>
      <w:r w:rsidR="00FC25A9" w:rsidRPr="00807FB2">
        <w:rPr>
          <w:rFonts w:ascii="Arial" w:hAnsi="Arial" w:cs="Arial"/>
          <w:sz w:val="20"/>
          <w:szCs w:val="20"/>
        </w:rPr>
        <w:t xml:space="preserve"> </w:t>
      </w:r>
      <w:r w:rsidR="00B652FA" w:rsidRPr="00807FB2">
        <w:rPr>
          <w:rFonts w:ascii="Arial" w:hAnsi="Arial" w:cs="Arial"/>
          <w:sz w:val="20"/>
          <w:szCs w:val="20"/>
        </w:rPr>
        <w:t xml:space="preserve">Hence it is vital to diagnose PIH </w:t>
      </w:r>
      <w:r w:rsidR="009A2CA4" w:rsidRPr="009A2CA4">
        <w:rPr>
          <w:rFonts w:ascii="Arial" w:hAnsi="Arial" w:cs="Arial"/>
          <w:sz w:val="20"/>
          <w:szCs w:val="20"/>
          <w:highlight w:val="yellow"/>
        </w:rPr>
        <w:t>timely</w:t>
      </w:r>
      <w:r w:rsidR="009A2CA4">
        <w:rPr>
          <w:rFonts w:ascii="Arial" w:hAnsi="Arial" w:cs="Arial"/>
          <w:sz w:val="20"/>
          <w:szCs w:val="20"/>
        </w:rPr>
        <w:t xml:space="preserve"> </w:t>
      </w:r>
      <w:r w:rsidR="00B652FA" w:rsidRPr="00807FB2">
        <w:rPr>
          <w:rFonts w:ascii="Arial" w:hAnsi="Arial" w:cs="Arial"/>
          <w:sz w:val="20"/>
          <w:szCs w:val="20"/>
        </w:rPr>
        <w:t xml:space="preserve">to minimize the risk of associated </w:t>
      </w:r>
      <w:r w:rsidR="00701C84" w:rsidRPr="00807FB2">
        <w:rPr>
          <w:rFonts w:ascii="Arial" w:hAnsi="Arial" w:cs="Arial"/>
          <w:sz w:val="20"/>
          <w:szCs w:val="20"/>
        </w:rPr>
        <w:t>foetal</w:t>
      </w:r>
      <w:r w:rsidR="00B652FA" w:rsidRPr="00807FB2">
        <w:rPr>
          <w:rFonts w:ascii="Arial" w:hAnsi="Arial" w:cs="Arial"/>
          <w:sz w:val="20"/>
          <w:szCs w:val="20"/>
        </w:rPr>
        <w:t xml:space="preserve"> and maternal complications and thereby reduce mortality</w:t>
      </w:r>
      <w:r w:rsidR="00474196" w:rsidRPr="00474196">
        <w:rPr>
          <w:rFonts w:ascii="Arial" w:hAnsi="Arial" w:cs="Arial"/>
          <w:sz w:val="20"/>
          <w:szCs w:val="20"/>
          <w:highlight w:val="yellow"/>
        </w:rPr>
        <w:t>, ICU admissions and hospital stay</w:t>
      </w:r>
      <w:r w:rsidR="00474196" w:rsidRPr="00DE1BB4">
        <w:rPr>
          <w:rFonts w:ascii="Arial" w:hAnsi="Arial" w:cs="Arial"/>
          <w:sz w:val="20"/>
          <w:szCs w:val="20"/>
          <w:highlight w:val="yellow"/>
        </w:rPr>
        <w:t>. [2</w:t>
      </w:r>
      <w:r w:rsidR="0096432D" w:rsidRPr="00DE1BB4">
        <w:rPr>
          <w:rFonts w:ascii="Arial" w:hAnsi="Arial" w:cs="Arial"/>
          <w:sz w:val="20"/>
          <w:szCs w:val="20"/>
          <w:highlight w:val="yellow"/>
        </w:rPr>
        <w:t>5</w:t>
      </w:r>
      <w:r w:rsidR="00474196" w:rsidRPr="00DE1BB4">
        <w:rPr>
          <w:rFonts w:ascii="Arial" w:hAnsi="Arial" w:cs="Arial"/>
          <w:sz w:val="20"/>
          <w:szCs w:val="20"/>
          <w:highlight w:val="yellow"/>
        </w:rPr>
        <w:t>]</w:t>
      </w:r>
      <w:r w:rsidR="00474196">
        <w:rPr>
          <w:rFonts w:ascii="Arial" w:hAnsi="Arial" w:cs="Arial"/>
          <w:sz w:val="20"/>
          <w:szCs w:val="20"/>
        </w:rPr>
        <w:t xml:space="preserve"> </w:t>
      </w:r>
    </w:p>
    <w:p w14:paraId="644BFF7C" w14:textId="77777777" w:rsidR="00B652FA" w:rsidRPr="007A5453" w:rsidRDefault="00B652FA" w:rsidP="00B5101C">
      <w:pPr>
        <w:tabs>
          <w:tab w:val="left" w:pos="2800"/>
        </w:tabs>
        <w:ind w:firstLine="709"/>
        <w:rPr>
          <w:rFonts w:ascii="Times New Roman" w:hAnsi="Times New Roman" w:cs="Times New Roman"/>
          <w:sz w:val="20"/>
          <w:szCs w:val="20"/>
        </w:rPr>
      </w:pPr>
    </w:p>
    <w:p w14:paraId="52951C73" w14:textId="77777777" w:rsidR="00B652FA" w:rsidRPr="007A5453" w:rsidRDefault="00B652FA" w:rsidP="004273E7">
      <w:pPr>
        <w:tabs>
          <w:tab w:val="left" w:pos="2800"/>
        </w:tabs>
        <w:ind w:firstLine="709"/>
        <w:jc w:val="both"/>
        <w:rPr>
          <w:rFonts w:ascii="Times New Roman" w:hAnsi="Times New Roman" w:cs="Times New Roman"/>
          <w:sz w:val="20"/>
          <w:szCs w:val="20"/>
        </w:rPr>
      </w:pPr>
    </w:p>
    <w:p w14:paraId="3D7150E7" w14:textId="77777777" w:rsidR="00B652FA" w:rsidRPr="007A5453" w:rsidRDefault="00B652FA" w:rsidP="00B5101C">
      <w:pPr>
        <w:tabs>
          <w:tab w:val="left" w:pos="2800"/>
        </w:tabs>
        <w:rPr>
          <w:rFonts w:ascii="Times New Roman" w:hAnsi="Times New Roman" w:cs="Times New Roman"/>
          <w:sz w:val="20"/>
          <w:szCs w:val="20"/>
        </w:rPr>
      </w:pPr>
    </w:p>
    <w:p w14:paraId="3F3981B0" w14:textId="52FE3DCF" w:rsidR="00B652FA" w:rsidRPr="005827FB" w:rsidRDefault="005827FB" w:rsidP="00B5101C">
      <w:pPr>
        <w:tabs>
          <w:tab w:val="left" w:pos="2800"/>
        </w:tabs>
        <w:rPr>
          <w:rFonts w:ascii="Arial" w:hAnsi="Arial" w:cs="Arial"/>
          <w:b/>
          <w:bCs/>
          <w:sz w:val="22"/>
          <w:szCs w:val="22"/>
        </w:rPr>
      </w:pPr>
      <w:r w:rsidRPr="005827FB">
        <w:rPr>
          <w:rFonts w:ascii="Arial" w:hAnsi="Arial" w:cs="Arial"/>
          <w:b/>
          <w:bCs/>
          <w:sz w:val="22"/>
          <w:szCs w:val="22"/>
        </w:rPr>
        <w:t>METHODS</w:t>
      </w:r>
    </w:p>
    <w:p w14:paraId="22B0DD0D" w14:textId="7CC3C42D"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 xml:space="preserve">Study design: This is a cross-sectional hospital based study conducted in the obstetrics and gynaecology department of Integral Institute of medical science and </w:t>
      </w:r>
      <w:r w:rsidR="007F708E" w:rsidRPr="002C77F5">
        <w:rPr>
          <w:rFonts w:ascii="Arial" w:hAnsi="Arial" w:cs="Arial"/>
          <w:sz w:val="20"/>
          <w:szCs w:val="20"/>
        </w:rPr>
        <w:t>Research,</w:t>
      </w:r>
      <w:r w:rsidRPr="002C77F5">
        <w:rPr>
          <w:rFonts w:ascii="Arial" w:hAnsi="Arial" w:cs="Arial"/>
          <w:sz w:val="20"/>
          <w:szCs w:val="20"/>
        </w:rPr>
        <w:t xml:space="preserve"> Lucknow, India.</w:t>
      </w:r>
    </w:p>
    <w:p w14:paraId="761D11F6" w14:textId="77777777" w:rsidR="00B652FA" w:rsidRPr="002C77F5" w:rsidRDefault="00B652FA" w:rsidP="002C77F5">
      <w:pPr>
        <w:tabs>
          <w:tab w:val="left" w:pos="2800"/>
        </w:tabs>
        <w:jc w:val="both"/>
        <w:rPr>
          <w:rFonts w:ascii="Arial" w:hAnsi="Arial" w:cs="Arial"/>
          <w:sz w:val="20"/>
          <w:szCs w:val="20"/>
        </w:rPr>
      </w:pPr>
    </w:p>
    <w:p w14:paraId="54470D31"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Study population: All patients with pregnancy induced hypertension admitted in the obstetrics ward in Integral Institute of Medical Science and Research, Lucknow, India meeting the inclusion criteria.</w:t>
      </w:r>
    </w:p>
    <w:p w14:paraId="44D1F056" w14:textId="77777777" w:rsidR="00B652FA" w:rsidRPr="002C77F5" w:rsidRDefault="00B652FA" w:rsidP="002C77F5">
      <w:pPr>
        <w:tabs>
          <w:tab w:val="left" w:pos="2800"/>
        </w:tabs>
        <w:jc w:val="both"/>
        <w:rPr>
          <w:rFonts w:ascii="Arial" w:hAnsi="Arial" w:cs="Arial"/>
          <w:sz w:val="20"/>
          <w:szCs w:val="20"/>
        </w:rPr>
      </w:pPr>
    </w:p>
    <w:p w14:paraId="44FDDD6C"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Inclusion criteria: All pregnant women with PIH consenting for the study.</w:t>
      </w:r>
    </w:p>
    <w:p w14:paraId="5A244B54" w14:textId="77777777" w:rsidR="00701C84" w:rsidRPr="002C77F5" w:rsidRDefault="00701C84" w:rsidP="002C77F5">
      <w:pPr>
        <w:tabs>
          <w:tab w:val="left" w:pos="2800"/>
        </w:tabs>
        <w:jc w:val="both"/>
        <w:rPr>
          <w:rFonts w:ascii="Arial" w:hAnsi="Arial" w:cs="Arial"/>
          <w:sz w:val="20"/>
          <w:szCs w:val="20"/>
        </w:rPr>
      </w:pPr>
    </w:p>
    <w:p w14:paraId="3D6AC037"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lastRenderedPageBreak/>
        <w:t xml:space="preserve">Exclusion criteria: Patients with chronic hypertension, chronic kidney disease, and heart diseases </w:t>
      </w:r>
      <w:r w:rsidR="000A0A20" w:rsidRPr="002C77F5">
        <w:rPr>
          <w:rFonts w:ascii="Arial" w:hAnsi="Arial" w:cs="Arial"/>
          <w:sz w:val="20"/>
          <w:szCs w:val="20"/>
        </w:rPr>
        <w:t>or any other chronic conditions.</w:t>
      </w:r>
    </w:p>
    <w:p w14:paraId="435CCAA2" w14:textId="77777777" w:rsidR="00B652FA" w:rsidRPr="002C77F5" w:rsidRDefault="00B652FA" w:rsidP="002C77F5">
      <w:pPr>
        <w:tabs>
          <w:tab w:val="left" w:pos="2800"/>
        </w:tabs>
        <w:jc w:val="both"/>
        <w:rPr>
          <w:rFonts w:ascii="Arial" w:hAnsi="Arial" w:cs="Arial"/>
          <w:sz w:val="20"/>
          <w:szCs w:val="20"/>
        </w:rPr>
      </w:pPr>
    </w:p>
    <w:p w14:paraId="59D67BB9" w14:textId="77777777" w:rsidR="00B652FA" w:rsidRPr="002C77F5" w:rsidRDefault="00B652FA" w:rsidP="002C77F5">
      <w:pPr>
        <w:tabs>
          <w:tab w:val="left" w:pos="2800"/>
        </w:tabs>
        <w:jc w:val="both"/>
        <w:rPr>
          <w:rFonts w:ascii="Arial" w:hAnsi="Arial" w:cs="Arial"/>
          <w:sz w:val="20"/>
          <w:szCs w:val="20"/>
        </w:rPr>
      </w:pPr>
    </w:p>
    <w:p w14:paraId="14553E01" w14:textId="77777777" w:rsidR="00307BD4" w:rsidRPr="002C77F5" w:rsidRDefault="00B652FA" w:rsidP="002C77F5">
      <w:pPr>
        <w:tabs>
          <w:tab w:val="left" w:pos="2800"/>
        </w:tabs>
        <w:jc w:val="both"/>
        <w:rPr>
          <w:rFonts w:ascii="Arial" w:hAnsi="Arial" w:cs="Arial"/>
          <w:sz w:val="20"/>
          <w:szCs w:val="20"/>
        </w:rPr>
      </w:pPr>
      <w:r w:rsidRPr="002C77F5">
        <w:rPr>
          <w:rFonts w:ascii="Arial" w:hAnsi="Arial" w:cs="Arial"/>
          <w:b/>
          <w:bCs/>
          <w:sz w:val="20"/>
          <w:szCs w:val="20"/>
        </w:rPr>
        <w:t>Sample size</w:t>
      </w:r>
      <w:r w:rsidRPr="002C77F5">
        <w:rPr>
          <w:rFonts w:ascii="Arial" w:hAnsi="Arial" w:cs="Arial"/>
          <w:sz w:val="20"/>
          <w:szCs w:val="20"/>
        </w:rPr>
        <w:t>:</w:t>
      </w:r>
      <w:r w:rsidR="00307BD4" w:rsidRPr="002C77F5">
        <w:rPr>
          <w:rFonts w:ascii="Arial" w:hAnsi="Arial" w:cs="Arial"/>
          <w:sz w:val="20"/>
          <w:szCs w:val="20"/>
        </w:rPr>
        <w:t xml:space="preserve"> </w:t>
      </w:r>
    </w:p>
    <w:p w14:paraId="56F08B32" w14:textId="1244AE70" w:rsidR="0081501E" w:rsidRPr="002C77F5" w:rsidRDefault="0081501E" w:rsidP="002C77F5">
      <w:pPr>
        <w:tabs>
          <w:tab w:val="left" w:pos="2800"/>
        </w:tabs>
        <w:jc w:val="both"/>
        <w:rPr>
          <w:rFonts w:ascii="Arial" w:eastAsiaTheme="minorEastAsia" w:hAnsi="Arial" w:cs="Arial"/>
          <w:sz w:val="20"/>
          <w:szCs w:val="20"/>
        </w:rPr>
      </w:pPr>
      <w:r w:rsidRPr="002C77F5">
        <w:rPr>
          <w:rFonts w:ascii="Arial" w:hAnsi="Arial" w:cs="Arial"/>
          <w:sz w:val="20"/>
          <w:szCs w:val="20"/>
        </w:rPr>
        <w:t>Sample size is calculated using the formula given below.</w:t>
      </w:r>
      <w:r w:rsidR="00602581" w:rsidRPr="002C77F5">
        <w:rPr>
          <w:rFonts w:ascii="Arial" w:hAnsi="Arial" w:cs="Arial"/>
          <w:sz w:val="20"/>
          <w:szCs w:val="20"/>
        </w:rPr>
        <w:t xml:space="preserve"> </w:t>
      </w:r>
      <w:r w:rsidR="00602581" w:rsidRPr="00DE1BB4">
        <w:rPr>
          <w:rFonts w:ascii="Arial" w:eastAsiaTheme="minorEastAsia" w:hAnsi="Arial" w:cs="Arial"/>
          <w:sz w:val="20"/>
          <w:szCs w:val="20"/>
          <w:highlight w:val="yellow"/>
        </w:rPr>
        <w:t>[2</w:t>
      </w:r>
      <w:r w:rsidR="0096432D" w:rsidRPr="00DE1BB4">
        <w:rPr>
          <w:rFonts w:ascii="Arial" w:eastAsiaTheme="minorEastAsia" w:hAnsi="Arial" w:cs="Arial"/>
          <w:sz w:val="20"/>
          <w:szCs w:val="20"/>
          <w:highlight w:val="yellow"/>
        </w:rPr>
        <w:t>6</w:t>
      </w:r>
      <w:r w:rsidR="00602581" w:rsidRPr="00DE1BB4">
        <w:rPr>
          <w:rFonts w:ascii="Arial" w:eastAsiaTheme="minorEastAsia" w:hAnsi="Arial" w:cs="Arial"/>
          <w:sz w:val="20"/>
          <w:szCs w:val="20"/>
          <w:highlight w:val="yellow"/>
        </w:rPr>
        <w:t>]</w:t>
      </w:r>
    </w:p>
    <w:p w14:paraId="643C8A19" w14:textId="301EE7E5" w:rsidR="000C2226" w:rsidRPr="002C77F5" w:rsidRDefault="000C2226" w:rsidP="002C77F5">
      <w:pPr>
        <w:tabs>
          <w:tab w:val="left" w:pos="2800"/>
        </w:tabs>
        <w:jc w:val="both"/>
        <w:rPr>
          <w:rFonts w:ascii="Arial" w:eastAsiaTheme="minorEastAsia" w:hAnsi="Arial" w:cs="Arial"/>
          <w:sz w:val="20"/>
          <w:szCs w:val="20"/>
        </w:rPr>
      </w:pPr>
      <m:oMathPara>
        <m:oMath>
          <m:r>
            <w:rPr>
              <w:rFonts w:ascii="Cambria Math" w:hAnsi="Cambria Math" w:cs="Arial"/>
              <w:sz w:val="20"/>
              <w:szCs w:val="20"/>
            </w:rPr>
            <m:t xml:space="preserve">n=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 xml:space="preserve"> p (1-p)</m:t>
              </m:r>
            </m:num>
            <m:den>
              <m:sSup>
                <m:sSupPr>
                  <m:ctrlPr>
                    <w:rPr>
                      <w:rFonts w:ascii="Cambria Math" w:hAnsi="Cambria Math" w:cs="Arial"/>
                      <w:i/>
                      <w:sz w:val="20"/>
                      <w:szCs w:val="20"/>
                    </w:rPr>
                  </m:ctrlPr>
                </m:sSupPr>
                <m:e>
                  <m:r>
                    <w:rPr>
                      <w:rFonts w:ascii="Cambria Math" w:hAnsi="Cambria Math" w:cs="Arial"/>
                      <w:sz w:val="20"/>
                      <w:szCs w:val="20"/>
                    </w:rPr>
                    <m:t>d</m:t>
                  </m:r>
                </m:e>
                <m:sup>
                  <m:r>
                    <w:rPr>
                      <w:rFonts w:ascii="Cambria Math" w:hAnsi="Cambria Math" w:cs="Arial"/>
                      <w:sz w:val="20"/>
                      <w:szCs w:val="20"/>
                    </w:rPr>
                    <m:t>2</m:t>
                  </m:r>
                </m:sup>
              </m:sSup>
            </m:den>
          </m:f>
        </m:oMath>
      </m:oMathPara>
    </w:p>
    <w:p w14:paraId="6C3BCFC4" w14:textId="487E1E3F"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Where </w:t>
      </w:r>
    </w:p>
    <w:p w14:paraId="284419F2" w14:textId="09428BC7"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n = </w:t>
      </w:r>
      <w:r w:rsidR="00EC70FE" w:rsidRPr="002C77F5">
        <w:rPr>
          <w:rFonts w:ascii="Arial" w:eastAsiaTheme="minorEastAsia" w:hAnsi="Arial" w:cs="Arial"/>
          <w:sz w:val="20"/>
          <w:szCs w:val="20"/>
        </w:rPr>
        <w:t>sample size</w:t>
      </w:r>
    </w:p>
    <w:p w14:paraId="668330DB" w14:textId="488841F7" w:rsidR="00EC70FE"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p = (5 – 15) %</w:t>
      </w:r>
    </w:p>
    <w:p w14:paraId="4F657FD5" w14:textId="2417A2FB"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C</w:t>
      </w:r>
      <w:r w:rsidR="00C6062B" w:rsidRPr="002C77F5">
        <w:rPr>
          <w:rFonts w:ascii="Arial" w:hAnsi="Arial" w:cs="Arial"/>
          <w:sz w:val="20"/>
          <w:szCs w:val="20"/>
        </w:rPr>
        <w:t>onfidence level = 95 %, z score = 1.96</w:t>
      </w:r>
    </w:p>
    <w:p w14:paraId="06646590" w14:textId="3BC82834"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M</w:t>
      </w:r>
      <w:r w:rsidR="00C6062B" w:rsidRPr="002C77F5">
        <w:rPr>
          <w:rFonts w:ascii="Arial" w:hAnsi="Arial" w:cs="Arial"/>
          <w:sz w:val="20"/>
          <w:szCs w:val="20"/>
        </w:rPr>
        <w:t>argin of error = 5 %</w:t>
      </w:r>
    </w:p>
    <w:p w14:paraId="523F3C7A" w14:textId="3882A4B3"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N</w:t>
      </w:r>
      <w:r w:rsidR="00C6062B" w:rsidRPr="002C77F5">
        <w:rPr>
          <w:rFonts w:ascii="Arial" w:hAnsi="Arial" w:cs="Arial"/>
          <w:sz w:val="20"/>
          <w:szCs w:val="20"/>
        </w:rPr>
        <w:t>on-response = 10 %</w:t>
      </w:r>
    </w:p>
    <w:p w14:paraId="227B54A9" w14:textId="071F7E8C" w:rsidR="00C6062B"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Sample size = 216</w:t>
      </w:r>
    </w:p>
    <w:p w14:paraId="253BFAE3" w14:textId="77777777" w:rsidR="00B652FA" w:rsidRPr="002C77F5" w:rsidRDefault="00B652FA" w:rsidP="002C77F5">
      <w:pPr>
        <w:tabs>
          <w:tab w:val="left" w:pos="2800"/>
        </w:tabs>
        <w:jc w:val="both"/>
        <w:rPr>
          <w:rFonts w:ascii="Arial" w:hAnsi="Arial" w:cs="Arial"/>
          <w:sz w:val="20"/>
          <w:szCs w:val="20"/>
        </w:rPr>
      </w:pPr>
    </w:p>
    <w:p w14:paraId="0914A0B9" w14:textId="26B39C46" w:rsidR="00B652FA" w:rsidRPr="007A5453" w:rsidRDefault="00B652FA" w:rsidP="002C77F5">
      <w:pPr>
        <w:tabs>
          <w:tab w:val="left" w:pos="2800"/>
        </w:tabs>
        <w:jc w:val="both"/>
        <w:rPr>
          <w:rFonts w:ascii="Times New Roman" w:hAnsi="Times New Roman" w:cs="Times New Roman"/>
          <w:sz w:val="20"/>
          <w:szCs w:val="20"/>
        </w:rPr>
      </w:pPr>
      <w:r w:rsidRPr="002C77F5">
        <w:rPr>
          <w:rFonts w:ascii="Arial" w:hAnsi="Arial" w:cs="Arial"/>
          <w:sz w:val="20"/>
          <w:szCs w:val="20"/>
        </w:rPr>
        <w:t xml:space="preserve">Data collection and analysis: Informed consent </w:t>
      </w:r>
      <w:r w:rsidR="0020427A" w:rsidRPr="002C77F5">
        <w:rPr>
          <w:rFonts w:ascii="Arial" w:hAnsi="Arial" w:cs="Arial"/>
          <w:sz w:val="20"/>
          <w:szCs w:val="20"/>
        </w:rPr>
        <w:t>was</w:t>
      </w:r>
      <w:r w:rsidRPr="002C77F5">
        <w:rPr>
          <w:rFonts w:ascii="Arial" w:hAnsi="Arial" w:cs="Arial"/>
          <w:sz w:val="20"/>
          <w:szCs w:val="20"/>
        </w:rPr>
        <w:t xml:space="preserve"> taken from the patients. Data was collected from</w:t>
      </w:r>
      <w:r w:rsidRPr="002C77F5">
        <w:rPr>
          <w:rFonts w:ascii="Arial" w:hAnsi="Arial" w:cs="Arial"/>
          <w:color w:val="FF0000"/>
          <w:sz w:val="20"/>
          <w:szCs w:val="20"/>
        </w:rPr>
        <w:t xml:space="preserve"> </w:t>
      </w:r>
      <w:r w:rsidR="00307BD4" w:rsidRPr="002C77F5">
        <w:rPr>
          <w:rFonts w:ascii="Arial" w:hAnsi="Arial" w:cs="Arial"/>
          <w:color w:val="000000" w:themeColor="text1"/>
          <w:sz w:val="20"/>
          <w:szCs w:val="20"/>
        </w:rPr>
        <w:t>November 2023</w:t>
      </w:r>
      <w:r w:rsidR="00307BD4" w:rsidRPr="002C77F5">
        <w:rPr>
          <w:rFonts w:ascii="Arial" w:hAnsi="Arial" w:cs="Arial"/>
          <w:color w:val="FF0000"/>
          <w:sz w:val="20"/>
          <w:szCs w:val="20"/>
        </w:rPr>
        <w:t xml:space="preserve"> </w:t>
      </w:r>
      <w:r w:rsidRPr="002C77F5">
        <w:rPr>
          <w:rFonts w:ascii="Arial" w:hAnsi="Arial" w:cs="Arial"/>
          <w:sz w:val="20"/>
          <w:szCs w:val="20"/>
        </w:rPr>
        <w:t>to</w:t>
      </w:r>
      <w:r w:rsidR="00307BD4" w:rsidRPr="002C77F5">
        <w:rPr>
          <w:rFonts w:ascii="Arial" w:hAnsi="Arial" w:cs="Arial"/>
          <w:color w:val="000000" w:themeColor="text1"/>
          <w:sz w:val="20"/>
          <w:szCs w:val="20"/>
        </w:rPr>
        <w:t xml:space="preserve"> March 2025</w:t>
      </w:r>
      <w:r w:rsidRPr="002C77F5">
        <w:rPr>
          <w:rFonts w:ascii="Arial" w:hAnsi="Arial" w:cs="Arial"/>
          <w:sz w:val="20"/>
          <w:szCs w:val="20"/>
        </w:rPr>
        <w:t xml:space="preserve"> using hospital records and questionnaires. Information regarding socio demographic </w:t>
      </w:r>
      <w:r w:rsidR="0020427A" w:rsidRPr="002C77F5">
        <w:rPr>
          <w:rFonts w:ascii="Arial" w:hAnsi="Arial" w:cs="Arial"/>
          <w:sz w:val="20"/>
          <w:szCs w:val="20"/>
        </w:rPr>
        <w:t>determinants,</w:t>
      </w:r>
      <w:r w:rsidRPr="002C77F5">
        <w:rPr>
          <w:rFonts w:ascii="Arial" w:hAnsi="Arial" w:cs="Arial"/>
          <w:sz w:val="20"/>
          <w:szCs w:val="20"/>
        </w:rPr>
        <w:t xml:space="preserve"> risk factors and possible detrimental outcomes were recorded. It was tabulated in Microsoft Excel and analysed using</w:t>
      </w:r>
      <w:r w:rsidR="009A2CA4">
        <w:rPr>
          <w:rFonts w:ascii="Arial" w:hAnsi="Arial" w:cs="Arial"/>
          <w:sz w:val="20"/>
          <w:szCs w:val="20"/>
        </w:rPr>
        <w:t xml:space="preserve"> the</w:t>
      </w:r>
      <w:r w:rsidRPr="002C77F5">
        <w:rPr>
          <w:rFonts w:ascii="Arial" w:hAnsi="Arial" w:cs="Arial"/>
          <w:sz w:val="20"/>
          <w:szCs w:val="20"/>
        </w:rPr>
        <w:t xml:space="preserve"> trial version of SPSS software</w:t>
      </w:r>
      <w:r w:rsidRPr="007A5453">
        <w:rPr>
          <w:rFonts w:ascii="Times New Roman" w:hAnsi="Times New Roman" w:cs="Times New Roman"/>
          <w:sz w:val="20"/>
          <w:szCs w:val="20"/>
        </w:rPr>
        <w:t>.</w:t>
      </w:r>
    </w:p>
    <w:p w14:paraId="343886DC" w14:textId="77777777" w:rsidR="00B652FA" w:rsidRPr="007A5453" w:rsidRDefault="00B652FA" w:rsidP="00B5101C">
      <w:pPr>
        <w:tabs>
          <w:tab w:val="left" w:pos="2800"/>
        </w:tabs>
        <w:rPr>
          <w:rFonts w:ascii="Times New Roman" w:hAnsi="Times New Roman" w:cs="Times New Roman"/>
          <w:sz w:val="20"/>
          <w:szCs w:val="20"/>
        </w:rPr>
      </w:pPr>
    </w:p>
    <w:p w14:paraId="779A7305" w14:textId="08AFF7F9" w:rsidR="00B652FA" w:rsidRPr="00044F4E" w:rsidRDefault="00055DDF" w:rsidP="00B5101C">
      <w:pPr>
        <w:tabs>
          <w:tab w:val="left" w:pos="2800"/>
        </w:tabs>
        <w:rPr>
          <w:rFonts w:ascii="Arial" w:hAnsi="Arial" w:cs="Arial"/>
          <w:b/>
          <w:bCs/>
          <w:sz w:val="22"/>
          <w:szCs w:val="22"/>
        </w:rPr>
      </w:pPr>
      <w:r w:rsidRPr="00044F4E">
        <w:rPr>
          <w:rFonts w:ascii="Arial" w:hAnsi="Arial" w:cs="Arial"/>
          <w:b/>
          <w:bCs/>
          <w:sz w:val="22"/>
          <w:szCs w:val="22"/>
        </w:rPr>
        <w:t>RESULTS</w:t>
      </w:r>
      <w:r w:rsidR="00F21B14">
        <w:rPr>
          <w:rFonts w:ascii="Arial" w:hAnsi="Arial" w:cs="Arial"/>
          <w:b/>
          <w:bCs/>
          <w:sz w:val="22"/>
          <w:szCs w:val="22"/>
        </w:rPr>
        <w:t xml:space="preserve"> AND DISCUSSION</w:t>
      </w:r>
    </w:p>
    <w:p w14:paraId="35308291" w14:textId="47CBB181" w:rsidR="00B652FA" w:rsidRPr="00044F4E" w:rsidRDefault="0020427A" w:rsidP="00B5101C">
      <w:pPr>
        <w:tabs>
          <w:tab w:val="left" w:pos="2800"/>
        </w:tabs>
        <w:rPr>
          <w:rFonts w:ascii="Arial" w:hAnsi="Arial" w:cs="Arial"/>
          <w:sz w:val="20"/>
          <w:szCs w:val="20"/>
        </w:rPr>
      </w:pPr>
      <w:r w:rsidRPr="00044F4E">
        <w:rPr>
          <w:rFonts w:ascii="Arial" w:hAnsi="Arial" w:cs="Arial"/>
          <w:sz w:val="20"/>
          <w:szCs w:val="20"/>
        </w:rPr>
        <w:t xml:space="preserve">A. </w:t>
      </w:r>
      <w:r w:rsidR="00E62318" w:rsidRPr="00044F4E">
        <w:rPr>
          <w:rFonts w:ascii="Arial" w:hAnsi="Arial" w:cs="Arial"/>
          <w:sz w:val="20"/>
          <w:szCs w:val="20"/>
        </w:rPr>
        <w:t xml:space="preserve">Socio demographic characteristics </w:t>
      </w:r>
    </w:p>
    <w:p w14:paraId="210DD004" w14:textId="77777777" w:rsidR="00B652FA" w:rsidRPr="00044F4E" w:rsidRDefault="00B652FA" w:rsidP="00B5101C">
      <w:pPr>
        <w:tabs>
          <w:tab w:val="left" w:pos="2800"/>
        </w:tabs>
        <w:rPr>
          <w:rFonts w:ascii="Arial" w:hAnsi="Arial" w:cs="Arial"/>
          <w:sz w:val="20"/>
          <w:szCs w:val="20"/>
        </w:rPr>
      </w:pPr>
    </w:p>
    <w:p w14:paraId="214EA365" w14:textId="27982C3A" w:rsidR="00867C45"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Table 1</w:t>
      </w:r>
      <w:r w:rsidR="00295EB6" w:rsidRPr="00044F4E">
        <w:rPr>
          <w:rFonts w:ascii="Arial" w:hAnsi="Arial" w:cs="Arial"/>
          <w:b/>
          <w:bCs/>
          <w:sz w:val="20"/>
          <w:szCs w:val="20"/>
        </w:rPr>
        <w:t xml:space="preserve"> </w:t>
      </w:r>
      <w:bookmarkStart w:id="2" w:name="OLE_LINK3"/>
      <w:r w:rsidR="009F0B46" w:rsidRPr="00044F4E">
        <w:rPr>
          <w:rFonts w:ascii="Arial" w:hAnsi="Arial" w:cs="Arial"/>
          <w:b/>
          <w:bCs/>
          <w:sz w:val="20"/>
          <w:szCs w:val="20"/>
        </w:rPr>
        <w:t>Incidence of PIH in different a</w:t>
      </w:r>
      <w:r w:rsidR="00743480" w:rsidRPr="00044F4E">
        <w:rPr>
          <w:rFonts w:ascii="Arial" w:hAnsi="Arial" w:cs="Arial"/>
          <w:b/>
          <w:bCs/>
          <w:sz w:val="20"/>
          <w:szCs w:val="20"/>
        </w:rPr>
        <w:t>ge brackets</w:t>
      </w:r>
      <w:bookmarkEnd w:id="2"/>
    </w:p>
    <w:p w14:paraId="29F1ED0A" w14:textId="658C64C6" w:rsidR="00B652FA" w:rsidRPr="00044F4E" w:rsidRDefault="00743480"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33"/>
        <w:gridCol w:w="2807"/>
        <w:gridCol w:w="2854"/>
      </w:tblGrid>
      <w:tr w:rsidR="00867C45" w:rsidRPr="00044F4E" w14:paraId="2A1B109A" w14:textId="77777777" w:rsidTr="009F2937">
        <w:tc>
          <w:tcPr>
            <w:tcW w:w="2833" w:type="dxa"/>
          </w:tcPr>
          <w:p w14:paraId="7DC5EA35" w14:textId="6190C332" w:rsidR="00867C45" w:rsidRPr="00044F4E" w:rsidRDefault="009F2937" w:rsidP="00B5101C">
            <w:pPr>
              <w:tabs>
                <w:tab w:val="left" w:pos="2800"/>
              </w:tabs>
              <w:rPr>
                <w:rFonts w:ascii="Arial" w:hAnsi="Arial" w:cs="Arial"/>
                <w:b/>
                <w:bCs/>
                <w:sz w:val="20"/>
                <w:szCs w:val="20"/>
              </w:rPr>
            </w:pPr>
            <w:r>
              <w:rPr>
                <w:rFonts w:ascii="Arial" w:hAnsi="Arial" w:cs="Arial"/>
                <w:b/>
                <w:bCs/>
                <w:sz w:val="20"/>
                <w:szCs w:val="20"/>
              </w:rPr>
              <w:t>Age Brackets</w:t>
            </w:r>
          </w:p>
        </w:tc>
        <w:tc>
          <w:tcPr>
            <w:tcW w:w="2807" w:type="dxa"/>
          </w:tcPr>
          <w:p w14:paraId="2CB6E047" w14:textId="16E632E9"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54" w:type="dxa"/>
          </w:tcPr>
          <w:p w14:paraId="7EC6C25B" w14:textId="78E6927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218D5A30" w14:textId="77777777" w:rsidTr="009F2937">
        <w:tc>
          <w:tcPr>
            <w:tcW w:w="2833" w:type="dxa"/>
          </w:tcPr>
          <w:p w14:paraId="6B589B04" w14:textId="0832DDB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16-20</w:t>
            </w:r>
          </w:p>
        </w:tc>
        <w:tc>
          <w:tcPr>
            <w:tcW w:w="2807" w:type="dxa"/>
          </w:tcPr>
          <w:p w14:paraId="413FD5B3" w14:textId="653FB630"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82</w:t>
            </w:r>
          </w:p>
        </w:tc>
        <w:tc>
          <w:tcPr>
            <w:tcW w:w="2854" w:type="dxa"/>
          </w:tcPr>
          <w:p w14:paraId="48F60792" w14:textId="68989ECA"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w:t>
            </w:r>
            <w:r w:rsidR="005B2419" w:rsidRPr="00044F4E">
              <w:rPr>
                <w:rFonts w:ascii="Arial" w:hAnsi="Arial" w:cs="Arial"/>
                <w:sz w:val="20"/>
                <w:szCs w:val="20"/>
              </w:rPr>
              <w:t>8</w:t>
            </w:r>
            <w:r w:rsidRPr="00044F4E">
              <w:rPr>
                <w:rFonts w:ascii="Arial" w:hAnsi="Arial" w:cs="Arial"/>
                <w:sz w:val="20"/>
                <w:szCs w:val="20"/>
              </w:rPr>
              <w:t>.</w:t>
            </w:r>
            <w:r w:rsidR="005B2419" w:rsidRPr="00044F4E">
              <w:rPr>
                <w:rFonts w:ascii="Arial" w:hAnsi="Arial" w:cs="Arial"/>
                <w:sz w:val="20"/>
                <w:szCs w:val="20"/>
              </w:rPr>
              <w:t>0</w:t>
            </w:r>
            <w:r w:rsidR="00ED1EA5" w:rsidRPr="00044F4E">
              <w:rPr>
                <w:rFonts w:ascii="Arial" w:hAnsi="Arial" w:cs="Arial"/>
                <w:sz w:val="20"/>
                <w:szCs w:val="20"/>
              </w:rPr>
              <w:t xml:space="preserve"> %</w:t>
            </w:r>
          </w:p>
        </w:tc>
      </w:tr>
      <w:tr w:rsidR="00867C45" w:rsidRPr="00044F4E" w14:paraId="24ABDF64" w14:textId="77777777" w:rsidTr="009F2937">
        <w:tc>
          <w:tcPr>
            <w:tcW w:w="2833" w:type="dxa"/>
          </w:tcPr>
          <w:p w14:paraId="46C9975D" w14:textId="3A7A4D5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20-25</w:t>
            </w:r>
          </w:p>
        </w:tc>
        <w:tc>
          <w:tcPr>
            <w:tcW w:w="2807" w:type="dxa"/>
          </w:tcPr>
          <w:p w14:paraId="3EC09FE7" w14:textId="3F4564D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39</w:t>
            </w:r>
          </w:p>
        </w:tc>
        <w:tc>
          <w:tcPr>
            <w:tcW w:w="2854" w:type="dxa"/>
          </w:tcPr>
          <w:p w14:paraId="7EC347F1" w14:textId="343B7F9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18</w:t>
            </w:r>
            <w:r w:rsidR="005B2419" w:rsidRPr="00044F4E">
              <w:rPr>
                <w:rFonts w:ascii="Arial" w:hAnsi="Arial" w:cs="Arial"/>
                <w:sz w:val="20"/>
                <w:szCs w:val="20"/>
              </w:rPr>
              <w:t>.1</w:t>
            </w:r>
            <w:r w:rsidR="00ED1EA5" w:rsidRPr="00044F4E">
              <w:rPr>
                <w:rFonts w:ascii="Arial" w:hAnsi="Arial" w:cs="Arial"/>
                <w:sz w:val="20"/>
                <w:szCs w:val="20"/>
              </w:rPr>
              <w:t xml:space="preserve"> %</w:t>
            </w:r>
          </w:p>
        </w:tc>
      </w:tr>
      <w:tr w:rsidR="00867C45" w:rsidRPr="00044F4E" w14:paraId="1608324A" w14:textId="77777777" w:rsidTr="009F2937">
        <w:tc>
          <w:tcPr>
            <w:tcW w:w="2833" w:type="dxa"/>
          </w:tcPr>
          <w:p w14:paraId="70A5B619" w14:textId="793CEE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25-30</w:t>
            </w:r>
          </w:p>
        </w:tc>
        <w:tc>
          <w:tcPr>
            <w:tcW w:w="2807" w:type="dxa"/>
          </w:tcPr>
          <w:p w14:paraId="2047D4D2" w14:textId="57EBD3D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45</w:t>
            </w:r>
          </w:p>
        </w:tc>
        <w:tc>
          <w:tcPr>
            <w:tcW w:w="2854" w:type="dxa"/>
          </w:tcPr>
          <w:p w14:paraId="7EBC39F4" w14:textId="7174643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w:t>
            </w:r>
            <w:r w:rsidR="005B2419" w:rsidRPr="00044F4E">
              <w:rPr>
                <w:rFonts w:ascii="Arial" w:hAnsi="Arial" w:cs="Arial"/>
                <w:sz w:val="20"/>
                <w:szCs w:val="20"/>
              </w:rPr>
              <w:t>.8</w:t>
            </w:r>
            <w:r w:rsidR="00ED1EA5" w:rsidRPr="00044F4E">
              <w:rPr>
                <w:rFonts w:ascii="Arial" w:hAnsi="Arial" w:cs="Arial"/>
                <w:sz w:val="20"/>
                <w:szCs w:val="20"/>
              </w:rPr>
              <w:t xml:space="preserve"> %</w:t>
            </w:r>
          </w:p>
        </w:tc>
      </w:tr>
      <w:tr w:rsidR="00867C45" w:rsidRPr="00044F4E" w14:paraId="1CCC4924" w14:textId="77777777" w:rsidTr="009F2937">
        <w:tc>
          <w:tcPr>
            <w:tcW w:w="2833" w:type="dxa"/>
          </w:tcPr>
          <w:p w14:paraId="537E030B" w14:textId="2314358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30-35</w:t>
            </w:r>
          </w:p>
        </w:tc>
        <w:tc>
          <w:tcPr>
            <w:tcW w:w="2807" w:type="dxa"/>
          </w:tcPr>
          <w:p w14:paraId="2447A5BF" w14:textId="4842F51C"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50</w:t>
            </w:r>
          </w:p>
        </w:tc>
        <w:tc>
          <w:tcPr>
            <w:tcW w:w="2854" w:type="dxa"/>
          </w:tcPr>
          <w:p w14:paraId="6BAE67AD" w14:textId="193574E3"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23.</w:t>
            </w:r>
            <w:r w:rsidR="005B2419" w:rsidRPr="00044F4E">
              <w:rPr>
                <w:rFonts w:ascii="Arial" w:hAnsi="Arial" w:cs="Arial"/>
                <w:sz w:val="20"/>
                <w:szCs w:val="20"/>
              </w:rPr>
              <w:t>1</w:t>
            </w:r>
            <w:r w:rsidR="00ED1EA5" w:rsidRPr="00044F4E">
              <w:rPr>
                <w:rFonts w:ascii="Arial" w:hAnsi="Arial" w:cs="Arial"/>
                <w:sz w:val="20"/>
                <w:szCs w:val="20"/>
              </w:rPr>
              <w:t xml:space="preserve"> %</w:t>
            </w:r>
          </w:p>
        </w:tc>
      </w:tr>
    </w:tbl>
    <w:p w14:paraId="2BD53195" w14:textId="77777777" w:rsidR="009F2937" w:rsidRDefault="009F2937" w:rsidP="00B5101C">
      <w:pPr>
        <w:tabs>
          <w:tab w:val="left" w:pos="2800"/>
        </w:tabs>
        <w:rPr>
          <w:rFonts w:ascii="Arial" w:hAnsi="Arial" w:cs="Arial"/>
          <w:b/>
          <w:bCs/>
          <w:sz w:val="20"/>
          <w:szCs w:val="20"/>
        </w:rPr>
      </w:pPr>
    </w:p>
    <w:p w14:paraId="102BFE21" w14:textId="35F5A55A" w:rsidR="001173F2" w:rsidRDefault="009F2937" w:rsidP="00B5101C">
      <w:pPr>
        <w:tabs>
          <w:tab w:val="left" w:pos="2800"/>
        </w:tabs>
        <w:rPr>
          <w:rFonts w:ascii="Arial" w:hAnsi="Arial" w:cs="Arial"/>
          <w:b/>
          <w:bCs/>
          <w:sz w:val="20"/>
          <w:szCs w:val="20"/>
        </w:rPr>
      </w:pPr>
      <w:r>
        <w:rPr>
          <w:noProof/>
        </w:rPr>
        <w:drawing>
          <wp:inline distT="0" distB="0" distL="0" distR="0" wp14:anchorId="22DB16FC" wp14:editId="3ADE2335">
            <wp:extent cx="5400040" cy="3150235"/>
            <wp:effectExtent l="0" t="0" r="10160" b="12065"/>
            <wp:docPr id="7261883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454776" w14:textId="455CEE44" w:rsidR="00E066DD" w:rsidRDefault="009F2937" w:rsidP="00B5101C">
      <w:pPr>
        <w:tabs>
          <w:tab w:val="left" w:pos="2800"/>
        </w:tabs>
        <w:rPr>
          <w:rFonts w:ascii="Arial" w:hAnsi="Arial" w:cs="Arial"/>
          <w:sz w:val="20"/>
          <w:szCs w:val="20"/>
        </w:rPr>
      </w:pPr>
      <w:r w:rsidRPr="009F2937">
        <w:rPr>
          <w:rFonts w:ascii="Arial" w:hAnsi="Arial" w:cs="Arial"/>
          <w:sz w:val="20"/>
          <w:szCs w:val="20"/>
        </w:rPr>
        <w:t>Fig</w:t>
      </w:r>
      <w:r w:rsidR="006B70F2">
        <w:rPr>
          <w:rFonts w:ascii="Arial" w:hAnsi="Arial" w:cs="Arial"/>
          <w:sz w:val="20"/>
          <w:szCs w:val="20"/>
        </w:rPr>
        <w:t>.</w:t>
      </w:r>
      <w:r w:rsidRPr="009F2937">
        <w:rPr>
          <w:rFonts w:ascii="Arial" w:hAnsi="Arial" w:cs="Arial"/>
          <w:sz w:val="20"/>
          <w:szCs w:val="20"/>
        </w:rPr>
        <w:t xml:space="preserve"> 1</w:t>
      </w:r>
      <w:r>
        <w:rPr>
          <w:rFonts w:ascii="Arial" w:hAnsi="Arial" w:cs="Arial"/>
          <w:sz w:val="20"/>
          <w:szCs w:val="20"/>
        </w:rPr>
        <w:t xml:space="preserve"> </w:t>
      </w:r>
      <w:r w:rsidRPr="00BB3E45">
        <w:rPr>
          <w:rFonts w:ascii="Arial" w:hAnsi="Arial" w:cs="Arial"/>
          <w:sz w:val="20"/>
          <w:szCs w:val="20"/>
        </w:rPr>
        <w:t>- Incidence of PIH in different age brackets</w:t>
      </w:r>
    </w:p>
    <w:p w14:paraId="036F51BD" w14:textId="77777777" w:rsidR="006B70F2" w:rsidRPr="00044F4E" w:rsidRDefault="006B70F2" w:rsidP="00B5101C">
      <w:pPr>
        <w:tabs>
          <w:tab w:val="left" w:pos="2800"/>
        </w:tabs>
        <w:rPr>
          <w:rFonts w:ascii="Arial" w:hAnsi="Arial" w:cs="Arial"/>
          <w:b/>
          <w:bCs/>
          <w:sz w:val="20"/>
          <w:szCs w:val="20"/>
        </w:rPr>
      </w:pPr>
    </w:p>
    <w:p w14:paraId="106B499A" w14:textId="60DE6B73" w:rsidR="00B652FA" w:rsidRPr="00044F4E" w:rsidRDefault="00B652FA"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lastRenderedPageBreak/>
        <w:t xml:space="preserve">Table </w:t>
      </w:r>
      <w:r w:rsidR="00CB32A6" w:rsidRPr="00044F4E">
        <w:rPr>
          <w:rFonts w:ascii="Arial" w:hAnsi="Arial" w:cs="Arial"/>
          <w:sz w:val="20"/>
          <w:szCs w:val="20"/>
        </w:rPr>
        <w:t xml:space="preserve">1 </w:t>
      </w:r>
      <w:r w:rsidRPr="00044F4E">
        <w:rPr>
          <w:rFonts w:ascii="Arial" w:hAnsi="Arial" w:cs="Arial"/>
          <w:sz w:val="20"/>
          <w:szCs w:val="20"/>
        </w:rPr>
        <w:t xml:space="preserve">shows the corelation between different age brackets and incidence of patients with pregnancy induced </w:t>
      </w:r>
      <w:r w:rsidR="0020427A" w:rsidRPr="00044F4E">
        <w:rPr>
          <w:rFonts w:ascii="Arial" w:hAnsi="Arial" w:cs="Arial"/>
          <w:sz w:val="20"/>
          <w:szCs w:val="20"/>
        </w:rPr>
        <w:t>hypertension.</w:t>
      </w:r>
      <w:r w:rsidRPr="00044F4E">
        <w:rPr>
          <w:rFonts w:ascii="Arial" w:hAnsi="Arial" w:cs="Arial"/>
          <w:sz w:val="20"/>
          <w:szCs w:val="20"/>
        </w:rPr>
        <w:t xml:space="preserve"> Maximum cases of PIH were seen in the age bracket of </w:t>
      </w:r>
      <w:r w:rsidR="000A0A20" w:rsidRPr="00044F4E">
        <w:rPr>
          <w:rFonts w:ascii="Arial" w:hAnsi="Arial" w:cs="Arial"/>
          <w:sz w:val="20"/>
          <w:szCs w:val="20"/>
        </w:rPr>
        <w:t>16-20</w:t>
      </w:r>
      <w:r w:rsidR="009A2CA4">
        <w:rPr>
          <w:rFonts w:ascii="Arial" w:hAnsi="Arial" w:cs="Arial"/>
          <w:sz w:val="20"/>
          <w:szCs w:val="20"/>
        </w:rPr>
        <w:t xml:space="preserve"> </w:t>
      </w:r>
      <w:r w:rsidR="009A2CA4" w:rsidRPr="009A2CA4">
        <w:rPr>
          <w:rFonts w:ascii="Arial" w:hAnsi="Arial" w:cs="Arial"/>
          <w:sz w:val="20"/>
          <w:szCs w:val="20"/>
          <w:highlight w:val="yellow"/>
        </w:rPr>
        <w:t>years</w:t>
      </w:r>
      <w:r w:rsidRPr="00044F4E">
        <w:rPr>
          <w:rFonts w:ascii="Arial" w:hAnsi="Arial" w:cs="Arial"/>
          <w:sz w:val="20"/>
          <w:szCs w:val="20"/>
        </w:rPr>
        <w:t xml:space="preserve"> which </w:t>
      </w:r>
      <w:r w:rsidR="009A2CA4" w:rsidRPr="009A2CA4">
        <w:rPr>
          <w:rFonts w:ascii="Arial" w:hAnsi="Arial" w:cs="Arial"/>
          <w:sz w:val="20"/>
          <w:szCs w:val="20"/>
          <w:highlight w:val="yellow"/>
        </w:rPr>
        <w:t>were</w:t>
      </w:r>
      <w:r w:rsidRPr="00044F4E">
        <w:rPr>
          <w:rFonts w:ascii="Arial" w:hAnsi="Arial" w:cs="Arial"/>
          <w:sz w:val="20"/>
          <w:szCs w:val="20"/>
        </w:rPr>
        <w:t xml:space="preserve"> </w:t>
      </w:r>
      <w:r w:rsidR="00307BD4" w:rsidRPr="00044F4E">
        <w:rPr>
          <w:rFonts w:ascii="Arial" w:hAnsi="Arial" w:cs="Arial"/>
          <w:sz w:val="20"/>
          <w:szCs w:val="20"/>
        </w:rPr>
        <w:t>8</w:t>
      </w:r>
      <w:r w:rsidR="00D57713" w:rsidRPr="00044F4E">
        <w:rPr>
          <w:rFonts w:ascii="Arial" w:hAnsi="Arial" w:cs="Arial"/>
          <w:sz w:val="20"/>
          <w:szCs w:val="20"/>
        </w:rPr>
        <w:t>2</w:t>
      </w:r>
      <w:r w:rsidR="00307BD4" w:rsidRPr="00044F4E">
        <w:rPr>
          <w:rFonts w:ascii="Arial" w:hAnsi="Arial" w:cs="Arial"/>
          <w:sz w:val="20"/>
          <w:szCs w:val="20"/>
        </w:rPr>
        <w:t xml:space="preserve"> </w:t>
      </w:r>
      <w:r w:rsidR="009A2CA4" w:rsidRPr="009A2CA4">
        <w:rPr>
          <w:rFonts w:ascii="Arial" w:hAnsi="Arial" w:cs="Arial"/>
          <w:sz w:val="20"/>
          <w:szCs w:val="20"/>
          <w:highlight w:val="yellow"/>
        </w:rPr>
        <w:t>cases making up</w:t>
      </w:r>
      <w:r w:rsidR="00307BD4" w:rsidRPr="00044F4E">
        <w:rPr>
          <w:rFonts w:ascii="Arial" w:hAnsi="Arial" w:cs="Arial"/>
          <w:sz w:val="20"/>
          <w:szCs w:val="20"/>
        </w:rPr>
        <w:t xml:space="preserve"> 3</w:t>
      </w:r>
      <w:r w:rsidR="00D57713" w:rsidRPr="00044F4E">
        <w:rPr>
          <w:rFonts w:ascii="Arial" w:hAnsi="Arial" w:cs="Arial"/>
          <w:sz w:val="20"/>
          <w:szCs w:val="20"/>
        </w:rPr>
        <w:t>8</w:t>
      </w:r>
      <w:r w:rsidR="00307BD4" w:rsidRPr="00044F4E">
        <w:rPr>
          <w:rFonts w:ascii="Arial" w:hAnsi="Arial" w:cs="Arial"/>
          <w:sz w:val="20"/>
          <w:szCs w:val="20"/>
        </w:rPr>
        <w:t>%</w:t>
      </w:r>
      <w:r w:rsidR="009A2CA4">
        <w:rPr>
          <w:rFonts w:ascii="Arial" w:hAnsi="Arial" w:cs="Arial"/>
          <w:sz w:val="20"/>
          <w:szCs w:val="20"/>
        </w:rPr>
        <w:t xml:space="preserve"> </w:t>
      </w:r>
      <w:r w:rsidR="009A2CA4" w:rsidRPr="009A2CA4">
        <w:rPr>
          <w:rFonts w:ascii="Arial" w:hAnsi="Arial" w:cs="Arial"/>
          <w:sz w:val="20"/>
          <w:szCs w:val="20"/>
          <w:highlight w:val="yellow"/>
        </w:rPr>
        <w:t>of the total</w:t>
      </w:r>
      <w:r w:rsidR="009A2CA4">
        <w:rPr>
          <w:rFonts w:ascii="Arial" w:hAnsi="Arial" w:cs="Arial"/>
          <w:sz w:val="20"/>
          <w:szCs w:val="20"/>
        </w:rPr>
        <w:t>.</w:t>
      </w:r>
      <w:r w:rsidRPr="00044F4E">
        <w:rPr>
          <w:rFonts w:ascii="Arial" w:hAnsi="Arial" w:cs="Arial"/>
          <w:sz w:val="20"/>
          <w:szCs w:val="20"/>
        </w:rPr>
        <w:t xml:space="preserve"> </w:t>
      </w:r>
      <w:r w:rsidR="009A2CA4" w:rsidRPr="009A2CA4">
        <w:rPr>
          <w:rFonts w:ascii="Arial" w:hAnsi="Arial" w:cs="Arial"/>
          <w:sz w:val="20"/>
          <w:szCs w:val="20"/>
          <w:highlight w:val="yellow"/>
        </w:rPr>
        <w:t>It was</w:t>
      </w:r>
      <w:r w:rsidR="009A2CA4">
        <w:rPr>
          <w:rFonts w:ascii="Arial" w:hAnsi="Arial" w:cs="Arial"/>
          <w:sz w:val="20"/>
          <w:szCs w:val="20"/>
        </w:rPr>
        <w:t xml:space="preserve"> </w:t>
      </w:r>
      <w:r w:rsidRPr="00044F4E">
        <w:rPr>
          <w:rFonts w:ascii="Arial" w:hAnsi="Arial" w:cs="Arial"/>
          <w:color w:val="000000" w:themeColor="text1"/>
          <w:sz w:val="20"/>
          <w:szCs w:val="20"/>
        </w:rPr>
        <w:t xml:space="preserve">followed by the age bracket </w:t>
      </w:r>
      <w:r w:rsidR="009A2CA4">
        <w:rPr>
          <w:rFonts w:ascii="Arial" w:hAnsi="Arial" w:cs="Arial"/>
          <w:color w:val="000000" w:themeColor="text1"/>
          <w:sz w:val="20"/>
          <w:szCs w:val="20"/>
        </w:rPr>
        <w:t xml:space="preserve">of </w:t>
      </w:r>
      <w:r w:rsidR="000A0A20" w:rsidRPr="00044F4E">
        <w:rPr>
          <w:rFonts w:ascii="Arial" w:hAnsi="Arial" w:cs="Arial"/>
          <w:color w:val="000000" w:themeColor="text1"/>
          <w:sz w:val="20"/>
          <w:szCs w:val="20"/>
        </w:rPr>
        <w:t>30</w:t>
      </w:r>
      <w:r w:rsidRPr="00044F4E">
        <w:rPr>
          <w:rFonts w:ascii="Arial" w:hAnsi="Arial" w:cs="Arial"/>
          <w:color w:val="000000" w:themeColor="text1"/>
          <w:sz w:val="20"/>
          <w:szCs w:val="20"/>
        </w:rPr>
        <w:t>-</w:t>
      </w:r>
      <w:r w:rsidR="000A0A20" w:rsidRPr="00044F4E">
        <w:rPr>
          <w:rFonts w:ascii="Arial" w:hAnsi="Arial" w:cs="Arial"/>
          <w:color w:val="000000" w:themeColor="text1"/>
          <w:sz w:val="20"/>
          <w:szCs w:val="20"/>
        </w:rPr>
        <w:t>35</w:t>
      </w:r>
      <w:r w:rsidR="00307BD4" w:rsidRPr="00044F4E">
        <w:rPr>
          <w:rFonts w:ascii="Arial" w:hAnsi="Arial" w:cs="Arial"/>
          <w:color w:val="000000" w:themeColor="text1"/>
          <w:sz w:val="20"/>
          <w:szCs w:val="20"/>
        </w:rPr>
        <w:t xml:space="preserve"> </w:t>
      </w:r>
      <w:r w:rsidR="009A2CA4" w:rsidRPr="009A2CA4">
        <w:rPr>
          <w:rFonts w:ascii="Arial" w:hAnsi="Arial" w:cs="Arial"/>
          <w:color w:val="000000" w:themeColor="text1"/>
          <w:sz w:val="20"/>
          <w:szCs w:val="20"/>
          <w:highlight w:val="yellow"/>
        </w:rPr>
        <w:t>years</w:t>
      </w:r>
      <w:r w:rsidR="009A2CA4">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which </w:t>
      </w:r>
      <w:r w:rsidR="009A2CA4" w:rsidRPr="009A2CA4">
        <w:rPr>
          <w:rFonts w:ascii="Arial" w:hAnsi="Arial" w:cs="Arial"/>
          <w:color w:val="000000" w:themeColor="text1"/>
          <w:sz w:val="20"/>
          <w:szCs w:val="20"/>
          <w:highlight w:val="yellow"/>
        </w:rPr>
        <w:t>made up</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around 23% of the total cases. </w:t>
      </w:r>
      <w:r w:rsidRPr="00044F4E">
        <w:rPr>
          <w:rFonts w:ascii="Arial" w:hAnsi="Arial" w:cs="Arial"/>
          <w:color w:val="000000" w:themeColor="text1"/>
          <w:sz w:val="20"/>
          <w:szCs w:val="20"/>
        </w:rPr>
        <w:t xml:space="preserve">Least incidence of PIH was observed in the age group </w:t>
      </w:r>
      <w:r w:rsidR="005D32A0" w:rsidRPr="005D32A0">
        <w:rPr>
          <w:rFonts w:ascii="Arial" w:hAnsi="Arial" w:cs="Arial"/>
          <w:color w:val="000000" w:themeColor="text1"/>
          <w:sz w:val="20"/>
          <w:szCs w:val="20"/>
          <w:highlight w:val="yellow"/>
        </w:rPr>
        <w:t>of</w:t>
      </w:r>
      <w:r w:rsidR="005D32A0">
        <w:rPr>
          <w:rFonts w:ascii="Arial" w:hAnsi="Arial" w:cs="Arial"/>
          <w:color w:val="000000" w:themeColor="text1"/>
          <w:sz w:val="20"/>
          <w:szCs w:val="20"/>
        </w:rPr>
        <w:t xml:space="preserve"> </w:t>
      </w:r>
      <w:r w:rsidRPr="00044F4E">
        <w:rPr>
          <w:rFonts w:ascii="Arial" w:hAnsi="Arial" w:cs="Arial"/>
          <w:color w:val="000000" w:themeColor="text1"/>
          <w:sz w:val="20"/>
          <w:szCs w:val="20"/>
        </w:rPr>
        <w:t>20-25</w:t>
      </w:r>
      <w:r w:rsidR="005D32A0">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years</w:t>
      </w:r>
      <w:r w:rsidRPr="00044F4E">
        <w:rPr>
          <w:rFonts w:ascii="Arial" w:hAnsi="Arial" w:cs="Arial"/>
          <w:color w:val="000000" w:themeColor="text1"/>
          <w:sz w:val="20"/>
          <w:szCs w:val="20"/>
        </w:rPr>
        <w:t xml:space="preserve"> which </w:t>
      </w:r>
      <w:r w:rsidR="00307BD4" w:rsidRPr="00044F4E">
        <w:rPr>
          <w:rFonts w:ascii="Arial" w:hAnsi="Arial" w:cs="Arial"/>
          <w:color w:val="000000" w:themeColor="text1"/>
          <w:sz w:val="20"/>
          <w:szCs w:val="20"/>
        </w:rPr>
        <w:t xml:space="preserve">was </w:t>
      </w:r>
      <w:r w:rsidR="005D32A0" w:rsidRPr="005D32A0">
        <w:rPr>
          <w:rFonts w:ascii="Arial" w:hAnsi="Arial" w:cs="Arial"/>
          <w:color w:val="000000" w:themeColor="text1"/>
          <w:sz w:val="20"/>
          <w:szCs w:val="20"/>
          <w:highlight w:val="yellow"/>
        </w:rPr>
        <w:t>only</w:t>
      </w:r>
      <w:r w:rsidR="005D32A0">
        <w:rPr>
          <w:rFonts w:ascii="Arial" w:hAnsi="Arial" w:cs="Arial"/>
          <w:color w:val="000000" w:themeColor="text1"/>
          <w:sz w:val="20"/>
          <w:szCs w:val="20"/>
        </w:rPr>
        <w:t xml:space="preserve"> 3</w:t>
      </w:r>
      <w:r w:rsidR="00307BD4" w:rsidRPr="00044F4E">
        <w:rPr>
          <w:rFonts w:ascii="Arial" w:hAnsi="Arial" w:cs="Arial"/>
          <w:color w:val="000000" w:themeColor="text1"/>
          <w:sz w:val="20"/>
          <w:szCs w:val="20"/>
        </w:rPr>
        <w:t xml:space="preserve">9 resulting in about 18% of the total cases of PIH. Whereas 45 patients making up </w:t>
      </w:r>
      <w:r w:rsidR="00307BD4" w:rsidRPr="005D32A0">
        <w:rPr>
          <w:rFonts w:ascii="Arial" w:hAnsi="Arial" w:cs="Arial"/>
          <w:color w:val="000000" w:themeColor="text1"/>
          <w:sz w:val="20"/>
          <w:szCs w:val="20"/>
          <w:highlight w:val="yellow"/>
        </w:rPr>
        <w:t>20</w:t>
      </w:r>
      <w:r w:rsidR="00782654" w:rsidRPr="005D32A0">
        <w:rPr>
          <w:rFonts w:ascii="Arial" w:hAnsi="Arial" w:cs="Arial"/>
          <w:color w:val="000000" w:themeColor="text1"/>
          <w:sz w:val="20"/>
          <w:szCs w:val="20"/>
          <w:highlight w:val="yellow"/>
        </w:rPr>
        <w:t>.8</w:t>
      </w:r>
      <w:r w:rsidR="00307BD4" w:rsidRPr="005D32A0">
        <w:rPr>
          <w:rFonts w:ascii="Arial" w:hAnsi="Arial" w:cs="Arial"/>
          <w:color w:val="000000" w:themeColor="text1"/>
          <w:sz w:val="20"/>
          <w:szCs w:val="20"/>
          <w:highlight w:val="yellow"/>
        </w:rPr>
        <w:t>%</w:t>
      </w:r>
      <w:r w:rsidR="005D32A0" w:rsidRPr="005D32A0">
        <w:rPr>
          <w:rFonts w:ascii="Arial" w:hAnsi="Arial" w:cs="Arial"/>
          <w:color w:val="000000" w:themeColor="text1"/>
          <w:sz w:val="20"/>
          <w:szCs w:val="20"/>
          <w:highlight w:val="yellow"/>
        </w:rPr>
        <w:t>,</w:t>
      </w:r>
      <w:r w:rsidR="00307BD4" w:rsidRPr="00044F4E">
        <w:rPr>
          <w:rFonts w:ascii="Arial" w:hAnsi="Arial" w:cs="Arial"/>
          <w:color w:val="000000" w:themeColor="text1"/>
          <w:sz w:val="20"/>
          <w:szCs w:val="20"/>
        </w:rPr>
        <w:t xml:space="preserve"> belonged to the age group of 25-30.</w:t>
      </w:r>
      <w:r w:rsidRPr="00044F4E">
        <w:rPr>
          <w:rFonts w:ascii="Arial" w:hAnsi="Arial" w:cs="Arial"/>
          <w:color w:val="000000" w:themeColor="text1"/>
          <w:sz w:val="20"/>
          <w:szCs w:val="20"/>
        </w:rPr>
        <w:t xml:space="preserve"> </w:t>
      </w:r>
    </w:p>
    <w:p w14:paraId="7EF35C01" w14:textId="77777777" w:rsidR="00B652FA" w:rsidRPr="00044F4E" w:rsidRDefault="00B652FA" w:rsidP="00B5101C">
      <w:pPr>
        <w:tabs>
          <w:tab w:val="left" w:pos="2800"/>
        </w:tabs>
        <w:rPr>
          <w:rFonts w:ascii="Arial" w:hAnsi="Arial" w:cs="Arial"/>
          <w:sz w:val="20"/>
          <w:szCs w:val="20"/>
        </w:rPr>
      </w:pPr>
    </w:p>
    <w:p w14:paraId="591D8201" w14:textId="644ABAD5" w:rsidR="00B652FA"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 xml:space="preserve">Table 2 </w:t>
      </w:r>
      <w:bookmarkStart w:id="3" w:name="OLE_LINK4"/>
      <w:r w:rsidR="009F0B46" w:rsidRPr="00044F4E">
        <w:rPr>
          <w:rFonts w:ascii="Arial" w:hAnsi="Arial" w:cs="Arial"/>
          <w:b/>
          <w:bCs/>
          <w:sz w:val="20"/>
          <w:szCs w:val="20"/>
        </w:rPr>
        <w:t xml:space="preserve">Incidence of PIH in different </w:t>
      </w:r>
      <w:r w:rsidR="00743480" w:rsidRPr="00044F4E">
        <w:rPr>
          <w:rFonts w:ascii="Arial" w:hAnsi="Arial" w:cs="Arial"/>
          <w:b/>
          <w:bCs/>
          <w:sz w:val="20"/>
          <w:szCs w:val="20"/>
        </w:rPr>
        <w:t xml:space="preserve">Socioeconomic status  </w:t>
      </w:r>
    </w:p>
    <w:bookmarkEnd w:id="3"/>
    <w:p w14:paraId="47D001EF" w14:textId="76ACF851" w:rsidR="00B652FA" w:rsidRPr="00044F4E" w:rsidRDefault="00B652FA"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75"/>
        <w:gridCol w:w="2783"/>
        <w:gridCol w:w="2836"/>
      </w:tblGrid>
      <w:tr w:rsidR="00867C45" w:rsidRPr="00044F4E" w14:paraId="3982AF76" w14:textId="77777777" w:rsidTr="001E183E">
        <w:tc>
          <w:tcPr>
            <w:tcW w:w="2875" w:type="dxa"/>
          </w:tcPr>
          <w:p w14:paraId="2518D338" w14:textId="4A3614F7"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Socioeconomic status</w:t>
            </w:r>
          </w:p>
        </w:tc>
        <w:tc>
          <w:tcPr>
            <w:tcW w:w="2783" w:type="dxa"/>
          </w:tcPr>
          <w:p w14:paraId="446BE149" w14:textId="62CEE6D2"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36" w:type="dxa"/>
          </w:tcPr>
          <w:p w14:paraId="79AE9478" w14:textId="3679FEC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0D12E203" w14:textId="77777777" w:rsidTr="001E183E">
        <w:tc>
          <w:tcPr>
            <w:tcW w:w="2875" w:type="dxa"/>
          </w:tcPr>
          <w:p w14:paraId="6592230C" w14:textId="0827414B"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Low </w:t>
            </w:r>
          </w:p>
        </w:tc>
        <w:tc>
          <w:tcPr>
            <w:tcW w:w="2783" w:type="dxa"/>
          </w:tcPr>
          <w:p w14:paraId="325773C1" w14:textId="12B2DFE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134                             </w:t>
            </w:r>
          </w:p>
        </w:tc>
        <w:tc>
          <w:tcPr>
            <w:tcW w:w="2836" w:type="dxa"/>
          </w:tcPr>
          <w:p w14:paraId="60007845" w14:textId="4407930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62</w:t>
            </w:r>
            <w:r w:rsidR="00ED1EA5" w:rsidRPr="00044F4E">
              <w:rPr>
                <w:rFonts w:ascii="Arial" w:hAnsi="Arial" w:cs="Arial"/>
                <w:sz w:val="20"/>
                <w:szCs w:val="20"/>
              </w:rPr>
              <w:t xml:space="preserve"> %</w:t>
            </w:r>
          </w:p>
        </w:tc>
      </w:tr>
      <w:tr w:rsidR="00867C45" w:rsidRPr="00044F4E" w14:paraId="58F980B7" w14:textId="77777777" w:rsidTr="001E183E">
        <w:tc>
          <w:tcPr>
            <w:tcW w:w="2875" w:type="dxa"/>
          </w:tcPr>
          <w:p w14:paraId="287532A1" w14:textId="62B3F395"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Middle                                  </w:t>
            </w:r>
          </w:p>
        </w:tc>
        <w:tc>
          <w:tcPr>
            <w:tcW w:w="2783" w:type="dxa"/>
          </w:tcPr>
          <w:p w14:paraId="33242467" w14:textId="4F394611"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62                            </w:t>
            </w:r>
          </w:p>
        </w:tc>
        <w:tc>
          <w:tcPr>
            <w:tcW w:w="2836" w:type="dxa"/>
          </w:tcPr>
          <w:p w14:paraId="0C955C10" w14:textId="57C6F6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28.7</w:t>
            </w:r>
            <w:r w:rsidR="00ED1EA5" w:rsidRPr="00044F4E">
              <w:rPr>
                <w:rFonts w:ascii="Arial" w:hAnsi="Arial" w:cs="Arial"/>
                <w:sz w:val="20"/>
                <w:szCs w:val="20"/>
              </w:rPr>
              <w:t xml:space="preserve"> %</w:t>
            </w:r>
          </w:p>
        </w:tc>
      </w:tr>
      <w:tr w:rsidR="00867C45" w:rsidRPr="00044F4E" w14:paraId="5297949A" w14:textId="77777777" w:rsidTr="001E183E">
        <w:tc>
          <w:tcPr>
            <w:tcW w:w="2875" w:type="dxa"/>
          </w:tcPr>
          <w:p w14:paraId="76CBE171" w14:textId="58F301C3"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High                                       </w:t>
            </w:r>
          </w:p>
        </w:tc>
        <w:tc>
          <w:tcPr>
            <w:tcW w:w="2783" w:type="dxa"/>
          </w:tcPr>
          <w:p w14:paraId="06949AA6" w14:textId="4962610B"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20                             </w:t>
            </w:r>
          </w:p>
        </w:tc>
        <w:tc>
          <w:tcPr>
            <w:tcW w:w="2836" w:type="dxa"/>
          </w:tcPr>
          <w:p w14:paraId="0DFD89AE" w14:textId="7B8BC04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9.</w:t>
            </w:r>
            <w:r w:rsidR="004757F7" w:rsidRPr="00044F4E">
              <w:rPr>
                <w:rFonts w:ascii="Arial" w:hAnsi="Arial" w:cs="Arial"/>
                <w:sz w:val="20"/>
                <w:szCs w:val="20"/>
              </w:rPr>
              <w:t>3</w:t>
            </w:r>
            <w:r w:rsidR="00ED1EA5" w:rsidRPr="00044F4E">
              <w:rPr>
                <w:rFonts w:ascii="Arial" w:hAnsi="Arial" w:cs="Arial"/>
                <w:sz w:val="20"/>
                <w:szCs w:val="20"/>
              </w:rPr>
              <w:t xml:space="preserve"> %</w:t>
            </w:r>
          </w:p>
        </w:tc>
      </w:tr>
    </w:tbl>
    <w:p w14:paraId="03678703" w14:textId="77777777" w:rsidR="006B70F2" w:rsidRDefault="006B70F2" w:rsidP="00B5101C">
      <w:pPr>
        <w:tabs>
          <w:tab w:val="left" w:pos="2800"/>
        </w:tabs>
        <w:rPr>
          <w:rFonts w:ascii="Arial" w:hAnsi="Arial" w:cs="Arial"/>
          <w:sz w:val="20"/>
          <w:szCs w:val="20"/>
        </w:rPr>
      </w:pPr>
    </w:p>
    <w:p w14:paraId="11E70DA9" w14:textId="06444068" w:rsidR="00B652FA" w:rsidRDefault="001E183E" w:rsidP="00B5101C">
      <w:pPr>
        <w:tabs>
          <w:tab w:val="left" w:pos="2800"/>
        </w:tabs>
        <w:rPr>
          <w:rFonts w:ascii="Arial" w:hAnsi="Arial" w:cs="Arial"/>
          <w:sz w:val="20"/>
          <w:szCs w:val="20"/>
        </w:rPr>
      </w:pPr>
      <w:r>
        <w:rPr>
          <w:noProof/>
        </w:rPr>
        <w:drawing>
          <wp:inline distT="0" distB="0" distL="0" distR="0" wp14:anchorId="447CB330" wp14:editId="70617F50">
            <wp:extent cx="5400040" cy="3150235"/>
            <wp:effectExtent l="0" t="0" r="10160" b="12065"/>
            <wp:docPr id="1360941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72A2FA" w14:textId="36FEAC21" w:rsidR="006B70F2" w:rsidRDefault="006B70F2" w:rsidP="00B5101C">
      <w:pPr>
        <w:tabs>
          <w:tab w:val="left" w:pos="2800"/>
        </w:tabs>
        <w:rPr>
          <w:rFonts w:ascii="Arial" w:hAnsi="Arial" w:cs="Arial"/>
          <w:sz w:val="20"/>
          <w:szCs w:val="20"/>
        </w:rPr>
      </w:pPr>
      <w:r>
        <w:rPr>
          <w:rFonts w:ascii="Arial" w:hAnsi="Arial" w:cs="Arial"/>
          <w:sz w:val="20"/>
          <w:szCs w:val="20"/>
        </w:rPr>
        <w:t xml:space="preserve">Fig. 2 - </w:t>
      </w:r>
      <w:r w:rsidRPr="006B70F2">
        <w:rPr>
          <w:rFonts w:ascii="Arial" w:hAnsi="Arial" w:cs="Arial"/>
          <w:sz w:val="20"/>
          <w:szCs w:val="20"/>
        </w:rPr>
        <w:t xml:space="preserve">Incidence of PIH in different Socioeconomic status  </w:t>
      </w:r>
    </w:p>
    <w:p w14:paraId="17D0EE91" w14:textId="77777777" w:rsidR="006B70F2" w:rsidRPr="00044F4E" w:rsidRDefault="006B70F2" w:rsidP="00B5101C">
      <w:pPr>
        <w:tabs>
          <w:tab w:val="left" w:pos="2800"/>
        </w:tabs>
        <w:rPr>
          <w:rFonts w:ascii="Arial" w:hAnsi="Arial" w:cs="Arial"/>
          <w:sz w:val="20"/>
          <w:szCs w:val="20"/>
        </w:rPr>
      </w:pPr>
    </w:p>
    <w:p w14:paraId="6803CC15" w14:textId="78511330" w:rsidR="00B652FA" w:rsidRPr="00044F4E" w:rsidRDefault="00B652FA" w:rsidP="00B5101C">
      <w:pPr>
        <w:tabs>
          <w:tab w:val="left" w:pos="2800"/>
        </w:tabs>
        <w:jc w:val="both"/>
        <w:rPr>
          <w:rFonts w:ascii="Arial" w:hAnsi="Arial" w:cs="Arial"/>
          <w:sz w:val="20"/>
          <w:szCs w:val="20"/>
        </w:rPr>
      </w:pPr>
      <w:r w:rsidRPr="00044F4E">
        <w:rPr>
          <w:rFonts w:ascii="Arial" w:hAnsi="Arial" w:cs="Arial"/>
          <w:sz w:val="20"/>
          <w:szCs w:val="20"/>
        </w:rPr>
        <w:t>T</w:t>
      </w:r>
      <w:r w:rsidR="00295EB6" w:rsidRPr="00044F4E">
        <w:rPr>
          <w:rFonts w:ascii="Arial" w:hAnsi="Arial" w:cs="Arial"/>
          <w:sz w:val="20"/>
          <w:szCs w:val="20"/>
        </w:rPr>
        <w:t>able 2 shows t</w:t>
      </w:r>
      <w:r w:rsidRPr="00044F4E">
        <w:rPr>
          <w:rFonts w:ascii="Arial" w:hAnsi="Arial" w:cs="Arial"/>
          <w:sz w:val="20"/>
          <w:szCs w:val="20"/>
        </w:rPr>
        <w:t xml:space="preserve">here is a stark difference seen in the incidence of </w:t>
      </w:r>
      <w:r w:rsidR="009400DA" w:rsidRPr="00044F4E">
        <w:rPr>
          <w:rFonts w:ascii="Arial" w:hAnsi="Arial" w:cs="Arial"/>
          <w:sz w:val="20"/>
          <w:szCs w:val="20"/>
        </w:rPr>
        <w:t>PIH</w:t>
      </w:r>
      <w:r w:rsidRPr="00044F4E">
        <w:rPr>
          <w:rFonts w:ascii="Arial" w:hAnsi="Arial" w:cs="Arial"/>
          <w:sz w:val="20"/>
          <w:szCs w:val="20"/>
        </w:rPr>
        <w:t xml:space="preserve"> on basis of </w:t>
      </w:r>
      <w:r w:rsidR="005D32A0" w:rsidRPr="005D32A0">
        <w:rPr>
          <w:rFonts w:ascii="Arial" w:hAnsi="Arial" w:cs="Arial"/>
          <w:sz w:val="20"/>
          <w:szCs w:val="20"/>
          <w:highlight w:val="yellow"/>
        </w:rPr>
        <w:t>the</w:t>
      </w:r>
      <w:r w:rsidR="005D32A0">
        <w:rPr>
          <w:rFonts w:ascii="Arial" w:hAnsi="Arial" w:cs="Arial"/>
          <w:sz w:val="20"/>
          <w:szCs w:val="20"/>
        </w:rPr>
        <w:t xml:space="preserve"> </w:t>
      </w:r>
      <w:r w:rsidRPr="00044F4E">
        <w:rPr>
          <w:rFonts w:ascii="Arial" w:hAnsi="Arial" w:cs="Arial"/>
          <w:sz w:val="20"/>
          <w:szCs w:val="20"/>
        </w:rPr>
        <w:t>socioeconomic status of patients. Most cases belonged from low socioeconomic background which comprise about</w:t>
      </w:r>
      <w:r w:rsidR="00307BD4" w:rsidRPr="00044F4E">
        <w:rPr>
          <w:rFonts w:ascii="Arial" w:hAnsi="Arial" w:cs="Arial"/>
          <w:sz w:val="20"/>
          <w:szCs w:val="20"/>
        </w:rPr>
        <w:t xml:space="preserve"> 134 of the total 216 cases making up 62% of the total.</w:t>
      </w:r>
      <w:r w:rsidRPr="00044F4E">
        <w:rPr>
          <w:rFonts w:ascii="Arial" w:hAnsi="Arial" w:cs="Arial"/>
          <w:color w:val="FF0000"/>
          <w:sz w:val="20"/>
          <w:szCs w:val="20"/>
        </w:rPr>
        <w:t xml:space="preserve"> </w:t>
      </w:r>
      <w:r w:rsidRPr="00044F4E">
        <w:rPr>
          <w:rFonts w:ascii="Arial" w:hAnsi="Arial" w:cs="Arial"/>
          <w:color w:val="000000" w:themeColor="text1"/>
          <w:sz w:val="20"/>
          <w:szCs w:val="20"/>
        </w:rPr>
        <w:t>Patients belonging to middle socioeconomic status</w:t>
      </w:r>
      <w:r w:rsidR="00307BD4" w:rsidRPr="00044F4E">
        <w:rPr>
          <w:rFonts w:ascii="Arial" w:hAnsi="Arial" w:cs="Arial"/>
          <w:color w:val="000000" w:themeColor="text1"/>
          <w:sz w:val="20"/>
          <w:szCs w:val="20"/>
        </w:rPr>
        <w:t xml:space="preserve"> were 62</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amounting to </w:t>
      </w:r>
      <w:r w:rsidRPr="00044F4E">
        <w:rPr>
          <w:rFonts w:ascii="Arial" w:hAnsi="Arial" w:cs="Arial"/>
          <w:color w:val="000000" w:themeColor="text1"/>
          <w:sz w:val="20"/>
          <w:szCs w:val="20"/>
        </w:rPr>
        <w:t xml:space="preserve">about </w:t>
      </w:r>
      <w:r w:rsidR="00307BD4" w:rsidRPr="00044F4E">
        <w:rPr>
          <w:rFonts w:ascii="Arial" w:hAnsi="Arial" w:cs="Arial"/>
          <w:color w:val="000000" w:themeColor="text1"/>
          <w:sz w:val="20"/>
          <w:szCs w:val="20"/>
        </w:rPr>
        <w:t>28.7%</w:t>
      </w:r>
      <w:r w:rsidR="00307BD4" w:rsidRPr="00044F4E">
        <w:rPr>
          <w:rFonts w:ascii="Arial" w:hAnsi="Arial" w:cs="Arial"/>
          <w:color w:val="FF0000"/>
          <w:sz w:val="20"/>
          <w:szCs w:val="20"/>
        </w:rPr>
        <w:t xml:space="preserve"> </w:t>
      </w:r>
      <w:r w:rsidRPr="00044F4E">
        <w:rPr>
          <w:rFonts w:ascii="Arial" w:hAnsi="Arial" w:cs="Arial"/>
          <w:color w:val="000000" w:themeColor="text1"/>
          <w:sz w:val="20"/>
          <w:szCs w:val="20"/>
        </w:rPr>
        <w:t xml:space="preserve">whereas </w:t>
      </w:r>
      <w:r w:rsidR="00307BD4" w:rsidRPr="00044F4E">
        <w:rPr>
          <w:rFonts w:ascii="Arial" w:hAnsi="Arial" w:cs="Arial"/>
          <w:color w:val="000000" w:themeColor="text1"/>
          <w:sz w:val="20"/>
          <w:szCs w:val="20"/>
        </w:rPr>
        <w:t xml:space="preserve">only 20 </w:t>
      </w:r>
      <w:r w:rsidRPr="00044F4E">
        <w:rPr>
          <w:rFonts w:ascii="Arial" w:hAnsi="Arial" w:cs="Arial"/>
          <w:color w:val="000000" w:themeColor="text1"/>
          <w:sz w:val="20"/>
          <w:szCs w:val="20"/>
        </w:rPr>
        <w:t>patients belong</w:t>
      </w:r>
      <w:r w:rsidR="00307BD4" w:rsidRPr="00044F4E">
        <w:rPr>
          <w:rFonts w:ascii="Arial" w:hAnsi="Arial" w:cs="Arial"/>
          <w:color w:val="000000" w:themeColor="text1"/>
          <w:sz w:val="20"/>
          <w:szCs w:val="20"/>
        </w:rPr>
        <w:t xml:space="preserve">ed </w:t>
      </w:r>
      <w:r w:rsidRPr="00044F4E">
        <w:rPr>
          <w:rFonts w:ascii="Arial" w:hAnsi="Arial" w:cs="Arial"/>
          <w:color w:val="000000" w:themeColor="text1"/>
          <w:sz w:val="20"/>
          <w:szCs w:val="20"/>
        </w:rPr>
        <w:t>to high socioeconomic status mak</w:t>
      </w:r>
      <w:r w:rsidR="00307BD4" w:rsidRPr="00044F4E">
        <w:rPr>
          <w:rFonts w:ascii="Arial" w:hAnsi="Arial" w:cs="Arial"/>
          <w:color w:val="000000" w:themeColor="text1"/>
          <w:sz w:val="20"/>
          <w:szCs w:val="20"/>
        </w:rPr>
        <w:t>ing</w:t>
      </w:r>
      <w:r w:rsidRPr="00044F4E">
        <w:rPr>
          <w:rFonts w:ascii="Arial" w:hAnsi="Arial" w:cs="Arial"/>
          <w:color w:val="000000" w:themeColor="text1"/>
          <w:sz w:val="20"/>
          <w:szCs w:val="20"/>
        </w:rPr>
        <w:t xml:space="preserve"> up </w:t>
      </w:r>
      <w:r w:rsidR="00307BD4" w:rsidRPr="00044F4E">
        <w:rPr>
          <w:rFonts w:ascii="Arial" w:hAnsi="Arial" w:cs="Arial"/>
          <w:color w:val="000000" w:themeColor="text1"/>
          <w:sz w:val="20"/>
          <w:szCs w:val="20"/>
        </w:rPr>
        <w:t>only 9.</w:t>
      </w:r>
      <w:r w:rsidR="00791959" w:rsidRPr="00044F4E">
        <w:rPr>
          <w:rFonts w:ascii="Arial" w:hAnsi="Arial" w:cs="Arial"/>
          <w:color w:val="000000" w:themeColor="text1"/>
          <w:sz w:val="20"/>
          <w:szCs w:val="20"/>
        </w:rPr>
        <w:t>3</w:t>
      </w:r>
      <w:r w:rsidR="00307BD4" w:rsidRPr="00044F4E">
        <w:rPr>
          <w:rFonts w:ascii="Arial" w:hAnsi="Arial" w:cs="Arial"/>
          <w:color w:val="000000" w:themeColor="text1"/>
          <w:sz w:val="20"/>
          <w:szCs w:val="20"/>
        </w:rPr>
        <w:t>% of the</w:t>
      </w:r>
      <w:r w:rsidR="005D32A0">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total</w:t>
      </w:r>
      <w:r w:rsidR="00307BD4" w:rsidRPr="00044F4E">
        <w:rPr>
          <w:rFonts w:ascii="Arial" w:hAnsi="Arial" w:cs="Arial"/>
          <w:color w:val="000000" w:themeColor="text1"/>
          <w:sz w:val="20"/>
          <w:szCs w:val="20"/>
        </w:rPr>
        <w:t xml:space="preserve"> cases. </w:t>
      </w:r>
      <w:r w:rsidR="0020427A" w:rsidRPr="00044F4E">
        <w:rPr>
          <w:rFonts w:ascii="Arial" w:hAnsi="Arial" w:cs="Arial"/>
          <w:sz w:val="20"/>
          <w:szCs w:val="20"/>
        </w:rPr>
        <w:t>Thus,</w:t>
      </w:r>
      <w:r w:rsidRPr="00044F4E">
        <w:rPr>
          <w:rFonts w:ascii="Arial" w:hAnsi="Arial" w:cs="Arial"/>
          <w:sz w:val="20"/>
          <w:szCs w:val="20"/>
        </w:rPr>
        <w:t xml:space="preserve"> least incidence of </w:t>
      </w:r>
      <w:r w:rsidR="009400DA" w:rsidRPr="00044F4E">
        <w:rPr>
          <w:rFonts w:ascii="Arial" w:hAnsi="Arial" w:cs="Arial"/>
          <w:sz w:val="20"/>
          <w:szCs w:val="20"/>
        </w:rPr>
        <w:t>PIH</w:t>
      </w:r>
      <w:r w:rsidRPr="00044F4E">
        <w:rPr>
          <w:rFonts w:ascii="Arial" w:hAnsi="Arial" w:cs="Arial"/>
          <w:sz w:val="20"/>
          <w:szCs w:val="20"/>
        </w:rPr>
        <w:t xml:space="preserve"> was seen in people belonging to high </w:t>
      </w:r>
      <w:r w:rsidR="0020427A" w:rsidRPr="00044F4E">
        <w:rPr>
          <w:rFonts w:ascii="Arial" w:hAnsi="Arial" w:cs="Arial"/>
          <w:sz w:val="20"/>
          <w:szCs w:val="20"/>
        </w:rPr>
        <w:t>socio-economic</w:t>
      </w:r>
      <w:r w:rsidRPr="00044F4E">
        <w:rPr>
          <w:rFonts w:ascii="Arial" w:hAnsi="Arial" w:cs="Arial"/>
          <w:sz w:val="20"/>
          <w:szCs w:val="20"/>
        </w:rPr>
        <w:t xml:space="preserve"> status.</w:t>
      </w:r>
    </w:p>
    <w:p w14:paraId="74B92A9A" w14:textId="77777777" w:rsidR="00B652FA" w:rsidRPr="00044F4E" w:rsidRDefault="00B652FA" w:rsidP="00B5101C">
      <w:pPr>
        <w:tabs>
          <w:tab w:val="left" w:pos="2800"/>
        </w:tabs>
        <w:rPr>
          <w:rFonts w:ascii="Arial" w:hAnsi="Arial" w:cs="Arial"/>
          <w:sz w:val="20"/>
          <w:szCs w:val="20"/>
        </w:rPr>
      </w:pPr>
    </w:p>
    <w:p w14:paraId="4F85F28E" w14:textId="77777777" w:rsidR="00D201F1" w:rsidRPr="00044F4E" w:rsidRDefault="00CA6C71" w:rsidP="00B5101C">
      <w:pPr>
        <w:tabs>
          <w:tab w:val="left" w:pos="2800"/>
        </w:tabs>
        <w:rPr>
          <w:rFonts w:ascii="Arial" w:hAnsi="Arial" w:cs="Arial"/>
          <w:b/>
          <w:bCs/>
          <w:sz w:val="20"/>
          <w:szCs w:val="20"/>
        </w:rPr>
      </w:pPr>
      <w:r w:rsidRPr="00044F4E">
        <w:rPr>
          <w:rFonts w:ascii="Arial" w:hAnsi="Arial" w:cs="Arial"/>
          <w:b/>
          <w:bCs/>
          <w:sz w:val="20"/>
          <w:szCs w:val="20"/>
        </w:rPr>
        <w:t xml:space="preserve">Table 3 </w:t>
      </w:r>
      <w:r w:rsidR="009F0B46" w:rsidRPr="00044F4E">
        <w:rPr>
          <w:rFonts w:ascii="Arial" w:hAnsi="Arial" w:cs="Arial"/>
          <w:b/>
          <w:bCs/>
          <w:sz w:val="20"/>
          <w:szCs w:val="20"/>
        </w:rPr>
        <w:t xml:space="preserve">Incidence of PIH on basis of </w:t>
      </w:r>
      <w:r w:rsidR="00B652FA" w:rsidRPr="00044F4E">
        <w:rPr>
          <w:rFonts w:ascii="Arial" w:hAnsi="Arial" w:cs="Arial"/>
          <w:b/>
          <w:bCs/>
          <w:sz w:val="20"/>
          <w:szCs w:val="20"/>
        </w:rPr>
        <w:t>R</w:t>
      </w:r>
      <w:r w:rsidR="002C5FEF" w:rsidRPr="00044F4E">
        <w:rPr>
          <w:rFonts w:ascii="Arial" w:hAnsi="Arial" w:cs="Arial"/>
          <w:b/>
          <w:bCs/>
          <w:sz w:val="20"/>
          <w:szCs w:val="20"/>
        </w:rPr>
        <w:t xml:space="preserve">esidence       </w:t>
      </w:r>
    </w:p>
    <w:p w14:paraId="7E8A4401" w14:textId="4E593653" w:rsidR="00B652FA"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42"/>
        <w:gridCol w:w="2802"/>
        <w:gridCol w:w="2850"/>
      </w:tblGrid>
      <w:tr w:rsidR="004E5347" w:rsidRPr="00044F4E" w14:paraId="20FCE0D0" w14:textId="77777777" w:rsidTr="000B50AA">
        <w:tc>
          <w:tcPr>
            <w:tcW w:w="3005" w:type="dxa"/>
          </w:tcPr>
          <w:p w14:paraId="44AC5D18" w14:textId="6D126DB9"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 xml:space="preserve">Residence             </w:t>
            </w:r>
          </w:p>
        </w:tc>
        <w:tc>
          <w:tcPr>
            <w:tcW w:w="3005" w:type="dxa"/>
          </w:tcPr>
          <w:p w14:paraId="237C3FE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0AC671E"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5EA3E25F" w14:textId="77777777" w:rsidTr="000B50AA">
        <w:tc>
          <w:tcPr>
            <w:tcW w:w="3005" w:type="dxa"/>
          </w:tcPr>
          <w:p w14:paraId="2049493B" w14:textId="73C4E418"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Rural                      </w:t>
            </w:r>
          </w:p>
        </w:tc>
        <w:tc>
          <w:tcPr>
            <w:tcW w:w="3005" w:type="dxa"/>
          </w:tcPr>
          <w:p w14:paraId="368B22B8" w14:textId="153B171A"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126                          </w:t>
            </w:r>
          </w:p>
        </w:tc>
        <w:tc>
          <w:tcPr>
            <w:tcW w:w="3006" w:type="dxa"/>
          </w:tcPr>
          <w:p w14:paraId="12BFAEDC" w14:textId="337000A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58.3</w:t>
            </w:r>
            <w:r w:rsidR="00ED1EA5" w:rsidRPr="00044F4E">
              <w:rPr>
                <w:rFonts w:ascii="Arial" w:hAnsi="Arial" w:cs="Arial"/>
                <w:sz w:val="20"/>
                <w:szCs w:val="20"/>
              </w:rPr>
              <w:t xml:space="preserve"> %</w:t>
            </w:r>
          </w:p>
        </w:tc>
      </w:tr>
      <w:tr w:rsidR="004E5347" w:rsidRPr="00044F4E" w14:paraId="19BA4CC5" w14:textId="77777777" w:rsidTr="000B50AA">
        <w:tc>
          <w:tcPr>
            <w:tcW w:w="3005" w:type="dxa"/>
          </w:tcPr>
          <w:p w14:paraId="5030360B" w14:textId="44A12C42"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Urban                      </w:t>
            </w:r>
          </w:p>
        </w:tc>
        <w:tc>
          <w:tcPr>
            <w:tcW w:w="3005" w:type="dxa"/>
          </w:tcPr>
          <w:p w14:paraId="64963489" w14:textId="392EB3A5"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90</w:t>
            </w:r>
          </w:p>
        </w:tc>
        <w:tc>
          <w:tcPr>
            <w:tcW w:w="3006" w:type="dxa"/>
          </w:tcPr>
          <w:p w14:paraId="716A653A" w14:textId="7BC3789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41.</w:t>
            </w:r>
            <w:r w:rsidR="00477D9A" w:rsidRPr="00044F4E">
              <w:rPr>
                <w:rFonts w:ascii="Arial" w:hAnsi="Arial" w:cs="Arial"/>
                <w:sz w:val="20"/>
                <w:szCs w:val="20"/>
              </w:rPr>
              <w:t>7</w:t>
            </w:r>
            <w:r w:rsidR="00ED1EA5" w:rsidRPr="00044F4E">
              <w:rPr>
                <w:rFonts w:ascii="Arial" w:hAnsi="Arial" w:cs="Arial"/>
                <w:sz w:val="20"/>
                <w:szCs w:val="20"/>
              </w:rPr>
              <w:t xml:space="preserve"> %</w:t>
            </w:r>
          </w:p>
        </w:tc>
      </w:tr>
      <w:tr w:rsidR="004E5347" w:rsidRPr="00044F4E" w14:paraId="2C7740F2" w14:textId="77777777" w:rsidTr="000B50AA">
        <w:tc>
          <w:tcPr>
            <w:tcW w:w="3005" w:type="dxa"/>
          </w:tcPr>
          <w:p w14:paraId="1B1FEE38" w14:textId="057344E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3302AD37" w14:textId="013B8E7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08BBECC7" w14:textId="646A77B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4E5104A" w14:textId="77777777" w:rsidR="00307BD4" w:rsidRDefault="00307BD4" w:rsidP="00B5101C">
      <w:pPr>
        <w:tabs>
          <w:tab w:val="left" w:pos="2800"/>
        </w:tabs>
        <w:rPr>
          <w:rFonts w:ascii="Arial" w:hAnsi="Arial" w:cs="Arial"/>
          <w:sz w:val="20"/>
          <w:szCs w:val="20"/>
        </w:rPr>
      </w:pPr>
    </w:p>
    <w:p w14:paraId="6027D65A" w14:textId="6F7954E7" w:rsidR="006B70F2" w:rsidRDefault="006B70F2" w:rsidP="00B5101C">
      <w:pPr>
        <w:tabs>
          <w:tab w:val="left" w:pos="2800"/>
        </w:tabs>
        <w:rPr>
          <w:rFonts w:ascii="Arial" w:hAnsi="Arial" w:cs="Arial"/>
          <w:sz w:val="20"/>
          <w:szCs w:val="20"/>
        </w:rPr>
      </w:pPr>
      <w:r>
        <w:rPr>
          <w:rFonts w:ascii="Arial" w:hAnsi="Arial" w:cs="Arial"/>
          <w:noProof/>
          <w:sz w:val="20"/>
          <w:szCs w:val="20"/>
        </w:rPr>
        <w:lastRenderedPageBreak/>
        <w:drawing>
          <wp:inline distT="0" distB="0" distL="0" distR="0" wp14:anchorId="1CBB1E3A" wp14:editId="2534BAC9">
            <wp:extent cx="5400040" cy="3150235"/>
            <wp:effectExtent l="0" t="0" r="10160" b="12065"/>
            <wp:docPr id="18785032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F90A7C" w14:textId="385D544B" w:rsidR="006B70F2" w:rsidRDefault="006B70F2" w:rsidP="00B5101C">
      <w:pPr>
        <w:tabs>
          <w:tab w:val="left" w:pos="2800"/>
        </w:tabs>
        <w:rPr>
          <w:rFonts w:ascii="Arial" w:hAnsi="Arial" w:cs="Arial"/>
          <w:sz w:val="20"/>
          <w:szCs w:val="20"/>
        </w:rPr>
      </w:pPr>
      <w:r>
        <w:rPr>
          <w:rFonts w:ascii="Arial" w:hAnsi="Arial" w:cs="Arial"/>
          <w:sz w:val="20"/>
          <w:szCs w:val="20"/>
        </w:rPr>
        <w:t xml:space="preserve">Fig. 3 - </w:t>
      </w:r>
      <w:r w:rsidRPr="006B70F2">
        <w:rPr>
          <w:rFonts w:ascii="Arial" w:hAnsi="Arial" w:cs="Arial"/>
          <w:sz w:val="20"/>
          <w:szCs w:val="20"/>
        </w:rPr>
        <w:t>Incidence of PIH on basis of Residence</w:t>
      </w:r>
    </w:p>
    <w:p w14:paraId="426661B5" w14:textId="77777777" w:rsidR="006B70F2" w:rsidRPr="00044F4E" w:rsidRDefault="006B70F2" w:rsidP="00B5101C">
      <w:pPr>
        <w:tabs>
          <w:tab w:val="left" w:pos="2800"/>
        </w:tabs>
        <w:rPr>
          <w:rFonts w:ascii="Arial" w:hAnsi="Arial" w:cs="Arial"/>
          <w:sz w:val="20"/>
          <w:szCs w:val="20"/>
        </w:rPr>
      </w:pPr>
    </w:p>
    <w:p w14:paraId="22AEB855" w14:textId="29833C5A"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 xml:space="preserve">Table 3 </w:t>
      </w:r>
      <w:r w:rsidR="00B652FA" w:rsidRPr="00044F4E">
        <w:rPr>
          <w:rFonts w:ascii="Arial" w:hAnsi="Arial" w:cs="Arial"/>
          <w:sz w:val="20"/>
          <w:szCs w:val="20"/>
        </w:rPr>
        <w:t>depicts the association between</w:t>
      </w:r>
      <w:r w:rsidR="005D32A0">
        <w:rPr>
          <w:rFonts w:ascii="Arial" w:hAnsi="Arial" w:cs="Arial"/>
          <w:sz w:val="20"/>
          <w:szCs w:val="20"/>
        </w:rPr>
        <w:t xml:space="preserve"> </w:t>
      </w:r>
      <w:r w:rsidR="005D32A0" w:rsidRPr="005D32A0">
        <w:rPr>
          <w:rFonts w:ascii="Arial" w:hAnsi="Arial" w:cs="Arial"/>
          <w:sz w:val="20"/>
          <w:szCs w:val="20"/>
          <w:highlight w:val="yellow"/>
        </w:rPr>
        <w:t>type of</w:t>
      </w:r>
      <w:r w:rsidR="00B652FA" w:rsidRPr="00044F4E">
        <w:rPr>
          <w:rFonts w:ascii="Arial" w:hAnsi="Arial" w:cs="Arial"/>
          <w:sz w:val="20"/>
          <w:szCs w:val="20"/>
        </w:rPr>
        <w:t xml:space="preserve"> residence and incidence of </w:t>
      </w:r>
      <w:r w:rsidR="009400DA" w:rsidRPr="00044F4E">
        <w:rPr>
          <w:rFonts w:ascii="Arial" w:hAnsi="Arial" w:cs="Arial"/>
          <w:sz w:val="20"/>
          <w:szCs w:val="20"/>
        </w:rPr>
        <w:t>PIH</w:t>
      </w:r>
      <w:r w:rsidR="00B652FA" w:rsidRPr="00044F4E">
        <w:rPr>
          <w:rFonts w:ascii="Arial" w:hAnsi="Arial" w:cs="Arial"/>
          <w:sz w:val="20"/>
          <w:szCs w:val="20"/>
        </w:rPr>
        <w:t xml:space="preserve">. </w:t>
      </w:r>
      <w:r w:rsidR="00307BD4" w:rsidRPr="00044F4E">
        <w:rPr>
          <w:rFonts w:ascii="Arial" w:hAnsi="Arial" w:cs="Arial"/>
          <w:sz w:val="20"/>
          <w:szCs w:val="20"/>
        </w:rPr>
        <w:t>126 out of 216 patients presenting with PIH came</w:t>
      </w:r>
      <w:r w:rsidR="00B652FA" w:rsidRPr="00044F4E">
        <w:rPr>
          <w:rFonts w:ascii="Arial" w:hAnsi="Arial" w:cs="Arial"/>
          <w:sz w:val="20"/>
          <w:szCs w:val="20"/>
        </w:rPr>
        <w:t xml:space="preserve"> from rural areas which constitute about</w:t>
      </w:r>
      <w:r w:rsidR="00307BD4" w:rsidRPr="00044F4E">
        <w:rPr>
          <w:rFonts w:ascii="Arial" w:hAnsi="Arial" w:cs="Arial"/>
          <w:sz w:val="20"/>
          <w:szCs w:val="20"/>
        </w:rPr>
        <w:t xml:space="preserve"> 58.3</w:t>
      </w:r>
      <w:r w:rsidR="004E5347" w:rsidRPr="00044F4E">
        <w:rPr>
          <w:rFonts w:ascii="Arial" w:hAnsi="Arial" w:cs="Arial"/>
          <w:sz w:val="20"/>
          <w:szCs w:val="20"/>
        </w:rPr>
        <w:t>% of</w:t>
      </w:r>
      <w:r w:rsidR="00B652FA" w:rsidRPr="00044F4E">
        <w:rPr>
          <w:rFonts w:ascii="Arial" w:hAnsi="Arial" w:cs="Arial"/>
          <w:color w:val="000000" w:themeColor="text1"/>
          <w:sz w:val="20"/>
          <w:szCs w:val="20"/>
        </w:rPr>
        <w:t xml:space="preserve"> the cases whereas only</w:t>
      </w:r>
      <w:r w:rsidR="00307BD4" w:rsidRPr="00044F4E">
        <w:rPr>
          <w:rFonts w:ascii="Arial" w:hAnsi="Arial" w:cs="Arial"/>
          <w:color w:val="000000" w:themeColor="text1"/>
          <w:sz w:val="20"/>
          <w:szCs w:val="20"/>
        </w:rPr>
        <w:t xml:space="preserve"> </w:t>
      </w:r>
      <w:r w:rsidR="0020427A" w:rsidRPr="00044F4E">
        <w:rPr>
          <w:rFonts w:ascii="Arial" w:hAnsi="Arial" w:cs="Arial"/>
          <w:color w:val="000000" w:themeColor="text1"/>
          <w:sz w:val="20"/>
          <w:szCs w:val="20"/>
        </w:rPr>
        <w:t>90 patients</w:t>
      </w:r>
      <w:r w:rsidR="00B652FA" w:rsidRPr="00044F4E">
        <w:rPr>
          <w:rFonts w:ascii="Arial" w:hAnsi="Arial" w:cs="Arial"/>
          <w:color w:val="000000" w:themeColor="text1"/>
          <w:sz w:val="20"/>
          <w:szCs w:val="20"/>
        </w:rPr>
        <w:t xml:space="preserve"> </w:t>
      </w:r>
      <w:r w:rsidR="00B652FA" w:rsidRPr="005D32A0">
        <w:rPr>
          <w:rFonts w:ascii="Arial" w:hAnsi="Arial" w:cs="Arial"/>
          <w:color w:val="000000" w:themeColor="text1"/>
          <w:sz w:val="20"/>
          <w:szCs w:val="20"/>
          <w:highlight w:val="yellow"/>
        </w:rPr>
        <w:t>belong</w:t>
      </w:r>
      <w:r w:rsidR="005D32A0" w:rsidRPr="005D32A0">
        <w:rPr>
          <w:rFonts w:ascii="Arial" w:hAnsi="Arial" w:cs="Arial"/>
          <w:color w:val="000000" w:themeColor="text1"/>
          <w:sz w:val="20"/>
          <w:szCs w:val="20"/>
          <w:highlight w:val="yellow"/>
        </w:rPr>
        <w:t>ed</w:t>
      </w:r>
      <w:r w:rsidR="00B652FA" w:rsidRPr="00044F4E">
        <w:rPr>
          <w:rFonts w:ascii="Arial" w:hAnsi="Arial" w:cs="Arial"/>
          <w:color w:val="000000" w:themeColor="text1"/>
          <w:sz w:val="20"/>
          <w:szCs w:val="20"/>
        </w:rPr>
        <w:t xml:space="preserve"> to urban areas</w:t>
      </w:r>
      <w:r w:rsidR="00307BD4" w:rsidRPr="00044F4E">
        <w:rPr>
          <w:rFonts w:ascii="Arial" w:hAnsi="Arial" w:cs="Arial"/>
          <w:color w:val="000000" w:themeColor="text1"/>
          <w:sz w:val="20"/>
          <w:szCs w:val="20"/>
        </w:rPr>
        <w:t xml:space="preserve"> accounting for 41.</w:t>
      </w:r>
      <w:r w:rsidR="00C15388" w:rsidRPr="00044F4E">
        <w:rPr>
          <w:rFonts w:ascii="Arial" w:hAnsi="Arial" w:cs="Arial"/>
          <w:color w:val="000000" w:themeColor="text1"/>
          <w:sz w:val="20"/>
          <w:szCs w:val="20"/>
        </w:rPr>
        <w:t>7</w:t>
      </w:r>
      <w:r w:rsidR="00307BD4" w:rsidRPr="00044F4E">
        <w:rPr>
          <w:rFonts w:ascii="Arial" w:hAnsi="Arial" w:cs="Arial"/>
          <w:color w:val="000000" w:themeColor="text1"/>
          <w:sz w:val="20"/>
          <w:szCs w:val="20"/>
        </w:rPr>
        <w:t xml:space="preserve">% of the cases. </w:t>
      </w:r>
      <w:r w:rsidR="005D32A0" w:rsidRPr="005D32A0">
        <w:rPr>
          <w:rFonts w:ascii="Arial" w:hAnsi="Arial" w:cs="Arial"/>
          <w:color w:val="000000" w:themeColor="text1"/>
          <w:sz w:val="20"/>
          <w:szCs w:val="20"/>
          <w:highlight w:val="yellow"/>
        </w:rPr>
        <w:t>A c</w:t>
      </w:r>
      <w:r w:rsidR="00307BD4" w:rsidRPr="005D32A0">
        <w:rPr>
          <w:rFonts w:ascii="Arial" w:hAnsi="Arial" w:cs="Arial"/>
          <w:color w:val="000000" w:themeColor="text1"/>
          <w:sz w:val="20"/>
          <w:szCs w:val="20"/>
          <w:highlight w:val="yellow"/>
        </w:rPr>
        <w:t>lear</w:t>
      </w:r>
      <w:r w:rsidR="00307BD4" w:rsidRPr="00044F4E">
        <w:rPr>
          <w:rFonts w:ascii="Arial" w:hAnsi="Arial" w:cs="Arial"/>
          <w:color w:val="000000" w:themeColor="text1"/>
          <w:sz w:val="20"/>
          <w:szCs w:val="20"/>
        </w:rPr>
        <w:t xml:space="preserve"> majority was seen in the incidence of cases in rural areas.</w:t>
      </w:r>
    </w:p>
    <w:p w14:paraId="23E2595E" w14:textId="77777777" w:rsidR="00B652FA" w:rsidRPr="00044F4E" w:rsidRDefault="00B652FA" w:rsidP="00B5101C">
      <w:pPr>
        <w:tabs>
          <w:tab w:val="left" w:pos="2800"/>
        </w:tabs>
        <w:rPr>
          <w:rFonts w:ascii="Arial" w:hAnsi="Arial" w:cs="Arial"/>
          <w:sz w:val="20"/>
          <w:szCs w:val="20"/>
        </w:rPr>
      </w:pPr>
    </w:p>
    <w:p w14:paraId="106796C6" w14:textId="17F63927" w:rsidR="00B23540"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4</w:t>
      </w:r>
      <w:r w:rsidR="009F0B46" w:rsidRPr="00044F4E">
        <w:rPr>
          <w:rFonts w:ascii="Arial" w:hAnsi="Arial" w:cs="Arial"/>
          <w:b/>
          <w:bCs/>
          <w:sz w:val="20"/>
          <w:szCs w:val="20"/>
        </w:rPr>
        <w:t xml:space="preserve"> </w:t>
      </w:r>
      <w:bookmarkStart w:id="4" w:name="OLE_LINK5"/>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E</w:t>
      </w:r>
      <w:r w:rsidR="002C5FEF" w:rsidRPr="00044F4E">
        <w:rPr>
          <w:rFonts w:ascii="Arial" w:hAnsi="Arial" w:cs="Arial"/>
          <w:b/>
          <w:bCs/>
          <w:sz w:val="20"/>
          <w:szCs w:val="20"/>
        </w:rPr>
        <w:t>ducation status</w:t>
      </w:r>
    </w:p>
    <w:bookmarkEnd w:id="4"/>
    <w:p w14:paraId="6B888BE2" w14:textId="77777777" w:rsidR="00D201F1" w:rsidRPr="00044F4E" w:rsidRDefault="00D201F1" w:rsidP="00B5101C">
      <w:pPr>
        <w:tabs>
          <w:tab w:val="left" w:pos="2800"/>
        </w:tabs>
        <w:rPr>
          <w:rFonts w:ascii="Arial" w:hAnsi="Arial" w:cs="Arial"/>
          <w:b/>
          <w:bCs/>
          <w:sz w:val="20"/>
          <w:szCs w:val="20"/>
        </w:rPr>
      </w:pPr>
    </w:p>
    <w:tbl>
      <w:tblPr>
        <w:tblStyle w:val="TableGrid"/>
        <w:tblW w:w="0" w:type="auto"/>
        <w:tblLook w:val="04A0" w:firstRow="1" w:lastRow="0" w:firstColumn="1" w:lastColumn="0" w:noHBand="0" w:noVBand="1"/>
      </w:tblPr>
      <w:tblGrid>
        <w:gridCol w:w="2840"/>
        <w:gridCol w:w="2803"/>
        <w:gridCol w:w="2851"/>
      </w:tblGrid>
      <w:tr w:rsidR="004E5347" w:rsidRPr="00044F4E" w14:paraId="63EF8C6D" w14:textId="77777777" w:rsidTr="000B50AA">
        <w:tc>
          <w:tcPr>
            <w:tcW w:w="3005" w:type="dxa"/>
          </w:tcPr>
          <w:p w14:paraId="45B49031" w14:textId="57DCD80C" w:rsidR="004E5347"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r w:rsidR="00B23540" w:rsidRPr="00044F4E">
              <w:rPr>
                <w:rFonts w:ascii="Arial" w:hAnsi="Arial" w:cs="Arial"/>
                <w:b/>
                <w:bCs/>
                <w:sz w:val="20"/>
                <w:szCs w:val="20"/>
              </w:rPr>
              <w:t xml:space="preserve">Education status            </w:t>
            </w:r>
          </w:p>
        </w:tc>
        <w:tc>
          <w:tcPr>
            <w:tcW w:w="3005" w:type="dxa"/>
          </w:tcPr>
          <w:p w14:paraId="3B0C7414"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67CDF9A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1DEED50C" w14:textId="77777777" w:rsidTr="000B50AA">
        <w:tc>
          <w:tcPr>
            <w:tcW w:w="3005" w:type="dxa"/>
          </w:tcPr>
          <w:p w14:paraId="77EB2F19" w14:textId="1EFBB1B6"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Literate                          </w:t>
            </w:r>
          </w:p>
        </w:tc>
        <w:tc>
          <w:tcPr>
            <w:tcW w:w="3005" w:type="dxa"/>
          </w:tcPr>
          <w:p w14:paraId="147ADBCE" w14:textId="23540376"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96                           </w:t>
            </w:r>
          </w:p>
        </w:tc>
        <w:tc>
          <w:tcPr>
            <w:tcW w:w="3006" w:type="dxa"/>
          </w:tcPr>
          <w:p w14:paraId="484F1BEB" w14:textId="6300E509"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44.4</w:t>
            </w:r>
            <w:r w:rsidR="00ED1EA5" w:rsidRPr="00044F4E">
              <w:rPr>
                <w:rFonts w:ascii="Arial" w:hAnsi="Arial" w:cs="Arial"/>
                <w:sz w:val="20"/>
                <w:szCs w:val="20"/>
              </w:rPr>
              <w:t xml:space="preserve"> %</w:t>
            </w:r>
          </w:p>
        </w:tc>
      </w:tr>
      <w:tr w:rsidR="004E5347" w:rsidRPr="00044F4E" w14:paraId="02B1BACF" w14:textId="77777777" w:rsidTr="000B50AA">
        <w:tc>
          <w:tcPr>
            <w:tcW w:w="3005" w:type="dxa"/>
          </w:tcPr>
          <w:p w14:paraId="6E6FFC8E" w14:textId="1BDE8769"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Illiterate                     </w:t>
            </w:r>
          </w:p>
        </w:tc>
        <w:tc>
          <w:tcPr>
            <w:tcW w:w="3005" w:type="dxa"/>
          </w:tcPr>
          <w:p w14:paraId="5938D390" w14:textId="24805A5C"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120</w:t>
            </w:r>
          </w:p>
        </w:tc>
        <w:tc>
          <w:tcPr>
            <w:tcW w:w="3006" w:type="dxa"/>
          </w:tcPr>
          <w:p w14:paraId="74191E71" w14:textId="4EC92737" w:rsidR="004E5347" w:rsidRPr="00044F4E" w:rsidRDefault="005575CF" w:rsidP="00B5101C">
            <w:pPr>
              <w:tabs>
                <w:tab w:val="left" w:pos="2800"/>
              </w:tabs>
              <w:rPr>
                <w:rFonts w:ascii="Arial" w:hAnsi="Arial" w:cs="Arial"/>
                <w:sz w:val="20"/>
                <w:szCs w:val="20"/>
              </w:rPr>
            </w:pPr>
            <w:r w:rsidRPr="00044F4E">
              <w:rPr>
                <w:rFonts w:ascii="Arial" w:hAnsi="Arial" w:cs="Arial"/>
                <w:sz w:val="20"/>
                <w:szCs w:val="20"/>
              </w:rPr>
              <w:t>55.</w:t>
            </w:r>
            <w:r w:rsidR="00EC7658" w:rsidRPr="00044F4E">
              <w:rPr>
                <w:rFonts w:ascii="Arial" w:hAnsi="Arial" w:cs="Arial"/>
                <w:sz w:val="20"/>
                <w:szCs w:val="20"/>
              </w:rPr>
              <w:t>6</w:t>
            </w:r>
            <w:r w:rsidR="00ED1EA5" w:rsidRPr="00044F4E">
              <w:rPr>
                <w:rFonts w:ascii="Arial" w:hAnsi="Arial" w:cs="Arial"/>
                <w:sz w:val="20"/>
                <w:szCs w:val="20"/>
              </w:rPr>
              <w:t xml:space="preserve"> %</w:t>
            </w:r>
          </w:p>
        </w:tc>
      </w:tr>
      <w:tr w:rsidR="004E5347" w:rsidRPr="00044F4E" w14:paraId="27358F15" w14:textId="77777777" w:rsidTr="000B50AA">
        <w:tc>
          <w:tcPr>
            <w:tcW w:w="3005" w:type="dxa"/>
          </w:tcPr>
          <w:p w14:paraId="77583E15" w14:textId="13BD1BC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0F52B640" w14:textId="77777777"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73268126" w14:textId="0D69DC64"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6636C32" w14:textId="77777777" w:rsidR="00307BD4" w:rsidRDefault="00307BD4" w:rsidP="00B5101C">
      <w:pPr>
        <w:tabs>
          <w:tab w:val="left" w:pos="2800"/>
        </w:tabs>
        <w:rPr>
          <w:rFonts w:ascii="Arial" w:hAnsi="Arial" w:cs="Arial"/>
          <w:sz w:val="20"/>
          <w:szCs w:val="20"/>
        </w:rPr>
      </w:pPr>
    </w:p>
    <w:p w14:paraId="04C7A3AA" w14:textId="79DE61AF" w:rsidR="006B70F2" w:rsidRDefault="006B70F2" w:rsidP="00B5101C">
      <w:pPr>
        <w:tabs>
          <w:tab w:val="left" w:pos="2800"/>
        </w:tabs>
        <w:rPr>
          <w:rFonts w:ascii="Arial" w:hAnsi="Arial" w:cs="Arial"/>
          <w:sz w:val="20"/>
          <w:szCs w:val="20"/>
        </w:rPr>
      </w:pPr>
      <w:r>
        <w:rPr>
          <w:rFonts w:ascii="Arial" w:hAnsi="Arial" w:cs="Arial"/>
          <w:noProof/>
          <w:sz w:val="20"/>
          <w:szCs w:val="20"/>
        </w:rPr>
        <w:drawing>
          <wp:inline distT="0" distB="0" distL="0" distR="0" wp14:anchorId="635667DD" wp14:editId="53EC674F">
            <wp:extent cx="5400040" cy="3150235"/>
            <wp:effectExtent l="0" t="0" r="10160" b="12065"/>
            <wp:docPr id="34408189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69C89B" w14:textId="6CC3BC7E" w:rsidR="006B70F2" w:rsidRDefault="006B70F2" w:rsidP="00B5101C">
      <w:pPr>
        <w:tabs>
          <w:tab w:val="left" w:pos="2800"/>
        </w:tabs>
        <w:rPr>
          <w:rFonts w:ascii="Arial" w:hAnsi="Arial" w:cs="Arial"/>
          <w:sz w:val="20"/>
          <w:szCs w:val="20"/>
        </w:rPr>
      </w:pPr>
      <w:r>
        <w:rPr>
          <w:rFonts w:ascii="Arial" w:hAnsi="Arial" w:cs="Arial"/>
          <w:sz w:val="20"/>
          <w:szCs w:val="20"/>
        </w:rPr>
        <w:lastRenderedPageBreak/>
        <w:t xml:space="preserve">Fig. 4 - </w:t>
      </w:r>
      <w:r w:rsidRPr="006B70F2">
        <w:rPr>
          <w:rFonts w:ascii="Arial" w:hAnsi="Arial" w:cs="Arial"/>
          <w:sz w:val="20"/>
          <w:szCs w:val="20"/>
        </w:rPr>
        <w:t>Incidence of PIH according to Education status</w:t>
      </w:r>
    </w:p>
    <w:p w14:paraId="605EEDE3" w14:textId="77777777" w:rsidR="006B70F2" w:rsidRPr="00044F4E" w:rsidRDefault="006B70F2" w:rsidP="00B5101C">
      <w:pPr>
        <w:tabs>
          <w:tab w:val="left" w:pos="2800"/>
        </w:tabs>
        <w:rPr>
          <w:rFonts w:ascii="Arial" w:hAnsi="Arial" w:cs="Arial"/>
          <w:sz w:val="20"/>
          <w:szCs w:val="20"/>
        </w:rPr>
      </w:pPr>
    </w:p>
    <w:p w14:paraId="6F3A876A" w14:textId="0BA666A0"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Table 4</w:t>
      </w:r>
      <w:r w:rsidR="00B60710" w:rsidRPr="00044F4E">
        <w:rPr>
          <w:rFonts w:ascii="Arial" w:hAnsi="Arial" w:cs="Arial"/>
          <w:sz w:val="20"/>
          <w:szCs w:val="20"/>
        </w:rPr>
        <w:t xml:space="preserve"> </w:t>
      </w:r>
      <w:r w:rsidR="00B652FA" w:rsidRPr="00044F4E">
        <w:rPr>
          <w:rFonts w:ascii="Arial" w:hAnsi="Arial" w:cs="Arial"/>
          <w:sz w:val="20"/>
          <w:szCs w:val="20"/>
        </w:rPr>
        <w:t xml:space="preserve">exhibits the link between </w:t>
      </w:r>
      <w:r w:rsidR="005D32A0" w:rsidRPr="005D32A0">
        <w:rPr>
          <w:rFonts w:ascii="Arial" w:hAnsi="Arial" w:cs="Arial"/>
          <w:sz w:val="20"/>
          <w:szCs w:val="20"/>
          <w:highlight w:val="yellow"/>
        </w:rPr>
        <w:t>the</w:t>
      </w:r>
      <w:r w:rsidR="005D32A0">
        <w:rPr>
          <w:rFonts w:ascii="Arial" w:hAnsi="Arial" w:cs="Arial"/>
          <w:sz w:val="20"/>
          <w:szCs w:val="20"/>
        </w:rPr>
        <w:t xml:space="preserve"> </w:t>
      </w:r>
      <w:r w:rsidR="00B652FA" w:rsidRPr="00044F4E">
        <w:rPr>
          <w:rFonts w:ascii="Arial" w:hAnsi="Arial" w:cs="Arial"/>
          <w:sz w:val="20"/>
          <w:szCs w:val="20"/>
        </w:rPr>
        <w:t>education</w:t>
      </w:r>
      <w:r w:rsidR="005D32A0">
        <w:rPr>
          <w:rFonts w:ascii="Arial" w:hAnsi="Arial" w:cs="Arial"/>
          <w:sz w:val="20"/>
          <w:szCs w:val="20"/>
        </w:rPr>
        <w:t xml:space="preserve"> </w:t>
      </w:r>
      <w:r w:rsidR="005D32A0" w:rsidRPr="005D32A0">
        <w:rPr>
          <w:rFonts w:ascii="Arial" w:hAnsi="Arial" w:cs="Arial"/>
          <w:sz w:val="20"/>
          <w:szCs w:val="20"/>
          <w:highlight w:val="yellow"/>
        </w:rPr>
        <w:t>status</w:t>
      </w:r>
      <w:r w:rsidR="00B652FA" w:rsidRPr="00044F4E">
        <w:rPr>
          <w:rFonts w:ascii="Arial" w:hAnsi="Arial" w:cs="Arial"/>
          <w:sz w:val="20"/>
          <w:szCs w:val="20"/>
        </w:rPr>
        <w:t xml:space="preserve"> and occurrence of pregnancy induced hypertension. Maximum number of cases were seen amongst illiterate people which </w:t>
      </w:r>
      <w:r w:rsidR="00307BD4" w:rsidRPr="00044F4E">
        <w:rPr>
          <w:rFonts w:ascii="Arial" w:hAnsi="Arial" w:cs="Arial"/>
          <w:sz w:val="20"/>
          <w:szCs w:val="20"/>
        </w:rPr>
        <w:t xml:space="preserve">was 120 </w:t>
      </w:r>
      <w:r w:rsidR="00B652FA" w:rsidRPr="00044F4E">
        <w:rPr>
          <w:rFonts w:ascii="Arial" w:hAnsi="Arial" w:cs="Arial"/>
          <w:sz w:val="20"/>
          <w:szCs w:val="20"/>
        </w:rPr>
        <w:t>mak</w:t>
      </w:r>
      <w:r w:rsidR="00307BD4" w:rsidRPr="00044F4E">
        <w:rPr>
          <w:rFonts w:ascii="Arial" w:hAnsi="Arial" w:cs="Arial"/>
          <w:sz w:val="20"/>
          <w:szCs w:val="20"/>
        </w:rPr>
        <w:t>ing</w:t>
      </w:r>
      <w:r w:rsidR="00B652FA" w:rsidRPr="00044F4E">
        <w:rPr>
          <w:rFonts w:ascii="Arial" w:hAnsi="Arial" w:cs="Arial"/>
          <w:sz w:val="20"/>
          <w:szCs w:val="20"/>
        </w:rPr>
        <w:t xml:space="preserve"> up abou</w:t>
      </w:r>
      <w:r w:rsidR="00307BD4" w:rsidRPr="00044F4E">
        <w:rPr>
          <w:rFonts w:ascii="Arial" w:hAnsi="Arial" w:cs="Arial"/>
          <w:sz w:val="20"/>
          <w:szCs w:val="20"/>
        </w:rPr>
        <w:t>t 55.</w:t>
      </w:r>
      <w:r w:rsidR="00C15388" w:rsidRPr="00044F4E">
        <w:rPr>
          <w:rFonts w:ascii="Arial" w:hAnsi="Arial" w:cs="Arial"/>
          <w:sz w:val="20"/>
          <w:szCs w:val="20"/>
        </w:rPr>
        <w:t>6</w:t>
      </w:r>
      <w:r w:rsidR="00307BD4" w:rsidRPr="00044F4E">
        <w:rPr>
          <w:rFonts w:ascii="Arial" w:hAnsi="Arial" w:cs="Arial"/>
          <w:sz w:val="20"/>
          <w:szCs w:val="20"/>
        </w:rPr>
        <w:t>%</w:t>
      </w:r>
      <w:r w:rsidR="00B652FA" w:rsidRPr="00044F4E">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Whereas on</w:t>
      </w:r>
      <w:r w:rsidR="00B652FA" w:rsidRPr="005D32A0">
        <w:rPr>
          <w:rFonts w:ascii="Arial" w:hAnsi="Arial" w:cs="Arial"/>
          <w:color w:val="000000" w:themeColor="text1"/>
          <w:sz w:val="20"/>
          <w:szCs w:val="20"/>
          <w:highlight w:val="yellow"/>
        </w:rPr>
        <w:t>ly</w:t>
      </w:r>
      <w:r w:rsidR="00B652FA" w:rsidRPr="00044F4E">
        <w:rPr>
          <w:rFonts w:ascii="Arial" w:hAnsi="Arial" w:cs="Arial"/>
          <w:color w:val="000000" w:themeColor="text1"/>
          <w:sz w:val="20"/>
          <w:szCs w:val="20"/>
        </w:rPr>
        <w:t xml:space="preserve"> a remainder of abou</w:t>
      </w:r>
      <w:r w:rsidR="00307BD4" w:rsidRPr="00044F4E">
        <w:rPr>
          <w:rFonts w:ascii="Arial" w:hAnsi="Arial" w:cs="Arial"/>
          <w:color w:val="000000" w:themeColor="text1"/>
          <w:sz w:val="20"/>
          <w:szCs w:val="20"/>
        </w:rPr>
        <w:t>t 44.4%</w:t>
      </w:r>
      <w:r w:rsidR="00B652FA" w:rsidRPr="00044F4E">
        <w:rPr>
          <w:rFonts w:ascii="Arial" w:hAnsi="Arial" w:cs="Arial"/>
          <w:color w:val="FF0000"/>
          <w:sz w:val="20"/>
          <w:szCs w:val="20"/>
        </w:rPr>
        <w:t xml:space="preserve"> </w:t>
      </w:r>
      <w:r w:rsidR="00B652FA" w:rsidRPr="00044F4E">
        <w:rPr>
          <w:rFonts w:ascii="Arial" w:hAnsi="Arial" w:cs="Arial"/>
          <w:color w:val="000000" w:themeColor="text1"/>
          <w:sz w:val="20"/>
          <w:szCs w:val="20"/>
        </w:rPr>
        <w:t>cases belonged to literate class.</w:t>
      </w:r>
    </w:p>
    <w:p w14:paraId="3369D1C3" w14:textId="77777777" w:rsidR="00B652FA" w:rsidRPr="00044F4E" w:rsidRDefault="00B652FA" w:rsidP="00B5101C">
      <w:pPr>
        <w:tabs>
          <w:tab w:val="left" w:pos="2800"/>
        </w:tabs>
        <w:rPr>
          <w:rFonts w:ascii="Arial" w:hAnsi="Arial" w:cs="Arial"/>
          <w:sz w:val="20"/>
          <w:szCs w:val="20"/>
        </w:rPr>
      </w:pPr>
    </w:p>
    <w:p w14:paraId="20068B63" w14:textId="77777777" w:rsidR="00B23848" w:rsidRPr="00044F4E" w:rsidRDefault="00E647D0" w:rsidP="00B5101C">
      <w:pPr>
        <w:tabs>
          <w:tab w:val="left" w:pos="21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5</w:t>
      </w:r>
      <w:r w:rsidR="009F0B46" w:rsidRPr="00044F4E">
        <w:rPr>
          <w:rFonts w:ascii="Arial" w:hAnsi="Arial" w:cs="Arial"/>
          <w:b/>
          <w:bCs/>
          <w:sz w:val="20"/>
          <w:szCs w:val="20"/>
        </w:rPr>
        <w:t xml:space="preserve"> Incidence of PIH according to </w:t>
      </w:r>
      <w:r w:rsidR="00B652FA" w:rsidRPr="00044F4E">
        <w:rPr>
          <w:rFonts w:ascii="Arial" w:hAnsi="Arial" w:cs="Arial"/>
          <w:b/>
          <w:bCs/>
          <w:sz w:val="20"/>
          <w:szCs w:val="20"/>
        </w:rPr>
        <w:t>R</w:t>
      </w:r>
      <w:r w:rsidR="002C5FEF" w:rsidRPr="00044F4E">
        <w:rPr>
          <w:rFonts w:ascii="Arial" w:hAnsi="Arial" w:cs="Arial"/>
          <w:b/>
          <w:bCs/>
          <w:sz w:val="20"/>
          <w:szCs w:val="20"/>
        </w:rPr>
        <w:t xml:space="preserve">eligion    </w:t>
      </w:r>
    </w:p>
    <w:p w14:paraId="6254862B" w14:textId="50EC9B16" w:rsidR="00D201F1" w:rsidRPr="00044F4E" w:rsidRDefault="002C5FEF" w:rsidP="00B5101C">
      <w:pPr>
        <w:tabs>
          <w:tab w:val="left" w:pos="21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29"/>
        <w:gridCol w:w="2809"/>
        <w:gridCol w:w="2856"/>
      </w:tblGrid>
      <w:tr w:rsidR="00B23540" w:rsidRPr="00044F4E" w14:paraId="2FDA57E0" w14:textId="77777777" w:rsidTr="000B50AA">
        <w:tc>
          <w:tcPr>
            <w:tcW w:w="3005" w:type="dxa"/>
          </w:tcPr>
          <w:p w14:paraId="67AF7E9D" w14:textId="7A6FD402" w:rsidR="00B23540"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Religion                 </w:t>
            </w:r>
          </w:p>
        </w:tc>
        <w:tc>
          <w:tcPr>
            <w:tcW w:w="3005" w:type="dxa"/>
          </w:tcPr>
          <w:p w14:paraId="5299485E"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5D7A173D"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B23540" w:rsidRPr="00044F4E" w14:paraId="47F9592A" w14:textId="77777777" w:rsidTr="000B50AA">
        <w:tc>
          <w:tcPr>
            <w:tcW w:w="3005" w:type="dxa"/>
          </w:tcPr>
          <w:p w14:paraId="666A089C" w14:textId="6DDB202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Hindu                           </w:t>
            </w:r>
          </w:p>
        </w:tc>
        <w:tc>
          <w:tcPr>
            <w:tcW w:w="3005" w:type="dxa"/>
          </w:tcPr>
          <w:p w14:paraId="0CD93984" w14:textId="6BFB3591"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70                           </w:t>
            </w:r>
          </w:p>
        </w:tc>
        <w:tc>
          <w:tcPr>
            <w:tcW w:w="3006" w:type="dxa"/>
          </w:tcPr>
          <w:p w14:paraId="04804590" w14:textId="5EAE02C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32.4</w:t>
            </w:r>
            <w:r w:rsidR="00ED1EA5" w:rsidRPr="00044F4E">
              <w:rPr>
                <w:rFonts w:ascii="Arial" w:hAnsi="Arial" w:cs="Arial"/>
                <w:sz w:val="20"/>
                <w:szCs w:val="20"/>
              </w:rPr>
              <w:t xml:space="preserve"> %</w:t>
            </w:r>
          </w:p>
        </w:tc>
      </w:tr>
      <w:tr w:rsidR="00B23540" w:rsidRPr="00044F4E" w14:paraId="45034675" w14:textId="77777777" w:rsidTr="000B50AA">
        <w:tc>
          <w:tcPr>
            <w:tcW w:w="3005" w:type="dxa"/>
          </w:tcPr>
          <w:p w14:paraId="43DE6E68" w14:textId="18FF4CF7"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Muslim</w:t>
            </w:r>
          </w:p>
        </w:tc>
        <w:tc>
          <w:tcPr>
            <w:tcW w:w="3005" w:type="dxa"/>
          </w:tcPr>
          <w:p w14:paraId="473E76EE" w14:textId="4F60ED5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88</w:t>
            </w:r>
          </w:p>
        </w:tc>
        <w:tc>
          <w:tcPr>
            <w:tcW w:w="3006" w:type="dxa"/>
          </w:tcPr>
          <w:p w14:paraId="4265588F" w14:textId="2D2B291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40.7</w:t>
            </w:r>
            <w:r w:rsidR="00ED1EA5" w:rsidRPr="00044F4E">
              <w:rPr>
                <w:rFonts w:ascii="Arial" w:hAnsi="Arial" w:cs="Arial"/>
                <w:sz w:val="20"/>
                <w:szCs w:val="20"/>
              </w:rPr>
              <w:t xml:space="preserve"> %</w:t>
            </w:r>
          </w:p>
        </w:tc>
      </w:tr>
      <w:tr w:rsidR="00B23540" w:rsidRPr="00044F4E" w14:paraId="62D08873" w14:textId="77777777" w:rsidTr="000B50AA">
        <w:tc>
          <w:tcPr>
            <w:tcW w:w="3005" w:type="dxa"/>
          </w:tcPr>
          <w:p w14:paraId="29B2CE8C" w14:textId="2DE27E29"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Christian</w:t>
            </w:r>
          </w:p>
        </w:tc>
        <w:tc>
          <w:tcPr>
            <w:tcW w:w="3005" w:type="dxa"/>
          </w:tcPr>
          <w:p w14:paraId="4BAA94BE" w14:textId="7EBD700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58                             </w:t>
            </w:r>
          </w:p>
        </w:tc>
        <w:tc>
          <w:tcPr>
            <w:tcW w:w="3006" w:type="dxa"/>
          </w:tcPr>
          <w:p w14:paraId="6A192C97" w14:textId="58560EB0"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26.9</w:t>
            </w:r>
            <w:r w:rsidR="00ED1EA5" w:rsidRPr="00044F4E">
              <w:rPr>
                <w:rFonts w:ascii="Arial" w:hAnsi="Arial" w:cs="Arial"/>
                <w:sz w:val="20"/>
                <w:szCs w:val="20"/>
              </w:rPr>
              <w:t xml:space="preserve"> %</w:t>
            </w:r>
          </w:p>
        </w:tc>
      </w:tr>
      <w:tr w:rsidR="00B23540" w:rsidRPr="00044F4E" w14:paraId="0AA80F75" w14:textId="77777777" w:rsidTr="000B50AA">
        <w:tc>
          <w:tcPr>
            <w:tcW w:w="3005" w:type="dxa"/>
          </w:tcPr>
          <w:p w14:paraId="60DF6B62" w14:textId="7E17C61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76278343" w14:textId="5E59865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64E39A6C" w14:textId="2522A4C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7A11E0F3" w14:textId="77777777" w:rsidR="00307BD4" w:rsidRDefault="00307BD4" w:rsidP="00B5101C">
      <w:pPr>
        <w:tabs>
          <w:tab w:val="left" w:pos="2800"/>
        </w:tabs>
        <w:rPr>
          <w:rFonts w:ascii="Arial" w:hAnsi="Arial" w:cs="Arial"/>
          <w:sz w:val="20"/>
          <w:szCs w:val="20"/>
        </w:rPr>
      </w:pPr>
    </w:p>
    <w:p w14:paraId="692B43E2" w14:textId="3BD831EF" w:rsidR="006B70F2" w:rsidRDefault="006B70F2" w:rsidP="00B5101C">
      <w:pPr>
        <w:tabs>
          <w:tab w:val="left" w:pos="2800"/>
        </w:tabs>
        <w:rPr>
          <w:rFonts w:ascii="Arial" w:hAnsi="Arial" w:cs="Arial"/>
          <w:sz w:val="20"/>
          <w:szCs w:val="20"/>
        </w:rPr>
      </w:pPr>
      <w:r>
        <w:rPr>
          <w:noProof/>
        </w:rPr>
        <w:drawing>
          <wp:inline distT="0" distB="0" distL="0" distR="0" wp14:anchorId="700068D3" wp14:editId="655CD091">
            <wp:extent cx="5400040" cy="3150235"/>
            <wp:effectExtent l="0" t="0" r="10160" b="12065"/>
            <wp:docPr id="9711674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5B4BBC" w14:textId="3777FB57" w:rsidR="006B70F2" w:rsidRDefault="006B70F2" w:rsidP="006B70F2">
      <w:pPr>
        <w:tabs>
          <w:tab w:val="left" w:pos="2800"/>
        </w:tabs>
        <w:rPr>
          <w:rFonts w:ascii="Arial" w:hAnsi="Arial" w:cs="Arial"/>
          <w:sz w:val="20"/>
          <w:szCs w:val="20"/>
        </w:rPr>
      </w:pPr>
      <w:r>
        <w:rPr>
          <w:rFonts w:ascii="Arial" w:hAnsi="Arial" w:cs="Arial"/>
          <w:sz w:val="20"/>
          <w:szCs w:val="20"/>
        </w:rPr>
        <w:t xml:space="preserve">Fig. 5 - </w:t>
      </w:r>
      <w:r w:rsidRPr="006B70F2">
        <w:rPr>
          <w:rFonts w:ascii="Arial" w:hAnsi="Arial" w:cs="Arial"/>
          <w:sz w:val="20"/>
          <w:szCs w:val="20"/>
        </w:rPr>
        <w:t xml:space="preserve">Incidence of PIH according to </w:t>
      </w:r>
      <w:r>
        <w:rPr>
          <w:rFonts w:ascii="Arial" w:hAnsi="Arial" w:cs="Arial"/>
          <w:sz w:val="20"/>
          <w:szCs w:val="20"/>
        </w:rPr>
        <w:t>Religion</w:t>
      </w:r>
    </w:p>
    <w:p w14:paraId="68832CD1" w14:textId="77777777" w:rsidR="006B70F2" w:rsidRDefault="006B70F2" w:rsidP="00B5101C">
      <w:pPr>
        <w:tabs>
          <w:tab w:val="left" w:pos="2800"/>
        </w:tabs>
        <w:jc w:val="both"/>
        <w:rPr>
          <w:rFonts w:ascii="Arial" w:hAnsi="Arial" w:cs="Arial"/>
          <w:sz w:val="20"/>
          <w:szCs w:val="20"/>
        </w:rPr>
      </w:pPr>
    </w:p>
    <w:p w14:paraId="1AEFD51F" w14:textId="2B189119" w:rsidR="00B652FA" w:rsidRPr="00044F4E" w:rsidRDefault="00E647D0" w:rsidP="00B5101C">
      <w:pPr>
        <w:tabs>
          <w:tab w:val="left" w:pos="2800"/>
        </w:tabs>
        <w:jc w:val="both"/>
        <w:rPr>
          <w:rFonts w:ascii="Arial" w:hAnsi="Arial" w:cs="Arial"/>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5</w:t>
      </w:r>
      <w:r w:rsidR="00B652FA" w:rsidRPr="00044F4E">
        <w:rPr>
          <w:rFonts w:ascii="Arial" w:hAnsi="Arial" w:cs="Arial"/>
          <w:sz w:val="20"/>
          <w:szCs w:val="20"/>
        </w:rPr>
        <w:t xml:space="preserve"> presents the relation between </w:t>
      </w:r>
      <w:r w:rsidR="005D32A0" w:rsidRPr="005D32A0">
        <w:rPr>
          <w:rFonts w:ascii="Arial" w:hAnsi="Arial" w:cs="Arial"/>
          <w:sz w:val="20"/>
          <w:szCs w:val="20"/>
          <w:highlight w:val="yellow"/>
        </w:rPr>
        <w:t>different types of</w:t>
      </w:r>
      <w:r w:rsidR="005D32A0">
        <w:rPr>
          <w:rFonts w:ascii="Arial" w:hAnsi="Arial" w:cs="Arial"/>
          <w:sz w:val="20"/>
          <w:szCs w:val="20"/>
        </w:rPr>
        <w:t xml:space="preserve"> </w:t>
      </w:r>
      <w:r w:rsidR="00B652FA" w:rsidRPr="00044F4E">
        <w:rPr>
          <w:rFonts w:ascii="Arial" w:hAnsi="Arial" w:cs="Arial"/>
          <w:sz w:val="20"/>
          <w:szCs w:val="20"/>
        </w:rPr>
        <w:t>religion and</w:t>
      </w:r>
      <w:r w:rsidR="005D32A0">
        <w:rPr>
          <w:rFonts w:ascii="Arial" w:hAnsi="Arial" w:cs="Arial"/>
          <w:sz w:val="20"/>
          <w:szCs w:val="20"/>
        </w:rPr>
        <w:t xml:space="preserve"> </w:t>
      </w:r>
      <w:r w:rsidR="005D32A0" w:rsidRPr="005D32A0">
        <w:rPr>
          <w:rFonts w:ascii="Arial" w:hAnsi="Arial" w:cs="Arial"/>
          <w:sz w:val="20"/>
          <w:szCs w:val="20"/>
          <w:highlight w:val="yellow"/>
        </w:rPr>
        <w:t>the</w:t>
      </w:r>
      <w:r w:rsidR="00B652FA" w:rsidRPr="00044F4E">
        <w:rPr>
          <w:rFonts w:ascii="Arial" w:hAnsi="Arial" w:cs="Arial"/>
          <w:sz w:val="20"/>
          <w:szCs w:val="20"/>
        </w:rPr>
        <w:t xml:space="preserve"> incidence of </w:t>
      </w:r>
      <w:r w:rsidR="009400DA" w:rsidRPr="00044F4E">
        <w:rPr>
          <w:rFonts w:ascii="Arial" w:hAnsi="Arial" w:cs="Arial"/>
          <w:sz w:val="20"/>
          <w:szCs w:val="20"/>
        </w:rPr>
        <w:t>PIH</w:t>
      </w:r>
      <w:r w:rsidR="00B652FA" w:rsidRPr="00044F4E">
        <w:rPr>
          <w:rFonts w:ascii="Arial" w:hAnsi="Arial" w:cs="Arial"/>
          <w:sz w:val="20"/>
          <w:szCs w:val="20"/>
        </w:rPr>
        <w:t>. There is no significant difference seen</w:t>
      </w:r>
      <w:r w:rsidR="005D32A0">
        <w:rPr>
          <w:rFonts w:ascii="Arial" w:hAnsi="Arial" w:cs="Arial"/>
          <w:sz w:val="20"/>
          <w:szCs w:val="20"/>
        </w:rPr>
        <w:t xml:space="preserve"> </w:t>
      </w:r>
      <w:r w:rsidR="005D32A0" w:rsidRPr="005D32A0">
        <w:rPr>
          <w:rFonts w:ascii="Arial" w:hAnsi="Arial" w:cs="Arial"/>
          <w:sz w:val="20"/>
          <w:szCs w:val="20"/>
          <w:highlight w:val="yellow"/>
        </w:rPr>
        <w:t xml:space="preserve">in the incidence of PIH on the basis of </w:t>
      </w:r>
      <w:r w:rsidR="00B652FA" w:rsidRPr="005D32A0">
        <w:rPr>
          <w:rFonts w:ascii="Arial" w:hAnsi="Arial" w:cs="Arial"/>
          <w:sz w:val="20"/>
          <w:szCs w:val="20"/>
          <w:highlight w:val="yellow"/>
        </w:rPr>
        <w:t>religion</w:t>
      </w:r>
      <w:r w:rsidR="00B652FA" w:rsidRPr="00044F4E">
        <w:rPr>
          <w:rFonts w:ascii="Arial" w:hAnsi="Arial" w:cs="Arial"/>
          <w:sz w:val="20"/>
          <w:szCs w:val="20"/>
        </w:rPr>
        <w:t xml:space="preserve">. </w:t>
      </w:r>
      <w:r w:rsidR="00307BD4" w:rsidRPr="00044F4E">
        <w:rPr>
          <w:rFonts w:ascii="Arial" w:hAnsi="Arial" w:cs="Arial"/>
          <w:sz w:val="20"/>
          <w:szCs w:val="20"/>
        </w:rPr>
        <w:t xml:space="preserve">70 patients presenting with PIH were </w:t>
      </w:r>
      <w:r w:rsidR="00B652FA" w:rsidRPr="005D32A0">
        <w:rPr>
          <w:rFonts w:ascii="Arial" w:hAnsi="Arial" w:cs="Arial"/>
          <w:sz w:val="20"/>
          <w:szCs w:val="20"/>
          <w:highlight w:val="yellow"/>
        </w:rPr>
        <w:t>Hindu</w:t>
      </w:r>
      <w:r w:rsidR="005D32A0" w:rsidRPr="005D32A0">
        <w:rPr>
          <w:rFonts w:ascii="Arial" w:hAnsi="Arial" w:cs="Arial"/>
          <w:sz w:val="20"/>
          <w:szCs w:val="20"/>
          <w:highlight w:val="yellow"/>
        </w:rPr>
        <w:t>s</w:t>
      </w:r>
      <w:r w:rsidR="00307BD4" w:rsidRPr="00044F4E">
        <w:rPr>
          <w:rFonts w:ascii="Arial" w:hAnsi="Arial" w:cs="Arial"/>
          <w:sz w:val="20"/>
          <w:szCs w:val="20"/>
        </w:rPr>
        <w:t xml:space="preserve"> and they</w:t>
      </w:r>
      <w:r w:rsidR="00B652FA" w:rsidRPr="00044F4E">
        <w:rPr>
          <w:rFonts w:ascii="Arial" w:hAnsi="Arial" w:cs="Arial"/>
          <w:sz w:val="20"/>
          <w:szCs w:val="20"/>
        </w:rPr>
        <w:t xml:space="preserve"> comprise around</w:t>
      </w:r>
      <w:r w:rsidR="00307BD4" w:rsidRPr="00044F4E">
        <w:rPr>
          <w:rFonts w:ascii="Arial" w:hAnsi="Arial" w:cs="Arial"/>
          <w:sz w:val="20"/>
          <w:szCs w:val="20"/>
        </w:rPr>
        <w:t xml:space="preserve"> 32.4</w:t>
      </w:r>
      <w:r w:rsidR="005D32A0">
        <w:rPr>
          <w:rFonts w:ascii="Arial" w:hAnsi="Arial" w:cs="Arial"/>
          <w:sz w:val="20"/>
          <w:szCs w:val="20"/>
        </w:rPr>
        <w:t>%</w:t>
      </w:r>
      <w:r w:rsidR="00307BD4" w:rsidRPr="00044F4E">
        <w:rPr>
          <w:rFonts w:ascii="Arial" w:hAnsi="Arial" w:cs="Arial"/>
          <w:sz w:val="20"/>
          <w:szCs w:val="20"/>
        </w:rPr>
        <w:t>. W</w:t>
      </w:r>
      <w:r w:rsidR="00B652FA" w:rsidRPr="00044F4E">
        <w:rPr>
          <w:rFonts w:ascii="Arial" w:hAnsi="Arial" w:cs="Arial"/>
          <w:sz w:val="20"/>
          <w:szCs w:val="20"/>
        </w:rPr>
        <w:t xml:space="preserve">hereas </w:t>
      </w:r>
      <w:r w:rsidR="00307BD4" w:rsidRPr="00044F4E">
        <w:rPr>
          <w:rFonts w:ascii="Arial" w:hAnsi="Arial" w:cs="Arial"/>
          <w:sz w:val="20"/>
          <w:szCs w:val="20"/>
        </w:rPr>
        <w:t xml:space="preserve">majority of the patients </w:t>
      </w:r>
      <w:r w:rsidR="005D32A0" w:rsidRPr="00044F4E">
        <w:rPr>
          <w:rFonts w:ascii="Arial" w:hAnsi="Arial" w:cs="Arial"/>
          <w:sz w:val="20"/>
          <w:szCs w:val="20"/>
        </w:rPr>
        <w:t xml:space="preserve">were Muslims </w:t>
      </w:r>
      <w:r w:rsidR="00307BD4" w:rsidRPr="00044F4E">
        <w:rPr>
          <w:rFonts w:ascii="Arial" w:hAnsi="Arial" w:cs="Arial"/>
          <w:sz w:val="20"/>
          <w:szCs w:val="20"/>
        </w:rPr>
        <w:t>making up 40.7% of the cases</w:t>
      </w:r>
      <w:r w:rsidR="005D32A0">
        <w:rPr>
          <w:rFonts w:ascii="Arial" w:hAnsi="Arial" w:cs="Arial"/>
          <w:sz w:val="20"/>
          <w:szCs w:val="20"/>
        </w:rPr>
        <w:t xml:space="preserve">. </w:t>
      </w:r>
      <w:r w:rsidR="005D32A0" w:rsidRPr="005D32A0">
        <w:rPr>
          <w:rFonts w:ascii="Arial" w:hAnsi="Arial" w:cs="Arial"/>
          <w:sz w:val="20"/>
          <w:szCs w:val="20"/>
          <w:highlight w:val="yellow"/>
        </w:rPr>
        <w:t xml:space="preserve">Least number of cases were seen in </w:t>
      </w:r>
      <w:r w:rsidR="00B652FA" w:rsidRPr="005D32A0">
        <w:rPr>
          <w:rFonts w:ascii="Arial" w:hAnsi="Arial" w:cs="Arial"/>
          <w:sz w:val="20"/>
          <w:szCs w:val="20"/>
          <w:highlight w:val="yellow"/>
        </w:rPr>
        <w:t>Christians</w:t>
      </w:r>
      <w:r w:rsidR="00307BD4" w:rsidRPr="00044F4E">
        <w:rPr>
          <w:rFonts w:ascii="Arial" w:hAnsi="Arial" w:cs="Arial"/>
          <w:sz w:val="20"/>
          <w:szCs w:val="20"/>
        </w:rPr>
        <w:t>.</w:t>
      </w:r>
    </w:p>
    <w:p w14:paraId="7DCFD010" w14:textId="77777777" w:rsidR="00307BD4" w:rsidRPr="00044F4E" w:rsidRDefault="00307BD4" w:rsidP="00B5101C">
      <w:pPr>
        <w:tabs>
          <w:tab w:val="left" w:pos="2800"/>
        </w:tabs>
        <w:rPr>
          <w:rFonts w:ascii="Arial" w:hAnsi="Arial" w:cs="Arial"/>
          <w:sz w:val="20"/>
          <w:szCs w:val="20"/>
        </w:rPr>
      </w:pPr>
    </w:p>
    <w:p w14:paraId="286DF2CB" w14:textId="6F3B2314" w:rsidR="00B652FA"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6</w:t>
      </w:r>
      <w:r w:rsidRPr="00044F4E">
        <w:rPr>
          <w:rFonts w:ascii="Arial" w:hAnsi="Arial" w:cs="Arial"/>
          <w:b/>
          <w:bCs/>
          <w:sz w:val="20"/>
          <w:szCs w:val="20"/>
        </w:rPr>
        <w:t xml:space="preserve"> </w:t>
      </w:r>
      <w:bookmarkStart w:id="5" w:name="OLE_LINK6"/>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O</w:t>
      </w:r>
      <w:r w:rsidR="002C5FEF" w:rsidRPr="00044F4E">
        <w:rPr>
          <w:rFonts w:ascii="Arial" w:hAnsi="Arial" w:cs="Arial"/>
          <w:b/>
          <w:bCs/>
          <w:sz w:val="20"/>
          <w:szCs w:val="20"/>
        </w:rPr>
        <w:t xml:space="preserve">ccupation </w:t>
      </w:r>
      <w:r w:rsidR="001E3D6D" w:rsidRPr="00044F4E">
        <w:rPr>
          <w:rFonts w:ascii="Arial" w:hAnsi="Arial" w:cs="Arial"/>
          <w:b/>
          <w:bCs/>
          <w:sz w:val="20"/>
          <w:szCs w:val="20"/>
        </w:rPr>
        <w:t>status</w:t>
      </w:r>
    </w:p>
    <w:bookmarkEnd w:id="5"/>
    <w:p w14:paraId="64122F97" w14:textId="77777777" w:rsidR="00D201F1" w:rsidRPr="00044F4E" w:rsidRDefault="00D201F1"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49"/>
        <w:gridCol w:w="2798"/>
        <w:gridCol w:w="2847"/>
      </w:tblGrid>
      <w:tr w:rsidR="00EC7658" w:rsidRPr="00044F4E" w14:paraId="494F77B9" w14:textId="77777777" w:rsidTr="000B50AA">
        <w:tc>
          <w:tcPr>
            <w:tcW w:w="3005" w:type="dxa"/>
          </w:tcPr>
          <w:p w14:paraId="4FFCD7A7" w14:textId="08982D61" w:rsidR="00EC7658"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Occupation status     </w:t>
            </w:r>
          </w:p>
        </w:tc>
        <w:tc>
          <w:tcPr>
            <w:tcW w:w="3005" w:type="dxa"/>
          </w:tcPr>
          <w:p w14:paraId="31EA12F6"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BE6336B"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EC7658" w:rsidRPr="00044F4E" w14:paraId="6D87C8B1" w14:textId="77777777" w:rsidTr="000B50AA">
        <w:tc>
          <w:tcPr>
            <w:tcW w:w="3005" w:type="dxa"/>
          </w:tcPr>
          <w:p w14:paraId="08B0C4C2" w14:textId="08F3719D"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Housewife                     </w:t>
            </w:r>
          </w:p>
        </w:tc>
        <w:tc>
          <w:tcPr>
            <w:tcW w:w="3005" w:type="dxa"/>
          </w:tcPr>
          <w:p w14:paraId="00790412" w14:textId="083431C2"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 xml:space="preserve">116                           </w:t>
            </w:r>
          </w:p>
        </w:tc>
        <w:tc>
          <w:tcPr>
            <w:tcW w:w="3006" w:type="dxa"/>
          </w:tcPr>
          <w:p w14:paraId="3D9DE5DB" w14:textId="73AC90E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53.7</w:t>
            </w:r>
            <w:r w:rsidR="00ED1EA5" w:rsidRPr="00044F4E">
              <w:rPr>
                <w:rFonts w:ascii="Arial" w:hAnsi="Arial" w:cs="Arial"/>
                <w:sz w:val="20"/>
                <w:szCs w:val="20"/>
              </w:rPr>
              <w:t xml:space="preserve"> %</w:t>
            </w:r>
          </w:p>
        </w:tc>
      </w:tr>
      <w:tr w:rsidR="00EC7658" w:rsidRPr="00044F4E" w14:paraId="2F0AF4F3" w14:textId="77777777" w:rsidTr="000B50AA">
        <w:tc>
          <w:tcPr>
            <w:tcW w:w="3005" w:type="dxa"/>
          </w:tcPr>
          <w:p w14:paraId="0D2B1435" w14:textId="6A3C69D3"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Working                        </w:t>
            </w:r>
          </w:p>
        </w:tc>
        <w:tc>
          <w:tcPr>
            <w:tcW w:w="3005" w:type="dxa"/>
          </w:tcPr>
          <w:p w14:paraId="48B2E9EE" w14:textId="21B9655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w:t>
            </w:r>
          </w:p>
        </w:tc>
        <w:tc>
          <w:tcPr>
            <w:tcW w:w="3006" w:type="dxa"/>
          </w:tcPr>
          <w:p w14:paraId="12C51D8A" w14:textId="28AAD4A1"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46.</w:t>
            </w:r>
            <w:r w:rsidR="00B2574E" w:rsidRPr="00044F4E">
              <w:rPr>
                <w:rFonts w:ascii="Arial" w:hAnsi="Arial" w:cs="Arial"/>
                <w:sz w:val="20"/>
                <w:szCs w:val="20"/>
              </w:rPr>
              <w:t>3</w:t>
            </w:r>
            <w:r w:rsidR="00ED1EA5" w:rsidRPr="00044F4E">
              <w:rPr>
                <w:rFonts w:ascii="Arial" w:hAnsi="Arial" w:cs="Arial"/>
                <w:sz w:val="20"/>
                <w:szCs w:val="20"/>
              </w:rPr>
              <w:t xml:space="preserve"> %</w:t>
            </w:r>
          </w:p>
        </w:tc>
      </w:tr>
      <w:tr w:rsidR="00EC7658" w:rsidRPr="00044F4E" w14:paraId="502BD0A2" w14:textId="77777777" w:rsidTr="000B50AA">
        <w:tc>
          <w:tcPr>
            <w:tcW w:w="3005" w:type="dxa"/>
          </w:tcPr>
          <w:p w14:paraId="07E9C885" w14:textId="73E17931"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2EBE46CC" w14:textId="77777777"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54AEC797" w14:textId="3C402799"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1D5E69BC" w14:textId="77777777" w:rsidR="00B652FA" w:rsidRDefault="00B652FA" w:rsidP="00B5101C">
      <w:pPr>
        <w:tabs>
          <w:tab w:val="left" w:pos="2800"/>
        </w:tabs>
        <w:rPr>
          <w:rFonts w:ascii="Arial" w:hAnsi="Arial" w:cs="Arial"/>
          <w:sz w:val="20"/>
          <w:szCs w:val="20"/>
        </w:rPr>
      </w:pPr>
    </w:p>
    <w:p w14:paraId="0CB068DB" w14:textId="66B34C6F" w:rsidR="006B70F2" w:rsidRDefault="006B70F2" w:rsidP="00B5101C">
      <w:pPr>
        <w:tabs>
          <w:tab w:val="left" w:pos="2800"/>
        </w:tabs>
        <w:rPr>
          <w:rFonts w:ascii="Arial" w:hAnsi="Arial" w:cs="Arial"/>
          <w:sz w:val="20"/>
          <w:szCs w:val="20"/>
        </w:rPr>
      </w:pPr>
      <w:r>
        <w:rPr>
          <w:rFonts w:ascii="Arial" w:hAnsi="Arial" w:cs="Arial"/>
          <w:noProof/>
          <w:sz w:val="20"/>
          <w:szCs w:val="20"/>
        </w:rPr>
        <w:lastRenderedPageBreak/>
        <w:drawing>
          <wp:inline distT="0" distB="0" distL="0" distR="0" wp14:anchorId="078824FB" wp14:editId="3F7AAC6F">
            <wp:extent cx="5400040" cy="3150235"/>
            <wp:effectExtent l="0" t="0" r="10160" b="12065"/>
            <wp:docPr id="29343960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43AC0E" w14:textId="78FDF399" w:rsidR="006B70F2" w:rsidRDefault="006B70F2" w:rsidP="00B5101C">
      <w:pPr>
        <w:tabs>
          <w:tab w:val="left" w:pos="2800"/>
        </w:tabs>
        <w:rPr>
          <w:rFonts w:ascii="Arial" w:hAnsi="Arial" w:cs="Arial"/>
          <w:sz w:val="20"/>
          <w:szCs w:val="20"/>
        </w:rPr>
      </w:pPr>
      <w:r>
        <w:rPr>
          <w:rFonts w:ascii="Arial" w:hAnsi="Arial" w:cs="Arial"/>
          <w:sz w:val="20"/>
          <w:szCs w:val="20"/>
        </w:rPr>
        <w:t xml:space="preserve">Fig. 6 - </w:t>
      </w:r>
      <w:r w:rsidRPr="006B70F2">
        <w:rPr>
          <w:rFonts w:ascii="Arial" w:hAnsi="Arial" w:cs="Arial"/>
          <w:sz w:val="20"/>
          <w:szCs w:val="20"/>
        </w:rPr>
        <w:t>Incidence of PIH according to Occupation status</w:t>
      </w:r>
    </w:p>
    <w:p w14:paraId="48FB8BB6" w14:textId="77777777" w:rsidR="006B70F2" w:rsidRPr="00044F4E" w:rsidRDefault="006B70F2" w:rsidP="00B5101C">
      <w:pPr>
        <w:tabs>
          <w:tab w:val="left" w:pos="2800"/>
        </w:tabs>
        <w:rPr>
          <w:rFonts w:ascii="Arial" w:hAnsi="Arial" w:cs="Arial"/>
          <w:sz w:val="20"/>
          <w:szCs w:val="20"/>
        </w:rPr>
      </w:pPr>
    </w:p>
    <w:p w14:paraId="4A0B07FF" w14:textId="1E05D337"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6</w:t>
      </w:r>
      <w:r w:rsidR="00B652FA" w:rsidRPr="00044F4E">
        <w:rPr>
          <w:rFonts w:ascii="Arial" w:hAnsi="Arial" w:cs="Arial"/>
          <w:sz w:val="20"/>
          <w:szCs w:val="20"/>
        </w:rPr>
        <w:t xml:space="preserve"> displays the correlation between </w:t>
      </w:r>
      <w:r w:rsidR="005D32A0" w:rsidRPr="005D32A0">
        <w:rPr>
          <w:rFonts w:ascii="Arial" w:hAnsi="Arial" w:cs="Arial"/>
          <w:sz w:val="20"/>
          <w:szCs w:val="20"/>
          <w:highlight w:val="yellow"/>
        </w:rPr>
        <w:t xml:space="preserve">the </w:t>
      </w:r>
      <w:r w:rsidR="00B652FA" w:rsidRPr="005D32A0">
        <w:rPr>
          <w:rFonts w:ascii="Arial" w:hAnsi="Arial" w:cs="Arial"/>
          <w:sz w:val="20"/>
          <w:szCs w:val="20"/>
          <w:highlight w:val="yellow"/>
        </w:rPr>
        <w:t>occupation</w:t>
      </w:r>
      <w:r w:rsidR="005D32A0" w:rsidRPr="005D32A0">
        <w:rPr>
          <w:rFonts w:ascii="Arial" w:hAnsi="Arial" w:cs="Arial"/>
          <w:sz w:val="20"/>
          <w:szCs w:val="20"/>
          <w:highlight w:val="yellow"/>
        </w:rPr>
        <w:t>al status</w:t>
      </w:r>
      <w:r w:rsidR="00B652FA" w:rsidRPr="00044F4E">
        <w:rPr>
          <w:rFonts w:ascii="Arial" w:hAnsi="Arial" w:cs="Arial"/>
          <w:sz w:val="20"/>
          <w:szCs w:val="20"/>
        </w:rPr>
        <w:t xml:space="preserve"> of patients and cases of </w:t>
      </w:r>
      <w:r w:rsidR="009400DA" w:rsidRPr="00044F4E">
        <w:rPr>
          <w:rFonts w:ascii="Arial" w:hAnsi="Arial" w:cs="Arial"/>
          <w:sz w:val="20"/>
          <w:szCs w:val="20"/>
        </w:rPr>
        <w:t>PIH</w:t>
      </w:r>
      <w:r w:rsidR="00B652FA" w:rsidRPr="00044F4E">
        <w:rPr>
          <w:rFonts w:ascii="Arial" w:hAnsi="Arial" w:cs="Arial"/>
          <w:sz w:val="20"/>
          <w:szCs w:val="20"/>
        </w:rPr>
        <w:t xml:space="preserve">. Out of </w:t>
      </w:r>
      <w:r w:rsidR="00307BD4" w:rsidRPr="00044F4E">
        <w:rPr>
          <w:rFonts w:ascii="Arial" w:hAnsi="Arial" w:cs="Arial"/>
          <w:sz w:val="20"/>
          <w:szCs w:val="20"/>
        </w:rPr>
        <w:t>216 cases, 116 of the females were unemployed making 53.7%. Whereas the rest 100 patients were employed</w:t>
      </w:r>
      <w:r w:rsidR="00EC7658" w:rsidRPr="00044F4E">
        <w:rPr>
          <w:rFonts w:ascii="Arial" w:hAnsi="Arial" w:cs="Arial"/>
          <w:sz w:val="20"/>
          <w:szCs w:val="20"/>
        </w:rPr>
        <w:t>.</w:t>
      </w:r>
      <w:r w:rsidR="00307BD4" w:rsidRPr="00044F4E">
        <w:rPr>
          <w:rFonts w:ascii="Arial" w:hAnsi="Arial" w:cs="Arial"/>
          <w:sz w:val="20"/>
          <w:szCs w:val="20"/>
        </w:rPr>
        <w:t xml:space="preserve"> </w:t>
      </w:r>
      <w:r w:rsidR="00B652FA" w:rsidRPr="00044F4E">
        <w:rPr>
          <w:rFonts w:ascii="Arial" w:hAnsi="Arial" w:cs="Arial"/>
          <w:color w:val="000000" w:themeColor="text1"/>
          <w:sz w:val="20"/>
          <w:szCs w:val="20"/>
        </w:rPr>
        <w:t xml:space="preserve">No significant difference can be seen in the incidence of </w:t>
      </w:r>
      <w:r w:rsidR="009400DA" w:rsidRPr="00044F4E">
        <w:rPr>
          <w:rFonts w:ascii="Arial" w:hAnsi="Arial" w:cs="Arial"/>
          <w:color w:val="000000" w:themeColor="text1"/>
          <w:sz w:val="20"/>
          <w:szCs w:val="20"/>
        </w:rPr>
        <w:t>PIH</w:t>
      </w:r>
      <w:r w:rsidR="00B652FA" w:rsidRPr="00044F4E">
        <w:rPr>
          <w:rFonts w:ascii="Arial" w:hAnsi="Arial" w:cs="Arial"/>
          <w:color w:val="000000" w:themeColor="text1"/>
          <w:sz w:val="20"/>
          <w:szCs w:val="20"/>
        </w:rPr>
        <w:t xml:space="preserve"> on basis of </w:t>
      </w:r>
      <w:r w:rsidR="00B652FA" w:rsidRPr="005D32A0">
        <w:rPr>
          <w:rFonts w:ascii="Arial" w:hAnsi="Arial" w:cs="Arial"/>
          <w:color w:val="000000" w:themeColor="text1"/>
          <w:sz w:val="20"/>
          <w:szCs w:val="20"/>
          <w:highlight w:val="yellow"/>
        </w:rPr>
        <w:t>occupation</w:t>
      </w:r>
      <w:r w:rsidR="005D32A0" w:rsidRPr="005D32A0">
        <w:rPr>
          <w:rFonts w:ascii="Arial" w:hAnsi="Arial" w:cs="Arial"/>
          <w:color w:val="000000" w:themeColor="text1"/>
          <w:sz w:val="20"/>
          <w:szCs w:val="20"/>
          <w:highlight w:val="yellow"/>
        </w:rPr>
        <w:t>al status</w:t>
      </w:r>
      <w:r w:rsidR="00B652FA" w:rsidRPr="00044F4E">
        <w:rPr>
          <w:rFonts w:ascii="Arial" w:hAnsi="Arial" w:cs="Arial"/>
          <w:color w:val="000000" w:themeColor="text1"/>
          <w:sz w:val="20"/>
          <w:szCs w:val="20"/>
        </w:rPr>
        <w:t>.</w:t>
      </w:r>
    </w:p>
    <w:p w14:paraId="243E8C0B" w14:textId="77777777" w:rsidR="00B652FA" w:rsidRPr="00044F4E" w:rsidRDefault="00B652FA" w:rsidP="00B5101C">
      <w:pPr>
        <w:tabs>
          <w:tab w:val="left" w:pos="2800"/>
        </w:tabs>
        <w:rPr>
          <w:rFonts w:ascii="Arial" w:hAnsi="Arial" w:cs="Arial"/>
          <w:sz w:val="20"/>
          <w:szCs w:val="20"/>
        </w:rPr>
      </w:pPr>
    </w:p>
    <w:p w14:paraId="0E8F43A3" w14:textId="0D6B2DBC"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B.</w:t>
      </w:r>
      <w:r w:rsidR="007F4001" w:rsidRPr="00044F4E">
        <w:rPr>
          <w:rFonts w:ascii="Arial" w:hAnsi="Arial" w:cs="Arial"/>
          <w:sz w:val="20"/>
          <w:szCs w:val="20"/>
        </w:rPr>
        <w:t xml:space="preserve"> </w:t>
      </w:r>
      <w:r w:rsidR="000F4BD0" w:rsidRPr="00044F4E">
        <w:rPr>
          <w:rFonts w:ascii="Arial" w:hAnsi="Arial" w:cs="Arial"/>
          <w:sz w:val="20"/>
          <w:szCs w:val="20"/>
        </w:rPr>
        <w:t>Association of risk factors with pregnancy induced hypertension</w:t>
      </w:r>
    </w:p>
    <w:p w14:paraId="08FC2039" w14:textId="77777777" w:rsidR="007F4001" w:rsidRPr="00044F4E" w:rsidRDefault="007F4001" w:rsidP="00B5101C">
      <w:pPr>
        <w:tabs>
          <w:tab w:val="left" w:pos="2800"/>
        </w:tabs>
        <w:rPr>
          <w:rFonts w:ascii="Arial" w:hAnsi="Arial" w:cs="Arial"/>
          <w:sz w:val="20"/>
          <w:szCs w:val="20"/>
        </w:rPr>
      </w:pPr>
    </w:p>
    <w:p w14:paraId="76FE27C7" w14:textId="6E970CE5" w:rsidR="005A15F9" w:rsidRPr="00044F4E" w:rsidRDefault="005A15F9" w:rsidP="00B5101C">
      <w:pPr>
        <w:tabs>
          <w:tab w:val="left" w:pos="2800"/>
        </w:tabs>
        <w:rPr>
          <w:rFonts w:ascii="Arial" w:hAnsi="Arial" w:cs="Arial"/>
          <w:b/>
          <w:bCs/>
          <w:sz w:val="20"/>
          <w:szCs w:val="20"/>
        </w:rPr>
      </w:pPr>
      <w:r w:rsidRPr="00044F4E">
        <w:rPr>
          <w:rFonts w:ascii="Arial" w:hAnsi="Arial" w:cs="Arial"/>
          <w:b/>
          <w:bCs/>
          <w:sz w:val="20"/>
          <w:szCs w:val="20"/>
        </w:rPr>
        <w:t xml:space="preserve">Table 7 </w:t>
      </w:r>
      <w:bookmarkStart w:id="6" w:name="OLE_LINK9"/>
      <w:r w:rsidRPr="00044F4E">
        <w:rPr>
          <w:rFonts w:ascii="Arial" w:hAnsi="Arial" w:cs="Arial"/>
          <w:b/>
          <w:bCs/>
          <w:sz w:val="20"/>
          <w:szCs w:val="20"/>
        </w:rPr>
        <w:t xml:space="preserve">Incidence </w:t>
      </w:r>
      <w:r w:rsidR="0051741E" w:rsidRPr="00044F4E">
        <w:rPr>
          <w:rFonts w:ascii="Arial" w:hAnsi="Arial" w:cs="Arial"/>
          <w:b/>
          <w:bCs/>
          <w:sz w:val="20"/>
          <w:szCs w:val="20"/>
        </w:rPr>
        <w:t>of PIH according to risk factors</w:t>
      </w:r>
    </w:p>
    <w:tbl>
      <w:tblPr>
        <w:tblStyle w:val="TableGrid"/>
        <w:tblW w:w="8445" w:type="dxa"/>
        <w:tblLook w:val="04A0" w:firstRow="1" w:lastRow="0" w:firstColumn="1" w:lastColumn="0" w:noHBand="0" w:noVBand="1"/>
      </w:tblPr>
      <w:tblGrid>
        <w:gridCol w:w="2547"/>
        <w:gridCol w:w="1542"/>
        <w:gridCol w:w="2112"/>
        <w:gridCol w:w="2244"/>
      </w:tblGrid>
      <w:tr w:rsidR="00D908E7" w:rsidRPr="00044F4E" w14:paraId="4CF90F8A" w14:textId="77777777" w:rsidTr="000B50AA">
        <w:trPr>
          <w:trHeight w:val="523"/>
        </w:trPr>
        <w:tc>
          <w:tcPr>
            <w:tcW w:w="4089" w:type="dxa"/>
            <w:gridSpan w:val="2"/>
          </w:tcPr>
          <w:bookmarkEnd w:id="6"/>
          <w:p w14:paraId="76CC5523" w14:textId="6E8A99D8" w:rsidR="00D908E7" w:rsidRPr="00044F4E" w:rsidRDefault="00D908E7" w:rsidP="00B5101C">
            <w:pPr>
              <w:tabs>
                <w:tab w:val="left" w:pos="2800"/>
              </w:tabs>
              <w:rPr>
                <w:rFonts w:ascii="Arial" w:hAnsi="Arial" w:cs="Arial"/>
                <w:b/>
                <w:bCs/>
                <w:sz w:val="20"/>
                <w:szCs w:val="20"/>
              </w:rPr>
            </w:pPr>
            <w:r w:rsidRPr="00044F4E">
              <w:rPr>
                <w:rFonts w:ascii="Arial" w:hAnsi="Arial" w:cs="Arial"/>
                <w:b/>
                <w:bCs/>
                <w:sz w:val="20"/>
                <w:szCs w:val="20"/>
              </w:rPr>
              <w:t>Risk factors</w:t>
            </w:r>
          </w:p>
        </w:tc>
        <w:tc>
          <w:tcPr>
            <w:tcW w:w="2112" w:type="dxa"/>
          </w:tcPr>
          <w:p w14:paraId="17EB108F" w14:textId="163CD0C4"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No. of cases</w:t>
            </w:r>
          </w:p>
        </w:tc>
        <w:tc>
          <w:tcPr>
            <w:tcW w:w="2244" w:type="dxa"/>
          </w:tcPr>
          <w:p w14:paraId="2FE706B5" w14:textId="6D5BF55C"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Percentage (%)</w:t>
            </w:r>
          </w:p>
        </w:tc>
      </w:tr>
      <w:tr w:rsidR="006377AB" w:rsidRPr="00044F4E" w14:paraId="24D5B5D4" w14:textId="77777777" w:rsidTr="00E57C45">
        <w:trPr>
          <w:trHeight w:val="285"/>
        </w:trPr>
        <w:tc>
          <w:tcPr>
            <w:tcW w:w="2547" w:type="dxa"/>
            <w:vMerge w:val="restart"/>
          </w:tcPr>
          <w:p w14:paraId="448DB862" w14:textId="523B602B" w:rsidR="006377AB" w:rsidRPr="00044F4E" w:rsidRDefault="006377AB" w:rsidP="00B5101C">
            <w:pPr>
              <w:tabs>
                <w:tab w:val="left" w:pos="2800"/>
              </w:tabs>
              <w:rPr>
                <w:rFonts w:ascii="Arial" w:hAnsi="Arial" w:cs="Arial"/>
                <w:sz w:val="20"/>
                <w:szCs w:val="20"/>
              </w:rPr>
            </w:pPr>
            <w:bookmarkStart w:id="7" w:name="_Hlk198725439"/>
            <w:r w:rsidRPr="00044F4E">
              <w:rPr>
                <w:rFonts w:ascii="Arial" w:hAnsi="Arial" w:cs="Arial"/>
                <w:sz w:val="20"/>
                <w:szCs w:val="20"/>
              </w:rPr>
              <w:t xml:space="preserve">Parity                            </w:t>
            </w:r>
          </w:p>
        </w:tc>
        <w:tc>
          <w:tcPr>
            <w:tcW w:w="1542" w:type="dxa"/>
          </w:tcPr>
          <w:p w14:paraId="0BE752FC" w14:textId="70971399"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 xml:space="preserve">Primigravida             </w:t>
            </w:r>
          </w:p>
        </w:tc>
        <w:tc>
          <w:tcPr>
            <w:tcW w:w="2112" w:type="dxa"/>
          </w:tcPr>
          <w:p w14:paraId="446736AF" w14:textId="228A9E0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118                           </w:t>
            </w:r>
          </w:p>
        </w:tc>
        <w:tc>
          <w:tcPr>
            <w:tcW w:w="2244" w:type="dxa"/>
          </w:tcPr>
          <w:p w14:paraId="46A9A6B3" w14:textId="3ADC80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54.6 %</w:t>
            </w:r>
          </w:p>
        </w:tc>
      </w:tr>
      <w:tr w:rsidR="006377AB" w:rsidRPr="00044F4E" w14:paraId="4106A0B4" w14:textId="77777777" w:rsidTr="000B50AA">
        <w:trPr>
          <w:trHeight w:val="163"/>
        </w:trPr>
        <w:tc>
          <w:tcPr>
            <w:tcW w:w="2547" w:type="dxa"/>
            <w:vMerge/>
          </w:tcPr>
          <w:p w14:paraId="2E888F99" w14:textId="77777777" w:rsidR="006377AB" w:rsidRPr="00044F4E" w:rsidRDefault="006377AB" w:rsidP="00B5101C">
            <w:pPr>
              <w:tabs>
                <w:tab w:val="left" w:pos="2800"/>
              </w:tabs>
              <w:rPr>
                <w:rFonts w:ascii="Arial" w:hAnsi="Arial" w:cs="Arial"/>
                <w:sz w:val="20"/>
                <w:szCs w:val="20"/>
              </w:rPr>
            </w:pPr>
          </w:p>
        </w:tc>
        <w:tc>
          <w:tcPr>
            <w:tcW w:w="1542" w:type="dxa"/>
          </w:tcPr>
          <w:p w14:paraId="47F9BF84" w14:textId="690814F8"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Multigravida</w:t>
            </w:r>
          </w:p>
        </w:tc>
        <w:tc>
          <w:tcPr>
            <w:tcW w:w="2112" w:type="dxa"/>
          </w:tcPr>
          <w:p w14:paraId="53350A1C" w14:textId="3848FC8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98</w:t>
            </w:r>
          </w:p>
        </w:tc>
        <w:tc>
          <w:tcPr>
            <w:tcW w:w="2244" w:type="dxa"/>
          </w:tcPr>
          <w:p w14:paraId="34D1C83D" w14:textId="630C70C7"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45.4 %</w:t>
            </w:r>
          </w:p>
        </w:tc>
      </w:tr>
      <w:tr w:rsidR="006377AB" w:rsidRPr="00044F4E" w14:paraId="1F63F797" w14:textId="38C42085" w:rsidTr="00E57C45">
        <w:trPr>
          <w:trHeight w:val="321"/>
        </w:trPr>
        <w:tc>
          <w:tcPr>
            <w:tcW w:w="2547" w:type="dxa"/>
            <w:vMerge w:val="restart"/>
          </w:tcPr>
          <w:p w14:paraId="4B254F9D" w14:textId="37879C1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Previous history of PIH          </w:t>
            </w:r>
          </w:p>
        </w:tc>
        <w:tc>
          <w:tcPr>
            <w:tcW w:w="1542" w:type="dxa"/>
          </w:tcPr>
          <w:p w14:paraId="5136D6EF" w14:textId="6E08D3A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16C1991" w14:textId="677366A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58</w:t>
            </w:r>
          </w:p>
        </w:tc>
        <w:tc>
          <w:tcPr>
            <w:tcW w:w="2244" w:type="dxa"/>
          </w:tcPr>
          <w:p w14:paraId="0DCDA76F" w14:textId="549CA5A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26.9%</w:t>
            </w:r>
          </w:p>
        </w:tc>
      </w:tr>
      <w:tr w:rsidR="006377AB" w:rsidRPr="00044F4E" w14:paraId="08039E2B" w14:textId="77777777" w:rsidTr="000B50AA">
        <w:trPr>
          <w:trHeight w:val="163"/>
        </w:trPr>
        <w:tc>
          <w:tcPr>
            <w:tcW w:w="2547" w:type="dxa"/>
            <w:vMerge/>
          </w:tcPr>
          <w:p w14:paraId="6804B690" w14:textId="77777777" w:rsidR="006377AB" w:rsidRPr="00044F4E" w:rsidRDefault="006377AB" w:rsidP="00B5101C">
            <w:pPr>
              <w:tabs>
                <w:tab w:val="left" w:pos="2800"/>
              </w:tabs>
              <w:rPr>
                <w:rFonts w:ascii="Arial" w:hAnsi="Arial" w:cs="Arial"/>
                <w:sz w:val="20"/>
                <w:szCs w:val="20"/>
              </w:rPr>
            </w:pPr>
          </w:p>
        </w:tc>
        <w:tc>
          <w:tcPr>
            <w:tcW w:w="1542" w:type="dxa"/>
          </w:tcPr>
          <w:p w14:paraId="17DCA1BC" w14:textId="157EBAC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06356099" w14:textId="5EFDC2E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158</w:t>
            </w:r>
          </w:p>
        </w:tc>
        <w:tc>
          <w:tcPr>
            <w:tcW w:w="2244" w:type="dxa"/>
          </w:tcPr>
          <w:p w14:paraId="48C78301" w14:textId="482BA01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73.1%</w:t>
            </w:r>
          </w:p>
        </w:tc>
      </w:tr>
      <w:tr w:rsidR="006377AB" w:rsidRPr="00044F4E" w14:paraId="7A51B398" w14:textId="117C55E1" w:rsidTr="00E57C45">
        <w:trPr>
          <w:trHeight w:val="315"/>
        </w:trPr>
        <w:tc>
          <w:tcPr>
            <w:tcW w:w="2547" w:type="dxa"/>
            <w:vMerge w:val="restart"/>
          </w:tcPr>
          <w:p w14:paraId="591E2E20" w14:textId="6171A14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Family history of HTN          </w:t>
            </w:r>
          </w:p>
        </w:tc>
        <w:tc>
          <w:tcPr>
            <w:tcW w:w="1542" w:type="dxa"/>
          </w:tcPr>
          <w:p w14:paraId="2077E3C9" w14:textId="5F0514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5DC6C65" w14:textId="3FE071B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44</w:t>
            </w:r>
          </w:p>
        </w:tc>
        <w:tc>
          <w:tcPr>
            <w:tcW w:w="2244" w:type="dxa"/>
          </w:tcPr>
          <w:p w14:paraId="1550F1D6" w14:textId="38A5E45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r>
      <w:tr w:rsidR="006377AB" w:rsidRPr="00044F4E" w14:paraId="2A994B60" w14:textId="77777777" w:rsidTr="000B50AA">
        <w:trPr>
          <w:trHeight w:val="163"/>
        </w:trPr>
        <w:tc>
          <w:tcPr>
            <w:tcW w:w="2547" w:type="dxa"/>
            <w:vMerge/>
          </w:tcPr>
          <w:p w14:paraId="66883FBB" w14:textId="77777777" w:rsidR="006377AB" w:rsidRPr="00044F4E" w:rsidRDefault="006377AB" w:rsidP="00B5101C">
            <w:pPr>
              <w:tabs>
                <w:tab w:val="left" w:pos="2800"/>
              </w:tabs>
              <w:rPr>
                <w:rFonts w:ascii="Arial" w:hAnsi="Arial" w:cs="Arial"/>
                <w:sz w:val="20"/>
                <w:szCs w:val="20"/>
              </w:rPr>
            </w:pPr>
          </w:p>
        </w:tc>
        <w:tc>
          <w:tcPr>
            <w:tcW w:w="1542" w:type="dxa"/>
          </w:tcPr>
          <w:p w14:paraId="1401C386" w14:textId="39CFFA1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22B6B64F" w14:textId="0340DCE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172</w:t>
            </w:r>
          </w:p>
        </w:tc>
        <w:tc>
          <w:tcPr>
            <w:tcW w:w="2244" w:type="dxa"/>
          </w:tcPr>
          <w:p w14:paraId="567CCB3E" w14:textId="6A66713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79.6%</w:t>
            </w:r>
          </w:p>
        </w:tc>
      </w:tr>
      <w:tr w:rsidR="006377AB" w:rsidRPr="00044F4E" w14:paraId="165A1D8F" w14:textId="4F842808" w:rsidTr="000B50AA">
        <w:trPr>
          <w:trHeight w:val="53"/>
        </w:trPr>
        <w:tc>
          <w:tcPr>
            <w:tcW w:w="2547" w:type="dxa"/>
            <w:vMerge w:val="restart"/>
          </w:tcPr>
          <w:p w14:paraId="2B63CAC0" w14:textId="5B41C22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Obesity             </w:t>
            </w:r>
          </w:p>
        </w:tc>
        <w:tc>
          <w:tcPr>
            <w:tcW w:w="1542" w:type="dxa"/>
          </w:tcPr>
          <w:p w14:paraId="3283FF75" w14:textId="4E243B5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E65FD65" w14:textId="326A491F"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131</w:t>
            </w:r>
          </w:p>
        </w:tc>
        <w:tc>
          <w:tcPr>
            <w:tcW w:w="2244" w:type="dxa"/>
          </w:tcPr>
          <w:p w14:paraId="6BE04DB9" w14:textId="41E0D43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60.6%</w:t>
            </w:r>
          </w:p>
        </w:tc>
      </w:tr>
      <w:tr w:rsidR="006377AB" w:rsidRPr="00044F4E" w14:paraId="33375599" w14:textId="77777777" w:rsidTr="000B50AA">
        <w:trPr>
          <w:trHeight w:val="163"/>
        </w:trPr>
        <w:tc>
          <w:tcPr>
            <w:tcW w:w="2547" w:type="dxa"/>
            <w:vMerge/>
          </w:tcPr>
          <w:p w14:paraId="5900931D" w14:textId="77777777" w:rsidR="006377AB" w:rsidRPr="00044F4E" w:rsidRDefault="006377AB" w:rsidP="00B5101C">
            <w:pPr>
              <w:tabs>
                <w:tab w:val="left" w:pos="2800"/>
              </w:tabs>
              <w:rPr>
                <w:rFonts w:ascii="Arial" w:hAnsi="Arial" w:cs="Arial"/>
                <w:sz w:val="20"/>
                <w:szCs w:val="20"/>
              </w:rPr>
            </w:pPr>
          </w:p>
        </w:tc>
        <w:tc>
          <w:tcPr>
            <w:tcW w:w="1542" w:type="dxa"/>
          </w:tcPr>
          <w:p w14:paraId="06189B1A" w14:textId="7ABA657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902E692" w14:textId="1AD0282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85</w:t>
            </w:r>
          </w:p>
        </w:tc>
        <w:tc>
          <w:tcPr>
            <w:tcW w:w="2244" w:type="dxa"/>
          </w:tcPr>
          <w:p w14:paraId="7F545CBB" w14:textId="3EA0C9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39.4%</w:t>
            </w:r>
          </w:p>
        </w:tc>
      </w:tr>
      <w:tr w:rsidR="006377AB" w:rsidRPr="00044F4E" w14:paraId="4FFCD757" w14:textId="5D3A765A" w:rsidTr="00E57C45">
        <w:trPr>
          <w:trHeight w:val="259"/>
        </w:trPr>
        <w:tc>
          <w:tcPr>
            <w:tcW w:w="2547" w:type="dxa"/>
            <w:vMerge w:val="restart"/>
          </w:tcPr>
          <w:p w14:paraId="1A2CB032" w14:textId="0DC8AA5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History of ART         </w:t>
            </w:r>
          </w:p>
        </w:tc>
        <w:tc>
          <w:tcPr>
            <w:tcW w:w="1542" w:type="dxa"/>
          </w:tcPr>
          <w:p w14:paraId="52DB5211" w14:textId="266A11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3F703F50" w14:textId="0CEBF32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w:t>
            </w:r>
          </w:p>
        </w:tc>
        <w:tc>
          <w:tcPr>
            <w:tcW w:w="2244" w:type="dxa"/>
          </w:tcPr>
          <w:p w14:paraId="3FBB6147" w14:textId="693A794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w:t>
            </w:r>
          </w:p>
        </w:tc>
      </w:tr>
      <w:tr w:rsidR="006377AB" w:rsidRPr="00044F4E" w14:paraId="4AC38A5E" w14:textId="77777777" w:rsidTr="000B50AA">
        <w:trPr>
          <w:trHeight w:val="163"/>
        </w:trPr>
        <w:tc>
          <w:tcPr>
            <w:tcW w:w="2547" w:type="dxa"/>
            <w:vMerge/>
          </w:tcPr>
          <w:p w14:paraId="63E9F998" w14:textId="77777777" w:rsidR="006377AB" w:rsidRPr="00044F4E" w:rsidRDefault="006377AB" w:rsidP="00B5101C">
            <w:pPr>
              <w:tabs>
                <w:tab w:val="left" w:pos="2800"/>
              </w:tabs>
              <w:rPr>
                <w:rFonts w:ascii="Arial" w:hAnsi="Arial" w:cs="Arial"/>
                <w:sz w:val="20"/>
                <w:szCs w:val="20"/>
              </w:rPr>
            </w:pPr>
          </w:p>
        </w:tc>
        <w:tc>
          <w:tcPr>
            <w:tcW w:w="1542" w:type="dxa"/>
          </w:tcPr>
          <w:p w14:paraId="22191815" w14:textId="5BD2DAD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BDABA1" w14:textId="7ABC4FD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206</w:t>
            </w:r>
          </w:p>
        </w:tc>
        <w:tc>
          <w:tcPr>
            <w:tcW w:w="2244" w:type="dxa"/>
          </w:tcPr>
          <w:p w14:paraId="026E1CB4" w14:textId="254EFED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95.4%</w:t>
            </w:r>
          </w:p>
        </w:tc>
      </w:tr>
      <w:tr w:rsidR="006377AB" w:rsidRPr="00044F4E" w14:paraId="0768CE6E" w14:textId="42D7394E" w:rsidTr="00E57C45">
        <w:trPr>
          <w:trHeight w:val="323"/>
        </w:trPr>
        <w:tc>
          <w:tcPr>
            <w:tcW w:w="2547" w:type="dxa"/>
            <w:vMerge w:val="restart"/>
          </w:tcPr>
          <w:p w14:paraId="31DE141A" w14:textId="2BBE963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GDM</w:t>
            </w:r>
          </w:p>
        </w:tc>
        <w:tc>
          <w:tcPr>
            <w:tcW w:w="1542" w:type="dxa"/>
          </w:tcPr>
          <w:p w14:paraId="610DF50C" w14:textId="0641D3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FB5E7B6" w14:textId="42E8338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12</w:t>
            </w:r>
          </w:p>
        </w:tc>
        <w:tc>
          <w:tcPr>
            <w:tcW w:w="2244" w:type="dxa"/>
          </w:tcPr>
          <w:p w14:paraId="2C59E8A8" w14:textId="034A97B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5.6%</w:t>
            </w:r>
          </w:p>
        </w:tc>
      </w:tr>
      <w:tr w:rsidR="006377AB" w:rsidRPr="00044F4E" w14:paraId="3C0AC58E" w14:textId="77777777" w:rsidTr="000B50AA">
        <w:trPr>
          <w:trHeight w:val="163"/>
        </w:trPr>
        <w:tc>
          <w:tcPr>
            <w:tcW w:w="2547" w:type="dxa"/>
            <w:vMerge/>
          </w:tcPr>
          <w:p w14:paraId="5ED5BF3C" w14:textId="77777777" w:rsidR="006377AB" w:rsidRPr="00044F4E" w:rsidRDefault="006377AB" w:rsidP="00B5101C">
            <w:pPr>
              <w:tabs>
                <w:tab w:val="left" w:pos="2800"/>
              </w:tabs>
              <w:rPr>
                <w:rFonts w:ascii="Arial" w:hAnsi="Arial" w:cs="Arial"/>
                <w:sz w:val="20"/>
                <w:szCs w:val="20"/>
              </w:rPr>
            </w:pPr>
          </w:p>
        </w:tc>
        <w:tc>
          <w:tcPr>
            <w:tcW w:w="1542" w:type="dxa"/>
          </w:tcPr>
          <w:p w14:paraId="49164EF1" w14:textId="43228A3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7DF4DD6" w14:textId="36679E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c>
          <w:tcPr>
            <w:tcW w:w="2244" w:type="dxa"/>
          </w:tcPr>
          <w:p w14:paraId="4CBA0639" w14:textId="403780B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94.4%</w:t>
            </w:r>
          </w:p>
        </w:tc>
      </w:tr>
      <w:tr w:rsidR="006377AB" w:rsidRPr="00044F4E" w14:paraId="2DA9C1BD" w14:textId="7BF550C3" w:rsidTr="00E57C45">
        <w:trPr>
          <w:trHeight w:val="317"/>
        </w:trPr>
        <w:tc>
          <w:tcPr>
            <w:tcW w:w="2547" w:type="dxa"/>
            <w:vMerge w:val="restart"/>
          </w:tcPr>
          <w:p w14:paraId="5AC4097B" w14:textId="17EE886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Maternal Anaemia         </w:t>
            </w:r>
          </w:p>
        </w:tc>
        <w:tc>
          <w:tcPr>
            <w:tcW w:w="1542" w:type="dxa"/>
          </w:tcPr>
          <w:p w14:paraId="68880535" w14:textId="3230693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DACA461" w14:textId="6F7EA4E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100</w:t>
            </w:r>
          </w:p>
        </w:tc>
        <w:tc>
          <w:tcPr>
            <w:tcW w:w="2244" w:type="dxa"/>
          </w:tcPr>
          <w:p w14:paraId="67DB7184" w14:textId="5FAA3C6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46.3%</w:t>
            </w:r>
          </w:p>
        </w:tc>
      </w:tr>
      <w:tr w:rsidR="006377AB" w:rsidRPr="00044F4E" w14:paraId="0C735E0D" w14:textId="77777777" w:rsidTr="000B50AA">
        <w:trPr>
          <w:trHeight w:val="163"/>
        </w:trPr>
        <w:tc>
          <w:tcPr>
            <w:tcW w:w="2547" w:type="dxa"/>
            <w:vMerge/>
          </w:tcPr>
          <w:p w14:paraId="456296B5" w14:textId="77777777" w:rsidR="006377AB" w:rsidRPr="00044F4E" w:rsidRDefault="006377AB" w:rsidP="00B5101C">
            <w:pPr>
              <w:tabs>
                <w:tab w:val="left" w:pos="2800"/>
              </w:tabs>
              <w:rPr>
                <w:rFonts w:ascii="Arial" w:hAnsi="Arial" w:cs="Arial"/>
                <w:sz w:val="20"/>
                <w:szCs w:val="20"/>
              </w:rPr>
            </w:pPr>
          </w:p>
        </w:tc>
        <w:tc>
          <w:tcPr>
            <w:tcW w:w="1542" w:type="dxa"/>
          </w:tcPr>
          <w:p w14:paraId="723C7B56" w14:textId="1F1DB34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15548D6D" w14:textId="51FC76C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116</w:t>
            </w:r>
          </w:p>
        </w:tc>
        <w:tc>
          <w:tcPr>
            <w:tcW w:w="2244" w:type="dxa"/>
          </w:tcPr>
          <w:p w14:paraId="67C259C0" w14:textId="5D66065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53.7%</w:t>
            </w:r>
          </w:p>
        </w:tc>
      </w:tr>
      <w:tr w:rsidR="006377AB" w:rsidRPr="00044F4E" w14:paraId="4700A971" w14:textId="5BC690EB" w:rsidTr="00E57C45">
        <w:trPr>
          <w:trHeight w:val="311"/>
        </w:trPr>
        <w:tc>
          <w:tcPr>
            <w:tcW w:w="2547" w:type="dxa"/>
            <w:vMerge w:val="restart"/>
          </w:tcPr>
          <w:p w14:paraId="647A3D0F" w14:textId="2BC85C6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Multifetal pregnancy         </w:t>
            </w:r>
          </w:p>
        </w:tc>
        <w:tc>
          <w:tcPr>
            <w:tcW w:w="1542" w:type="dxa"/>
          </w:tcPr>
          <w:p w14:paraId="4314812E" w14:textId="5E53069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40855AA4" w14:textId="453CA86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50</w:t>
            </w:r>
          </w:p>
        </w:tc>
        <w:tc>
          <w:tcPr>
            <w:tcW w:w="2244" w:type="dxa"/>
          </w:tcPr>
          <w:p w14:paraId="3083CFC8" w14:textId="20DC838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23.1%</w:t>
            </w:r>
          </w:p>
        </w:tc>
      </w:tr>
      <w:bookmarkEnd w:id="7"/>
      <w:tr w:rsidR="006377AB" w:rsidRPr="00044F4E" w14:paraId="2CA202D2" w14:textId="77777777" w:rsidTr="000B50AA">
        <w:trPr>
          <w:trHeight w:val="163"/>
        </w:trPr>
        <w:tc>
          <w:tcPr>
            <w:tcW w:w="2547" w:type="dxa"/>
            <w:vMerge/>
          </w:tcPr>
          <w:p w14:paraId="0ACB6EB9" w14:textId="77777777" w:rsidR="006377AB" w:rsidRPr="00044F4E" w:rsidRDefault="006377AB" w:rsidP="00B5101C">
            <w:pPr>
              <w:tabs>
                <w:tab w:val="left" w:pos="2800"/>
              </w:tabs>
              <w:rPr>
                <w:rFonts w:ascii="Arial" w:hAnsi="Arial" w:cs="Arial"/>
                <w:sz w:val="20"/>
                <w:szCs w:val="20"/>
              </w:rPr>
            </w:pPr>
          </w:p>
        </w:tc>
        <w:tc>
          <w:tcPr>
            <w:tcW w:w="1542" w:type="dxa"/>
          </w:tcPr>
          <w:p w14:paraId="396377AA" w14:textId="51738D5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F28109" w14:textId="28AFC23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166</w:t>
            </w:r>
          </w:p>
        </w:tc>
        <w:tc>
          <w:tcPr>
            <w:tcW w:w="2244" w:type="dxa"/>
          </w:tcPr>
          <w:p w14:paraId="6D4D0CA9" w14:textId="79B97A1C"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76.9%</w:t>
            </w:r>
          </w:p>
        </w:tc>
      </w:tr>
    </w:tbl>
    <w:p w14:paraId="725FE0CD" w14:textId="77777777" w:rsidR="009C4E5C" w:rsidRDefault="009C4E5C" w:rsidP="00B5101C">
      <w:pPr>
        <w:tabs>
          <w:tab w:val="left" w:pos="2800"/>
        </w:tabs>
        <w:jc w:val="both"/>
        <w:rPr>
          <w:rFonts w:ascii="Arial" w:hAnsi="Arial" w:cs="Arial"/>
          <w:sz w:val="20"/>
          <w:szCs w:val="20"/>
        </w:rPr>
      </w:pPr>
    </w:p>
    <w:p w14:paraId="74E3CF81" w14:textId="2D25C784" w:rsidR="006B70F2" w:rsidRDefault="007313DA" w:rsidP="007313DA">
      <w:pPr>
        <w:rPr>
          <w:rFonts w:ascii="Arial" w:hAnsi="Arial" w:cs="Arial"/>
          <w:sz w:val="20"/>
          <w:szCs w:val="20"/>
        </w:rPr>
      </w:pPr>
      <w:r>
        <w:rPr>
          <w:rFonts w:ascii="Arial" w:hAnsi="Arial" w:cs="Arial"/>
          <w:noProof/>
          <w:sz w:val="20"/>
          <w:szCs w:val="20"/>
        </w:rPr>
        <w:lastRenderedPageBreak/>
        <w:drawing>
          <wp:inline distT="0" distB="0" distL="0" distR="0" wp14:anchorId="1D63DE09" wp14:editId="6591C224">
            <wp:extent cx="5400040" cy="3150235"/>
            <wp:effectExtent l="0" t="0" r="10160" b="12065"/>
            <wp:docPr id="17625126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E023FA" w14:textId="02ED6A89" w:rsidR="007313DA" w:rsidRDefault="007313DA" w:rsidP="007313DA">
      <w:pPr>
        <w:tabs>
          <w:tab w:val="left" w:pos="2800"/>
        </w:tabs>
        <w:rPr>
          <w:rFonts w:ascii="Arial" w:hAnsi="Arial" w:cs="Arial"/>
          <w:sz w:val="20"/>
          <w:szCs w:val="20"/>
        </w:rPr>
      </w:pPr>
      <w:r>
        <w:rPr>
          <w:rFonts w:ascii="Arial" w:hAnsi="Arial" w:cs="Arial"/>
          <w:sz w:val="20"/>
          <w:szCs w:val="20"/>
        </w:rPr>
        <w:t xml:space="preserve">Fig. 7 - </w:t>
      </w:r>
      <w:r w:rsidRPr="007313DA">
        <w:rPr>
          <w:rFonts w:ascii="Arial" w:hAnsi="Arial" w:cs="Arial"/>
          <w:sz w:val="20"/>
          <w:szCs w:val="20"/>
        </w:rPr>
        <w:t>Incidence of PIH according to risk factors</w:t>
      </w:r>
    </w:p>
    <w:p w14:paraId="0C2AE75F" w14:textId="77777777" w:rsidR="007313DA" w:rsidRPr="00044F4E" w:rsidRDefault="007313DA" w:rsidP="007313DA">
      <w:pPr>
        <w:tabs>
          <w:tab w:val="left" w:pos="2800"/>
        </w:tabs>
        <w:rPr>
          <w:rFonts w:ascii="Arial" w:hAnsi="Arial" w:cs="Arial"/>
          <w:sz w:val="20"/>
          <w:szCs w:val="20"/>
        </w:rPr>
      </w:pPr>
    </w:p>
    <w:p w14:paraId="2A429E30" w14:textId="4F4C1AAA" w:rsidR="00B652FA" w:rsidRPr="00044F4E" w:rsidRDefault="00A840BD" w:rsidP="00B5101C">
      <w:pPr>
        <w:tabs>
          <w:tab w:val="left" w:pos="2800"/>
        </w:tabs>
        <w:jc w:val="both"/>
        <w:rPr>
          <w:rFonts w:ascii="Arial" w:hAnsi="Arial" w:cs="Arial"/>
          <w:color w:val="FF0000"/>
          <w:sz w:val="20"/>
          <w:szCs w:val="20"/>
        </w:rPr>
      </w:pPr>
      <w:r>
        <w:rPr>
          <w:rFonts w:ascii="Arial" w:hAnsi="Arial" w:cs="Arial"/>
          <w:sz w:val="20"/>
          <w:szCs w:val="20"/>
        </w:rPr>
        <w:t>T</w:t>
      </w:r>
      <w:r w:rsidR="00B652FA" w:rsidRPr="00044F4E">
        <w:rPr>
          <w:rFonts w:ascii="Arial" w:hAnsi="Arial" w:cs="Arial"/>
          <w:sz w:val="20"/>
          <w:szCs w:val="20"/>
        </w:rPr>
        <w:t>able</w:t>
      </w:r>
      <w:r>
        <w:rPr>
          <w:rFonts w:ascii="Arial" w:hAnsi="Arial" w:cs="Arial"/>
          <w:sz w:val="20"/>
          <w:szCs w:val="20"/>
        </w:rPr>
        <w:t xml:space="preserve"> 7</w:t>
      </w:r>
      <w:r w:rsidR="00B652FA" w:rsidRPr="00044F4E">
        <w:rPr>
          <w:rFonts w:ascii="Arial" w:hAnsi="Arial" w:cs="Arial"/>
          <w:sz w:val="20"/>
          <w:szCs w:val="20"/>
        </w:rPr>
        <w:t xml:space="preserve"> shows the association of different risk factors to the incidence of pregnancy induced hypertension. On basis of parity, maximum number of cases were seen in primigravida females which were</w:t>
      </w:r>
      <w:r w:rsidR="00307BD4" w:rsidRPr="00044F4E">
        <w:rPr>
          <w:rFonts w:ascii="Arial" w:hAnsi="Arial" w:cs="Arial"/>
          <w:sz w:val="20"/>
          <w:szCs w:val="20"/>
        </w:rPr>
        <w:t xml:space="preserve"> 118 comprising 54.6% </w:t>
      </w:r>
      <w:r w:rsidR="00B652FA" w:rsidRPr="00044F4E">
        <w:rPr>
          <w:rFonts w:ascii="Arial" w:hAnsi="Arial" w:cs="Arial"/>
          <w:color w:val="000000" w:themeColor="text1"/>
          <w:sz w:val="20"/>
          <w:szCs w:val="20"/>
        </w:rPr>
        <w:t xml:space="preserve">of </w:t>
      </w:r>
      <w:r w:rsidR="003654CF" w:rsidRPr="003654CF">
        <w:rPr>
          <w:rFonts w:ascii="Arial" w:hAnsi="Arial" w:cs="Arial"/>
          <w:color w:val="000000" w:themeColor="text1"/>
          <w:sz w:val="20"/>
          <w:szCs w:val="20"/>
          <w:highlight w:val="yellow"/>
        </w:rPr>
        <w:t>the total</w:t>
      </w:r>
      <w:r w:rsidR="003654CF">
        <w:rPr>
          <w:rFonts w:ascii="Arial" w:hAnsi="Arial" w:cs="Arial"/>
          <w:color w:val="000000" w:themeColor="text1"/>
          <w:sz w:val="20"/>
          <w:szCs w:val="20"/>
        </w:rPr>
        <w:t xml:space="preserve"> </w:t>
      </w:r>
      <w:r w:rsidR="00B652FA" w:rsidRPr="00044F4E">
        <w:rPr>
          <w:rFonts w:ascii="Arial" w:hAnsi="Arial" w:cs="Arial"/>
          <w:color w:val="000000" w:themeColor="text1"/>
          <w:sz w:val="20"/>
          <w:szCs w:val="20"/>
        </w:rPr>
        <w:t xml:space="preserve">cases whereas </w:t>
      </w:r>
      <w:r w:rsidR="00307BD4" w:rsidRPr="00044F4E">
        <w:rPr>
          <w:rFonts w:ascii="Arial" w:hAnsi="Arial" w:cs="Arial"/>
          <w:color w:val="000000" w:themeColor="text1"/>
          <w:sz w:val="20"/>
          <w:szCs w:val="20"/>
        </w:rPr>
        <w:t xml:space="preserve">only </w:t>
      </w:r>
      <w:r w:rsidR="00307BD4" w:rsidRPr="003654CF">
        <w:rPr>
          <w:rFonts w:ascii="Arial" w:hAnsi="Arial" w:cs="Arial"/>
          <w:color w:val="000000" w:themeColor="text1"/>
          <w:sz w:val="20"/>
          <w:szCs w:val="20"/>
          <w:highlight w:val="yellow"/>
        </w:rPr>
        <w:t xml:space="preserve">98 </w:t>
      </w:r>
      <w:r w:rsidR="0020427A" w:rsidRPr="003654CF">
        <w:rPr>
          <w:rFonts w:ascii="Arial" w:hAnsi="Arial" w:cs="Arial"/>
          <w:color w:val="000000" w:themeColor="text1"/>
          <w:sz w:val="20"/>
          <w:szCs w:val="20"/>
          <w:highlight w:val="yellow"/>
        </w:rPr>
        <w:t>females</w:t>
      </w:r>
      <w:r w:rsidR="00307BD4" w:rsidRPr="00044F4E">
        <w:rPr>
          <w:rFonts w:ascii="Arial" w:hAnsi="Arial" w:cs="Arial"/>
          <w:color w:val="000000" w:themeColor="text1"/>
          <w:sz w:val="20"/>
          <w:szCs w:val="20"/>
        </w:rPr>
        <w:t xml:space="preserve"> were </w:t>
      </w:r>
      <w:r w:rsidR="0020427A" w:rsidRPr="00044F4E">
        <w:rPr>
          <w:rFonts w:ascii="Arial" w:hAnsi="Arial" w:cs="Arial"/>
          <w:color w:val="000000" w:themeColor="text1"/>
          <w:sz w:val="20"/>
          <w:szCs w:val="20"/>
        </w:rPr>
        <w:t>multigravida. Out</w:t>
      </w:r>
      <w:r w:rsidR="00701C84" w:rsidRPr="00044F4E">
        <w:rPr>
          <w:rFonts w:ascii="Arial" w:hAnsi="Arial" w:cs="Arial"/>
          <w:color w:val="000000" w:themeColor="text1"/>
          <w:sz w:val="20"/>
          <w:szCs w:val="20"/>
        </w:rPr>
        <w:t xml:space="preserve"> o</w:t>
      </w:r>
      <w:r w:rsidR="00307BD4" w:rsidRPr="00044F4E">
        <w:rPr>
          <w:rFonts w:ascii="Arial" w:hAnsi="Arial" w:cs="Arial"/>
          <w:color w:val="000000" w:themeColor="text1"/>
          <w:sz w:val="20"/>
          <w:szCs w:val="20"/>
        </w:rPr>
        <w:t>f 216 c</w:t>
      </w:r>
      <w:r w:rsidR="00701C84" w:rsidRPr="00044F4E">
        <w:rPr>
          <w:rFonts w:ascii="Arial" w:hAnsi="Arial" w:cs="Arial"/>
          <w:color w:val="000000" w:themeColor="text1"/>
          <w:sz w:val="20"/>
          <w:szCs w:val="20"/>
        </w:rPr>
        <w:t>ases</w:t>
      </w:r>
      <w:r w:rsidR="00307BD4" w:rsidRPr="00044F4E">
        <w:rPr>
          <w:rFonts w:ascii="Arial" w:hAnsi="Arial" w:cs="Arial"/>
          <w:color w:val="000000" w:themeColor="text1"/>
          <w:sz w:val="20"/>
          <w:szCs w:val="20"/>
        </w:rPr>
        <w:t xml:space="preserve">, around </w:t>
      </w:r>
      <w:r w:rsidR="0020427A" w:rsidRPr="00044F4E">
        <w:rPr>
          <w:rFonts w:ascii="Arial" w:hAnsi="Arial" w:cs="Arial"/>
          <w:color w:val="000000" w:themeColor="text1"/>
          <w:sz w:val="20"/>
          <w:szCs w:val="20"/>
        </w:rPr>
        <w:t>58 patients</w:t>
      </w:r>
      <w:r w:rsidR="00701C84" w:rsidRPr="00044F4E">
        <w:rPr>
          <w:rFonts w:ascii="Arial" w:hAnsi="Arial" w:cs="Arial"/>
          <w:color w:val="000000" w:themeColor="text1"/>
          <w:sz w:val="20"/>
          <w:szCs w:val="20"/>
        </w:rPr>
        <w:t xml:space="preserve"> had a history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in previous pregnancies comprising</w:t>
      </w:r>
      <w:r w:rsidR="00307BD4" w:rsidRPr="00044F4E">
        <w:rPr>
          <w:rFonts w:ascii="Arial" w:hAnsi="Arial" w:cs="Arial"/>
          <w:color w:val="000000" w:themeColor="text1"/>
          <w:sz w:val="20"/>
          <w:szCs w:val="20"/>
        </w:rPr>
        <w:t xml:space="preserve"> 26.</w:t>
      </w:r>
      <w:r w:rsidR="00661E1F" w:rsidRPr="00044F4E">
        <w:rPr>
          <w:rFonts w:ascii="Arial" w:hAnsi="Arial" w:cs="Arial"/>
          <w:color w:val="000000" w:themeColor="text1"/>
          <w:sz w:val="20"/>
          <w:szCs w:val="20"/>
        </w:rPr>
        <w:t>9</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of the total cases and</w:t>
      </w:r>
      <w:r w:rsidR="00307BD4" w:rsidRPr="00044F4E">
        <w:rPr>
          <w:rFonts w:ascii="Arial" w:hAnsi="Arial" w:cs="Arial"/>
          <w:color w:val="000000" w:themeColor="text1"/>
          <w:sz w:val="20"/>
          <w:szCs w:val="20"/>
        </w:rPr>
        <w:t xml:space="preserve"> only 44 </w:t>
      </w:r>
      <w:r w:rsidR="00701C84" w:rsidRPr="00044F4E">
        <w:rPr>
          <w:rFonts w:ascii="Arial" w:hAnsi="Arial" w:cs="Arial"/>
          <w:color w:val="000000" w:themeColor="text1"/>
          <w:sz w:val="20"/>
          <w:szCs w:val="20"/>
        </w:rPr>
        <w:t xml:space="preserve">patients had </w:t>
      </w:r>
      <w:r w:rsidR="00307BD4" w:rsidRPr="00044F4E">
        <w:rPr>
          <w:rFonts w:ascii="Arial" w:hAnsi="Arial" w:cs="Arial"/>
          <w:color w:val="000000" w:themeColor="text1"/>
          <w:sz w:val="20"/>
          <w:szCs w:val="20"/>
        </w:rPr>
        <w:t xml:space="preserve">a </w:t>
      </w:r>
      <w:r w:rsidR="00701C84" w:rsidRPr="00044F4E">
        <w:rPr>
          <w:rFonts w:ascii="Arial" w:hAnsi="Arial" w:cs="Arial"/>
          <w:color w:val="000000" w:themeColor="text1"/>
          <w:sz w:val="20"/>
          <w:szCs w:val="20"/>
        </w:rPr>
        <w:t xml:space="preserve">family history of hypertension, both of which were insignificant in relation to the incidence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131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a </w:t>
      </w:r>
      <w:r w:rsidR="009400DA" w:rsidRPr="00044F4E">
        <w:rPr>
          <w:rFonts w:ascii="Arial" w:hAnsi="Arial" w:cs="Arial"/>
          <w:color w:val="000000" w:themeColor="text1"/>
          <w:sz w:val="20"/>
          <w:szCs w:val="20"/>
        </w:rPr>
        <w:t>BMI</w:t>
      </w:r>
      <w:r w:rsidR="00701C84" w:rsidRPr="00044F4E">
        <w:rPr>
          <w:rFonts w:ascii="Arial" w:hAnsi="Arial" w:cs="Arial"/>
          <w:color w:val="000000" w:themeColor="text1"/>
          <w:sz w:val="20"/>
          <w:szCs w:val="20"/>
        </w:rPr>
        <w:t xml:space="preserve"> &gt;25 and comprised around</w:t>
      </w:r>
      <w:r w:rsidR="00307BD4" w:rsidRPr="00044F4E">
        <w:rPr>
          <w:rFonts w:ascii="Arial" w:hAnsi="Arial" w:cs="Arial"/>
          <w:color w:val="000000" w:themeColor="text1"/>
          <w:sz w:val="20"/>
          <w:szCs w:val="20"/>
        </w:rPr>
        <w:t xml:space="preserve"> 60.6</w:t>
      </w:r>
      <w:r w:rsidR="0020427A" w:rsidRPr="00044F4E">
        <w:rPr>
          <w:rFonts w:ascii="Arial" w:hAnsi="Arial" w:cs="Arial"/>
          <w:color w:val="000000" w:themeColor="text1"/>
          <w:sz w:val="20"/>
          <w:szCs w:val="20"/>
        </w:rPr>
        <w:t>% of</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the </w:t>
      </w:r>
      <w:r w:rsidR="00307BD4" w:rsidRPr="00044F4E">
        <w:rPr>
          <w:rFonts w:ascii="Arial" w:hAnsi="Arial" w:cs="Arial"/>
          <w:color w:val="000000" w:themeColor="text1"/>
          <w:sz w:val="20"/>
          <w:szCs w:val="20"/>
        </w:rPr>
        <w:t xml:space="preserve">total 216 </w:t>
      </w:r>
      <w:r w:rsidR="00701C84" w:rsidRPr="00044F4E">
        <w:rPr>
          <w:rFonts w:ascii="Arial" w:hAnsi="Arial" w:cs="Arial"/>
          <w:color w:val="000000" w:themeColor="text1"/>
          <w:sz w:val="20"/>
          <w:szCs w:val="20"/>
        </w:rPr>
        <w:t xml:space="preserve">cases. </w:t>
      </w:r>
      <w:r w:rsidR="00307BD4" w:rsidRPr="00044F4E">
        <w:rPr>
          <w:rFonts w:ascii="Arial" w:hAnsi="Arial" w:cs="Arial"/>
          <w:color w:val="000000" w:themeColor="text1"/>
          <w:sz w:val="20"/>
          <w:szCs w:val="20"/>
        </w:rPr>
        <w:t xml:space="preserve">12 patients </w:t>
      </w:r>
      <w:r w:rsidR="003654CF" w:rsidRPr="003654CF">
        <w:rPr>
          <w:rFonts w:ascii="Arial" w:hAnsi="Arial" w:cs="Arial"/>
          <w:color w:val="000000" w:themeColor="text1"/>
          <w:sz w:val="20"/>
          <w:szCs w:val="20"/>
          <w:highlight w:val="yellow"/>
        </w:rPr>
        <w:t>presenting</w:t>
      </w:r>
      <w:r w:rsidR="003654CF">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with PIH had</w:t>
      </w:r>
      <w:r w:rsidR="00701C84" w:rsidRPr="00044F4E">
        <w:rPr>
          <w:rFonts w:ascii="Arial" w:hAnsi="Arial" w:cs="Arial"/>
          <w:color w:val="000000" w:themeColor="text1"/>
          <w:sz w:val="20"/>
          <w:szCs w:val="20"/>
        </w:rPr>
        <w:t xml:space="preserve"> </w:t>
      </w:r>
      <w:r w:rsidR="009400DA" w:rsidRPr="00044F4E">
        <w:rPr>
          <w:rFonts w:ascii="Arial" w:hAnsi="Arial" w:cs="Arial"/>
          <w:color w:val="000000" w:themeColor="text1"/>
          <w:sz w:val="20"/>
          <w:szCs w:val="20"/>
        </w:rPr>
        <w:t>GDM</w:t>
      </w:r>
      <w:r w:rsidR="00307BD4" w:rsidRPr="00044F4E">
        <w:rPr>
          <w:rFonts w:ascii="Arial" w:hAnsi="Arial" w:cs="Arial"/>
          <w:color w:val="000000" w:themeColor="text1"/>
          <w:sz w:val="20"/>
          <w:szCs w:val="20"/>
        </w:rPr>
        <w:t xml:space="preserve"> accounting for </w:t>
      </w:r>
      <w:r w:rsidR="00661E1F" w:rsidRPr="00044F4E">
        <w:rPr>
          <w:rFonts w:ascii="Arial" w:hAnsi="Arial" w:cs="Arial"/>
          <w:color w:val="000000" w:themeColor="text1"/>
          <w:sz w:val="20"/>
          <w:szCs w:val="20"/>
        </w:rPr>
        <w:t>5.6</w:t>
      </w:r>
      <w:r w:rsidR="00307BD4" w:rsidRPr="00044F4E">
        <w:rPr>
          <w:rFonts w:ascii="Arial" w:hAnsi="Arial" w:cs="Arial"/>
          <w:color w:val="000000" w:themeColor="text1"/>
          <w:sz w:val="20"/>
          <w:szCs w:val="20"/>
        </w:rPr>
        <w:t>% of the lot</w:t>
      </w:r>
      <w:r w:rsidR="00701C84" w:rsidRPr="00044F4E">
        <w:rPr>
          <w:rFonts w:ascii="Arial" w:hAnsi="Arial" w:cs="Arial"/>
          <w:color w:val="000000" w:themeColor="text1"/>
          <w:sz w:val="20"/>
          <w:szCs w:val="20"/>
        </w:rPr>
        <w:t>.</w:t>
      </w:r>
      <w:r w:rsidR="00714168" w:rsidRPr="00044F4E">
        <w:rPr>
          <w:rFonts w:ascii="Arial" w:hAnsi="Arial" w:cs="Arial"/>
          <w:color w:val="000000" w:themeColor="text1"/>
          <w:sz w:val="20"/>
          <w:szCs w:val="20"/>
        </w:rPr>
        <w:t xml:space="preserve"> 100 </w:t>
      </w:r>
      <w:r w:rsidR="003654CF" w:rsidRPr="003654CF">
        <w:rPr>
          <w:rFonts w:ascii="Arial" w:hAnsi="Arial" w:cs="Arial"/>
          <w:color w:val="000000" w:themeColor="text1"/>
          <w:sz w:val="20"/>
          <w:szCs w:val="20"/>
          <w:highlight w:val="yellow"/>
        </w:rPr>
        <w:t>of the</w:t>
      </w:r>
      <w:r w:rsidR="003654CF">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patients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maternal </w:t>
      </w:r>
      <w:r w:rsidR="00701C84" w:rsidRPr="003654CF">
        <w:rPr>
          <w:rFonts w:ascii="Arial" w:hAnsi="Arial" w:cs="Arial"/>
          <w:color w:val="000000" w:themeColor="text1"/>
          <w:sz w:val="20"/>
          <w:szCs w:val="20"/>
          <w:highlight w:val="yellow"/>
        </w:rPr>
        <w:t>anaemia comprising</w:t>
      </w:r>
      <w:r w:rsidR="00701C84" w:rsidRPr="00044F4E">
        <w:rPr>
          <w:rFonts w:ascii="Arial" w:hAnsi="Arial" w:cs="Arial"/>
          <w:color w:val="000000" w:themeColor="text1"/>
          <w:sz w:val="20"/>
          <w:szCs w:val="20"/>
        </w:rPr>
        <w:t xml:space="preserve"> around</w:t>
      </w:r>
      <w:r w:rsidR="00714168" w:rsidRPr="00044F4E">
        <w:rPr>
          <w:rFonts w:ascii="Arial" w:hAnsi="Arial" w:cs="Arial"/>
          <w:color w:val="000000" w:themeColor="text1"/>
          <w:sz w:val="20"/>
          <w:szCs w:val="20"/>
        </w:rPr>
        <w:t xml:space="preserve"> 46.</w:t>
      </w:r>
      <w:r w:rsidR="00661E1F" w:rsidRPr="00044F4E">
        <w:rPr>
          <w:rFonts w:ascii="Arial" w:hAnsi="Arial" w:cs="Arial"/>
          <w:color w:val="000000" w:themeColor="text1"/>
          <w:sz w:val="20"/>
          <w:szCs w:val="20"/>
        </w:rPr>
        <w:t>3</w:t>
      </w:r>
      <w:r w:rsidR="00714168" w:rsidRPr="00044F4E">
        <w:rPr>
          <w:rFonts w:ascii="Arial" w:hAnsi="Arial" w:cs="Arial"/>
          <w:color w:val="000000" w:themeColor="text1"/>
          <w:sz w:val="20"/>
          <w:szCs w:val="20"/>
        </w:rPr>
        <w:t>%</w:t>
      </w:r>
      <w:r w:rsidR="00701C84" w:rsidRPr="00044F4E">
        <w:rPr>
          <w:rFonts w:ascii="Arial" w:hAnsi="Arial" w:cs="Arial"/>
          <w:color w:val="000000" w:themeColor="text1"/>
          <w:sz w:val="20"/>
          <w:szCs w:val="20"/>
        </w:rPr>
        <w:t xml:space="preserve"> of the total which came out to be significant. Out of the total </w:t>
      </w:r>
      <w:r w:rsidR="0020427A" w:rsidRPr="00044F4E">
        <w:rPr>
          <w:rFonts w:ascii="Arial" w:hAnsi="Arial" w:cs="Arial"/>
          <w:color w:val="000000" w:themeColor="text1"/>
          <w:sz w:val="20"/>
          <w:szCs w:val="20"/>
        </w:rPr>
        <w:t>patients,</w:t>
      </w:r>
      <w:r w:rsidR="00701C84" w:rsidRPr="00044F4E">
        <w:rPr>
          <w:rFonts w:ascii="Arial" w:hAnsi="Arial" w:cs="Arial"/>
          <w:color w:val="000000" w:themeColor="text1"/>
          <w:sz w:val="20"/>
          <w:szCs w:val="20"/>
        </w:rPr>
        <w:t xml:space="preserve"> only </w:t>
      </w:r>
      <w:r w:rsidR="00714168" w:rsidRPr="00044F4E">
        <w:rPr>
          <w:rFonts w:ascii="Arial" w:hAnsi="Arial" w:cs="Arial"/>
          <w:color w:val="000000" w:themeColor="text1"/>
          <w:sz w:val="20"/>
          <w:szCs w:val="20"/>
        </w:rPr>
        <w:t xml:space="preserve">4.6% </w:t>
      </w:r>
      <w:r w:rsidR="00701C84" w:rsidRPr="00044F4E">
        <w:rPr>
          <w:rFonts w:ascii="Arial" w:hAnsi="Arial" w:cs="Arial"/>
          <w:color w:val="000000" w:themeColor="text1"/>
          <w:sz w:val="20"/>
          <w:szCs w:val="20"/>
        </w:rPr>
        <w:t xml:space="preserve">had given </w:t>
      </w:r>
      <w:r w:rsidR="003654CF" w:rsidRPr="003654CF">
        <w:rPr>
          <w:rFonts w:ascii="Arial" w:hAnsi="Arial" w:cs="Arial"/>
          <w:color w:val="000000" w:themeColor="text1"/>
          <w:sz w:val="20"/>
          <w:szCs w:val="20"/>
          <w:highlight w:val="yellow"/>
        </w:rPr>
        <w:t>the</w:t>
      </w:r>
      <w:r w:rsidR="003654CF">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history of use of ARTs</w:t>
      </w:r>
      <w:r w:rsidR="00714168" w:rsidRPr="00044F4E">
        <w:rPr>
          <w:rFonts w:ascii="Arial" w:hAnsi="Arial" w:cs="Arial"/>
          <w:color w:val="000000" w:themeColor="text1"/>
          <w:sz w:val="20"/>
          <w:szCs w:val="20"/>
        </w:rPr>
        <w:t>. 50 p</w:t>
      </w:r>
      <w:r w:rsidR="000A0A20" w:rsidRPr="00044F4E">
        <w:rPr>
          <w:rFonts w:ascii="Arial" w:hAnsi="Arial" w:cs="Arial"/>
          <w:color w:val="000000" w:themeColor="text1"/>
          <w:sz w:val="20"/>
          <w:szCs w:val="20"/>
        </w:rPr>
        <w:t xml:space="preserve">atients with </w:t>
      </w:r>
      <w:r w:rsidR="009400DA" w:rsidRPr="00044F4E">
        <w:rPr>
          <w:rFonts w:ascii="Arial" w:hAnsi="Arial" w:cs="Arial"/>
          <w:color w:val="000000" w:themeColor="text1"/>
          <w:sz w:val="20"/>
          <w:szCs w:val="20"/>
        </w:rPr>
        <w:t>PIH</w:t>
      </w:r>
      <w:r w:rsidR="000A0A20" w:rsidRPr="00044F4E">
        <w:rPr>
          <w:rFonts w:ascii="Arial" w:hAnsi="Arial" w:cs="Arial"/>
          <w:color w:val="000000" w:themeColor="text1"/>
          <w:sz w:val="20"/>
          <w:szCs w:val="20"/>
        </w:rPr>
        <w:t xml:space="preserve"> had multifetal pregnancy out of a total </w:t>
      </w:r>
      <w:r w:rsidR="00714168" w:rsidRPr="00044F4E">
        <w:rPr>
          <w:rFonts w:ascii="Arial" w:hAnsi="Arial" w:cs="Arial"/>
          <w:color w:val="000000" w:themeColor="text1"/>
          <w:sz w:val="20"/>
          <w:szCs w:val="20"/>
        </w:rPr>
        <w:t>of 216 comprising about 23.1%.</w:t>
      </w:r>
    </w:p>
    <w:p w14:paraId="281857EF" w14:textId="77777777" w:rsidR="00B652FA" w:rsidRPr="00044F4E" w:rsidRDefault="00B652FA" w:rsidP="00B5101C">
      <w:pPr>
        <w:tabs>
          <w:tab w:val="left" w:pos="2800"/>
        </w:tabs>
        <w:rPr>
          <w:rFonts w:ascii="Arial" w:hAnsi="Arial" w:cs="Arial"/>
          <w:sz w:val="20"/>
          <w:szCs w:val="20"/>
        </w:rPr>
      </w:pPr>
    </w:p>
    <w:p w14:paraId="48F23EC5" w14:textId="0C2256CE"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C.</w:t>
      </w:r>
      <w:r w:rsidR="005C7792" w:rsidRPr="00044F4E">
        <w:rPr>
          <w:rFonts w:ascii="Arial" w:hAnsi="Arial" w:cs="Arial"/>
          <w:sz w:val="20"/>
          <w:szCs w:val="20"/>
        </w:rPr>
        <w:t xml:space="preserve"> </w:t>
      </w:r>
      <w:r w:rsidR="006D5546" w:rsidRPr="00044F4E">
        <w:rPr>
          <w:rFonts w:ascii="Arial" w:hAnsi="Arial" w:cs="Arial"/>
          <w:sz w:val="20"/>
          <w:szCs w:val="20"/>
        </w:rPr>
        <w:t>Incidence of adverse perinatal outcomes</w:t>
      </w:r>
    </w:p>
    <w:p w14:paraId="3F18FF89" w14:textId="77777777" w:rsidR="0051741E" w:rsidRPr="00044F4E" w:rsidRDefault="0051741E" w:rsidP="00B5101C">
      <w:pPr>
        <w:tabs>
          <w:tab w:val="left" w:pos="2800"/>
        </w:tabs>
        <w:rPr>
          <w:rFonts w:ascii="Arial" w:hAnsi="Arial" w:cs="Arial"/>
          <w:b/>
          <w:bCs/>
          <w:sz w:val="20"/>
          <w:szCs w:val="20"/>
        </w:rPr>
      </w:pPr>
    </w:p>
    <w:p w14:paraId="105EE855" w14:textId="421CA572" w:rsidR="00B652FA" w:rsidRPr="00044F4E" w:rsidRDefault="0051741E" w:rsidP="00B5101C">
      <w:pPr>
        <w:tabs>
          <w:tab w:val="left" w:pos="2800"/>
        </w:tabs>
        <w:rPr>
          <w:rFonts w:ascii="Arial" w:hAnsi="Arial" w:cs="Arial"/>
          <w:b/>
          <w:bCs/>
          <w:sz w:val="20"/>
          <w:szCs w:val="20"/>
        </w:rPr>
      </w:pPr>
      <w:r w:rsidRPr="00044F4E">
        <w:rPr>
          <w:rFonts w:ascii="Arial" w:hAnsi="Arial" w:cs="Arial"/>
          <w:b/>
          <w:bCs/>
          <w:sz w:val="20"/>
          <w:szCs w:val="20"/>
        </w:rPr>
        <w:t xml:space="preserve">Table 8 Incidence of </w:t>
      </w:r>
      <w:r w:rsidR="00B60710" w:rsidRPr="00044F4E">
        <w:rPr>
          <w:rFonts w:ascii="Arial" w:hAnsi="Arial" w:cs="Arial"/>
          <w:b/>
          <w:bCs/>
          <w:sz w:val="20"/>
          <w:szCs w:val="20"/>
        </w:rPr>
        <w:t>perinatal outcome in patients with PIH</w:t>
      </w:r>
    </w:p>
    <w:tbl>
      <w:tblPr>
        <w:tblStyle w:val="TableGrid"/>
        <w:tblW w:w="0" w:type="auto"/>
        <w:tblLook w:val="04A0" w:firstRow="1" w:lastRow="0" w:firstColumn="1" w:lastColumn="0" w:noHBand="0" w:noVBand="1"/>
      </w:tblPr>
      <w:tblGrid>
        <w:gridCol w:w="2845"/>
        <w:gridCol w:w="2802"/>
        <w:gridCol w:w="2847"/>
      </w:tblGrid>
      <w:tr w:rsidR="00046EB9" w:rsidRPr="00044F4E" w14:paraId="670A1A01" w14:textId="77777777" w:rsidTr="000B50AA">
        <w:tc>
          <w:tcPr>
            <w:tcW w:w="2845" w:type="dxa"/>
          </w:tcPr>
          <w:p w14:paraId="7D311A7A" w14:textId="17B26CA0" w:rsidR="00046EB9" w:rsidRPr="00044F4E" w:rsidRDefault="00046EB9" w:rsidP="00B5101C">
            <w:pPr>
              <w:tabs>
                <w:tab w:val="left" w:pos="2800"/>
              </w:tabs>
              <w:rPr>
                <w:rFonts w:ascii="Arial" w:hAnsi="Arial" w:cs="Arial"/>
                <w:b/>
                <w:bCs/>
                <w:sz w:val="20"/>
                <w:szCs w:val="20"/>
              </w:rPr>
            </w:pPr>
            <w:bookmarkStart w:id="8" w:name="_Hlk198726506"/>
            <w:r w:rsidRPr="00044F4E">
              <w:rPr>
                <w:rFonts w:ascii="Arial" w:hAnsi="Arial" w:cs="Arial"/>
                <w:b/>
                <w:bCs/>
                <w:sz w:val="20"/>
                <w:szCs w:val="20"/>
              </w:rPr>
              <w:t xml:space="preserve">Perinatal outcomes                </w:t>
            </w:r>
          </w:p>
        </w:tc>
        <w:tc>
          <w:tcPr>
            <w:tcW w:w="2802" w:type="dxa"/>
          </w:tcPr>
          <w:p w14:paraId="5FD1C6BC"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47" w:type="dxa"/>
          </w:tcPr>
          <w:p w14:paraId="0DC2036D"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046EB9" w:rsidRPr="00044F4E" w14:paraId="0D7BFE53" w14:textId="77777777" w:rsidTr="000B50AA">
        <w:tc>
          <w:tcPr>
            <w:tcW w:w="2845" w:type="dxa"/>
          </w:tcPr>
          <w:p w14:paraId="0994750E" w14:textId="285D6B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PRETERM                                  </w:t>
            </w:r>
          </w:p>
        </w:tc>
        <w:tc>
          <w:tcPr>
            <w:tcW w:w="2802" w:type="dxa"/>
          </w:tcPr>
          <w:p w14:paraId="1F5B41A7" w14:textId="6AD33C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56                           </w:t>
            </w:r>
          </w:p>
        </w:tc>
        <w:tc>
          <w:tcPr>
            <w:tcW w:w="2847" w:type="dxa"/>
          </w:tcPr>
          <w:p w14:paraId="0AF2538D" w14:textId="4429B88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25.9</w:t>
            </w:r>
            <w:r w:rsidR="00121B70" w:rsidRPr="00044F4E">
              <w:rPr>
                <w:rFonts w:ascii="Arial" w:hAnsi="Arial" w:cs="Arial"/>
                <w:sz w:val="20"/>
                <w:szCs w:val="20"/>
              </w:rPr>
              <w:t>%</w:t>
            </w:r>
          </w:p>
        </w:tc>
      </w:tr>
      <w:tr w:rsidR="00046EB9" w:rsidRPr="00044F4E" w14:paraId="04AF42C1" w14:textId="77777777" w:rsidTr="000B50AA">
        <w:tc>
          <w:tcPr>
            <w:tcW w:w="2845" w:type="dxa"/>
          </w:tcPr>
          <w:p w14:paraId="68D86F2C" w14:textId="4D7C900A"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IUD</w:t>
            </w:r>
          </w:p>
        </w:tc>
        <w:tc>
          <w:tcPr>
            <w:tcW w:w="2802" w:type="dxa"/>
          </w:tcPr>
          <w:p w14:paraId="522DCD97" w14:textId="6A3ADD5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8</w:t>
            </w:r>
          </w:p>
        </w:tc>
        <w:tc>
          <w:tcPr>
            <w:tcW w:w="2847" w:type="dxa"/>
          </w:tcPr>
          <w:p w14:paraId="4234F531" w14:textId="0F9A2DF4"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3.7</w:t>
            </w:r>
            <w:r w:rsidR="00121B70" w:rsidRPr="00044F4E">
              <w:rPr>
                <w:rFonts w:ascii="Arial" w:hAnsi="Arial" w:cs="Arial"/>
                <w:sz w:val="20"/>
                <w:szCs w:val="20"/>
              </w:rPr>
              <w:t>%</w:t>
            </w:r>
          </w:p>
        </w:tc>
      </w:tr>
      <w:tr w:rsidR="00046EB9" w:rsidRPr="00044F4E" w14:paraId="08518300" w14:textId="77777777" w:rsidTr="000B50AA">
        <w:tc>
          <w:tcPr>
            <w:tcW w:w="2845" w:type="dxa"/>
          </w:tcPr>
          <w:p w14:paraId="52A09372" w14:textId="52630CA3"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Still birth                              </w:t>
            </w:r>
          </w:p>
        </w:tc>
        <w:tc>
          <w:tcPr>
            <w:tcW w:w="2802" w:type="dxa"/>
          </w:tcPr>
          <w:p w14:paraId="75455221" w14:textId="6B32F83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w:t>
            </w:r>
          </w:p>
        </w:tc>
        <w:tc>
          <w:tcPr>
            <w:tcW w:w="2847" w:type="dxa"/>
          </w:tcPr>
          <w:p w14:paraId="7F6CB465" w14:textId="465A43B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w:t>
            </w:r>
            <w:r w:rsidR="00591549" w:rsidRPr="00044F4E">
              <w:rPr>
                <w:rFonts w:ascii="Arial" w:hAnsi="Arial" w:cs="Arial"/>
                <w:sz w:val="20"/>
                <w:szCs w:val="20"/>
              </w:rPr>
              <w:t>4</w:t>
            </w:r>
            <w:r w:rsidR="00121B70" w:rsidRPr="00044F4E">
              <w:rPr>
                <w:rFonts w:ascii="Arial" w:hAnsi="Arial" w:cs="Arial"/>
                <w:sz w:val="20"/>
                <w:szCs w:val="20"/>
              </w:rPr>
              <w:t>%</w:t>
            </w:r>
          </w:p>
        </w:tc>
      </w:tr>
      <w:tr w:rsidR="00046EB9" w:rsidRPr="00044F4E" w14:paraId="0CA68959" w14:textId="77777777" w:rsidTr="000B50AA">
        <w:tc>
          <w:tcPr>
            <w:tcW w:w="2845" w:type="dxa"/>
          </w:tcPr>
          <w:p w14:paraId="29EA23AC" w14:textId="42A78E90"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Neonatal death                  </w:t>
            </w:r>
          </w:p>
        </w:tc>
        <w:tc>
          <w:tcPr>
            <w:tcW w:w="2802" w:type="dxa"/>
          </w:tcPr>
          <w:p w14:paraId="1667433F" w14:textId="1D6845E5"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5</w:t>
            </w:r>
          </w:p>
        </w:tc>
        <w:tc>
          <w:tcPr>
            <w:tcW w:w="2847" w:type="dxa"/>
          </w:tcPr>
          <w:p w14:paraId="128B7F7D" w14:textId="7301D1C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2.3</w:t>
            </w:r>
            <w:r w:rsidR="00121B70" w:rsidRPr="00044F4E">
              <w:rPr>
                <w:rFonts w:ascii="Arial" w:hAnsi="Arial" w:cs="Arial"/>
                <w:sz w:val="20"/>
                <w:szCs w:val="20"/>
              </w:rPr>
              <w:t>%</w:t>
            </w:r>
          </w:p>
        </w:tc>
      </w:tr>
      <w:tr w:rsidR="00046EB9" w:rsidRPr="00044F4E" w14:paraId="30C7E809" w14:textId="77777777" w:rsidTr="000B50AA">
        <w:tc>
          <w:tcPr>
            <w:tcW w:w="2845" w:type="dxa"/>
          </w:tcPr>
          <w:p w14:paraId="7B46B5D3" w14:textId="5BED258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LBW</w:t>
            </w:r>
          </w:p>
        </w:tc>
        <w:tc>
          <w:tcPr>
            <w:tcW w:w="2802" w:type="dxa"/>
          </w:tcPr>
          <w:p w14:paraId="62BA56B6" w14:textId="06B2A3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44</w:t>
            </w:r>
          </w:p>
        </w:tc>
        <w:tc>
          <w:tcPr>
            <w:tcW w:w="2847" w:type="dxa"/>
          </w:tcPr>
          <w:p w14:paraId="219D7616" w14:textId="711BABE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20.</w:t>
            </w:r>
            <w:r w:rsidR="00EF3E10" w:rsidRPr="00044F4E">
              <w:rPr>
                <w:rFonts w:ascii="Arial" w:hAnsi="Arial" w:cs="Arial"/>
                <w:sz w:val="20"/>
                <w:szCs w:val="20"/>
              </w:rPr>
              <w:t>3</w:t>
            </w:r>
            <w:r w:rsidR="00121B70" w:rsidRPr="00044F4E">
              <w:rPr>
                <w:rFonts w:ascii="Arial" w:hAnsi="Arial" w:cs="Arial"/>
                <w:sz w:val="20"/>
                <w:szCs w:val="20"/>
              </w:rPr>
              <w:t>%</w:t>
            </w:r>
          </w:p>
        </w:tc>
      </w:tr>
      <w:tr w:rsidR="00046EB9" w:rsidRPr="00044F4E" w14:paraId="1456D72C" w14:textId="77777777" w:rsidTr="000B50AA">
        <w:tc>
          <w:tcPr>
            <w:tcW w:w="2845" w:type="dxa"/>
          </w:tcPr>
          <w:p w14:paraId="2F321312" w14:textId="63A6BE9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IUGR</w:t>
            </w:r>
          </w:p>
        </w:tc>
        <w:tc>
          <w:tcPr>
            <w:tcW w:w="2802" w:type="dxa"/>
          </w:tcPr>
          <w:p w14:paraId="2F126B10" w14:textId="7764347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16</w:t>
            </w:r>
          </w:p>
        </w:tc>
        <w:tc>
          <w:tcPr>
            <w:tcW w:w="2847" w:type="dxa"/>
          </w:tcPr>
          <w:p w14:paraId="70A21043" w14:textId="12F189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7.4</w:t>
            </w:r>
            <w:r w:rsidR="00121B70" w:rsidRPr="00044F4E">
              <w:rPr>
                <w:rFonts w:ascii="Arial" w:hAnsi="Arial" w:cs="Arial"/>
                <w:sz w:val="20"/>
                <w:szCs w:val="20"/>
              </w:rPr>
              <w:t>%</w:t>
            </w:r>
          </w:p>
        </w:tc>
      </w:tr>
      <w:bookmarkEnd w:id="8"/>
    </w:tbl>
    <w:p w14:paraId="739458FF" w14:textId="77777777" w:rsidR="002651CB" w:rsidRDefault="002651CB" w:rsidP="00B5101C">
      <w:pPr>
        <w:tabs>
          <w:tab w:val="left" w:pos="2800"/>
        </w:tabs>
        <w:jc w:val="both"/>
        <w:rPr>
          <w:rFonts w:ascii="Arial" w:hAnsi="Arial" w:cs="Arial"/>
          <w:sz w:val="20"/>
          <w:szCs w:val="20"/>
        </w:rPr>
      </w:pPr>
    </w:p>
    <w:p w14:paraId="2FD5E1C2" w14:textId="3B4295AF" w:rsidR="00A840BD" w:rsidRDefault="00A840BD" w:rsidP="00B5101C">
      <w:pPr>
        <w:tabs>
          <w:tab w:val="left" w:pos="2800"/>
        </w:tabs>
        <w:jc w:val="both"/>
        <w:rPr>
          <w:rFonts w:ascii="Arial" w:hAnsi="Arial" w:cs="Arial"/>
          <w:sz w:val="20"/>
          <w:szCs w:val="20"/>
        </w:rPr>
      </w:pPr>
      <w:r>
        <w:rPr>
          <w:noProof/>
        </w:rPr>
        <w:lastRenderedPageBreak/>
        <w:drawing>
          <wp:inline distT="0" distB="0" distL="0" distR="0" wp14:anchorId="04753BFC" wp14:editId="17D75352">
            <wp:extent cx="5400040" cy="3150235"/>
            <wp:effectExtent l="0" t="0" r="10160" b="12065"/>
            <wp:docPr id="2442321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D5C8F0" w14:textId="5CF35627" w:rsidR="00A840BD" w:rsidRDefault="00A840BD" w:rsidP="00B5101C">
      <w:pPr>
        <w:tabs>
          <w:tab w:val="left" w:pos="2800"/>
        </w:tabs>
        <w:jc w:val="both"/>
        <w:rPr>
          <w:rFonts w:ascii="Arial" w:hAnsi="Arial" w:cs="Arial"/>
          <w:sz w:val="20"/>
          <w:szCs w:val="20"/>
        </w:rPr>
      </w:pPr>
      <w:r>
        <w:rPr>
          <w:rFonts w:ascii="Arial" w:hAnsi="Arial" w:cs="Arial"/>
          <w:sz w:val="20"/>
          <w:szCs w:val="20"/>
        </w:rPr>
        <w:t xml:space="preserve">Fig. </w:t>
      </w:r>
      <w:r w:rsidRPr="00A840BD">
        <w:rPr>
          <w:rFonts w:ascii="Arial" w:hAnsi="Arial" w:cs="Arial"/>
          <w:sz w:val="20"/>
          <w:szCs w:val="20"/>
        </w:rPr>
        <w:t>8</w:t>
      </w:r>
      <w:r>
        <w:rPr>
          <w:rFonts w:ascii="Arial" w:hAnsi="Arial" w:cs="Arial"/>
          <w:sz w:val="20"/>
          <w:szCs w:val="20"/>
        </w:rPr>
        <w:t xml:space="preserve"> -</w:t>
      </w:r>
      <w:r w:rsidRPr="00A840BD">
        <w:rPr>
          <w:rFonts w:ascii="Arial" w:hAnsi="Arial" w:cs="Arial"/>
          <w:sz w:val="20"/>
          <w:szCs w:val="20"/>
        </w:rPr>
        <w:t xml:space="preserve"> Incidence of perinatal outcome in patients with PIH</w:t>
      </w:r>
    </w:p>
    <w:p w14:paraId="270FFB78" w14:textId="77777777" w:rsidR="00A840BD" w:rsidRPr="00044F4E" w:rsidRDefault="00A840BD" w:rsidP="00B5101C">
      <w:pPr>
        <w:tabs>
          <w:tab w:val="left" w:pos="2800"/>
        </w:tabs>
        <w:jc w:val="both"/>
        <w:rPr>
          <w:rFonts w:ascii="Arial" w:hAnsi="Arial" w:cs="Arial"/>
          <w:sz w:val="20"/>
          <w:szCs w:val="20"/>
        </w:rPr>
      </w:pPr>
    </w:p>
    <w:p w14:paraId="11F356C2" w14:textId="190CB865" w:rsidR="00701C84" w:rsidRPr="00044F4E" w:rsidRDefault="00EE2E9F"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701C84" w:rsidRPr="00044F4E">
        <w:rPr>
          <w:rFonts w:ascii="Arial" w:hAnsi="Arial" w:cs="Arial"/>
          <w:sz w:val="20"/>
          <w:szCs w:val="20"/>
        </w:rPr>
        <w:t xml:space="preserve">able </w:t>
      </w:r>
      <w:r w:rsidRPr="00044F4E">
        <w:rPr>
          <w:rFonts w:ascii="Arial" w:hAnsi="Arial" w:cs="Arial"/>
          <w:sz w:val="20"/>
          <w:szCs w:val="20"/>
        </w:rPr>
        <w:t xml:space="preserve">8 </w:t>
      </w:r>
      <w:r w:rsidR="00701C84" w:rsidRPr="00044F4E">
        <w:rPr>
          <w:rFonts w:ascii="Arial" w:hAnsi="Arial" w:cs="Arial"/>
          <w:sz w:val="20"/>
          <w:szCs w:val="20"/>
        </w:rPr>
        <w:t>demonstrates the incidence of adverse perinatal outcomes in patients with</w:t>
      </w:r>
      <w:r w:rsidR="009400DA" w:rsidRPr="00044F4E">
        <w:rPr>
          <w:rFonts w:ascii="Arial" w:hAnsi="Arial" w:cs="Arial"/>
          <w:sz w:val="20"/>
          <w:szCs w:val="20"/>
        </w:rPr>
        <w:t xml:space="preserve"> PIH</w:t>
      </w:r>
      <w:r w:rsidR="00701C84" w:rsidRPr="00044F4E">
        <w:rPr>
          <w:rFonts w:ascii="Arial" w:hAnsi="Arial" w:cs="Arial"/>
          <w:sz w:val="20"/>
          <w:szCs w:val="20"/>
        </w:rPr>
        <w:t>. Most commonly observed adverse</w:t>
      </w:r>
      <w:r w:rsidR="003654CF">
        <w:rPr>
          <w:rFonts w:ascii="Arial" w:hAnsi="Arial" w:cs="Arial"/>
          <w:sz w:val="20"/>
          <w:szCs w:val="20"/>
        </w:rPr>
        <w:t xml:space="preserve"> </w:t>
      </w:r>
      <w:r w:rsidR="003654CF" w:rsidRPr="003654CF">
        <w:rPr>
          <w:rFonts w:ascii="Arial" w:hAnsi="Arial" w:cs="Arial"/>
          <w:sz w:val="20"/>
          <w:szCs w:val="20"/>
          <w:highlight w:val="yellow"/>
        </w:rPr>
        <w:t>perinatal</w:t>
      </w:r>
      <w:r w:rsidR="00701C84" w:rsidRPr="00044F4E">
        <w:rPr>
          <w:rFonts w:ascii="Arial" w:hAnsi="Arial" w:cs="Arial"/>
          <w:sz w:val="20"/>
          <w:szCs w:val="20"/>
        </w:rPr>
        <w:t xml:space="preserve"> outcome was preterm delivery which occurred in </w:t>
      </w:r>
      <w:r w:rsidR="0020427A" w:rsidRPr="00044F4E">
        <w:rPr>
          <w:rFonts w:ascii="Arial" w:hAnsi="Arial" w:cs="Arial"/>
          <w:sz w:val="20"/>
          <w:szCs w:val="20"/>
        </w:rPr>
        <w:t>around 56</w:t>
      </w:r>
      <w:r w:rsidR="00714168" w:rsidRPr="00044F4E">
        <w:rPr>
          <w:rFonts w:ascii="Arial" w:hAnsi="Arial" w:cs="Arial"/>
          <w:sz w:val="20"/>
          <w:szCs w:val="20"/>
        </w:rPr>
        <w:t xml:space="preserve"> </w:t>
      </w:r>
      <w:r w:rsidR="00701C84" w:rsidRPr="00044F4E">
        <w:rPr>
          <w:rFonts w:ascii="Arial" w:hAnsi="Arial" w:cs="Arial"/>
          <w:color w:val="000000" w:themeColor="text1"/>
          <w:sz w:val="20"/>
          <w:szCs w:val="20"/>
        </w:rPr>
        <w:t>patients accounting for about</w:t>
      </w:r>
      <w:r w:rsidR="00714168" w:rsidRPr="00044F4E">
        <w:rPr>
          <w:rFonts w:ascii="Arial" w:hAnsi="Arial" w:cs="Arial"/>
          <w:color w:val="000000" w:themeColor="text1"/>
          <w:sz w:val="20"/>
          <w:szCs w:val="20"/>
        </w:rPr>
        <w:t xml:space="preserve"> 25.9%</w:t>
      </w:r>
      <w:r w:rsidR="00701C84" w:rsidRPr="00044F4E">
        <w:rPr>
          <w:rFonts w:ascii="Arial" w:hAnsi="Arial" w:cs="Arial"/>
          <w:color w:val="FF0000"/>
          <w:sz w:val="20"/>
          <w:szCs w:val="20"/>
        </w:rPr>
        <w:t xml:space="preserve"> </w:t>
      </w:r>
      <w:r w:rsidR="00701C84" w:rsidRPr="00044F4E">
        <w:rPr>
          <w:rFonts w:ascii="Arial" w:hAnsi="Arial" w:cs="Arial"/>
          <w:color w:val="000000" w:themeColor="text1"/>
          <w:sz w:val="20"/>
          <w:szCs w:val="20"/>
        </w:rPr>
        <w:t>of the cases</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It was</w:t>
      </w:r>
      <w:r w:rsidR="00701C84" w:rsidRPr="00044F4E">
        <w:rPr>
          <w:rFonts w:ascii="Arial" w:hAnsi="Arial" w:cs="Arial"/>
          <w:color w:val="000000" w:themeColor="text1"/>
          <w:sz w:val="20"/>
          <w:szCs w:val="20"/>
        </w:rPr>
        <w:t xml:space="preserve"> followed by low birth weight babies </w:t>
      </w:r>
      <w:r w:rsidR="00714168" w:rsidRPr="00044F4E">
        <w:rPr>
          <w:rFonts w:ascii="Arial" w:hAnsi="Arial" w:cs="Arial"/>
          <w:color w:val="000000" w:themeColor="text1"/>
          <w:sz w:val="20"/>
          <w:szCs w:val="20"/>
        </w:rPr>
        <w:t xml:space="preserve">which </w:t>
      </w:r>
      <w:r w:rsidR="003654CF" w:rsidRPr="003654CF">
        <w:rPr>
          <w:rFonts w:ascii="Arial" w:hAnsi="Arial" w:cs="Arial"/>
          <w:color w:val="000000" w:themeColor="text1"/>
          <w:sz w:val="20"/>
          <w:szCs w:val="20"/>
          <w:highlight w:val="yellow"/>
        </w:rPr>
        <w:t>occurred in</w:t>
      </w:r>
      <w:r w:rsidR="003654CF">
        <w:rPr>
          <w:rFonts w:ascii="Arial" w:hAnsi="Arial" w:cs="Arial"/>
          <w:color w:val="000000" w:themeColor="text1"/>
          <w:sz w:val="20"/>
          <w:szCs w:val="20"/>
        </w:rPr>
        <w:t xml:space="preserve"> </w:t>
      </w:r>
      <w:r w:rsidR="00714168" w:rsidRPr="00044F4E">
        <w:rPr>
          <w:rFonts w:ascii="Arial" w:hAnsi="Arial" w:cs="Arial"/>
          <w:color w:val="000000" w:themeColor="text1"/>
          <w:sz w:val="20"/>
          <w:szCs w:val="20"/>
        </w:rPr>
        <w:t xml:space="preserve"> 44 out of 216 </w:t>
      </w:r>
      <w:r w:rsidR="003654CF" w:rsidRPr="003654CF">
        <w:rPr>
          <w:rFonts w:ascii="Arial" w:hAnsi="Arial" w:cs="Arial"/>
          <w:color w:val="000000" w:themeColor="text1"/>
          <w:sz w:val="20"/>
          <w:szCs w:val="20"/>
          <w:highlight w:val="yellow"/>
        </w:rPr>
        <w:t xml:space="preserve">cases </w:t>
      </w:r>
      <w:r w:rsidR="00701C84" w:rsidRPr="003654CF">
        <w:rPr>
          <w:rFonts w:ascii="Arial" w:hAnsi="Arial" w:cs="Arial"/>
          <w:color w:val="000000" w:themeColor="text1"/>
          <w:sz w:val="20"/>
          <w:szCs w:val="20"/>
          <w:highlight w:val="yellow"/>
        </w:rPr>
        <w:t xml:space="preserve">which </w:t>
      </w:r>
      <w:r w:rsidR="003654CF" w:rsidRPr="003654CF">
        <w:rPr>
          <w:rFonts w:ascii="Arial" w:hAnsi="Arial" w:cs="Arial"/>
          <w:color w:val="000000" w:themeColor="text1"/>
          <w:sz w:val="20"/>
          <w:szCs w:val="20"/>
          <w:highlight w:val="yellow"/>
        </w:rPr>
        <w:t xml:space="preserve">is about </w:t>
      </w:r>
      <w:r w:rsidR="00714168" w:rsidRPr="003654CF">
        <w:rPr>
          <w:rFonts w:ascii="Arial" w:hAnsi="Arial" w:cs="Arial"/>
          <w:color w:val="000000" w:themeColor="text1"/>
          <w:sz w:val="20"/>
          <w:szCs w:val="20"/>
          <w:highlight w:val="yellow"/>
        </w:rPr>
        <w:t>20.3%.</w:t>
      </w:r>
      <w:r w:rsidR="00714168"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Intra uterine </w:t>
      </w:r>
      <w:r w:rsidR="009400DA" w:rsidRPr="00044F4E">
        <w:rPr>
          <w:rFonts w:ascii="Arial" w:hAnsi="Arial" w:cs="Arial"/>
          <w:color w:val="000000" w:themeColor="text1"/>
          <w:sz w:val="20"/>
          <w:szCs w:val="20"/>
        </w:rPr>
        <w:t>foetal</w:t>
      </w:r>
      <w:r w:rsidR="00701C84" w:rsidRPr="00044F4E">
        <w:rPr>
          <w:rFonts w:ascii="Arial" w:hAnsi="Arial" w:cs="Arial"/>
          <w:color w:val="000000" w:themeColor="text1"/>
          <w:sz w:val="20"/>
          <w:szCs w:val="20"/>
        </w:rPr>
        <w:t xml:space="preserve"> death was seen in </w:t>
      </w:r>
      <w:r w:rsidR="00714168" w:rsidRPr="00044F4E">
        <w:rPr>
          <w:rFonts w:ascii="Arial" w:hAnsi="Arial" w:cs="Arial"/>
          <w:color w:val="000000" w:themeColor="text1"/>
          <w:sz w:val="20"/>
          <w:szCs w:val="20"/>
        </w:rPr>
        <w:t xml:space="preserve">8 </w:t>
      </w:r>
      <w:r w:rsidR="00702FD5" w:rsidRPr="00044F4E">
        <w:rPr>
          <w:rFonts w:ascii="Arial" w:hAnsi="Arial" w:cs="Arial"/>
          <w:color w:val="000000" w:themeColor="text1"/>
          <w:sz w:val="20"/>
          <w:szCs w:val="20"/>
        </w:rPr>
        <w:t>patients accounting</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for about</w:t>
      </w:r>
      <w:r w:rsidR="003654CF">
        <w:rPr>
          <w:rFonts w:ascii="Arial" w:hAnsi="Arial" w:cs="Arial"/>
          <w:color w:val="000000" w:themeColor="text1"/>
          <w:sz w:val="20"/>
          <w:szCs w:val="20"/>
        </w:rPr>
        <w:t xml:space="preserve"> </w:t>
      </w:r>
      <w:r w:rsidR="00714168" w:rsidRPr="00044F4E">
        <w:rPr>
          <w:rFonts w:ascii="Arial" w:hAnsi="Arial" w:cs="Arial"/>
          <w:color w:val="000000" w:themeColor="text1"/>
          <w:sz w:val="20"/>
          <w:szCs w:val="20"/>
        </w:rPr>
        <w:t xml:space="preserve"> 3.7% of the cases. N</w:t>
      </w:r>
      <w:r w:rsidR="00701C84" w:rsidRPr="00044F4E">
        <w:rPr>
          <w:rFonts w:ascii="Arial" w:hAnsi="Arial" w:cs="Arial"/>
          <w:color w:val="000000" w:themeColor="text1"/>
          <w:sz w:val="20"/>
          <w:szCs w:val="20"/>
        </w:rPr>
        <w:t xml:space="preserve">eonatal death occurred </w:t>
      </w:r>
      <w:r w:rsidR="00714168" w:rsidRPr="00044F4E">
        <w:rPr>
          <w:rFonts w:ascii="Arial" w:hAnsi="Arial" w:cs="Arial"/>
          <w:color w:val="000000" w:themeColor="text1"/>
          <w:sz w:val="20"/>
          <w:szCs w:val="20"/>
        </w:rPr>
        <w:t xml:space="preserve">in merely 5 patients which </w:t>
      </w:r>
      <w:r w:rsidR="00714168" w:rsidRPr="003654CF">
        <w:rPr>
          <w:rFonts w:ascii="Arial" w:hAnsi="Arial" w:cs="Arial"/>
          <w:color w:val="000000" w:themeColor="text1"/>
          <w:sz w:val="20"/>
          <w:szCs w:val="20"/>
          <w:highlight w:val="yellow"/>
        </w:rPr>
        <w:t>ma</w:t>
      </w:r>
      <w:r w:rsidR="003654CF" w:rsidRPr="003654CF">
        <w:rPr>
          <w:rFonts w:ascii="Arial" w:hAnsi="Arial" w:cs="Arial"/>
          <w:color w:val="000000" w:themeColor="text1"/>
          <w:sz w:val="20"/>
          <w:szCs w:val="20"/>
          <w:highlight w:val="yellow"/>
        </w:rPr>
        <w:t>d</w:t>
      </w:r>
      <w:r w:rsidR="00714168" w:rsidRPr="003654CF">
        <w:rPr>
          <w:rFonts w:ascii="Arial" w:hAnsi="Arial" w:cs="Arial"/>
          <w:color w:val="000000" w:themeColor="text1"/>
          <w:sz w:val="20"/>
          <w:szCs w:val="20"/>
          <w:highlight w:val="yellow"/>
        </w:rPr>
        <w:t>e</w:t>
      </w:r>
      <w:r w:rsidR="00714168" w:rsidRPr="00044F4E">
        <w:rPr>
          <w:rFonts w:ascii="Arial" w:hAnsi="Arial" w:cs="Arial"/>
          <w:color w:val="000000" w:themeColor="text1"/>
          <w:sz w:val="20"/>
          <w:szCs w:val="20"/>
        </w:rPr>
        <w:t xml:space="preserve"> up only 2.3% of the lot. 16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ended up with Intra uterine growth retardation in babies. The least common adverse outcome as a result of </w:t>
      </w:r>
      <w:r w:rsidR="009400DA" w:rsidRPr="00044F4E">
        <w:rPr>
          <w:rFonts w:ascii="Arial" w:hAnsi="Arial" w:cs="Arial"/>
          <w:color w:val="000000" w:themeColor="text1"/>
          <w:sz w:val="20"/>
          <w:szCs w:val="20"/>
        </w:rPr>
        <w:t xml:space="preserve">PIH </w:t>
      </w:r>
      <w:r w:rsidR="00701C84" w:rsidRPr="00044F4E">
        <w:rPr>
          <w:rFonts w:ascii="Arial" w:hAnsi="Arial" w:cs="Arial"/>
          <w:color w:val="000000" w:themeColor="text1"/>
          <w:sz w:val="20"/>
          <w:szCs w:val="20"/>
        </w:rPr>
        <w:t xml:space="preserve">was noticed to be still birth which </w:t>
      </w:r>
      <w:r w:rsidR="00714168" w:rsidRPr="00044F4E">
        <w:rPr>
          <w:rFonts w:ascii="Arial" w:hAnsi="Arial" w:cs="Arial"/>
          <w:color w:val="000000" w:themeColor="text1"/>
          <w:sz w:val="20"/>
          <w:szCs w:val="20"/>
        </w:rPr>
        <w:t>was only seen in 3 patients</w:t>
      </w:r>
      <w:r w:rsidR="00701C84" w:rsidRPr="00044F4E">
        <w:rPr>
          <w:rFonts w:ascii="Arial" w:hAnsi="Arial" w:cs="Arial"/>
          <w:color w:val="000000" w:themeColor="text1"/>
          <w:sz w:val="20"/>
          <w:szCs w:val="20"/>
        </w:rPr>
        <w:t>.</w:t>
      </w:r>
    </w:p>
    <w:p w14:paraId="3F541290" w14:textId="77777777" w:rsidR="00701C84" w:rsidRPr="00044F4E" w:rsidRDefault="00701C84" w:rsidP="00B5101C">
      <w:pPr>
        <w:tabs>
          <w:tab w:val="left" w:pos="2800"/>
        </w:tabs>
        <w:rPr>
          <w:rFonts w:ascii="Arial" w:hAnsi="Arial" w:cs="Arial"/>
          <w:color w:val="000000" w:themeColor="text1"/>
          <w:sz w:val="20"/>
          <w:szCs w:val="20"/>
        </w:rPr>
      </w:pPr>
    </w:p>
    <w:p w14:paraId="6B2506E7" w14:textId="77777777" w:rsidR="00701C84" w:rsidRPr="00044F4E" w:rsidRDefault="00701C84" w:rsidP="00B5101C">
      <w:pPr>
        <w:tabs>
          <w:tab w:val="left" w:pos="2800"/>
        </w:tabs>
        <w:rPr>
          <w:rFonts w:ascii="Arial" w:hAnsi="Arial" w:cs="Arial"/>
          <w:b/>
          <w:bCs/>
          <w:color w:val="000000" w:themeColor="text1"/>
          <w:sz w:val="22"/>
          <w:szCs w:val="22"/>
        </w:rPr>
      </w:pPr>
      <w:r w:rsidRPr="00044F4E">
        <w:rPr>
          <w:rFonts w:ascii="Arial" w:hAnsi="Arial" w:cs="Arial"/>
          <w:b/>
          <w:bCs/>
          <w:color w:val="000000" w:themeColor="text1"/>
          <w:sz w:val="22"/>
          <w:szCs w:val="22"/>
        </w:rPr>
        <w:t>CONCLUSION</w:t>
      </w:r>
    </w:p>
    <w:p w14:paraId="0686C1DC" w14:textId="77777777" w:rsidR="00701C84" w:rsidRPr="00044F4E" w:rsidRDefault="00701C84" w:rsidP="00B5101C">
      <w:pPr>
        <w:tabs>
          <w:tab w:val="left" w:pos="2800"/>
        </w:tabs>
        <w:rPr>
          <w:rFonts w:ascii="Arial" w:hAnsi="Arial" w:cs="Arial"/>
          <w:color w:val="000000" w:themeColor="text1"/>
          <w:sz w:val="20"/>
          <w:szCs w:val="20"/>
        </w:rPr>
      </w:pPr>
    </w:p>
    <w:p w14:paraId="7AC7C4CC" w14:textId="6E368356" w:rsidR="000A0A20" w:rsidRPr="00044F4E" w:rsidRDefault="000A0A20" w:rsidP="00B5101C">
      <w:pPr>
        <w:tabs>
          <w:tab w:val="left" w:pos="2800"/>
        </w:tabs>
        <w:jc w:val="both"/>
        <w:rPr>
          <w:rFonts w:ascii="Arial" w:hAnsi="Arial" w:cs="Arial"/>
          <w:color w:val="000000" w:themeColor="text1"/>
          <w:sz w:val="20"/>
          <w:szCs w:val="20"/>
        </w:rPr>
      </w:pPr>
      <w:r w:rsidRPr="00044F4E">
        <w:rPr>
          <w:rFonts w:ascii="Arial" w:hAnsi="Arial" w:cs="Arial"/>
          <w:color w:val="000000" w:themeColor="text1"/>
          <w:sz w:val="20"/>
          <w:szCs w:val="20"/>
        </w:rPr>
        <w:t>Pregnancy induced hypertension is one of the leading causes of maternal mortality and contributes greatly to perinatal mortality as well.</w:t>
      </w:r>
      <w:r w:rsidR="00474196">
        <w:rPr>
          <w:rFonts w:ascii="Arial" w:hAnsi="Arial" w:cs="Arial"/>
          <w:color w:val="000000" w:themeColor="text1"/>
          <w:sz w:val="20"/>
          <w:szCs w:val="20"/>
        </w:rPr>
        <w:t xml:space="preserve"> </w:t>
      </w:r>
      <w:r w:rsidR="00474196" w:rsidRPr="00DE1BB4">
        <w:rPr>
          <w:rFonts w:ascii="Arial" w:hAnsi="Arial" w:cs="Arial"/>
          <w:color w:val="000000" w:themeColor="text1"/>
          <w:sz w:val="20"/>
          <w:szCs w:val="20"/>
          <w:highlight w:val="yellow"/>
        </w:rPr>
        <w:t>[2</w:t>
      </w:r>
      <w:r w:rsidR="00A0155A" w:rsidRPr="00DE1BB4">
        <w:rPr>
          <w:rFonts w:ascii="Arial" w:hAnsi="Arial" w:cs="Arial"/>
          <w:color w:val="000000" w:themeColor="text1"/>
          <w:sz w:val="20"/>
          <w:szCs w:val="20"/>
          <w:highlight w:val="yellow"/>
        </w:rPr>
        <w:t>2</w:t>
      </w:r>
      <w:r w:rsidR="00474196" w:rsidRPr="00DE1BB4">
        <w:rPr>
          <w:rFonts w:ascii="Arial" w:hAnsi="Arial" w:cs="Arial"/>
          <w:color w:val="000000" w:themeColor="text1"/>
          <w:sz w:val="20"/>
          <w:szCs w:val="20"/>
          <w:highlight w:val="yellow"/>
        </w:rPr>
        <w:t>]</w:t>
      </w:r>
      <w:r w:rsidRPr="00044F4E">
        <w:rPr>
          <w:rFonts w:ascii="Arial" w:hAnsi="Arial" w:cs="Arial"/>
          <w:color w:val="000000" w:themeColor="text1"/>
          <w:sz w:val="20"/>
          <w:szCs w:val="20"/>
        </w:rPr>
        <w:t xml:space="preserve"> With its </w:t>
      </w:r>
      <w:r w:rsidR="003654CF" w:rsidRPr="003654CF">
        <w:rPr>
          <w:rFonts w:ascii="Arial" w:hAnsi="Arial" w:cs="Arial"/>
          <w:color w:val="000000" w:themeColor="text1"/>
          <w:sz w:val="20"/>
          <w:szCs w:val="20"/>
          <w:highlight w:val="yellow"/>
        </w:rPr>
        <w:t xml:space="preserve">climbing </w:t>
      </w:r>
      <w:r w:rsidRPr="003654CF">
        <w:rPr>
          <w:rFonts w:ascii="Arial" w:hAnsi="Arial" w:cs="Arial"/>
          <w:color w:val="000000" w:themeColor="text1"/>
          <w:sz w:val="20"/>
          <w:szCs w:val="20"/>
          <w:highlight w:val="yellow"/>
        </w:rPr>
        <w:t>incidence in</w:t>
      </w:r>
      <w:r w:rsidRPr="00044F4E">
        <w:rPr>
          <w:rFonts w:ascii="Arial" w:hAnsi="Arial" w:cs="Arial"/>
          <w:color w:val="000000" w:themeColor="text1"/>
          <w:sz w:val="20"/>
          <w:szCs w:val="20"/>
        </w:rPr>
        <w:t xml:space="preserve"> recent times, there is a </w:t>
      </w:r>
      <w:r w:rsidR="003654CF" w:rsidRPr="003654CF">
        <w:rPr>
          <w:rFonts w:ascii="Arial" w:hAnsi="Arial" w:cs="Arial"/>
          <w:color w:val="000000" w:themeColor="text1"/>
          <w:sz w:val="20"/>
          <w:szCs w:val="20"/>
          <w:highlight w:val="yellow"/>
        </w:rPr>
        <w:t>crucial</w:t>
      </w:r>
      <w:r w:rsidR="003654CF">
        <w:rPr>
          <w:rFonts w:ascii="Arial" w:hAnsi="Arial" w:cs="Arial"/>
          <w:color w:val="000000" w:themeColor="text1"/>
          <w:sz w:val="20"/>
          <w:szCs w:val="20"/>
        </w:rPr>
        <w:t xml:space="preserve"> </w:t>
      </w:r>
      <w:r w:rsidRPr="00044F4E">
        <w:rPr>
          <w:rFonts w:ascii="Arial" w:hAnsi="Arial" w:cs="Arial"/>
          <w:color w:val="000000" w:themeColor="text1"/>
          <w:sz w:val="20"/>
          <w:szCs w:val="20"/>
        </w:rPr>
        <w:t xml:space="preserve">need to have a better understanding regarding </w:t>
      </w:r>
      <w:r w:rsidR="003654CF" w:rsidRPr="003654CF">
        <w:rPr>
          <w:rFonts w:ascii="Arial" w:hAnsi="Arial" w:cs="Arial"/>
          <w:color w:val="000000" w:themeColor="text1"/>
          <w:sz w:val="20"/>
          <w:szCs w:val="20"/>
          <w:highlight w:val="yellow"/>
        </w:rPr>
        <w:t>of</w:t>
      </w:r>
      <w:r w:rsidR="003654CF">
        <w:rPr>
          <w:rFonts w:ascii="Arial" w:hAnsi="Arial" w:cs="Arial"/>
          <w:color w:val="000000" w:themeColor="text1"/>
          <w:sz w:val="20"/>
          <w:szCs w:val="20"/>
        </w:rPr>
        <w:t xml:space="preserve"> </w:t>
      </w:r>
      <w:r w:rsidRPr="00044F4E">
        <w:rPr>
          <w:rFonts w:ascii="Arial" w:hAnsi="Arial" w:cs="Arial"/>
          <w:color w:val="000000" w:themeColor="text1"/>
          <w:sz w:val="20"/>
          <w:szCs w:val="20"/>
        </w:rPr>
        <w:t xml:space="preserve">its risk factors, determinants and possible detrimental outcomes to help educate and make people aware of the harm associated. </w:t>
      </w:r>
    </w:p>
    <w:p w14:paraId="5CD5C8EF" w14:textId="27F5DDEB" w:rsidR="00701C84"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We came to the conclusion that PIH had greater prevalence in the younger age brackets, low </w:t>
      </w:r>
      <w:r w:rsidR="00702FD5" w:rsidRPr="00044F4E">
        <w:rPr>
          <w:rFonts w:ascii="Arial" w:hAnsi="Arial" w:cs="Arial"/>
          <w:color w:val="000000" w:themeColor="text1"/>
          <w:sz w:val="20"/>
          <w:szCs w:val="20"/>
        </w:rPr>
        <w:t>socio-economic</w:t>
      </w:r>
      <w:r w:rsidRPr="00044F4E">
        <w:rPr>
          <w:rFonts w:ascii="Arial" w:hAnsi="Arial" w:cs="Arial"/>
          <w:color w:val="000000" w:themeColor="text1"/>
          <w:sz w:val="20"/>
          <w:szCs w:val="20"/>
        </w:rPr>
        <w:t xml:space="preserve"> strata, illiterate individuals, and those coming from rural settings. No significant inclination was seen with religion and occupation of the concerned individuals. </w:t>
      </w:r>
    </w:p>
    <w:p w14:paraId="108A585C" w14:textId="727475CC" w:rsidR="000A0A20"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Simultaneously we also noticed a larger portion of cases in primigravida females as compared to multigravida. There was also a greater prevalence of PIH</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noticed</w:t>
      </w:r>
      <w:r w:rsidRPr="00044F4E">
        <w:rPr>
          <w:rFonts w:ascii="Arial" w:hAnsi="Arial" w:cs="Arial"/>
          <w:color w:val="000000" w:themeColor="text1"/>
          <w:sz w:val="20"/>
          <w:szCs w:val="20"/>
        </w:rPr>
        <w:t xml:space="preserve"> in obese females, and those</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with</w:t>
      </w:r>
      <w:r w:rsidRPr="00044F4E">
        <w:rPr>
          <w:rFonts w:ascii="Arial" w:hAnsi="Arial" w:cs="Arial"/>
          <w:color w:val="000000" w:themeColor="text1"/>
          <w:sz w:val="20"/>
          <w:szCs w:val="20"/>
        </w:rPr>
        <w:t xml:space="preserve"> had a history of PIH in previous pregnancies and</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those with</w:t>
      </w:r>
      <w:r w:rsidRPr="00044F4E">
        <w:rPr>
          <w:rFonts w:ascii="Arial" w:hAnsi="Arial" w:cs="Arial"/>
          <w:color w:val="000000" w:themeColor="text1"/>
          <w:sz w:val="20"/>
          <w:szCs w:val="20"/>
        </w:rPr>
        <w:t xml:space="preserve"> family history of hypertension. Maternal anaemia also had a positive correlation with the </w:t>
      </w:r>
      <w:r w:rsidR="003654CF" w:rsidRPr="003654CF">
        <w:rPr>
          <w:rFonts w:ascii="Arial" w:hAnsi="Arial" w:cs="Arial"/>
          <w:color w:val="000000" w:themeColor="text1"/>
          <w:sz w:val="20"/>
          <w:szCs w:val="20"/>
          <w:highlight w:val="yellow"/>
        </w:rPr>
        <w:t>incidence</w:t>
      </w:r>
      <w:r w:rsidRPr="00044F4E">
        <w:rPr>
          <w:rFonts w:ascii="Arial" w:hAnsi="Arial" w:cs="Arial"/>
          <w:color w:val="000000" w:themeColor="text1"/>
          <w:sz w:val="20"/>
          <w:szCs w:val="20"/>
        </w:rPr>
        <w:t xml:space="preserve"> of PIH. No such influence </w:t>
      </w:r>
      <w:r w:rsidR="00702FD5" w:rsidRPr="00044F4E">
        <w:rPr>
          <w:rFonts w:ascii="Arial" w:hAnsi="Arial" w:cs="Arial"/>
          <w:color w:val="000000" w:themeColor="text1"/>
          <w:sz w:val="20"/>
          <w:szCs w:val="20"/>
        </w:rPr>
        <w:t>was seen</w:t>
      </w:r>
      <w:r w:rsidRPr="00044F4E">
        <w:rPr>
          <w:rFonts w:ascii="Arial" w:hAnsi="Arial" w:cs="Arial"/>
          <w:color w:val="000000" w:themeColor="text1"/>
          <w:sz w:val="20"/>
          <w:szCs w:val="20"/>
        </w:rPr>
        <w:t xml:space="preserve"> with GDM or use of ART. We also observed that prematurity and low birth weight babies were the most common adverse outcome seen in patients with PIH.</w:t>
      </w:r>
      <w:r w:rsidR="00474196">
        <w:rPr>
          <w:rFonts w:ascii="Arial" w:hAnsi="Arial" w:cs="Arial"/>
          <w:color w:val="000000" w:themeColor="text1"/>
          <w:sz w:val="20"/>
          <w:szCs w:val="20"/>
        </w:rPr>
        <w:t xml:space="preserve"> </w:t>
      </w:r>
      <w:r w:rsidR="00474196" w:rsidRPr="00DE1BB4">
        <w:rPr>
          <w:rFonts w:ascii="Arial" w:hAnsi="Arial" w:cs="Arial"/>
          <w:color w:val="000000" w:themeColor="text1"/>
          <w:sz w:val="20"/>
          <w:szCs w:val="20"/>
          <w:highlight w:val="yellow"/>
        </w:rPr>
        <w:t>[</w:t>
      </w:r>
      <w:r w:rsidR="0096432D" w:rsidRPr="00DE1BB4">
        <w:rPr>
          <w:rFonts w:ascii="Arial" w:hAnsi="Arial" w:cs="Arial"/>
          <w:color w:val="000000" w:themeColor="text1"/>
          <w:sz w:val="20"/>
          <w:szCs w:val="20"/>
          <w:highlight w:val="yellow"/>
        </w:rPr>
        <w:t>25]</w:t>
      </w:r>
    </w:p>
    <w:p w14:paraId="4E3B7855" w14:textId="59FA394A" w:rsidR="000A0A20" w:rsidRPr="00044F4E" w:rsidRDefault="003654CF" w:rsidP="00565565">
      <w:pPr>
        <w:tabs>
          <w:tab w:val="left" w:pos="2800"/>
        </w:tabs>
        <w:ind w:firstLine="709"/>
        <w:jc w:val="both"/>
        <w:rPr>
          <w:rFonts w:ascii="Arial" w:hAnsi="Arial" w:cs="Arial"/>
          <w:color w:val="000000" w:themeColor="text1"/>
          <w:sz w:val="20"/>
          <w:szCs w:val="20"/>
        </w:rPr>
      </w:pPr>
      <w:r w:rsidRPr="003654CF">
        <w:rPr>
          <w:rFonts w:ascii="Arial" w:hAnsi="Arial" w:cs="Arial"/>
          <w:color w:val="000000" w:themeColor="text1"/>
          <w:sz w:val="20"/>
          <w:szCs w:val="20"/>
          <w:highlight w:val="yellow"/>
        </w:rPr>
        <w:t>Hence it is imperative that we identify the modifiable</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risk factors </w:t>
      </w:r>
      <w:r>
        <w:rPr>
          <w:rFonts w:ascii="Arial" w:hAnsi="Arial" w:cs="Arial"/>
          <w:color w:val="000000" w:themeColor="text1"/>
          <w:sz w:val="20"/>
          <w:szCs w:val="20"/>
        </w:rPr>
        <w:t xml:space="preserve">and </w:t>
      </w:r>
      <w:r w:rsidRPr="003654CF">
        <w:rPr>
          <w:rFonts w:ascii="Arial" w:hAnsi="Arial" w:cs="Arial"/>
          <w:color w:val="000000" w:themeColor="text1"/>
          <w:sz w:val="20"/>
          <w:szCs w:val="20"/>
          <w:highlight w:val="yellow"/>
        </w:rPr>
        <w:t>make amends accordingly</w:t>
      </w:r>
      <w:r w:rsidRPr="00F973E6">
        <w:rPr>
          <w:rFonts w:ascii="Arial" w:hAnsi="Arial" w:cs="Arial"/>
          <w:color w:val="000000" w:themeColor="text1"/>
          <w:sz w:val="20"/>
          <w:szCs w:val="20"/>
          <w:highlight w:val="yellow"/>
        </w:rPr>
        <w:t>. F</w:t>
      </w:r>
      <w:r w:rsidR="000A0A20" w:rsidRPr="00F973E6">
        <w:rPr>
          <w:rFonts w:ascii="Arial" w:hAnsi="Arial" w:cs="Arial"/>
          <w:color w:val="000000" w:themeColor="text1"/>
          <w:sz w:val="20"/>
          <w:szCs w:val="20"/>
          <w:highlight w:val="yellow"/>
        </w:rPr>
        <w:t xml:space="preserve">emales </w:t>
      </w:r>
      <w:r w:rsidRPr="00F973E6">
        <w:rPr>
          <w:rFonts w:ascii="Arial" w:hAnsi="Arial" w:cs="Arial"/>
          <w:color w:val="000000" w:themeColor="text1"/>
          <w:sz w:val="20"/>
          <w:szCs w:val="20"/>
          <w:highlight w:val="yellow"/>
        </w:rPr>
        <w:t>should be well informed about</w:t>
      </w:r>
      <w:r w:rsidR="00F973E6" w:rsidRPr="00F973E6">
        <w:rPr>
          <w:rFonts w:ascii="Arial" w:hAnsi="Arial" w:cs="Arial"/>
          <w:color w:val="000000" w:themeColor="text1"/>
          <w:sz w:val="20"/>
          <w:szCs w:val="20"/>
          <w:highlight w:val="yellow"/>
        </w:rPr>
        <w:t xml:space="preserve"> these risk factors</w:t>
      </w:r>
      <w:r w:rsidR="00F973E6">
        <w:rPr>
          <w:rFonts w:ascii="Arial" w:hAnsi="Arial" w:cs="Arial"/>
          <w:color w:val="000000" w:themeColor="text1"/>
          <w:sz w:val="20"/>
          <w:szCs w:val="20"/>
        </w:rPr>
        <w:t xml:space="preserve"> and</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extra care should be taken like encouraging </w:t>
      </w:r>
      <w:r w:rsidR="00702FD5" w:rsidRPr="00044F4E">
        <w:rPr>
          <w:rFonts w:ascii="Arial" w:hAnsi="Arial" w:cs="Arial"/>
          <w:color w:val="000000" w:themeColor="text1"/>
          <w:sz w:val="20"/>
          <w:szCs w:val="20"/>
        </w:rPr>
        <w:t>literacy,</w:t>
      </w:r>
      <w:r w:rsidR="000A0A20" w:rsidRPr="00044F4E">
        <w:rPr>
          <w:rFonts w:ascii="Arial" w:hAnsi="Arial" w:cs="Arial"/>
          <w:color w:val="000000" w:themeColor="text1"/>
          <w:sz w:val="20"/>
          <w:szCs w:val="20"/>
        </w:rPr>
        <w:t xml:space="preserve"> </w:t>
      </w:r>
      <w:r w:rsidR="00F973E6" w:rsidRPr="00F973E6">
        <w:rPr>
          <w:rFonts w:ascii="Arial" w:hAnsi="Arial" w:cs="Arial"/>
          <w:color w:val="000000" w:themeColor="text1"/>
          <w:sz w:val="20"/>
          <w:szCs w:val="20"/>
          <w:highlight w:val="yellow"/>
        </w:rPr>
        <w:t>advocating</w:t>
      </w:r>
      <w:r w:rsidR="00F973E6">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weight loss</w:t>
      </w:r>
      <w:r w:rsidR="00F973E6">
        <w:rPr>
          <w:rFonts w:ascii="Arial" w:hAnsi="Arial" w:cs="Arial"/>
          <w:color w:val="000000" w:themeColor="text1"/>
          <w:sz w:val="20"/>
          <w:szCs w:val="20"/>
        </w:rPr>
        <w:t xml:space="preserve"> in </w:t>
      </w:r>
      <w:r w:rsidR="00F973E6" w:rsidRPr="00F973E6">
        <w:rPr>
          <w:rFonts w:ascii="Arial" w:hAnsi="Arial" w:cs="Arial"/>
          <w:color w:val="000000" w:themeColor="text1"/>
          <w:sz w:val="20"/>
          <w:szCs w:val="20"/>
          <w:highlight w:val="yellow"/>
        </w:rPr>
        <w:t>obese females</w:t>
      </w:r>
      <w:r w:rsidR="000A0A20" w:rsidRPr="00044F4E">
        <w:rPr>
          <w:rFonts w:ascii="Arial" w:hAnsi="Arial" w:cs="Arial"/>
          <w:color w:val="000000" w:themeColor="text1"/>
          <w:sz w:val="20"/>
          <w:szCs w:val="20"/>
        </w:rPr>
        <w:t xml:space="preserve"> before conceiving, </w:t>
      </w:r>
      <w:r w:rsidR="00F973E6" w:rsidRPr="00F973E6">
        <w:rPr>
          <w:rFonts w:ascii="Arial" w:hAnsi="Arial" w:cs="Arial"/>
          <w:color w:val="000000" w:themeColor="text1"/>
          <w:sz w:val="20"/>
          <w:szCs w:val="20"/>
          <w:highlight w:val="yellow"/>
        </w:rPr>
        <w:t>making</w:t>
      </w:r>
      <w:r w:rsidR="00F973E6">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lifestyle modifications and taking proper diet and iron supplementation to avoid anaemia. </w:t>
      </w:r>
    </w:p>
    <w:p w14:paraId="5A842187" w14:textId="2A4EBB60" w:rsidR="000A0A20" w:rsidRPr="00044F4E" w:rsidRDefault="00702FD5"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Thus,</w:t>
      </w:r>
      <w:r w:rsidR="000A0A20" w:rsidRPr="00044F4E">
        <w:rPr>
          <w:rFonts w:ascii="Arial" w:hAnsi="Arial" w:cs="Arial"/>
          <w:color w:val="000000" w:themeColor="text1"/>
          <w:sz w:val="20"/>
          <w:szCs w:val="20"/>
        </w:rPr>
        <w:t xml:space="preserve"> we can draw the inference that it is essential to identify such high risk females at the earliest possible so that proper antenatal monitoring and vigilant </w:t>
      </w:r>
      <w:r w:rsidR="009400DA" w:rsidRPr="00044F4E">
        <w:rPr>
          <w:rFonts w:ascii="Arial" w:hAnsi="Arial" w:cs="Arial"/>
          <w:color w:val="000000" w:themeColor="text1"/>
          <w:sz w:val="20"/>
          <w:szCs w:val="20"/>
        </w:rPr>
        <w:t>foetal</w:t>
      </w:r>
      <w:r w:rsidR="000A0A20" w:rsidRPr="00044F4E">
        <w:rPr>
          <w:rFonts w:ascii="Arial" w:hAnsi="Arial" w:cs="Arial"/>
          <w:color w:val="000000" w:themeColor="text1"/>
          <w:sz w:val="20"/>
          <w:szCs w:val="20"/>
        </w:rPr>
        <w:t xml:space="preserve"> monitoring can be done form very early on to minimize</w:t>
      </w:r>
      <w:r w:rsidR="00F973E6">
        <w:rPr>
          <w:rFonts w:ascii="Arial" w:hAnsi="Arial" w:cs="Arial"/>
          <w:color w:val="000000" w:themeColor="text1"/>
          <w:sz w:val="20"/>
          <w:szCs w:val="20"/>
        </w:rPr>
        <w:t xml:space="preserve"> the</w:t>
      </w:r>
      <w:r w:rsidR="000A0A20" w:rsidRPr="00044F4E">
        <w:rPr>
          <w:rFonts w:ascii="Arial" w:hAnsi="Arial" w:cs="Arial"/>
          <w:color w:val="000000" w:themeColor="text1"/>
          <w:sz w:val="20"/>
          <w:szCs w:val="20"/>
        </w:rPr>
        <w:t xml:space="preserve"> antenatal, postnatal and perinatal complications. It is also vital to create awareness among such women of the associated risks they </w:t>
      </w:r>
      <w:r w:rsidR="00294F65" w:rsidRPr="00044F4E">
        <w:rPr>
          <w:rFonts w:ascii="Arial" w:hAnsi="Arial" w:cs="Arial"/>
          <w:color w:val="000000" w:themeColor="text1"/>
          <w:sz w:val="20"/>
          <w:szCs w:val="20"/>
        </w:rPr>
        <w:t>harbour</w:t>
      </w:r>
      <w:r w:rsidR="000A0A20" w:rsidRPr="00044F4E">
        <w:rPr>
          <w:rFonts w:ascii="Arial" w:hAnsi="Arial" w:cs="Arial"/>
          <w:color w:val="000000" w:themeColor="text1"/>
          <w:sz w:val="20"/>
          <w:szCs w:val="20"/>
        </w:rPr>
        <w:t xml:space="preserve"> and its complications to help them understand the importance of regular and strict antenatal visits. </w:t>
      </w:r>
      <w:r w:rsidR="000A0A20" w:rsidRPr="00044F4E">
        <w:rPr>
          <w:rFonts w:ascii="Arial" w:hAnsi="Arial" w:cs="Arial"/>
          <w:color w:val="000000" w:themeColor="text1"/>
          <w:sz w:val="20"/>
          <w:szCs w:val="20"/>
        </w:rPr>
        <w:lastRenderedPageBreak/>
        <w:t>Educating pregnant women about the warning signs of PIH will help in early recognition, intervention and a better outcome both for the mother and the baby.</w:t>
      </w:r>
    </w:p>
    <w:p w14:paraId="1A073148" w14:textId="77B8F588" w:rsidR="000A0A20" w:rsidRPr="00044F4E" w:rsidRDefault="00F973E6" w:rsidP="00B5101C">
      <w:pPr>
        <w:tabs>
          <w:tab w:val="left" w:pos="2800"/>
        </w:tabs>
        <w:ind w:firstLine="709"/>
        <w:jc w:val="both"/>
        <w:rPr>
          <w:rFonts w:ascii="Arial" w:hAnsi="Arial" w:cs="Arial"/>
          <w:color w:val="000000" w:themeColor="text1"/>
          <w:sz w:val="20"/>
          <w:szCs w:val="20"/>
        </w:rPr>
      </w:pPr>
      <w:r w:rsidRPr="00F973E6">
        <w:rPr>
          <w:rFonts w:ascii="Arial" w:hAnsi="Arial" w:cs="Arial"/>
          <w:color w:val="000000" w:themeColor="text1"/>
          <w:sz w:val="20"/>
          <w:szCs w:val="20"/>
          <w:highlight w:val="yellow"/>
        </w:rPr>
        <w:t>Moreover, provisions of better</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and easily accessible health facilities </w:t>
      </w:r>
      <w:r w:rsidRPr="00F973E6">
        <w:rPr>
          <w:rFonts w:ascii="Arial" w:hAnsi="Arial" w:cs="Arial"/>
          <w:color w:val="000000" w:themeColor="text1"/>
          <w:sz w:val="20"/>
          <w:szCs w:val="20"/>
          <w:highlight w:val="yellow"/>
        </w:rPr>
        <w:t>will help in providing</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a superior level of antenatal care to high risk females.</w:t>
      </w:r>
    </w:p>
    <w:p w14:paraId="20FA4697" w14:textId="1ED60FE9" w:rsidR="00B652FA"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Further, more study needs to be done with a larger sample size varying across different regions to get a greater comprehension regrading patients with pregnancy induced hypertension, the associated risk factors and its outcomes.  </w:t>
      </w:r>
    </w:p>
    <w:p w14:paraId="5E24476A" w14:textId="77777777" w:rsidR="00606C47" w:rsidRPr="00044F4E" w:rsidRDefault="00606C47" w:rsidP="00B5101C">
      <w:pPr>
        <w:tabs>
          <w:tab w:val="left" w:pos="2800"/>
        </w:tabs>
        <w:jc w:val="both"/>
        <w:rPr>
          <w:rFonts w:ascii="Arial" w:hAnsi="Arial" w:cs="Arial"/>
          <w:b/>
          <w:bCs/>
          <w:color w:val="000000" w:themeColor="text1"/>
          <w:sz w:val="20"/>
          <w:szCs w:val="20"/>
        </w:rPr>
      </w:pPr>
    </w:p>
    <w:p w14:paraId="3541FA15" w14:textId="68BE0DCC" w:rsidR="00606C47" w:rsidRPr="00044F4E" w:rsidRDefault="00606C47" w:rsidP="00B5101C">
      <w:pPr>
        <w:tabs>
          <w:tab w:val="left" w:pos="2800"/>
        </w:tabs>
        <w:jc w:val="both"/>
        <w:rPr>
          <w:rFonts w:ascii="Arial" w:hAnsi="Arial" w:cs="Arial"/>
          <w:b/>
          <w:bCs/>
          <w:color w:val="000000" w:themeColor="text1"/>
          <w:sz w:val="20"/>
          <w:szCs w:val="20"/>
        </w:rPr>
      </w:pPr>
      <w:r w:rsidRPr="00044F4E">
        <w:rPr>
          <w:rFonts w:ascii="Arial" w:hAnsi="Arial" w:cs="Arial"/>
          <w:b/>
          <w:bCs/>
          <w:color w:val="000000" w:themeColor="text1"/>
          <w:sz w:val="20"/>
          <w:szCs w:val="20"/>
        </w:rPr>
        <w:t>Disclosure Statement</w:t>
      </w:r>
    </w:p>
    <w:p w14:paraId="77695D9D" w14:textId="77777777" w:rsidR="001233B6" w:rsidRPr="00044F4E" w:rsidRDefault="001233B6" w:rsidP="00B5101C">
      <w:pPr>
        <w:tabs>
          <w:tab w:val="left" w:pos="3460"/>
        </w:tabs>
        <w:rPr>
          <w:rFonts w:ascii="Arial" w:hAnsi="Arial" w:cs="Arial"/>
          <w:sz w:val="20"/>
          <w:szCs w:val="20"/>
        </w:rPr>
      </w:pPr>
    </w:p>
    <w:p w14:paraId="2039423A" w14:textId="77777777" w:rsidR="001233B6" w:rsidRPr="00044F4E" w:rsidRDefault="001233B6" w:rsidP="00B5101C">
      <w:pPr>
        <w:tabs>
          <w:tab w:val="left" w:pos="3460"/>
        </w:tabs>
        <w:rPr>
          <w:rFonts w:ascii="Arial" w:hAnsi="Arial" w:cs="Arial"/>
          <w:b/>
          <w:bCs/>
          <w:sz w:val="20"/>
          <w:szCs w:val="20"/>
        </w:rPr>
      </w:pPr>
      <w:r w:rsidRPr="00044F4E">
        <w:rPr>
          <w:rFonts w:ascii="Arial" w:hAnsi="Arial" w:cs="Arial"/>
          <w:b/>
          <w:bCs/>
          <w:sz w:val="20"/>
          <w:szCs w:val="20"/>
        </w:rPr>
        <w:t>Ethical Approval</w:t>
      </w:r>
    </w:p>
    <w:p w14:paraId="3C72C182" w14:textId="3A3847BD" w:rsidR="00714168" w:rsidRPr="00044F4E" w:rsidRDefault="001233B6" w:rsidP="00B5101C">
      <w:pPr>
        <w:tabs>
          <w:tab w:val="left" w:pos="3460"/>
        </w:tabs>
        <w:rPr>
          <w:rFonts w:ascii="Arial" w:hAnsi="Arial" w:cs="Arial"/>
          <w:color w:val="000000" w:themeColor="text1"/>
          <w:sz w:val="20"/>
          <w:szCs w:val="20"/>
        </w:rPr>
      </w:pPr>
      <w:r w:rsidRPr="00044F4E">
        <w:rPr>
          <w:rFonts w:ascii="Arial" w:hAnsi="Arial" w:cs="Arial"/>
          <w:sz w:val="20"/>
          <w:szCs w:val="20"/>
        </w:rPr>
        <w:t xml:space="preserve">Ethical approval was </w:t>
      </w:r>
      <w:r w:rsidR="00D7088C" w:rsidRPr="00044F4E">
        <w:rPr>
          <w:rFonts w:ascii="Arial" w:hAnsi="Arial" w:cs="Arial"/>
          <w:sz w:val="20"/>
          <w:szCs w:val="20"/>
        </w:rPr>
        <w:t xml:space="preserve">received from the </w:t>
      </w:r>
      <w:r w:rsidRPr="00044F4E">
        <w:rPr>
          <w:rFonts w:ascii="Arial" w:hAnsi="Arial" w:cs="Arial"/>
          <w:sz w:val="20"/>
          <w:szCs w:val="20"/>
        </w:rPr>
        <w:t>Ethics Committee of the Institution</w:t>
      </w:r>
      <w:r w:rsidR="00836DEB" w:rsidRPr="00044F4E">
        <w:rPr>
          <w:rFonts w:ascii="Arial" w:hAnsi="Arial" w:cs="Arial"/>
          <w:sz w:val="20"/>
          <w:szCs w:val="20"/>
        </w:rPr>
        <w:t>, and w</w:t>
      </w:r>
      <w:r w:rsidRPr="00044F4E">
        <w:rPr>
          <w:rFonts w:ascii="Arial" w:hAnsi="Arial" w:cs="Arial"/>
          <w:sz w:val="20"/>
          <w:szCs w:val="20"/>
        </w:rPr>
        <w:t>ritten informed consent was obtained</w:t>
      </w:r>
      <w:r w:rsidR="00836DEB" w:rsidRPr="00044F4E">
        <w:rPr>
          <w:rFonts w:ascii="Arial" w:hAnsi="Arial" w:cs="Arial"/>
          <w:sz w:val="20"/>
          <w:szCs w:val="20"/>
        </w:rPr>
        <w:t>.</w:t>
      </w:r>
    </w:p>
    <w:p w14:paraId="246C6DA7" w14:textId="77777777" w:rsidR="00B157C4" w:rsidRPr="00F973E6" w:rsidRDefault="00B157C4" w:rsidP="00CE13AB">
      <w:pPr>
        <w:tabs>
          <w:tab w:val="left" w:pos="2800"/>
        </w:tabs>
        <w:rPr>
          <w:rFonts w:ascii="Arial" w:hAnsi="Arial" w:cs="Arial"/>
          <w:color w:val="000000" w:themeColor="text1"/>
          <w:sz w:val="20"/>
          <w:szCs w:val="20"/>
        </w:rPr>
      </w:pPr>
    </w:p>
    <w:p w14:paraId="7B0A878E" w14:textId="77777777" w:rsidR="00E066DD" w:rsidRDefault="00B157C4" w:rsidP="00E066DD">
      <w:pPr>
        <w:spacing w:after="200" w:line="276" w:lineRule="auto"/>
        <w:jc w:val="both"/>
        <w:outlineLvl w:val="0"/>
        <w:rPr>
          <w:rFonts w:ascii="Arial" w:eastAsia="Times New Roman" w:hAnsi="Arial" w:cs="Arial"/>
          <w:b/>
          <w:bCs/>
          <w:kern w:val="0"/>
          <w:sz w:val="20"/>
          <w:szCs w:val="20"/>
          <w:lang w:val="en-GB" w:eastAsia="en-GB"/>
          <w14:ligatures w14:val="none"/>
        </w:rPr>
      </w:pPr>
      <w:r w:rsidRPr="00F973E6">
        <w:rPr>
          <w:rFonts w:ascii="Arial" w:eastAsia="Times New Roman" w:hAnsi="Arial" w:cs="Arial"/>
          <w:b/>
          <w:bCs/>
          <w:kern w:val="0"/>
          <w:sz w:val="20"/>
          <w:szCs w:val="20"/>
          <w:lang w:val="en-GB" w:eastAsia="en-GB"/>
          <w14:ligatures w14:val="none"/>
        </w:rPr>
        <w:t>COMPETING INTERESTS DISCLAIMER:</w:t>
      </w:r>
    </w:p>
    <w:p w14:paraId="14EF561F" w14:textId="64E9DE85" w:rsidR="00732531" w:rsidRPr="00F973E6" w:rsidRDefault="00B157C4" w:rsidP="00E066DD">
      <w:pPr>
        <w:spacing w:after="200" w:line="276" w:lineRule="auto"/>
        <w:jc w:val="both"/>
        <w:outlineLvl w:val="0"/>
        <w:rPr>
          <w:rFonts w:ascii="Arial" w:eastAsia="Times New Roman" w:hAnsi="Arial" w:cs="Arial"/>
          <w:kern w:val="0"/>
          <w:sz w:val="20"/>
          <w:szCs w:val="20"/>
          <w:lang w:val="en-GB" w:eastAsia="en-GB"/>
          <w14:ligatures w14:val="none"/>
        </w:rPr>
      </w:pPr>
      <w:r w:rsidRPr="00F973E6">
        <w:rPr>
          <w:rFonts w:ascii="Arial" w:eastAsia="Times New Roman" w:hAnsi="Arial" w:cs="Arial"/>
          <w:kern w:val="0"/>
          <w:sz w:val="20"/>
          <w:szCs w:val="2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71309F2" w14:textId="77777777" w:rsidR="008E15B5" w:rsidRPr="00E066DD" w:rsidRDefault="008E15B5" w:rsidP="008E15B5">
      <w:pPr>
        <w:spacing w:after="200" w:line="276" w:lineRule="auto"/>
        <w:rPr>
          <w:rFonts w:ascii="Arial" w:eastAsia="Calibri" w:hAnsi="Arial" w:cs="Arial"/>
          <w:b/>
          <w:bCs/>
          <w:sz w:val="20"/>
          <w:szCs w:val="20"/>
          <w:highlight w:val="yellow"/>
          <w:lang w:val="en-US"/>
          <w14:ligatures w14:val="none"/>
        </w:rPr>
      </w:pPr>
      <w:bookmarkStart w:id="9" w:name="_Hlk197682619"/>
      <w:bookmarkStart w:id="10" w:name="_Hlk180402183"/>
      <w:bookmarkStart w:id="11" w:name="_Hlk183680988"/>
      <w:r w:rsidRPr="00E066DD">
        <w:rPr>
          <w:rFonts w:ascii="Arial" w:eastAsia="Calibri" w:hAnsi="Arial" w:cs="Arial"/>
          <w:b/>
          <w:bCs/>
          <w:sz w:val="20"/>
          <w:szCs w:val="20"/>
          <w:highlight w:val="yellow"/>
          <w:lang w:val="en-US"/>
          <w14:ligatures w14:val="none"/>
        </w:rPr>
        <w:t>Disclaimer (Artificial intelligence)</w:t>
      </w:r>
    </w:p>
    <w:p w14:paraId="119CCBB9" w14:textId="77777777" w:rsidR="008E15B5" w:rsidRPr="00F973E6" w:rsidRDefault="008E15B5" w:rsidP="008E15B5">
      <w:pPr>
        <w:spacing w:after="200" w:line="276" w:lineRule="auto"/>
        <w:rPr>
          <w:rFonts w:ascii="Arial" w:eastAsia="Calibri" w:hAnsi="Arial" w:cs="Arial"/>
          <w:sz w:val="20"/>
          <w:szCs w:val="20"/>
          <w:highlight w:val="yellow"/>
          <w:lang w:val="en-US"/>
          <w14:ligatures w14:val="none"/>
        </w:rPr>
      </w:pPr>
      <w:r w:rsidRPr="00F973E6">
        <w:rPr>
          <w:rFonts w:ascii="Arial" w:eastAsia="Calibri" w:hAnsi="Arial" w:cs="Arial"/>
          <w:sz w:val="20"/>
          <w:szCs w:val="20"/>
          <w:highlight w:val="yellow"/>
          <w:lang w:val="en-US"/>
          <w14:ligatures w14:val="none"/>
        </w:rPr>
        <w:t xml:space="preserve">Author(s) hereby </w:t>
      </w:r>
      <w:proofErr w:type="gramStart"/>
      <w:r w:rsidRPr="00F973E6">
        <w:rPr>
          <w:rFonts w:ascii="Arial" w:eastAsia="Calibri" w:hAnsi="Arial" w:cs="Arial"/>
          <w:sz w:val="20"/>
          <w:szCs w:val="20"/>
          <w:highlight w:val="yellow"/>
          <w:lang w:val="en-US"/>
          <w14:ligatures w14:val="none"/>
        </w:rPr>
        <w:t>declare</w:t>
      </w:r>
      <w:proofErr w:type="gramEnd"/>
      <w:r w:rsidRPr="00F973E6">
        <w:rPr>
          <w:rFonts w:ascii="Arial" w:eastAsia="Calibri" w:hAnsi="Arial" w:cs="Arial"/>
          <w:sz w:val="20"/>
          <w:szCs w:val="20"/>
          <w:highlight w:val="yellow"/>
          <w:lang w:val="en-US"/>
          <w14:ligatures w14:val="none"/>
        </w:rPr>
        <w:t xml:space="preserve"> that NO generative AI technologies such as Large Language Models (ChatGPT, COPILOT, etc.) and text-to-image generators have been used during the writing or editing of this manuscript. </w:t>
      </w:r>
    </w:p>
    <w:bookmarkEnd w:id="9"/>
    <w:bookmarkEnd w:id="10"/>
    <w:bookmarkEnd w:id="11"/>
    <w:p w14:paraId="083BB22D" w14:textId="77777777" w:rsidR="00CE13AB" w:rsidRDefault="00CE13AB" w:rsidP="00CE13AB">
      <w:pPr>
        <w:tabs>
          <w:tab w:val="left" w:pos="2800"/>
        </w:tabs>
        <w:rPr>
          <w:rFonts w:ascii="Arial" w:hAnsi="Arial" w:cs="Arial"/>
          <w:color w:val="000000" w:themeColor="text1"/>
          <w:sz w:val="20"/>
          <w:szCs w:val="20"/>
        </w:rPr>
      </w:pPr>
    </w:p>
    <w:p w14:paraId="2C119667" w14:textId="77777777" w:rsidR="00CE13AB" w:rsidRPr="00CE13AB" w:rsidRDefault="00CE13AB" w:rsidP="00CE13AB">
      <w:pPr>
        <w:tabs>
          <w:tab w:val="left" w:pos="2800"/>
        </w:tabs>
        <w:rPr>
          <w:rFonts w:ascii="Arial" w:hAnsi="Arial" w:cs="Arial"/>
          <w:color w:val="000000" w:themeColor="text1"/>
          <w:sz w:val="20"/>
          <w:szCs w:val="20"/>
        </w:rPr>
      </w:pPr>
    </w:p>
    <w:p w14:paraId="197669FA" w14:textId="72D4CCB4" w:rsidR="00B652FA" w:rsidRPr="00044F4E" w:rsidRDefault="00606C47" w:rsidP="00843660">
      <w:pPr>
        <w:tabs>
          <w:tab w:val="left" w:pos="2800"/>
        </w:tabs>
        <w:spacing w:line="480" w:lineRule="auto"/>
        <w:rPr>
          <w:rFonts w:ascii="Arial" w:hAnsi="Arial" w:cs="Arial"/>
          <w:b/>
          <w:bCs/>
          <w:sz w:val="20"/>
          <w:szCs w:val="20"/>
        </w:rPr>
      </w:pPr>
      <w:r w:rsidRPr="00044F4E">
        <w:rPr>
          <w:rFonts w:ascii="Arial" w:hAnsi="Arial" w:cs="Arial"/>
          <w:b/>
          <w:bCs/>
          <w:sz w:val="20"/>
          <w:szCs w:val="20"/>
        </w:rPr>
        <w:t>References</w:t>
      </w:r>
    </w:p>
    <w:p w14:paraId="1EB442AB" w14:textId="28859307" w:rsidR="00D20FBB" w:rsidRPr="00044F4E" w:rsidRDefault="00D20FBB"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World Health Organisation. Many pregnancy-related complications going undetected and untreated – WHO [Internet]. 2025 [cited 2025 Apr 6]. Available from: </w:t>
      </w:r>
      <w:hyperlink r:id="rId16" w:history="1">
        <w:r w:rsidRPr="00044F4E">
          <w:rPr>
            <w:rStyle w:val="Hyperlink"/>
            <w:rFonts w:ascii="Arial" w:hAnsi="Arial" w:cs="Arial"/>
            <w:sz w:val="20"/>
            <w:szCs w:val="20"/>
          </w:rPr>
          <w:t>https://www.who.int/news/item/08-03-2025-many-pregnancy-related-complications-going-undetected-and-untreated--who</w:t>
        </w:r>
      </w:hyperlink>
    </w:p>
    <w:p w14:paraId="5E9810D5" w14:textId="77777777" w:rsidR="002650B9" w:rsidRPr="00044F4E" w:rsidRDefault="002650B9"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Hypertension in pregnancy. Report of the American College of Obstetricians and </w:t>
      </w:r>
      <w:proofErr w:type="spellStart"/>
      <w:r w:rsidRPr="00044F4E">
        <w:rPr>
          <w:rFonts w:ascii="Arial" w:eastAsia="Times New Roman" w:hAnsi="Arial" w:cs="Arial"/>
          <w:kern w:val="0"/>
          <w:sz w:val="20"/>
          <w:szCs w:val="20"/>
          <w:lang w:val="en-GB" w:eastAsia="en-GB"/>
          <w14:ligatures w14:val="none"/>
        </w:rPr>
        <w:t>Gynecologists’</w:t>
      </w:r>
      <w:proofErr w:type="spellEnd"/>
      <w:r w:rsidRPr="00044F4E">
        <w:rPr>
          <w:rFonts w:ascii="Arial" w:eastAsia="Times New Roman" w:hAnsi="Arial" w:cs="Arial"/>
          <w:kern w:val="0"/>
          <w:sz w:val="20"/>
          <w:szCs w:val="20"/>
          <w:lang w:val="en-GB" w:eastAsia="en-GB"/>
          <w14:ligatures w14:val="none"/>
        </w:rPr>
        <w:t xml:space="preserve"> Task Force on Hypertension in Pregnancy. Obstet Gynecol. 2013 Nov;122(5):1122–31.</w:t>
      </w:r>
    </w:p>
    <w:p w14:paraId="6A3812CA" w14:textId="0435B55D" w:rsidR="002C2B18" w:rsidRPr="00044F4E" w:rsidRDefault="002C2B18"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Dutta DC. </w:t>
      </w:r>
      <w:proofErr w:type="gramStart"/>
      <w:r w:rsidRPr="00044F4E">
        <w:rPr>
          <w:rFonts w:ascii="Arial" w:eastAsia="Times New Roman" w:hAnsi="Arial" w:cs="Arial"/>
          <w:kern w:val="0"/>
          <w:sz w:val="20"/>
          <w:szCs w:val="20"/>
          <w:lang w:val="en-GB" w:eastAsia="en-GB"/>
          <w14:ligatures w14:val="none"/>
        </w:rPr>
        <w:t>Text book</w:t>
      </w:r>
      <w:proofErr w:type="gramEnd"/>
      <w:r w:rsidRPr="00044F4E">
        <w:rPr>
          <w:rFonts w:ascii="Arial" w:eastAsia="Times New Roman" w:hAnsi="Arial" w:cs="Arial"/>
          <w:kern w:val="0"/>
          <w:sz w:val="20"/>
          <w:szCs w:val="20"/>
          <w:lang w:val="en-GB" w:eastAsia="en-GB"/>
          <w14:ligatures w14:val="none"/>
        </w:rPr>
        <w:t xml:space="preserve"> of obstetrics. 3rd ed. Calcutta: New Central Book Agency (Pvt) Ltd.; 1995.</w:t>
      </w:r>
    </w:p>
    <w:p w14:paraId="1A0D90F1" w14:textId="6490F7F6" w:rsidR="00D20FBB" w:rsidRPr="00044F4E" w:rsidRDefault="001A3F32"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Parmar MT, Solanki HM, Gosalia VV. Study Of Risk Factors of Perinatal Death in Pregnancy Induced Hypertension (PIH). Natl J Community Med [Internet]. 2012 Dec. 31 [cited 2025 Apr. 6];3(04):703-7. Available from: </w:t>
      </w:r>
      <w:hyperlink r:id="rId17" w:history="1">
        <w:r w:rsidRPr="00044F4E">
          <w:rPr>
            <w:rStyle w:val="Hyperlink"/>
            <w:rFonts w:ascii="Arial" w:hAnsi="Arial" w:cs="Arial"/>
            <w:sz w:val="20"/>
            <w:szCs w:val="20"/>
            <w:shd w:val="clear" w:color="auto" w:fill="FFFFFF"/>
          </w:rPr>
          <w:t>https://njcmindia.com/index.php/file/article/view/1799</w:t>
        </w:r>
      </w:hyperlink>
    </w:p>
    <w:p w14:paraId="3EE49888" w14:textId="0A3A06D3" w:rsidR="001311F1" w:rsidRPr="00044F4E" w:rsidRDefault="001311F1"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lastRenderedPageBreak/>
        <w:t xml:space="preserve">Magley M, Hinson MR. Eclampsia. In: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[Internet]. Treasure Island (FL):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Publishing; 2025 [cited 2025 Apr 6]. Available from: </w:t>
      </w:r>
      <w:hyperlink r:id="rId18" w:history="1">
        <w:r w:rsidRPr="00044F4E">
          <w:rPr>
            <w:rStyle w:val="Hyperlink"/>
            <w:rFonts w:ascii="Arial" w:hAnsi="Arial" w:cs="Arial"/>
            <w:sz w:val="20"/>
            <w:szCs w:val="20"/>
          </w:rPr>
          <w:t>http://www.ncbi.nlm.nih.gov/books/NBK554392/</w:t>
        </w:r>
      </w:hyperlink>
    </w:p>
    <w:p w14:paraId="574F6833" w14:textId="77777777" w:rsidR="00E62364" w:rsidRPr="00044F4E" w:rsidRDefault="00E62364" w:rsidP="00843660">
      <w:pPr>
        <w:pStyle w:val="ListParagraph"/>
        <w:numPr>
          <w:ilvl w:val="0"/>
          <w:numId w:val="2"/>
        </w:numPr>
        <w:spacing w:line="480" w:lineRule="auto"/>
        <w:ind w:right="96"/>
        <w:jc w:val="both"/>
        <w:rPr>
          <w:rFonts w:ascii="Arial" w:hAnsi="Arial" w:cs="Arial"/>
          <w:sz w:val="20"/>
          <w:szCs w:val="20"/>
        </w:rPr>
      </w:pPr>
      <w:bookmarkStart w:id="12" w:name="_Ref195115863"/>
      <w:r w:rsidRPr="00044F4E">
        <w:rPr>
          <w:rFonts w:ascii="Arial" w:hAnsi="Arial" w:cs="Arial"/>
          <w:sz w:val="20"/>
          <w:szCs w:val="20"/>
        </w:rPr>
        <w:t xml:space="preserve">Gestational hypertension and preeclampsia. ACOG Practice Bulletin No. 222. American College of Obstetricians and </w:t>
      </w:r>
      <w:proofErr w:type="spellStart"/>
      <w:r w:rsidRPr="00044F4E">
        <w:rPr>
          <w:rFonts w:ascii="Arial" w:hAnsi="Arial" w:cs="Arial"/>
          <w:sz w:val="20"/>
          <w:szCs w:val="20"/>
        </w:rPr>
        <w:t>Gynecologists</w:t>
      </w:r>
      <w:proofErr w:type="spellEnd"/>
      <w:r w:rsidRPr="00044F4E">
        <w:rPr>
          <w:rFonts w:ascii="Arial" w:hAnsi="Arial" w:cs="Arial"/>
          <w:sz w:val="20"/>
          <w:szCs w:val="20"/>
        </w:rPr>
        <w:t xml:space="preserve">. </w:t>
      </w:r>
      <w:proofErr w:type="spellStart"/>
      <w:r w:rsidRPr="00044F4E">
        <w:rPr>
          <w:rFonts w:ascii="Arial" w:hAnsi="Arial" w:cs="Arial"/>
          <w:sz w:val="20"/>
          <w:szCs w:val="20"/>
        </w:rPr>
        <w:t>Obstet</w:t>
      </w:r>
      <w:proofErr w:type="spellEnd"/>
      <w:r w:rsidRPr="00044F4E">
        <w:rPr>
          <w:rFonts w:ascii="Arial" w:hAnsi="Arial" w:cs="Arial"/>
          <w:sz w:val="20"/>
          <w:szCs w:val="20"/>
        </w:rPr>
        <w:t xml:space="preserve"> </w:t>
      </w:r>
      <w:proofErr w:type="spellStart"/>
      <w:r w:rsidRPr="00044F4E">
        <w:rPr>
          <w:rFonts w:ascii="Arial" w:hAnsi="Arial" w:cs="Arial"/>
          <w:sz w:val="20"/>
          <w:szCs w:val="20"/>
        </w:rPr>
        <w:t>Gynecol</w:t>
      </w:r>
      <w:proofErr w:type="spellEnd"/>
      <w:r w:rsidRPr="00044F4E">
        <w:rPr>
          <w:rFonts w:ascii="Arial" w:hAnsi="Arial" w:cs="Arial"/>
          <w:sz w:val="20"/>
          <w:szCs w:val="20"/>
        </w:rPr>
        <w:t xml:space="preserve"> 2020;135:e237–60.</w:t>
      </w:r>
      <w:bookmarkEnd w:id="12"/>
    </w:p>
    <w:p w14:paraId="1364D974" w14:textId="77777777" w:rsidR="00747B9C" w:rsidRPr="00044F4E" w:rsidRDefault="00747B9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Abbas RA, </w:t>
      </w:r>
      <w:proofErr w:type="spellStart"/>
      <w:r w:rsidRPr="00044F4E">
        <w:rPr>
          <w:rFonts w:ascii="Arial" w:eastAsia="Times New Roman" w:hAnsi="Arial" w:cs="Arial"/>
          <w:kern w:val="0"/>
          <w:sz w:val="20"/>
          <w:szCs w:val="20"/>
          <w:lang w:val="en-GB" w:eastAsia="en-GB"/>
          <w14:ligatures w14:val="none"/>
        </w:rPr>
        <w:t>Ghulmiyyah</w:t>
      </w:r>
      <w:proofErr w:type="spellEnd"/>
      <w:r w:rsidRPr="00044F4E">
        <w:rPr>
          <w:rFonts w:ascii="Arial" w:eastAsia="Times New Roman" w:hAnsi="Arial" w:cs="Arial"/>
          <w:kern w:val="0"/>
          <w:sz w:val="20"/>
          <w:szCs w:val="20"/>
          <w:lang w:val="en-GB" w:eastAsia="en-GB"/>
          <w14:ligatures w14:val="none"/>
        </w:rPr>
        <w:t xml:space="preserve"> L, Hobeika E, Usta IM, Mirza F, Nassar AH. Preeclampsia: A Review of Early Predictors. Maternal-</w:t>
      </w:r>
      <w:proofErr w:type="spellStart"/>
      <w:r w:rsidRPr="00044F4E">
        <w:rPr>
          <w:rFonts w:ascii="Arial" w:eastAsia="Times New Roman" w:hAnsi="Arial" w:cs="Arial"/>
          <w:kern w:val="0"/>
          <w:sz w:val="20"/>
          <w:szCs w:val="20"/>
          <w:lang w:val="en-GB" w:eastAsia="en-GB"/>
          <w14:ligatures w14:val="none"/>
        </w:rPr>
        <w:t>Fetal</w:t>
      </w:r>
      <w:proofErr w:type="spellEnd"/>
      <w:r w:rsidRPr="00044F4E">
        <w:rPr>
          <w:rFonts w:ascii="Arial" w:eastAsia="Times New Roman" w:hAnsi="Arial" w:cs="Arial"/>
          <w:kern w:val="0"/>
          <w:sz w:val="20"/>
          <w:szCs w:val="20"/>
          <w:lang w:val="en-GB" w:eastAsia="en-GB"/>
          <w14:ligatures w14:val="none"/>
        </w:rPr>
        <w:t xml:space="preserve"> Medicine. 2021 Jul;3(3):197.</w:t>
      </w:r>
    </w:p>
    <w:p w14:paraId="38601E69" w14:textId="37CE8E68" w:rsidR="006F7052" w:rsidRPr="00044F4E" w:rsidRDefault="006F7052"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Preeclampsia: Clinical features and diagnosis - UpToDate [Internet]. [cited 2025 Apr 6]. Available from: </w:t>
      </w:r>
      <w:hyperlink r:id="rId19" w:anchor="H1371265892" w:history="1">
        <w:r w:rsidRPr="00044F4E">
          <w:rPr>
            <w:rStyle w:val="Hyperlink"/>
            <w:rFonts w:ascii="Arial" w:hAnsi="Arial" w:cs="Arial"/>
            <w:sz w:val="20"/>
            <w:szCs w:val="20"/>
          </w:rPr>
          <w:t>https://www.uptodate.com/contents/preeclampsia-clinical-features-and-diagnosis#H1371265892</w:t>
        </w:r>
      </w:hyperlink>
    </w:p>
    <w:p w14:paraId="6BBC29D4" w14:textId="77777777" w:rsidR="006F7052" w:rsidRPr="00044F4E" w:rsidRDefault="006F7052"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lang w:val="en-GB"/>
        </w:rPr>
        <w:t xml:space="preserve">Schmieder RE. End Organ Damage </w:t>
      </w:r>
      <w:proofErr w:type="gramStart"/>
      <w:r w:rsidRPr="00044F4E">
        <w:rPr>
          <w:rFonts w:ascii="Arial" w:hAnsi="Arial" w:cs="Arial"/>
          <w:sz w:val="20"/>
          <w:szCs w:val="20"/>
          <w:shd w:val="clear" w:color="auto" w:fill="FFFFFF"/>
          <w:lang w:val="en-GB"/>
        </w:rPr>
        <w:t>In</w:t>
      </w:r>
      <w:proofErr w:type="gramEnd"/>
      <w:r w:rsidRPr="00044F4E">
        <w:rPr>
          <w:rFonts w:ascii="Arial" w:hAnsi="Arial" w:cs="Arial"/>
          <w:sz w:val="20"/>
          <w:szCs w:val="20"/>
          <w:shd w:val="clear" w:color="auto" w:fill="FFFFFF"/>
          <w:lang w:val="en-GB"/>
        </w:rPr>
        <w:t xml:space="preserve"> Hypertension. </w:t>
      </w:r>
      <w:proofErr w:type="spellStart"/>
      <w:r w:rsidRPr="00044F4E">
        <w:rPr>
          <w:rFonts w:ascii="Arial" w:hAnsi="Arial" w:cs="Arial"/>
          <w:sz w:val="20"/>
          <w:szCs w:val="20"/>
          <w:shd w:val="clear" w:color="auto" w:fill="FFFFFF"/>
          <w:lang w:val="en-GB"/>
        </w:rPr>
        <w:t>Dtsch</w:t>
      </w:r>
      <w:proofErr w:type="spellEnd"/>
      <w:r w:rsidRPr="00044F4E">
        <w:rPr>
          <w:rFonts w:ascii="Arial" w:hAnsi="Arial" w:cs="Arial"/>
          <w:sz w:val="20"/>
          <w:szCs w:val="20"/>
          <w:shd w:val="clear" w:color="auto" w:fill="FFFFFF"/>
          <w:lang w:val="en-GB"/>
        </w:rPr>
        <w:t xml:space="preserve"> </w:t>
      </w:r>
      <w:proofErr w:type="spellStart"/>
      <w:r w:rsidRPr="00044F4E">
        <w:rPr>
          <w:rFonts w:ascii="Arial" w:hAnsi="Arial" w:cs="Arial"/>
          <w:sz w:val="20"/>
          <w:szCs w:val="20"/>
          <w:shd w:val="clear" w:color="auto" w:fill="FFFFFF"/>
          <w:lang w:val="en-GB"/>
        </w:rPr>
        <w:t>Arztebl</w:t>
      </w:r>
      <w:proofErr w:type="spellEnd"/>
      <w:r w:rsidRPr="00044F4E">
        <w:rPr>
          <w:rFonts w:ascii="Arial" w:hAnsi="Arial" w:cs="Arial"/>
          <w:sz w:val="20"/>
          <w:szCs w:val="20"/>
          <w:shd w:val="clear" w:color="auto" w:fill="FFFFFF"/>
          <w:lang w:val="en-GB"/>
        </w:rPr>
        <w:t xml:space="preserve"> Int. 2010 Dec;107(49):866–73.</w:t>
      </w:r>
    </w:p>
    <w:p w14:paraId="700D14EE" w14:textId="7D04AF85" w:rsidR="00931DD0" w:rsidRPr="00044F4E" w:rsidRDefault="008F3B5A"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t xml:space="preserve">Karrar SA, </w:t>
      </w:r>
      <w:proofErr w:type="spellStart"/>
      <w:r w:rsidRPr="00044F4E">
        <w:rPr>
          <w:rFonts w:ascii="Arial" w:hAnsi="Arial" w:cs="Arial"/>
          <w:sz w:val="20"/>
          <w:szCs w:val="20"/>
        </w:rPr>
        <w:t>Martingano</w:t>
      </w:r>
      <w:proofErr w:type="spellEnd"/>
      <w:r w:rsidRPr="00044F4E">
        <w:rPr>
          <w:rFonts w:ascii="Arial" w:hAnsi="Arial" w:cs="Arial"/>
          <w:sz w:val="20"/>
          <w:szCs w:val="20"/>
        </w:rPr>
        <w:t xml:space="preserve"> DJ, Hong PL. Preeclampsia. In: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[Internet]. Treasure Island (FL):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Publishing; 2025 [cited 2025 Apr 6]. Available from: </w:t>
      </w:r>
      <w:hyperlink r:id="rId20" w:history="1">
        <w:r w:rsidRPr="00044F4E">
          <w:rPr>
            <w:rStyle w:val="Hyperlink"/>
            <w:rFonts w:ascii="Arial" w:hAnsi="Arial" w:cs="Arial"/>
            <w:sz w:val="20"/>
            <w:szCs w:val="20"/>
          </w:rPr>
          <w:t>http://www.ncbi.nlm.nih.gov/books/NBK570611/</w:t>
        </w:r>
      </w:hyperlink>
    </w:p>
    <w:p w14:paraId="5F0D3522" w14:textId="77777777"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ACOG Committee on Obstetric Practice. ACOG practice bulletin. Diagnosis and management of preeclampsia and eclampsia. Number 33, January 2002. American College of Obstetricians and </w:t>
      </w:r>
      <w:proofErr w:type="spellStart"/>
      <w:r w:rsidRPr="00044F4E">
        <w:rPr>
          <w:rFonts w:ascii="Arial" w:eastAsia="Times New Roman" w:hAnsi="Arial" w:cs="Arial"/>
          <w:kern w:val="0"/>
          <w:sz w:val="20"/>
          <w:szCs w:val="20"/>
          <w:lang w:val="en-GB" w:eastAsia="en-GB"/>
          <w14:ligatures w14:val="none"/>
        </w:rPr>
        <w:t>Gynecologists</w:t>
      </w:r>
      <w:proofErr w:type="spellEnd"/>
      <w:r w:rsidRPr="00044F4E">
        <w:rPr>
          <w:rFonts w:ascii="Arial" w:eastAsia="Times New Roman" w:hAnsi="Arial" w:cs="Arial"/>
          <w:kern w:val="0"/>
          <w:sz w:val="20"/>
          <w:szCs w:val="20"/>
          <w:lang w:val="en-GB" w:eastAsia="en-GB"/>
          <w14:ligatures w14:val="none"/>
        </w:rPr>
        <w:t xml:space="preserve">. Int J </w:t>
      </w:r>
      <w:proofErr w:type="spellStart"/>
      <w:r w:rsidRPr="00044F4E">
        <w:rPr>
          <w:rFonts w:ascii="Arial" w:eastAsia="Times New Roman" w:hAnsi="Arial" w:cs="Arial"/>
          <w:kern w:val="0"/>
          <w:sz w:val="20"/>
          <w:szCs w:val="20"/>
          <w:lang w:val="en-GB" w:eastAsia="en-GB"/>
          <w14:ligatures w14:val="none"/>
        </w:rPr>
        <w:t>Gynaecol</w:t>
      </w:r>
      <w:proofErr w:type="spellEnd"/>
      <w:r w:rsidRPr="00044F4E">
        <w:rPr>
          <w:rFonts w:ascii="Arial" w:eastAsia="Times New Roman" w:hAnsi="Arial" w:cs="Arial"/>
          <w:kern w:val="0"/>
          <w:sz w:val="20"/>
          <w:szCs w:val="20"/>
          <w:lang w:val="en-GB" w:eastAsia="en-GB"/>
          <w14:ligatures w14:val="none"/>
        </w:rPr>
        <w:t xml:space="preserve"> Obstet. 2002 Apr;77(1):67–75.</w:t>
      </w:r>
    </w:p>
    <w:p w14:paraId="30B6A326" w14:textId="77777777" w:rsidR="0008045D" w:rsidRPr="00044F4E" w:rsidRDefault="0008045D" w:rsidP="00843660">
      <w:pPr>
        <w:pStyle w:val="ListParagraph"/>
        <w:numPr>
          <w:ilvl w:val="0"/>
          <w:numId w:val="2"/>
        </w:numPr>
        <w:spacing w:line="480" w:lineRule="auto"/>
        <w:ind w:right="96"/>
        <w:jc w:val="both"/>
        <w:rPr>
          <w:rFonts w:ascii="Arial" w:hAnsi="Arial" w:cs="Arial"/>
          <w:sz w:val="20"/>
          <w:szCs w:val="20"/>
        </w:rPr>
      </w:pPr>
      <w:r w:rsidRPr="00044F4E">
        <w:rPr>
          <w:rFonts w:ascii="Arial" w:eastAsia="Times New Roman" w:hAnsi="Arial" w:cs="Arial"/>
          <w:color w:val="000000"/>
          <w:kern w:val="0"/>
          <w:sz w:val="20"/>
          <w:szCs w:val="20"/>
          <w:lang w:val="en-GB" w:eastAsia="en-GB"/>
          <w14:ligatures w14:val="none"/>
        </w:rPr>
        <w:t xml:space="preserve">Parmar MT, Solanki HM, Gosalia VV. Study </w:t>
      </w:r>
      <w:proofErr w:type="gramStart"/>
      <w:r w:rsidRPr="00044F4E">
        <w:rPr>
          <w:rFonts w:ascii="Arial" w:eastAsia="Times New Roman" w:hAnsi="Arial" w:cs="Arial"/>
          <w:color w:val="000000"/>
          <w:kern w:val="0"/>
          <w:sz w:val="20"/>
          <w:szCs w:val="20"/>
          <w:lang w:val="en-GB" w:eastAsia="en-GB"/>
          <w14:ligatures w14:val="none"/>
        </w:rPr>
        <w:t>Of</w:t>
      </w:r>
      <w:proofErr w:type="gramEnd"/>
      <w:r w:rsidRPr="00044F4E">
        <w:rPr>
          <w:rFonts w:ascii="Arial" w:eastAsia="Times New Roman" w:hAnsi="Arial" w:cs="Arial"/>
          <w:color w:val="000000"/>
          <w:kern w:val="0"/>
          <w:sz w:val="20"/>
          <w:szCs w:val="20"/>
          <w:lang w:val="en-GB" w:eastAsia="en-GB"/>
          <w14:ligatures w14:val="none"/>
        </w:rPr>
        <w:t xml:space="preserve"> Risk Factors of Perinatal Death in Pregnancy Induced Hypertension (PIH). National Journal of Community Medicine. 2012 Dec 31;3(04):703–7.</w:t>
      </w:r>
    </w:p>
    <w:p w14:paraId="00FEDCC5" w14:textId="77777777" w:rsidR="00E2645D" w:rsidRPr="00044F4E" w:rsidRDefault="00E2645D"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t xml:space="preserve">Directorate of Women’s Health, Ministry of Health, Trinidad and Tobago. Hypertension in Pregnancy: Clinical Guideline [Internet]. 2018 [cited 2025 Apr 6]. Available from: </w:t>
      </w:r>
      <w:hyperlink r:id="rId21" w:history="1">
        <w:r w:rsidRPr="00044F4E">
          <w:rPr>
            <w:rStyle w:val="Hyperlink"/>
            <w:rFonts w:ascii="Arial" w:hAnsi="Arial" w:cs="Arial"/>
            <w:sz w:val="20"/>
            <w:szCs w:val="20"/>
          </w:rPr>
          <w:t>https://platform.who.int/docs/default-source/mca-documents/policy-documents/guideline/TTO-CC-31-04-GUIDELINE-2018-eng-MOH-Hypertension-in-Pregnancy-Clinical-Guideline-2018.pdf</w:t>
        </w:r>
      </w:hyperlink>
    </w:p>
    <w:p w14:paraId="07694BF3" w14:textId="16F0859A"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World Health Organization. The World health report: 1998: Life in the 21st century: a vision for all [Internet]. Geneva: World Health Organization; 1998 [cited 2025 Apr 8]. Available from: </w:t>
      </w:r>
      <w:hyperlink r:id="rId22" w:history="1">
        <w:r w:rsidRPr="00044F4E">
          <w:rPr>
            <w:rStyle w:val="Hyperlink"/>
            <w:rFonts w:ascii="Arial" w:hAnsi="Arial" w:cs="Arial"/>
            <w:sz w:val="20"/>
            <w:szCs w:val="20"/>
            <w:shd w:val="clear" w:color="auto" w:fill="FFFFFF"/>
          </w:rPr>
          <w:t>https://apps.who.int/gb/archive/pdf_files/wha51/ea3.pdf</w:t>
        </w:r>
      </w:hyperlink>
    </w:p>
    <w:p w14:paraId="7EB7382A" w14:textId="77777777" w:rsidR="0038258D" w:rsidRPr="00044F4E" w:rsidRDefault="0038258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lastRenderedPageBreak/>
        <w:t xml:space="preserve">American College of Obstetricians and </w:t>
      </w:r>
      <w:proofErr w:type="spellStart"/>
      <w:r w:rsidRPr="00044F4E">
        <w:rPr>
          <w:rFonts w:ascii="Arial" w:hAnsi="Arial" w:cs="Arial"/>
          <w:sz w:val="20"/>
          <w:szCs w:val="20"/>
        </w:rPr>
        <w:t>Gynecologists</w:t>
      </w:r>
      <w:proofErr w:type="spellEnd"/>
      <w:r w:rsidRPr="00044F4E">
        <w:rPr>
          <w:rFonts w:ascii="Arial" w:hAnsi="Arial" w:cs="Arial"/>
          <w:sz w:val="20"/>
          <w:szCs w:val="20"/>
        </w:rPr>
        <w:t xml:space="preserve">. Preeclampsia and Pregnancy [Internet]. Available from: </w:t>
      </w:r>
      <w:hyperlink r:id="rId23" w:history="1">
        <w:r w:rsidRPr="00044F4E">
          <w:rPr>
            <w:rStyle w:val="Hyperlink"/>
            <w:rFonts w:ascii="Arial" w:hAnsi="Arial" w:cs="Arial"/>
            <w:sz w:val="20"/>
            <w:szCs w:val="20"/>
          </w:rPr>
          <w:t>https://www.acog.org/-/media/project/acog/acogorg/womens-health/files/infographics/preeclampsia-and-pregnancy.pdf</w:t>
        </w:r>
      </w:hyperlink>
    </w:p>
    <w:p w14:paraId="50E679BD" w14:textId="77777777" w:rsidR="00E2645D" w:rsidRPr="00044F4E" w:rsidRDefault="00E26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Shandilya V, Sinha N, Rani S. Preeclampsia: Prevalence, Risk Factors, and Impact on Mother and </w:t>
      </w:r>
      <w:proofErr w:type="spellStart"/>
      <w:r w:rsidRPr="00044F4E">
        <w:rPr>
          <w:rFonts w:ascii="Arial" w:eastAsia="Times New Roman" w:hAnsi="Arial" w:cs="Arial"/>
          <w:kern w:val="0"/>
          <w:sz w:val="20"/>
          <w:szCs w:val="20"/>
          <w:lang w:val="en-GB" w:eastAsia="en-GB"/>
          <w14:ligatures w14:val="none"/>
        </w:rPr>
        <w:t>Fetus</w:t>
      </w:r>
      <w:proofErr w:type="spellEnd"/>
      <w:r w:rsidRPr="00044F4E">
        <w:rPr>
          <w:rFonts w:ascii="Arial" w:eastAsia="Times New Roman" w:hAnsi="Arial" w:cs="Arial"/>
          <w:kern w:val="0"/>
          <w:sz w:val="20"/>
          <w:szCs w:val="20"/>
          <w:lang w:val="en-GB" w:eastAsia="en-GB"/>
          <w14:ligatures w14:val="none"/>
        </w:rPr>
        <w:t>. Indian J Cardiovasc Dis Women. 2023 Jun 19;8(3):193–9.</w:t>
      </w:r>
    </w:p>
    <w:p w14:paraId="35EE197F" w14:textId="24421773" w:rsidR="00D90315"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August P, Sibai BM</w:t>
      </w:r>
      <w:r w:rsidRPr="00044F4E">
        <w:rPr>
          <w:rFonts w:ascii="Arial" w:eastAsia="Times New Roman" w:hAnsi="Arial" w:cs="Arial"/>
          <w:kern w:val="0"/>
          <w:sz w:val="20"/>
          <w:szCs w:val="20"/>
          <w:lang w:eastAsia="en-GB"/>
          <w14:ligatures w14:val="none"/>
        </w:rPr>
        <w:t>. Preeclampsia: Clinical features and diagnosis. In: Connor RF editor. UpToDate[internet]. Wolters Kluver; 2025 Mar [cited 2025 Apr 08]. Available from: </w:t>
      </w:r>
      <w:hyperlink r:id="rId24" w:anchor="H1371265892" w:history="1">
        <w:r w:rsidRPr="00044F4E">
          <w:rPr>
            <w:rStyle w:val="Hyperlink"/>
            <w:rFonts w:ascii="Arial" w:hAnsi="Arial" w:cs="Arial"/>
            <w:sz w:val="20"/>
            <w:szCs w:val="20"/>
            <w:shd w:val="clear" w:color="auto" w:fill="FFFFFF"/>
          </w:rPr>
          <w:t>https://www.uptodate.com/contents/preeclampsia-clinical-features-and-diagnosis#H1371265892</w:t>
        </w:r>
      </w:hyperlink>
    </w:p>
    <w:p w14:paraId="06FB2186" w14:textId="77777777" w:rsidR="0094329F"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Prathap, </w:t>
      </w:r>
      <w:proofErr w:type="spellStart"/>
      <w:r w:rsidRPr="00044F4E">
        <w:rPr>
          <w:rFonts w:ascii="Arial" w:eastAsia="Times New Roman" w:hAnsi="Arial" w:cs="Arial"/>
          <w:kern w:val="0"/>
          <w:sz w:val="20"/>
          <w:szCs w:val="20"/>
          <w:lang w:val="en-GB" w:eastAsia="en-GB"/>
          <w14:ligatures w14:val="none"/>
        </w:rPr>
        <w:t>Pranidha</w:t>
      </w:r>
      <w:proofErr w:type="spellEnd"/>
      <w:r w:rsidRPr="00044F4E">
        <w:rPr>
          <w:rFonts w:ascii="Arial" w:eastAsia="Times New Roman" w:hAnsi="Arial" w:cs="Arial"/>
          <w:kern w:val="0"/>
          <w:sz w:val="20"/>
          <w:szCs w:val="20"/>
          <w:lang w:val="en-GB" w:eastAsia="en-GB"/>
          <w14:ligatures w14:val="none"/>
        </w:rPr>
        <w:t xml:space="preserve"> Shree CA, Triveni K. Biochemical and </w:t>
      </w:r>
      <w:proofErr w:type="spellStart"/>
      <w:r w:rsidRPr="00044F4E">
        <w:rPr>
          <w:rFonts w:ascii="Arial" w:eastAsia="Times New Roman" w:hAnsi="Arial" w:cs="Arial"/>
          <w:kern w:val="0"/>
          <w:sz w:val="20"/>
          <w:szCs w:val="20"/>
          <w:lang w:val="en-GB" w:eastAsia="en-GB"/>
          <w14:ligatures w14:val="none"/>
        </w:rPr>
        <w:t>hematological</w:t>
      </w:r>
      <w:proofErr w:type="spellEnd"/>
      <w:r w:rsidRPr="00044F4E">
        <w:rPr>
          <w:rFonts w:ascii="Arial" w:eastAsia="Times New Roman" w:hAnsi="Arial" w:cs="Arial"/>
          <w:kern w:val="0"/>
          <w:sz w:val="20"/>
          <w:szCs w:val="20"/>
          <w:lang w:val="en-GB" w:eastAsia="en-GB"/>
          <w14:ligatures w14:val="none"/>
        </w:rPr>
        <w:t xml:space="preserve"> investigations in pregnancy induced hypertension. International Journal of Clinical Obstetrics and Gynaecology. 2018;2(4):18–20.</w:t>
      </w:r>
    </w:p>
    <w:p w14:paraId="25BDFACF" w14:textId="77777777" w:rsidR="003D312C" w:rsidRPr="00044F4E" w:rsidRDefault="003D312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Paul S, Parashar H, Upadhyay A, Srivastava K. Spectrum of presentation of pregnancy induced hypertension with maternal and perinatal outcomes at a tertiary care centre. Int J </w:t>
      </w:r>
      <w:proofErr w:type="spellStart"/>
      <w:r w:rsidRPr="00044F4E">
        <w:rPr>
          <w:rFonts w:ascii="Arial" w:eastAsia="Times New Roman" w:hAnsi="Arial" w:cs="Arial"/>
          <w:kern w:val="0"/>
          <w:sz w:val="20"/>
          <w:szCs w:val="20"/>
          <w:lang w:val="en-GB" w:eastAsia="en-GB"/>
          <w14:ligatures w14:val="none"/>
        </w:rPr>
        <w:t>Reprod</w:t>
      </w:r>
      <w:proofErr w:type="spellEnd"/>
      <w:r w:rsidRPr="00044F4E">
        <w:rPr>
          <w:rFonts w:ascii="Arial" w:eastAsia="Times New Roman" w:hAnsi="Arial" w:cs="Arial"/>
          <w:kern w:val="0"/>
          <w:sz w:val="20"/>
          <w:szCs w:val="20"/>
          <w:lang w:val="en-GB" w:eastAsia="en-GB"/>
          <w14:ligatures w14:val="none"/>
        </w:rPr>
        <w:t xml:space="preserve"> Contracept </w:t>
      </w:r>
      <w:proofErr w:type="spellStart"/>
      <w:r w:rsidRPr="00044F4E">
        <w:rPr>
          <w:rFonts w:ascii="Arial" w:eastAsia="Times New Roman" w:hAnsi="Arial" w:cs="Arial"/>
          <w:kern w:val="0"/>
          <w:sz w:val="20"/>
          <w:szCs w:val="20"/>
          <w:lang w:val="en-GB" w:eastAsia="en-GB"/>
          <w14:ligatures w14:val="none"/>
        </w:rPr>
        <w:t>Obstet</w:t>
      </w:r>
      <w:proofErr w:type="spellEnd"/>
      <w:r w:rsidRPr="00044F4E">
        <w:rPr>
          <w:rFonts w:ascii="Arial" w:eastAsia="Times New Roman" w:hAnsi="Arial" w:cs="Arial"/>
          <w:kern w:val="0"/>
          <w:sz w:val="20"/>
          <w:szCs w:val="20"/>
          <w:lang w:val="en-GB" w:eastAsia="en-GB"/>
          <w14:ligatures w14:val="none"/>
        </w:rPr>
        <w:t xml:space="preserve"> Gynecol. 2025 Mar 27;14(4):1251–5.</w:t>
      </w:r>
    </w:p>
    <w:p w14:paraId="36DCCD24"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Mallick S, Barik N, Pradhan S. Gestational hypertension and </w:t>
      </w:r>
      <w:proofErr w:type="spellStart"/>
      <w:r w:rsidRPr="00044F4E">
        <w:rPr>
          <w:rFonts w:ascii="Arial" w:eastAsia="Times New Roman" w:hAnsi="Arial" w:cs="Arial"/>
          <w:kern w:val="0"/>
          <w:sz w:val="20"/>
          <w:szCs w:val="20"/>
          <w:lang w:val="en-GB" w:eastAsia="en-GB"/>
          <w14:ligatures w14:val="none"/>
        </w:rPr>
        <w:t>fetal</w:t>
      </w:r>
      <w:proofErr w:type="spellEnd"/>
      <w:r w:rsidRPr="00044F4E">
        <w:rPr>
          <w:rFonts w:ascii="Arial" w:eastAsia="Times New Roman" w:hAnsi="Arial" w:cs="Arial"/>
          <w:kern w:val="0"/>
          <w:sz w:val="20"/>
          <w:szCs w:val="20"/>
          <w:lang w:val="en-GB" w:eastAsia="en-GB"/>
          <w14:ligatures w14:val="none"/>
        </w:rPr>
        <w:t xml:space="preserve"> outcome: A prospective study in a tertiary care centre. Indian Journal of Obstetrics and </w:t>
      </w:r>
      <w:proofErr w:type="spellStart"/>
      <w:r w:rsidRPr="00044F4E">
        <w:rPr>
          <w:rFonts w:ascii="Arial" w:eastAsia="Times New Roman" w:hAnsi="Arial" w:cs="Arial"/>
          <w:kern w:val="0"/>
          <w:sz w:val="20"/>
          <w:szCs w:val="20"/>
          <w:lang w:val="en-GB" w:eastAsia="en-GB"/>
          <w14:ligatures w14:val="none"/>
        </w:rPr>
        <w:t>Gynecology</w:t>
      </w:r>
      <w:proofErr w:type="spellEnd"/>
      <w:r w:rsidRPr="00044F4E">
        <w:rPr>
          <w:rFonts w:ascii="Arial" w:eastAsia="Times New Roman" w:hAnsi="Arial" w:cs="Arial"/>
          <w:kern w:val="0"/>
          <w:sz w:val="20"/>
          <w:szCs w:val="20"/>
          <w:lang w:val="en-GB" w:eastAsia="en-GB"/>
          <w14:ligatures w14:val="none"/>
        </w:rPr>
        <w:t xml:space="preserve"> Research. 7(4):595–9.</w:t>
      </w:r>
    </w:p>
    <w:p w14:paraId="25AFEEB0"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Paola Aghajanian P, Ainbinder S, Andrew E, Vicki VB, Heather B, Helene B, et al. Current diagnosis and treatment in Obstetrics and </w:t>
      </w:r>
      <w:proofErr w:type="spellStart"/>
      <w:r w:rsidRPr="00044F4E">
        <w:rPr>
          <w:rFonts w:ascii="Arial" w:eastAsia="Times New Roman" w:hAnsi="Arial" w:cs="Arial"/>
          <w:kern w:val="0"/>
          <w:sz w:val="20"/>
          <w:szCs w:val="20"/>
          <w:lang w:val="en-GB" w:eastAsia="en-GB"/>
          <w14:ligatures w14:val="none"/>
        </w:rPr>
        <w:t>Gynecology</w:t>
      </w:r>
      <w:proofErr w:type="spellEnd"/>
      <w:r w:rsidRPr="00044F4E">
        <w:rPr>
          <w:rFonts w:ascii="Arial" w:eastAsia="Times New Roman" w:hAnsi="Arial" w:cs="Arial"/>
          <w:kern w:val="0"/>
          <w:sz w:val="20"/>
          <w:szCs w:val="20"/>
          <w:lang w:val="en-GB" w:eastAsia="en-GB"/>
          <w14:ligatures w14:val="none"/>
        </w:rPr>
        <w:t>. McGraw-Hill; 2016.</w:t>
      </w:r>
    </w:p>
    <w:p w14:paraId="7246651A" w14:textId="5E5A9438" w:rsidR="00A0155A" w:rsidRPr="00136E32" w:rsidRDefault="00A0155A" w:rsidP="00A0155A">
      <w:pPr>
        <w:pStyle w:val="ListParagraph"/>
        <w:numPr>
          <w:ilvl w:val="0"/>
          <w:numId w:val="2"/>
        </w:numPr>
        <w:tabs>
          <w:tab w:val="left" w:pos="2800"/>
        </w:tabs>
        <w:spacing w:line="480" w:lineRule="auto"/>
        <w:rPr>
          <w:rFonts w:ascii="Arial" w:hAnsi="Arial" w:cs="Arial"/>
          <w:sz w:val="20"/>
          <w:szCs w:val="20"/>
          <w:highlight w:val="yellow"/>
        </w:rPr>
      </w:pPr>
      <w:r w:rsidRPr="00136E32">
        <w:rPr>
          <w:rFonts w:ascii="Arial" w:hAnsi="Arial" w:cs="Arial"/>
          <w:color w:val="333333"/>
          <w:sz w:val="20"/>
          <w:szCs w:val="20"/>
          <w:highlight w:val="yellow"/>
          <w:shd w:val="clear" w:color="auto" w:fill="FFFFFF"/>
        </w:rPr>
        <w:t xml:space="preserve">Parveen M, Fatema J, Begum KF, Chakma B, Chowdhury T </w:t>
      </w:r>
      <w:proofErr w:type="spellStart"/>
      <w:r w:rsidRPr="00136E32">
        <w:rPr>
          <w:rFonts w:ascii="Arial" w:hAnsi="Arial" w:cs="Arial"/>
          <w:color w:val="333333"/>
          <w:sz w:val="20"/>
          <w:szCs w:val="20"/>
          <w:highlight w:val="yellow"/>
          <w:shd w:val="clear" w:color="auto" w:fill="FFFFFF"/>
        </w:rPr>
        <w:t>lveen</w:t>
      </w:r>
      <w:proofErr w:type="spellEnd"/>
      <w:r w:rsidRPr="00136E32">
        <w:rPr>
          <w:rFonts w:ascii="Arial" w:hAnsi="Arial" w:cs="Arial"/>
          <w:color w:val="333333"/>
          <w:sz w:val="20"/>
          <w:szCs w:val="20"/>
          <w:highlight w:val="yellow"/>
          <w:shd w:val="clear" w:color="auto" w:fill="FFFFFF"/>
        </w:rPr>
        <w:t xml:space="preserve">, Das TR. Risk of Pre-Eclampsia in Women with Low Serum Ionized Magnesium. Asian J. Med. Health. [Internet]. 2024 Feb. 26 [cited 2025 May 21];22(3):35-40. Available from: </w:t>
      </w:r>
      <w:hyperlink r:id="rId25" w:history="1">
        <w:r w:rsidRPr="00136E32">
          <w:rPr>
            <w:rStyle w:val="Hyperlink"/>
            <w:rFonts w:ascii="Arial" w:hAnsi="Arial" w:cs="Arial"/>
            <w:sz w:val="20"/>
            <w:szCs w:val="20"/>
            <w:highlight w:val="yellow"/>
            <w:shd w:val="clear" w:color="auto" w:fill="FFFFFF"/>
          </w:rPr>
          <w:t>https://journalajmah.com/index.php/AJMAH/article/view/990</w:t>
        </w:r>
      </w:hyperlink>
      <w:r w:rsidRPr="00136E32">
        <w:rPr>
          <w:rFonts w:ascii="Arial" w:hAnsi="Arial" w:cs="Arial"/>
          <w:color w:val="333333"/>
          <w:sz w:val="20"/>
          <w:szCs w:val="20"/>
          <w:highlight w:val="yellow"/>
          <w:shd w:val="clear" w:color="auto" w:fill="FFFFFF"/>
        </w:rPr>
        <w:t xml:space="preserve"> </w:t>
      </w:r>
    </w:p>
    <w:p w14:paraId="606B791E" w14:textId="77777777" w:rsidR="0096432D" w:rsidRPr="00136E32" w:rsidRDefault="00A0155A" w:rsidP="003978FC">
      <w:pPr>
        <w:pStyle w:val="ListParagraph"/>
        <w:numPr>
          <w:ilvl w:val="0"/>
          <w:numId w:val="2"/>
        </w:numPr>
        <w:spacing w:line="480" w:lineRule="auto"/>
        <w:ind w:right="96"/>
        <w:jc w:val="both"/>
        <w:rPr>
          <w:rFonts w:ascii="Arial" w:hAnsi="Arial" w:cs="Arial"/>
          <w:sz w:val="20"/>
          <w:szCs w:val="20"/>
          <w:highlight w:val="yellow"/>
        </w:rPr>
      </w:pPr>
      <w:r w:rsidRPr="00136E32">
        <w:rPr>
          <w:rFonts w:ascii="Arial" w:eastAsia="Times New Roman" w:hAnsi="Arial" w:cs="Arial"/>
          <w:kern w:val="0"/>
          <w:sz w:val="20"/>
          <w:szCs w:val="20"/>
          <w:highlight w:val="yellow"/>
          <w:lang w:val="en-GB" w:eastAsia="en-GB"/>
          <w14:ligatures w14:val="none"/>
        </w:rPr>
        <w:t>Meh C, Sharma A, Ram U, Fadel S, Correa N, Snelgrove JW, et al. Trends in maternal mortality in India over two decades in nationally representative surveys. BJOG. 2022 Mar;129(4):550–61.</w:t>
      </w:r>
    </w:p>
    <w:p w14:paraId="04386D44" w14:textId="07158A68" w:rsidR="0096432D" w:rsidRPr="00136E32" w:rsidRDefault="0096432D" w:rsidP="003978FC">
      <w:pPr>
        <w:pStyle w:val="ListParagraph"/>
        <w:numPr>
          <w:ilvl w:val="0"/>
          <w:numId w:val="2"/>
        </w:numPr>
        <w:spacing w:line="480" w:lineRule="auto"/>
        <w:ind w:right="96"/>
        <w:jc w:val="both"/>
        <w:rPr>
          <w:rFonts w:ascii="Arial" w:hAnsi="Arial" w:cs="Arial"/>
          <w:sz w:val="20"/>
          <w:szCs w:val="20"/>
          <w:highlight w:val="yellow"/>
        </w:rPr>
      </w:pPr>
      <w:r w:rsidRPr="00136E32">
        <w:rPr>
          <w:rFonts w:ascii="Arial" w:eastAsia="Times New Roman" w:hAnsi="Arial" w:cs="Arial"/>
          <w:kern w:val="0"/>
          <w:sz w:val="20"/>
          <w:szCs w:val="20"/>
          <w:highlight w:val="yellow"/>
          <w:lang w:val="en-GB" w:eastAsia="en-GB"/>
          <w14:ligatures w14:val="none"/>
        </w:rPr>
        <w:lastRenderedPageBreak/>
        <w:t>Bramham K, Parnell B, Nelson-Piercy C, Seed PT, Poston L, Chappell LC. Chronic hypertension and pregnancy outcomes: systematic review and meta-analysis. BMJ. 2014 Apr 15;</w:t>
      </w:r>
      <w:proofErr w:type="gramStart"/>
      <w:r w:rsidRPr="00136E32">
        <w:rPr>
          <w:rFonts w:ascii="Arial" w:eastAsia="Times New Roman" w:hAnsi="Arial" w:cs="Arial"/>
          <w:kern w:val="0"/>
          <w:sz w:val="20"/>
          <w:szCs w:val="20"/>
          <w:highlight w:val="yellow"/>
          <w:lang w:val="en-GB" w:eastAsia="en-GB"/>
          <w14:ligatures w14:val="none"/>
        </w:rPr>
        <w:t>348:g</w:t>
      </w:r>
      <w:proofErr w:type="gramEnd"/>
      <w:r w:rsidRPr="00136E32">
        <w:rPr>
          <w:rFonts w:ascii="Arial" w:eastAsia="Times New Roman" w:hAnsi="Arial" w:cs="Arial"/>
          <w:kern w:val="0"/>
          <w:sz w:val="20"/>
          <w:szCs w:val="20"/>
          <w:highlight w:val="yellow"/>
          <w:lang w:val="en-GB" w:eastAsia="en-GB"/>
          <w14:ligatures w14:val="none"/>
        </w:rPr>
        <w:t>2301</w:t>
      </w:r>
    </w:p>
    <w:p w14:paraId="52EA1793" w14:textId="2CE0A2E5" w:rsidR="0096432D" w:rsidRPr="00136E32" w:rsidRDefault="0096432D" w:rsidP="0096432D">
      <w:pPr>
        <w:pStyle w:val="ListParagraph"/>
        <w:numPr>
          <w:ilvl w:val="0"/>
          <w:numId w:val="2"/>
        </w:numPr>
        <w:shd w:val="clear" w:color="auto" w:fill="FFFFFF"/>
        <w:spacing w:line="480" w:lineRule="auto"/>
        <w:rPr>
          <w:rFonts w:ascii="Arial" w:eastAsia="Times New Roman" w:hAnsi="Arial" w:cs="Arial"/>
          <w:color w:val="333333"/>
          <w:kern w:val="0"/>
          <w:sz w:val="20"/>
          <w:szCs w:val="20"/>
          <w:highlight w:val="yellow"/>
          <w:lang w:eastAsia="en-GB"/>
          <w14:ligatures w14:val="none"/>
        </w:rPr>
      </w:pPr>
      <w:r w:rsidRPr="00136E32">
        <w:rPr>
          <w:rFonts w:ascii="Arial" w:eastAsia="Times New Roman" w:hAnsi="Arial" w:cs="Arial"/>
          <w:color w:val="333333"/>
          <w:kern w:val="0"/>
          <w:sz w:val="20"/>
          <w:szCs w:val="20"/>
          <w:highlight w:val="yellow"/>
          <w:lang w:eastAsia="en-GB"/>
          <w14:ligatures w14:val="none"/>
        </w:rPr>
        <w:t xml:space="preserve">Iqbal QJ, Javed A, Marri ZA, Sabeen N. </w:t>
      </w:r>
      <w:proofErr w:type="spellStart"/>
      <w:r w:rsidRPr="00136E32">
        <w:rPr>
          <w:rFonts w:ascii="Arial" w:eastAsia="Times New Roman" w:hAnsi="Arial" w:cs="Arial"/>
          <w:color w:val="333333"/>
          <w:kern w:val="0"/>
          <w:sz w:val="20"/>
          <w:szCs w:val="20"/>
          <w:highlight w:val="yellow"/>
          <w:lang w:eastAsia="en-GB"/>
          <w14:ligatures w14:val="none"/>
        </w:rPr>
        <w:t>Feto</w:t>
      </w:r>
      <w:proofErr w:type="spellEnd"/>
      <w:r w:rsidRPr="00136E32">
        <w:rPr>
          <w:rFonts w:ascii="Arial" w:eastAsia="Times New Roman" w:hAnsi="Arial" w:cs="Arial"/>
          <w:color w:val="333333"/>
          <w:kern w:val="0"/>
          <w:sz w:val="20"/>
          <w:szCs w:val="20"/>
          <w:highlight w:val="yellow"/>
          <w:lang w:eastAsia="en-GB"/>
          <w14:ligatures w14:val="none"/>
        </w:rPr>
        <w:t xml:space="preserve">-Maternal Outcome of Pregnancy Complicated with Preeclampsia. J. Pharm. Res. Int. [Internet]. 2020 Sep. 14 [cited 2025 May 21];32(22):44-8. Available from: </w:t>
      </w:r>
      <w:hyperlink r:id="rId26" w:history="1">
        <w:r w:rsidRPr="00136E32">
          <w:rPr>
            <w:rStyle w:val="Hyperlink"/>
            <w:rFonts w:ascii="Arial" w:eastAsia="Times New Roman" w:hAnsi="Arial" w:cs="Arial"/>
            <w:kern w:val="0"/>
            <w:sz w:val="20"/>
            <w:szCs w:val="20"/>
            <w:highlight w:val="yellow"/>
            <w:lang w:eastAsia="en-GB"/>
            <w14:ligatures w14:val="none"/>
          </w:rPr>
          <w:t>https://journaljpri.com/index.php/JPRI/article/view/1645</w:t>
        </w:r>
      </w:hyperlink>
      <w:r w:rsidRPr="00136E32">
        <w:rPr>
          <w:rFonts w:ascii="Arial" w:eastAsia="Times New Roman" w:hAnsi="Arial" w:cs="Arial"/>
          <w:color w:val="333333"/>
          <w:kern w:val="0"/>
          <w:sz w:val="20"/>
          <w:szCs w:val="20"/>
          <w:highlight w:val="yellow"/>
          <w:lang w:eastAsia="en-GB"/>
          <w14:ligatures w14:val="none"/>
        </w:rPr>
        <w:t xml:space="preserve"> </w:t>
      </w:r>
    </w:p>
    <w:p w14:paraId="07B03B76" w14:textId="6D4032CF" w:rsidR="00A0155A" w:rsidRPr="00136E32" w:rsidRDefault="0081501E" w:rsidP="0096432D">
      <w:pPr>
        <w:pStyle w:val="ListParagraph"/>
        <w:numPr>
          <w:ilvl w:val="0"/>
          <w:numId w:val="2"/>
        </w:numPr>
        <w:tabs>
          <w:tab w:val="left" w:pos="2800"/>
        </w:tabs>
        <w:spacing w:line="480" w:lineRule="auto"/>
        <w:rPr>
          <w:rFonts w:ascii="Arial" w:hAnsi="Arial" w:cs="Arial"/>
          <w:sz w:val="20"/>
          <w:szCs w:val="20"/>
          <w:highlight w:val="yellow"/>
        </w:rPr>
      </w:pPr>
      <w:r w:rsidRPr="00136E32">
        <w:rPr>
          <w:rFonts w:ascii="Arial" w:hAnsi="Arial" w:cs="Arial"/>
          <w:sz w:val="20"/>
          <w:szCs w:val="20"/>
          <w:highlight w:val="yellow"/>
        </w:rPr>
        <w:t>Daniel WW, Editor. Biostatistics: a foundation for analysis in the health sciences. 7th ed. New York: John Wiley &amp; Sons; 1999.</w:t>
      </w:r>
    </w:p>
    <w:p w14:paraId="25CC5E34" w14:textId="77777777" w:rsidR="00294F65" w:rsidRPr="00294F65" w:rsidRDefault="00294F65" w:rsidP="00294F65">
      <w:pPr>
        <w:pStyle w:val="ListParagraph"/>
        <w:ind w:left="502"/>
        <w:rPr>
          <w:rFonts w:ascii="Times New Roman" w:eastAsia="Times New Roman" w:hAnsi="Times New Roman" w:cs="Times New Roman"/>
          <w:kern w:val="0"/>
          <w:lang w:eastAsia="en-GB"/>
          <w14:ligatures w14:val="none"/>
        </w:rPr>
      </w:pPr>
    </w:p>
    <w:p w14:paraId="3D3CE3FA" w14:textId="77777777" w:rsidR="00294F65" w:rsidRPr="00294F65" w:rsidRDefault="00294F65" w:rsidP="00294F65">
      <w:pPr>
        <w:tabs>
          <w:tab w:val="left" w:pos="2800"/>
        </w:tabs>
        <w:spacing w:line="480" w:lineRule="auto"/>
        <w:ind w:left="142"/>
        <w:rPr>
          <w:rFonts w:ascii="Arial" w:hAnsi="Arial" w:cs="Arial"/>
          <w:sz w:val="20"/>
          <w:szCs w:val="20"/>
        </w:rPr>
      </w:pPr>
    </w:p>
    <w:sectPr w:rsidR="00294F65" w:rsidRPr="00294F65" w:rsidSect="00EA100E">
      <w:headerReference w:type="even" r:id="rId27"/>
      <w:headerReference w:type="default" r:id="rId28"/>
      <w:footerReference w:type="even" r:id="rId29"/>
      <w:footerReference w:type="default" r:id="rId30"/>
      <w:headerReference w:type="first" r:id="rId31"/>
      <w:footerReference w:type="first" r:id="rId3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F529" w14:textId="77777777" w:rsidR="00474493" w:rsidRDefault="00474493" w:rsidP="007A5453">
      <w:r>
        <w:separator/>
      </w:r>
    </w:p>
  </w:endnote>
  <w:endnote w:type="continuationSeparator" w:id="0">
    <w:p w14:paraId="453FA0F8" w14:textId="77777777" w:rsidR="00474493" w:rsidRDefault="00474493" w:rsidP="007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5BF8" w14:textId="77777777" w:rsidR="00D53984" w:rsidRDefault="00D53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18C8" w14:textId="77777777" w:rsidR="00D53984" w:rsidRDefault="00D53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2C27" w14:textId="77777777" w:rsidR="00D53984" w:rsidRDefault="00D5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1E536" w14:textId="77777777" w:rsidR="00474493" w:rsidRDefault="00474493" w:rsidP="007A5453">
      <w:r>
        <w:separator/>
      </w:r>
    </w:p>
  </w:footnote>
  <w:footnote w:type="continuationSeparator" w:id="0">
    <w:p w14:paraId="1FBC3D18" w14:textId="77777777" w:rsidR="00474493" w:rsidRDefault="00474493" w:rsidP="007A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391E" w14:textId="2C57C86B" w:rsidR="00D53984" w:rsidRDefault="00474493">
    <w:pPr>
      <w:pStyle w:val="Header"/>
    </w:pPr>
    <w:r>
      <w:rPr>
        <w:noProof/>
      </w:rPr>
      <w:pict w14:anchorId="78493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9" o:spid="_x0000_s1027" type="#_x0000_t136" alt="" style="position:absolute;margin-left:0;margin-top:0;width:504.8pt;height:9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4A6E" w14:textId="475ABBB7" w:rsidR="006266DA" w:rsidRDefault="00474493" w:rsidP="006266DA">
    <w:pPr>
      <w:pStyle w:val="Header"/>
      <w:jc w:val="right"/>
    </w:pPr>
    <w:r>
      <w:rPr>
        <w:noProof/>
      </w:rPr>
      <w:pict w14:anchorId="6ADE3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80" o:spid="_x0000_s1026" type="#_x0000_t136" alt="" style="position:absolute;left:0;text-align:left;margin-left:0;margin-top:0;width:504.8pt;height:9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sdt>
      <w:sdtPr>
        <w:id w:val="-1416161239"/>
        <w:docPartObj>
          <w:docPartGallery w:val="Page Numbers (Top of Page)"/>
          <w:docPartUnique/>
        </w:docPartObj>
      </w:sdtPr>
      <w:sdtContent>
        <w:r w:rsidR="006266DA">
          <w:fldChar w:fldCharType="begin"/>
        </w:r>
        <w:r w:rsidR="006266DA">
          <w:instrText>PAGE   \* MERGEFORMAT</w:instrText>
        </w:r>
        <w:r w:rsidR="006266DA">
          <w:fldChar w:fldCharType="separate"/>
        </w:r>
        <w:r w:rsidR="006266DA">
          <w:rPr>
            <w:lang w:val="en-GB"/>
          </w:rPr>
          <w:t>2</w:t>
        </w:r>
        <w:r w:rsidR="006266DA">
          <w:fldChar w:fldCharType="end"/>
        </w:r>
      </w:sdtContent>
    </w:sdt>
  </w:p>
  <w:p w14:paraId="19AFCC40" w14:textId="77777777" w:rsidR="006266DA" w:rsidRDefault="00626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8F02" w14:textId="0B176F48" w:rsidR="00D53984" w:rsidRDefault="00474493">
    <w:pPr>
      <w:pStyle w:val="Header"/>
    </w:pPr>
    <w:r>
      <w:rPr>
        <w:noProof/>
      </w:rPr>
      <w:pict w14:anchorId="361FB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8" o:spid="_x0000_s1025" type="#_x0000_t136" alt="" style="position:absolute;margin-left:0;margin-top:0;width:504.8pt;height:9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77C20"/>
    <w:multiLevelType w:val="hybridMultilevel"/>
    <w:tmpl w:val="E674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91807"/>
    <w:multiLevelType w:val="hybridMultilevel"/>
    <w:tmpl w:val="C35AD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C1D47"/>
    <w:multiLevelType w:val="hybridMultilevel"/>
    <w:tmpl w:val="7F126E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117108">
    <w:abstractNumId w:val="0"/>
  </w:num>
  <w:num w:numId="2" w16cid:durableId="2041009787">
    <w:abstractNumId w:val="2"/>
  </w:num>
  <w:num w:numId="3" w16cid:durableId="89053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A"/>
    <w:rsid w:val="00030A11"/>
    <w:rsid w:val="00044F4E"/>
    <w:rsid w:val="00046EB9"/>
    <w:rsid w:val="00054F06"/>
    <w:rsid w:val="00055DDF"/>
    <w:rsid w:val="00056E98"/>
    <w:rsid w:val="0008045D"/>
    <w:rsid w:val="00087634"/>
    <w:rsid w:val="000912D5"/>
    <w:rsid w:val="000944C9"/>
    <w:rsid w:val="000A0A20"/>
    <w:rsid w:val="000B50AA"/>
    <w:rsid w:val="000C2226"/>
    <w:rsid w:val="000C77AA"/>
    <w:rsid w:val="000D0F72"/>
    <w:rsid w:val="000D58D6"/>
    <w:rsid w:val="000D602E"/>
    <w:rsid w:val="000E0B14"/>
    <w:rsid w:val="000E4C6D"/>
    <w:rsid w:val="000E5655"/>
    <w:rsid w:val="000F2BC6"/>
    <w:rsid w:val="000F4BD0"/>
    <w:rsid w:val="00116A2D"/>
    <w:rsid w:val="001173F2"/>
    <w:rsid w:val="00121B70"/>
    <w:rsid w:val="001233B6"/>
    <w:rsid w:val="001311F1"/>
    <w:rsid w:val="00132E60"/>
    <w:rsid w:val="001359F9"/>
    <w:rsid w:val="00136AEB"/>
    <w:rsid w:val="00136E32"/>
    <w:rsid w:val="0013737C"/>
    <w:rsid w:val="00151E81"/>
    <w:rsid w:val="00170056"/>
    <w:rsid w:val="0018212A"/>
    <w:rsid w:val="001A3F32"/>
    <w:rsid w:val="001A6917"/>
    <w:rsid w:val="001B4F59"/>
    <w:rsid w:val="001E183E"/>
    <w:rsid w:val="001E3D6D"/>
    <w:rsid w:val="001F7275"/>
    <w:rsid w:val="001F78E3"/>
    <w:rsid w:val="00202318"/>
    <w:rsid w:val="00203745"/>
    <w:rsid w:val="0020427A"/>
    <w:rsid w:val="002650B9"/>
    <w:rsid w:val="002651CB"/>
    <w:rsid w:val="00265900"/>
    <w:rsid w:val="00287F8C"/>
    <w:rsid w:val="00294F65"/>
    <w:rsid w:val="00295EB6"/>
    <w:rsid w:val="002A0885"/>
    <w:rsid w:val="002C2B18"/>
    <w:rsid w:val="002C5FEF"/>
    <w:rsid w:val="002C77F5"/>
    <w:rsid w:val="002F1BD4"/>
    <w:rsid w:val="00305B8C"/>
    <w:rsid w:val="00307BD4"/>
    <w:rsid w:val="003278D8"/>
    <w:rsid w:val="0033536E"/>
    <w:rsid w:val="003446AE"/>
    <w:rsid w:val="003654CF"/>
    <w:rsid w:val="00366F19"/>
    <w:rsid w:val="00375D2C"/>
    <w:rsid w:val="0038258D"/>
    <w:rsid w:val="003A2CAE"/>
    <w:rsid w:val="003A4B25"/>
    <w:rsid w:val="003D0ED1"/>
    <w:rsid w:val="003D312C"/>
    <w:rsid w:val="003E11A5"/>
    <w:rsid w:val="003E4623"/>
    <w:rsid w:val="004078B5"/>
    <w:rsid w:val="00412A7A"/>
    <w:rsid w:val="004273E7"/>
    <w:rsid w:val="00431E60"/>
    <w:rsid w:val="00434566"/>
    <w:rsid w:val="004573EB"/>
    <w:rsid w:val="00463FF0"/>
    <w:rsid w:val="00474196"/>
    <w:rsid w:val="00474493"/>
    <w:rsid w:val="004757F7"/>
    <w:rsid w:val="00477D9A"/>
    <w:rsid w:val="004830AD"/>
    <w:rsid w:val="00484235"/>
    <w:rsid w:val="004A230F"/>
    <w:rsid w:val="004C1B30"/>
    <w:rsid w:val="004D0473"/>
    <w:rsid w:val="004E39C3"/>
    <w:rsid w:val="004E5347"/>
    <w:rsid w:val="004E7BCF"/>
    <w:rsid w:val="005072AD"/>
    <w:rsid w:val="00517267"/>
    <w:rsid w:val="0051741E"/>
    <w:rsid w:val="00523C57"/>
    <w:rsid w:val="00524038"/>
    <w:rsid w:val="00555799"/>
    <w:rsid w:val="005575CF"/>
    <w:rsid w:val="00565565"/>
    <w:rsid w:val="0057560C"/>
    <w:rsid w:val="00581456"/>
    <w:rsid w:val="005827FB"/>
    <w:rsid w:val="00591549"/>
    <w:rsid w:val="0059156D"/>
    <w:rsid w:val="005A15F9"/>
    <w:rsid w:val="005B2419"/>
    <w:rsid w:val="005B278E"/>
    <w:rsid w:val="005C753F"/>
    <w:rsid w:val="005C7792"/>
    <w:rsid w:val="005D32A0"/>
    <w:rsid w:val="005F6C99"/>
    <w:rsid w:val="006009FF"/>
    <w:rsid w:val="00602581"/>
    <w:rsid w:val="00603D2D"/>
    <w:rsid w:val="00606C47"/>
    <w:rsid w:val="00624F7A"/>
    <w:rsid w:val="006266DA"/>
    <w:rsid w:val="006377AB"/>
    <w:rsid w:val="00652CBE"/>
    <w:rsid w:val="0066075A"/>
    <w:rsid w:val="00661E1F"/>
    <w:rsid w:val="00662F48"/>
    <w:rsid w:val="00676A58"/>
    <w:rsid w:val="0068676D"/>
    <w:rsid w:val="0069248B"/>
    <w:rsid w:val="006B70F2"/>
    <w:rsid w:val="006D1C27"/>
    <w:rsid w:val="006D5546"/>
    <w:rsid w:val="006F2FC7"/>
    <w:rsid w:val="006F7052"/>
    <w:rsid w:val="006F7E7B"/>
    <w:rsid w:val="00701C84"/>
    <w:rsid w:val="00702FD5"/>
    <w:rsid w:val="00714168"/>
    <w:rsid w:val="007313DA"/>
    <w:rsid w:val="00732531"/>
    <w:rsid w:val="007337E1"/>
    <w:rsid w:val="00743480"/>
    <w:rsid w:val="00747B9C"/>
    <w:rsid w:val="00782654"/>
    <w:rsid w:val="00791959"/>
    <w:rsid w:val="00796322"/>
    <w:rsid w:val="007A4773"/>
    <w:rsid w:val="007A5453"/>
    <w:rsid w:val="007D2895"/>
    <w:rsid w:val="007E3013"/>
    <w:rsid w:val="007E32FC"/>
    <w:rsid w:val="007F4001"/>
    <w:rsid w:val="007F708E"/>
    <w:rsid w:val="00804CAA"/>
    <w:rsid w:val="00807FB2"/>
    <w:rsid w:val="0081501E"/>
    <w:rsid w:val="00824A9D"/>
    <w:rsid w:val="008314A3"/>
    <w:rsid w:val="00831615"/>
    <w:rsid w:val="00836B57"/>
    <w:rsid w:val="00836DEB"/>
    <w:rsid w:val="00843660"/>
    <w:rsid w:val="008562A8"/>
    <w:rsid w:val="00867C45"/>
    <w:rsid w:val="008A24CD"/>
    <w:rsid w:val="008D08D9"/>
    <w:rsid w:val="008E15B5"/>
    <w:rsid w:val="008E17A3"/>
    <w:rsid w:val="008F3B5A"/>
    <w:rsid w:val="00904039"/>
    <w:rsid w:val="009050FE"/>
    <w:rsid w:val="00931DD0"/>
    <w:rsid w:val="009400DA"/>
    <w:rsid w:val="0094329F"/>
    <w:rsid w:val="009501D5"/>
    <w:rsid w:val="00950A3A"/>
    <w:rsid w:val="00957FCF"/>
    <w:rsid w:val="00961403"/>
    <w:rsid w:val="0096432D"/>
    <w:rsid w:val="00984FE2"/>
    <w:rsid w:val="009A06DC"/>
    <w:rsid w:val="009A2CA4"/>
    <w:rsid w:val="009C1888"/>
    <w:rsid w:val="009C4E5C"/>
    <w:rsid w:val="009C6D2F"/>
    <w:rsid w:val="009D4CF2"/>
    <w:rsid w:val="009D59A6"/>
    <w:rsid w:val="009E2253"/>
    <w:rsid w:val="009F0B46"/>
    <w:rsid w:val="009F2937"/>
    <w:rsid w:val="00A00A67"/>
    <w:rsid w:val="00A0155A"/>
    <w:rsid w:val="00A07D1E"/>
    <w:rsid w:val="00A10561"/>
    <w:rsid w:val="00A10987"/>
    <w:rsid w:val="00A16B36"/>
    <w:rsid w:val="00A40777"/>
    <w:rsid w:val="00A7641C"/>
    <w:rsid w:val="00A840BD"/>
    <w:rsid w:val="00AE1951"/>
    <w:rsid w:val="00AF5625"/>
    <w:rsid w:val="00B065BC"/>
    <w:rsid w:val="00B1575D"/>
    <w:rsid w:val="00B157C4"/>
    <w:rsid w:val="00B201E0"/>
    <w:rsid w:val="00B23540"/>
    <w:rsid w:val="00B23848"/>
    <w:rsid w:val="00B2526C"/>
    <w:rsid w:val="00B2574E"/>
    <w:rsid w:val="00B30AE3"/>
    <w:rsid w:val="00B32D05"/>
    <w:rsid w:val="00B34039"/>
    <w:rsid w:val="00B50244"/>
    <w:rsid w:val="00B5101C"/>
    <w:rsid w:val="00B60710"/>
    <w:rsid w:val="00B652FA"/>
    <w:rsid w:val="00B661AD"/>
    <w:rsid w:val="00B74E02"/>
    <w:rsid w:val="00B875E1"/>
    <w:rsid w:val="00B910B8"/>
    <w:rsid w:val="00B9404B"/>
    <w:rsid w:val="00BB3E45"/>
    <w:rsid w:val="00BB4F00"/>
    <w:rsid w:val="00BE28D2"/>
    <w:rsid w:val="00BE3E61"/>
    <w:rsid w:val="00BE7126"/>
    <w:rsid w:val="00C15388"/>
    <w:rsid w:val="00C351DA"/>
    <w:rsid w:val="00C36E3E"/>
    <w:rsid w:val="00C371E1"/>
    <w:rsid w:val="00C550EC"/>
    <w:rsid w:val="00C5769F"/>
    <w:rsid w:val="00C6062B"/>
    <w:rsid w:val="00C65F6F"/>
    <w:rsid w:val="00C77DA1"/>
    <w:rsid w:val="00CA1482"/>
    <w:rsid w:val="00CA54AA"/>
    <w:rsid w:val="00CA6C71"/>
    <w:rsid w:val="00CB32A6"/>
    <w:rsid w:val="00CD1AC5"/>
    <w:rsid w:val="00CE13AB"/>
    <w:rsid w:val="00D14B1B"/>
    <w:rsid w:val="00D201F1"/>
    <w:rsid w:val="00D2085D"/>
    <w:rsid w:val="00D20FBB"/>
    <w:rsid w:val="00D249B9"/>
    <w:rsid w:val="00D468B8"/>
    <w:rsid w:val="00D53984"/>
    <w:rsid w:val="00D57713"/>
    <w:rsid w:val="00D6693A"/>
    <w:rsid w:val="00D7088C"/>
    <w:rsid w:val="00D76FA5"/>
    <w:rsid w:val="00D90315"/>
    <w:rsid w:val="00D908E7"/>
    <w:rsid w:val="00D941D4"/>
    <w:rsid w:val="00DC6E47"/>
    <w:rsid w:val="00DD7A8E"/>
    <w:rsid w:val="00DE0785"/>
    <w:rsid w:val="00DE1BB4"/>
    <w:rsid w:val="00DF396E"/>
    <w:rsid w:val="00DF6BCB"/>
    <w:rsid w:val="00E066DD"/>
    <w:rsid w:val="00E147E1"/>
    <w:rsid w:val="00E2488D"/>
    <w:rsid w:val="00E2645D"/>
    <w:rsid w:val="00E379AD"/>
    <w:rsid w:val="00E52864"/>
    <w:rsid w:val="00E57C45"/>
    <w:rsid w:val="00E62318"/>
    <w:rsid w:val="00E62364"/>
    <w:rsid w:val="00E647D0"/>
    <w:rsid w:val="00E724C5"/>
    <w:rsid w:val="00E7277E"/>
    <w:rsid w:val="00E909CB"/>
    <w:rsid w:val="00E976A0"/>
    <w:rsid w:val="00EA100E"/>
    <w:rsid w:val="00EA2529"/>
    <w:rsid w:val="00EA4A2A"/>
    <w:rsid w:val="00EC29AA"/>
    <w:rsid w:val="00EC70FE"/>
    <w:rsid w:val="00EC7658"/>
    <w:rsid w:val="00ED01F3"/>
    <w:rsid w:val="00ED1EA5"/>
    <w:rsid w:val="00ED41C7"/>
    <w:rsid w:val="00EE2E9F"/>
    <w:rsid w:val="00EF3E10"/>
    <w:rsid w:val="00F04730"/>
    <w:rsid w:val="00F1222F"/>
    <w:rsid w:val="00F21B14"/>
    <w:rsid w:val="00F57168"/>
    <w:rsid w:val="00F740D6"/>
    <w:rsid w:val="00F7799C"/>
    <w:rsid w:val="00F95282"/>
    <w:rsid w:val="00F973E6"/>
    <w:rsid w:val="00FC25A9"/>
    <w:rsid w:val="00FD1B71"/>
    <w:rsid w:val="00FE4092"/>
    <w:rsid w:val="00FF25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AE16"/>
  <w15:chartTrackingRefBased/>
  <w15:docId w15:val="{BD498AFD-3D40-764A-902A-07641FE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2FA"/>
    <w:rPr>
      <w:color w:val="0563C1" w:themeColor="hyperlink"/>
      <w:u w:val="single"/>
    </w:rPr>
  </w:style>
  <w:style w:type="character" w:styleId="UnresolvedMention">
    <w:name w:val="Unresolved Mention"/>
    <w:basedOn w:val="DefaultParagraphFont"/>
    <w:uiPriority w:val="99"/>
    <w:semiHidden/>
    <w:unhideWhenUsed/>
    <w:rsid w:val="00B652FA"/>
    <w:rPr>
      <w:color w:val="605E5C"/>
      <w:shd w:val="clear" w:color="auto" w:fill="E1DFDD"/>
    </w:rPr>
  </w:style>
  <w:style w:type="character" w:styleId="FollowedHyperlink">
    <w:name w:val="FollowedHyperlink"/>
    <w:basedOn w:val="DefaultParagraphFont"/>
    <w:uiPriority w:val="99"/>
    <w:semiHidden/>
    <w:unhideWhenUsed/>
    <w:rsid w:val="00B652FA"/>
    <w:rPr>
      <w:color w:val="954F72" w:themeColor="followedHyperlink"/>
      <w:u w:val="single"/>
    </w:rPr>
  </w:style>
  <w:style w:type="paragraph" w:styleId="ListParagraph">
    <w:name w:val="List Paragraph"/>
    <w:basedOn w:val="Normal"/>
    <w:uiPriority w:val="34"/>
    <w:qFormat/>
    <w:rsid w:val="00B652FA"/>
    <w:pPr>
      <w:ind w:left="720"/>
      <w:contextualSpacing/>
    </w:pPr>
  </w:style>
  <w:style w:type="character" w:styleId="Emphasis">
    <w:name w:val="Emphasis"/>
    <w:basedOn w:val="DefaultParagraphFont"/>
    <w:uiPriority w:val="20"/>
    <w:qFormat/>
    <w:rsid w:val="000A0A20"/>
    <w:rPr>
      <w:i/>
      <w:iCs/>
    </w:rPr>
  </w:style>
  <w:style w:type="table" w:styleId="TableGrid">
    <w:name w:val="Table Grid"/>
    <w:basedOn w:val="TableNormal"/>
    <w:uiPriority w:val="39"/>
    <w:rsid w:val="0086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226"/>
    <w:rPr>
      <w:color w:val="666666"/>
    </w:rPr>
  </w:style>
  <w:style w:type="paragraph" w:styleId="Header">
    <w:name w:val="header"/>
    <w:basedOn w:val="Normal"/>
    <w:link w:val="HeaderChar"/>
    <w:uiPriority w:val="99"/>
    <w:unhideWhenUsed/>
    <w:rsid w:val="007A5453"/>
    <w:pPr>
      <w:tabs>
        <w:tab w:val="center" w:pos="4513"/>
        <w:tab w:val="right" w:pos="9026"/>
      </w:tabs>
    </w:pPr>
  </w:style>
  <w:style w:type="character" w:customStyle="1" w:styleId="HeaderChar">
    <w:name w:val="Header Char"/>
    <w:basedOn w:val="DefaultParagraphFont"/>
    <w:link w:val="Header"/>
    <w:uiPriority w:val="99"/>
    <w:rsid w:val="007A5453"/>
  </w:style>
  <w:style w:type="paragraph" w:styleId="Footer">
    <w:name w:val="footer"/>
    <w:basedOn w:val="Normal"/>
    <w:link w:val="FooterChar"/>
    <w:uiPriority w:val="99"/>
    <w:unhideWhenUsed/>
    <w:rsid w:val="007A5453"/>
    <w:pPr>
      <w:tabs>
        <w:tab w:val="center" w:pos="4513"/>
        <w:tab w:val="right" w:pos="9026"/>
      </w:tabs>
    </w:pPr>
  </w:style>
  <w:style w:type="character" w:customStyle="1" w:styleId="FooterChar">
    <w:name w:val="Footer Char"/>
    <w:basedOn w:val="DefaultParagraphFont"/>
    <w:link w:val="Footer"/>
    <w:uiPriority w:val="99"/>
    <w:rsid w:val="007A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72094">
      <w:bodyDiv w:val="1"/>
      <w:marLeft w:val="0"/>
      <w:marRight w:val="0"/>
      <w:marTop w:val="0"/>
      <w:marBottom w:val="0"/>
      <w:divBdr>
        <w:top w:val="none" w:sz="0" w:space="0" w:color="auto"/>
        <w:left w:val="none" w:sz="0" w:space="0" w:color="auto"/>
        <w:bottom w:val="none" w:sz="0" w:space="0" w:color="auto"/>
        <w:right w:val="none" w:sz="0" w:space="0" w:color="auto"/>
      </w:divBdr>
      <w:divsChild>
        <w:div w:id="1209300854">
          <w:marLeft w:val="0"/>
          <w:marRight w:val="0"/>
          <w:marTop w:val="0"/>
          <w:marBottom w:val="0"/>
          <w:divBdr>
            <w:top w:val="none" w:sz="0" w:space="0" w:color="auto"/>
            <w:left w:val="none" w:sz="0" w:space="0" w:color="auto"/>
            <w:bottom w:val="none" w:sz="0" w:space="0" w:color="auto"/>
            <w:right w:val="none" w:sz="0" w:space="0" w:color="auto"/>
          </w:divBdr>
          <w:divsChild>
            <w:div w:id="1329288010">
              <w:marLeft w:val="0"/>
              <w:marRight w:val="0"/>
              <w:marTop w:val="0"/>
              <w:marBottom w:val="0"/>
              <w:divBdr>
                <w:top w:val="none" w:sz="0" w:space="0" w:color="auto"/>
                <w:left w:val="none" w:sz="0" w:space="0" w:color="auto"/>
                <w:bottom w:val="none" w:sz="0" w:space="0" w:color="auto"/>
                <w:right w:val="none" w:sz="0" w:space="0" w:color="auto"/>
              </w:divBdr>
              <w:divsChild>
                <w:div w:id="1005983938">
                  <w:marLeft w:val="0"/>
                  <w:marRight w:val="0"/>
                  <w:marTop w:val="0"/>
                  <w:marBottom w:val="0"/>
                  <w:divBdr>
                    <w:top w:val="none" w:sz="0" w:space="0" w:color="auto"/>
                    <w:left w:val="none" w:sz="0" w:space="0" w:color="auto"/>
                    <w:bottom w:val="none" w:sz="0" w:space="0" w:color="auto"/>
                    <w:right w:val="none" w:sz="0" w:space="0" w:color="auto"/>
                  </w:divBdr>
                  <w:divsChild>
                    <w:div w:id="1233275674">
                      <w:marLeft w:val="0"/>
                      <w:marRight w:val="0"/>
                      <w:marTop w:val="0"/>
                      <w:marBottom w:val="0"/>
                      <w:divBdr>
                        <w:top w:val="none" w:sz="0" w:space="0" w:color="auto"/>
                        <w:left w:val="none" w:sz="0" w:space="0" w:color="auto"/>
                        <w:bottom w:val="none" w:sz="0" w:space="0" w:color="auto"/>
                        <w:right w:val="none" w:sz="0" w:space="0" w:color="auto"/>
                      </w:divBdr>
                      <w:divsChild>
                        <w:div w:id="16578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1389">
      <w:bodyDiv w:val="1"/>
      <w:marLeft w:val="0"/>
      <w:marRight w:val="0"/>
      <w:marTop w:val="0"/>
      <w:marBottom w:val="0"/>
      <w:divBdr>
        <w:top w:val="none" w:sz="0" w:space="0" w:color="auto"/>
        <w:left w:val="none" w:sz="0" w:space="0" w:color="auto"/>
        <w:bottom w:val="none" w:sz="0" w:space="0" w:color="auto"/>
        <w:right w:val="none" w:sz="0" w:space="0" w:color="auto"/>
      </w:divBdr>
      <w:divsChild>
        <w:div w:id="459541095">
          <w:marLeft w:val="0"/>
          <w:marRight w:val="0"/>
          <w:marTop w:val="0"/>
          <w:marBottom w:val="0"/>
          <w:divBdr>
            <w:top w:val="none" w:sz="0" w:space="0" w:color="auto"/>
            <w:left w:val="none" w:sz="0" w:space="0" w:color="auto"/>
            <w:bottom w:val="none" w:sz="0" w:space="0" w:color="auto"/>
            <w:right w:val="none" w:sz="0" w:space="0" w:color="auto"/>
          </w:divBdr>
          <w:divsChild>
            <w:div w:id="800265517">
              <w:marLeft w:val="0"/>
              <w:marRight w:val="0"/>
              <w:marTop w:val="0"/>
              <w:marBottom w:val="0"/>
              <w:divBdr>
                <w:top w:val="none" w:sz="0" w:space="0" w:color="auto"/>
                <w:left w:val="none" w:sz="0" w:space="0" w:color="auto"/>
                <w:bottom w:val="none" w:sz="0" w:space="0" w:color="auto"/>
                <w:right w:val="none" w:sz="0" w:space="0" w:color="auto"/>
              </w:divBdr>
              <w:divsChild>
                <w:div w:id="245195037">
                  <w:marLeft w:val="0"/>
                  <w:marRight w:val="0"/>
                  <w:marTop w:val="0"/>
                  <w:marBottom w:val="0"/>
                  <w:divBdr>
                    <w:top w:val="none" w:sz="0" w:space="0" w:color="auto"/>
                    <w:left w:val="none" w:sz="0" w:space="0" w:color="auto"/>
                    <w:bottom w:val="none" w:sz="0" w:space="0" w:color="auto"/>
                    <w:right w:val="none" w:sz="0" w:space="0" w:color="auto"/>
                  </w:divBdr>
                  <w:divsChild>
                    <w:div w:id="1570462246">
                      <w:marLeft w:val="0"/>
                      <w:marRight w:val="0"/>
                      <w:marTop w:val="0"/>
                      <w:marBottom w:val="0"/>
                      <w:divBdr>
                        <w:top w:val="none" w:sz="0" w:space="0" w:color="auto"/>
                        <w:left w:val="none" w:sz="0" w:space="0" w:color="auto"/>
                        <w:bottom w:val="none" w:sz="0" w:space="0" w:color="auto"/>
                        <w:right w:val="none" w:sz="0" w:space="0" w:color="auto"/>
                      </w:divBdr>
                      <w:divsChild>
                        <w:div w:id="9027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7280">
      <w:bodyDiv w:val="1"/>
      <w:marLeft w:val="0"/>
      <w:marRight w:val="0"/>
      <w:marTop w:val="0"/>
      <w:marBottom w:val="0"/>
      <w:divBdr>
        <w:top w:val="none" w:sz="0" w:space="0" w:color="auto"/>
        <w:left w:val="none" w:sz="0" w:space="0" w:color="auto"/>
        <w:bottom w:val="none" w:sz="0" w:space="0" w:color="auto"/>
        <w:right w:val="none" w:sz="0" w:space="0" w:color="auto"/>
      </w:divBdr>
      <w:divsChild>
        <w:div w:id="1771316148">
          <w:marLeft w:val="0"/>
          <w:marRight w:val="0"/>
          <w:marTop w:val="0"/>
          <w:marBottom w:val="0"/>
          <w:divBdr>
            <w:top w:val="none" w:sz="0" w:space="0" w:color="auto"/>
            <w:left w:val="none" w:sz="0" w:space="0" w:color="auto"/>
            <w:bottom w:val="none" w:sz="0" w:space="0" w:color="auto"/>
            <w:right w:val="none" w:sz="0" w:space="0" w:color="auto"/>
          </w:divBdr>
          <w:divsChild>
            <w:div w:id="413824846">
              <w:marLeft w:val="0"/>
              <w:marRight w:val="0"/>
              <w:marTop w:val="0"/>
              <w:marBottom w:val="0"/>
              <w:divBdr>
                <w:top w:val="none" w:sz="0" w:space="0" w:color="auto"/>
                <w:left w:val="none" w:sz="0" w:space="0" w:color="auto"/>
                <w:bottom w:val="none" w:sz="0" w:space="0" w:color="auto"/>
                <w:right w:val="none" w:sz="0" w:space="0" w:color="auto"/>
              </w:divBdr>
              <w:divsChild>
                <w:div w:id="256599585">
                  <w:marLeft w:val="0"/>
                  <w:marRight w:val="0"/>
                  <w:marTop w:val="0"/>
                  <w:marBottom w:val="0"/>
                  <w:divBdr>
                    <w:top w:val="none" w:sz="0" w:space="0" w:color="auto"/>
                    <w:left w:val="none" w:sz="0" w:space="0" w:color="auto"/>
                    <w:bottom w:val="none" w:sz="0" w:space="0" w:color="auto"/>
                    <w:right w:val="none" w:sz="0" w:space="0" w:color="auto"/>
                  </w:divBdr>
                  <w:divsChild>
                    <w:div w:id="82337168">
                      <w:marLeft w:val="0"/>
                      <w:marRight w:val="0"/>
                      <w:marTop w:val="0"/>
                      <w:marBottom w:val="0"/>
                      <w:divBdr>
                        <w:top w:val="none" w:sz="0" w:space="0" w:color="auto"/>
                        <w:left w:val="none" w:sz="0" w:space="0" w:color="auto"/>
                        <w:bottom w:val="none" w:sz="0" w:space="0" w:color="auto"/>
                        <w:right w:val="none" w:sz="0" w:space="0" w:color="auto"/>
                      </w:divBdr>
                      <w:divsChild>
                        <w:div w:id="11305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295">
      <w:bodyDiv w:val="1"/>
      <w:marLeft w:val="0"/>
      <w:marRight w:val="0"/>
      <w:marTop w:val="0"/>
      <w:marBottom w:val="0"/>
      <w:divBdr>
        <w:top w:val="none" w:sz="0" w:space="0" w:color="auto"/>
        <w:left w:val="none" w:sz="0" w:space="0" w:color="auto"/>
        <w:bottom w:val="none" w:sz="0" w:space="0" w:color="auto"/>
        <w:right w:val="none" w:sz="0" w:space="0" w:color="auto"/>
      </w:divBdr>
      <w:divsChild>
        <w:div w:id="531460638">
          <w:marLeft w:val="0"/>
          <w:marRight w:val="0"/>
          <w:marTop w:val="15"/>
          <w:marBottom w:val="0"/>
          <w:divBdr>
            <w:top w:val="single" w:sz="48" w:space="0" w:color="auto"/>
            <w:left w:val="single" w:sz="48" w:space="0" w:color="auto"/>
            <w:bottom w:val="single" w:sz="48" w:space="0" w:color="auto"/>
            <w:right w:val="single" w:sz="48" w:space="0" w:color="auto"/>
          </w:divBdr>
          <w:divsChild>
            <w:div w:id="1349059718">
              <w:marLeft w:val="0"/>
              <w:marRight w:val="0"/>
              <w:marTop w:val="0"/>
              <w:marBottom w:val="0"/>
              <w:divBdr>
                <w:top w:val="none" w:sz="0" w:space="0" w:color="auto"/>
                <w:left w:val="none" w:sz="0" w:space="0" w:color="auto"/>
                <w:bottom w:val="none" w:sz="0" w:space="0" w:color="auto"/>
                <w:right w:val="none" w:sz="0" w:space="0" w:color="auto"/>
              </w:divBdr>
            </w:div>
          </w:divsChild>
        </w:div>
        <w:div w:id="509877092">
          <w:marLeft w:val="0"/>
          <w:marRight w:val="0"/>
          <w:marTop w:val="15"/>
          <w:marBottom w:val="0"/>
          <w:divBdr>
            <w:top w:val="single" w:sz="48" w:space="0" w:color="auto"/>
            <w:left w:val="single" w:sz="48" w:space="0" w:color="auto"/>
            <w:bottom w:val="single" w:sz="48" w:space="0" w:color="auto"/>
            <w:right w:val="single" w:sz="48" w:space="0" w:color="auto"/>
          </w:divBdr>
          <w:divsChild>
            <w:div w:id="102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www.ncbi.nlm.nih.gov/books/NBK554392/" TargetMode="External"/><Relationship Id="rId26" Type="http://schemas.openxmlformats.org/officeDocument/2006/relationships/hyperlink" Target="https://journaljpri.com/index.php/JPRI/article/view/1645" TargetMode="External"/><Relationship Id="rId3" Type="http://schemas.openxmlformats.org/officeDocument/2006/relationships/styles" Target="styles.xml"/><Relationship Id="rId21" Type="http://schemas.openxmlformats.org/officeDocument/2006/relationships/hyperlink" Target="https://platform.who.int/docs/default-source/mca-documents/policy-documents/guideline/TTO-CC-31-04-GUIDELINE-2018-eng-MOH-Hypertension-in-Pregnancy-Clinical-Guideline-2018.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njcmindia.com/index.php/file/article/view/1799" TargetMode="External"/><Relationship Id="rId25" Type="http://schemas.openxmlformats.org/officeDocument/2006/relationships/hyperlink" Target="https://journalajmah.com/index.php/AJMAH/article/view/9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item/08-03-2025-many-pregnancy-related-complications-going-undetected-and-untreated--who" TargetMode="External"/><Relationship Id="rId20" Type="http://schemas.openxmlformats.org/officeDocument/2006/relationships/hyperlink" Target="http://www.ncbi.nlm.nih.gov/books/NBK5706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uptodate.com/contents/preeclampsia-clinical-features-and-diagnosi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acog.org/-/media/project/acog/acogorg/womens-health/files/infographics/preeclampsia-and-pregnancy.pdf"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www.uptodate.com/contents/preeclampsia-clinical-features-and-diagnosi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apps.who.int/gb/archive/pdf_files/wha51/ea3.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Sheet1!$A$2:$A$5</c:f>
              <c:strCache>
                <c:ptCount val="4"/>
                <c:pt idx="0">
                  <c:v>16-20</c:v>
                </c:pt>
                <c:pt idx="1">
                  <c:v>20-25</c:v>
                </c:pt>
                <c:pt idx="2">
                  <c:v>25-30</c:v>
                </c:pt>
                <c:pt idx="3">
                  <c:v>30-35</c:v>
                </c:pt>
              </c:strCache>
            </c:strRef>
          </c:cat>
          <c:val>
            <c:numRef>
              <c:f>Sheet1!$B$2:$B$5</c:f>
              <c:numCache>
                <c:formatCode>General</c:formatCode>
                <c:ptCount val="4"/>
                <c:pt idx="0">
                  <c:v>38</c:v>
                </c:pt>
                <c:pt idx="1">
                  <c:v>18.100000000000001</c:v>
                </c:pt>
                <c:pt idx="2">
                  <c:v>20.8</c:v>
                </c:pt>
                <c:pt idx="3">
                  <c:v>23.1</c:v>
                </c:pt>
              </c:numCache>
            </c:numRef>
          </c:val>
          <c:extLst>
            <c:ext xmlns:c16="http://schemas.microsoft.com/office/drawing/2014/chart" uri="{C3380CC4-5D6E-409C-BE32-E72D297353CC}">
              <c16:uniqueId val="{00000000-BF15-F04E-BC12-CA6DB3B6595C}"/>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r>
                  <a:rPr lang="en-GB" baseline="0"/>
                  <a:t> Bracket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Sheet1!$A$2:$A$4</c:f>
              <c:strCache>
                <c:ptCount val="3"/>
                <c:pt idx="0">
                  <c:v>Low</c:v>
                </c:pt>
                <c:pt idx="1">
                  <c:v>Middle</c:v>
                </c:pt>
                <c:pt idx="2">
                  <c:v>High</c:v>
                </c:pt>
              </c:strCache>
            </c:strRef>
          </c:cat>
          <c:val>
            <c:numRef>
              <c:f>Sheet1!$B$2:$B$4</c:f>
              <c:numCache>
                <c:formatCode>General</c:formatCode>
                <c:ptCount val="3"/>
                <c:pt idx="0">
                  <c:v>62</c:v>
                </c:pt>
                <c:pt idx="1">
                  <c:v>28.7</c:v>
                </c:pt>
                <c:pt idx="2">
                  <c:v>9.3000000000000007</c:v>
                </c:pt>
              </c:numCache>
            </c:numRef>
          </c:val>
          <c:extLst>
            <c:ext xmlns:c16="http://schemas.microsoft.com/office/drawing/2014/chart" uri="{C3380CC4-5D6E-409C-BE32-E72D297353CC}">
              <c16:uniqueId val="{00000000-D997-6A41-A6D3-1E148D0A3299}"/>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Socioeconomic status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9E-F041-AC55-B835BFC82E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9E-F041-AC55-B835BFC82E4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Rural</c:v>
                </c:pt>
                <c:pt idx="1">
                  <c:v>Urban</c:v>
                </c:pt>
              </c:strCache>
            </c:strRef>
          </c:cat>
          <c:val>
            <c:numRef>
              <c:f>Sheet1!$B$2:$B$3</c:f>
              <c:numCache>
                <c:formatCode>General</c:formatCode>
                <c:ptCount val="2"/>
                <c:pt idx="0">
                  <c:v>58.3</c:v>
                </c:pt>
                <c:pt idx="1">
                  <c:v>41.7</c:v>
                </c:pt>
              </c:numCache>
            </c:numRef>
          </c:val>
          <c:extLst>
            <c:ext xmlns:c16="http://schemas.microsoft.com/office/drawing/2014/chart" uri="{C3380CC4-5D6E-409C-BE32-E72D297353CC}">
              <c16:uniqueId val="{00000000-98DC-4344-B062-D999AD4DE14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50-704D-9363-6D529539E1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50-704D-9363-6D529539E1F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Literate</c:v>
                </c:pt>
                <c:pt idx="1">
                  <c:v>Illiterate</c:v>
                </c:pt>
              </c:strCache>
            </c:strRef>
          </c:cat>
          <c:val>
            <c:numRef>
              <c:f>Sheet1!$B$2:$B$3</c:f>
              <c:numCache>
                <c:formatCode>General</c:formatCode>
                <c:ptCount val="2"/>
                <c:pt idx="0">
                  <c:v>44.4</c:v>
                </c:pt>
                <c:pt idx="1">
                  <c:v>55.6</c:v>
                </c:pt>
              </c:numCache>
            </c:numRef>
          </c:val>
          <c:extLst>
            <c:ext xmlns:c16="http://schemas.microsoft.com/office/drawing/2014/chart" uri="{C3380CC4-5D6E-409C-BE32-E72D297353CC}">
              <c16:uniqueId val="{00000004-A850-704D-9363-6D529539E1FB}"/>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Sheet1!$A$2:$A$4</c:f>
              <c:strCache>
                <c:ptCount val="3"/>
                <c:pt idx="0">
                  <c:v>Hindu</c:v>
                </c:pt>
                <c:pt idx="1">
                  <c:v>Muslim</c:v>
                </c:pt>
                <c:pt idx="2">
                  <c:v>Christian</c:v>
                </c:pt>
              </c:strCache>
            </c:strRef>
          </c:cat>
          <c:val>
            <c:numRef>
              <c:f>Sheet1!$B$2:$B$4</c:f>
              <c:numCache>
                <c:formatCode>General</c:formatCode>
                <c:ptCount val="3"/>
                <c:pt idx="0">
                  <c:v>32.4</c:v>
                </c:pt>
                <c:pt idx="1">
                  <c:v>40.700000000000003</c:v>
                </c:pt>
                <c:pt idx="2">
                  <c:v>26.9</c:v>
                </c:pt>
              </c:numCache>
            </c:numRef>
          </c:val>
          <c:extLst>
            <c:ext xmlns:c16="http://schemas.microsoft.com/office/drawing/2014/chart" uri="{C3380CC4-5D6E-409C-BE32-E72D297353CC}">
              <c16:uniqueId val="{00000000-0DC0-CF42-8F39-5F983847EDB5}"/>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Religion</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FA-EF4D-BDC4-91E4073756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FA-EF4D-BDC4-91E40737567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Housewife</c:v>
                </c:pt>
                <c:pt idx="1">
                  <c:v>Working</c:v>
                </c:pt>
              </c:strCache>
            </c:strRef>
          </c:cat>
          <c:val>
            <c:numRef>
              <c:f>Sheet1!$B$2:$B$3</c:f>
              <c:numCache>
                <c:formatCode>General</c:formatCode>
                <c:ptCount val="2"/>
                <c:pt idx="0">
                  <c:v>53.7</c:v>
                </c:pt>
                <c:pt idx="1">
                  <c:v>46.3</c:v>
                </c:pt>
              </c:numCache>
            </c:numRef>
          </c:val>
          <c:extLst>
            <c:ext xmlns:c16="http://schemas.microsoft.com/office/drawing/2014/chart" uri="{C3380CC4-5D6E-409C-BE32-E72D297353CC}">
              <c16:uniqueId val="{00000004-62FA-EF4D-BDC4-91E40737567C}"/>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Present</c:v>
                </c:pt>
              </c:strCache>
            </c:strRef>
          </c:tx>
          <c:spPr>
            <a:solidFill>
              <a:schemeClr val="accent1"/>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Sheet1!$B$2:$B$9</c:f>
              <c:numCache>
                <c:formatCode>General</c:formatCode>
                <c:ptCount val="8"/>
                <c:pt idx="1">
                  <c:v>26.9</c:v>
                </c:pt>
                <c:pt idx="2">
                  <c:v>20.399999999999999</c:v>
                </c:pt>
                <c:pt idx="3">
                  <c:v>60.6</c:v>
                </c:pt>
                <c:pt idx="4">
                  <c:v>4.5999999999999996</c:v>
                </c:pt>
                <c:pt idx="5">
                  <c:v>5.6</c:v>
                </c:pt>
                <c:pt idx="6">
                  <c:v>46.3</c:v>
                </c:pt>
                <c:pt idx="7">
                  <c:v>23.1</c:v>
                </c:pt>
              </c:numCache>
            </c:numRef>
          </c:val>
          <c:extLst>
            <c:ext xmlns:c16="http://schemas.microsoft.com/office/drawing/2014/chart" uri="{C3380CC4-5D6E-409C-BE32-E72D297353CC}">
              <c16:uniqueId val="{00000000-1496-454C-9E84-D82E61F5F3AD}"/>
            </c:ext>
          </c:extLst>
        </c:ser>
        <c:ser>
          <c:idx val="1"/>
          <c:order val="1"/>
          <c:tx>
            <c:strRef>
              <c:f>Sheet1!$C$1</c:f>
              <c:strCache>
                <c:ptCount val="1"/>
                <c:pt idx="0">
                  <c:v>Absent</c:v>
                </c:pt>
              </c:strCache>
            </c:strRef>
          </c:tx>
          <c:spPr>
            <a:solidFill>
              <a:schemeClr val="accent2"/>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Sheet1!$C$2:$C$9</c:f>
              <c:numCache>
                <c:formatCode>General</c:formatCode>
                <c:ptCount val="8"/>
                <c:pt idx="1">
                  <c:v>73.099999999999994</c:v>
                </c:pt>
                <c:pt idx="2">
                  <c:v>79.599999999999994</c:v>
                </c:pt>
                <c:pt idx="3">
                  <c:v>39.4</c:v>
                </c:pt>
                <c:pt idx="4">
                  <c:v>95.4</c:v>
                </c:pt>
                <c:pt idx="5">
                  <c:v>94.4</c:v>
                </c:pt>
                <c:pt idx="6">
                  <c:v>53.7</c:v>
                </c:pt>
                <c:pt idx="7">
                  <c:v>76.900000000000006</c:v>
                </c:pt>
              </c:numCache>
            </c:numRef>
          </c:val>
          <c:extLst>
            <c:ext xmlns:c16="http://schemas.microsoft.com/office/drawing/2014/chart" uri="{C3380CC4-5D6E-409C-BE32-E72D297353CC}">
              <c16:uniqueId val="{00000001-1496-454C-9E84-D82E61F5F3AD}"/>
            </c:ext>
          </c:extLst>
        </c:ser>
        <c:ser>
          <c:idx val="2"/>
          <c:order val="2"/>
          <c:tx>
            <c:strRef>
              <c:f>Sheet1!$D$1</c:f>
              <c:strCache>
                <c:ptCount val="1"/>
                <c:pt idx="0">
                  <c:v>Primagravida</c:v>
                </c:pt>
              </c:strCache>
            </c:strRef>
          </c:tx>
          <c:spPr>
            <a:solidFill>
              <a:schemeClr val="accent3"/>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Sheet1!$D$2:$D$9</c:f>
              <c:numCache>
                <c:formatCode>General</c:formatCode>
                <c:ptCount val="8"/>
                <c:pt idx="0">
                  <c:v>54.6</c:v>
                </c:pt>
              </c:numCache>
            </c:numRef>
          </c:val>
          <c:extLst>
            <c:ext xmlns:c16="http://schemas.microsoft.com/office/drawing/2014/chart" uri="{C3380CC4-5D6E-409C-BE32-E72D297353CC}">
              <c16:uniqueId val="{00000003-1496-454C-9E84-D82E61F5F3AD}"/>
            </c:ext>
          </c:extLst>
        </c:ser>
        <c:ser>
          <c:idx val="3"/>
          <c:order val="3"/>
          <c:tx>
            <c:strRef>
              <c:f>Sheet1!$E$1</c:f>
              <c:strCache>
                <c:ptCount val="1"/>
                <c:pt idx="0">
                  <c:v>Multigravida</c:v>
                </c:pt>
              </c:strCache>
            </c:strRef>
          </c:tx>
          <c:spPr>
            <a:solidFill>
              <a:schemeClr val="accent4"/>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Sheet1!$E$2:$E$9</c:f>
              <c:numCache>
                <c:formatCode>General</c:formatCode>
                <c:ptCount val="8"/>
                <c:pt idx="0">
                  <c:v>45.4</c:v>
                </c:pt>
              </c:numCache>
            </c:numRef>
          </c:val>
          <c:extLst>
            <c:ext xmlns:c16="http://schemas.microsoft.com/office/drawing/2014/chart" uri="{C3380CC4-5D6E-409C-BE32-E72D297353CC}">
              <c16:uniqueId val="{00000004-1496-454C-9E84-D82E61F5F3AD}"/>
            </c:ext>
          </c:extLst>
        </c:ser>
        <c:dLbls>
          <c:showLegendKey val="0"/>
          <c:showVal val="0"/>
          <c:showCatName val="0"/>
          <c:showSerName val="0"/>
          <c:showPercent val="0"/>
          <c:showBubbleSize val="0"/>
        </c:dLbls>
        <c:gapWidth val="150"/>
        <c:overlap val="100"/>
        <c:axId val="356945040"/>
        <c:axId val="356750640"/>
      </c:barChart>
      <c:catAx>
        <c:axId val="35694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50640"/>
        <c:crosses val="autoZero"/>
        <c:auto val="1"/>
        <c:lblAlgn val="ctr"/>
        <c:lblOffset val="100"/>
        <c:noMultiLvlLbl val="0"/>
      </c:catAx>
      <c:valAx>
        <c:axId val="35675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94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Sheet1!$A$2:$A$7</c:f>
              <c:strCache>
                <c:ptCount val="6"/>
                <c:pt idx="0">
                  <c:v>PRETERM</c:v>
                </c:pt>
                <c:pt idx="1">
                  <c:v>IUD</c:v>
                </c:pt>
                <c:pt idx="2">
                  <c:v>Still birth</c:v>
                </c:pt>
                <c:pt idx="3">
                  <c:v>Neonatal death</c:v>
                </c:pt>
                <c:pt idx="4">
                  <c:v>LBW</c:v>
                </c:pt>
                <c:pt idx="5">
                  <c:v>IUGR</c:v>
                </c:pt>
              </c:strCache>
            </c:strRef>
          </c:cat>
          <c:val>
            <c:numRef>
              <c:f>Sheet1!$B$2:$B$7</c:f>
              <c:numCache>
                <c:formatCode>0.00%</c:formatCode>
                <c:ptCount val="6"/>
                <c:pt idx="0">
                  <c:v>0.25900000000000001</c:v>
                </c:pt>
                <c:pt idx="1">
                  <c:v>3.6999999999999998E-2</c:v>
                </c:pt>
                <c:pt idx="2">
                  <c:v>1.4E-2</c:v>
                </c:pt>
                <c:pt idx="3">
                  <c:v>2.3E-2</c:v>
                </c:pt>
                <c:pt idx="4">
                  <c:v>0.20300000000000001</c:v>
                </c:pt>
                <c:pt idx="5">
                  <c:v>7.3999999999999996E-2</c:v>
                </c:pt>
              </c:numCache>
            </c:numRef>
          </c:val>
          <c:extLst>
            <c:ext xmlns:c16="http://schemas.microsoft.com/office/drawing/2014/chart" uri="{C3380CC4-5D6E-409C-BE32-E72D297353CC}">
              <c16:uniqueId val="{00000000-3965-CA4F-BA42-D9466AAF0F05}"/>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Perinatal outcomes</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minorUnit val="0.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F03E-DAE1-4A35-9304-C4681224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Ahmad</dc:creator>
  <cp:keywords/>
  <dc:description/>
  <cp:lastModifiedBy>Syed Ibrahim Ahmad</cp:lastModifiedBy>
  <cp:revision>8</cp:revision>
  <dcterms:created xsi:type="dcterms:W3CDTF">2025-05-21T08:38:00Z</dcterms:created>
  <dcterms:modified xsi:type="dcterms:W3CDTF">2025-05-21T08:54:00Z</dcterms:modified>
</cp:coreProperties>
</file>