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52B2A" w14:textId="74A42638" w:rsidR="00463B7C" w:rsidRPr="00463B7C" w:rsidRDefault="00463B7C" w:rsidP="00463B7C">
      <w:pPr>
        <w:spacing w:line="480" w:lineRule="auto"/>
        <w:jc w:val="left"/>
        <w:rPr>
          <w:rFonts w:eastAsia="Times New Roman" w:cs="Times New Roman"/>
          <w:b/>
          <w:sz w:val="22"/>
          <w:u w:val="single"/>
        </w:rPr>
      </w:pPr>
      <w:r w:rsidRPr="00463B7C">
        <w:rPr>
          <w:rFonts w:eastAsia="Times New Roman" w:cs="Times New Roman"/>
          <w:b/>
          <w:sz w:val="22"/>
          <w:u w:val="single"/>
        </w:rPr>
        <w:t>Original Research Article</w:t>
      </w:r>
    </w:p>
    <w:p w14:paraId="4395FBE0" w14:textId="4663AC15" w:rsidR="00DD02C7" w:rsidRPr="007F10A1" w:rsidRDefault="007F10A1" w:rsidP="007F10A1">
      <w:pPr>
        <w:spacing w:line="480" w:lineRule="auto"/>
        <w:jc w:val="center"/>
        <w:rPr>
          <w:rFonts w:eastAsia="Times New Roman" w:cs="Times New Roman"/>
          <w:b/>
          <w:bCs/>
          <w:sz w:val="20"/>
          <w:szCs w:val="20"/>
        </w:rPr>
      </w:pPr>
      <w:r w:rsidRPr="007F10A1">
        <w:rPr>
          <w:b/>
          <w:bCs/>
          <w:sz w:val="20"/>
          <w:szCs w:val="20"/>
        </w:rPr>
        <w:t>A Digital Process Model for Land Registration in Ghana: Addressing the Challenges of Dual Tenure Systems</w:t>
      </w:r>
    </w:p>
    <w:p w14:paraId="0CE558CF" w14:textId="286847C4" w:rsidR="004D2561" w:rsidRPr="00711219" w:rsidRDefault="004D2561" w:rsidP="006F1AF8">
      <w:pPr>
        <w:spacing w:line="480" w:lineRule="auto"/>
        <w:jc w:val="left"/>
        <w:rPr>
          <w:rFonts w:eastAsia="Times New Roman" w:cs="Times New Roman"/>
          <w:b/>
          <w:sz w:val="20"/>
          <w:szCs w:val="20"/>
        </w:rPr>
      </w:pPr>
      <w:r w:rsidRPr="00711219">
        <w:rPr>
          <w:rFonts w:eastAsia="Times New Roman" w:cs="Times New Roman"/>
          <w:b/>
          <w:sz w:val="20"/>
          <w:szCs w:val="20"/>
        </w:rPr>
        <w:t>Abstract</w:t>
      </w:r>
    </w:p>
    <w:p w14:paraId="46A3BC48" w14:textId="60CB552E" w:rsidR="00B853A3" w:rsidRPr="00711219" w:rsidRDefault="00B853A3" w:rsidP="006F1AF8">
      <w:pPr>
        <w:spacing w:line="480" w:lineRule="auto"/>
        <w:rPr>
          <w:rFonts w:eastAsia="Times New Roman" w:cs="Times New Roman"/>
          <w:bCs/>
          <w:sz w:val="20"/>
          <w:szCs w:val="20"/>
        </w:rPr>
      </w:pPr>
      <w:r w:rsidRPr="00711219">
        <w:rPr>
          <w:rFonts w:eastAsia="Times New Roman" w:cs="Times New Roman"/>
          <w:bCs/>
          <w:sz w:val="20"/>
          <w:szCs w:val="20"/>
        </w:rPr>
        <w:t>The paper explores the structural and procedural inefficiencies in the existing land registration system, pointing out bottlenecks such as overlapping institutional mandates, bureaucratic redundancies, understaffing, and lack of coordination between key agencies, such as the Lands Commission and Customary Land Secretariats. Through a mixed-methods design</w:t>
      </w:r>
      <w:r w:rsidR="006E55C0">
        <w:rPr>
          <w:rFonts w:eastAsia="Times New Roman" w:cs="Times New Roman"/>
          <w:bCs/>
          <w:sz w:val="20"/>
          <w:szCs w:val="20"/>
        </w:rPr>
        <w:t>, purposive sampling techniques and</w:t>
      </w:r>
      <w:r w:rsidRPr="00711219">
        <w:rPr>
          <w:rFonts w:eastAsia="Times New Roman" w:cs="Times New Roman"/>
          <w:bCs/>
          <w:sz w:val="20"/>
          <w:szCs w:val="20"/>
        </w:rPr>
        <w:t xml:space="preserve"> </w:t>
      </w:r>
      <w:r w:rsidR="004F7063">
        <w:rPr>
          <w:rFonts w:eastAsia="Times New Roman" w:cs="Times New Roman"/>
          <w:bCs/>
          <w:sz w:val="20"/>
          <w:szCs w:val="20"/>
        </w:rPr>
        <w:t xml:space="preserve">150 </w:t>
      </w:r>
      <w:r w:rsidRPr="00711219">
        <w:rPr>
          <w:rFonts w:eastAsia="Times New Roman" w:cs="Times New Roman"/>
          <w:bCs/>
          <w:sz w:val="20"/>
          <w:szCs w:val="20"/>
        </w:rPr>
        <w:t>stakeholder interviews and client questionnaires, the research assesses user experience and institutional processes that shape land registration outcomes</w:t>
      </w:r>
      <w:r w:rsidR="00D5558A">
        <w:rPr>
          <w:rFonts w:eastAsia="Times New Roman" w:cs="Times New Roman"/>
          <w:bCs/>
          <w:sz w:val="20"/>
          <w:szCs w:val="20"/>
        </w:rPr>
        <w:t xml:space="preserve">, </w:t>
      </w:r>
      <w:r w:rsidR="00D5558A" w:rsidRPr="00711219">
        <w:rPr>
          <w:rFonts w:eastAsia="Times New Roman" w:cs="Times New Roman"/>
          <w:bCs/>
          <w:sz w:val="20"/>
          <w:szCs w:val="20"/>
        </w:rPr>
        <w:t>especially in fast urbanizing cities like Sekondi-Takoradi</w:t>
      </w:r>
      <w:r w:rsidRPr="00711219">
        <w:rPr>
          <w:rFonts w:eastAsia="Times New Roman" w:cs="Times New Roman"/>
          <w:bCs/>
          <w:sz w:val="20"/>
          <w:szCs w:val="20"/>
        </w:rPr>
        <w:t xml:space="preserve">. </w:t>
      </w:r>
      <w:r w:rsidR="006E55C0">
        <w:rPr>
          <w:rFonts w:eastAsia="Times New Roman" w:cs="Times New Roman"/>
          <w:bCs/>
          <w:sz w:val="20"/>
          <w:szCs w:val="20"/>
        </w:rPr>
        <w:t xml:space="preserve">The questionnaires were analysed using MAXQDA and SPSS. </w:t>
      </w:r>
      <w:r w:rsidR="005C18D8" w:rsidRPr="00711219">
        <w:rPr>
          <w:rFonts w:eastAsia="Times New Roman" w:cs="Times New Roman"/>
          <w:bCs/>
          <w:sz w:val="20"/>
          <w:szCs w:val="20"/>
        </w:rPr>
        <w:t>A</w:t>
      </w:r>
      <w:r w:rsidRPr="00711219">
        <w:rPr>
          <w:rFonts w:eastAsia="Times New Roman" w:cs="Times New Roman"/>
          <w:bCs/>
          <w:sz w:val="20"/>
          <w:szCs w:val="20"/>
        </w:rPr>
        <w:t xml:space="preserve"> client-</w:t>
      </w:r>
      <w:proofErr w:type="spellStart"/>
      <w:r w:rsidRPr="00711219">
        <w:rPr>
          <w:rFonts w:eastAsia="Times New Roman" w:cs="Times New Roman"/>
          <w:bCs/>
          <w:sz w:val="20"/>
          <w:szCs w:val="20"/>
        </w:rPr>
        <w:t>centered</w:t>
      </w:r>
      <w:proofErr w:type="spellEnd"/>
      <w:r w:rsidRPr="00711219">
        <w:rPr>
          <w:rFonts w:eastAsia="Times New Roman" w:cs="Times New Roman"/>
          <w:bCs/>
          <w:sz w:val="20"/>
          <w:szCs w:val="20"/>
        </w:rPr>
        <w:t xml:space="preserve"> digital workflow model was developed and prototyped with Process Maker software and PostgreSQL, which improves </w:t>
      </w:r>
      <w:r w:rsidR="00EF604F">
        <w:rPr>
          <w:rFonts w:eastAsia="Times New Roman" w:cs="Times New Roman"/>
          <w:bCs/>
          <w:sz w:val="20"/>
          <w:szCs w:val="20"/>
        </w:rPr>
        <w:t>spatial data integration</w:t>
      </w:r>
      <w:r w:rsidRPr="00711219">
        <w:rPr>
          <w:rFonts w:eastAsia="Times New Roman" w:cs="Times New Roman"/>
          <w:bCs/>
          <w:sz w:val="20"/>
          <w:szCs w:val="20"/>
        </w:rPr>
        <w:t>, optimizes tasks, and minimizes procedural duplication. The model showed great promise for enhancing transparency, minimizing delays, and improving data integrity. The paper concluded by advocating for the replication at scale of this digital solution nationally, official legal recognition of customary land records, decentralization of services, and enhanced stakeholder communication</w:t>
      </w:r>
      <w:r w:rsidR="005C18D8" w:rsidRPr="00711219">
        <w:rPr>
          <w:rFonts w:eastAsia="Times New Roman" w:cs="Times New Roman"/>
          <w:bCs/>
          <w:sz w:val="20"/>
          <w:szCs w:val="20"/>
        </w:rPr>
        <w:t xml:space="preserve"> </w:t>
      </w:r>
      <w:r w:rsidRPr="00711219">
        <w:rPr>
          <w:rFonts w:eastAsia="Times New Roman" w:cs="Times New Roman"/>
          <w:bCs/>
          <w:sz w:val="20"/>
          <w:szCs w:val="20"/>
        </w:rPr>
        <w:t>for a more equitable and efficient system of land administration for Ghana.</w:t>
      </w:r>
    </w:p>
    <w:p w14:paraId="1C1EECE8" w14:textId="4296E2D8" w:rsidR="00B853A3" w:rsidRPr="00711219" w:rsidRDefault="00B853A3" w:rsidP="006F1AF8">
      <w:pPr>
        <w:spacing w:line="480" w:lineRule="auto"/>
        <w:rPr>
          <w:rFonts w:eastAsia="Times New Roman" w:cs="Times New Roman"/>
          <w:bCs/>
          <w:sz w:val="20"/>
          <w:szCs w:val="20"/>
        </w:rPr>
      </w:pPr>
      <w:r w:rsidRPr="00711219">
        <w:rPr>
          <w:rFonts w:eastAsia="Times New Roman" w:cs="Times New Roman"/>
          <w:b/>
          <w:sz w:val="20"/>
          <w:szCs w:val="20"/>
        </w:rPr>
        <w:t>KEYWORDS:</w:t>
      </w:r>
      <w:r w:rsidRPr="00711219">
        <w:rPr>
          <w:rFonts w:eastAsia="Times New Roman" w:cs="Times New Roman"/>
          <w:bCs/>
          <w:sz w:val="20"/>
          <w:szCs w:val="20"/>
        </w:rPr>
        <w:t xml:space="preserve"> Land Registration Process, Model, Land Tenure</w:t>
      </w:r>
      <w:r w:rsidR="00FD75E8">
        <w:rPr>
          <w:rFonts w:eastAsia="Times New Roman" w:cs="Times New Roman"/>
          <w:bCs/>
          <w:sz w:val="20"/>
          <w:szCs w:val="20"/>
        </w:rPr>
        <w:t xml:space="preserve"> System</w:t>
      </w:r>
      <w:r w:rsidRPr="00711219">
        <w:rPr>
          <w:rFonts w:eastAsia="Times New Roman" w:cs="Times New Roman"/>
          <w:bCs/>
          <w:sz w:val="20"/>
          <w:szCs w:val="20"/>
        </w:rPr>
        <w:t xml:space="preserve">, </w:t>
      </w:r>
      <w:r w:rsidR="001A0171" w:rsidRPr="001A0171">
        <w:rPr>
          <w:rFonts w:eastAsia="Times New Roman" w:cs="Times New Roman"/>
          <w:bCs/>
          <w:sz w:val="20"/>
          <w:szCs w:val="20"/>
        </w:rPr>
        <w:t>digital workflow model</w:t>
      </w:r>
    </w:p>
    <w:p w14:paraId="03DA7D95" w14:textId="77777777" w:rsidR="005C18D8" w:rsidRDefault="005C18D8" w:rsidP="006F1AF8">
      <w:pPr>
        <w:spacing w:line="480" w:lineRule="auto"/>
        <w:rPr>
          <w:rFonts w:eastAsia="Times New Roman" w:cs="Times New Roman"/>
          <w:bCs/>
          <w:sz w:val="20"/>
          <w:szCs w:val="20"/>
        </w:rPr>
      </w:pPr>
    </w:p>
    <w:p w14:paraId="4062F00D" w14:textId="77777777" w:rsidR="00711219" w:rsidRDefault="00711219" w:rsidP="006F1AF8">
      <w:pPr>
        <w:spacing w:line="480" w:lineRule="auto"/>
        <w:rPr>
          <w:rFonts w:eastAsia="Times New Roman" w:cs="Times New Roman"/>
          <w:bCs/>
          <w:sz w:val="20"/>
          <w:szCs w:val="20"/>
        </w:rPr>
      </w:pPr>
    </w:p>
    <w:p w14:paraId="4B7228EE" w14:textId="77777777" w:rsidR="00711219" w:rsidRDefault="00711219" w:rsidP="006F1AF8">
      <w:pPr>
        <w:spacing w:line="480" w:lineRule="auto"/>
        <w:rPr>
          <w:rFonts w:eastAsia="Times New Roman" w:cs="Times New Roman"/>
          <w:bCs/>
          <w:sz w:val="20"/>
          <w:szCs w:val="20"/>
        </w:rPr>
      </w:pPr>
    </w:p>
    <w:p w14:paraId="0E2B989C" w14:textId="77777777" w:rsidR="00711219" w:rsidRDefault="00711219" w:rsidP="006F1AF8">
      <w:pPr>
        <w:spacing w:line="480" w:lineRule="auto"/>
        <w:rPr>
          <w:rFonts w:eastAsia="Times New Roman" w:cs="Times New Roman"/>
          <w:bCs/>
          <w:sz w:val="20"/>
          <w:szCs w:val="20"/>
        </w:rPr>
      </w:pPr>
    </w:p>
    <w:p w14:paraId="6ED3C26D" w14:textId="77777777" w:rsidR="00DD02C7" w:rsidRDefault="00DD02C7" w:rsidP="006F1AF8">
      <w:pPr>
        <w:spacing w:line="480" w:lineRule="auto"/>
        <w:rPr>
          <w:rFonts w:eastAsia="Times New Roman" w:cs="Times New Roman"/>
          <w:bCs/>
          <w:sz w:val="20"/>
          <w:szCs w:val="20"/>
        </w:rPr>
      </w:pPr>
    </w:p>
    <w:p w14:paraId="65D25588" w14:textId="77777777" w:rsidR="00DD02C7" w:rsidRDefault="00DD02C7" w:rsidP="006F1AF8">
      <w:pPr>
        <w:spacing w:line="480" w:lineRule="auto"/>
        <w:rPr>
          <w:rFonts w:eastAsia="Times New Roman" w:cs="Times New Roman"/>
          <w:bCs/>
          <w:sz w:val="20"/>
          <w:szCs w:val="20"/>
        </w:rPr>
      </w:pPr>
    </w:p>
    <w:p w14:paraId="0CE9F661" w14:textId="77777777" w:rsidR="00DD02C7" w:rsidRDefault="00DD02C7" w:rsidP="006F1AF8">
      <w:pPr>
        <w:spacing w:line="480" w:lineRule="auto"/>
        <w:rPr>
          <w:rFonts w:eastAsia="Times New Roman" w:cs="Times New Roman"/>
          <w:bCs/>
          <w:sz w:val="20"/>
          <w:szCs w:val="20"/>
        </w:rPr>
      </w:pPr>
    </w:p>
    <w:p w14:paraId="188CF8F0" w14:textId="77777777" w:rsidR="00D74A30" w:rsidRDefault="00D74A30" w:rsidP="006F1AF8">
      <w:pPr>
        <w:spacing w:line="480" w:lineRule="auto"/>
        <w:rPr>
          <w:rFonts w:eastAsia="Times New Roman" w:cs="Times New Roman"/>
          <w:bCs/>
          <w:sz w:val="20"/>
          <w:szCs w:val="20"/>
        </w:rPr>
      </w:pPr>
    </w:p>
    <w:p w14:paraId="70E23E3D" w14:textId="77777777" w:rsidR="00711219" w:rsidRPr="00711219" w:rsidRDefault="00711219" w:rsidP="006F1AF8">
      <w:pPr>
        <w:spacing w:line="480" w:lineRule="auto"/>
        <w:rPr>
          <w:rFonts w:eastAsia="Times New Roman" w:cs="Times New Roman"/>
          <w:bCs/>
          <w:sz w:val="20"/>
          <w:szCs w:val="20"/>
        </w:rPr>
      </w:pPr>
    </w:p>
    <w:p w14:paraId="7F8F2F27" w14:textId="32B283FB" w:rsidR="005B37AB" w:rsidRPr="00711219" w:rsidRDefault="004F306F" w:rsidP="006F1AF8">
      <w:pPr>
        <w:pStyle w:val="ListParagraph"/>
        <w:numPr>
          <w:ilvl w:val="0"/>
          <w:numId w:val="3"/>
        </w:numPr>
        <w:spacing w:line="480" w:lineRule="auto"/>
        <w:rPr>
          <w:rFonts w:eastAsia="Times New Roman" w:cs="Times New Roman"/>
          <w:b/>
          <w:sz w:val="22"/>
        </w:rPr>
      </w:pPr>
      <w:r w:rsidRPr="00711219">
        <w:rPr>
          <w:rFonts w:eastAsia="Times New Roman" w:cs="Times New Roman"/>
          <w:b/>
          <w:sz w:val="22"/>
        </w:rPr>
        <w:lastRenderedPageBreak/>
        <w:t>INTRODUCTION</w:t>
      </w:r>
    </w:p>
    <w:p w14:paraId="1FD5DA3A" w14:textId="77777777" w:rsidR="001F1B56" w:rsidRPr="00711219" w:rsidRDefault="005B37AB" w:rsidP="006F1AF8">
      <w:pPr>
        <w:spacing w:line="480" w:lineRule="auto"/>
        <w:rPr>
          <w:rFonts w:eastAsia="Times New Roman" w:cs="Times New Roman"/>
          <w:bCs/>
          <w:sz w:val="20"/>
          <w:szCs w:val="20"/>
        </w:rPr>
      </w:pPr>
      <w:r w:rsidRPr="00711219">
        <w:rPr>
          <w:rFonts w:eastAsia="Times New Roman" w:cs="Times New Roman"/>
          <w:bCs/>
          <w:sz w:val="20"/>
          <w:szCs w:val="20"/>
        </w:rPr>
        <w:t xml:space="preserve">Land registration is key to land governance, delivering legal assurance of rights, enabling markets, and supporting development. Land tenure security is crucial for economic development, poverty alleviation, and environmental sustainability worldwide. The United Nations Sustainable Development Goals (SDGs), specifically Goal 1 (No Poverty) and Goal 11 (Sustainable Cities), highlight the role of land rights in contributing to development (United Nations, 2015). </w:t>
      </w:r>
      <w:r w:rsidR="001F1B56" w:rsidRPr="00711219">
        <w:rPr>
          <w:rFonts w:eastAsia="Times New Roman" w:cs="Times New Roman"/>
          <w:bCs/>
          <w:sz w:val="20"/>
          <w:szCs w:val="20"/>
        </w:rPr>
        <w:t>However, land registration in many developing countries remains a persistent challenge due to the intricacies of overlapping tenure systems, the prevalence of inaccurate or incomplete land records, and the limited capacity of institutional frameworks to manage these complexities effectively (Deininger et al., 2012)</w:t>
      </w:r>
    </w:p>
    <w:p w14:paraId="69C39BD1" w14:textId="2DF08B8F" w:rsidR="005B37AB" w:rsidRPr="00711219" w:rsidRDefault="005B37AB" w:rsidP="006F1AF8">
      <w:pPr>
        <w:spacing w:line="480" w:lineRule="auto"/>
        <w:rPr>
          <w:rFonts w:eastAsia="Times New Roman" w:cs="Times New Roman"/>
          <w:bCs/>
          <w:sz w:val="20"/>
          <w:szCs w:val="20"/>
        </w:rPr>
      </w:pPr>
      <w:r w:rsidRPr="00711219">
        <w:rPr>
          <w:rFonts w:eastAsia="Times New Roman" w:cs="Times New Roman"/>
          <w:bCs/>
          <w:sz w:val="20"/>
          <w:szCs w:val="20"/>
        </w:rPr>
        <w:t>In Sub-Saharan Africa, land tenure systems are a mix of customary and statutory laws, which makes administration more complex. Customary systems are usually undocumented, based on tradition, and hence make registration complicated (</w:t>
      </w:r>
      <w:proofErr w:type="spellStart"/>
      <w:r w:rsidRPr="00711219">
        <w:rPr>
          <w:rFonts w:eastAsia="Times New Roman" w:cs="Times New Roman"/>
          <w:bCs/>
          <w:sz w:val="20"/>
          <w:szCs w:val="20"/>
        </w:rPr>
        <w:t>Cotula</w:t>
      </w:r>
      <w:proofErr w:type="spellEnd"/>
      <w:r w:rsidRPr="00711219">
        <w:rPr>
          <w:rFonts w:eastAsia="Times New Roman" w:cs="Times New Roman"/>
          <w:bCs/>
          <w:sz w:val="20"/>
          <w:szCs w:val="20"/>
        </w:rPr>
        <w:t xml:space="preserve"> et al., 200</w:t>
      </w:r>
      <w:r w:rsidR="006536A7">
        <w:rPr>
          <w:rFonts w:eastAsia="Times New Roman" w:cs="Times New Roman"/>
          <w:bCs/>
          <w:sz w:val="20"/>
          <w:szCs w:val="20"/>
        </w:rPr>
        <w:t>4</w:t>
      </w:r>
      <w:r w:rsidRPr="00711219">
        <w:rPr>
          <w:rFonts w:eastAsia="Times New Roman" w:cs="Times New Roman"/>
          <w:bCs/>
          <w:sz w:val="20"/>
          <w:szCs w:val="20"/>
        </w:rPr>
        <w:t xml:space="preserve">). This </w:t>
      </w:r>
      <w:r w:rsidR="00D406DE" w:rsidRPr="00711219">
        <w:rPr>
          <w:rFonts w:eastAsia="Times New Roman" w:cs="Times New Roman"/>
          <w:bCs/>
          <w:sz w:val="20"/>
          <w:szCs w:val="20"/>
        </w:rPr>
        <w:t>dualism</w:t>
      </w:r>
      <w:r w:rsidRPr="00711219">
        <w:rPr>
          <w:rFonts w:eastAsia="Times New Roman" w:cs="Times New Roman"/>
          <w:bCs/>
          <w:sz w:val="20"/>
          <w:szCs w:val="20"/>
        </w:rPr>
        <w:t xml:space="preserve"> creates insecurity, conflicts, and transaction problems. Land rights registration initiatives </w:t>
      </w:r>
      <w:r w:rsidR="00D406DE" w:rsidRPr="00711219">
        <w:rPr>
          <w:rFonts w:eastAsia="Times New Roman" w:cs="Times New Roman"/>
          <w:bCs/>
          <w:sz w:val="20"/>
          <w:szCs w:val="20"/>
        </w:rPr>
        <w:t>manifest</w:t>
      </w:r>
      <w:r w:rsidRPr="00711219">
        <w:rPr>
          <w:rFonts w:eastAsia="Times New Roman" w:cs="Times New Roman"/>
          <w:bCs/>
          <w:sz w:val="20"/>
          <w:szCs w:val="20"/>
        </w:rPr>
        <w:t xml:space="preserve"> </w:t>
      </w:r>
      <w:r w:rsidR="00D406DE" w:rsidRPr="00711219">
        <w:rPr>
          <w:rFonts w:eastAsia="Times New Roman" w:cs="Times New Roman"/>
          <w:bCs/>
          <w:sz w:val="20"/>
          <w:szCs w:val="20"/>
        </w:rPr>
        <w:t xml:space="preserve">in </w:t>
      </w:r>
      <w:r w:rsidRPr="00711219">
        <w:rPr>
          <w:rFonts w:eastAsia="Times New Roman" w:cs="Times New Roman"/>
          <w:bCs/>
          <w:sz w:val="20"/>
          <w:szCs w:val="20"/>
        </w:rPr>
        <w:t xml:space="preserve">variable </w:t>
      </w:r>
      <w:r w:rsidR="00D406DE" w:rsidRPr="00711219">
        <w:rPr>
          <w:rFonts w:eastAsia="Times New Roman" w:cs="Times New Roman"/>
          <w:bCs/>
          <w:sz w:val="20"/>
          <w:szCs w:val="20"/>
        </w:rPr>
        <w:t xml:space="preserve">levels of </w:t>
      </w:r>
      <w:r w:rsidRPr="00711219">
        <w:rPr>
          <w:rFonts w:eastAsia="Times New Roman" w:cs="Times New Roman"/>
          <w:bCs/>
          <w:sz w:val="20"/>
          <w:szCs w:val="20"/>
        </w:rPr>
        <w:t>success because of institutional frailty, excessive expense, and lack of community involvement (Alden Wily, 2011).</w:t>
      </w:r>
    </w:p>
    <w:p w14:paraId="103D9DAF" w14:textId="03DA0436" w:rsidR="005B37AB" w:rsidRPr="00711219" w:rsidRDefault="005B37AB" w:rsidP="006F1AF8">
      <w:pPr>
        <w:spacing w:line="480" w:lineRule="auto"/>
        <w:rPr>
          <w:rFonts w:eastAsia="Times New Roman" w:cs="Times New Roman"/>
          <w:bCs/>
          <w:sz w:val="20"/>
          <w:szCs w:val="20"/>
        </w:rPr>
      </w:pPr>
      <w:r w:rsidRPr="00711219">
        <w:rPr>
          <w:rFonts w:eastAsia="Times New Roman" w:cs="Times New Roman"/>
          <w:bCs/>
          <w:sz w:val="20"/>
          <w:szCs w:val="20"/>
        </w:rPr>
        <w:t xml:space="preserve">Ghana's tenure system exemplifies the complexity that characterizes Sub-Saharan Africa. It has a mixture of statutory and customary systems. It is estimated that about 80% of the land is held under customary tenure by traditional leaders like chiefs, and 20% is state land (Kasanga &amp; Kotey, 2001). The presence of these systems has caused overlaid claims and land conflicts. Land reform initiatives, like the Land Administration Project (LAP), have been launched by the Ghana government to enhance land registration. However, </w:t>
      </w:r>
      <w:r w:rsidR="00D76605" w:rsidRPr="00711219">
        <w:rPr>
          <w:rFonts w:eastAsia="Times New Roman" w:cs="Times New Roman"/>
          <w:bCs/>
          <w:sz w:val="20"/>
          <w:szCs w:val="20"/>
        </w:rPr>
        <w:t>problems remain</w:t>
      </w:r>
      <w:r w:rsidRPr="00711219">
        <w:rPr>
          <w:rFonts w:eastAsia="Times New Roman" w:cs="Times New Roman"/>
          <w:bCs/>
          <w:sz w:val="20"/>
          <w:szCs w:val="20"/>
        </w:rPr>
        <w:t>, especially in integrating customary land rights into the formal system and ensuring transparency in transactions (Larbi, 200</w:t>
      </w:r>
      <w:r w:rsidR="006536A7">
        <w:rPr>
          <w:rFonts w:eastAsia="Times New Roman" w:cs="Times New Roman"/>
          <w:bCs/>
          <w:sz w:val="20"/>
          <w:szCs w:val="20"/>
        </w:rPr>
        <w:t>6</w:t>
      </w:r>
      <w:r w:rsidRPr="00711219">
        <w:rPr>
          <w:rFonts w:eastAsia="Times New Roman" w:cs="Times New Roman"/>
          <w:bCs/>
          <w:sz w:val="20"/>
          <w:szCs w:val="20"/>
        </w:rPr>
        <w:t>).</w:t>
      </w:r>
    </w:p>
    <w:p w14:paraId="19C197A3" w14:textId="7ADDCEC3" w:rsidR="005B37AB" w:rsidRDefault="005B37AB" w:rsidP="006F1AF8">
      <w:pPr>
        <w:spacing w:line="480" w:lineRule="auto"/>
        <w:rPr>
          <w:rFonts w:eastAsia="Times New Roman" w:cs="Times New Roman"/>
          <w:bCs/>
          <w:sz w:val="20"/>
          <w:szCs w:val="20"/>
        </w:rPr>
      </w:pPr>
      <w:r w:rsidRPr="00711219">
        <w:rPr>
          <w:rFonts w:eastAsia="Times New Roman" w:cs="Times New Roman"/>
          <w:bCs/>
          <w:sz w:val="20"/>
          <w:szCs w:val="20"/>
        </w:rPr>
        <w:t>Sekondi-Takoradi, the capital of the Western Region of Ghana, has developed economically and urbanized rapidly following the discovery of oil. This has intensified land use pressures, demand for land, and land conflicts. Land tenure arrangements demonstrate national duality, comprising statutory rules and customary practices. Urbanization has preceded land administration systems, leading to informal settlements and tenure insecurity (</w:t>
      </w:r>
      <w:r w:rsidRPr="000B2D9B">
        <w:rPr>
          <w:rFonts w:eastAsia="Times New Roman" w:cs="Times New Roman"/>
          <w:bCs/>
          <w:sz w:val="20"/>
          <w:szCs w:val="20"/>
        </w:rPr>
        <w:t>Owusu-Ansah</w:t>
      </w:r>
      <w:r w:rsidRPr="00711219">
        <w:rPr>
          <w:rFonts w:eastAsia="Times New Roman" w:cs="Times New Roman"/>
          <w:bCs/>
          <w:sz w:val="20"/>
          <w:szCs w:val="20"/>
        </w:rPr>
        <w:t xml:space="preserve"> &amp; O'Connor, 2010). An effective land registration model to address Sekondi-Takoradi's tenure issues is very significant for sustainable development and conflict resolution. </w:t>
      </w:r>
      <w:r w:rsidR="003B73B3" w:rsidRPr="00711219">
        <w:rPr>
          <w:rFonts w:eastAsia="Times New Roman" w:cs="Times New Roman"/>
          <w:bCs/>
          <w:sz w:val="20"/>
          <w:szCs w:val="20"/>
        </w:rPr>
        <w:t>T</w:t>
      </w:r>
      <w:r w:rsidRPr="00711219">
        <w:rPr>
          <w:rFonts w:eastAsia="Times New Roman" w:cs="Times New Roman"/>
          <w:bCs/>
          <w:sz w:val="20"/>
          <w:szCs w:val="20"/>
        </w:rPr>
        <w:t xml:space="preserve">his paper </w:t>
      </w:r>
      <w:r w:rsidR="003B73B3" w:rsidRPr="00711219">
        <w:rPr>
          <w:rFonts w:eastAsia="Times New Roman" w:cs="Times New Roman"/>
          <w:bCs/>
          <w:sz w:val="20"/>
          <w:szCs w:val="20"/>
        </w:rPr>
        <w:t xml:space="preserve">seeks </w:t>
      </w:r>
      <w:r w:rsidRPr="00711219">
        <w:rPr>
          <w:rFonts w:eastAsia="Times New Roman" w:cs="Times New Roman"/>
          <w:bCs/>
          <w:sz w:val="20"/>
          <w:szCs w:val="20"/>
        </w:rPr>
        <w:t>to formulate a land registration model that addresses Ghana's complex land tenure systems, making specific reference to the Sekondi-Takoradi area.</w:t>
      </w:r>
    </w:p>
    <w:p w14:paraId="43EF8652" w14:textId="77777777" w:rsidR="00711219" w:rsidRDefault="00711219" w:rsidP="006F1AF8">
      <w:pPr>
        <w:spacing w:line="480" w:lineRule="auto"/>
        <w:rPr>
          <w:rFonts w:eastAsia="Times New Roman" w:cs="Times New Roman"/>
          <w:bCs/>
          <w:sz w:val="20"/>
          <w:szCs w:val="20"/>
        </w:rPr>
      </w:pPr>
    </w:p>
    <w:p w14:paraId="56A4B194" w14:textId="77777777" w:rsidR="00711219" w:rsidRPr="00711219" w:rsidRDefault="00711219" w:rsidP="006F1AF8">
      <w:pPr>
        <w:spacing w:line="480" w:lineRule="auto"/>
        <w:rPr>
          <w:rFonts w:eastAsia="Times New Roman" w:cs="Times New Roman"/>
          <w:bCs/>
          <w:sz w:val="20"/>
          <w:szCs w:val="20"/>
        </w:rPr>
      </w:pPr>
    </w:p>
    <w:p w14:paraId="33258628" w14:textId="6E72ADD4" w:rsidR="007A663B" w:rsidRPr="00711219" w:rsidRDefault="004F306F" w:rsidP="006F1AF8">
      <w:pPr>
        <w:pStyle w:val="ListParagraph"/>
        <w:numPr>
          <w:ilvl w:val="0"/>
          <w:numId w:val="3"/>
        </w:numPr>
        <w:spacing w:line="480" w:lineRule="auto"/>
        <w:rPr>
          <w:rFonts w:eastAsia="Times New Roman" w:cs="Times New Roman"/>
          <w:b/>
          <w:sz w:val="22"/>
        </w:rPr>
      </w:pPr>
      <w:r w:rsidRPr="00711219">
        <w:rPr>
          <w:rFonts w:eastAsia="Times New Roman" w:cs="Times New Roman"/>
          <w:b/>
          <w:sz w:val="22"/>
        </w:rPr>
        <w:t>LITERATURE REVIEW</w:t>
      </w:r>
    </w:p>
    <w:p w14:paraId="41987C08" w14:textId="77777777" w:rsidR="007A663B" w:rsidRPr="00711219" w:rsidRDefault="007A663B" w:rsidP="006F1AF8">
      <w:pPr>
        <w:spacing w:line="480" w:lineRule="auto"/>
        <w:rPr>
          <w:rFonts w:eastAsia="Times New Roman" w:cs="Times New Roman"/>
          <w:b/>
          <w:bCs/>
          <w:sz w:val="20"/>
          <w:szCs w:val="20"/>
          <w:lang w:val="en-US"/>
        </w:rPr>
      </w:pPr>
      <w:r w:rsidRPr="00711219">
        <w:rPr>
          <w:rFonts w:eastAsia="Times New Roman" w:cs="Times New Roman"/>
          <w:b/>
          <w:bCs/>
          <w:sz w:val="20"/>
          <w:szCs w:val="20"/>
          <w:lang w:val="en-US"/>
        </w:rPr>
        <w:t>2.1 Land Tenure Systems</w:t>
      </w:r>
    </w:p>
    <w:p w14:paraId="11DB0E09" w14:textId="77777777" w:rsidR="007A663B" w:rsidRPr="00711219" w:rsidRDefault="007A663B" w:rsidP="006F1AF8">
      <w:pPr>
        <w:spacing w:line="480" w:lineRule="auto"/>
        <w:rPr>
          <w:rFonts w:eastAsia="Times New Roman" w:cs="Times New Roman"/>
          <w:bCs/>
          <w:sz w:val="20"/>
          <w:szCs w:val="20"/>
          <w:lang w:val="en-US"/>
        </w:rPr>
      </w:pPr>
      <w:r w:rsidRPr="00711219">
        <w:rPr>
          <w:rFonts w:eastAsia="Times New Roman" w:cs="Times New Roman"/>
          <w:bCs/>
          <w:sz w:val="20"/>
          <w:szCs w:val="20"/>
          <w:lang w:val="en-US"/>
        </w:rPr>
        <w:t>Ghana's land tenure landscape is intricately complex, characterized by a diverse array of customary, statutory, and hybrid arrangements. These systems profoundly influence land management, ownership rights, and investment behaviors among various land users and stakeholders.</w:t>
      </w:r>
    </w:p>
    <w:p w14:paraId="76335B69" w14:textId="7530D0DE" w:rsidR="003D7562" w:rsidRPr="00711219" w:rsidRDefault="007A663B" w:rsidP="003D7562">
      <w:pPr>
        <w:pStyle w:val="ListParagraph"/>
        <w:numPr>
          <w:ilvl w:val="2"/>
          <w:numId w:val="3"/>
        </w:numPr>
        <w:spacing w:line="480" w:lineRule="auto"/>
        <w:rPr>
          <w:rFonts w:eastAsia="Times New Roman" w:cs="Times New Roman"/>
          <w:b/>
          <w:bCs/>
          <w:i/>
          <w:iCs/>
          <w:sz w:val="20"/>
          <w:szCs w:val="20"/>
          <w:lang w:val="en-US"/>
        </w:rPr>
      </w:pPr>
      <w:r w:rsidRPr="00711219">
        <w:rPr>
          <w:rFonts w:eastAsia="Times New Roman" w:cs="Times New Roman"/>
          <w:b/>
          <w:bCs/>
          <w:sz w:val="20"/>
          <w:szCs w:val="20"/>
          <w:lang w:val="en-US"/>
        </w:rPr>
        <w:t xml:space="preserve">Customary </w:t>
      </w:r>
      <w:r w:rsidR="003D7562" w:rsidRPr="00711219">
        <w:rPr>
          <w:rFonts w:eastAsia="Times New Roman" w:cs="Times New Roman"/>
          <w:b/>
          <w:bCs/>
          <w:sz w:val="20"/>
          <w:szCs w:val="20"/>
          <w:lang w:val="en-US"/>
        </w:rPr>
        <w:t>l</w:t>
      </w:r>
      <w:r w:rsidRPr="00711219">
        <w:rPr>
          <w:rFonts w:eastAsia="Times New Roman" w:cs="Times New Roman"/>
          <w:b/>
          <w:bCs/>
          <w:sz w:val="20"/>
          <w:szCs w:val="20"/>
          <w:lang w:val="en-US"/>
        </w:rPr>
        <w:t xml:space="preserve">and </w:t>
      </w:r>
      <w:r w:rsidR="003D7562" w:rsidRPr="00711219">
        <w:rPr>
          <w:rFonts w:eastAsia="Times New Roman" w:cs="Times New Roman"/>
          <w:b/>
          <w:bCs/>
          <w:sz w:val="20"/>
          <w:szCs w:val="20"/>
          <w:lang w:val="en-US"/>
        </w:rPr>
        <w:t>t</w:t>
      </w:r>
      <w:r w:rsidRPr="00711219">
        <w:rPr>
          <w:rFonts w:eastAsia="Times New Roman" w:cs="Times New Roman"/>
          <w:b/>
          <w:bCs/>
          <w:sz w:val="20"/>
          <w:szCs w:val="20"/>
          <w:lang w:val="en-US"/>
        </w:rPr>
        <w:t>enure</w:t>
      </w:r>
      <w:r w:rsidRPr="00711219">
        <w:rPr>
          <w:rFonts w:eastAsia="Times New Roman" w:cs="Times New Roman"/>
          <w:b/>
          <w:bCs/>
          <w:i/>
          <w:iCs/>
          <w:sz w:val="20"/>
          <w:szCs w:val="20"/>
          <w:lang w:val="en-US"/>
        </w:rPr>
        <w:t xml:space="preserve"> </w:t>
      </w:r>
    </w:p>
    <w:p w14:paraId="6BCF2039" w14:textId="6C9DCE3B" w:rsidR="00651BF5" w:rsidRPr="00711219" w:rsidRDefault="006F1AF8" w:rsidP="003D7562">
      <w:pPr>
        <w:spacing w:line="480" w:lineRule="auto"/>
        <w:rPr>
          <w:rFonts w:eastAsia="Times New Roman" w:cs="Times New Roman"/>
          <w:bCs/>
          <w:sz w:val="20"/>
          <w:szCs w:val="20"/>
          <w:lang w:val="en-US"/>
        </w:rPr>
      </w:pPr>
      <w:r w:rsidRPr="00711219">
        <w:rPr>
          <w:rFonts w:eastAsia="Times New Roman" w:cs="Times New Roman"/>
          <w:bCs/>
          <w:sz w:val="20"/>
          <w:szCs w:val="20"/>
          <w:lang w:val="en-US"/>
        </w:rPr>
        <w:t>Most land in Ghana is held under customary tenure, based on traditions and managed by local leaders like chiefs (</w:t>
      </w:r>
      <w:r w:rsidR="005119D6" w:rsidRPr="005119D6">
        <w:rPr>
          <w:rFonts w:eastAsia="Times New Roman" w:cs="Times New Roman"/>
          <w:bCs/>
          <w:sz w:val="20"/>
          <w:szCs w:val="20"/>
        </w:rPr>
        <w:t>Kasanga &amp; Kotey</w:t>
      </w:r>
      <w:r w:rsidRPr="005119D6">
        <w:rPr>
          <w:rFonts w:eastAsia="Times New Roman" w:cs="Times New Roman"/>
          <w:bCs/>
          <w:sz w:val="20"/>
          <w:szCs w:val="20"/>
          <w:lang w:val="en-US"/>
        </w:rPr>
        <w:t>,</w:t>
      </w:r>
      <w:r w:rsidRPr="00711219">
        <w:rPr>
          <w:rFonts w:eastAsia="Times New Roman" w:cs="Times New Roman"/>
          <w:bCs/>
          <w:sz w:val="20"/>
          <w:szCs w:val="20"/>
          <w:lang w:val="en-US"/>
        </w:rPr>
        <w:t xml:space="preserve"> 20</w:t>
      </w:r>
      <w:r w:rsidR="005119D6">
        <w:rPr>
          <w:rFonts w:eastAsia="Times New Roman" w:cs="Times New Roman"/>
          <w:bCs/>
          <w:sz w:val="20"/>
          <w:szCs w:val="20"/>
          <w:lang w:val="en-US"/>
        </w:rPr>
        <w:t>0</w:t>
      </w:r>
      <w:r w:rsidRPr="00711219">
        <w:rPr>
          <w:rFonts w:eastAsia="Times New Roman" w:cs="Times New Roman"/>
          <w:bCs/>
          <w:sz w:val="20"/>
          <w:szCs w:val="20"/>
          <w:lang w:val="en-US"/>
        </w:rPr>
        <w:t>1). They are communal or family rights, which promote social cohesion. Though they offer security and flexible use, their informality creates issues in transactions and enforcement (</w:t>
      </w:r>
      <w:r w:rsidR="00C56FFA" w:rsidRPr="00C56FFA">
        <w:rPr>
          <w:rFonts w:eastAsia="Times New Roman" w:cs="Times New Roman"/>
          <w:bCs/>
          <w:sz w:val="20"/>
          <w:szCs w:val="20"/>
        </w:rPr>
        <w:t>Berry</w:t>
      </w:r>
      <w:r w:rsidRPr="00C56FFA">
        <w:rPr>
          <w:rFonts w:eastAsia="Times New Roman" w:cs="Times New Roman"/>
          <w:bCs/>
          <w:sz w:val="20"/>
          <w:szCs w:val="20"/>
          <w:lang w:val="en-US"/>
        </w:rPr>
        <w:t>,</w:t>
      </w:r>
      <w:r w:rsidRPr="00711219">
        <w:rPr>
          <w:rFonts w:eastAsia="Times New Roman" w:cs="Times New Roman"/>
          <w:bCs/>
          <w:sz w:val="20"/>
          <w:szCs w:val="20"/>
          <w:lang w:val="en-US"/>
        </w:rPr>
        <w:t xml:space="preserve"> </w:t>
      </w:r>
      <w:r w:rsidR="00C56FFA">
        <w:rPr>
          <w:rFonts w:eastAsia="Times New Roman" w:cs="Times New Roman"/>
          <w:bCs/>
          <w:sz w:val="20"/>
          <w:szCs w:val="20"/>
          <w:lang w:val="en-US"/>
        </w:rPr>
        <w:t>2001</w:t>
      </w:r>
      <w:r w:rsidRPr="00711219">
        <w:rPr>
          <w:rFonts w:eastAsia="Times New Roman" w:cs="Times New Roman"/>
          <w:bCs/>
          <w:sz w:val="20"/>
          <w:szCs w:val="20"/>
          <w:lang w:val="en-US"/>
        </w:rPr>
        <w:t xml:space="preserve">). </w:t>
      </w:r>
      <w:proofErr w:type="spellStart"/>
      <w:r w:rsidR="00B24DF9" w:rsidRPr="00B24DF9">
        <w:rPr>
          <w:rFonts w:eastAsia="Times New Roman" w:cs="Times New Roman"/>
          <w:bCs/>
          <w:sz w:val="20"/>
          <w:szCs w:val="20"/>
          <w:lang w:val="en-US"/>
        </w:rPr>
        <w:t>Chimhowu</w:t>
      </w:r>
      <w:proofErr w:type="spellEnd"/>
      <w:r w:rsidRPr="00711219">
        <w:rPr>
          <w:rFonts w:eastAsia="Times New Roman" w:cs="Times New Roman"/>
          <w:bCs/>
          <w:sz w:val="20"/>
          <w:szCs w:val="20"/>
          <w:lang w:val="en-US"/>
        </w:rPr>
        <w:t>. (20</w:t>
      </w:r>
      <w:r w:rsidR="00B24DF9">
        <w:rPr>
          <w:rFonts w:eastAsia="Times New Roman" w:cs="Times New Roman"/>
          <w:bCs/>
          <w:sz w:val="20"/>
          <w:szCs w:val="20"/>
          <w:lang w:val="en-US"/>
        </w:rPr>
        <w:t>19</w:t>
      </w:r>
      <w:r w:rsidRPr="00711219">
        <w:rPr>
          <w:rFonts w:eastAsia="Times New Roman" w:cs="Times New Roman"/>
          <w:bCs/>
          <w:sz w:val="20"/>
          <w:szCs w:val="20"/>
          <w:lang w:val="en-US"/>
        </w:rPr>
        <w:t>) state that the informality of customary tenure undermines formal governance, affecting land security and credit access. It also influences land use and conservation, with customary leaders crucial in allocation and dispute resolution (</w:t>
      </w:r>
      <w:r w:rsidR="00F9232C" w:rsidRPr="00F9232C">
        <w:rPr>
          <w:rFonts w:eastAsia="Times New Roman" w:cs="Times New Roman"/>
          <w:bCs/>
          <w:sz w:val="20"/>
          <w:szCs w:val="20"/>
        </w:rPr>
        <w:t>Yeboah</w:t>
      </w:r>
      <w:r w:rsidR="00F9232C">
        <w:rPr>
          <w:rFonts w:eastAsia="Times New Roman" w:cs="Times New Roman"/>
          <w:bCs/>
          <w:sz w:val="20"/>
          <w:szCs w:val="20"/>
        </w:rPr>
        <w:t xml:space="preserve"> </w:t>
      </w:r>
      <w:r w:rsidR="00F9232C" w:rsidRPr="00F9232C">
        <w:rPr>
          <w:rFonts w:eastAsia="Times New Roman" w:cs="Times New Roman"/>
          <w:bCs/>
          <w:sz w:val="20"/>
          <w:szCs w:val="20"/>
        </w:rPr>
        <w:t>&amp; Shaw</w:t>
      </w:r>
      <w:r w:rsidRPr="00711219">
        <w:rPr>
          <w:rFonts w:eastAsia="Times New Roman" w:cs="Times New Roman"/>
          <w:bCs/>
          <w:sz w:val="20"/>
          <w:szCs w:val="20"/>
          <w:lang w:val="en-US"/>
        </w:rPr>
        <w:t>, 201</w:t>
      </w:r>
      <w:r w:rsidR="00F9232C">
        <w:rPr>
          <w:rFonts w:eastAsia="Times New Roman" w:cs="Times New Roman"/>
          <w:bCs/>
          <w:sz w:val="20"/>
          <w:szCs w:val="20"/>
          <w:lang w:val="en-US"/>
        </w:rPr>
        <w:t>3</w:t>
      </w:r>
      <w:r w:rsidRPr="00711219">
        <w:rPr>
          <w:rFonts w:eastAsia="Times New Roman" w:cs="Times New Roman"/>
          <w:bCs/>
          <w:sz w:val="20"/>
          <w:szCs w:val="20"/>
          <w:lang w:val="en-US"/>
        </w:rPr>
        <w:t>). Informal transactions can lead to illegal allocations and disputes, obstructing efficient land markets.</w:t>
      </w:r>
    </w:p>
    <w:p w14:paraId="474A844F" w14:textId="612A8B40" w:rsidR="003D7562" w:rsidRPr="00711219" w:rsidRDefault="007A663B" w:rsidP="003D7562">
      <w:pPr>
        <w:pStyle w:val="ListParagraph"/>
        <w:numPr>
          <w:ilvl w:val="2"/>
          <w:numId w:val="3"/>
        </w:numPr>
        <w:spacing w:line="480" w:lineRule="auto"/>
        <w:rPr>
          <w:rFonts w:eastAsia="Times New Roman" w:cs="Times New Roman"/>
          <w:b/>
          <w:bCs/>
          <w:sz w:val="20"/>
          <w:szCs w:val="20"/>
          <w:lang w:val="en-US"/>
        </w:rPr>
      </w:pPr>
      <w:r w:rsidRPr="00711219">
        <w:rPr>
          <w:rFonts w:eastAsia="Times New Roman" w:cs="Times New Roman"/>
          <w:b/>
          <w:bCs/>
          <w:sz w:val="20"/>
          <w:szCs w:val="20"/>
          <w:lang w:val="en-US"/>
        </w:rPr>
        <w:t xml:space="preserve">Statutory </w:t>
      </w:r>
      <w:r w:rsidR="003D7562" w:rsidRPr="00711219">
        <w:rPr>
          <w:rFonts w:eastAsia="Times New Roman" w:cs="Times New Roman"/>
          <w:b/>
          <w:bCs/>
          <w:sz w:val="20"/>
          <w:szCs w:val="20"/>
          <w:lang w:val="en-US"/>
        </w:rPr>
        <w:t>l</w:t>
      </w:r>
      <w:r w:rsidRPr="00711219">
        <w:rPr>
          <w:rFonts w:eastAsia="Times New Roman" w:cs="Times New Roman"/>
          <w:b/>
          <w:bCs/>
          <w:sz w:val="20"/>
          <w:szCs w:val="20"/>
          <w:lang w:val="en-US"/>
        </w:rPr>
        <w:t xml:space="preserve">and </w:t>
      </w:r>
      <w:r w:rsidR="003D7562" w:rsidRPr="00711219">
        <w:rPr>
          <w:rFonts w:eastAsia="Times New Roman" w:cs="Times New Roman"/>
          <w:b/>
          <w:bCs/>
          <w:sz w:val="20"/>
          <w:szCs w:val="20"/>
          <w:lang w:val="en-US"/>
        </w:rPr>
        <w:t>t</w:t>
      </w:r>
      <w:r w:rsidRPr="00711219">
        <w:rPr>
          <w:rFonts w:eastAsia="Times New Roman" w:cs="Times New Roman"/>
          <w:b/>
          <w:bCs/>
          <w:sz w:val="20"/>
          <w:szCs w:val="20"/>
          <w:lang w:val="en-US"/>
        </w:rPr>
        <w:t xml:space="preserve">enure </w:t>
      </w:r>
    </w:p>
    <w:p w14:paraId="128FEAC7" w14:textId="50F7C380" w:rsidR="006F1AF8" w:rsidRPr="00711219" w:rsidRDefault="006F1AF8" w:rsidP="006F1AF8">
      <w:pPr>
        <w:spacing w:line="480" w:lineRule="auto"/>
        <w:rPr>
          <w:rFonts w:eastAsia="Times New Roman" w:cs="Times New Roman"/>
          <w:bCs/>
          <w:sz w:val="20"/>
          <w:szCs w:val="20"/>
          <w:lang w:val="en-US"/>
        </w:rPr>
      </w:pPr>
      <w:r w:rsidRPr="00711219">
        <w:rPr>
          <w:rFonts w:eastAsia="Times New Roman" w:cs="Times New Roman"/>
          <w:bCs/>
          <w:sz w:val="20"/>
          <w:szCs w:val="20"/>
          <w:lang w:val="en-US"/>
        </w:rPr>
        <w:t xml:space="preserve">Land ownership in Ghana is regulated under statutes like the 1986 Ghana Land Title Registration Law (Woodman, 1987), which makes provision for legalizing titles by clear ownership for open transactions. Despite that the system is set to formalize rights and enhance land markets, challenges like limited coverage, verifying customary rights, and overlapping disputes remain (Adeno et al., 2014; </w:t>
      </w:r>
      <w:r w:rsidR="005119D6" w:rsidRPr="005119D6">
        <w:rPr>
          <w:rFonts w:eastAsia="Times New Roman" w:cs="Times New Roman"/>
          <w:bCs/>
          <w:sz w:val="20"/>
          <w:szCs w:val="20"/>
        </w:rPr>
        <w:t>Kasanga &amp; Kotey</w:t>
      </w:r>
      <w:r w:rsidR="005119D6" w:rsidRPr="005119D6">
        <w:rPr>
          <w:rFonts w:eastAsia="Times New Roman" w:cs="Times New Roman"/>
          <w:bCs/>
          <w:sz w:val="20"/>
          <w:szCs w:val="20"/>
          <w:lang w:val="en-US"/>
        </w:rPr>
        <w:t>,</w:t>
      </w:r>
      <w:r w:rsidR="005119D6" w:rsidRPr="00711219">
        <w:rPr>
          <w:rFonts w:eastAsia="Times New Roman" w:cs="Times New Roman"/>
          <w:bCs/>
          <w:sz w:val="20"/>
          <w:szCs w:val="20"/>
          <w:lang w:val="en-US"/>
        </w:rPr>
        <w:t xml:space="preserve"> 20</w:t>
      </w:r>
      <w:r w:rsidR="005119D6">
        <w:rPr>
          <w:rFonts w:eastAsia="Times New Roman" w:cs="Times New Roman"/>
          <w:bCs/>
          <w:sz w:val="20"/>
          <w:szCs w:val="20"/>
          <w:lang w:val="en-US"/>
        </w:rPr>
        <w:t>0</w:t>
      </w:r>
      <w:r w:rsidR="005119D6" w:rsidRPr="00711219">
        <w:rPr>
          <w:rFonts w:eastAsia="Times New Roman" w:cs="Times New Roman"/>
          <w:bCs/>
          <w:sz w:val="20"/>
          <w:szCs w:val="20"/>
          <w:lang w:val="en-US"/>
        </w:rPr>
        <w:t>1</w:t>
      </w:r>
      <w:r w:rsidRPr="00711219">
        <w:rPr>
          <w:rFonts w:eastAsia="Times New Roman" w:cs="Times New Roman"/>
          <w:bCs/>
          <w:sz w:val="20"/>
          <w:szCs w:val="20"/>
          <w:lang w:val="en-US"/>
        </w:rPr>
        <w:t>). These problems result in a bifurcated land rights system, causing conflict and land grabbing, and bureaucratic procedures and expense limit smallholder farmers</w:t>
      </w:r>
      <w:r w:rsidR="003D7562" w:rsidRPr="00711219">
        <w:rPr>
          <w:rFonts w:eastAsia="Times New Roman" w:cs="Times New Roman"/>
          <w:bCs/>
          <w:sz w:val="20"/>
          <w:szCs w:val="20"/>
          <w:lang w:val="en-US"/>
        </w:rPr>
        <w:t>’</w:t>
      </w:r>
      <w:r w:rsidRPr="00711219">
        <w:rPr>
          <w:rFonts w:eastAsia="Times New Roman" w:cs="Times New Roman"/>
          <w:bCs/>
          <w:sz w:val="20"/>
          <w:szCs w:val="20"/>
          <w:lang w:val="en-US"/>
        </w:rPr>
        <w:t xml:space="preserve"> access, which raises inequality and lowers land market efficiency (</w:t>
      </w:r>
      <w:r w:rsidR="00650269" w:rsidRPr="00650269">
        <w:rPr>
          <w:rFonts w:eastAsia="Times New Roman" w:cs="Times New Roman"/>
          <w:bCs/>
          <w:sz w:val="20"/>
          <w:szCs w:val="20"/>
        </w:rPr>
        <w:t>Issah, 2016</w:t>
      </w:r>
      <w:r w:rsidRPr="00711219">
        <w:rPr>
          <w:rFonts w:eastAsia="Times New Roman" w:cs="Times New Roman"/>
          <w:bCs/>
          <w:sz w:val="20"/>
          <w:szCs w:val="20"/>
          <w:lang w:val="en-US"/>
        </w:rPr>
        <w:t>).</w:t>
      </w:r>
    </w:p>
    <w:p w14:paraId="330A2FBA" w14:textId="3C95CD14" w:rsidR="003D7562" w:rsidRPr="00711219" w:rsidRDefault="007A663B" w:rsidP="003D7562">
      <w:pPr>
        <w:pStyle w:val="ListParagraph"/>
        <w:numPr>
          <w:ilvl w:val="2"/>
          <w:numId w:val="3"/>
        </w:numPr>
        <w:spacing w:line="480" w:lineRule="auto"/>
        <w:rPr>
          <w:rFonts w:eastAsia="Times New Roman" w:cs="Times New Roman"/>
          <w:b/>
          <w:bCs/>
          <w:sz w:val="20"/>
          <w:szCs w:val="20"/>
          <w:lang w:val="en-US"/>
        </w:rPr>
      </w:pPr>
      <w:r w:rsidRPr="00711219">
        <w:rPr>
          <w:rFonts w:eastAsia="Times New Roman" w:cs="Times New Roman"/>
          <w:b/>
          <w:bCs/>
          <w:sz w:val="20"/>
          <w:szCs w:val="20"/>
          <w:lang w:val="en-US"/>
        </w:rPr>
        <w:t xml:space="preserve">Traditional and </w:t>
      </w:r>
      <w:r w:rsidR="003D7562" w:rsidRPr="00711219">
        <w:rPr>
          <w:rFonts w:eastAsia="Times New Roman" w:cs="Times New Roman"/>
          <w:b/>
          <w:bCs/>
          <w:sz w:val="20"/>
          <w:szCs w:val="20"/>
          <w:lang w:val="en-US"/>
        </w:rPr>
        <w:t>h</w:t>
      </w:r>
      <w:r w:rsidRPr="00711219">
        <w:rPr>
          <w:rFonts w:eastAsia="Times New Roman" w:cs="Times New Roman"/>
          <w:b/>
          <w:bCs/>
          <w:sz w:val="20"/>
          <w:szCs w:val="20"/>
          <w:lang w:val="en-US"/>
        </w:rPr>
        <w:t xml:space="preserve">ybrid </w:t>
      </w:r>
      <w:r w:rsidR="003D7562" w:rsidRPr="00711219">
        <w:rPr>
          <w:rFonts w:eastAsia="Times New Roman" w:cs="Times New Roman"/>
          <w:b/>
          <w:bCs/>
          <w:sz w:val="20"/>
          <w:szCs w:val="20"/>
          <w:lang w:val="en-US"/>
        </w:rPr>
        <w:t>s</w:t>
      </w:r>
      <w:r w:rsidRPr="00711219">
        <w:rPr>
          <w:rFonts w:eastAsia="Times New Roman" w:cs="Times New Roman"/>
          <w:b/>
          <w:bCs/>
          <w:sz w:val="20"/>
          <w:szCs w:val="20"/>
          <w:lang w:val="en-US"/>
        </w:rPr>
        <w:t xml:space="preserve">ystems </w:t>
      </w:r>
    </w:p>
    <w:p w14:paraId="3105E030" w14:textId="5CE4C992" w:rsidR="006C2BA7" w:rsidRDefault="006F1AF8" w:rsidP="006F1AF8">
      <w:pPr>
        <w:spacing w:line="480" w:lineRule="auto"/>
        <w:rPr>
          <w:rFonts w:eastAsia="Times New Roman" w:cs="Times New Roman"/>
          <w:bCs/>
          <w:sz w:val="20"/>
          <w:szCs w:val="20"/>
        </w:rPr>
      </w:pPr>
      <w:r w:rsidRPr="00711219">
        <w:rPr>
          <w:rFonts w:eastAsia="Times New Roman" w:cs="Times New Roman"/>
          <w:bCs/>
          <w:sz w:val="20"/>
          <w:szCs w:val="20"/>
        </w:rPr>
        <w:t xml:space="preserve">Both customary and statutory systems of land tenure create a hybrid landscape with overlapping claims and a plurality of conflict mechanisms. </w:t>
      </w:r>
      <w:proofErr w:type="spellStart"/>
      <w:r w:rsidR="00C348C1" w:rsidRPr="00C348C1">
        <w:rPr>
          <w:rFonts w:eastAsia="Times New Roman" w:cs="Times New Roman"/>
          <w:sz w:val="20"/>
          <w:szCs w:val="20"/>
        </w:rPr>
        <w:t>Gyamera</w:t>
      </w:r>
      <w:proofErr w:type="spellEnd"/>
      <w:r w:rsidR="00C348C1">
        <w:rPr>
          <w:rFonts w:eastAsia="Times New Roman" w:cs="Times New Roman"/>
          <w:sz w:val="20"/>
          <w:szCs w:val="20"/>
        </w:rPr>
        <w:t xml:space="preserve"> et al.</w:t>
      </w:r>
      <w:r w:rsidRPr="00711219">
        <w:rPr>
          <w:rFonts w:eastAsia="Times New Roman" w:cs="Times New Roman"/>
          <w:bCs/>
          <w:sz w:val="20"/>
          <w:szCs w:val="20"/>
        </w:rPr>
        <w:t xml:space="preserve"> (2015) see that hybridity affects land investment, conservation, and conflict resolution. Elastic customary rights can boost informal investment but create insecurity or conflict with statutory laws. </w:t>
      </w:r>
      <w:proofErr w:type="spellStart"/>
      <w:r w:rsidR="00F9232C" w:rsidRPr="00F9232C">
        <w:rPr>
          <w:rFonts w:eastAsia="Times New Roman" w:cs="Times New Roman"/>
          <w:bCs/>
          <w:sz w:val="20"/>
          <w:szCs w:val="20"/>
        </w:rPr>
        <w:t>Asaaga</w:t>
      </w:r>
      <w:proofErr w:type="spellEnd"/>
      <w:r w:rsidR="00F9232C" w:rsidRPr="00F9232C">
        <w:rPr>
          <w:rFonts w:eastAsia="Times New Roman" w:cs="Times New Roman"/>
          <w:bCs/>
          <w:sz w:val="20"/>
          <w:szCs w:val="20"/>
        </w:rPr>
        <w:t xml:space="preserve"> </w:t>
      </w:r>
      <w:r w:rsidR="00C348C1" w:rsidRPr="00F9232C">
        <w:rPr>
          <w:rFonts w:eastAsia="Times New Roman" w:cs="Times New Roman"/>
          <w:bCs/>
          <w:sz w:val="20"/>
          <w:szCs w:val="20"/>
        </w:rPr>
        <w:t>(</w:t>
      </w:r>
      <w:r w:rsidR="00C348C1" w:rsidRPr="00711219">
        <w:rPr>
          <w:rFonts w:eastAsia="Times New Roman" w:cs="Times New Roman"/>
          <w:bCs/>
          <w:sz w:val="20"/>
          <w:szCs w:val="20"/>
        </w:rPr>
        <w:t>20</w:t>
      </w:r>
      <w:r w:rsidR="00F9232C">
        <w:rPr>
          <w:rFonts w:eastAsia="Times New Roman" w:cs="Times New Roman"/>
          <w:bCs/>
          <w:sz w:val="20"/>
          <w:szCs w:val="20"/>
        </w:rPr>
        <w:t>21</w:t>
      </w:r>
      <w:r w:rsidR="00C348C1" w:rsidRPr="00711219">
        <w:rPr>
          <w:rFonts w:eastAsia="Times New Roman" w:cs="Times New Roman"/>
          <w:bCs/>
          <w:sz w:val="20"/>
          <w:szCs w:val="20"/>
        </w:rPr>
        <w:t xml:space="preserve">) </w:t>
      </w:r>
      <w:r w:rsidRPr="00711219">
        <w:rPr>
          <w:rFonts w:eastAsia="Times New Roman" w:cs="Times New Roman"/>
          <w:bCs/>
          <w:sz w:val="20"/>
          <w:szCs w:val="20"/>
        </w:rPr>
        <w:t>point</w:t>
      </w:r>
      <w:r w:rsidR="00F9232C">
        <w:rPr>
          <w:rFonts w:eastAsia="Times New Roman" w:cs="Times New Roman"/>
          <w:bCs/>
          <w:sz w:val="20"/>
          <w:szCs w:val="20"/>
        </w:rPr>
        <w:t>s</w:t>
      </w:r>
      <w:r w:rsidRPr="00711219">
        <w:rPr>
          <w:rFonts w:eastAsia="Times New Roman" w:cs="Times New Roman"/>
          <w:bCs/>
          <w:sz w:val="20"/>
          <w:szCs w:val="20"/>
        </w:rPr>
        <w:t xml:space="preserve"> out that understanding hybrid systems is key for land governance </w:t>
      </w:r>
      <w:r w:rsidRPr="00711219">
        <w:rPr>
          <w:rFonts w:eastAsia="Times New Roman" w:cs="Times New Roman"/>
          <w:bCs/>
          <w:sz w:val="20"/>
          <w:szCs w:val="20"/>
        </w:rPr>
        <w:lastRenderedPageBreak/>
        <w:t>since secure customary rights can lead to sustainable land use if coupled with formal systems. Tailor-made approaches are required to bring local institutions and practices into formal land registration.</w:t>
      </w:r>
    </w:p>
    <w:p w14:paraId="623D76EB" w14:textId="77777777" w:rsidR="00294E51" w:rsidRPr="00711219" w:rsidRDefault="00294E51" w:rsidP="006F1AF8">
      <w:pPr>
        <w:spacing w:line="480" w:lineRule="auto"/>
        <w:rPr>
          <w:rFonts w:eastAsia="Times New Roman" w:cs="Times New Roman"/>
          <w:b/>
          <w:bCs/>
          <w:sz w:val="20"/>
          <w:szCs w:val="20"/>
          <w:lang w:val="en-US"/>
        </w:rPr>
      </w:pPr>
    </w:p>
    <w:p w14:paraId="46E72500" w14:textId="2CEB1589" w:rsidR="00D15117" w:rsidRPr="00711219" w:rsidRDefault="00D15117" w:rsidP="006F1AF8">
      <w:pPr>
        <w:pStyle w:val="ListParagraph"/>
        <w:numPr>
          <w:ilvl w:val="1"/>
          <w:numId w:val="10"/>
        </w:numPr>
        <w:spacing w:line="480" w:lineRule="auto"/>
        <w:ind w:left="360"/>
        <w:rPr>
          <w:rFonts w:eastAsia="Times New Roman" w:cs="Times New Roman"/>
          <w:b/>
          <w:sz w:val="20"/>
          <w:szCs w:val="20"/>
        </w:rPr>
      </w:pPr>
      <w:r w:rsidRPr="00711219">
        <w:rPr>
          <w:rFonts w:eastAsia="Times New Roman" w:cs="Times New Roman"/>
          <w:b/>
          <w:sz w:val="20"/>
          <w:szCs w:val="20"/>
        </w:rPr>
        <w:t>Land Registration Systems and their roles in development</w:t>
      </w:r>
    </w:p>
    <w:p w14:paraId="037EAC66" w14:textId="4B7971E9" w:rsidR="006F1AF8" w:rsidRPr="00711219" w:rsidRDefault="006F1AF8" w:rsidP="006F1AF8">
      <w:pPr>
        <w:spacing w:line="480" w:lineRule="auto"/>
        <w:rPr>
          <w:rFonts w:eastAsia="Times New Roman" w:cs="Times New Roman"/>
          <w:b/>
          <w:i/>
          <w:iCs/>
          <w:sz w:val="20"/>
          <w:szCs w:val="20"/>
        </w:rPr>
      </w:pPr>
      <w:r w:rsidRPr="00711219">
        <w:rPr>
          <w:rFonts w:eastAsia="Times New Roman" w:cs="Times New Roman"/>
          <w:bCs/>
          <w:sz w:val="20"/>
          <w:szCs w:val="20"/>
        </w:rPr>
        <w:t xml:space="preserve">A functioning land registration system increases security of tenure, stimulating landowners to make improvement investments. </w:t>
      </w:r>
      <w:r w:rsidRPr="00F9232C">
        <w:rPr>
          <w:rFonts w:eastAsia="Times New Roman" w:cs="Times New Roman"/>
          <w:bCs/>
          <w:sz w:val="20"/>
          <w:szCs w:val="20"/>
        </w:rPr>
        <w:t>Agyei-Holmes</w:t>
      </w:r>
      <w:r w:rsidRPr="00711219">
        <w:rPr>
          <w:rFonts w:eastAsia="Times New Roman" w:cs="Times New Roman"/>
          <w:bCs/>
          <w:sz w:val="20"/>
          <w:szCs w:val="20"/>
        </w:rPr>
        <w:t xml:space="preserve"> (2023) found that land title registration in Ghana increased valuations but not necessarily agricultural investments, and therefore, additional policies are required. Slow pace of registration of customary land holdings, at about 0.5%, discourages formalization and increases land grabbing risks in peri-urban areas (</w:t>
      </w:r>
      <w:r w:rsidR="00BB68C0" w:rsidRPr="00650269">
        <w:rPr>
          <w:rFonts w:eastAsia="Times New Roman" w:cs="Times New Roman"/>
          <w:bCs/>
          <w:sz w:val="20"/>
          <w:szCs w:val="20"/>
        </w:rPr>
        <w:t>Issah,</w:t>
      </w:r>
      <w:r w:rsidR="00BB68C0">
        <w:rPr>
          <w:rFonts w:eastAsia="Times New Roman" w:cs="Times New Roman"/>
          <w:bCs/>
          <w:sz w:val="20"/>
          <w:szCs w:val="20"/>
        </w:rPr>
        <w:t xml:space="preserve"> </w:t>
      </w:r>
      <w:r w:rsidR="00BB68C0" w:rsidRPr="00650269">
        <w:rPr>
          <w:rFonts w:eastAsia="Times New Roman" w:cs="Times New Roman"/>
          <w:bCs/>
          <w:sz w:val="20"/>
          <w:szCs w:val="20"/>
        </w:rPr>
        <w:t>2016</w:t>
      </w:r>
      <w:r w:rsidRPr="00711219">
        <w:rPr>
          <w:rFonts w:eastAsia="Times New Roman" w:cs="Times New Roman"/>
          <w:bCs/>
          <w:sz w:val="20"/>
          <w:szCs w:val="20"/>
        </w:rPr>
        <w:t xml:space="preserve">). Secure land registration enhances transparency and economic growth by promoting formal transactions and secure land tenure, which attracts investments. Secure tenure allows farmers to access credit and invest confidently, causing their productivity to increase. Effective registration underpins land use planning, infrastructure, and conservation </w:t>
      </w:r>
      <w:r w:rsidR="00711219">
        <w:rPr>
          <w:rFonts w:eastAsia="Times New Roman" w:cs="Times New Roman"/>
          <w:bCs/>
          <w:sz w:val="20"/>
          <w:szCs w:val="20"/>
        </w:rPr>
        <w:t>following</w:t>
      </w:r>
      <w:r w:rsidRPr="00711219">
        <w:rPr>
          <w:rFonts w:eastAsia="Times New Roman" w:cs="Times New Roman"/>
          <w:bCs/>
          <w:sz w:val="20"/>
          <w:szCs w:val="20"/>
        </w:rPr>
        <w:t xml:space="preserve"> national goals. Land registration systems are key to sustainable development, relying on technical ability, legal certainty, institutional capacity, and cultural acceptance. In transforming land governance in Ghana, inclusive and innovative models will be at the heart of long-term development.</w:t>
      </w:r>
    </w:p>
    <w:p w14:paraId="6F28C43E" w14:textId="62DAEB38" w:rsidR="00F016CB" w:rsidRPr="00711219" w:rsidRDefault="00D15117" w:rsidP="006F1AF8">
      <w:pPr>
        <w:pStyle w:val="ListParagraph"/>
        <w:numPr>
          <w:ilvl w:val="1"/>
          <w:numId w:val="10"/>
        </w:numPr>
        <w:spacing w:line="480" w:lineRule="auto"/>
        <w:ind w:left="360"/>
        <w:rPr>
          <w:rFonts w:eastAsia="Times New Roman" w:cs="Times New Roman"/>
          <w:b/>
          <w:sz w:val="20"/>
          <w:szCs w:val="20"/>
        </w:rPr>
      </w:pPr>
      <w:r w:rsidRPr="00711219">
        <w:rPr>
          <w:rFonts w:eastAsia="Times New Roman" w:cs="Times New Roman"/>
          <w:b/>
          <w:sz w:val="20"/>
          <w:szCs w:val="20"/>
        </w:rPr>
        <w:t>Challenges in Land Registration Processes</w:t>
      </w:r>
    </w:p>
    <w:p w14:paraId="0A29AEC9" w14:textId="3B551D4E" w:rsidR="006F1AF8" w:rsidRPr="00711219" w:rsidRDefault="006F1AF8" w:rsidP="006F1AF8">
      <w:pPr>
        <w:spacing w:line="480" w:lineRule="auto"/>
        <w:rPr>
          <w:rFonts w:eastAsia="Times New Roman" w:cs="Times New Roman"/>
          <w:b/>
          <w:i/>
          <w:iCs/>
          <w:sz w:val="20"/>
          <w:szCs w:val="20"/>
        </w:rPr>
      </w:pPr>
      <w:r w:rsidRPr="00711219">
        <w:rPr>
          <w:rFonts w:eastAsia="Times New Roman" w:cs="Times New Roman"/>
          <w:bCs/>
          <w:sz w:val="20"/>
          <w:szCs w:val="20"/>
        </w:rPr>
        <w:t xml:space="preserve">One of the key challenges to land administration is the lack of capacity. </w:t>
      </w:r>
      <w:r w:rsidR="00BB68C0" w:rsidRPr="00650269">
        <w:rPr>
          <w:rFonts w:eastAsia="Times New Roman" w:cs="Times New Roman"/>
          <w:bCs/>
          <w:sz w:val="20"/>
          <w:szCs w:val="20"/>
        </w:rPr>
        <w:t>Issah</w:t>
      </w:r>
      <w:r w:rsidR="00BB68C0">
        <w:rPr>
          <w:rFonts w:eastAsia="Times New Roman" w:cs="Times New Roman"/>
          <w:bCs/>
          <w:sz w:val="20"/>
          <w:szCs w:val="20"/>
        </w:rPr>
        <w:t xml:space="preserve"> (</w:t>
      </w:r>
      <w:r w:rsidR="00BB68C0" w:rsidRPr="00650269">
        <w:rPr>
          <w:rFonts w:eastAsia="Times New Roman" w:cs="Times New Roman"/>
          <w:bCs/>
          <w:sz w:val="20"/>
          <w:szCs w:val="20"/>
        </w:rPr>
        <w:t>2016</w:t>
      </w:r>
      <w:r w:rsidR="00BB68C0" w:rsidRPr="00711219">
        <w:rPr>
          <w:rFonts w:eastAsia="Times New Roman" w:cs="Times New Roman"/>
          <w:bCs/>
          <w:sz w:val="20"/>
          <w:szCs w:val="20"/>
        </w:rPr>
        <w:t>)</w:t>
      </w:r>
      <w:r w:rsidR="00BB68C0">
        <w:rPr>
          <w:rFonts w:eastAsia="Times New Roman" w:cs="Times New Roman"/>
          <w:bCs/>
          <w:sz w:val="20"/>
          <w:szCs w:val="20"/>
        </w:rPr>
        <w:t xml:space="preserve"> </w:t>
      </w:r>
      <w:r w:rsidRPr="00711219">
        <w:rPr>
          <w:rFonts w:eastAsia="Times New Roman" w:cs="Times New Roman"/>
          <w:bCs/>
          <w:sz w:val="20"/>
          <w:szCs w:val="20"/>
        </w:rPr>
        <w:t>finds that Ghana</w:t>
      </w:r>
      <w:r w:rsidR="003D7562" w:rsidRPr="00711219">
        <w:rPr>
          <w:rFonts w:eastAsia="Times New Roman" w:cs="Times New Roman"/>
          <w:bCs/>
          <w:sz w:val="20"/>
          <w:szCs w:val="20"/>
        </w:rPr>
        <w:t>’</w:t>
      </w:r>
      <w:r w:rsidRPr="00711219">
        <w:rPr>
          <w:rFonts w:eastAsia="Times New Roman" w:cs="Times New Roman"/>
          <w:bCs/>
          <w:sz w:val="20"/>
          <w:szCs w:val="20"/>
        </w:rPr>
        <w:t xml:space="preserve">s land administration is beset by untrained staff, lacking requisite expertise, and poor infrastructure, which creates inefficiencies in registration. Transaction costs, boundary disputes, and fragmented processes contribute to the challenges (Mohammed, 2018). Corruption, as noted by </w:t>
      </w:r>
      <w:proofErr w:type="spellStart"/>
      <w:r w:rsidRPr="00711219">
        <w:rPr>
          <w:rFonts w:eastAsia="Times New Roman" w:cs="Times New Roman"/>
          <w:bCs/>
          <w:sz w:val="20"/>
          <w:szCs w:val="20"/>
        </w:rPr>
        <w:t>Nwuba</w:t>
      </w:r>
      <w:proofErr w:type="spellEnd"/>
      <w:r w:rsidRPr="00711219">
        <w:rPr>
          <w:rFonts w:eastAsia="Times New Roman" w:cs="Times New Roman"/>
          <w:bCs/>
          <w:sz w:val="20"/>
          <w:szCs w:val="20"/>
        </w:rPr>
        <w:t xml:space="preserve"> (2018), undermines public trust and reform efforts. Outdated legislation and competition between legal regimes create uncertainty (</w:t>
      </w:r>
      <w:r w:rsidR="003A12F1" w:rsidRPr="003A12F1">
        <w:rPr>
          <w:rFonts w:eastAsia="Times New Roman" w:cs="Times New Roman"/>
          <w:bCs/>
          <w:sz w:val="20"/>
          <w:szCs w:val="20"/>
        </w:rPr>
        <w:t>Dinye et al.</w:t>
      </w:r>
      <w:r w:rsidRPr="003A12F1">
        <w:rPr>
          <w:rFonts w:eastAsia="Times New Roman" w:cs="Times New Roman"/>
          <w:bCs/>
          <w:sz w:val="20"/>
          <w:szCs w:val="20"/>
        </w:rPr>
        <w:t>, 202</w:t>
      </w:r>
      <w:r w:rsidR="003A12F1" w:rsidRPr="003A12F1">
        <w:rPr>
          <w:rFonts w:eastAsia="Times New Roman" w:cs="Times New Roman"/>
          <w:bCs/>
          <w:sz w:val="20"/>
          <w:szCs w:val="20"/>
        </w:rPr>
        <w:t>5</w:t>
      </w:r>
      <w:r w:rsidRPr="00711219">
        <w:rPr>
          <w:rFonts w:eastAsia="Times New Roman" w:cs="Times New Roman"/>
          <w:bCs/>
          <w:sz w:val="20"/>
          <w:szCs w:val="20"/>
        </w:rPr>
        <w:t>;</w:t>
      </w:r>
      <w:r w:rsidR="00BB68C0">
        <w:rPr>
          <w:rFonts w:eastAsia="Times New Roman" w:cs="Times New Roman"/>
          <w:bCs/>
          <w:sz w:val="20"/>
          <w:szCs w:val="20"/>
        </w:rPr>
        <w:t xml:space="preserve"> </w:t>
      </w:r>
      <w:r w:rsidR="00BB68C0" w:rsidRPr="00650269">
        <w:rPr>
          <w:rFonts w:eastAsia="Times New Roman" w:cs="Times New Roman"/>
          <w:bCs/>
          <w:sz w:val="20"/>
          <w:szCs w:val="20"/>
        </w:rPr>
        <w:t>Issah,</w:t>
      </w:r>
      <w:r w:rsidR="00BB68C0">
        <w:rPr>
          <w:rFonts w:eastAsia="Times New Roman" w:cs="Times New Roman"/>
          <w:bCs/>
          <w:sz w:val="20"/>
          <w:szCs w:val="20"/>
        </w:rPr>
        <w:t xml:space="preserve"> </w:t>
      </w:r>
      <w:r w:rsidR="00BB68C0" w:rsidRPr="00650269">
        <w:rPr>
          <w:rFonts w:eastAsia="Times New Roman" w:cs="Times New Roman"/>
          <w:bCs/>
          <w:sz w:val="20"/>
          <w:szCs w:val="20"/>
        </w:rPr>
        <w:t>2016</w:t>
      </w:r>
      <w:r w:rsidRPr="00711219">
        <w:rPr>
          <w:rFonts w:eastAsia="Times New Roman" w:cs="Times New Roman"/>
          <w:bCs/>
          <w:sz w:val="20"/>
          <w:szCs w:val="20"/>
        </w:rPr>
        <w:t>). Resistance to formal land registration and costly fees restrict smallholders</w:t>
      </w:r>
      <w:r w:rsidR="003D7562" w:rsidRPr="00711219">
        <w:rPr>
          <w:rFonts w:eastAsia="Times New Roman" w:cs="Times New Roman"/>
          <w:bCs/>
          <w:sz w:val="20"/>
          <w:szCs w:val="20"/>
        </w:rPr>
        <w:t>’</w:t>
      </w:r>
      <w:r w:rsidRPr="00711219">
        <w:rPr>
          <w:rFonts w:eastAsia="Times New Roman" w:cs="Times New Roman"/>
          <w:bCs/>
          <w:sz w:val="20"/>
          <w:szCs w:val="20"/>
        </w:rPr>
        <w:t xml:space="preserve"> access (Mohammed, 2018; </w:t>
      </w:r>
      <w:r w:rsidRPr="003A12F1">
        <w:rPr>
          <w:rFonts w:eastAsia="Times New Roman" w:cs="Times New Roman"/>
          <w:bCs/>
          <w:sz w:val="20"/>
          <w:szCs w:val="20"/>
        </w:rPr>
        <w:t>Agyei-Holmes</w:t>
      </w:r>
      <w:r w:rsidRPr="00711219">
        <w:rPr>
          <w:rFonts w:eastAsia="Times New Roman" w:cs="Times New Roman"/>
          <w:bCs/>
          <w:sz w:val="20"/>
          <w:szCs w:val="20"/>
        </w:rPr>
        <w:t>, 2023). Infrastructure difficulties and resistance hinder the adoption of technology (</w:t>
      </w:r>
      <w:proofErr w:type="spellStart"/>
      <w:r w:rsidRPr="00B24DF9">
        <w:rPr>
          <w:rFonts w:eastAsia="Times New Roman" w:cs="Times New Roman"/>
          <w:bCs/>
          <w:sz w:val="20"/>
          <w:szCs w:val="20"/>
        </w:rPr>
        <w:t>Appau</w:t>
      </w:r>
      <w:proofErr w:type="spellEnd"/>
      <w:r w:rsidRPr="00711219">
        <w:rPr>
          <w:rFonts w:eastAsia="Times New Roman" w:cs="Times New Roman"/>
          <w:bCs/>
          <w:sz w:val="20"/>
          <w:szCs w:val="20"/>
        </w:rPr>
        <w:t xml:space="preserve"> et al., 2021). Digitalization and decentralization reforms are a must, necessitating massive ICT investment and capacity building.</w:t>
      </w:r>
    </w:p>
    <w:p w14:paraId="5689B79B" w14:textId="7B4B1320" w:rsidR="00F016CB" w:rsidRPr="00711219" w:rsidRDefault="00D15117" w:rsidP="006F1AF8">
      <w:pPr>
        <w:pStyle w:val="ListParagraph"/>
        <w:numPr>
          <w:ilvl w:val="1"/>
          <w:numId w:val="10"/>
        </w:numPr>
        <w:spacing w:line="480" w:lineRule="auto"/>
        <w:ind w:left="360"/>
        <w:rPr>
          <w:rFonts w:eastAsia="Times New Roman" w:cs="Times New Roman"/>
          <w:b/>
          <w:sz w:val="20"/>
          <w:szCs w:val="20"/>
        </w:rPr>
      </w:pPr>
      <w:r w:rsidRPr="00711219">
        <w:rPr>
          <w:rFonts w:eastAsia="Times New Roman" w:cs="Times New Roman"/>
          <w:b/>
          <w:sz w:val="20"/>
          <w:szCs w:val="20"/>
        </w:rPr>
        <w:t>Land Rights and Ownership Types</w:t>
      </w:r>
    </w:p>
    <w:p w14:paraId="2C753D57" w14:textId="5CB1E0FB" w:rsidR="003D7562" w:rsidRPr="00711219" w:rsidRDefault="003D7562" w:rsidP="006F1AF8">
      <w:pPr>
        <w:spacing w:line="480" w:lineRule="auto"/>
        <w:rPr>
          <w:rFonts w:eastAsia="Times New Roman" w:cs="Times New Roman"/>
          <w:sz w:val="20"/>
          <w:szCs w:val="20"/>
          <w:lang w:val="en-US"/>
        </w:rPr>
      </w:pPr>
      <w:r w:rsidRPr="00711219">
        <w:rPr>
          <w:rFonts w:eastAsia="Times New Roman" w:cs="Times New Roman"/>
          <w:b/>
          <w:bCs/>
          <w:sz w:val="20"/>
          <w:szCs w:val="20"/>
          <w:lang w:val="en-US"/>
        </w:rPr>
        <w:t xml:space="preserve">2.4.1 </w:t>
      </w:r>
      <w:r w:rsidR="00F016CB" w:rsidRPr="00711219">
        <w:rPr>
          <w:rFonts w:eastAsia="Times New Roman" w:cs="Times New Roman"/>
          <w:b/>
          <w:bCs/>
          <w:sz w:val="20"/>
          <w:szCs w:val="20"/>
          <w:lang w:val="en-US"/>
        </w:rPr>
        <w:t xml:space="preserve">Continuum of </w:t>
      </w:r>
      <w:r w:rsidRPr="00711219">
        <w:rPr>
          <w:rFonts w:eastAsia="Times New Roman" w:cs="Times New Roman"/>
          <w:b/>
          <w:bCs/>
          <w:sz w:val="20"/>
          <w:szCs w:val="20"/>
          <w:lang w:val="en-US"/>
        </w:rPr>
        <w:t>l</w:t>
      </w:r>
      <w:r w:rsidR="00F016CB" w:rsidRPr="00711219">
        <w:rPr>
          <w:rFonts w:eastAsia="Times New Roman" w:cs="Times New Roman"/>
          <w:b/>
          <w:bCs/>
          <w:sz w:val="20"/>
          <w:szCs w:val="20"/>
          <w:lang w:val="en-US"/>
        </w:rPr>
        <w:t xml:space="preserve">and </w:t>
      </w:r>
      <w:r w:rsidRPr="00711219">
        <w:rPr>
          <w:rFonts w:eastAsia="Times New Roman" w:cs="Times New Roman"/>
          <w:b/>
          <w:bCs/>
          <w:sz w:val="20"/>
          <w:szCs w:val="20"/>
          <w:lang w:val="en-US"/>
        </w:rPr>
        <w:t>r</w:t>
      </w:r>
      <w:r w:rsidR="00F016CB" w:rsidRPr="00711219">
        <w:rPr>
          <w:rFonts w:eastAsia="Times New Roman" w:cs="Times New Roman"/>
          <w:b/>
          <w:bCs/>
          <w:sz w:val="20"/>
          <w:szCs w:val="20"/>
          <w:lang w:val="en-US"/>
        </w:rPr>
        <w:t>ights</w:t>
      </w:r>
    </w:p>
    <w:p w14:paraId="39DBF806" w14:textId="15B06DE9" w:rsidR="00521492" w:rsidRDefault="00521492" w:rsidP="006F1AF8">
      <w:pPr>
        <w:spacing w:line="480" w:lineRule="auto"/>
        <w:rPr>
          <w:rFonts w:eastAsia="Times New Roman" w:cs="Times New Roman"/>
          <w:sz w:val="20"/>
          <w:szCs w:val="20"/>
        </w:rPr>
      </w:pPr>
      <w:r w:rsidRPr="00711219">
        <w:rPr>
          <w:rFonts w:eastAsia="Times New Roman" w:cs="Times New Roman"/>
          <w:sz w:val="20"/>
          <w:szCs w:val="20"/>
        </w:rPr>
        <w:lastRenderedPageBreak/>
        <w:t xml:space="preserve">Land rights are now seen more as a continuum than formal vs. informal. </w:t>
      </w:r>
      <w:proofErr w:type="spellStart"/>
      <w:r w:rsidRPr="00711219">
        <w:rPr>
          <w:rFonts w:eastAsia="Times New Roman" w:cs="Times New Roman"/>
          <w:sz w:val="20"/>
          <w:szCs w:val="20"/>
        </w:rPr>
        <w:t>Whittal</w:t>
      </w:r>
      <w:proofErr w:type="spellEnd"/>
      <w:r w:rsidRPr="00711219">
        <w:rPr>
          <w:rFonts w:eastAsia="Times New Roman" w:cs="Times New Roman"/>
          <w:sz w:val="20"/>
          <w:szCs w:val="20"/>
        </w:rPr>
        <w:t xml:space="preserve"> (2014) presents a model that accepts heterogeneous land rights and discards the linear approach. The model illustrates that land rights, from legal titles to customary rights, are complex and interconnected. It encourages assessing tenure security using metrics like legitimacy, legality, and complexity (</w:t>
      </w:r>
      <w:proofErr w:type="spellStart"/>
      <w:r w:rsidRPr="00711219">
        <w:rPr>
          <w:rFonts w:eastAsia="Times New Roman" w:cs="Times New Roman"/>
          <w:sz w:val="20"/>
          <w:szCs w:val="20"/>
        </w:rPr>
        <w:t>Whittal</w:t>
      </w:r>
      <w:proofErr w:type="spellEnd"/>
      <w:r w:rsidRPr="00711219">
        <w:rPr>
          <w:rFonts w:eastAsia="Times New Roman" w:cs="Times New Roman"/>
          <w:sz w:val="20"/>
          <w:szCs w:val="20"/>
        </w:rPr>
        <w:t>, 2014) for improved legal frameworks.</w:t>
      </w:r>
    </w:p>
    <w:p w14:paraId="62AC49B3" w14:textId="77777777" w:rsidR="00711219" w:rsidRDefault="00711219" w:rsidP="006F1AF8">
      <w:pPr>
        <w:spacing w:line="480" w:lineRule="auto"/>
        <w:rPr>
          <w:rFonts w:eastAsia="Times New Roman" w:cs="Times New Roman"/>
          <w:sz w:val="20"/>
          <w:szCs w:val="20"/>
        </w:rPr>
      </w:pPr>
    </w:p>
    <w:p w14:paraId="02717379" w14:textId="77777777" w:rsidR="00711219" w:rsidRPr="00711219" w:rsidRDefault="00711219" w:rsidP="006F1AF8">
      <w:pPr>
        <w:spacing w:line="480" w:lineRule="auto"/>
        <w:rPr>
          <w:rFonts w:eastAsia="Times New Roman" w:cs="Times New Roman"/>
          <w:sz w:val="20"/>
          <w:szCs w:val="20"/>
        </w:rPr>
      </w:pPr>
    </w:p>
    <w:p w14:paraId="635D98F3" w14:textId="7926561D" w:rsidR="003D7562" w:rsidRPr="00711219" w:rsidRDefault="003D7562" w:rsidP="006F1AF8">
      <w:pPr>
        <w:spacing w:line="480" w:lineRule="auto"/>
        <w:rPr>
          <w:rFonts w:eastAsia="Times New Roman" w:cs="Times New Roman"/>
          <w:sz w:val="20"/>
          <w:szCs w:val="20"/>
          <w:lang w:val="en-US"/>
        </w:rPr>
      </w:pPr>
      <w:r w:rsidRPr="00711219">
        <w:rPr>
          <w:rFonts w:eastAsia="Times New Roman" w:cs="Times New Roman"/>
          <w:b/>
          <w:bCs/>
          <w:sz w:val="20"/>
          <w:szCs w:val="20"/>
          <w:lang w:val="en-US"/>
        </w:rPr>
        <w:t xml:space="preserve">2.4.2 </w:t>
      </w:r>
      <w:r w:rsidR="00F016CB" w:rsidRPr="00711219">
        <w:rPr>
          <w:rFonts w:eastAsia="Times New Roman" w:cs="Times New Roman"/>
          <w:b/>
          <w:bCs/>
          <w:sz w:val="20"/>
          <w:szCs w:val="20"/>
          <w:lang w:val="en-US"/>
        </w:rPr>
        <w:t xml:space="preserve">Legal and </w:t>
      </w:r>
      <w:r w:rsidRPr="00711219">
        <w:rPr>
          <w:rFonts w:eastAsia="Times New Roman" w:cs="Times New Roman"/>
          <w:b/>
          <w:bCs/>
          <w:sz w:val="20"/>
          <w:szCs w:val="20"/>
          <w:lang w:val="en-US"/>
        </w:rPr>
        <w:t>c</w:t>
      </w:r>
      <w:r w:rsidR="00F016CB" w:rsidRPr="00711219">
        <w:rPr>
          <w:rFonts w:eastAsia="Times New Roman" w:cs="Times New Roman"/>
          <w:b/>
          <w:bCs/>
          <w:sz w:val="20"/>
          <w:szCs w:val="20"/>
          <w:lang w:val="en-US"/>
        </w:rPr>
        <w:t xml:space="preserve">ustomary </w:t>
      </w:r>
      <w:r w:rsidRPr="00711219">
        <w:rPr>
          <w:rFonts w:eastAsia="Times New Roman" w:cs="Times New Roman"/>
          <w:b/>
          <w:bCs/>
          <w:sz w:val="20"/>
          <w:szCs w:val="20"/>
          <w:lang w:val="en-US"/>
        </w:rPr>
        <w:t>l</w:t>
      </w:r>
      <w:r w:rsidR="00F016CB" w:rsidRPr="00711219">
        <w:rPr>
          <w:rFonts w:eastAsia="Times New Roman" w:cs="Times New Roman"/>
          <w:b/>
          <w:bCs/>
          <w:sz w:val="20"/>
          <w:szCs w:val="20"/>
          <w:lang w:val="en-US"/>
        </w:rPr>
        <w:t xml:space="preserve">and </w:t>
      </w:r>
      <w:r w:rsidRPr="00711219">
        <w:rPr>
          <w:rFonts w:eastAsia="Times New Roman" w:cs="Times New Roman"/>
          <w:b/>
          <w:bCs/>
          <w:sz w:val="20"/>
          <w:szCs w:val="20"/>
          <w:lang w:val="en-US"/>
        </w:rPr>
        <w:t>r</w:t>
      </w:r>
      <w:r w:rsidR="00F016CB" w:rsidRPr="00711219">
        <w:rPr>
          <w:rFonts w:eastAsia="Times New Roman" w:cs="Times New Roman"/>
          <w:b/>
          <w:bCs/>
          <w:sz w:val="20"/>
          <w:szCs w:val="20"/>
          <w:lang w:val="en-US"/>
        </w:rPr>
        <w:t>ights</w:t>
      </w:r>
    </w:p>
    <w:p w14:paraId="2F18A26D" w14:textId="38EFD225" w:rsidR="00521492" w:rsidRPr="00711219" w:rsidRDefault="00521492" w:rsidP="006F1AF8">
      <w:pPr>
        <w:spacing w:line="480" w:lineRule="auto"/>
        <w:rPr>
          <w:rFonts w:eastAsia="Times New Roman" w:cs="Times New Roman"/>
          <w:sz w:val="20"/>
          <w:szCs w:val="20"/>
        </w:rPr>
      </w:pPr>
      <w:r w:rsidRPr="00711219">
        <w:rPr>
          <w:rFonts w:eastAsia="Times New Roman" w:cs="Times New Roman"/>
          <w:sz w:val="20"/>
          <w:szCs w:val="20"/>
        </w:rPr>
        <w:t xml:space="preserve">In Ghana and other developing nations, customary land rights are significant to land tenure. They are derived from customary institutions, not statutory laws (Arko-Adjei et al., 2009; </w:t>
      </w:r>
      <w:proofErr w:type="spellStart"/>
      <w:r w:rsidRPr="00711219">
        <w:rPr>
          <w:rFonts w:eastAsia="Times New Roman" w:cs="Times New Roman"/>
          <w:sz w:val="20"/>
          <w:szCs w:val="20"/>
        </w:rPr>
        <w:t>Schoneveld</w:t>
      </w:r>
      <w:proofErr w:type="spellEnd"/>
      <w:r w:rsidRPr="00711219">
        <w:rPr>
          <w:rFonts w:eastAsia="Times New Roman" w:cs="Times New Roman"/>
          <w:sz w:val="20"/>
          <w:szCs w:val="20"/>
        </w:rPr>
        <w:t>, 2014). Despite legal recognition, these rights are not secure and are threatened by commercialization and government policies. Control of land by traditional authorities tends to lead to rent-seeking and insecurity for users who demand security. The challenge is aligning customary practices with statutory land registration to improve tenure security (</w:t>
      </w:r>
      <w:proofErr w:type="spellStart"/>
      <w:r w:rsidRPr="00711219">
        <w:rPr>
          <w:rFonts w:eastAsia="Times New Roman" w:cs="Times New Roman"/>
          <w:sz w:val="20"/>
          <w:szCs w:val="20"/>
        </w:rPr>
        <w:t>Schoneveld</w:t>
      </w:r>
      <w:proofErr w:type="spellEnd"/>
      <w:r w:rsidRPr="00711219">
        <w:rPr>
          <w:rFonts w:eastAsia="Times New Roman" w:cs="Times New Roman"/>
          <w:sz w:val="20"/>
          <w:szCs w:val="20"/>
        </w:rPr>
        <w:t xml:space="preserve">, 2014; </w:t>
      </w:r>
      <w:proofErr w:type="spellStart"/>
      <w:r w:rsidRPr="00711219">
        <w:rPr>
          <w:rFonts w:eastAsia="Times New Roman" w:cs="Times New Roman"/>
          <w:sz w:val="20"/>
          <w:szCs w:val="20"/>
        </w:rPr>
        <w:t>Arko-Adjei</w:t>
      </w:r>
      <w:proofErr w:type="spellEnd"/>
      <w:r w:rsidRPr="00711219">
        <w:rPr>
          <w:rFonts w:eastAsia="Times New Roman" w:cs="Times New Roman"/>
          <w:sz w:val="20"/>
          <w:szCs w:val="20"/>
        </w:rPr>
        <w:t xml:space="preserve"> et al., 2009).</w:t>
      </w:r>
    </w:p>
    <w:p w14:paraId="3CD22E72" w14:textId="520806D3" w:rsidR="003D7562" w:rsidRPr="00711219" w:rsidRDefault="003D7562" w:rsidP="006F1AF8">
      <w:pPr>
        <w:spacing w:line="480" w:lineRule="auto"/>
        <w:rPr>
          <w:rFonts w:eastAsia="Times New Roman" w:cs="Times New Roman"/>
          <w:sz w:val="20"/>
          <w:szCs w:val="20"/>
          <w:lang w:val="en-US"/>
        </w:rPr>
      </w:pPr>
      <w:r w:rsidRPr="00711219">
        <w:rPr>
          <w:rFonts w:eastAsia="Times New Roman" w:cs="Times New Roman"/>
          <w:b/>
          <w:bCs/>
          <w:sz w:val="20"/>
          <w:szCs w:val="20"/>
          <w:lang w:val="en-US"/>
        </w:rPr>
        <w:t xml:space="preserve">2.4.3 </w:t>
      </w:r>
      <w:r w:rsidR="00F016CB" w:rsidRPr="00711219">
        <w:rPr>
          <w:rFonts w:eastAsia="Times New Roman" w:cs="Times New Roman"/>
          <w:b/>
          <w:bCs/>
          <w:sz w:val="20"/>
          <w:szCs w:val="20"/>
          <w:lang w:val="en-US"/>
        </w:rPr>
        <w:t xml:space="preserve">Gender and </w:t>
      </w:r>
      <w:r w:rsidRPr="00711219">
        <w:rPr>
          <w:rFonts w:eastAsia="Times New Roman" w:cs="Times New Roman"/>
          <w:b/>
          <w:bCs/>
          <w:sz w:val="20"/>
          <w:szCs w:val="20"/>
          <w:lang w:val="en-US"/>
        </w:rPr>
        <w:t>l</w:t>
      </w:r>
      <w:r w:rsidR="00F016CB" w:rsidRPr="00711219">
        <w:rPr>
          <w:rFonts w:eastAsia="Times New Roman" w:cs="Times New Roman"/>
          <w:b/>
          <w:bCs/>
          <w:sz w:val="20"/>
          <w:szCs w:val="20"/>
          <w:lang w:val="en-US"/>
        </w:rPr>
        <w:t xml:space="preserve">and </w:t>
      </w:r>
      <w:r w:rsidRPr="00711219">
        <w:rPr>
          <w:rFonts w:eastAsia="Times New Roman" w:cs="Times New Roman"/>
          <w:b/>
          <w:bCs/>
          <w:sz w:val="20"/>
          <w:szCs w:val="20"/>
          <w:lang w:val="en-US"/>
        </w:rPr>
        <w:t>r</w:t>
      </w:r>
      <w:r w:rsidR="00F016CB" w:rsidRPr="00711219">
        <w:rPr>
          <w:rFonts w:eastAsia="Times New Roman" w:cs="Times New Roman"/>
          <w:b/>
          <w:bCs/>
          <w:sz w:val="20"/>
          <w:szCs w:val="20"/>
          <w:lang w:val="en-US"/>
        </w:rPr>
        <w:t>ights</w:t>
      </w:r>
      <w:r w:rsidR="00F016CB" w:rsidRPr="00711219">
        <w:rPr>
          <w:rFonts w:eastAsia="Times New Roman" w:cs="Times New Roman"/>
          <w:sz w:val="20"/>
          <w:szCs w:val="20"/>
          <w:lang w:val="en-US"/>
        </w:rPr>
        <w:t xml:space="preserve"> </w:t>
      </w:r>
    </w:p>
    <w:p w14:paraId="2ECC9A9A" w14:textId="21CC7C88" w:rsidR="00521492" w:rsidRPr="00711219" w:rsidRDefault="00521492" w:rsidP="006F1AF8">
      <w:pPr>
        <w:spacing w:line="480" w:lineRule="auto"/>
        <w:rPr>
          <w:rFonts w:eastAsia="Times New Roman" w:cs="Times New Roman"/>
          <w:sz w:val="20"/>
          <w:szCs w:val="20"/>
        </w:rPr>
      </w:pPr>
      <w:r w:rsidRPr="00711219">
        <w:rPr>
          <w:rFonts w:eastAsia="Times New Roman" w:cs="Times New Roman"/>
          <w:sz w:val="20"/>
          <w:szCs w:val="20"/>
        </w:rPr>
        <w:t>Gender disparities in land ownership are common, with men having more secure legal rights than women. Women possess informal or secondary rights, which can be easily dispossessed (Quansah, 2013). The disparities undermine women's economic chances and decision-making regarding land. Research indicates that formal registration of land benefits men, worsening gender disparities</w:t>
      </w:r>
      <w:r w:rsidR="004F306F" w:rsidRPr="00711219">
        <w:rPr>
          <w:rFonts w:eastAsia="Times New Roman" w:cs="Times New Roman"/>
          <w:sz w:val="20"/>
          <w:szCs w:val="20"/>
        </w:rPr>
        <w:t>,</w:t>
      </w:r>
      <w:r w:rsidRPr="00711219">
        <w:rPr>
          <w:rFonts w:eastAsia="Times New Roman" w:cs="Times New Roman"/>
          <w:sz w:val="20"/>
          <w:szCs w:val="20"/>
        </w:rPr>
        <w:t xml:space="preserve"> and re-establishing social hierarchies (</w:t>
      </w:r>
      <w:proofErr w:type="spellStart"/>
      <w:r w:rsidRPr="00711219">
        <w:rPr>
          <w:rFonts w:eastAsia="Times New Roman" w:cs="Times New Roman"/>
          <w:sz w:val="20"/>
          <w:szCs w:val="20"/>
        </w:rPr>
        <w:t>Rünger</w:t>
      </w:r>
      <w:proofErr w:type="spellEnd"/>
      <w:r w:rsidRPr="00711219">
        <w:rPr>
          <w:rFonts w:eastAsia="Times New Roman" w:cs="Times New Roman"/>
          <w:sz w:val="20"/>
          <w:szCs w:val="20"/>
        </w:rPr>
        <w:t>, 2006).</w:t>
      </w:r>
    </w:p>
    <w:p w14:paraId="65B8F42F" w14:textId="10C78538" w:rsidR="008462BD" w:rsidRPr="00711219" w:rsidRDefault="004F306F" w:rsidP="006F1AF8">
      <w:pPr>
        <w:pStyle w:val="ListParagraph"/>
        <w:numPr>
          <w:ilvl w:val="0"/>
          <w:numId w:val="3"/>
        </w:numPr>
        <w:spacing w:line="480" w:lineRule="auto"/>
        <w:rPr>
          <w:rFonts w:eastAsia="Times New Roman" w:cs="Times New Roman"/>
          <w:b/>
          <w:sz w:val="22"/>
        </w:rPr>
      </w:pPr>
      <w:r w:rsidRPr="00711219">
        <w:rPr>
          <w:rFonts w:eastAsia="Times New Roman" w:cs="Times New Roman"/>
          <w:b/>
          <w:sz w:val="22"/>
        </w:rPr>
        <w:t>METHODOLOGY</w:t>
      </w:r>
    </w:p>
    <w:p w14:paraId="7159857F" w14:textId="77777777" w:rsidR="00EA668F" w:rsidRDefault="00EA668F" w:rsidP="00D74A30">
      <w:pPr>
        <w:spacing w:after="184" w:line="480" w:lineRule="auto"/>
        <w:ind w:right="422"/>
        <w:rPr>
          <w:rFonts w:cs="Times New Roman"/>
          <w:sz w:val="20"/>
          <w:szCs w:val="20"/>
          <w:lang w:val="en-US"/>
        </w:rPr>
      </w:pPr>
      <w:r w:rsidRPr="00EA668F">
        <w:rPr>
          <w:rFonts w:cs="Times New Roman"/>
          <w:sz w:val="20"/>
          <w:szCs w:val="20"/>
          <w:lang w:val="en-US"/>
        </w:rPr>
        <w:t>There is both customary and statutory ownership of Ghana's land tenure. Approximately 80% is held under customary tenure by stools, families, and clans, with the state holding the rest (Kasanga &amp; Kotey, 2001). There is fractured records, double claims, and minimal land registration coordination due to the dual system (</w:t>
      </w:r>
      <w:proofErr w:type="spellStart"/>
      <w:r w:rsidRPr="00EA668F">
        <w:rPr>
          <w:rFonts w:cs="Times New Roman"/>
          <w:sz w:val="20"/>
          <w:szCs w:val="20"/>
          <w:lang w:val="en-US"/>
        </w:rPr>
        <w:t>Ubink</w:t>
      </w:r>
      <w:proofErr w:type="spellEnd"/>
      <w:r w:rsidRPr="00EA668F">
        <w:rPr>
          <w:rFonts w:cs="Times New Roman"/>
          <w:sz w:val="20"/>
          <w:szCs w:val="20"/>
          <w:lang w:val="en-US"/>
        </w:rPr>
        <w:t>, 2008). Inefficiencies continue despite reforms like the Land Administration Project (LAP I &amp; II) due to low digitization levels, irregular documentation, and poor integration of customary tenure (World Bank, 2013). Urbanization and rising land demand drive land conflict and tenure insecurity (</w:t>
      </w:r>
      <w:proofErr w:type="spellStart"/>
      <w:r w:rsidRPr="00EA668F">
        <w:rPr>
          <w:rFonts w:cs="Times New Roman"/>
          <w:sz w:val="20"/>
          <w:szCs w:val="20"/>
          <w:lang w:val="en-US"/>
        </w:rPr>
        <w:t>Bugri</w:t>
      </w:r>
      <w:proofErr w:type="spellEnd"/>
      <w:r w:rsidRPr="00EA668F">
        <w:rPr>
          <w:rFonts w:cs="Times New Roman"/>
          <w:sz w:val="20"/>
          <w:szCs w:val="20"/>
          <w:lang w:val="en-US"/>
        </w:rPr>
        <w:t xml:space="preserve">, 2012). Digital solutions are necessary to enhance accessibility, transparency, and efficiency in land </w:t>
      </w:r>
      <w:r w:rsidRPr="00EA668F">
        <w:rPr>
          <w:rFonts w:cs="Times New Roman"/>
          <w:sz w:val="20"/>
          <w:szCs w:val="20"/>
          <w:lang w:val="en-US"/>
        </w:rPr>
        <w:lastRenderedPageBreak/>
        <w:t>management. Sekondi-Takoradi, being a mixture of customary and statutory types of land, is an ideal case location to pilot integrated digital land registration models.</w:t>
      </w:r>
    </w:p>
    <w:p w14:paraId="71E7395A" w14:textId="0B3AFF1C" w:rsidR="003A1814" w:rsidRPr="00711219" w:rsidRDefault="003A1814" w:rsidP="00D74A30">
      <w:pPr>
        <w:spacing w:after="184" w:line="480" w:lineRule="auto"/>
        <w:ind w:right="422"/>
        <w:rPr>
          <w:rFonts w:cs="Times New Roman"/>
          <w:sz w:val="20"/>
          <w:szCs w:val="20"/>
          <w:lang w:val="en-US"/>
        </w:rPr>
      </w:pPr>
      <w:r w:rsidRPr="00711219">
        <w:rPr>
          <w:rFonts w:cs="Times New Roman"/>
          <w:sz w:val="20"/>
          <w:szCs w:val="20"/>
          <w:lang w:val="en-US"/>
        </w:rPr>
        <w:t>Sekondi-Takoradi metropolitan area is located between Latitude 4° 52' 30" N and 5° 04' 00" N and Longitudes 1° 37' 00" W and 1° 52' 30"W</w:t>
      </w:r>
      <w:r w:rsidR="001940C7" w:rsidRPr="00711219">
        <w:rPr>
          <w:rFonts w:cs="Times New Roman"/>
          <w:sz w:val="20"/>
          <w:szCs w:val="20"/>
          <w:lang w:val="en-US"/>
        </w:rPr>
        <w:t xml:space="preserve"> at Western Region, Ghana</w:t>
      </w:r>
      <w:r w:rsidRPr="00711219">
        <w:rPr>
          <w:rFonts w:cs="Times New Roman"/>
          <w:sz w:val="20"/>
          <w:szCs w:val="20"/>
          <w:lang w:val="en-US"/>
        </w:rPr>
        <w:t xml:space="preserve">. Bounded to the north of the metropolis is the </w:t>
      </w:r>
      <w:proofErr w:type="spellStart"/>
      <w:r w:rsidRPr="00711219">
        <w:rPr>
          <w:rFonts w:cs="Times New Roman"/>
          <w:sz w:val="20"/>
          <w:szCs w:val="20"/>
          <w:lang w:val="en-US"/>
        </w:rPr>
        <w:t>Mpohor</w:t>
      </w:r>
      <w:proofErr w:type="spellEnd"/>
      <w:r w:rsidRPr="00711219">
        <w:rPr>
          <w:rFonts w:cs="Times New Roman"/>
          <w:sz w:val="20"/>
          <w:szCs w:val="20"/>
          <w:lang w:val="en-US"/>
        </w:rPr>
        <w:t xml:space="preserve"> </w:t>
      </w:r>
      <w:proofErr w:type="spellStart"/>
      <w:r w:rsidRPr="00711219">
        <w:rPr>
          <w:rFonts w:cs="Times New Roman"/>
          <w:sz w:val="20"/>
          <w:szCs w:val="20"/>
          <w:lang w:val="en-US"/>
        </w:rPr>
        <w:t>Wassa</w:t>
      </w:r>
      <w:proofErr w:type="spellEnd"/>
      <w:r w:rsidRPr="00711219">
        <w:rPr>
          <w:rFonts w:cs="Times New Roman"/>
          <w:sz w:val="20"/>
          <w:szCs w:val="20"/>
          <w:lang w:val="en-US"/>
        </w:rPr>
        <w:t xml:space="preserve"> District, </w:t>
      </w:r>
      <w:r w:rsidR="001940C7" w:rsidRPr="00711219">
        <w:rPr>
          <w:rFonts w:cs="Times New Roman"/>
          <w:sz w:val="20"/>
          <w:szCs w:val="20"/>
          <w:lang w:val="en-US"/>
        </w:rPr>
        <w:t xml:space="preserve">to </w:t>
      </w:r>
      <w:r w:rsidRPr="00711219">
        <w:rPr>
          <w:rFonts w:cs="Times New Roman"/>
          <w:sz w:val="20"/>
          <w:szCs w:val="20"/>
          <w:lang w:val="en-US"/>
        </w:rPr>
        <w:t>the south by the Gulf of Guinea, the West by the Ahanta West District</w:t>
      </w:r>
      <w:r w:rsidR="001940C7" w:rsidRPr="00711219">
        <w:rPr>
          <w:rFonts w:cs="Times New Roman"/>
          <w:sz w:val="20"/>
          <w:szCs w:val="20"/>
          <w:lang w:val="en-US"/>
        </w:rPr>
        <w:t>,</w:t>
      </w:r>
      <w:r w:rsidRPr="00711219">
        <w:rPr>
          <w:rFonts w:cs="Times New Roman"/>
          <w:sz w:val="20"/>
          <w:szCs w:val="20"/>
          <w:lang w:val="en-US"/>
        </w:rPr>
        <w:t xml:space="preserve"> and the East by </w:t>
      </w:r>
      <w:r w:rsidR="001940C7" w:rsidRPr="00711219">
        <w:rPr>
          <w:rFonts w:cs="Times New Roman"/>
          <w:sz w:val="20"/>
          <w:szCs w:val="20"/>
          <w:lang w:val="en-US"/>
        </w:rPr>
        <w:t xml:space="preserve">the </w:t>
      </w:r>
      <w:r w:rsidRPr="00711219">
        <w:rPr>
          <w:rFonts w:cs="Times New Roman"/>
          <w:sz w:val="20"/>
          <w:szCs w:val="20"/>
          <w:lang w:val="en-US"/>
        </w:rPr>
        <w:t xml:space="preserve">Shama District. The metropolis happens to be the smallest district in the region, with a land area of 385 Km2. However, it is the most populated district with a population of 559,548 </w:t>
      </w:r>
      <w:r w:rsidR="00F72582" w:rsidRPr="00711219">
        <w:rPr>
          <w:rFonts w:cs="Times New Roman"/>
          <w:sz w:val="20"/>
          <w:szCs w:val="20"/>
          <w:lang w:val="en-US"/>
        </w:rPr>
        <w:t>(</w:t>
      </w:r>
      <w:r w:rsidR="00066F57" w:rsidRPr="00066F57">
        <w:rPr>
          <w:rFonts w:eastAsia="Times New Roman" w:cs="Times New Roman"/>
          <w:bCs/>
          <w:sz w:val="20"/>
          <w:szCs w:val="20"/>
        </w:rPr>
        <w:t>Sekondi-Takoradi Metropolitan Assembly</w:t>
      </w:r>
      <w:r w:rsidR="00066F57">
        <w:rPr>
          <w:rFonts w:eastAsia="Times New Roman" w:cs="Times New Roman"/>
          <w:bCs/>
          <w:sz w:val="20"/>
          <w:szCs w:val="20"/>
        </w:rPr>
        <w:t xml:space="preserve">, </w:t>
      </w:r>
      <w:r w:rsidR="00066F57" w:rsidRPr="00066F57">
        <w:rPr>
          <w:rFonts w:eastAsia="Times New Roman" w:cs="Times New Roman"/>
          <w:bCs/>
          <w:sz w:val="20"/>
          <w:szCs w:val="20"/>
        </w:rPr>
        <w:t>2022</w:t>
      </w:r>
      <w:r w:rsidR="00F72582" w:rsidRPr="00711219">
        <w:rPr>
          <w:rFonts w:cs="Times New Roman"/>
          <w:sz w:val="20"/>
          <w:szCs w:val="20"/>
          <w:lang w:val="en-US"/>
        </w:rPr>
        <w:t>)</w:t>
      </w:r>
      <w:r w:rsidRPr="00711219">
        <w:rPr>
          <w:rFonts w:cs="Times New Roman"/>
          <w:sz w:val="20"/>
          <w:szCs w:val="20"/>
          <w:lang w:val="en-US"/>
        </w:rPr>
        <w:t>.  The metropolis is strategically located in the south-western part of the country, about 242 Km to the west of Accra, the capital city, and approximately 280 Km from the La Côte d’Ivoire in the west</w:t>
      </w:r>
      <w:r w:rsidR="00F72582" w:rsidRPr="00711219">
        <w:rPr>
          <w:rFonts w:cs="Times New Roman"/>
          <w:sz w:val="20"/>
          <w:szCs w:val="20"/>
          <w:lang w:val="en-US"/>
        </w:rPr>
        <w:t xml:space="preserve"> (</w:t>
      </w:r>
      <w:r w:rsidR="00066F57" w:rsidRPr="00066F57">
        <w:rPr>
          <w:rFonts w:eastAsia="Times New Roman" w:cs="Times New Roman"/>
          <w:bCs/>
          <w:sz w:val="20"/>
          <w:szCs w:val="20"/>
        </w:rPr>
        <w:t>Sekondi-Takoradi Metropolitan Assembly</w:t>
      </w:r>
      <w:r w:rsidR="00066F57">
        <w:rPr>
          <w:rFonts w:eastAsia="Times New Roman" w:cs="Times New Roman"/>
          <w:bCs/>
          <w:sz w:val="20"/>
          <w:szCs w:val="20"/>
        </w:rPr>
        <w:t xml:space="preserve">, </w:t>
      </w:r>
      <w:r w:rsidR="00066F57" w:rsidRPr="00066F57">
        <w:rPr>
          <w:rFonts w:eastAsia="Times New Roman" w:cs="Times New Roman"/>
          <w:bCs/>
          <w:sz w:val="20"/>
          <w:szCs w:val="20"/>
        </w:rPr>
        <w:t>2022</w:t>
      </w:r>
      <w:r w:rsidR="00F72582" w:rsidRPr="00711219">
        <w:rPr>
          <w:rFonts w:cs="Times New Roman"/>
          <w:sz w:val="20"/>
          <w:szCs w:val="20"/>
          <w:lang w:val="en-US"/>
        </w:rPr>
        <w:t>)</w:t>
      </w:r>
      <w:r w:rsidRPr="00711219">
        <w:rPr>
          <w:rFonts w:cs="Times New Roman"/>
          <w:sz w:val="20"/>
          <w:szCs w:val="20"/>
          <w:lang w:val="en-US"/>
        </w:rPr>
        <w:t>. Figure 1 is a map of the study area</w:t>
      </w:r>
      <w:r w:rsidR="00F72582" w:rsidRPr="00711219">
        <w:rPr>
          <w:rFonts w:cs="Times New Roman"/>
          <w:sz w:val="20"/>
          <w:szCs w:val="20"/>
          <w:lang w:val="en-US"/>
        </w:rPr>
        <w:t>.</w:t>
      </w:r>
    </w:p>
    <w:p w14:paraId="38E817F4" w14:textId="657E53DE" w:rsidR="003A1814" w:rsidRPr="00711219" w:rsidRDefault="00A15DF3" w:rsidP="006F1AF8">
      <w:pPr>
        <w:spacing w:after="184" w:line="480" w:lineRule="auto"/>
        <w:ind w:left="14" w:right="422"/>
        <w:rPr>
          <w:rFonts w:cs="Times New Roman"/>
          <w:sz w:val="20"/>
          <w:szCs w:val="20"/>
          <w:lang w:val="en-US"/>
        </w:rPr>
      </w:pPr>
      <w:r w:rsidRPr="00711219">
        <w:rPr>
          <w:rFonts w:cs="Times New Roman"/>
          <w:noProof/>
          <w:sz w:val="20"/>
          <w:szCs w:val="20"/>
          <w:lang w:val="en-IN" w:eastAsia="en-IN"/>
        </w:rPr>
        <w:drawing>
          <wp:inline distT="0" distB="0" distL="0" distR="0" wp14:anchorId="3A6468DB" wp14:editId="4C99D621">
            <wp:extent cx="5731510" cy="4005580"/>
            <wp:effectExtent l="0" t="0" r="2540" b="0"/>
            <wp:docPr id="1529748010" name="Picture 5" descr="vvvvx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48010" name="Picture 5" descr="vvvvxvv"/>
                    <pic:cNvPicPr/>
                  </pic:nvPicPr>
                  <pic:blipFill>
                    <a:blip r:embed="rId8">
                      <a:extLst>
                        <a:ext uri="{28A0092B-C50C-407E-A947-70E740481C1C}">
                          <a14:useLocalDpi xmlns:a14="http://schemas.microsoft.com/office/drawing/2010/main" val="0"/>
                        </a:ext>
                      </a:extLst>
                    </a:blip>
                    <a:stretch>
                      <a:fillRect/>
                    </a:stretch>
                  </pic:blipFill>
                  <pic:spPr>
                    <a:xfrm>
                      <a:off x="0" y="0"/>
                      <a:ext cx="5731510" cy="4005580"/>
                    </a:xfrm>
                    <a:prstGeom prst="rect">
                      <a:avLst/>
                    </a:prstGeom>
                  </pic:spPr>
                </pic:pic>
              </a:graphicData>
            </a:graphic>
          </wp:inline>
        </w:drawing>
      </w:r>
    </w:p>
    <w:p w14:paraId="333FE0B3" w14:textId="5A2ACA1A" w:rsidR="00F72582" w:rsidRPr="00711219" w:rsidRDefault="00F72582" w:rsidP="003D7562">
      <w:pPr>
        <w:spacing w:after="184" w:line="480" w:lineRule="auto"/>
        <w:ind w:right="422"/>
        <w:jc w:val="center"/>
        <w:rPr>
          <w:rFonts w:cs="Times New Roman"/>
          <w:sz w:val="20"/>
          <w:szCs w:val="20"/>
          <w:lang w:val="en-US"/>
        </w:rPr>
      </w:pPr>
      <w:r w:rsidRPr="00711219">
        <w:rPr>
          <w:rFonts w:cs="Times New Roman"/>
          <w:sz w:val="20"/>
          <w:szCs w:val="20"/>
          <w:lang w:val="en-US"/>
        </w:rPr>
        <w:t xml:space="preserve">Source: </w:t>
      </w:r>
      <w:r w:rsidR="00141F4B" w:rsidRPr="00711219">
        <w:rPr>
          <w:rFonts w:cs="Times New Roman"/>
          <w:sz w:val="20"/>
          <w:szCs w:val="20"/>
          <w:lang w:val="en-US"/>
        </w:rPr>
        <w:t>Adjei Mensah et al.</w:t>
      </w:r>
      <w:r w:rsidRPr="00711219">
        <w:rPr>
          <w:rFonts w:cs="Times New Roman"/>
          <w:sz w:val="20"/>
          <w:szCs w:val="20"/>
          <w:lang w:val="en-US"/>
        </w:rPr>
        <w:t xml:space="preserve"> (2015)</w:t>
      </w:r>
    </w:p>
    <w:p w14:paraId="349BF6C3" w14:textId="34802E11" w:rsidR="00F72582" w:rsidRPr="00711219" w:rsidRDefault="00F72582" w:rsidP="003D7562">
      <w:pPr>
        <w:spacing w:after="184" w:line="480" w:lineRule="auto"/>
        <w:ind w:right="422"/>
        <w:jc w:val="center"/>
        <w:rPr>
          <w:rFonts w:cs="Times New Roman"/>
          <w:sz w:val="20"/>
          <w:szCs w:val="20"/>
          <w:lang w:val="en-US"/>
        </w:rPr>
      </w:pPr>
      <w:r w:rsidRPr="00711219">
        <w:rPr>
          <w:rFonts w:cs="Times New Roman"/>
          <w:b/>
          <w:bCs/>
          <w:sz w:val="20"/>
          <w:szCs w:val="20"/>
          <w:lang w:val="en-US"/>
        </w:rPr>
        <w:t>Figure 1:</w:t>
      </w:r>
      <w:r w:rsidRPr="00711219">
        <w:rPr>
          <w:rFonts w:cs="Times New Roman"/>
          <w:sz w:val="20"/>
          <w:szCs w:val="20"/>
          <w:lang w:val="en-US"/>
        </w:rPr>
        <w:t xml:space="preserve"> </w:t>
      </w:r>
      <w:r w:rsidR="00C52030" w:rsidRPr="00711219">
        <w:rPr>
          <w:rFonts w:cs="Times New Roman"/>
          <w:sz w:val="20"/>
          <w:szCs w:val="20"/>
          <w:lang w:val="en-US"/>
        </w:rPr>
        <w:t>Contextual</w:t>
      </w:r>
      <w:r w:rsidR="00A15DF3" w:rsidRPr="00711219">
        <w:rPr>
          <w:rFonts w:cs="Times New Roman"/>
          <w:sz w:val="20"/>
          <w:szCs w:val="20"/>
          <w:lang w:val="en-US"/>
        </w:rPr>
        <w:t xml:space="preserve"> </w:t>
      </w:r>
      <w:r w:rsidR="003D7562" w:rsidRPr="00711219">
        <w:rPr>
          <w:rFonts w:cs="Times New Roman"/>
          <w:sz w:val="20"/>
          <w:szCs w:val="20"/>
          <w:lang w:val="en-US"/>
        </w:rPr>
        <w:t>M</w:t>
      </w:r>
      <w:r w:rsidR="00A15DF3" w:rsidRPr="00711219">
        <w:rPr>
          <w:rFonts w:cs="Times New Roman"/>
          <w:sz w:val="20"/>
          <w:szCs w:val="20"/>
          <w:lang w:val="en-US"/>
        </w:rPr>
        <w:t>ap of Ghana showing the Sekondi-Takoradi metropolitan area</w:t>
      </w:r>
    </w:p>
    <w:p w14:paraId="1E2AB9E9" w14:textId="26EA34B2" w:rsidR="006F1AF8" w:rsidRPr="00711219" w:rsidRDefault="006F1AF8" w:rsidP="006F1AF8">
      <w:pPr>
        <w:spacing w:line="480" w:lineRule="auto"/>
        <w:rPr>
          <w:rFonts w:cs="Times New Roman"/>
          <w:sz w:val="20"/>
          <w:szCs w:val="20"/>
          <w:lang w:val="en-US"/>
        </w:rPr>
      </w:pPr>
      <w:bookmarkStart w:id="0" w:name="_Hlk197694220"/>
      <w:r w:rsidRPr="00711219">
        <w:rPr>
          <w:rFonts w:cs="Times New Roman"/>
          <w:sz w:val="20"/>
          <w:szCs w:val="20"/>
          <w:lang w:val="en-US"/>
        </w:rPr>
        <w:lastRenderedPageBreak/>
        <w:t xml:space="preserve">Land ownership in Sekondi-Takoradi illustrates Ghana's plural landholding system, which consists of customary, statutory, and informal rights. The land is owned by stools, families, and clans, with a portion being state-owned by the Lands Commission. The dual control results in coordination problems, fragmented records, and difficulties in uniform land registration (Kasanga &amp; Kotey, 2001). Sekondi-Takoradi's complex land transactions and economic significance render it appropriate for piloting land administration reforms. The juxtaposition of state and customary lands, urban sprawl, and tenure insecurity makes the need for an integrated registration system more pressing </w:t>
      </w:r>
      <w:r w:rsidR="00BB68C0" w:rsidRPr="00711219">
        <w:rPr>
          <w:rFonts w:eastAsia="Times New Roman" w:cs="Times New Roman"/>
          <w:bCs/>
          <w:sz w:val="20"/>
          <w:szCs w:val="20"/>
        </w:rPr>
        <w:t>(</w:t>
      </w:r>
      <w:r w:rsidR="00BB68C0" w:rsidRPr="00650269">
        <w:rPr>
          <w:rFonts w:eastAsia="Times New Roman" w:cs="Times New Roman"/>
          <w:bCs/>
          <w:sz w:val="20"/>
          <w:szCs w:val="20"/>
        </w:rPr>
        <w:t>Issah,</w:t>
      </w:r>
      <w:r w:rsidR="00BB68C0">
        <w:rPr>
          <w:rFonts w:eastAsia="Times New Roman" w:cs="Times New Roman"/>
          <w:bCs/>
          <w:sz w:val="20"/>
          <w:szCs w:val="20"/>
        </w:rPr>
        <w:t xml:space="preserve"> </w:t>
      </w:r>
      <w:r w:rsidR="00BB68C0" w:rsidRPr="00650269">
        <w:rPr>
          <w:rFonts w:eastAsia="Times New Roman" w:cs="Times New Roman"/>
          <w:bCs/>
          <w:sz w:val="20"/>
          <w:szCs w:val="20"/>
        </w:rPr>
        <w:t>2016</w:t>
      </w:r>
      <w:r w:rsidR="00BB68C0" w:rsidRPr="00711219">
        <w:rPr>
          <w:rFonts w:eastAsia="Times New Roman" w:cs="Times New Roman"/>
          <w:bCs/>
          <w:sz w:val="20"/>
          <w:szCs w:val="20"/>
        </w:rPr>
        <w:t>)</w:t>
      </w:r>
      <w:r w:rsidRPr="00711219">
        <w:rPr>
          <w:rFonts w:cs="Times New Roman"/>
          <w:sz w:val="20"/>
          <w:szCs w:val="20"/>
          <w:lang w:val="en-US"/>
        </w:rPr>
        <w:t>.</w:t>
      </w:r>
    </w:p>
    <w:p w14:paraId="26C9FC76" w14:textId="77777777" w:rsidR="006F1AF8" w:rsidRPr="00711219" w:rsidRDefault="006F1AF8" w:rsidP="006F1AF8">
      <w:pPr>
        <w:spacing w:line="480" w:lineRule="auto"/>
        <w:rPr>
          <w:rFonts w:cs="Times New Roman"/>
          <w:sz w:val="20"/>
          <w:szCs w:val="20"/>
          <w:lang w:val="en-US"/>
        </w:rPr>
      </w:pPr>
      <w:r w:rsidRPr="00711219">
        <w:rPr>
          <w:rFonts w:cs="Times New Roman"/>
          <w:sz w:val="20"/>
          <w:szCs w:val="20"/>
          <w:lang w:val="en-US"/>
        </w:rPr>
        <w:t>This study used mixed methods: qualitative interviews of institutional actors and quantitative questionnaires for clients in Sekondi-Takoradi. Purposive sampling ensured authentic information from experienced respondents, whereas random sampling was used with clients. Primary data were gathered mainly through interviews and questionnaires, whereas secondary data came from reports, books, and journal articles. Qualitative data were analyzed with MAXQDA, and quantitative data with SPSS for determining client satisfaction and service delivery. The approach determines system inefficiencies and supports future land registration reforms.</w:t>
      </w:r>
    </w:p>
    <w:p w14:paraId="5F3FE8C5" w14:textId="5FCD72AD" w:rsidR="008462BD" w:rsidRPr="00711219" w:rsidRDefault="003533B8" w:rsidP="006F1AF8">
      <w:pPr>
        <w:spacing w:line="480" w:lineRule="auto"/>
        <w:rPr>
          <w:rFonts w:cs="Times New Roman"/>
          <w:b/>
          <w:bCs/>
          <w:sz w:val="20"/>
          <w:szCs w:val="20"/>
        </w:rPr>
      </w:pPr>
      <w:r w:rsidRPr="00711219">
        <w:rPr>
          <w:rFonts w:cs="Times New Roman"/>
          <w:b/>
          <w:bCs/>
          <w:sz w:val="20"/>
          <w:szCs w:val="20"/>
        </w:rPr>
        <w:t xml:space="preserve">4. </w:t>
      </w:r>
      <w:r w:rsidR="004F306F" w:rsidRPr="00711219">
        <w:rPr>
          <w:rFonts w:cs="Times New Roman"/>
          <w:b/>
          <w:bCs/>
          <w:sz w:val="22"/>
        </w:rPr>
        <w:t>DATA ANALYSIS AND PRESENTATION</w:t>
      </w:r>
      <w:r w:rsidR="004F306F" w:rsidRPr="00711219">
        <w:rPr>
          <w:rFonts w:cs="Times New Roman"/>
          <w:b/>
          <w:bCs/>
          <w:sz w:val="20"/>
          <w:szCs w:val="20"/>
        </w:rPr>
        <w:t xml:space="preserve"> </w:t>
      </w:r>
    </w:p>
    <w:p w14:paraId="4E13F1C0" w14:textId="169A88E9"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4.1 </w:t>
      </w:r>
      <w:r w:rsidR="003533B8" w:rsidRPr="00711219">
        <w:rPr>
          <w:rFonts w:cs="Times New Roman"/>
          <w:b/>
          <w:bCs/>
          <w:sz w:val="20"/>
          <w:szCs w:val="20"/>
        </w:rPr>
        <w:t xml:space="preserve">Types of Land Ownership </w:t>
      </w:r>
    </w:p>
    <w:p w14:paraId="330D83F0" w14:textId="37C30345" w:rsidR="00A876E5" w:rsidRPr="00711219" w:rsidRDefault="00E249A6" w:rsidP="006F1AF8">
      <w:pPr>
        <w:spacing w:after="272" w:line="480" w:lineRule="auto"/>
        <w:rPr>
          <w:rFonts w:cs="Times New Roman"/>
          <w:sz w:val="20"/>
          <w:szCs w:val="20"/>
        </w:rPr>
      </w:pPr>
      <w:r w:rsidRPr="00711219">
        <w:rPr>
          <w:rFonts w:cs="Times New Roman"/>
          <w:sz w:val="20"/>
          <w:szCs w:val="20"/>
        </w:rPr>
        <w:t xml:space="preserve">The initial phase in the land registration process in Sekondi-Takoradi involves identifying the type of land ownership and the corresponding rights. The entities responsible for registering each category of land ownership </w:t>
      </w:r>
      <w:r w:rsidR="007D593E">
        <w:rPr>
          <w:rFonts w:cs="Times New Roman"/>
          <w:sz w:val="20"/>
          <w:szCs w:val="20"/>
        </w:rPr>
        <w:t>were</w:t>
      </w:r>
      <w:r w:rsidRPr="00711219">
        <w:rPr>
          <w:rFonts w:cs="Times New Roman"/>
          <w:sz w:val="20"/>
          <w:szCs w:val="20"/>
        </w:rPr>
        <w:t xml:space="preserve"> assessed. The subsequent discussion elaborates on the various forms of property ownership and rights, along with the land registration process and its deficiencies. Lands that require registration under the Land Act 2020 (Act 1036) include Public and Vested Lands, Stool Lands, and Family Lands</w:t>
      </w:r>
      <w:r w:rsidR="001B0176" w:rsidRPr="00711219">
        <w:rPr>
          <w:rFonts w:cs="Times New Roman"/>
          <w:sz w:val="20"/>
          <w:szCs w:val="20"/>
        </w:rPr>
        <w:t xml:space="preserve"> as shown in Figure 2</w:t>
      </w:r>
      <w:r w:rsidR="00120059" w:rsidRPr="00711219">
        <w:rPr>
          <w:rFonts w:cs="Times New Roman"/>
          <w:sz w:val="20"/>
          <w:szCs w:val="20"/>
        </w:rPr>
        <w:t>.</w:t>
      </w:r>
      <w:r w:rsidRPr="00711219">
        <w:rPr>
          <w:rFonts w:cs="Times New Roman"/>
          <w:sz w:val="20"/>
          <w:szCs w:val="20"/>
        </w:rPr>
        <w:t xml:space="preserve"> </w:t>
      </w:r>
    </w:p>
    <w:p w14:paraId="4C71F7EC" w14:textId="378649FE" w:rsidR="00D76605" w:rsidRPr="00711219" w:rsidRDefault="00FD526D" w:rsidP="006F1AF8">
      <w:pPr>
        <w:spacing w:line="480" w:lineRule="auto"/>
        <w:ind w:left="101" w:right="36"/>
        <w:rPr>
          <w:rFonts w:cs="Times New Roman"/>
          <w:sz w:val="20"/>
          <w:szCs w:val="20"/>
        </w:rPr>
      </w:pPr>
      <w:r w:rsidRPr="00711219">
        <w:rPr>
          <w:rFonts w:cs="Times New Roman"/>
          <w:b/>
          <w:bCs/>
          <w:i/>
          <w:iCs/>
          <w:sz w:val="20"/>
          <w:szCs w:val="20"/>
        </w:rPr>
        <w:t>Public and Vested Lands</w:t>
      </w:r>
      <w:r w:rsidR="00D76605" w:rsidRPr="00711219">
        <w:rPr>
          <w:rFonts w:cs="Times New Roman"/>
          <w:b/>
          <w:bCs/>
          <w:i/>
          <w:iCs/>
          <w:sz w:val="20"/>
          <w:szCs w:val="20"/>
        </w:rPr>
        <w:t>:</w:t>
      </w:r>
      <w:r w:rsidR="00D76605" w:rsidRPr="00711219">
        <w:rPr>
          <w:rFonts w:cs="Times New Roman"/>
          <w:sz w:val="20"/>
          <w:szCs w:val="20"/>
        </w:rPr>
        <w:t xml:space="preserve"> The state owns the public and vested lands. Vested lands are held in trust for a stool or family. They are compulsorily acquired by the state when there are disputes and conflicts over the land. There is a dual ownership under vested lands</w:t>
      </w:r>
      <w:r w:rsidR="00C761C5">
        <w:rPr>
          <w:rFonts w:cs="Times New Roman"/>
          <w:sz w:val="20"/>
          <w:szCs w:val="20"/>
        </w:rPr>
        <w:t xml:space="preserve"> (Lands Acts, 2020 (Act 1036))</w:t>
      </w:r>
      <w:r w:rsidR="00D76605" w:rsidRPr="00711219">
        <w:rPr>
          <w:rFonts w:cs="Times New Roman"/>
          <w:sz w:val="20"/>
          <w:szCs w:val="20"/>
        </w:rPr>
        <w:t xml:space="preserve">. The state exercises the legal ownership, whereas the stool or family has the beneficial ownership. Public lands, on the other hand, are compulsorily acquired by the state in the interest of the public. Absolute ownership is vested in the state. Registration of land rights through the application for the concurrent letter is required for the registration of public and vested lands. The concurrent letter shows the request of an applicant to purchase public land. This enables the applicant to continue the registration process. </w:t>
      </w:r>
    </w:p>
    <w:p w14:paraId="5705AC78" w14:textId="2E8397B5" w:rsidR="00D76605" w:rsidRPr="00711219" w:rsidRDefault="00FD526D" w:rsidP="006F1AF8">
      <w:pPr>
        <w:spacing w:after="179" w:line="480" w:lineRule="auto"/>
        <w:ind w:right="34"/>
        <w:rPr>
          <w:rFonts w:cs="Times New Roman"/>
          <w:sz w:val="20"/>
          <w:szCs w:val="20"/>
        </w:rPr>
      </w:pPr>
      <w:r w:rsidRPr="00711219">
        <w:rPr>
          <w:rFonts w:cs="Times New Roman"/>
          <w:b/>
          <w:bCs/>
          <w:i/>
          <w:iCs/>
          <w:sz w:val="20"/>
          <w:szCs w:val="20"/>
        </w:rPr>
        <w:lastRenderedPageBreak/>
        <w:t>Stool Lands</w:t>
      </w:r>
      <w:r w:rsidR="00D76605" w:rsidRPr="00711219">
        <w:rPr>
          <w:rFonts w:cs="Times New Roman"/>
          <w:b/>
          <w:bCs/>
          <w:i/>
          <w:iCs/>
          <w:sz w:val="20"/>
          <w:szCs w:val="20"/>
        </w:rPr>
        <w:t xml:space="preserve">: </w:t>
      </w:r>
      <w:r w:rsidR="00D76605" w:rsidRPr="00711219">
        <w:rPr>
          <w:rFonts w:cs="Times New Roman"/>
          <w:sz w:val="20"/>
          <w:szCs w:val="20"/>
        </w:rPr>
        <w:t>Stool lands are lands owned by the stool on behalf of its subjects</w:t>
      </w:r>
      <w:r w:rsidR="00774BB4">
        <w:rPr>
          <w:rFonts w:cs="Times New Roman"/>
          <w:sz w:val="20"/>
          <w:szCs w:val="20"/>
        </w:rPr>
        <w:t xml:space="preserve"> (</w:t>
      </w:r>
      <w:r w:rsidR="00774BB4" w:rsidRPr="00D74A30">
        <w:rPr>
          <w:rFonts w:cs="Times New Roman"/>
          <w:sz w:val="20"/>
          <w:szCs w:val="20"/>
          <w:lang w:val="en-US"/>
        </w:rPr>
        <w:t>Kasanga &amp; Kotey, 2001</w:t>
      </w:r>
      <w:r w:rsidR="00774BB4">
        <w:rPr>
          <w:rFonts w:cs="Times New Roman"/>
          <w:sz w:val="20"/>
          <w:szCs w:val="20"/>
          <w:lang w:val="en-US"/>
        </w:rPr>
        <w:t>)</w:t>
      </w:r>
      <w:r w:rsidR="00D76605" w:rsidRPr="00711219">
        <w:rPr>
          <w:rFonts w:cs="Times New Roman"/>
          <w:sz w:val="20"/>
          <w:szCs w:val="20"/>
        </w:rPr>
        <w:t xml:space="preserve">. Over 65 stools in Sekondi-Takoradi are under the jurisdiction of chiefs and their principal elders. When land is sold, chiefs and their elders give an account to the beneficiaries. The Chiefs' spatial power is vested in the Customary Lands Secretariat.  The Customary Land Secretariat allocates 40% of the yearly fees it receives from the recording of stool lands to stool maintenance, 50% to CLS operations, and 10% to community development. Elders and chiefs are the representatives of each stool land. Registration of stool lands necessitates the recording of land rights, proposal notes, and consent letters. Stool lands are purposefully "noted" to keep track of how each application has registered their stool lands. This is to avoid having that stool registered twice.  </w:t>
      </w:r>
    </w:p>
    <w:p w14:paraId="2EBE81DB" w14:textId="6E0A5AB2" w:rsidR="00D76605" w:rsidRPr="00711219" w:rsidRDefault="007522BF" w:rsidP="006F1AF8">
      <w:pPr>
        <w:spacing w:line="480" w:lineRule="auto"/>
        <w:ind w:right="41"/>
        <w:rPr>
          <w:rFonts w:cs="Times New Roman"/>
          <w:sz w:val="20"/>
          <w:szCs w:val="20"/>
        </w:rPr>
      </w:pPr>
      <w:r w:rsidRPr="00711219">
        <w:rPr>
          <w:rFonts w:cs="Times New Roman"/>
          <w:b/>
          <w:bCs/>
          <w:i/>
          <w:iCs/>
          <w:sz w:val="20"/>
          <w:szCs w:val="20"/>
        </w:rPr>
        <w:t>Family Lands</w:t>
      </w:r>
      <w:r w:rsidR="00D76605" w:rsidRPr="00711219">
        <w:rPr>
          <w:rFonts w:cs="Times New Roman"/>
          <w:b/>
          <w:bCs/>
          <w:i/>
          <w:iCs/>
          <w:sz w:val="20"/>
          <w:szCs w:val="20"/>
        </w:rPr>
        <w:t>:</w:t>
      </w:r>
      <w:r w:rsidRPr="00711219">
        <w:rPr>
          <w:rFonts w:cs="Times New Roman"/>
          <w:b/>
          <w:bCs/>
          <w:i/>
          <w:iCs/>
          <w:sz w:val="20"/>
          <w:szCs w:val="20"/>
        </w:rPr>
        <w:t xml:space="preserve"> </w:t>
      </w:r>
      <w:r w:rsidR="00764D87" w:rsidRPr="00764D87">
        <w:rPr>
          <w:rFonts w:cs="Times New Roman"/>
          <w:sz w:val="20"/>
          <w:szCs w:val="20"/>
        </w:rPr>
        <w:t>A</w:t>
      </w:r>
      <w:r w:rsidR="00764D87">
        <w:rPr>
          <w:rFonts w:cs="Times New Roman"/>
          <w:sz w:val="20"/>
          <w:szCs w:val="20"/>
        </w:rPr>
        <w:t>ccording to Yeboah &amp; Shaw (2013), f</w:t>
      </w:r>
      <w:r w:rsidR="00764D87" w:rsidRPr="00764D87">
        <w:rPr>
          <w:rFonts w:cs="Times New Roman"/>
          <w:sz w:val="20"/>
          <w:szCs w:val="20"/>
        </w:rPr>
        <w:t>amily lands are typically owned collectively by family members and managed by designated family heads. This collective ownership is rooted in traditional customs and practices.</w:t>
      </w:r>
      <w:r w:rsidR="00764D87">
        <w:rPr>
          <w:rFonts w:cs="Times New Roman"/>
          <w:sz w:val="20"/>
          <w:szCs w:val="20"/>
        </w:rPr>
        <w:t xml:space="preserve"> </w:t>
      </w:r>
      <w:r w:rsidR="000166D2">
        <w:rPr>
          <w:rFonts w:cs="Times New Roman"/>
          <w:sz w:val="20"/>
          <w:szCs w:val="20"/>
        </w:rPr>
        <w:t>Family</w:t>
      </w:r>
      <w:r w:rsidR="00D76605" w:rsidRPr="00711219">
        <w:rPr>
          <w:rFonts w:cs="Times New Roman"/>
          <w:sz w:val="20"/>
          <w:szCs w:val="20"/>
        </w:rPr>
        <w:t xml:space="preserve"> lands owned by family groups in Sekondi-Takoradi. The family heads manage these lands on behalf of the family members. Currently, there are over 178 families owning land in Sekondi-Takoradi. however, new families emerge over time when there is a division within a family (extended family to nuclear family). This creates land conflicts between families during land division, hence creating a rejection of land documents at the registration point. Family lands are directly registered following the land rights recording. Family lands do not require the contemporaneous letter to be issued and the note of proposal. This is because Ghanaian law does not specifically address how family lands should be managed or disposed of. Family lands thus lead to many conflicts amongst land guards (private security for the family), which prompts the Legal Department of the Lands Commission to strictly evaluate the necessary documentation to prevent the sale of land twice. </w:t>
      </w:r>
    </w:p>
    <w:p w14:paraId="39FE828F" w14:textId="7B44650D" w:rsidR="00D430FB" w:rsidRPr="00711219" w:rsidRDefault="00D430FB" w:rsidP="006F1AF8">
      <w:pPr>
        <w:spacing w:line="480" w:lineRule="auto"/>
        <w:rPr>
          <w:rFonts w:cs="Times New Roman"/>
          <w:sz w:val="20"/>
          <w:szCs w:val="20"/>
        </w:rPr>
      </w:pPr>
      <w:r w:rsidRPr="00711219">
        <w:rPr>
          <w:rFonts w:cs="Times New Roman"/>
          <w:noProof/>
          <w:sz w:val="20"/>
          <w:szCs w:val="20"/>
          <w:lang w:val="en-IN" w:eastAsia="en-IN"/>
        </w:rPr>
        <w:drawing>
          <wp:inline distT="0" distB="0" distL="0" distR="0" wp14:anchorId="09E591F2" wp14:editId="3644937B">
            <wp:extent cx="4933950" cy="2533650"/>
            <wp:effectExtent l="0" t="0" r="0" b="19050"/>
            <wp:docPr id="853719253" name="Diagram 2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1F9523B" w14:textId="3BC16788" w:rsidR="00665226" w:rsidRPr="00711219" w:rsidRDefault="00665226" w:rsidP="003D7562">
      <w:pPr>
        <w:spacing w:after="0" w:line="480" w:lineRule="auto"/>
        <w:ind w:right="473"/>
        <w:jc w:val="center"/>
        <w:rPr>
          <w:rFonts w:cs="Times New Roman"/>
          <w:sz w:val="20"/>
          <w:szCs w:val="20"/>
        </w:rPr>
      </w:pPr>
      <w:r w:rsidRPr="00711219">
        <w:rPr>
          <w:rFonts w:cs="Times New Roman"/>
          <w:sz w:val="20"/>
          <w:szCs w:val="20"/>
        </w:rPr>
        <w:lastRenderedPageBreak/>
        <w:t xml:space="preserve">Source: </w:t>
      </w:r>
      <w:r w:rsidR="00A44FAD" w:rsidRPr="00711219">
        <w:rPr>
          <w:rFonts w:cs="Times New Roman"/>
          <w:sz w:val="20"/>
          <w:szCs w:val="20"/>
        </w:rPr>
        <w:t>Authors’ Construct</w:t>
      </w:r>
    </w:p>
    <w:p w14:paraId="00AC2FBA" w14:textId="0E9E2E77" w:rsidR="008462BD" w:rsidRPr="00711219" w:rsidRDefault="008462BD" w:rsidP="003D7562">
      <w:pPr>
        <w:spacing w:line="480" w:lineRule="auto"/>
        <w:jc w:val="center"/>
        <w:rPr>
          <w:rFonts w:cs="Times New Roman"/>
          <w:sz w:val="20"/>
          <w:szCs w:val="20"/>
        </w:rPr>
      </w:pPr>
      <w:r w:rsidRPr="00711219">
        <w:rPr>
          <w:rFonts w:cs="Times New Roman"/>
          <w:b/>
          <w:bCs/>
          <w:sz w:val="20"/>
          <w:szCs w:val="20"/>
        </w:rPr>
        <w:t>Figure 2</w:t>
      </w:r>
      <w:r w:rsidR="00665226" w:rsidRPr="00711219">
        <w:rPr>
          <w:rFonts w:cs="Times New Roman"/>
          <w:b/>
          <w:bCs/>
          <w:sz w:val="20"/>
          <w:szCs w:val="20"/>
        </w:rPr>
        <w:t>:</w:t>
      </w:r>
      <w:r w:rsidRPr="00711219">
        <w:rPr>
          <w:rFonts w:cs="Times New Roman"/>
          <w:sz w:val="20"/>
          <w:szCs w:val="20"/>
        </w:rPr>
        <w:t xml:space="preserve"> Land Tenure System </w:t>
      </w:r>
      <w:r w:rsidR="00665226" w:rsidRPr="00711219">
        <w:rPr>
          <w:rFonts w:cs="Times New Roman"/>
          <w:sz w:val="20"/>
          <w:szCs w:val="20"/>
        </w:rPr>
        <w:t>in Ghana</w:t>
      </w:r>
    </w:p>
    <w:p w14:paraId="68AF9A81" w14:textId="229BC7AE"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4.1.2.  Types of Land </w:t>
      </w:r>
      <w:r w:rsidR="00A876E5" w:rsidRPr="00711219">
        <w:rPr>
          <w:rFonts w:cs="Times New Roman"/>
          <w:b/>
          <w:bCs/>
          <w:sz w:val="20"/>
          <w:szCs w:val="20"/>
        </w:rPr>
        <w:t>Rights</w:t>
      </w:r>
      <w:r w:rsidRPr="00711219">
        <w:rPr>
          <w:rFonts w:cs="Times New Roman"/>
          <w:b/>
          <w:bCs/>
          <w:sz w:val="20"/>
          <w:szCs w:val="20"/>
        </w:rPr>
        <w:t xml:space="preserve"> Recognized in the Registration Process  </w:t>
      </w:r>
    </w:p>
    <w:p w14:paraId="21B79931" w14:textId="0B37793D" w:rsidR="00B55297" w:rsidRPr="00711219" w:rsidRDefault="00B55297" w:rsidP="00B55297">
      <w:pPr>
        <w:spacing w:after="451" w:line="480" w:lineRule="auto"/>
        <w:ind w:left="5"/>
        <w:rPr>
          <w:rFonts w:cs="Times New Roman"/>
          <w:sz w:val="20"/>
          <w:szCs w:val="20"/>
        </w:rPr>
      </w:pPr>
      <w:r w:rsidRPr="00711219">
        <w:rPr>
          <w:rFonts w:cs="Times New Roman"/>
          <w:sz w:val="20"/>
          <w:szCs w:val="20"/>
        </w:rPr>
        <w:t xml:space="preserve">Figure 3 reveals that in Sekondi-Takoradi, the predominant types of land rights registered are leasehold, allodial, sublease, and assignment. These rights can be registered under a family name, the state, or a stool. A field study involving 150 participants indicates that 71.6% of the registered land rights are leasehold, 0.5% are freehold, 3% are allodial, 6.9% are sublease, and 18% are assignment. This data implies that there are relatively few perpetual </w:t>
      </w:r>
      <w:r w:rsidR="00C478A4" w:rsidRPr="00711219">
        <w:rPr>
          <w:rFonts w:cs="Times New Roman"/>
          <w:sz w:val="20"/>
          <w:szCs w:val="20"/>
        </w:rPr>
        <w:t>lands</w:t>
      </w:r>
      <w:r w:rsidRPr="00711219">
        <w:rPr>
          <w:rFonts w:cs="Times New Roman"/>
          <w:sz w:val="20"/>
          <w:szCs w:val="20"/>
        </w:rPr>
        <w:t xml:space="preserve"> right holders in Sekondi-Takoradi, leading to a higher prevalence of leasehold, sublease, and assignment registrations. The analysis clearly shows that the registration process is influenced more by the type of land ownership than by the property rights themselves.</w:t>
      </w:r>
    </w:p>
    <w:p w14:paraId="26DEE7BC" w14:textId="77777777" w:rsidR="00457422" w:rsidRPr="00711219" w:rsidRDefault="00457422" w:rsidP="00457422">
      <w:pPr>
        <w:spacing w:line="480" w:lineRule="auto"/>
        <w:ind w:left="14" w:right="467"/>
        <w:rPr>
          <w:rFonts w:cs="Times New Roman"/>
          <w:sz w:val="20"/>
          <w:szCs w:val="20"/>
        </w:rPr>
      </w:pPr>
    </w:p>
    <w:p w14:paraId="506CEE23" w14:textId="77777777" w:rsidR="00457422" w:rsidRPr="00711219" w:rsidRDefault="00457422" w:rsidP="00457422">
      <w:pPr>
        <w:spacing w:line="480" w:lineRule="auto"/>
        <w:ind w:left="14" w:right="467"/>
        <w:rPr>
          <w:rFonts w:cs="Times New Roman"/>
          <w:sz w:val="20"/>
          <w:szCs w:val="20"/>
        </w:rPr>
      </w:pPr>
      <w:r w:rsidRPr="00711219">
        <w:rPr>
          <w:rFonts w:cs="Times New Roman"/>
          <w:noProof/>
          <w:sz w:val="20"/>
          <w:szCs w:val="20"/>
          <w:lang w:val="en-IN" w:eastAsia="en-IN"/>
        </w:rPr>
        <w:drawing>
          <wp:inline distT="0" distB="0" distL="0" distR="0" wp14:anchorId="649DC13F" wp14:editId="130B7A63">
            <wp:extent cx="5000625" cy="2962275"/>
            <wp:effectExtent l="0" t="0" r="9525" b="9525"/>
            <wp:docPr id="1462841826"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8483E18-E483-8A04-79A0-96743CC516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F8A28E" w14:textId="77777777" w:rsidR="00457422" w:rsidRPr="00711219" w:rsidRDefault="00457422" w:rsidP="00457422">
      <w:pPr>
        <w:spacing w:line="480" w:lineRule="auto"/>
        <w:ind w:left="14" w:right="467"/>
        <w:jc w:val="center"/>
        <w:rPr>
          <w:rFonts w:cs="Times New Roman"/>
          <w:sz w:val="20"/>
          <w:szCs w:val="20"/>
        </w:rPr>
      </w:pPr>
      <w:r w:rsidRPr="00711219">
        <w:rPr>
          <w:rFonts w:cs="Times New Roman"/>
          <w:sz w:val="20"/>
          <w:szCs w:val="20"/>
        </w:rPr>
        <w:t>Source: Authors’ Construct</w:t>
      </w:r>
    </w:p>
    <w:p w14:paraId="513DB178" w14:textId="7D7BFA09" w:rsidR="00B55297" w:rsidRDefault="00457422" w:rsidP="00457422">
      <w:pPr>
        <w:spacing w:line="480" w:lineRule="auto"/>
        <w:ind w:left="14" w:right="467"/>
        <w:jc w:val="center"/>
        <w:rPr>
          <w:rFonts w:cs="Times New Roman"/>
          <w:sz w:val="20"/>
          <w:szCs w:val="20"/>
        </w:rPr>
      </w:pPr>
      <w:r w:rsidRPr="00711219">
        <w:rPr>
          <w:rFonts w:cs="Times New Roman"/>
          <w:b/>
          <w:bCs/>
          <w:sz w:val="20"/>
          <w:szCs w:val="20"/>
        </w:rPr>
        <w:t>Figure 3</w:t>
      </w:r>
      <w:r w:rsidRPr="00711219">
        <w:rPr>
          <w:rFonts w:cs="Times New Roman"/>
          <w:b/>
          <w:bCs/>
          <w:i/>
          <w:iCs/>
          <w:sz w:val="20"/>
          <w:szCs w:val="20"/>
        </w:rPr>
        <w:t>:</w:t>
      </w:r>
      <w:r w:rsidRPr="00711219">
        <w:rPr>
          <w:rFonts w:cs="Times New Roman"/>
          <w:sz w:val="20"/>
          <w:szCs w:val="20"/>
        </w:rPr>
        <w:t xml:space="preserve"> Land rights in the Registration process</w:t>
      </w:r>
    </w:p>
    <w:p w14:paraId="1EED9C0C" w14:textId="6AF4ED3A" w:rsidR="001B0176" w:rsidRPr="00711219" w:rsidRDefault="00A876E5" w:rsidP="006F1AF8">
      <w:pPr>
        <w:spacing w:line="480" w:lineRule="auto"/>
        <w:ind w:left="14" w:right="467"/>
        <w:rPr>
          <w:rFonts w:cs="Times New Roman"/>
          <w:sz w:val="20"/>
          <w:szCs w:val="20"/>
        </w:rPr>
      </w:pPr>
      <w:r w:rsidRPr="00711219">
        <w:rPr>
          <w:rFonts w:cs="Times New Roman"/>
          <w:sz w:val="20"/>
          <w:szCs w:val="20"/>
        </w:rPr>
        <w:t xml:space="preserve">Possessing an interest in land enables a person or developer to assert ownership during economic downturns. Depending on the type, registered interest holders have the right to use the land either temporarily or indefinitely, limited only by constitutional or legal restrictions. The land registration process in Sekondi-Takoradi recognizes various land rights, including leasehold, freehold, allodial title, </w:t>
      </w:r>
      <w:r w:rsidRPr="00711219">
        <w:rPr>
          <w:rFonts w:cs="Times New Roman"/>
          <w:sz w:val="20"/>
          <w:szCs w:val="20"/>
        </w:rPr>
        <w:lastRenderedPageBreak/>
        <w:t xml:space="preserve">assignment, and sublease. Acquiring land rights from the landowner(s) does not guarantee that the buyer will be fully acknowledged as the owner unless the right is officially registered. </w:t>
      </w:r>
    </w:p>
    <w:p w14:paraId="38C5BDE5" w14:textId="6ACEE9D6" w:rsidR="00D76605" w:rsidRPr="00711219" w:rsidRDefault="00D76605" w:rsidP="006F1AF8">
      <w:pPr>
        <w:spacing w:line="480" w:lineRule="auto"/>
        <w:ind w:left="14" w:right="467"/>
        <w:rPr>
          <w:rFonts w:cs="Times New Roman"/>
          <w:sz w:val="20"/>
          <w:szCs w:val="20"/>
        </w:rPr>
      </w:pPr>
      <w:r w:rsidRPr="00711219">
        <w:rPr>
          <w:rFonts w:cs="Times New Roman"/>
          <w:b/>
          <w:bCs/>
          <w:i/>
          <w:iCs/>
          <w:sz w:val="20"/>
          <w:szCs w:val="20"/>
        </w:rPr>
        <w:t xml:space="preserve">Leasehold: </w:t>
      </w:r>
      <w:r w:rsidRPr="00711219">
        <w:rPr>
          <w:rFonts w:cs="Times New Roman"/>
          <w:sz w:val="20"/>
          <w:szCs w:val="20"/>
        </w:rPr>
        <w:t xml:space="preserve">This arises where a stool or family which holds the allodial title creates a lesser interest on specified terms to a person to use or occupy land for a specific purpose, usually 99 years for residential and 50 years for commercial.  </w:t>
      </w:r>
    </w:p>
    <w:p w14:paraId="5BB32BB8" w14:textId="7ADFABCA" w:rsidR="00D76605" w:rsidRPr="00711219" w:rsidRDefault="00D76605" w:rsidP="006F1AF8">
      <w:pPr>
        <w:spacing w:line="480" w:lineRule="auto"/>
        <w:ind w:left="14" w:right="467"/>
        <w:rPr>
          <w:rFonts w:cs="Times New Roman"/>
          <w:sz w:val="20"/>
          <w:szCs w:val="20"/>
        </w:rPr>
      </w:pPr>
      <w:r w:rsidRPr="00711219">
        <w:rPr>
          <w:rFonts w:cs="Times New Roman"/>
          <w:b/>
          <w:bCs/>
          <w:i/>
          <w:iCs/>
          <w:sz w:val="20"/>
          <w:szCs w:val="20"/>
        </w:rPr>
        <w:t xml:space="preserve">Freehold: </w:t>
      </w:r>
      <w:r w:rsidR="00722DC1" w:rsidRPr="00711219">
        <w:rPr>
          <w:rFonts w:cs="Times New Roman"/>
          <w:sz w:val="20"/>
          <w:szCs w:val="20"/>
        </w:rPr>
        <w:t xml:space="preserve">This type of interest is of perpetual duration. It is held free from obligation to any other person. It is alienable and inheritable. Gifted lands are registered on a freehold basis. Families who register all their parcels at a time are registered by the Lands Commission as a freehold interest. However, article 267(5) prohibits the creation of a freehold interest to any person or group of persons </w:t>
      </w:r>
    </w:p>
    <w:p w14:paraId="5E1AA406" w14:textId="6AFDFAEC" w:rsidR="00722DC1" w:rsidRPr="00711219" w:rsidRDefault="00722DC1" w:rsidP="006F1AF8">
      <w:pPr>
        <w:spacing w:line="480" w:lineRule="auto"/>
        <w:ind w:left="14" w:right="467"/>
        <w:rPr>
          <w:rFonts w:cs="Times New Roman"/>
          <w:sz w:val="20"/>
          <w:szCs w:val="20"/>
        </w:rPr>
      </w:pPr>
      <w:r w:rsidRPr="00711219">
        <w:rPr>
          <w:rFonts w:cs="Times New Roman"/>
          <w:b/>
          <w:bCs/>
          <w:i/>
          <w:iCs/>
          <w:sz w:val="20"/>
          <w:szCs w:val="20"/>
        </w:rPr>
        <w:t>Allodial Title:</w:t>
      </w:r>
      <w:r w:rsidRPr="00711219">
        <w:rPr>
          <w:rFonts w:cs="Times New Roman"/>
          <w:sz w:val="20"/>
          <w:szCs w:val="20"/>
        </w:rPr>
        <w:t xml:space="preserve"> The allodial </w:t>
      </w:r>
      <w:r w:rsidR="001B0176" w:rsidRPr="00711219">
        <w:rPr>
          <w:rFonts w:cs="Times New Roman"/>
          <w:sz w:val="20"/>
          <w:szCs w:val="20"/>
        </w:rPr>
        <w:t>title</w:t>
      </w:r>
      <w:r w:rsidRPr="00711219">
        <w:rPr>
          <w:rFonts w:cs="Times New Roman"/>
          <w:sz w:val="20"/>
          <w:szCs w:val="20"/>
        </w:rPr>
        <w:t xml:space="preserve"> is acquired through conquest and subsequent settlement, pioneer discovery, purchase</w:t>
      </w:r>
      <w:r w:rsidR="001B0176" w:rsidRPr="00711219">
        <w:rPr>
          <w:rFonts w:cs="Times New Roman"/>
          <w:sz w:val="20"/>
          <w:szCs w:val="20"/>
        </w:rPr>
        <w:t>,</w:t>
      </w:r>
      <w:r w:rsidRPr="00711219">
        <w:rPr>
          <w:rFonts w:cs="Times New Roman"/>
          <w:sz w:val="20"/>
          <w:szCs w:val="20"/>
        </w:rPr>
        <w:t xml:space="preserve"> or gift. It is usually held by the family, stool or the state. However, individuals can now have the allodial title under the new Land Act. It is recognized as the highest interest in land in Ghana.  </w:t>
      </w:r>
    </w:p>
    <w:p w14:paraId="14402FA8" w14:textId="011A3278" w:rsidR="00722DC1" w:rsidRPr="00711219" w:rsidRDefault="00722DC1" w:rsidP="006F1AF8">
      <w:pPr>
        <w:spacing w:line="480" w:lineRule="auto"/>
        <w:ind w:left="14" w:right="467"/>
        <w:rPr>
          <w:rFonts w:cs="Times New Roman"/>
          <w:sz w:val="20"/>
          <w:szCs w:val="20"/>
        </w:rPr>
      </w:pPr>
      <w:r w:rsidRPr="00711219">
        <w:rPr>
          <w:rFonts w:cs="Times New Roman"/>
          <w:b/>
          <w:bCs/>
          <w:i/>
          <w:iCs/>
          <w:sz w:val="20"/>
          <w:szCs w:val="20"/>
        </w:rPr>
        <w:t xml:space="preserve">Assignment: </w:t>
      </w:r>
      <w:r w:rsidRPr="00711219">
        <w:rPr>
          <w:rFonts w:cs="Times New Roman"/>
          <w:sz w:val="20"/>
          <w:szCs w:val="20"/>
        </w:rPr>
        <w:t>Assignments are rights created by the transfer of the unexpired term of an existing lease. Assigned rights held under stool lands demand the payment of ground rent by the intended assignee during the registration process.</w:t>
      </w:r>
    </w:p>
    <w:p w14:paraId="1598ED93" w14:textId="77777777" w:rsidR="00457422" w:rsidRDefault="00722DC1" w:rsidP="00457422">
      <w:pPr>
        <w:spacing w:line="480" w:lineRule="auto"/>
        <w:ind w:left="14" w:right="467"/>
        <w:rPr>
          <w:rFonts w:cs="Times New Roman"/>
          <w:sz w:val="20"/>
          <w:szCs w:val="20"/>
        </w:rPr>
      </w:pPr>
      <w:r w:rsidRPr="00711219">
        <w:rPr>
          <w:rFonts w:cs="Times New Roman"/>
          <w:b/>
          <w:bCs/>
          <w:i/>
          <w:iCs/>
          <w:sz w:val="20"/>
          <w:szCs w:val="20"/>
        </w:rPr>
        <w:t xml:space="preserve">Sublease: </w:t>
      </w:r>
      <w:r w:rsidRPr="00711219">
        <w:rPr>
          <w:rFonts w:cs="Times New Roman"/>
          <w:sz w:val="20"/>
          <w:szCs w:val="20"/>
        </w:rPr>
        <w:t xml:space="preserve">Sublease arises where the holder of a lease carves out a portion of his lease shorter than what he holds as a lessee. The sublessor pays the ground rent of the original leaseholder for the unexpired term during registration. </w:t>
      </w:r>
    </w:p>
    <w:p w14:paraId="59992B02" w14:textId="0CB84E1A" w:rsidR="008462BD" w:rsidRPr="00711219" w:rsidRDefault="008462BD" w:rsidP="00457422">
      <w:pPr>
        <w:spacing w:line="480" w:lineRule="auto"/>
        <w:ind w:left="14" w:right="467"/>
        <w:rPr>
          <w:rFonts w:cs="Times New Roman"/>
          <w:b/>
          <w:bCs/>
          <w:sz w:val="20"/>
          <w:szCs w:val="20"/>
        </w:rPr>
      </w:pPr>
      <w:r w:rsidRPr="00711219">
        <w:rPr>
          <w:rFonts w:eastAsia="Calibri" w:cs="Times New Roman"/>
          <w:b/>
          <w:bCs/>
          <w:sz w:val="20"/>
          <w:szCs w:val="20"/>
        </w:rPr>
        <w:t>4</w:t>
      </w:r>
      <w:r w:rsidRPr="00711219">
        <w:rPr>
          <w:rFonts w:cs="Times New Roman"/>
          <w:b/>
          <w:bCs/>
          <w:sz w:val="20"/>
          <w:szCs w:val="20"/>
        </w:rPr>
        <w:t>.2 Land Registration Processes</w:t>
      </w:r>
      <w:r w:rsidRPr="00711219">
        <w:rPr>
          <w:rFonts w:eastAsia="Calibri" w:cs="Times New Roman"/>
          <w:b/>
          <w:bCs/>
          <w:sz w:val="20"/>
          <w:szCs w:val="20"/>
        </w:rPr>
        <w:t xml:space="preserve"> </w:t>
      </w:r>
    </w:p>
    <w:p w14:paraId="68B61B67" w14:textId="65BE6080" w:rsidR="00521492" w:rsidRPr="00711219" w:rsidRDefault="00521492" w:rsidP="006F1AF8">
      <w:pPr>
        <w:spacing w:line="480" w:lineRule="auto"/>
        <w:rPr>
          <w:rFonts w:cs="Times New Roman"/>
          <w:sz w:val="20"/>
          <w:szCs w:val="20"/>
          <w:lang w:val="en-US"/>
        </w:rPr>
      </w:pPr>
      <w:r w:rsidRPr="00711219">
        <w:rPr>
          <w:rFonts w:cs="Times New Roman"/>
          <w:sz w:val="20"/>
          <w:szCs w:val="20"/>
          <w:lang w:val="en-US"/>
        </w:rPr>
        <w:t xml:space="preserve">Sekondi-Takoradi land registration is semi-automated for public, stool, and family lands. The principal steps are tax clearance, certification, vetting, and verification. The Lands Commission manages the process with assistance from the Customary Lands Secretariat and the Land Use and Spatial Planning Authority. The Lands Commission has various divisions, such as </w:t>
      </w:r>
      <w:r w:rsidR="00066F57">
        <w:rPr>
          <w:rFonts w:cs="Times New Roman"/>
          <w:sz w:val="20"/>
          <w:szCs w:val="20"/>
          <w:lang w:val="en-US"/>
        </w:rPr>
        <w:t xml:space="preserve">the </w:t>
      </w:r>
      <w:r w:rsidR="00066F57" w:rsidRPr="00066F57">
        <w:rPr>
          <w:rFonts w:cs="Times New Roman"/>
          <w:sz w:val="20"/>
          <w:szCs w:val="20"/>
        </w:rPr>
        <w:t>Public and Vested Land Management Division</w:t>
      </w:r>
      <w:r w:rsidRPr="00711219">
        <w:rPr>
          <w:rFonts w:cs="Times New Roman"/>
          <w:sz w:val="20"/>
          <w:szCs w:val="20"/>
          <w:lang w:val="en-US"/>
        </w:rPr>
        <w:t xml:space="preserve">, </w:t>
      </w:r>
      <w:r w:rsidR="00A75FA9" w:rsidRPr="00A75FA9">
        <w:rPr>
          <w:rFonts w:cs="Times New Roman"/>
          <w:sz w:val="20"/>
          <w:szCs w:val="20"/>
        </w:rPr>
        <w:t>Client Service Access Unit</w:t>
      </w:r>
      <w:r w:rsidR="00A75FA9">
        <w:rPr>
          <w:rFonts w:cs="Times New Roman"/>
          <w:sz w:val="20"/>
          <w:szCs w:val="20"/>
        </w:rPr>
        <w:t>,</w:t>
      </w:r>
      <w:r w:rsidR="00A75FA9" w:rsidRPr="00A75FA9">
        <w:rPr>
          <w:rFonts w:cs="Times New Roman"/>
          <w:sz w:val="20"/>
          <w:szCs w:val="20"/>
        </w:rPr>
        <w:t xml:space="preserve"> Land Registration Division</w:t>
      </w:r>
      <w:r w:rsidRPr="00711219">
        <w:rPr>
          <w:rFonts w:cs="Times New Roman"/>
          <w:sz w:val="20"/>
          <w:szCs w:val="20"/>
          <w:lang w:val="en-US"/>
        </w:rPr>
        <w:t xml:space="preserve">, </w:t>
      </w:r>
      <w:r w:rsidR="00A75FA9" w:rsidRPr="00A75FA9">
        <w:rPr>
          <w:rFonts w:cs="Times New Roman"/>
          <w:sz w:val="20"/>
          <w:szCs w:val="20"/>
        </w:rPr>
        <w:t>Land Valuation Division</w:t>
      </w:r>
      <w:r w:rsidRPr="00711219">
        <w:rPr>
          <w:rFonts w:cs="Times New Roman"/>
          <w:sz w:val="20"/>
          <w:szCs w:val="20"/>
          <w:lang w:val="en-US"/>
        </w:rPr>
        <w:t xml:space="preserve">, and </w:t>
      </w:r>
      <w:r w:rsidR="00A75FA9" w:rsidRPr="00A75FA9">
        <w:rPr>
          <w:rFonts w:cs="Times New Roman"/>
          <w:sz w:val="20"/>
          <w:szCs w:val="20"/>
        </w:rPr>
        <w:t>Survey and Mapping Division</w:t>
      </w:r>
      <w:r w:rsidRPr="00711219">
        <w:rPr>
          <w:rFonts w:cs="Times New Roman"/>
          <w:sz w:val="20"/>
          <w:szCs w:val="20"/>
          <w:lang w:val="en-US"/>
        </w:rPr>
        <w:t>, which deal with different aspects of registration.</w:t>
      </w:r>
    </w:p>
    <w:p w14:paraId="3465A549" w14:textId="07768417"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4.2.1. Analysis and Bottlenecks of Stool Land Registration Processes  </w:t>
      </w:r>
    </w:p>
    <w:p w14:paraId="27BDC94A" w14:textId="4F61450F" w:rsidR="00457422" w:rsidRPr="00711219" w:rsidRDefault="006F1AF8" w:rsidP="006F1AF8">
      <w:pPr>
        <w:spacing w:line="480" w:lineRule="auto"/>
        <w:rPr>
          <w:rFonts w:cs="Times New Roman"/>
          <w:sz w:val="20"/>
          <w:szCs w:val="20"/>
        </w:rPr>
      </w:pPr>
      <w:r w:rsidRPr="00711219">
        <w:rPr>
          <w:rFonts w:cs="Times New Roman"/>
          <w:sz w:val="20"/>
          <w:szCs w:val="20"/>
        </w:rPr>
        <w:lastRenderedPageBreak/>
        <w:t xml:space="preserve">There are procedural issues challenging stool land registration in Sekondi-Takoradi. Foremost is the duplication and conflicting site plans arising from </w:t>
      </w:r>
      <w:r w:rsidR="00A75FA9">
        <w:rPr>
          <w:rFonts w:cs="Times New Roman"/>
          <w:sz w:val="20"/>
          <w:szCs w:val="20"/>
        </w:rPr>
        <w:t xml:space="preserve">the </w:t>
      </w:r>
      <w:r w:rsidR="00A75FA9" w:rsidRPr="00A75FA9">
        <w:rPr>
          <w:rFonts w:cs="Times New Roman"/>
          <w:sz w:val="20"/>
          <w:szCs w:val="20"/>
        </w:rPr>
        <w:t>Land Use and Spatial Planning Authority</w:t>
      </w:r>
      <w:r w:rsidRPr="00711219">
        <w:rPr>
          <w:rFonts w:cs="Times New Roman"/>
          <w:sz w:val="20"/>
          <w:szCs w:val="20"/>
        </w:rPr>
        <w:t xml:space="preserve"> and </w:t>
      </w:r>
      <w:r w:rsidR="00A75FA9" w:rsidRPr="00A75FA9">
        <w:rPr>
          <w:rFonts w:cs="Times New Roman"/>
          <w:sz w:val="20"/>
          <w:szCs w:val="20"/>
        </w:rPr>
        <w:t>Survey and Mapping Division</w:t>
      </w:r>
      <w:r w:rsidRPr="00711219">
        <w:rPr>
          <w:rFonts w:cs="Times New Roman"/>
          <w:sz w:val="20"/>
          <w:szCs w:val="20"/>
        </w:rPr>
        <w:t xml:space="preserve"> site visits. </w:t>
      </w:r>
      <w:r w:rsidR="00A75FA9">
        <w:rPr>
          <w:rFonts w:cs="Times New Roman"/>
          <w:sz w:val="20"/>
          <w:szCs w:val="20"/>
        </w:rPr>
        <w:t xml:space="preserve">The </w:t>
      </w:r>
      <w:r w:rsidR="00A75FA9" w:rsidRPr="00A75FA9">
        <w:rPr>
          <w:rFonts w:cs="Times New Roman"/>
          <w:sz w:val="20"/>
          <w:szCs w:val="20"/>
        </w:rPr>
        <w:t>Land Use and Spatial Planning Authority</w:t>
      </w:r>
      <w:r w:rsidRPr="00711219">
        <w:rPr>
          <w:rFonts w:cs="Times New Roman"/>
          <w:sz w:val="20"/>
          <w:szCs w:val="20"/>
        </w:rPr>
        <w:t xml:space="preserve">, being responsible for building permit assessments, could minimize field visits by better cadastral planning, with exceptions for complicated cases. Local map schemes printed would assist applicants in identifying the stool lands. Delays are brought about by the verification of stamp duty payments by </w:t>
      </w:r>
      <w:r w:rsidR="00A75FA9">
        <w:rPr>
          <w:rFonts w:cs="Times New Roman"/>
          <w:sz w:val="20"/>
          <w:szCs w:val="20"/>
        </w:rPr>
        <w:t xml:space="preserve">the </w:t>
      </w:r>
      <w:r w:rsidR="00A75FA9" w:rsidRPr="00A75FA9">
        <w:rPr>
          <w:rFonts w:cs="Times New Roman"/>
          <w:sz w:val="20"/>
          <w:szCs w:val="20"/>
        </w:rPr>
        <w:t>Client Service Access Unit</w:t>
      </w:r>
      <w:r w:rsidRPr="00711219">
        <w:rPr>
          <w:rFonts w:cs="Times New Roman"/>
          <w:sz w:val="20"/>
          <w:szCs w:val="20"/>
        </w:rPr>
        <w:t xml:space="preserve">, a task that should be done by banks. Overreaching by </w:t>
      </w:r>
      <w:r w:rsidR="00A75FA9">
        <w:rPr>
          <w:rFonts w:cs="Times New Roman"/>
          <w:sz w:val="20"/>
          <w:szCs w:val="20"/>
        </w:rPr>
        <w:t xml:space="preserve">the </w:t>
      </w:r>
      <w:r w:rsidR="00A75FA9" w:rsidRPr="00A75FA9">
        <w:rPr>
          <w:rFonts w:cs="Times New Roman"/>
          <w:sz w:val="20"/>
          <w:szCs w:val="20"/>
        </w:rPr>
        <w:t>Client Service Access Unit</w:t>
      </w:r>
      <w:r w:rsidRPr="00711219">
        <w:rPr>
          <w:rFonts w:cs="Times New Roman"/>
          <w:sz w:val="20"/>
          <w:szCs w:val="20"/>
        </w:rPr>
        <w:t xml:space="preserve"> creates redundancy and delays in revalidating the report of the local scheme delay in cadastral plotting. Technical reports should be sent directly to the </w:t>
      </w:r>
      <w:r w:rsidR="00A75FA9" w:rsidRPr="00A75FA9">
        <w:rPr>
          <w:rFonts w:cs="Times New Roman"/>
          <w:sz w:val="20"/>
          <w:szCs w:val="20"/>
        </w:rPr>
        <w:t>Survey and Mapping Division</w:t>
      </w:r>
      <w:r w:rsidRPr="00711219">
        <w:rPr>
          <w:rFonts w:cs="Times New Roman"/>
          <w:sz w:val="20"/>
          <w:szCs w:val="20"/>
        </w:rPr>
        <w:t xml:space="preserve">. Backlogs are caused by </w:t>
      </w:r>
      <w:r w:rsidR="00A75FA9">
        <w:rPr>
          <w:rFonts w:cs="Times New Roman"/>
          <w:sz w:val="20"/>
          <w:szCs w:val="20"/>
        </w:rPr>
        <w:t xml:space="preserve">the </w:t>
      </w:r>
      <w:r w:rsidR="00A75FA9" w:rsidRPr="00A75FA9">
        <w:rPr>
          <w:rFonts w:cs="Times New Roman"/>
          <w:sz w:val="20"/>
          <w:szCs w:val="20"/>
        </w:rPr>
        <w:t>Land Use and Spatial Planning Authority</w:t>
      </w:r>
      <w:r w:rsidRPr="00711219">
        <w:rPr>
          <w:rFonts w:cs="Times New Roman"/>
          <w:sz w:val="20"/>
          <w:szCs w:val="20"/>
        </w:rPr>
        <w:t xml:space="preserve"> and </w:t>
      </w:r>
      <w:r w:rsidR="00A75FA9">
        <w:rPr>
          <w:rFonts w:cs="Times New Roman"/>
          <w:sz w:val="20"/>
          <w:szCs w:val="20"/>
        </w:rPr>
        <w:t xml:space="preserve">the </w:t>
      </w:r>
      <w:r w:rsidR="00A75FA9" w:rsidRPr="00A75FA9">
        <w:rPr>
          <w:rFonts w:cs="Times New Roman"/>
          <w:sz w:val="20"/>
          <w:szCs w:val="20"/>
        </w:rPr>
        <w:t>Survey and Mapping Division</w:t>
      </w:r>
      <w:r w:rsidRPr="00711219">
        <w:rPr>
          <w:rFonts w:cs="Times New Roman"/>
          <w:sz w:val="20"/>
          <w:szCs w:val="20"/>
        </w:rPr>
        <w:t xml:space="preserve"> conducting unjustified field visits for fee justification. </w:t>
      </w:r>
      <w:r w:rsidR="00A75FA9">
        <w:rPr>
          <w:rFonts w:cs="Times New Roman"/>
          <w:sz w:val="20"/>
          <w:szCs w:val="20"/>
        </w:rPr>
        <w:t xml:space="preserve">The </w:t>
      </w:r>
      <w:r w:rsidR="00A75FA9" w:rsidRPr="00A75FA9">
        <w:rPr>
          <w:rFonts w:cs="Times New Roman"/>
          <w:sz w:val="20"/>
          <w:szCs w:val="20"/>
        </w:rPr>
        <w:t>Survey and Mapping Division</w:t>
      </w:r>
      <w:r w:rsidRPr="00711219">
        <w:rPr>
          <w:rFonts w:cs="Times New Roman"/>
          <w:sz w:val="20"/>
          <w:szCs w:val="20"/>
        </w:rPr>
        <w:t xml:space="preserve"> and </w:t>
      </w:r>
      <w:r w:rsidR="00A75FA9">
        <w:rPr>
          <w:rFonts w:cs="Times New Roman"/>
          <w:sz w:val="20"/>
          <w:szCs w:val="20"/>
        </w:rPr>
        <w:t xml:space="preserve">the </w:t>
      </w:r>
      <w:r w:rsidR="00A75FA9" w:rsidRPr="00A75FA9">
        <w:rPr>
          <w:rFonts w:cs="Times New Roman"/>
          <w:sz w:val="20"/>
          <w:szCs w:val="20"/>
        </w:rPr>
        <w:t>Public and Vested Land Management Division</w:t>
      </w:r>
      <w:r w:rsidRPr="00711219">
        <w:rPr>
          <w:rFonts w:cs="Times New Roman"/>
          <w:sz w:val="20"/>
          <w:szCs w:val="20"/>
        </w:rPr>
        <w:t xml:space="preserve"> both map stool land, resulting in an overlap. Stool lands are mapped out of sequence, prioritizing early registrants and resulting in conflict. Double registration is of minimal additional value and adds conflict risk.</w:t>
      </w:r>
    </w:p>
    <w:p w14:paraId="77E994C1" w14:textId="12F533DB" w:rsidR="0094700B" w:rsidRPr="00711219" w:rsidRDefault="008462BD" w:rsidP="006F1AF8">
      <w:pPr>
        <w:spacing w:line="480" w:lineRule="auto"/>
        <w:rPr>
          <w:rFonts w:cs="Times New Roman"/>
          <w:b/>
          <w:bCs/>
          <w:i/>
          <w:iCs/>
          <w:sz w:val="20"/>
          <w:szCs w:val="20"/>
        </w:rPr>
      </w:pPr>
      <w:r w:rsidRPr="00711219">
        <w:rPr>
          <w:rFonts w:cs="Times New Roman"/>
          <w:b/>
          <w:bCs/>
          <w:sz w:val="20"/>
          <w:szCs w:val="20"/>
        </w:rPr>
        <w:t>4.3.</w:t>
      </w:r>
      <w:r w:rsidR="0094700B" w:rsidRPr="00711219">
        <w:rPr>
          <w:rFonts w:cs="Times New Roman"/>
          <w:b/>
          <w:bCs/>
          <w:sz w:val="20"/>
          <w:szCs w:val="20"/>
        </w:rPr>
        <w:t xml:space="preserve"> Causes of the Delays in Land Registration</w:t>
      </w:r>
      <w:r w:rsidR="0094700B" w:rsidRPr="00711219">
        <w:rPr>
          <w:rFonts w:cs="Times New Roman"/>
          <w:b/>
          <w:bCs/>
          <w:i/>
          <w:iCs/>
          <w:sz w:val="20"/>
          <w:szCs w:val="20"/>
        </w:rPr>
        <w:t xml:space="preserve"> </w:t>
      </w:r>
    </w:p>
    <w:p w14:paraId="40DE9391" w14:textId="47728ED0" w:rsidR="0094700B" w:rsidRPr="00711219" w:rsidRDefault="0094700B" w:rsidP="006F1AF8">
      <w:pPr>
        <w:spacing w:after="276" w:line="480" w:lineRule="auto"/>
        <w:ind w:left="4"/>
        <w:jc w:val="left"/>
        <w:rPr>
          <w:rFonts w:cs="Times New Roman"/>
          <w:sz w:val="20"/>
          <w:szCs w:val="20"/>
        </w:rPr>
      </w:pPr>
      <w:r w:rsidRPr="00711219">
        <w:rPr>
          <w:rFonts w:cs="Times New Roman"/>
          <w:sz w:val="20"/>
          <w:szCs w:val="20"/>
        </w:rPr>
        <w:t xml:space="preserve">It is evident from the above steps that the majority of the bottlenecks are caused by redundant tasks and ill-defined tasks in all the departments. Respondents of 57 stated that </w:t>
      </w:r>
      <w:r w:rsidR="002A4A74" w:rsidRPr="00711219">
        <w:rPr>
          <w:rFonts w:cs="Times New Roman"/>
          <w:sz w:val="20"/>
          <w:szCs w:val="20"/>
        </w:rPr>
        <w:t>in</w:t>
      </w:r>
      <w:r w:rsidRPr="00711219">
        <w:rPr>
          <w:rFonts w:cs="Times New Roman"/>
          <w:sz w:val="20"/>
          <w:szCs w:val="20"/>
        </w:rPr>
        <w:t>adequate staffing, 45 respondents stated bureaucracies, inefficient land registration logistics, 27 inefficient land registration logistics, and 21</w:t>
      </w:r>
      <w:r w:rsidR="002A4A74" w:rsidRPr="00711219">
        <w:rPr>
          <w:rFonts w:cs="Times New Roman"/>
          <w:sz w:val="20"/>
          <w:szCs w:val="20"/>
        </w:rPr>
        <w:t xml:space="preserve"> respondents mentioned</w:t>
      </w:r>
      <w:r w:rsidRPr="00711219">
        <w:rPr>
          <w:rFonts w:cs="Times New Roman"/>
          <w:sz w:val="20"/>
          <w:szCs w:val="20"/>
        </w:rPr>
        <w:t xml:space="preserve"> corruption as causes of delay in the registration procedures, as shown in </w:t>
      </w:r>
      <w:r w:rsidR="00646038" w:rsidRPr="00711219">
        <w:rPr>
          <w:rFonts w:cs="Times New Roman"/>
          <w:sz w:val="20"/>
          <w:szCs w:val="20"/>
        </w:rPr>
        <w:t>Figure 4</w:t>
      </w:r>
      <w:r w:rsidRPr="00711219">
        <w:rPr>
          <w:rFonts w:cs="Times New Roman"/>
          <w:sz w:val="20"/>
          <w:szCs w:val="20"/>
        </w:rPr>
        <w:t>. Staff interviews negate allegations of corruption but confirm the mentioned causes. Due to insufficient supervision, registrants create their profit-driven processes.</w:t>
      </w:r>
    </w:p>
    <w:p w14:paraId="2846066B" w14:textId="3B5805E5" w:rsidR="006920EC" w:rsidRPr="00711219" w:rsidRDefault="00DD135E" w:rsidP="006F1AF8">
      <w:pPr>
        <w:spacing w:after="276" w:line="480" w:lineRule="auto"/>
        <w:ind w:left="4"/>
        <w:jc w:val="left"/>
        <w:rPr>
          <w:rFonts w:cs="Times New Roman"/>
          <w:b/>
          <w:bCs/>
          <w:sz w:val="20"/>
          <w:szCs w:val="20"/>
        </w:rPr>
      </w:pPr>
      <w:r w:rsidRPr="00711219">
        <w:rPr>
          <w:rFonts w:cs="Times New Roman"/>
          <w:noProof/>
          <w:sz w:val="20"/>
          <w:szCs w:val="20"/>
          <w:lang w:val="en-IN" w:eastAsia="en-IN"/>
        </w:rPr>
        <w:lastRenderedPageBreak/>
        <w:drawing>
          <wp:inline distT="0" distB="0" distL="0" distR="0" wp14:anchorId="3AE6F763" wp14:editId="491D1E79">
            <wp:extent cx="5305425" cy="2857500"/>
            <wp:effectExtent l="0" t="0" r="9525" b="0"/>
            <wp:docPr id="1765089726"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0B30A21-9B50-70C7-C7DE-28D12067B7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53F6C0" w14:textId="7020F8DE" w:rsidR="0094700B" w:rsidRPr="00711219" w:rsidRDefault="006920EC" w:rsidP="00346B9C">
      <w:pPr>
        <w:spacing w:after="276" w:line="480" w:lineRule="auto"/>
        <w:ind w:left="4"/>
        <w:jc w:val="center"/>
        <w:rPr>
          <w:rFonts w:cs="Times New Roman"/>
          <w:sz w:val="20"/>
          <w:szCs w:val="20"/>
        </w:rPr>
      </w:pPr>
      <w:r w:rsidRPr="00711219">
        <w:rPr>
          <w:rFonts w:cs="Times New Roman"/>
          <w:b/>
          <w:bCs/>
          <w:sz w:val="20"/>
          <w:szCs w:val="20"/>
        </w:rPr>
        <w:t>Figure</w:t>
      </w:r>
      <w:r w:rsidR="0094700B" w:rsidRPr="00711219">
        <w:rPr>
          <w:rFonts w:cs="Times New Roman"/>
          <w:b/>
          <w:bCs/>
          <w:sz w:val="20"/>
          <w:szCs w:val="20"/>
        </w:rPr>
        <w:t xml:space="preserve"> </w:t>
      </w:r>
      <w:r w:rsidR="00646038" w:rsidRPr="00711219">
        <w:rPr>
          <w:rFonts w:cs="Times New Roman"/>
          <w:b/>
          <w:bCs/>
          <w:sz w:val="20"/>
          <w:szCs w:val="20"/>
        </w:rPr>
        <w:t>4</w:t>
      </w:r>
      <w:r w:rsidR="0094700B" w:rsidRPr="00711219">
        <w:rPr>
          <w:rFonts w:cs="Times New Roman"/>
          <w:b/>
          <w:bCs/>
          <w:sz w:val="20"/>
          <w:szCs w:val="20"/>
        </w:rPr>
        <w:t>:</w:t>
      </w:r>
      <w:r w:rsidR="0094700B" w:rsidRPr="00711219">
        <w:rPr>
          <w:rFonts w:cs="Times New Roman"/>
          <w:sz w:val="20"/>
          <w:szCs w:val="20"/>
        </w:rPr>
        <w:t xml:space="preserve"> Causes of Delay in Registration Process</w:t>
      </w:r>
    </w:p>
    <w:p w14:paraId="6FD101D7" w14:textId="100C8740" w:rsidR="008462BD" w:rsidRPr="00711219" w:rsidRDefault="002A4A74" w:rsidP="00346B9C">
      <w:pPr>
        <w:spacing w:after="276" w:line="480" w:lineRule="auto"/>
        <w:ind w:left="4"/>
        <w:jc w:val="center"/>
        <w:rPr>
          <w:rFonts w:cs="Times New Roman"/>
          <w:sz w:val="20"/>
          <w:szCs w:val="20"/>
        </w:rPr>
      </w:pPr>
      <w:r w:rsidRPr="00711219">
        <w:rPr>
          <w:rFonts w:cs="Times New Roman"/>
          <w:sz w:val="20"/>
          <w:szCs w:val="20"/>
        </w:rPr>
        <w:t>Source: Field Survey, 2020</w:t>
      </w:r>
    </w:p>
    <w:p w14:paraId="57C8240B" w14:textId="3B4FCFC9" w:rsidR="00521492" w:rsidRPr="00711219" w:rsidRDefault="00521492" w:rsidP="006F1AF8">
      <w:pPr>
        <w:spacing w:line="480" w:lineRule="auto"/>
        <w:rPr>
          <w:rFonts w:cs="Times New Roman"/>
          <w:sz w:val="20"/>
          <w:szCs w:val="20"/>
        </w:rPr>
      </w:pPr>
      <w:r w:rsidRPr="00711219">
        <w:rPr>
          <w:rFonts w:cs="Times New Roman"/>
          <w:sz w:val="20"/>
          <w:szCs w:val="20"/>
        </w:rPr>
        <w:t>Delays in land registration are brought about by ineffective inter-institutional coordination, which leads to bureaucracy and corruption</w:t>
      </w:r>
      <w:r w:rsidR="00C35AC5" w:rsidRPr="00711219">
        <w:rPr>
          <w:rFonts w:cs="Times New Roman"/>
          <w:sz w:val="20"/>
          <w:szCs w:val="20"/>
        </w:rPr>
        <w:t xml:space="preserve">. Communication gaps among the Lands Commission, </w:t>
      </w:r>
      <w:r w:rsidR="00A75FA9">
        <w:rPr>
          <w:rFonts w:cs="Times New Roman"/>
          <w:sz w:val="20"/>
          <w:szCs w:val="20"/>
        </w:rPr>
        <w:t xml:space="preserve">the </w:t>
      </w:r>
      <w:r w:rsidR="00A75FA9" w:rsidRPr="00A75FA9">
        <w:rPr>
          <w:rFonts w:cs="Times New Roman"/>
          <w:sz w:val="20"/>
          <w:szCs w:val="20"/>
        </w:rPr>
        <w:t>Land Use and Spatial Planning Authority</w:t>
      </w:r>
      <w:r w:rsidR="00C35AC5" w:rsidRPr="00711219">
        <w:rPr>
          <w:rFonts w:cs="Times New Roman"/>
          <w:sz w:val="20"/>
          <w:szCs w:val="20"/>
        </w:rPr>
        <w:t>, and the Customary Land Secretariat compound parcel survey inefficiencies</w:t>
      </w:r>
      <w:r w:rsidRPr="00711219">
        <w:rPr>
          <w:rFonts w:cs="Times New Roman"/>
          <w:sz w:val="20"/>
          <w:szCs w:val="20"/>
        </w:rPr>
        <w:t>. Unqualified or corrupt surveyors' site plans are often poorly communicated to the Survey and Mapping Division. Duplication of roles and absence of field verification cause repeated mapping inconsistencies and erroneous GPS data.</w:t>
      </w:r>
    </w:p>
    <w:p w14:paraId="425EEA7D" w14:textId="603120E7" w:rsidR="008462BD" w:rsidRPr="00711219" w:rsidRDefault="008462BD" w:rsidP="006F1AF8">
      <w:pPr>
        <w:spacing w:line="480" w:lineRule="auto"/>
        <w:rPr>
          <w:rFonts w:cs="Times New Roman"/>
          <w:b/>
          <w:bCs/>
          <w:sz w:val="20"/>
          <w:szCs w:val="20"/>
          <w:lang w:val="en-US"/>
        </w:rPr>
      </w:pPr>
      <w:r w:rsidRPr="00711219">
        <w:rPr>
          <w:rFonts w:cs="Times New Roman"/>
          <w:b/>
          <w:bCs/>
          <w:sz w:val="20"/>
          <w:szCs w:val="20"/>
        </w:rPr>
        <w:t xml:space="preserve">4.4. </w:t>
      </w:r>
      <w:r w:rsidR="002A4A74" w:rsidRPr="00711219">
        <w:rPr>
          <w:rFonts w:cs="Times New Roman"/>
          <w:b/>
          <w:bCs/>
          <w:sz w:val="20"/>
          <w:szCs w:val="20"/>
          <w:lang w:val="en-US"/>
        </w:rPr>
        <w:t>Causes' Impact on the Registration Period</w:t>
      </w:r>
    </w:p>
    <w:p w14:paraId="2D210F26" w14:textId="31398069" w:rsidR="002A4A74" w:rsidRPr="00711219" w:rsidRDefault="002A4A74" w:rsidP="006F1AF8">
      <w:pPr>
        <w:spacing w:after="258" w:line="480" w:lineRule="auto"/>
        <w:ind w:left="4"/>
        <w:rPr>
          <w:rFonts w:cs="Times New Roman"/>
          <w:sz w:val="20"/>
          <w:szCs w:val="20"/>
          <w:lang w:val="en-US"/>
        </w:rPr>
      </w:pPr>
      <w:r w:rsidRPr="00711219">
        <w:rPr>
          <w:rFonts w:cs="Times New Roman"/>
          <w:sz w:val="20"/>
          <w:szCs w:val="20"/>
          <w:lang w:val="en-US"/>
        </w:rPr>
        <w:t xml:space="preserve">The Land Administration Project's (LAP) goal, according to the customer, was to reduce the land registration period to three months. However, clients have demonstrated that LAP expectations and reality diverge. It was discovered that most registration periods lasted more than six months. When clients don't follow up on their paperwork and don't make little payments, it takes them years to complete their registration. The cause, overhead bottlenecks, is to blame for this. The timeframe of registration is shown in </w:t>
      </w:r>
      <w:r w:rsidR="00646038" w:rsidRPr="00711219">
        <w:rPr>
          <w:rFonts w:cs="Times New Roman"/>
          <w:sz w:val="20"/>
          <w:szCs w:val="20"/>
          <w:lang w:val="en-US"/>
        </w:rPr>
        <w:t>Figure 5</w:t>
      </w:r>
      <w:r w:rsidRPr="00711219">
        <w:rPr>
          <w:rFonts w:cs="Times New Roman"/>
          <w:sz w:val="20"/>
          <w:szCs w:val="20"/>
          <w:lang w:val="en-US"/>
        </w:rPr>
        <w:t>.</w:t>
      </w:r>
    </w:p>
    <w:p w14:paraId="3319E93B" w14:textId="4A3D7677" w:rsidR="00646038" w:rsidRPr="00711219" w:rsidRDefault="00646038" w:rsidP="006F1AF8">
      <w:pPr>
        <w:spacing w:after="258" w:line="480" w:lineRule="auto"/>
        <w:ind w:left="4"/>
        <w:jc w:val="left"/>
        <w:rPr>
          <w:rFonts w:cs="Times New Roman"/>
          <w:sz w:val="20"/>
          <w:szCs w:val="20"/>
          <w:lang w:val="en-US"/>
        </w:rPr>
      </w:pPr>
      <w:r w:rsidRPr="00711219">
        <w:rPr>
          <w:rFonts w:cs="Times New Roman"/>
          <w:noProof/>
          <w:sz w:val="20"/>
          <w:szCs w:val="20"/>
          <w:lang w:val="en-IN" w:eastAsia="en-IN"/>
        </w:rPr>
        <w:lastRenderedPageBreak/>
        <w:drawing>
          <wp:inline distT="0" distB="0" distL="0" distR="0" wp14:anchorId="32F68607" wp14:editId="17C2B4C6">
            <wp:extent cx="5286375" cy="2686050"/>
            <wp:effectExtent l="0" t="0" r="9525" b="0"/>
            <wp:docPr id="1807855318"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05190E1-42F4-711B-6F9C-765C35767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D68DBE" w14:textId="4B5581DC" w:rsidR="005811C2" w:rsidRPr="00711219" w:rsidRDefault="00646038" w:rsidP="00346B9C">
      <w:pPr>
        <w:spacing w:after="258" w:line="480" w:lineRule="auto"/>
        <w:ind w:left="4"/>
        <w:jc w:val="center"/>
        <w:rPr>
          <w:rFonts w:cs="Times New Roman"/>
          <w:sz w:val="20"/>
          <w:szCs w:val="20"/>
          <w:lang w:val="en-US"/>
        </w:rPr>
      </w:pPr>
      <w:r w:rsidRPr="00711219">
        <w:rPr>
          <w:rFonts w:cs="Times New Roman"/>
          <w:b/>
          <w:bCs/>
          <w:sz w:val="20"/>
          <w:szCs w:val="20"/>
          <w:lang w:val="en-US"/>
        </w:rPr>
        <w:t>Figure</w:t>
      </w:r>
      <w:r w:rsidR="005811C2" w:rsidRPr="00711219">
        <w:rPr>
          <w:rFonts w:cs="Times New Roman"/>
          <w:b/>
          <w:bCs/>
          <w:sz w:val="20"/>
          <w:szCs w:val="20"/>
          <w:lang w:val="en-US"/>
        </w:rPr>
        <w:t xml:space="preserve"> </w:t>
      </w:r>
      <w:r w:rsidRPr="00711219">
        <w:rPr>
          <w:rFonts w:cs="Times New Roman"/>
          <w:b/>
          <w:bCs/>
          <w:sz w:val="20"/>
          <w:szCs w:val="20"/>
          <w:lang w:val="en-US"/>
        </w:rPr>
        <w:t>5</w:t>
      </w:r>
      <w:r w:rsidR="005811C2" w:rsidRPr="00711219">
        <w:rPr>
          <w:rFonts w:cs="Times New Roman"/>
          <w:b/>
          <w:bCs/>
          <w:sz w:val="20"/>
          <w:szCs w:val="20"/>
          <w:lang w:val="en-US"/>
        </w:rPr>
        <w:t>:</w:t>
      </w:r>
      <w:r w:rsidR="005811C2" w:rsidRPr="00711219">
        <w:rPr>
          <w:rFonts w:cs="Times New Roman"/>
          <w:sz w:val="20"/>
          <w:szCs w:val="20"/>
          <w:lang w:val="en-US"/>
        </w:rPr>
        <w:t xml:space="preserve"> Causes' Impact on the Registration Period</w:t>
      </w:r>
    </w:p>
    <w:p w14:paraId="0BF2147C" w14:textId="77777777" w:rsidR="005811C2" w:rsidRPr="00711219" w:rsidRDefault="005811C2" w:rsidP="00346B9C">
      <w:pPr>
        <w:spacing w:line="480" w:lineRule="auto"/>
        <w:ind w:right="468"/>
        <w:jc w:val="center"/>
        <w:rPr>
          <w:rFonts w:cs="Times New Roman"/>
          <w:sz w:val="20"/>
          <w:szCs w:val="20"/>
        </w:rPr>
      </w:pPr>
      <w:r w:rsidRPr="00711219">
        <w:rPr>
          <w:rFonts w:cs="Times New Roman"/>
          <w:sz w:val="20"/>
          <w:szCs w:val="20"/>
        </w:rPr>
        <w:t>Source: Field Survey, 2020</w:t>
      </w:r>
    </w:p>
    <w:p w14:paraId="5F440830" w14:textId="3F4084E2" w:rsidR="00BF3C2E" w:rsidRPr="00711219" w:rsidRDefault="00521492" w:rsidP="006F1AF8">
      <w:pPr>
        <w:spacing w:line="480" w:lineRule="auto"/>
        <w:rPr>
          <w:rFonts w:cs="Times New Roman"/>
          <w:sz w:val="20"/>
          <w:szCs w:val="20"/>
        </w:rPr>
      </w:pPr>
      <w:r w:rsidRPr="00711219">
        <w:rPr>
          <w:rFonts w:cs="Times New Roman"/>
          <w:sz w:val="20"/>
          <w:szCs w:val="20"/>
        </w:rPr>
        <w:t>Results provide useful data on Sekondi-Takoradi land registration. Institutions use the same procedures, but variations cause duplication and confusion. Three land ownership schemes and varied rights delay registration. As 71.6% of leaseholds derive from freehold, the system comes under pressure. Customary Land Secretariat records are devoid of legal effect without Lands Commission formalization. Inconsistent assessments and complicated ownership structures complicate stool and family land registration. The rise in landholding families, currently 178, worsens the situation. Public land registration is low and also beset by duplication. Addressing these issues requires concerted and creative reforms.</w:t>
      </w:r>
    </w:p>
    <w:p w14:paraId="1A6D56E1" w14:textId="4677BAFD"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4.4.1 User </w:t>
      </w:r>
      <w:r w:rsidR="00930834" w:rsidRPr="00711219">
        <w:rPr>
          <w:rFonts w:cs="Times New Roman"/>
          <w:b/>
          <w:bCs/>
          <w:sz w:val="20"/>
          <w:szCs w:val="20"/>
        </w:rPr>
        <w:t xml:space="preserve">and Client </w:t>
      </w:r>
      <w:r w:rsidR="00831D5D" w:rsidRPr="00711219">
        <w:rPr>
          <w:rFonts w:cs="Times New Roman"/>
          <w:b/>
          <w:bCs/>
          <w:sz w:val="20"/>
          <w:szCs w:val="20"/>
        </w:rPr>
        <w:t>Requirements</w:t>
      </w:r>
      <w:r w:rsidRPr="00711219">
        <w:rPr>
          <w:rFonts w:cs="Times New Roman"/>
          <w:b/>
          <w:bCs/>
          <w:sz w:val="20"/>
          <w:szCs w:val="20"/>
        </w:rPr>
        <w:t xml:space="preserve"> </w:t>
      </w:r>
    </w:p>
    <w:p w14:paraId="43344FF8" w14:textId="21755FA1" w:rsidR="00711219" w:rsidRPr="00711219" w:rsidRDefault="00521492" w:rsidP="00832EB9">
      <w:pPr>
        <w:spacing w:after="396" w:line="480" w:lineRule="auto"/>
        <w:ind w:left="36" w:right="502"/>
        <w:rPr>
          <w:rFonts w:cs="Times New Roman"/>
          <w:sz w:val="20"/>
          <w:szCs w:val="20"/>
        </w:rPr>
      </w:pPr>
      <w:r w:rsidRPr="00711219">
        <w:rPr>
          <w:rFonts w:cs="Times New Roman"/>
          <w:sz w:val="20"/>
          <w:szCs w:val="20"/>
        </w:rPr>
        <w:t xml:space="preserve">Users of land registration </w:t>
      </w:r>
      <w:r w:rsidR="003D7562" w:rsidRPr="00711219">
        <w:rPr>
          <w:rFonts w:cs="Times New Roman"/>
          <w:sz w:val="20"/>
          <w:szCs w:val="20"/>
        </w:rPr>
        <w:t>include</w:t>
      </w:r>
      <w:r w:rsidRPr="00711219">
        <w:rPr>
          <w:rFonts w:cs="Times New Roman"/>
          <w:sz w:val="20"/>
          <w:szCs w:val="20"/>
        </w:rPr>
        <w:t xml:space="preserve"> estate companies, banks, staff, and employees. Wang, Yu, and Xu (2017) say that system design should be guided by user needs. Surveys conducted in Sekondi-Takoradi demanded decentralization and easy procedures to reduce traveling. Clients reported delays, confusing messages, and would rather receive communication through email or telephone. They recommended the use of desktop-based site verification instead of physical inspections. Planning, signing, and certification delays were usually a result of inadequate monitoring. Clients proposed the deployment of oversight officers to promote accountability and efficiency in the registration process.</w:t>
      </w:r>
    </w:p>
    <w:p w14:paraId="4B3A5746" w14:textId="2F97C4E6" w:rsidR="00646038" w:rsidRPr="00711219" w:rsidRDefault="004F306F" w:rsidP="006F1AF8">
      <w:pPr>
        <w:spacing w:after="396" w:line="480" w:lineRule="auto"/>
        <w:ind w:left="36" w:right="502"/>
        <w:rPr>
          <w:rFonts w:cs="Times New Roman"/>
          <w:sz w:val="22"/>
        </w:rPr>
      </w:pPr>
      <w:r w:rsidRPr="00711219">
        <w:rPr>
          <w:rFonts w:eastAsia="Times New Roman" w:cs="Times New Roman"/>
          <w:b/>
          <w:sz w:val="22"/>
        </w:rPr>
        <w:t xml:space="preserve">5. DISCUSSION </w:t>
      </w:r>
    </w:p>
    <w:p w14:paraId="7D132A3B" w14:textId="77777777" w:rsidR="008462BD" w:rsidRPr="00711219" w:rsidRDefault="008462BD" w:rsidP="006F1AF8">
      <w:pPr>
        <w:spacing w:line="480" w:lineRule="auto"/>
        <w:rPr>
          <w:rFonts w:cs="Times New Roman"/>
          <w:b/>
          <w:bCs/>
          <w:i/>
          <w:iCs/>
          <w:sz w:val="20"/>
          <w:szCs w:val="20"/>
        </w:rPr>
      </w:pPr>
      <w:r w:rsidRPr="00711219">
        <w:rPr>
          <w:rFonts w:cs="Times New Roman"/>
          <w:b/>
          <w:bCs/>
          <w:sz w:val="20"/>
          <w:szCs w:val="20"/>
        </w:rPr>
        <w:lastRenderedPageBreak/>
        <w:t>5.1 Rationale for Change in the Land Registration System</w:t>
      </w:r>
      <w:r w:rsidRPr="00711219">
        <w:rPr>
          <w:rFonts w:cs="Times New Roman"/>
          <w:b/>
          <w:bCs/>
          <w:i/>
          <w:iCs/>
          <w:sz w:val="20"/>
          <w:szCs w:val="20"/>
        </w:rPr>
        <w:t xml:space="preserve">  </w:t>
      </w:r>
    </w:p>
    <w:p w14:paraId="1EDE42E0" w14:textId="6B1EF98E" w:rsidR="00521492" w:rsidRPr="00711219" w:rsidRDefault="00521492" w:rsidP="006F1AF8">
      <w:pPr>
        <w:tabs>
          <w:tab w:val="center" w:pos="2507"/>
          <w:tab w:val="center" w:pos="3065"/>
          <w:tab w:val="center" w:pos="3702"/>
          <w:tab w:val="right" w:pos="5513"/>
        </w:tabs>
        <w:spacing w:after="258" w:line="480" w:lineRule="auto"/>
        <w:rPr>
          <w:rFonts w:cs="Times New Roman"/>
          <w:sz w:val="20"/>
          <w:szCs w:val="20"/>
        </w:rPr>
      </w:pPr>
      <w:r w:rsidRPr="00711219">
        <w:rPr>
          <w:rFonts w:cs="Times New Roman"/>
          <w:sz w:val="20"/>
          <w:szCs w:val="20"/>
        </w:rPr>
        <w:t>Registration of property ownership is affected by the same Lands Commission divisions, which results in inefficiencies and delays. The Client Service and Access Unit does not update clients on time, impacting transactions. Inconsistencies in site plan formats result in errors due to various departments dealing with surveys. The new model suggests an automated process with client support to enhance information delivery, data quality, and collaboration. It increases the survey division's authority and enhances stakeholder coordination, removing delays and loss of documents. This reform tackles major bottlenecks in land registration.</w:t>
      </w:r>
    </w:p>
    <w:p w14:paraId="0D0A3073" w14:textId="33C4C59F" w:rsidR="00831D5D" w:rsidRPr="00711219" w:rsidRDefault="00831D5D" w:rsidP="006F1AF8">
      <w:pPr>
        <w:tabs>
          <w:tab w:val="center" w:pos="2507"/>
          <w:tab w:val="center" w:pos="3065"/>
          <w:tab w:val="center" w:pos="3702"/>
          <w:tab w:val="right" w:pos="5513"/>
        </w:tabs>
        <w:spacing w:after="258" w:line="480" w:lineRule="auto"/>
        <w:rPr>
          <w:rFonts w:cs="Times New Roman"/>
          <w:sz w:val="20"/>
          <w:szCs w:val="20"/>
        </w:rPr>
      </w:pPr>
      <w:r w:rsidRPr="00711219">
        <w:rPr>
          <w:rFonts w:cs="Times New Roman"/>
          <w:b/>
          <w:bCs/>
          <w:i/>
          <w:iCs/>
          <w:sz w:val="20"/>
          <w:szCs w:val="20"/>
        </w:rPr>
        <w:t>Stool:</w:t>
      </w:r>
      <w:r w:rsidRPr="00711219">
        <w:rPr>
          <w:rFonts w:cs="Times New Roman"/>
          <w:sz w:val="20"/>
          <w:szCs w:val="20"/>
        </w:rPr>
        <w:t xml:space="preserve"> The role of stamp verification is defined incorrectly. Since the Survey and Mapping Division is required by principle to validate stamp receipts, the role of the Client Service and Access Unit to confirm the assessed stamp duty renders the process superfluous.  LUSPA and the Survey and Mapping Division visit and inspect two parcel sites rather than just one. The Administration Unit of the Lands </w:t>
      </w:r>
      <w:r w:rsidRPr="00711219">
        <w:rPr>
          <w:rFonts w:cs="Times New Roman"/>
          <w:sz w:val="20"/>
          <w:szCs w:val="20"/>
        </w:rPr>
        <w:tab/>
        <w:t xml:space="preserve">Commission incorrectly defines the local plan report, rather than sending it straight from LUSPA to SMD for plotting. </w:t>
      </w:r>
    </w:p>
    <w:p w14:paraId="3EBFA754" w14:textId="2CE55E95" w:rsidR="00831D5D" w:rsidRPr="00711219" w:rsidRDefault="00831D5D" w:rsidP="006F1AF8">
      <w:pPr>
        <w:spacing w:after="175" w:line="480" w:lineRule="auto"/>
        <w:ind w:right="62"/>
        <w:rPr>
          <w:rFonts w:cs="Times New Roman"/>
          <w:sz w:val="20"/>
          <w:szCs w:val="20"/>
        </w:rPr>
      </w:pPr>
      <w:r w:rsidRPr="00711219">
        <w:rPr>
          <w:rFonts w:cs="Times New Roman"/>
          <w:b/>
          <w:bCs/>
          <w:i/>
          <w:iCs/>
          <w:sz w:val="20"/>
          <w:szCs w:val="20"/>
        </w:rPr>
        <w:t xml:space="preserve">Family: </w:t>
      </w:r>
      <w:r w:rsidRPr="00711219">
        <w:rPr>
          <w:rFonts w:cs="Times New Roman"/>
          <w:sz w:val="20"/>
          <w:szCs w:val="20"/>
        </w:rPr>
        <w:t xml:space="preserve">Redundant work in the evaluation of site plans and indentures between the legal department, client service, and the access unit. CSAU verifies the stamp value redundantly rather than UMB Bank.  The Land Registration Division's redundant work of archiving stamp duties and certificates, rather than completing them one at a time. The </w:t>
      </w:r>
      <w:r w:rsidR="00FA6FF6">
        <w:rPr>
          <w:rFonts w:cs="Times New Roman"/>
          <w:sz w:val="20"/>
          <w:szCs w:val="20"/>
        </w:rPr>
        <w:t>inappropriately</w:t>
      </w:r>
      <w:r w:rsidRPr="00711219">
        <w:rPr>
          <w:rFonts w:cs="Times New Roman"/>
          <w:sz w:val="20"/>
          <w:szCs w:val="20"/>
        </w:rPr>
        <w:t xml:space="preserve"> defined signing role of surveyed and plotted site plans by the legal department</w:t>
      </w:r>
      <w:r w:rsidR="00FA6FF6">
        <w:rPr>
          <w:rFonts w:cs="Times New Roman"/>
          <w:sz w:val="20"/>
          <w:szCs w:val="20"/>
        </w:rPr>
        <w:t>,</w:t>
      </w:r>
      <w:r w:rsidRPr="00711219">
        <w:rPr>
          <w:rFonts w:cs="Times New Roman"/>
          <w:sz w:val="20"/>
          <w:szCs w:val="20"/>
        </w:rPr>
        <w:t xml:space="preserve"> instead of the Survey and Mapping Division.</w:t>
      </w:r>
    </w:p>
    <w:p w14:paraId="59052740" w14:textId="77777777" w:rsidR="00294E51" w:rsidRDefault="00831D5D" w:rsidP="006F1AF8">
      <w:pPr>
        <w:spacing w:after="152" w:line="480" w:lineRule="auto"/>
        <w:rPr>
          <w:rFonts w:cs="Times New Roman"/>
          <w:sz w:val="20"/>
          <w:szCs w:val="20"/>
        </w:rPr>
      </w:pPr>
      <w:r w:rsidRPr="00711219">
        <w:rPr>
          <w:rFonts w:cs="Times New Roman"/>
          <w:b/>
          <w:bCs/>
          <w:i/>
          <w:iCs/>
          <w:sz w:val="20"/>
          <w:szCs w:val="20"/>
        </w:rPr>
        <w:t xml:space="preserve">Public: </w:t>
      </w:r>
      <w:r w:rsidRPr="00711219">
        <w:rPr>
          <w:rFonts w:cs="Times New Roman"/>
          <w:sz w:val="20"/>
          <w:szCs w:val="20"/>
        </w:rPr>
        <w:t>Incorrect definition of the administrative unit's responsibility to verify parcel availability in place of survey and mapping. Land Registration Division's redundant stamp payment verification</w:t>
      </w:r>
      <w:r w:rsidR="00294E51">
        <w:rPr>
          <w:rFonts w:cs="Times New Roman"/>
          <w:sz w:val="20"/>
          <w:szCs w:val="20"/>
        </w:rPr>
        <w:t>.</w:t>
      </w:r>
    </w:p>
    <w:p w14:paraId="0ADAAC00" w14:textId="2DD4D53C" w:rsidR="006C2BA7" w:rsidRPr="00711219" w:rsidRDefault="00831D5D" w:rsidP="006F1AF8">
      <w:pPr>
        <w:spacing w:after="152" w:line="480" w:lineRule="auto"/>
        <w:rPr>
          <w:rFonts w:cs="Times New Roman"/>
          <w:sz w:val="20"/>
          <w:szCs w:val="20"/>
        </w:rPr>
      </w:pPr>
      <w:r w:rsidRPr="00711219">
        <w:rPr>
          <w:rFonts w:cs="Times New Roman"/>
          <w:sz w:val="20"/>
          <w:szCs w:val="20"/>
        </w:rPr>
        <w:t xml:space="preserve">  </w:t>
      </w:r>
    </w:p>
    <w:p w14:paraId="5FB16F6D" w14:textId="00C96C0D" w:rsidR="008462BD" w:rsidRPr="00711219" w:rsidRDefault="00831D5D" w:rsidP="006F1AF8">
      <w:pPr>
        <w:spacing w:line="480" w:lineRule="auto"/>
        <w:rPr>
          <w:rFonts w:cs="Times New Roman"/>
          <w:sz w:val="20"/>
          <w:szCs w:val="20"/>
        </w:rPr>
      </w:pPr>
      <w:r w:rsidRPr="00711219">
        <w:rPr>
          <w:rFonts w:cs="Times New Roman"/>
          <w:sz w:val="20"/>
          <w:szCs w:val="20"/>
        </w:rPr>
        <w:t xml:space="preserve"> </w:t>
      </w:r>
      <w:r w:rsidR="008462BD" w:rsidRPr="00711219">
        <w:rPr>
          <w:rFonts w:cs="Times New Roman"/>
          <w:b/>
          <w:bCs/>
          <w:sz w:val="20"/>
          <w:szCs w:val="20"/>
        </w:rPr>
        <w:t xml:space="preserve">5.2 Validation of the New Land Registration System  </w:t>
      </w:r>
    </w:p>
    <w:p w14:paraId="7F4D6A58" w14:textId="042EE9BD" w:rsidR="00711219" w:rsidRPr="00711219" w:rsidRDefault="00521492" w:rsidP="00832EB9">
      <w:pPr>
        <w:spacing w:line="480" w:lineRule="auto"/>
        <w:ind w:left="14" w:right="471"/>
        <w:rPr>
          <w:rFonts w:cs="Times New Roman"/>
          <w:sz w:val="20"/>
          <w:szCs w:val="20"/>
        </w:rPr>
      </w:pPr>
      <w:r w:rsidRPr="00711219">
        <w:rPr>
          <w:rFonts w:cs="Times New Roman"/>
          <w:sz w:val="20"/>
          <w:szCs w:val="20"/>
        </w:rPr>
        <w:t>Validation of the workflow model identifies system requirements and gaps (Sadiq et al., 2004). Tables 1, 2, and 3 are utilized in this section for the validation of the land registration workflow. The mapping of client specifications onto the new model shows where the bottlenecks are and minimizes errors. Validation ensures the new system aligns with user requirements for full implementation. The validation results are shown in the table below.</w:t>
      </w:r>
    </w:p>
    <w:p w14:paraId="700F5E03" w14:textId="01251D32" w:rsidR="00A97550" w:rsidRPr="00711219" w:rsidRDefault="00972A3F" w:rsidP="003D7562">
      <w:pPr>
        <w:spacing w:line="480" w:lineRule="auto"/>
        <w:ind w:left="14" w:right="471"/>
        <w:jc w:val="center"/>
        <w:rPr>
          <w:rFonts w:cs="Times New Roman"/>
          <w:sz w:val="20"/>
          <w:szCs w:val="20"/>
        </w:rPr>
      </w:pPr>
      <w:r w:rsidRPr="00711219">
        <w:rPr>
          <w:rFonts w:cs="Times New Roman"/>
          <w:b/>
          <w:bCs/>
          <w:sz w:val="20"/>
          <w:szCs w:val="20"/>
        </w:rPr>
        <w:t xml:space="preserve">Table </w:t>
      </w:r>
      <w:r w:rsidR="00646038" w:rsidRPr="00711219">
        <w:rPr>
          <w:rFonts w:cs="Times New Roman"/>
          <w:b/>
          <w:bCs/>
          <w:sz w:val="20"/>
          <w:szCs w:val="20"/>
        </w:rPr>
        <w:t>1</w:t>
      </w:r>
      <w:r w:rsidRPr="00711219">
        <w:rPr>
          <w:rFonts w:cs="Times New Roman"/>
          <w:b/>
          <w:bCs/>
          <w:sz w:val="20"/>
          <w:szCs w:val="20"/>
        </w:rPr>
        <w:t>:</w:t>
      </w:r>
      <w:r w:rsidRPr="00711219">
        <w:rPr>
          <w:rFonts w:cs="Times New Roman"/>
          <w:sz w:val="20"/>
          <w:szCs w:val="20"/>
        </w:rPr>
        <w:t xml:space="preserve"> Stool </w:t>
      </w:r>
      <w:r w:rsidR="001B1C6C" w:rsidRPr="00711219">
        <w:rPr>
          <w:rFonts w:cs="Times New Roman"/>
          <w:sz w:val="20"/>
          <w:szCs w:val="20"/>
        </w:rPr>
        <w:t>Lands</w:t>
      </w:r>
    </w:p>
    <w:tbl>
      <w:tblPr>
        <w:tblStyle w:val="PlainTable5"/>
        <w:tblW w:w="0" w:type="auto"/>
        <w:tblLook w:val="04A0" w:firstRow="1" w:lastRow="0" w:firstColumn="1" w:lastColumn="0" w:noHBand="0" w:noVBand="1"/>
      </w:tblPr>
      <w:tblGrid>
        <w:gridCol w:w="2250"/>
        <w:gridCol w:w="2251"/>
        <w:gridCol w:w="2251"/>
        <w:gridCol w:w="2250"/>
      </w:tblGrid>
      <w:tr w:rsidR="00972A3F" w:rsidRPr="00711219" w14:paraId="1EFC0E80" w14:textId="77777777" w:rsidTr="00714B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0" w:type="dxa"/>
          </w:tcPr>
          <w:p w14:paraId="5EC2BA59" w14:textId="4884A747" w:rsidR="00972A3F" w:rsidRPr="00711219" w:rsidRDefault="00972A3F" w:rsidP="00BF3C2E">
            <w:pPr>
              <w:jc w:val="center"/>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lastRenderedPageBreak/>
              <w:t>Process</w:t>
            </w:r>
          </w:p>
        </w:tc>
        <w:tc>
          <w:tcPr>
            <w:tcW w:w="6752" w:type="dxa"/>
            <w:gridSpan w:val="3"/>
          </w:tcPr>
          <w:p w14:paraId="5B171135" w14:textId="66E40C93" w:rsidR="00972A3F" w:rsidRPr="00711219" w:rsidRDefault="00972A3F" w:rsidP="00BF3C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0"/>
                <w:szCs w:val="20"/>
              </w:rPr>
            </w:pPr>
            <w:r w:rsidRPr="00711219">
              <w:rPr>
                <w:rFonts w:ascii="Times New Roman" w:hAnsi="Times New Roman" w:cs="Times New Roman"/>
                <w:b/>
                <w:bCs/>
                <w:i w:val="0"/>
                <w:iCs w:val="0"/>
                <w:sz w:val="20"/>
                <w:szCs w:val="20"/>
              </w:rPr>
              <w:t>Stool</w:t>
            </w:r>
            <w:r w:rsidR="001B1C6C" w:rsidRPr="00711219">
              <w:rPr>
                <w:rFonts w:ascii="Times New Roman" w:hAnsi="Times New Roman" w:cs="Times New Roman"/>
                <w:b/>
                <w:bCs/>
                <w:i w:val="0"/>
                <w:iCs w:val="0"/>
                <w:sz w:val="20"/>
                <w:szCs w:val="20"/>
              </w:rPr>
              <w:t xml:space="preserve"> Lands</w:t>
            </w:r>
          </w:p>
        </w:tc>
      </w:tr>
      <w:tr w:rsidR="00132BBB" w:rsidRPr="00711219" w14:paraId="5E92683F" w14:textId="77777777" w:rsidTr="00714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CB2A355" w14:textId="77777777" w:rsidR="00132BBB" w:rsidRPr="00711219" w:rsidRDefault="00132BBB" w:rsidP="00BF3C2E">
            <w:pPr>
              <w:spacing w:after="50"/>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Validated Registration</w:t>
            </w:r>
          </w:p>
          <w:p w14:paraId="46C4FBB9" w14:textId="5C30C2A1" w:rsidR="00132BBB" w:rsidRPr="00711219" w:rsidRDefault="00132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Process</w:t>
            </w:r>
          </w:p>
        </w:tc>
        <w:tc>
          <w:tcPr>
            <w:tcW w:w="2251" w:type="dxa"/>
          </w:tcPr>
          <w:p w14:paraId="5D5C0FF9" w14:textId="77777777" w:rsidR="00132BBB" w:rsidRPr="00711219" w:rsidRDefault="00132BBB" w:rsidP="00BF3C2E">
            <w:pPr>
              <w:spacing w:after="45"/>
              <w:ind w:left="2" w:right="35"/>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Stamp payment</w:t>
            </w:r>
          </w:p>
          <w:p w14:paraId="0DF9BD07" w14:textId="2FDDBE91"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verification</w:t>
            </w:r>
          </w:p>
        </w:tc>
        <w:tc>
          <w:tcPr>
            <w:tcW w:w="2251" w:type="dxa"/>
          </w:tcPr>
          <w:p w14:paraId="40D580B2" w14:textId="18BF10AF"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 xml:space="preserve">Field survey </w:t>
            </w:r>
            <w:r w:rsidR="00972A3F" w:rsidRPr="00711219">
              <w:rPr>
                <w:rFonts w:cs="Times New Roman"/>
                <w:sz w:val="20"/>
                <w:szCs w:val="20"/>
              </w:rPr>
              <w:t>visits</w:t>
            </w:r>
            <w:r w:rsidRPr="00711219">
              <w:rPr>
                <w:rFonts w:cs="Times New Roman"/>
                <w:sz w:val="20"/>
                <w:szCs w:val="20"/>
              </w:rPr>
              <w:t xml:space="preserve"> and site inspection</w:t>
            </w:r>
          </w:p>
        </w:tc>
        <w:tc>
          <w:tcPr>
            <w:tcW w:w="2250" w:type="dxa"/>
          </w:tcPr>
          <w:p w14:paraId="59B70D9F" w14:textId="3090F0B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 xml:space="preserve">Verification of site report  </w:t>
            </w:r>
          </w:p>
        </w:tc>
      </w:tr>
      <w:tr w:rsidR="00132BBB" w:rsidRPr="00711219" w14:paraId="7DB3C983" w14:textId="77777777" w:rsidTr="00714BBB">
        <w:tc>
          <w:tcPr>
            <w:cnfStyle w:val="001000000000" w:firstRow="0" w:lastRow="0" w:firstColumn="1" w:lastColumn="0" w:oddVBand="0" w:evenVBand="0" w:oddHBand="0" w:evenHBand="0" w:firstRowFirstColumn="0" w:firstRowLastColumn="0" w:lastRowFirstColumn="0" w:lastRowLastColumn="0"/>
            <w:tcW w:w="2250" w:type="dxa"/>
          </w:tcPr>
          <w:p w14:paraId="31B630C6" w14:textId="53EAA5E5" w:rsidR="00132BBB" w:rsidRPr="00711219" w:rsidRDefault="00132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Actor (s)</w:t>
            </w:r>
            <w:r w:rsidRPr="00711219">
              <w:rPr>
                <w:rFonts w:ascii="Times New Roman" w:hAnsi="Times New Roman" w:cs="Times New Roman"/>
                <w:b/>
                <w:i w:val="0"/>
                <w:iCs w:val="0"/>
                <w:sz w:val="20"/>
                <w:szCs w:val="20"/>
              </w:rPr>
              <w:t xml:space="preserve"> </w:t>
            </w:r>
            <w:r w:rsidRPr="00711219">
              <w:rPr>
                <w:rFonts w:ascii="Times New Roman" w:eastAsia="Times New Roman" w:hAnsi="Times New Roman" w:cs="Times New Roman"/>
                <w:b/>
                <w:i w:val="0"/>
                <w:iCs w:val="0"/>
                <w:sz w:val="20"/>
                <w:szCs w:val="20"/>
              </w:rPr>
              <w:t>Involved</w:t>
            </w:r>
          </w:p>
        </w:tc>
        <w:tc>
          <w:tcPr>
            <w:tcW w:w="2251" w:type="dxa"/>
          </w:tcPr>
          <w:p w14:paraId="0517F76D" w14:textId="77777777" w:rsidR="00132BBB" w:rsidRPr="00711219" w:rsidRDefault="00132BBB" w:rsidP="00BF3C2E">
            <w:pPr>
              <w:spacing w:after="44"/>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Survey and mapping</w:t>
            </w:r>
          </w:p>
          <w:p w14:paraId="3579E762" w14:textId="037BB22B" w:rsidR="00132BBB" w:rsidRPr="00711219" w:rsidRDefault="00132BBB" w:rsidP="00BF3C2E">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Division</w:t>
            </w:r>
          </w:p>
        </w:tc>
        <w:tc>
          <w:tcPr>
            <w:tcW w:w="2251" w:type="dxa"/>
          </w:tcPr>
          <w:p w14:paraId="71191458" w14:textId="77777777" w:rsidR="00132BBB" w:rsidRPr="00711219" w:rsidRDefault="00132BBB" w:rsidP="00BF3C2E">
            <w:pPr>
              <w:spacing w:after="47"/>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Land Use and Spatial and</w:t>
            </w:r>
          </w:p>
          <w:p w14:paraId="20AE7112" w14:textId="6A2E5E24" w:rsidR="00132BBB" w:rsidRPr="00711219" w:rsidRDefault="00132BBB" w:rsidP="00BF3C2E">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Planning</w:t>
            </w:r>
          </w:p>
        </w:tc>
        <w:tc>
          <w:tcPr>
            <w:tcW w:w="2250" w:type="dxa"/>
          </w:tcPr>
          <w:p w14:paraId="5F348A8A" w14:textId="3DF559FF" w:rsidR="00132BBB" w:rsidRPr="00711219" w:rsidRDefault="00132BBB" w:rsidP="00BF3C2E">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SMD</w:t>
            </w:r>
          </w:p>
        </w:tc>
      </w:tr>
      <w:tr w:rsidR="00132BBB" w:rsidRPr="00711219" w14:paraId="6F7FEE3A" w14:textId="77777777" w:rsidTr="00714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546B0AE" w14:textId="4C99F9CF" w:rsidR="00132BBB" w:rsidRPr="00711219" w:rsidRDefault="00132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User requirement</w:t>
            </w:r>
          </w:p>
        </w:tc>
        <w:tc>
          <w:tcPr>
            <w:tcW w:w="2251" w:type="dxa"/>
          </w:tcPr>
          <w:p w14:paraId="64CF7CEA" w14:textId="77777777" w:rsidR="00132BBB" w:rsidRPr="00711219" w:rsidRDefault="00132BBB" w:rsidP="00BF3C2E">
            <w:pPr>
              <w:spacing w:after="18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Electronically transferring the stamp value assessment</w:t>
            </w:r>
          </w:p>
          <w:p w14:paraId="33F4FA6C" w14:textId="7777777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251" w:type="dxa"/>
          </w:tcPr>
          <w:p w14:paraId="21CC7D18" w14:textId="77777777" w:rsidR="00132BBB" w:rsidRPr="00711219" w:rsidRDefault="00132BBB" w:rsidP="00BF3C2E">
            <w:pPr>
              <w:spacing w:after="151"/>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All evaluations and inspections must be completed electronically with the most recent Sekondi-Takoradi aerial photo.</w:t>
            </w:r>
          </w:p>
          <w:p w14:paraId="5837DAC6" w14:textId="7777777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250" w:type="dxa"/>
          </w:tcPr>
          <w:p w14:paraId="161A987C" w14:textId="77777777" w:rsidR="00132BBB" w:rsidRPr="00711219" w:rsidRDefault="00132BBB" w:rsidP="00BF3C2E">
            <w:pPr>
              <w:spacing w:after="176"/>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 xml:space="preserve">Reports for electronic verification  </w:t>
            </w:r>
          </w:p>
          <w:p w14:paraId="71D0BA17" w14:textId="7777777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132BBB" w:rsidRPr="00711219" w14:paraId="454E76D8" w14:textId="77777777" w:rsidTr="00A51809">
        <w:trPr>
          <w:trHeight w:val="1497"/>
        </w:trPr>
        <w:tc>
          <w:tcPr>
            <w:cnfStyle w:val="001000000000" w:firstRow="0" w:lastRow="0" w:firstColumn="1" w:lastColumn="0" w:oddVBand="0" w:evenVBand="0" w:oddHBand="0" w:evenHBand="0" w:firstRowFirstColumn="0" w:firstRowLastColumn="0" w:lastRowFirstColumn="0" w:lastRowLastColumn="0"/>
            <w:tcW w:w="2250" w:type="dxa"/>
          </w:tcPr>
          <w:p w14:paraId="1E62A2EC" w14:textId="77777777" w:rsidR="00132BBB" w:rsidRPr="00711219" w:rsidRDefault="00132BBB" w:rsidP="00BF3C2E">
            <w:pPr>
              <w:spacing w:after="303"/>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Design</w:t>
            </w:r>
          </w:p>
          <w:p w14:paraId="19E31A3D" w14:textId="4911006A" w:rsidR="00132BBB" w:rsidRPr="00711219" w:rsidRDefault="00132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Requirement</w:t>
            </w:r>
          </w:p>
        </w:tc>
        <w:tc>
          <w:tcPr>
            <w:tcW w:w="2251" w:type="dxa"/>
          </w:tcPr>
          <w:p w14:paraId="387250AE" w14:textId="66A94DC9" w:rsidR="00132BBB" w:rsidRPr="00711219" w:rsidRDefault="00132BBB" w:rsidP="00BF3C2E">
            <w:pPr>
              <w:spacing w:after="180"/>
              <w:ind w:left="2" w:right="59"/>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Value receipts with a digital stamp</w:t>
            </w:r>
          </w:p>
        </w:tc>
        <w:tc>
          <w:tcPr>
            <w:tcW w:w="2251" w:type="dxa"/>
          </w:tcPr>
          <w:p w14:paraId="2A0335B1" w14:textId="740D964F" w:rsidR="00972A3F" w:rsidRPr="00711219" w:rsidRDefault="00972A3F" w:rsidP="00BF3C2E">
            <w:pPr>
              <w:spacing w:after="451"/>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Map panel</w:t>
            </w:r>
            <w:r w:rsidR="00714BBB" w:rsidRPr="00711219">
              <w:rPr>
                <w:rFonts w:cs="Times New Roman"/>
                <w:sz w:val="20"/>
                <w:szCs w:val="20"/>
              </w:rPr>
              <w:t>:</w:t>
            </w:r>
            <w:r w:rsidR="0053284F" w:rsidRPr="00711219">
              <w:rPr>
                <w:rFonts w:cs="Times New Roman"/>
                <w:sz w:val="20"/>
                <w:szCs w:val="20"/>
              </w:rPr>
              <w:t xml:space="preserve"> </w:t>
            </w:r>
            <w:r w:rsidRPr="00711219">
              <w:rPr>
                <w:rFonts w:cs="Times New Roman"/>
                <w:sz w:val="20"/>
                <w:szCs w:val="20"/>
              </w:rPr>
              <w:t>Displaying a map visualization</w:t>
            </w:r>
          </w:p>
          <w:p w14:paraId="148DF7BC" w14:textId="77777777" w:rsidR="00132BBB" w:rsidRPr="00711219" w:rsidRDefault="00132BBB" w:rsidP="00BF3C2E">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250" w:type="dxa"/>
          </w:tcPr>
          <w:p w14:paraId="21DF2CB7" w14:textId="77777777" w:rsidR="00972A3F" w:rsidRPr="00711219" w:rsidRDefault="00972A3F" w:rsidP="00BF3C2E">
            <w:pPr>
              <w:spacing w:after="187"/>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 xml:space="preserve">System assimilation and notification report and request preparation  </w:t>
            </w:r>
          </w:p>
          <w:p w14:paraId="25659694" w14:textId="77777777" w:rsidR="00132BBB" w:rsidRPr="00711219" w:rsidRDefault="00132BBB" w:rsidP="00BF3C2E">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132BBB" w:rsidRPr="00711219" w14:paraId="1745857C" w14:textId="77777777" w:rsidTr="00714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A41B143" w14:textId="05064467" w:rsidR="00132BBB" w:rsidRPr="00711219" w:rsidRDefault="00132BBB" w:rsidP="00BF3C2E">
            <w:pPr>
              <w:spacing w:after="303"/>
              <w:ind w:left="2"/>
              <w:jc w:val="left"/>
              <w:rPr>
                <w:rFonts w:ascii="Times New Roman" w:eastAsia="Times New Roman" w:hAnsi="Times New Roman" w:cs="Times New Roman"/>
                <w:b/>
                <w:i w:val="0"/>
                <w:iCs w:val="0"/>
                <w:sz w:val="20"/>
                <w:szCs w:val="20"/>
              </w:rPr>
            </w:pPr>
            <w:r w:rsidRPr="00711219">
              <w:rPr>
                <w:rFonts w:ascii="Times New Roman" w:eastAsia="Times New Roman" w:hAnsi="Times New Roman" w:cs="Times New Roman"/>
                <w:b/>
                <w:i w:val="0"/>
                <w:iCs w:val="0"/>
                <w:sz w:val="20"/>
                <w:szCs w:val="20"/>
              </w:rPr>
              <w:t>Comment</w:t>
            </w:r>
          </w:p>
        </w:tc>
        <w:tc>
          <w:tcPr>
            <w:tcW w:w="2251" w:type="dxa"/>
          </w:tcPr>
          <w:p w14:paraId="0DE4711D" w14:textId="77777777" w:rsidR="00972A3F" w:rsidRPr="00711219" w:rsidRDefault="00972A3F" w:rsidP="00BF3C2E">
            <w:pPr>
              <w:spacing w:after="1"/>
              <w:ind w:right="86"/>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r w:rsidRPr="00711219">
              <w:rPr>
                <w:rFonts w:cs="Times New Roman"/>
                <w:sz w:val="20"/>
                <w:szCs w:val="20"/>
              </w:rPr>
              <w:t xml:space="preserve"> Following receipt of payment for the verification stamp, the SMD</w:t>
            </w:r>
          </w:p>
          <w:p w14:paraId="0FD42F0B" w14:textId="77777777" w:rsidR="00972A3F" w:rsidRPr="00711219" w:rsidRDefault="00972A3F" w:rsidP="00BF3C2E">
            <w:pPr>
              <w:spacing w:after="155"/>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will search all parcels.</w:t>
            </w:r>
          </w:p>
          <w:p w14:paraId="753A446F" w14:textId="7777777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251" w:type="dxa"/>
          </w:tcPr>
          <w:p w14:paraId="0A55A048" w14:textId="77777777" w:rsidR="0053284F" w:rsidRPr="00711219" w:rsidRDefault="00972A3F" w:rsidP="00BF3C2E">
            <w:pPr>
              <w:spacing w:after="48"/>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r w:rsidRPr="00711219">
              <w:rPr>
                <w:rFonts w:cs="Times New Roman"/>
                <w:sz w:val="20"/>
                <w:szCs w:val="20"/>
              </w:rPr>
              <w:t xml:space="preserve"> </w:t>
            </w:r>
          </w:p>
          <w:p w14:paraId="0E8F9CBD" w14:textId="597F7919" w:rsidR="00972A3F" w:rsidRPr="00711219" w:rsidRDefault="00972A3F" w:rsidP="00BF3C2E">
            <w:pPr>
              <w:spacing w:after="48"/>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Land use assessment will involve direct verification of the client's parcel on a local map printed scheme before its forwarded to the</w:t>
            </w:r>
          </w:p>
          <w:p w14:paraId="57604225" w14:textId="367CBCED" w:rsidR="00132BBB" w:rsidRPr="00711219" w:rsidRDefault="00972A3F"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SMD for plotting</w:t>
            </w:r>
          </w:p>
        </w:tc>
        <w:tc>
          <w:tcPr>
            <w:tcW w:w="2250" w:type="dxa"/>
          </w:tcPr>
          <w:p w14:paraId="253F8E63" w14:textId="77777777" w:rsidR="0053284F" w:rsidRPr="00711219" w:rsidRDefault="00972A3F" w:rsidP="00BF3C2E">
            <w:pPr>
              <w:spacing w:after="29"/>
              <w:ind w:right="109"/>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w:t>
            </w:r>
            <w:r w:rsidRPr="00711219">
              <w:rPr>
                <w:rFonts w:cs="Times New Roman"/>
                <w:sz w:val="20"/>
                <w:szCs w:val="20"/>
              </w:rPr>
              <w:t xml:space="preserve"> </w:t>
            </w:r>
          </w:p>
          <w:p w14:paraId="1F256E38" w14:textId="11F2A8B9" w:rsidR="00972A3F" w:rsidRPr="00711219" w:rsidRDefault="00972A3F" w:rsidP="00BF3C2E">
            <w:pPr>
              <w:spacing w:after="29"/>
              <w:ind w:right="109"/>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 xml:space="preserve">Before plotted site plans are prepared, the </w:t>
            </w:r>
          </w:p>
          <w:p w14:paraId="6F248D33" w14:textId="0DE9B5FE" w:rsidR="00972A3F" w:rsidRPr="00711219" w:rsidRDefault="00972A3F" w:rsidP="00BF3C2E">
            <w:pPr>
              <w:tabs>
                <w:tab w:val="center" w:pos="341"/>
                <w:tab w:val="center" w:pos="1492"/>
              </w:tabs>
              <w:spacing w:after="259"/>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Calibri" w:cs="Times New Roman"/>
                <w:sz w:val="20"/>
                <w:szCs w:val="20"/>
              </w:rPr>
              <w:tab/>
              <w:t xml:space="preserve">The </w:t>
            </w:r>
            <w:r w:rsidRPr="00711219">
              <w:rPr>
                <w:rFonts w:cs="Times New Roman"/>
                <w:sz w:val="20"/>
                <w:szCs w:val="20"/>
              </w:rPr>
              <w:t xml:space="preserve">Survey and Mapping Division will confirm the assessed land use report from LUSPA.  </w:t>
            </w:r>
          </w:p>
          <w:p w14:paraId="22D66DF8" w14:textId="77777777" w:rsidR="00132BBB" w:rsidRPr="00711219" w:rsidRDefault="00132BBB" w:rsidP="00BF3C2E">
            <w:pPr>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bl>
    <w:p w14:paraId="0033F008" w14:textId="7220944B" w:rsidR="00BB4738" w:rsidRPr="00711219" w:rsidRDefault="00BB4738" w:rsidP="003D7562">
      <w:pPr>
        <w:spacing w:before="0" w:after="0" w:line="480" w:lineRule="auto"/>
        <w:jc w:val="center"/>
        <w:rPr>
          <w:rFonts w:cs="Times New Roman"/>
          <w:sz w:val="20"/>
          <w:szCs w:val="20"/>
        </w:rPr>
      </w:pPr>
      <w:r w:rsidRPr="00711219">
        <w:rPr>
          <w:rFonts w:cs="Times New Roman"/>
          <w:sz w:val="20"/>
          <w:szCs w:val="20"/>
        </w:rPr>
        <w:t>Source: Field Survey, 2020</w:t>
      </w:r>
    </w:p>
    <w:p w14:paraId="0B4837A7" w14:textId="77777777" w:rsidR="00972A3F" w:rsidRPr="00711219" w:rsidRDefault="00972A3F" w:rsidP="006F1AF8">
      <w:pPr>
        <w:spacing w:before="0" w:after="0" w:line="480" w:lineRule="auto"/>
        <w:jc w:val="left"/>
        <w:rPr>
          <w:rFonts w:cs="Times New Roman"/>
          <w:b/>
          <w:bCs/>
          <w:sz w:val="20"/>
          <w:szCs w:val="20"/>
        </w:rPr>
      </w:pPr>
    </w:p>
    <w:p w14:paraId="6FB3F6A2" w14:textId="77777777" w:rsidR="006C2BA7" w:rsidRPr="00711219" w:rsidRDefault="006C2BA7" w:rsidP="006F1AF8">
      <w:pPr>
        <w:spacing w:before="0" w:after="0" w:line="480" w:lineRule="auto"/>
        <w:jc w:val="left"/>
        <w:rPr>
          <w:rFonts w:cs="Times New Roman"/>
          <w:b/>
          <w:bCs/>
          <w:sz w:val="20"/>
          <w:szCs w:val="20"/>
        </w:rPr>
      </w:pPr>
    </w:p>
    <w:p w14:paraId="4CC1838E" w14:textId="77777777" w:rsidR="00BF3C2E" w:rsidRDefault="00BF3C2E" w:rsidP="006F1AF8">
      <w:pPr>
        <w:spacing w:before="0" w:after="0" w:line="480" w:lineRule="auto"/>
        <w:jc w:val="left"/>
        <w:rPr>
          <w:rFonts w:cs="Times New Roman"/>
          <w:b/>
          <w:bCs/>
          <w:sz w:val="20"/>
          <w:szCs w:val="20"/>
        </w:rPr>
      </w:pPr>
    </w:p>
    <w:p w14:paraId="436C850A" w14:textId="77777777" w:rsidR="00711219" w:rsidRPr="00711219" w:rsidRDefault="00711219" w:rsidP="006F1AF8">
      <w:pPr>
        <w:spacing w:before="0" w:after="0" w:line="480" w:lineRule="auto"/>
        <w:jc w:val="left"/>
        <w:rPr>
          <w:rFonts w:cs="Times New Roman"/>
          <w:b/>
          <w:bCs/>
          <w:sz w:val="20"/>
          <w:szCs w:val="20"/>
        </w:rPr>
      </w:pPr>
    </w:p>
    <w:p w14:paraId="5669FB4B" w14:textId="2EF674ED" w:rsidR="00BB4738" w:rsidRPr="00711219" w:rsidRDefault="00BB4738" w:rsidP="003D7562">
      <w:pPr>
        <w:spacing w:before="0" w:after="0" w:line="480" w:lineRule="auto"/>
        <w:jc w:val="center"/>
        <w:rPr>
          <w:rFonts w:cs="Times New Roman"/>
          <w:sz w:val="20"/>
          <w:szCs w:val="20"/>
        </w:rPr>
      </w:pPr>
      <w:r w:rsidRPr="00711219">
        <w:rPr>
          <w:rFonts w:cs="Times New Roman"/>
          <w:b/>
          <w:bCs/>
          <w:sz w:val="20"/>
          <w:szCs w:val="20"/>
        </w:rPr>
        <w:t xml:space="preserve">Table </w:t>
      </w:r>
      <w:r w:rsidR="00646038" w:rsidRPr="00711219">
        <w:rPr>
          <w:rFonts w:cs="Times New Roman"/>
          <w:b/>
          <w:bCs/>
          <w:sz w:val="20"/>
          <w:szCs w:val="20"/>
        </w:rPr>
        <w:t>2</w:t>
      </w:r>
      <w:r w:rsidRPr="00711219">
        <w:rPr>
          <w:rFonts w:cs="Times New Roman"/>
          <w:b/>
          <w:bCs/>
          <w:sz w:val="20"/>
          <w:szCs w:val="20"/>
        </w:rPr>
        <w:t>:</w:t>
      </w:r>
      <w:r w:rsidRPr="00711219">
        <w:rPr>
          <w:rFonts w:cs="Times New Roman"/>
          <w:sz w:val="20"/>
          <w:szCs w:val="20"/>
        </w:rPr>
        <w:t xml:space="preserve"> Family</w:t>
      </w:r>
      <w:r w:rsidR="001B1C6C" w:rsidRPr="00711219">
        <w:rPr>
          <w:rFonts w:cs="Times New Roman"/>
          <w:sz w:val="20"/>
          <w:szCs w:val="20"/>
        </w:rPr>
        <w:t xml:space="preserve"> Lands</w:t>
      </w:r>
    </w:p>
    <w:tbl>
      <w:tblPr>
        <w:tblStyle w:val="PlainTable5"/>
        <w:tblW w:w="0" w:type="auto"/>
        <w:tblLook w:val="04A0" w:firstRow="1" w:lastRow="0" w:firstColumn="1" w:lastColumn="0" w:noHBand="0" w:noVBand="1"/>
      </w:tblPr>
      <w:tblGrid>
        <w:gridCol w:w="2231"/>
        <w:gridCol w:w="2231"/>
        <w:gridCol w:w="2231"/>
        <w:gridCol w:w="2231"/>
      </w:tblGrid>
      <w:tr w:rsidR="00972A3F" w:rsidRPr="00711219" w14:paraId="3D17FEED" w14:textId="248288D6" w:rsidTr="00714BBB">
        <w:trPr>
          <w:cnfStyle w:val="100000000000" w:firstRow="1" w:lastRow="0" w:firstColumn="0" w:lastColumn="0" w:oddVBand="0" w:evenVBand="0" w:oddHBand="0" w:evenHBand="0" w:firstRowFirstColumn="0" w:firstRowLastColumn="0" w:lastRowFirstColumn="0" w:lastRowLastColumn="0"/>
          <w:trHeight w:val="664"/>
        </w:trPr>
        <w:tc>
          <w:tcPr>
            <w:cnfStyle w:val="001000000100" w:firstRow="0" w:lastRow="0" w:firstColumn="1" w:lastColumn="0" w:oddVBand="0" w:evenVBand="0" w:oddHBand="0" w:evenHBand="0" w:firstRowFirstColumn="1" w:firstRowLastColumn="0" w:lastRowFirstColumn="0" w:lastRowLastColumn="0"/>
            <w:tcW w:w="2231" w:type="dxa"/>
          </w:tcPr>
          <w:p w14:paraId="0CDBDD32" w14:textId="77777777" w:rsidR="00972A3F" w:rsidRPr="00711219" w:rsidRDefault="00972A3F" w:rsidP="00BF3C2E">
            <w:pPr>
              <w:jc w:val="center"/>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Process</w:t>
            </w:r>
          </w:p>
        </w:tc>
        <w:tc>
          <w:tcPr>
            <w:tcW w:w="6693" w:type="dxa"/>
            <w:gridSpan w:val="3"/>
          </w:tcPr>
          <w:p w14:paraId="3EC84246" w14:textId="1875FAD9" w:rsidR="00972A3F" w:rsidRPr="00711219" w:rsidRDefault="00972A3F" w:rsidP="00BF3C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iCs w:val="0"/>
                <w:sz w:val="20"/>
                <w:szCs w:val="20"/>
              </w:rPr>
            </w:pPr>
            <w:r w:rsidRPr="00711219">
              <w:rPr>
                <w:rFonts w:ascii="Times New Roman" w:eastAsia="Times New Roman" w:hAnsi="Times New Roman" w:cs="Times New Roman"/>
                <w:b/>
                <w:i w:val="0"/>
                <w:iCs w:val="0"/>
                <w:sz w:val="20"/>
                <w:szCs w:val="20"/>
              </w:rPr>
              <w:t>Family</w:t>
            </w:r>
            <w:r w:rsidR="001B1C6C" w:rsidRPr="00711219">
              <w:rPr>
                <w:rFonts w:ascii="Times New Roman" w:eastAsia="Times New Roman" w:hAnsi="Times New Roman" w:cs="Times New Roman"/>
                <w:b/>
                <w:i w:val="0"/>
                <w:iCs w:val="0"/>
                <w:sz w:val="20"/>
                <w:szCs w:val="20"/>
              </w:rPr>
              <w:t xml:space="preserve"> Lands</w:t>
            </w:r>
          </w:p>
        </w:tc>
      </w:tr>
      <w:tr w:rsidR="00972A3F" w:rsidRPr="00711219" w14:paraId="04AA29C1" w14:textId="23A34AAD" w:rsidTr="00714BBB">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231" w:type="dxa"/>
          </w:tcPr>
          <w:p w14:paraId="5C9BAC07" w14:textId="77777777" w:rsidR="00972A3F" w:rsidRPr="00711219" w:rsidRDefault="00972A3F" w:rsidP="00BF3C2E">
            <w:pPr>
              <w:spacing w:after="50"/>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Validated Registration</w:t>
            </w:r>
          </w:p>
          <w:p w14:paraId="5B2371E4" w14:textId="77777777" w:rsidR="00972A3F" w:rsidRPr="00711219" w:rsidRDefault="00972A3F"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Process</w:t>
            </w:r>
          </w:p>
        </w:tc>
        <w:tc>
          <w:tcPr>
            <w:tcW w:w="2231" w:type="dxa"/>
          </w:tcPr>
          <w:p w14:paraId="1C1AA554" w14:textId="57B8CE78" w:rsidR="00972A3F" w:rsidRPr="00711219" w:rsidRDefault="00972A3F" w:rsidP="00BF3C2E">
            <w:pPr>
              <w:spacing w:after="183"/>
              <w:ind w:left="2" w:right="25"/>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Site plan and indenture verification</w:t>
            </w:r>
            <w:r w:rsidR="00646038" w:rsidRPr="00711219">
              <w:rPr>
                <w:rFonts w:cs="Times New Roman"/>
                <w:sz w:val="20"/>
                <w:szCs w:val="20"/>
              </w:rPr>
              <w:t>,</w:t>
            </w:r>
            <w:r w:rsidRPr="00711219">
              <w:rPr>
                <w:rFonts w:cs="Times New Roman"/>
                <w:sz w:val="20"/>
                <w:szCs w:val="20"/>
              </w:rPr>
              <w:t xml:space="preserve"> and evaluation</w:t>
            </w:r>
          </w:p>
          <w:p w14:paraId="5EAC205E" w14:textId="77777777" w:rsidR="00972A3F" w:rsidRPr="00711219" w:rsidRDefault="00972A3F" w:rsidP="00BF3C2E">
            <w:pPr>
              <w:spacing w:after="50"/>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231" w:type="dxa"/>
          </w:tcPr>
          <w:p w14:paraId="471176E3" w14:textId="17756412" w:rsidR="00972A3F" w:rsidRPr="00711219" w:rsidRDefault="00972A3F" w:rsidP="00BF3C2E">
            <w:pPr>
              <w:spacing w:after="50"/>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711219">
              <w:rPr>
                <w:rFonts w:cs="Times New Roman"/>
                <w:sz w:val="20"/>
                <w:szCs w:val="20"/>
              </w:rPr>
              <w:t xml:space="preserve">Recordation, archiving, and certification </w:t>
            </w:r>
          </w:p>
        </w:tc>
        <w:tc>
          <w:tcPr>
            <w:tcW w:w="2231" w:type="dxa"/>
          </w:tcPr>
          <w:p w14:paraId="4A74A11E" w14:textId="2A6E2D26" w:rsidR="00972A3F" w:rsidRPr="00711219" w:rsidRDefault="00972A3F" w:rsidP="00BF3C2E">
            <w:pPr>
              <w:spacing w:after="50"/>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711219">
              <w:rPr>
                <w:rFonts w:cs="Times New Roman"/>
                <w:sz w:val="20"/>
                <w:szCs w:val="20"/>
              </w:rPr>
              <w:t xml:space="preserve">Signing of plotted site plans </w:t>
            </w:r>
          </w:p>
        </w:tc>
      </w:tr>
      <w:tr w:rsidR="00972A3F" w:rsidRPr="00711219" w14:paraId="2481781F" w14:textId="7755E6AB" w:rsidTr="00714BBB">
        <w:trPr>
          <w:trHeight w:val="1225"/>
        </w:trPr>
        <w:tc>
          <w:tcPr>
            <w:cnfStyle w:val="001000000000" w:firstRow="0" w:lastRow="0" w:firstColumn="1" w:lastColumn="0" w:oddVBand="0" w:evenVBand="0" w:oddHBand="0" w:evenHBand="0" w:firstRowFirstColumn="0" w:firstRowLastColumn="0" w:lastRowFirstColumn="0" w:lastRowLastColumn="0"/>
            <w:tcW w:w="2231" w:type="dxa"/>
          </w:tcPr>
          <w:p w14:paraId="0F108AF6" w14:textId="77777777" w:rsidR="00972A3F" w:rsidRPr="00711219" w:rsidRDefault="00972A3F"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lastRenderedPageBreak/>
              <w:t>Actor (s)</w:t>
            </w:r>
            <w:r w:rsidRPr="00711219">
              <w:rPr>
                <w:rFonts w:ascii="Times New Roman" w:hAnsi="Times New Roman" w:cs="Times New Roman"/>
                <w:b/>
                <w:i w:val="0"/>
                <w:iCs w:val="0"/>
                <w:sz w:val="20"/>
                <w:szCs w:val="20"/>
              </w:rPr>
              <w:t xml:space="preserve"> </w:t>
            </w:r>
            <w:r w:rsidRPr="00711219">
              <w:rPr>
                <w:rFonts w:ascii="Times New Roman" w:eastAsia="Times New Roman" w:hAnsi="Times New Roman" w:cs="Times New Roman"/>
                <w:b/>
                <w:i w:val="0"/>
                <w:iCs w:val="0"/>
                <w:sz w:val="20"/>
                <w:szCs w:val="20"/>
              </w:rPr>
              <w:t>Involved</w:t>
            </w:r>
          </w:p>
        </w:tc>
        <w:tc>
          <w:tcPr>
            <w:tcW w:w="2231" w:type="dxa"/>
          </w:tcPr>
          <w:p w14:paraId="6909722D" w14:textId="77777777" w:rsidR="00972A3F" w:rsidRPr="00711219" w:rsidRDefault="00972A3F" w:rsidP="00BF3C2E">
            <w:pPr>
              <w:spacing w:after="48"/>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Client Service and</w:t>
            </w:r>
          </w:p>
          <w:p w14:paraId="40B59AFB" w14:textId="4357BD14" w:rsidR="00972A3F" w:rsidRPr="00711219" w:rsidRDefault="00972A3F" w:rsidP="00BF3C2E">
            <w:pPr>
              <w:spacing w:after="451"/>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Access Unit</w:t>
            </w:r>
          </w:p>
        </w:tc>
        <w:tc>
          <w:tcPr>
            <w:tcW w:w="2231" w:type="dxa"/>
          </w:tcPr>
          <w:p w14:paraId="284BEC03" w14:textId="60F519A2" w:rsidR="00972A3F" w:rsidRPr="00711219" w:rsidRDefault="00972A3F" w:rsidP="00BF3C2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711219">
              <w:rPr>
                <w:rFonts w:cs="Times New Roman"/>
                <w:sz w:val="20"/>
                <w:szCs w:val="20"/>
              </w:rPr>
              <w:t>Land</w:t>
            </w:r>
            <w:r w:rsidR="0053284F" w:rsidRPr="00711219">
              <w:rPr>
                <w:rFonts w:cs="Times New Roman"/>
                <w:sz w:val="20"/>
                <w:szCs w:val="20"/>
              </w:rPr>
              <w:t xml:space="preserve"> </w:t>
            </w:r>
            <w:r w:rsidRPr="00711219">
              <w:rPr>
                <w:rFonts w:cs="Times New Roman"/>
                <w:sz w:val="20"/>
                <w:szCs w:val="20"/>
              </w:rPr>
              <w:t xml:space="preserve">Registration Division  </w:t>
            </w:r>
          </w:p>
        </w:tc>
        <w:tc>
          <w:tcPr>
            <w:tcW w:w="2231" w:type="dxa"/>
          </w:tcPr>
          <w:p w14:paraId="357F281B" w14:textId="362F8EA1" w:rsidR="00972A3F" w:rsidRPr="00711219" w:rsidRDefault="00972A3F" w:rsidP="00BF3C2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711219">
              <w:rPr>
                <w:rFonts w:cs="Times New Roman"/>
                <w:sz w:val="20"/>
                <w:szCs w:val="20"/>
              </w:rPr>
              <w:t>Land Registration</w:t>
            </w:r>
            <w:r w:rsidR="0053284F" w:rsidRPr="00711219">
              <w:rPr>
                <w:rFonts w:cs="Times New Roman"/>
                <w:sz w:val="20"/>
                <w:szCs w:val="20"/>
              </w:rPr>
              <w:t xml:space="preserve"> </w:t>
            </w:r>
            <w:r w:rsidRPr="00711219">
              <w:rPr>
                <w:rFonts w:cs="Times New Roman"/>
                <w:sz w:val="20"/>
                <w:szCs w:val="20"/>
              </w:rPr>
              <w:t xml:space="preserve">Division  </w:t>
            </w:r>
          </w:p>
        </w:tc>
      </w:tr>
      <w:tr w:rsidR="00972A3F" w:rsidRPr="00711219" w14:paraId="3FE42C46" w14:textId="6A32628E" w:rsidTr="00714BBB">
        <w:trPr>
          <w:cnfStyle w:val="000000100000" w:firstRow="0" w:lastRow="0" w:firstColumn="0" w:lastColumn="0" w:oddVBand="0" w:evenVBand="0" w:oddHBand="1" w:evenHBand="0" w:firstRowFirstColumn="0" w:firstRowLastColumn="0" w:lastRowFirstColumn="0" w:lastRowLastColumn="0"/>
          <w:trHeight w:val="2542"/>
        </w:trPr>
        <w:tc>
          <w:tcPr>
            <w:cnfStyle w:val="001000000000" w:firstRow="0" w:lastRow="0" w:firstColumn="1" w:lastColumn="0" w:oddVBand="0" w:evenVBand="0" w:oddHBand="0" w:evenHBand="0" w:firstRowFirstColumn="0" w:firstRowLastColumn="0" w:lastRowFirstColumn="0" w:lastRowLastColumn="0"/>
            <w:tcW w:w="2231" w:type="dxa"/>
          </w:tcPr>
          <w:p w14:paraId="15EA1169" w14:textId="77777777" w:rsidR="00972A3F" w:rsidRPr="00711219" w:rsidRDefault="00972A3F"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User requirement</w:t>
            </w:r>
          </w:p>
        </w:tc>
        <w:tc>
          <w:tcPr>
            <w:tcW w:w="2231" w:type="dxa"/>
          </w:tcPr>
          <w:p w14:paraId="420FB472" w14:textId="374A145B" w:rsidR="00972A3F" w:rsidRPr="00711219" w:rsidRDefault="00972A3F" w:rsidP="00BF3C2E">
            <w:pPr>
              <w:spacing w:after="154"/>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Using a single assessment system to display the client's details. Minimize the frequency with which customers visit the registration desk</w:t>
            </w:r>
          </w:p>
        </w:tc>
        <w:tc>
          <w:tcPr>
            <w:tcW w:w="2231" w:type="dxa"/>
          </w:tcPr>
          <w:p w14:paraId="27D76A33" w14:textId="77777777" w:rsidR="00972A3F" w:rsidRPr="00711219" w:rsidRDefault="00972A3F" w:rsidP="00BF3C2E">
            <w:pPr>
              <w:spacing w:after="45"/>
              <w:ind w:right="1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To prevent missing files, archiving systems must be installed to capture and save</w:t>
            </w:r>
          </w:p>
          <w:p w14:paraId="0E11F4FB" w14:textId="77777777" w:rsidR="00972A3F" w:rsidRPr="00711219" w:rsidRDefault="00972A3F" w:rsidP="00BF3C2E">
            <w:pPr>
              <w:spacing w:after="451"/>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files.</w:t>
            </w:r>
          </w:p>
          <w:p w14:paraId="2CA12A15" w14:textId="77777777" w:rsidR="00972A3F" w:rsidRPr="00711219" w:rsidRDefault="00972A3F" w:rsidP="00BF3C2E">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231" w:type="dxa"/>
          </w:tcPr>
          <w:p w14:paraId="70FCC9CC" w14:textId="77777777" w:rsidR="0053284F" w:rsidRPr="00711219" w:rsidRDefault="0053284F" w:rsidP="00BF3C2E">
            <w:pPr>
              <w:spacing w:after="192"/>
              <w:ind w:right="50"/>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To facilitate tracking of client information, each plotted site plan needs to have a unique ID.</w:t>
            </w:r>
          </w:p>
          <w:p w14:paraId="29FBDE1E" w14:textId="77777777" w:rsidR="00972A3F" w:rsidRPr="00711219" w:rsidRDefault="00972A3F" w:rsidP="00BF3C2E">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r>
      <w:tr w:rsidR="00972A3F" w:rsidRPr="00711219" w14:paraId="7D7A678B" w14:textId="3E84FA64" w:rsidTr="00714BBB">
        <w:trPr>
          <w:trHeight w:val="3262"/>
        </w:trPr>
        <w:tc>
          <w:tcPr>
            <w:cnfStyle w:val="001000000000" w:firstRow="0" w:lastRow="0" w:firstColumn="1" w:lastColumn="0" w:oddVBand="0" w:evenVBand="0" w:oddHBand="0" w:evenHBand="0" w:firstRowFirstColumn="0" w:firstRowLastColumn="0" w:lastRowFirstColumn="0" w:lastRowLastColumn="0"/>
            <w:tcW w:w="2231" w:type="dxa"/>
          </w:tcPr>
          <w:p w14:paraId="2F835358" w14:textId="77777777" w:rsidR="00972A3F" w:rsidRPr="00711219" w:rsidRDefault="00972A3F" w:rsidP="00BF3C2E">
            <w:pPr>
              <w:spacing w:after="303"/>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Design</w:t>
            </w:r>
          </w:p>
          <w:p w14:paraId="5C212F9C" w14:textId="77777777" w:rsidR="00972A3F" w:rsidRPr="00711219" w:rsidRDefault="00972A3F"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Requirement</w:t>
            </w:r>
          </w:p>
        </w:tc>
        <w:tc>
          <w:tcPr>
            <w:tcW w:w="2231" w:type="dxa"/>
          </w:tcPr>
          <w:p w14:paraId="28B155E6" w14:textId="05934B6F" w:rsidR="00972A3F" w:rsidRPr="00711219" w:rsidRDefault="0053284F" w:rsidP="00BF3C2E">
            <w:pPr>
              <w:spacing w:after="151"/>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Forms should be standardized to facilitate the collection of customer information. Registration form details should include additional clients' contact information.</w:t>
            </w:r>
          </w:p>
        </w:tc>
        <w:tc>
          <w:tcPr>
            <w:tcW w:w="2231" w:type="dxa"/>
          </w:tcPr>
          <w:p w14:paraId="3B255F03" w14:textId="77777777" w:rsidR="0053284F" w:rsidRPr="00711219" w:rsidRDefault="0053284F" w:rsidP="00BF3C2E">
            <w:pPr>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Plotted land documents and</w:t>
            </w:r>
          </w:p>
          <w:p w14:paraId="23BAC152" w14:textId="77777777" w:rsidR="0053284F" w:rsidRPr="00711219" w:rsidRDefault="0053284F" w:rsidP="00BF3C2E">
            <w:pPr>
              <w:spacing w:after="187"/>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Client certificates can be saved and recorded using a database support element.</w:t>
            </w:r>
          </w:p>
          <w:p w14:paraId="2BECEEEC" w14:textId="77777777" w:rsidR="00972A3F" w:rsidRPr="00711219" w:rsidRDefault="00972A3F" w:rsidP="00BF3C2E">
            <w:pPr>
              <w:spacing w:after="303"/>
              <w:ind w:left="2"/>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p>
        </w:tc>
        <w:tc>
          <w:tcPr>
            <w:tcW w:w="2231" w:type="dxa"/>
          </w:tcPr>
          <w:p w14:paraId="2DDD28E1" w14:textId="77777777" w:rsidR="0053284F" w:rsidRPr="00711219" w:rsidRDefault="0053284F" w:rsidP="00BF3C2E">
            <w:pPr>
              <w:spacing w:after="190"/>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Operationalization of the system on parcel boundaries to display client details and coordinates</w:t>
            </w:r>
          </w:p>
          <w:p w14:paraId="0E86B1D6" w14:textId="77777777" w:rsidR="00972A3F" w:rsidRPr="00711219" w:rsidRDefault="00972A3F" w:rsidP="00BF3C2E">
            <w:pPr>
              <w:spacing w:after="303"/>
              <w:ind w:left="2"/>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p>
        </w:tc>
      </w:tr>
      <w:tr w:rsidR="0053284F" w:rsidRPr="00711219" w14:paraId="07A87894" w14:textId="60611A9C" w:rsidTr="006C2BA7">
        <w:trPr>
          <w:cnfStyle w:val="000000100000" w:firstRow="0" w:lastRow="0" w:firstColumn="0" w:lastColumn="0" w:oddVBand="0" w:evenVBand="0" w:oddHBand="1" w:evenHBand="0" w:firstRowFirstColumn="0" w:firstRowLastColumn="0" w:lastRowFirstColumn="0" w:lastRowLastColumn="0"/>
          <w:trHeight w:val="2756"/>
        </w:trPr>
        <w:tc>
          <w:tcPr>
            <w:cnfStyle w:val="001000000000" w:firstRow="0" w:lastRow="0" w:firstColumn="1" w:lastColumn="0" w:oddVBand="0" w:evenVBand="0" w:oddHBand="0" w:evenHBand="0" w:firstRowFirstColumn="0" w:firstRowLastColumn="0" w:lastRowFirstColumn="0" w:lastRowLastColumn="0"/>
            <w:tcW w:w="2231" w:type="dxa"/>
          </w:tcPr>
          <w:p w14:paraId="5BE348B0" w14:textId="77777777" w:rsidR="0053284F" w:rsidRPr="00711219" w:rsidRDefault="0053284F" w:rsidP="00BF3C2E">
            <w:pPr>
              <w:spacing w:after="303"/>
              <w:ind w:left="2"/>
              <w:jc w:val="left"/>
              <w:rPr>
                <w:rFonts w:ascii="Times New Roman" w:eastAsia="Times New Roman" w:hAnsi="Times New Roman" w:cs="Times New Roman"/>
                <w:b/>
                <w:i w:val="0"/>
                <w:iCs w:val="0"/>
                <w:sz w:val="20"/>
                <w:szCs w:val="20"/>
              </w:rPr>
            </w:pPr>
            <w:r w:rsidRPr="00711219">
              <w:rPr>
                <w:rFonts w:ascii="Times New Roman" w:eastAsia="Times New Roman" w:hAnsi="Times New Roman" w:cs="Times New Roman"/>
                <w:b/>
                <w:i w:val="0"/>
                <w:iCs w:val="0"/>
                <w:sz w:val="20"/>
                <w:szCs w:val="20"/>
              </w:rPr>
              <w:t>Comment</w:t>
            </w:r>
          </w:p>
        </w:tc>
        <w:tc>
          <w:tcPr>
            <w:tcW w:w="2231" w:type="dxa"/>
          </w:tcPr>
          <w:p w14:paraId="10752050" w14:textId="77777777" w:rsidR="0053284F" w:rsidRPr="00711219" w:rsidRDefault="0053284F"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r w:rsidRPr="00711219">
              <w:rPr>
                <w:rFonts w:cs="Times New Roman"/>
                <w:sz w:val="20"/>
                <w:szCs w:val="20"/>
              </w:rPr>
              <w:t xml:space="preserve">. </w:t>
            </w:r>
          </w:p>
          <w:p w14:paraId="49667459" w14:textId="7B2D35C7" w:rsidR="0053284F" w:rsidRPr="00711219" w:rsidRDefault="0053284F"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711219">
              <w:rPr>
                <w:rFonts w:cs="Times New Roman"/>
                <w:sz w:val="20"/>
                <w:szCs w:val="20"/>
              </w:rPr>
              <w:t>Before the documents are forwarded to the LVD for stamp duty assessment, the CSAU alone will verify each one of them.</w:t>
            </w:r>
          </w:p>
        </w:tc>
        <w:tc>
          <w:tcPr>
            <w:tcW w:w="2231" w:type="dxa"/>
          </w:tcPr>
          <w:p w14:paraId="7EF77A48" w14:textId="77777777" w:rsidR="0053284F" w:rsidRPr="00711219" w:rsidRDefault="0053284F" w:rsidP="00BF3C2E">
            <w:pPr>
              <w:spacing w:after="24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p>
          <w:p w14:paraId="66B038BF" w14:textId="71261D9D" w:rsidR="0053284F" w:rsidRPr="00711219" w:rsidRDefault="0053284F" w:rsidP="00BF3C2E">
            <w:pPr>
              <w:spacing w:after="189"/>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The last step of the procedure will be the archiving of the certificate and stamp payment.</w:t>
            </w:r>
          </w:p>
          <w:p w14:paraId="1DB8FBA6" w14:textId="77777777" w:rsidR="0053284F" w:rsidRPr="00711219" w:rsidRDefault="0053284F"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231" w:type="dxa"/>
          </w:tcPr>
          <w:p w14:paraId="60E2A6E4" w14:textId="77777777" w:rsidR="0053284F" w:rsidRPr="00711219" w:rsidRDefault="0053284F" w:rsidP="00BF3C2E">
            <w:pPr>
              <w:spacing w:after="24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p>
          <w:p w14:paraId="70B9AC03" w14:textId="4F8176E1" w:rsidR="0053284F" w:rsidRPr="00711219" w:rsidRDefault="0053284F" w:rsidP="00BF3C2E">
            <w:pPr>
              <w:spacing w:after="25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Before the Land Title Registration Division certifies the plotted site plans, the SMD will prepare and sign them.</w:t>
            </w:r>
          </w:p>
          <w:p w14:paraId="0846B189" w14:textId="77777777" w:rsidR="0053284F" w:rsidRPr="00711219" w:rsidRDefault="0053284F"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r>
    </w:tbl>
    <w:p w14:paraId="588965CB" w14:textId="16C9AC6A" w:rsidR="00711219" w:rsidRPr="00832EB9" w:rsidRDefault="00BB4738" w:rsidP="00832EB9">
      <w:pPr>
        <w:spacing w:before="0" w:after="0" w:line="480" w:lineRule="auto"/>
        <w:jc w:val="center"/>
        <w:rPr>
          <w:rFonts w:cs="Times New Roman"/>
          <w:sz w:val="20"/>
          <w:szCs w:val="20"/>
        </w:rPr>
      </w:pPr>
      <w:r w:rsidRPr="00711219">
        <w:rPr>
          <w:rFonts w:cs="Times New Roman"/>
          <w:sz w:val="20"/>
          <w:szCs w:val="20"/>
        </w:rPr>
        <w:t>Source: Field Survey, 2020</w:t>
      </w:r>
    </w:p>
    <w:p w14:paraId="36EEEE9E" w14:textId="77777777" w:rsidR="00711219" w:rsidRDefault="00711219" w:rsidP="003D7562">
      <w:pPr>
        <w:spacing w:before="0" w:after="0" w:line="480" w:lineRule="auto"/>
        <w:jc w:val="center"/>
        <w:rPr>
          <w:rFonts w:cs="Times New Roman"/>
          <w:b/>
          <w:bCs/>
          <w:sz w:val="20"/>
          <w:szCs w:val="20"/>
        </w:rPr>
      </w:pPr>
    </w:p>
    <w:p w14:paraId="168B6539" w14:textId="77777777" w:rsidR="00294E51" w:rsidRDefault="00294E51" w:rsidP="003D7562">
      <w:pPr>
        <w:spacing w:before="0" w:after="0" w:line="480" w:lineRule="auto"/>
        <w:jc w:val="center"/>
        <w:rPr>
          <w:rFonts w:cs="Times New Roman"/>
          <w:b/>
          <w:bCs/>
          <w:sz w:val="20"/>
          <w:szCs w:val="20"/>
        </w:rPr>
      </w:pPr>
    </w:p>
    <w:p w14:paraId="0EC55A1B" w14:textId="35BFB4E4" w:rsidR="00D2787C" w:rsidRPr="00711219" w:rsidRDefault="00BB4738" w:rsidP="003D7562">
      <w:pPr>
        <w:spacing w:before="0" w:after="0" w:line="480" w:lineRule="auto"/>
        <w:jc w:val="center"/>
        <w:rPr>
          <w:rFonts w:cs="Times New Roman"/>
          <w:sz w:val="20"/>
          <w:szCs w:val="20"/>
        </w:rPr>
      </w:pPr>
      <w:r w:rsidRPr="00711219">
        <w:rPr>
          <w:rFonts w:cs="Times New Roman"/>
          <w:b/>
          <w:bCs/>
          <w:sz w:val="20"/>
          <w:szCs w:val="20"/>
        </w:rPr>
        <w:t xml:space="preserve">Table </w:t>
      </w:r>
      <w:r w:rsidR="00646038" w:rsidRPr="00711219">
        <w:rPr>
          <w:rFonts w:cs="Times New Roman"/>
          <w:b/>
          <w:bCs/>
          <w:sz w:val="20"/>
          <w:szCs w:val="20"/>
        </w:rPr>
        <w:t>3</w:t>
      </w:r>
      <w:r w:rsidRPr="00711219">
        <w:rPr>
          <w:rFonts w:cs="Times New Roman"/>
          <w:b/>
          <w:bCs/>
          <w:sz w:val="20"/>
          <w:szCs w:val="20"/>
        </w:rPr>
        <w:t>:</w:t>
      </w:r>
      <w:r w:rsidRPr="00711219">
        <w:rPr>
          <w:rFonts w:cs="Times New Roman"/>
          <w:sz w:val="20"/>
          <w:szCs w:val="20"/>
        </w:rPr>
        <w:t xml:space="preserve"> Public</w:t>
      </w:r>
      <w:r w:rsidR="001B1C6C" w:rsidRPr="00711219">
        <w:rPr>
          <w:rFonts w:cs="Times New Roman"/>
          <w:sz w:val="20"/>
          <w:szCs w:val="20"/>
        </w:rPr>
        <w:t xml:space="preserve"> Lands</w:t>
      </w:r>
    </w:p>
    <w:tbl>
      <w:tblPr>
        <w:tblStyle w:val="PlainTable5"/>
        <w:tblW w:w="0" w:type="auto"/>
        <w:tblLook w:val="04A0" w:firstRow="1" w:lastRow="0" w:firstColumn="1" w:lastColumn="0" w:noHBand="0" w:noVBand="1"/>
      </w:tblPr>
      <w:tblGrid>
        <w:gridCol w:w="2808"/>
        <w:gridCol w:w="2808"/>
        <w:gridCol w:w="2810"/>
      </w:tblGrid>
      <w:tr w:rsidR="00714BBB" w:rsidRPr="00711219" w14:paraId="5993D193" w14:textId="128A01E7" w:rsidTr="00714BBB">
        <w:trPr>
          <w:cnfStyle w:val="100000000000" w:firstRow="1" w:lastRow="0" w:firstColumn="0" w:lastColumn="0" w:oddVBand="0" w:evenVBand="0" w:oddHBand="0" w:evenHBand="0" w:firstRowFirstColumn="0" w:firstRowLastColumn="0" w:lastRowFirstColumn="0" w:lastRowLastColumn="0"/>
          <w:trHeight w:val="514"/>
        </w:trPr>
        <w:tc>
          <w:tcPr>
            <w:cnfStyle w:val="001000000100" w:firstRow="0" w:lastRow="0" w:firstColumn="1" w:lastColumn="0" w:oddVBand="0" w:evenVBand="0" w:oddHBand="0" w:evenHBand="0" w:firstRowFirstColumn="1" w:firstRowLastColumn="0" w:lastRowFirstColumn="0" w:lastRowLastColumn="0"/>
            <w:tcW w:w="2808" w:type="dxa"/>
          </w:tcPr>
          <w:p w14:paraId="53F75572" w14:textId="77777777" w:rsidR="00714BBB" w:rsidRPr="00711219" w:rsidRDefault="00714BBB" w:rsidP="00BF3C2E">
            <w:pPr>
              <w:jc w:val="center"/>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Process</w:t>
            </w:r>
          </w:p>
        </w:tc>
        <w:tc>
          <w:tcPr>
            <w:tcW w:w="5618" w:type="dxa"/>
            <w:gridSpan w:val="2"/>
          </w:tcPr>
          <w:p w14:paraId="60F124F4" w14:textId="5D67F281" w:rsidR="00714BBB" w:rsidRPr="00711219" w:rsidRDefault="00714BBB" w:rsidP="00BF3C2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iCs w:val="0"/>
                <w:sz w:val="20"/>
                <w:szCs w:val="20"/>
              </w:rPr>
            </w:pPr>
            <w:r w:rsidRPr="00711219">
              <w:rPr>
                <w:rFonts w:ascii="Times New Roman" w:eastAsia="Times New Roman" w:hAnsi="Times New Roman" w:cs="Times New Roman"/>
                <w:b/>
                <w:i w:val="0"/>
                <w:iCs w:val="0"/>
                <w:sz w:val="20"/>
                <w:szCs w:val="20"/>
              </w:rPr>
              <w:t>Public</w:t>
            </w:r>
            <w:r w:rsidR="001B1C6C" w:rsidRPr="00711219">
              <w:rPr>
                <w:rFonts w:ascii="Times New Roman" w:eastAsia="Times New Roman" w:hAnsi="Times New Roman" w:cs="Times New Roman"/>
                <w:b/>
                <w:i w:val="0"/>
                <w:iCs w:val="0"/>
                <w:sz w:val="20"/>
                <w:szCs w:val="20"/>
              </w:rPr>
              <w:t xml:space="preserve"> Lands</w:t>
            </w:r>
          </w:p>
        </w:tc>
      </w:tr>
      <w:tr w:rsidR="00714BBB" w:rsidRPr="00711219" w14:paraId="2209BBE0" w14:textId="31E00510" w:rsidTr="00714BBB">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2808" w:type="dxa"/>
          </w:tcPr>
          <w:p w14:paraId="16DBE552" w14:textId="77777777" w:rsidR="00714BBB" w:rsidRPr="00711219" w:rsidRDefault="00714BBB" w:rsidP="00BF3C2E">
            <w:pPr>
              <w:spacing w:after="50"/>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Validated Registration</w:t>
            </w:r>
          </w:p>
          <w:p w14:paraId="0CF94A5E" w14:textId="77777777" w:rsidR="00714BBB" w:rsidRPr="00711219" w:rsidRDefault="00714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Process</w:t>
            </w:r>
          </w:p>
        </w:tc>
        <w:tc>
          <w:tcPr>
            <w:tcW w:w="2808" w:type="dxa"/>
          </w:tcPr>
          <w:p w14:paraId="7302B00C" w14:textId="77777777" w:rsidR="00714BBB" w:rsidRPr="00711219" w:rsidRDefault="00714BBB" w:rsidP="00BF3C2E">
            <w:pPr>
              <w:spacing w:after="188"/>
              <w:ind w:left="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Checking documentation concerning the availability of land</w:t>
            </w:r>
          </w:p>
          <w:p w14:paraId="33C4A83F" w14:textId="77777777" w:rsidR="00714BBB" w:rsidRPr="00711219" w:rsidRDefault="00714BBB" w:rsidP="00BF3C2E">
            <w:pPr>
              <w:spacing w:after="50"/>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809" w:type="dxa"/>
          </w:tcPr>
          <w:p w14:paraId="04D21EB3" w14:textId="3B2DAC03" w:rsidR="00714BBB" w:rsidRPr="00711219" w:rsidRDefault="00714BBB" w:rsidP="00BF3C2E">
            <w:pPr>
              <w:spacing w:after="50"/>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711219">
              <w:rPr>
                <w:rFonts w:cs="Times New Roman"/>
                <w:sz w:val="20"/>
                <w:szCs w:val="20"/>
              </w:rPr>
              <w:t>Assessment of the plotted map</w:t>
            </w:r>
          </w:p>
        </w:tc>
      </w:tr>
      <w:tr w:rsidR="00714BBB" w:rsidRPr="00711219" w14:paraId="5F47700F" w14:textId="783A63E2" w:rsidTr="00714BBB">
        <w:trPr>
          <w:trHeight w:val="829"/>
        </w:trPr>
        <w:tc>
          <w:tcPr>
            <w:cnfStyle w:val="001000000000" w:firstRow="0" w:lastRow="0" w:firstColumn="1" w:lastColumn="0" w:oddVBand="0" w:evenVBand="0" w:oddHBand="0" w:evenHBand="0" w:firstRowFirstColumn="0" w:firstRowLastColumn="0" w:lastRowFirstColumn="0" w:lastRowLastColumn="0"/>
            <w:tcW w:w="2808" w:type="dxa"/>
          </w:tcPr>
          <w:p w14:paraId="6A7946E1" w14:textId="77777777" w:rsidR="00714BBB" w:rsidRPr="00711219" w:rsidRDefault="00714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lastRenderedPageBreak/>
              <w:t>Actor (s)</w:t>
            </w:r>
            <w:r w:rsidRPr="00711219">
              <w:rPr>
                <w:rFonts w:ascii="Times New Roman" w:hAnsi="Times New Roman" w:cs="Times New Roman"/>
                <w:b/>
                <w:i w:val="0"/>
                <w:iCs w:val="0"/>
                <w:sz w:val="20"/>
                <w:szCs w:val="20"/>
              </w:rPr>
              <w:t xml:space="preserve"> </w:t>
            </w:r>
            <w:r w:rsidRPr="00711219">
              <w:rPr>
                <w:rFonts w:ascii="Times New Roman" w:eastAsia="Times New Roman" w:hAnsi="Times New Roman" w:cs="Times New Roman"/>
                <w:b/>
                <w:i w:val="0"/>
                <w:iCs w:val="0"/>
                <w:sz w:val="20"/>
                <w:szCs w:val="20"/>
              </w:rPr>
              <w:t>Involved</w:t>
            </w:r>
          </w:p>
        </w:tc>
        <w:tc>
          <w:tcPr>
            <w:tcW w:w="2808" w:type="dxa"/>
          </w:tcPr>
          <w:p w14:paraId="2F54FC2B" w14:textId="77777777" w:rsidR="00714BBB" w:rsidRPr="00711219" w:rsidRDefault="00714BBB" w:rsidP="00BF3C2E">
            <w:pPr>
              <w:spacing w:after="46"/>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Survey and mapping</w:t>
            </w:r>
          </w:p>
          <w:p w14:paraId="6C63159F" w14:textId="6A5AC733" w:rsidR="00714BBB" w:rsidRPr="00711219" w:rsidRDefault="00714BBB" w:rsidP="00BF3C2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711219">
              <w:rPr>
                <w:rFonts w:cs="Times New Roman"/>
                <w:sz w:val="20"/>
                <w:szCs w:val="20"/>
              </w:rPr>
              <w:t>Division</w:t>
            </w:r>
          </w:p>
        </w:tc>
        <w:tc>
          <w:tcPr>
            <w:tcW w:w="2809" w:type="dxa"/>
          </w:tcPr>
          <w:p w14:paraId="213A65A4" w14:textId="027D9840" w:rsidR="00714BBB" w:rsidRPr="00711219" w:rsidRDefault="00714BBB" w:rsidP="00BF3C2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711219">
              <w:rPr>
                <w:rFonts w:cs="Times New Roman"/>
                <w:sz w:val="20"/>
                <w:szCs w:val="20"/>
              </w:rPr>
              <w:t>LRD</w:t>
            </w:r>
          </w:p>
        </w:tc>
      </w:tr>
      <w:tr w:rsidR="00714BBB" w:rsidRPr="00711219" w14:paraId="52C72B68" w14:textId="4D442B9E" w:rsidTr="00714BBB">
        <w:trPr>
          <w:cnfStyle w:val="000000100000" w:firstRow="0" w:lastRow="0" w:firstColumn="0" w:lastColumn="0" w:oddVBand="0" w:evenVBand="0" w:oddHBand="1" w:evenHBand="0" w:firstRowFirstColumn="0" w:firstRowLastColumn="0" w:lastRowFirstColumn="0" w:lastRowLastColumn="0"/>
          <w:trHeight w:val="2261"/>
        </w:trPr>
        <w:tc>
          <w:tcPr>
            <w:cnfStyle w:val="001000000000" w:firstRow="0" w:lastRow="0" w:firstColumn="1" w:lastColumn="0" w:oddVBand="0" w:evenVBand="0" w:oddHBand="0" w:evenHBand="0" w:firstRowFirstColumn="0" w:firstRowLastColumn="0" w:lastRowFirstColumn="0" w:lastRowLastColumn="0"/>
            <w:tcW w:w="2808" w:type="dxa"/>
          </w:tcPr>
          <w:p w14:paraId="52A2DFC4" w14:textId="77777777" w:rsidR="00714BBB" w:rsidRPr="00711219" w:rsidRDefault="00714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User requirement</w:t>
            </w:r>
          </w:p>
        </w:tc>
        <w:tc>
          <w:tcPr>
            <w:tcW w:w="2808" w:type="dxa"/>
          </w:tcPr>
          <w:p w14:paraId="7CFFC6B7" w14:textId="77777777" w:rsidR="00714BBB" w:rsidRPr="00711219" w:rsidRDefault="00714BBB" w:rsidP="00BF3C2E">
            <w:pPr>
              <w:spacing w:after="18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The availability of printed local schemes and advanced parcel availability</w:t>
            </w:r>
          </w:p>
          <w:p w14:paraId="59A13FF1" w14:textId="77777777" w:rsidR="00714BBB" w:rsidRPr="00711219" w:rsidRDefault="00714BBB" w:rsidP="00BF3C2E">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809" w:type="dxa"/>
          </w:tcPr>
          <w:p w14:paraId="1DB89181" w14:textId="77777777" w:rsidR="00714BBB" w:rsidRPr="00711219" w:rsidRDefault="00714BBB" w:rsidP="00BF3C2E">
            <w:pPr>
              <w:spacing w:after="25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Using maps from</w:t>
            </w:r>
          </w:p>
          <w:p w14:paraId="4CB2C96B" w14:textId="77777777" w:rsidR="00714BBB" w:rsidRPr="00711219" w:rsidRDefault="00714BBB" w:rsidP="00BF3C2E">
            <w:pPr>
              <w:spacing w:after="177"/>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aerial or orthophotos to plot</w:t>
            </w:r>
          </w:p>
          <w:p w14:paraId="11CF9D42" w14:textId="77777777" w:rsidR="00714BBB" w:rsidRPr="00711219" w:rsidRDefault="00714BBB" w:rsidP="00BF3C2E">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r>
      <w:tr w:rsidR="00714BBB" w:rsidRPr="00711219" w14:paraId="34CF12C0" w14:textId="782AF280" w:rsidTr="00714BBB">
        <w:trPr>
          <w:trHeight w:val="2332"/>
        </w:trPr>
        <w:tc>
          <w:tcPr>
            <w:cnfStyle w:val="001000000000" w:firstRow="0" w:lastRow="0" w:firstColumn="1" w:lastColumn="0" w:oddVBand="0" w:evenVBand="0" w:oddHBand="0" w:evenHBand="0" w:firstRowFirstColumn="0" w:firstRowLastColumn="0" w:lastRowFirstColumn="0" w:lastRowLastColumn="0"/>
            <w:tcW w:w="2808" w:type="dxa"/>
          </w:tcPr>
          <w:p w14:paraId="3DD91750" w14:textId="77777777" w:rsidR="00714BBB" w:rsidRPr="00711219" w:rsidRDefault="00714BBB" w:rsidP="00BF3C2E">
            <w:pPr>
              <w:spacing w:after="303"/>
              <w:ind w:left="2"/>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Design</w:t>
            </w:r>
          </w:p>
          <w:p w14:paraId="4C602C6E" w14:textId="77777777" w:rsidR="00714BBB" w:rsidRPr="00711219" w:rsidRDefault="00714BBB" w:rsidP="00BF3C2E">
            <w:pPr>
              <w:jc w:val="left"/>
              <w:rPr>
                <w:rFonts w:ascii="Times New Roman" w:hAnsi="Times New Roman" w:cs="Times New Roman"/>
                <w:i w:val="0"/>
                <w:iCs w:val="0"/>
                <w:sz w:val="20"/>
                <w:szCs w:val="20"/>
              </w:rPr>
            </w:pPr>
            <w:r w:rsidRPr="00711219">
              <w:rPr>
                <w:rFonts w:ascii="Times New Roman" w:eastAsia="Times New Roman" w:hAnsi="Times New Roman" w:cs="Times New Roman"/>
                <w:b/>
                <w:i w:val="0"/>
                <w:iCs w:val="0"/>
                <w:sz w:val="20"/>
                <w:szCs w:val="20"/>
              </w:rPr>
              <w:t>Requirement</w:t>
            </w:r>
          </w:p>
        </w:tc>
        <w:tc>
          <w:tcPr>
            <w:tcW w:w="2808" w:type="dxa"/>
          </w:tcPr>
          <w:p w14:paraId="6520FB86" w14:textId="77777777" w:rsidR="00714BBB" w:rsidRPr="00711219" w:rsidRDefault="00714BBB" w:rsidP="00BF3C2E">
            <w:pPr>
              <w:spacing w:after="190"/>
              <w:ind w:left="2" w:right="29"/>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Utilizing advanced tools like map plotters and ArcGIS to prepare precise site plans</w:t>
            </w:r>
          </w:p>
          <w:p w14:paraId="2FC93C2E" w14:textId="77777777" w:rsidR="00714BBB" w:rsidRPr="00711219" w:rsidRDefault="00714BBB" w:rsidP="00BF3C2E">
            <w:pPr>
              <w:spacing w:after="303"/>
              <w:ind w:left="2"/>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p>
        </w:tc>
        <w:tc>
          <w:tcPr>
            <w:tcW w:w="2809" w:type="dxa"/>
          </w:tcPr>
          <w:p w14:paraId="4BAB6908" w14:textId="77777777" w:rsidR="00714BBB" w:rsidRPr="00711219" w:rsidRDefault="00714BBB" w:rsidP="00BF3C2E">
            <w:pPr>
              <w:spacing w:after="47"/>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System's capacity to handle orthophotos and aerial photos for speedy map-</w:t>
            </w:r>
          </w:p>
          <w:p w14:paraId="09E942E8" w14:textId="77777777" w:rsidR="00714BBB" w:rsidRPr="00711219" w:rsidRDefault="00714BBB" w:rsidP="00BF3C2E">
            <w:pPr>
              <w:spacing w:after="451"/>
              <w:ind w:left="2"/>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11219">
              <w:rPr>
                <w:rFonts w:cs="Times New Roman"/>
                <w:sz w:val="20"/>
                <w:szCs w:val="20"/>
              </w:rPr>
              <w:t>plotting</w:t>
            </w:r>
          </w:p>
          <w:p w14:paraId="31B6DEAD" w14:textId="77777777" w:rsidR="00714BBB" w:rsidRPr="00711219" w:rsidRDefault="00714BBB" w:rsidP="00BF3C2E">
            <w:pPr>
              <w:spacing w:after="303"/>
              <w:ind w:left="2"/>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p>
        </w:tc>
      </w:tr>
      <w:tr w:rsidR="00714BBB" w:rsidRPr="00711219" w14:paraId="785E6CC7" w14:textId="56B89E09" w:rsidTr="00714BBB">
        <w:trPr>
          <w:cnfStyle w:val="000000100000" w:firstRow="0" w:lastRow="0" w:firstColumn="0" w:lastColumn="0" w:oddVBand="0" w:evenVBand="0" w:oddHBand="1" w:evenHBand="0" w:firstRowFirstColumn="0" w:firstRowLastColumn="0" w:lastRowFirstColumn="0" w:lastRowLastColumn="0"/>
          <w:trHeight w:val="2036"/>
        </w:trPr>
        <w:tc>
          <w:tcPr>
            <w:cnfStyle w:val="001000000000" w:firstRow="0" w:lastRow="0" w:firstColumn="1" w:lastColumn="0" w:oddVBand="0" w:evenVBand="0" w:oddHBand="0" w:evenHBand="0" w:firstRowFirstColumn="0" w:firstRowLastColumn="0" w:lastRowFirstColumn="0" w:lastRowLastColumn="0"/>
            <w:tcW w:w="2808" w:type="dxa"/>
          </w:tcPr>
          <w:p w14:paraId="070F27DF" w14:textId="77777777" w:rsidR="00714BBB" w:rsidRPr="00711219" w:rsidRDefault="00714BBB" w:rsidP="00BF3C2E">
            <w:pPr>
              <w:spacing w:after="303"/>
              <w:ind w:left="2"/>
              <w:jc w:val="left"/>
              <w:rPr>
                <w:rFonts w:ascii="Times New Roman" w:eastAsia="Times New Roman" w:hAnsi="Times New Roman" w:cs="Times New Roman"/>
                <w:b/>
                <w:i w:val="0"/>
                <w:iCs w:val="0"/>
                <w:sz w:val="20"/>
                <w:szCs w:val="20"/>
              </w:rPr>
            </w:pPr>
            <w:r w:rsidRPr="00711219">
              <w:rPr>
                <w:rFonts w:ascii="Times New Roman" w:eastAsia="Times New Roman" w:hAnsi="Times New Roman" w:cs="Times New Roman"/>
                <w:b/>
                <w:i w:val="0"/>
                <w:iCs w:val="0"/>
                <w:sz w:val="20"/>
                <w:szCs w:val="20"/>
              </w:rPr>
              <w:t>Comment</w:t>
            </w:r>
          </w:p>
        </w:tc>
        <w:tc>
          <w:tcPr>
            <w:tcW w:w="2808" w:type="dxa"/>
          </w:tcPr>
          <w:p w14:paraId="7237F128" w14:textId="77777777" w:rsidR="00714BBB" w:rsidRPr="00711219" w:rsidRDefault="00714BBB" w:rsidP="00BF3C2E">
            <w:pPr>
              <w:spacing w:after="25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eastAsia="Times New Roman" w:cs="Times New Roman"/>
                <w:b/>
                <w:sz w:val="20"/>
                <w:szCs w:val="20"/>
              </w:rPr>
              <w:t>Validated.</w:t>
            </w:r>
            <w:r w:rsidRPr="00711219">
              <w:rPr>
                <w:rFonts w:cs="Times New Roman"/>
                <w:sz w:val="20"/>
                <w:szCs w:val="20"/>
              </w:rPr>
              <w:t xml:space="preserve"> </w:t>
            </w:r>
          </w:p>
          <w:p w14:paraId="56FAFE3F" w14:textId="0A3278C7" w:rsidR="00714BBB" w:rsidRPr="00711219" w:rsidRDefault="00714BBB" w:rsidP="00BF3C2E">
            <w:pPr>
              <w:spacing w:after="252"/>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SMD will be in charge of verifying if public land is available for purchase and registration.</w:t>
            </w:r>
          </w:p>
          <w:p w14:paraId="356467B8" w14:textId="77777777" w:rsidR="00714BBB" w:rsidRPr="00711219" w:rsidRDefault="00714BBB"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c>
          <w:tcPr>
            <w:tcW w:w="2809" w:type="dxa"/>
          </w:tcPr>
          <w:p w14:paraId="259928E1" w14:textId="77777777" w:rsidR="00714BBB" w:rsidRPr="00711219" w:rsidRDefault="00714BBB" w:rsidP="00BF3C2E">
            <w:pPr>
              <w:ind w:right="5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711219">
              <w:rPr>
                <w:rFonts w:eastAsia="Times New Roman" w:cs="Times New Roman"/>
                <w:b/>
                <w:sz w:val="20"/>
                <w:szCs w:val="20"/>
              </w:rPr>
              <w:t xml:space="preserve">Validated. </w:t>
            </w:r>
          </w:p>
          <w:p w14:paraId="3458A485" w14:textId="7F922B6E" w:rsidR="00714BBB" w:rsidRPr="00711219" w:rsidRDefault="00714BBB" w:rsidP="00BF3C2E">
            <w:pPr>
              <w:ind w:right="53"/>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The Plotted site plans from the Survey and Mapping and Division will be directly used by the Land</w:t>
            </w:r>
          </w:p>
          <w:p w14:paraId="47AC5629" w14:textId="5C015B4C" w:rsidR="00714BBB" w:rsidRPr="00711219" w:rsidRDefault="00714BBB" w:rsidP="00BF3C2E">
            <w:pPr>
              <w:spacing w:after="188"/>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11219">
              <w:rPr>
                <w:rFonts w:cs="Times New Roman"/>
                <w:sz w:val="20"/>
                <w:szCs w:val="20"/>
              </w:rPr>
              <w:t>The Registration Division to prepare certificates.</w:t>
            </w:r>
          </w:p>
          <w:p w14:paraId="662CACD5" w14:textId="77777777" w:rsidR="00714BBB" w:rsidRPr="00711219" w:rsidRDefault="00714BBB" w:rsidP="00BF3C2E">
            <w:pPr>
              <w:spacing w:after="303"/>
              <w:ind w:left="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p>
        </w:tc>
      </w:tr>
    </w:tbl>
    <w:p w14:paraId="0D62688C" w14:textId="4DD75452" w:rsidR="00832EB9" w:rsidRPr="00711219" w:rsidRDefault="00D2787C" w:rsidP="00294E51">
      <w:pPr>
        <w:spacing w:line="480" w:lineRule="auto"/>
        <w:jc w:val="center"/>
        <w:rPr>
          <w:rFonts w:cs="Times New Roman"/>
          <w:sz w:val="20"/>
          <w:szCs w:val="20"/>
        </w:rPr>
      </w:pPr>
      <w:r w:rsidRPr="00711219">
        <w:rPr>
          <w:rFonts w:cs="Times New Roman"/>
          <w:sz w:val="20"/>
          <w:szCs w:val="20"/>
        </w:rPr>
        <w:t>Source: Field survey, 2020</w:t>
      </w:r>
    </w:p>
    <w:p w14:paraId="3F639734" w14:textId="77777777"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5.3 Workflow Model Implementation </w:t>
      </w:r>
      <w:r w:rsidRPr="00711219">
        <w:rPr>
          <w:rFonts w:cs="Times New Roman"/>
          <w:b/>
          <w:bCs/>
          <w:color w:val="2F5496"/>
          <w:sz w:val="20"/>
          <w:szCs w:val="20"/>
        </w:rPr>
        <w:t xml:space="preserve"> </w:t>
      </w:r>
    </w:p>
    <w:p w14:paraId="59E4B7C1" w14:textId="77777777" w:rsidR="00BB4738" w:rsidRPr="00711219" w:rsidRDefault="008462BD" w:rsidP="006F1AF8">
      <w:pPr>
        <w:spacing w:after="272" w:line="480" w:lineRule="auto"/>
        <w:ind w:left="14"/>
        <w:rPr>
          <w:rFonts w:cs="Times New Roman"/>
          <w:sz w:val="20"/>
          <w:szCs w:val="20"/>
        </w:rPr>
      </w:pPr>
      <w:r w:rsidRPr="00711219">
        <w:rPr>
          <w:rFonts w:cs="Times New Roman"/>
          <w:sz w:val="20"/>
          <w:szCs w:val="20"/>
        </w:rPr>
        <w:t>Assessing the new system's effectiveness and transparency is necessary as it replaces the manual land registration method with a computerized one. The new workflow model is implemented as shown in this section. The stages involved in the execution consist of Selection of software application, data organization, task operationalization, system output interface, system output generation, rules and conditions</w:t>
      </w:r>
      <w:r w:rsidR="00BB4738" w:rsidRPr="00711219">
        <w:rPr>
          <w:rFonts w:cs="Times New Roman"/>
          <w:sz w:val="20"/>
          <w:szCs w:val="20"/>
        </w:rPr>
        <w:t>,</w:t>
      </w:r>
      <w:r w:rsidRPr="00711219">
        <w:rPr>
          <w:rFonts w:cs="Times New Roman"/>
          <w:sz w:val="20"/>
          <w:szCs w:val="20"/>
        </w:rPr>
        <w:t xml:space="preserve"> and database connection and records tracking</w:t>
      </w:r>
      <w:r w:rsidR="00BB4738" w:rsidRPr="00711219">
        <w:rPr>
          <w:rFonts w:cs="Times New Roman"/>
          <w:sz w:val="20"/>
          <w:szCs w:val="20"/>
        </w:rPr>
        <w:t>.</w:t>
      </w:r>
    </w:p>
    <w:p w14:paraId="7684BC6A" w14:textId="401257DA" w:rsidR="008462BD" w:rsidRPr="00711219" w:rsidRDefault="008462BD" w:rsidP="006F1AF8">
      <w:pPr>
        <w:spacing w:after="272" w:line="480" w:lineRule="auto"/>
        <w:rPr>
          <w:rFonts w:cs="Times New Roman"/>
          <w:i/>
          <w:iCs/>
          <w:sz w:val="20"/>
          <w:szCs w:val="20"/>
        </w:rPr>
      </w:pPr>
      <w:r w:rsidRPr="00711219">
        <w:rPr>
          <w:rFonts w:cs="Times New Roman"/>
          <w:sz w:val="20"/>
          <w:szCs w:val="20"/>
        </w:rPr>
        <w:t xml:space="preserve"> </w:t>
      </w:r>
      <w:r w:rsidRPr="00711219">
        <w:rPr>
          <w:rFonts w:cs="Times New Roman"/>
          <w:b/>
          <w:bCs/>
          <w:sz w:val="20"/>
          <w:szCs w:val="20"/>
        </w:rPr>
        <w:t>5.3.1 Selection of Software Application</w:t>
      </w:r>
      <w:r w:rsidRPr="00711219">
        <w:rPr>
          <w:rFonts w:cs="Times New Roman"/>
          <w:b/>
          <w:bCs/>
          <w:i/>
          <w:iCs/>
          <w:sz w:val="20"/>
          <w:szCs w:val="20"/>
        </w:rPr>
        <w:t xml:space="preserve"> </w:t>
      </w:r>
    </w:p>
    <w:p w14:paraId="0FF890CA" w14:textId="58CABDCE" w:rsidR="00294E51" w:rsidRPr="00711219" w:rsidRDefault="008462BD" w:rsidP="00294E51">
      <w:pPr>
        <w:spacing w:after="113" w:line="480" w:lineRule="auto"/>
        <w:ind w:left="14" w:right="466"/>
        <w:rPr>
          <w:rFonts w:cs="Times New Roman"/>
          <w:sz w:val="20"/>
          <w:szCs w:val="20"/>
        </w:rPr>
      </w:pPr>
      <w:r w:rsidRPr="00711219">
        <w:rPr>
          <w:rFonts w:cs="Times New Roman"/>
          <w:sz w:val="20"/>
          <w:szCs w:val="20"/>
        </w:rPr>
        <w:t>Process Maker software was used in the design and testing of the new land registration workflow model.</w:t>
      </w:r>
      <w:r w:rsidR="00B72BB0">
        <w:rPr>
          <w:rFonts w:cs="Times New Roman"/>
          <w:sz w:val="20"/>
          <w:szCs w:val="20"/>
        </w:rPr>
        <w:t xml:space="preserve"> According to </w:t>
      </w:r>
      <w:r w:rsidR="00B72BB0" w:rsidRPr="00B35084">
        <w:rPr>
          <w:rFonts w:eastAsia="Times New Roman" w:cs="Times New Roman"/>
          <w:bCs/>
          <w:sz w:val="20"/>
          <w:szCs w:val="20"/>
        </w:rPr>
        <w:t>Koranteng et al.,</w:t>
      </w:r>
      <w:r w:rsidR="00B72BB0" w:rsidRPr="00B35084">
        <w:rPr>
          <w:rFonts w:eastAsia="Times New Roman" w:cs="Times New Roman"/>
          <w:bCs/>
          <w:szCs w:val="24"/>
        </w:rPr>
        <w:t xml:space="preserve"> </w:t>
      </w:r>
      <w:r w:rsidR="00B72BB0" w:rsidRPr="00B35084">
        <w:rPr>
          <w:rFonts w:eastAsia="Times New Roman" w:cs="Times New Roman"/>
          <w:bCs/>
          <w:sz w:val="20"/>
          <w:szCs w:val="20"/>
        </w:rPr>
        <w:t>(2015),</w:t>
      </w:r>
      <w:r w:rsidR="00B72BB0" w:rsidRPr="00B72BB0">
        <w:rPr>
          <w:rFonts w:eastAsia="Times New Roman" w:cs="Times New Roman"/>
          <w:bCs/>
          <w:sz w:val="20"/>
          <w:szCs w:val="20"/>
        </w:rPr>
        <w:t xml:space="preserve"> process modelling helps understand and improve land registration and management, especially in complex situations</w:t>
      </w:r>
      <w:r w:rsidR="00B72BB0">
        <w:rPr>
          <w:rFonts w:eastAsia="Times New Roman" w:cs="Times New Roman"/>
          <w:bCs/>
          <w:sz w:val="20"/>
          <w:szCs w:val="20"/>
        </w:rPr>
        <w:t>.</w:t>
      </w:r>
      <w:r w:rsidRPr="00711219">
        <w:rPr>
          <w:rFonts w:cs="Times New Roman"/>
          <w:sz w:val="20"/>
          <w:szCs w:val="20"/>
        </w:rPr>
        <w:t xml:space="preserve"> The application is a cloud-based, open-source business </w:t>
      </w:r>
      <w:r w:rsidRPr="00711219">
        <w:rPr>
          <w:rFonts w:cs="Times New Roman"/>
          <w:sz w:val="20"/>
          <w:szCs w:val="20"/>
        </w:rPr>
        <w:lastRenderedPageBreak/>
        <w:t xml:space="preserve">process design tool. The software retains spatial data in addition to assisting other software applications. The application, in principle, uses the PHP web language to link PostgreSQL databases with other databases. Because it provides a complete toolset for creating digital registration forms in many formats that can be read, managed, and coordinated by Lands Commission users and its stakeholders through an online interface, the process builder platform was selected for this type of study. </w:t>
      </w:r>
    </w:p>
    <w:p w14:paraId="0C4A6F7E" w14:textId="77777777" w:rsidR="008462BD" w:rsidRPr="00711219" w:rsidRDefault="008462BD" w:rsidP="006F1AF8">
      <w:pPr>
        <w:spacing w:line="480" w:lineRule="auto"/>
        <w:rPr>
          <w:rFonts w:cs="Times New Roman"/>
          <w:b/>
          <w:bCs/>
          <w:i/>
          <w:iCs/>
          <w:sz w:val="20"/>
          <w:szCs w:val="20"/>
        </w:rPr>
      </w:pPr>
      <w:r w:rsidRPr="00711219">
        <w:rPr>
          <w:rFonts w:cs="Times New Roman"/>
          <w:b/>
          <w:bCs/>
          <w:sz w:val="20"/>
          <w:szCs w:val="20"/>
        </w:rPr>
        <w:t>5.3.2</w:t>
      </w:r>
      <w:r w:rsidRPr="00711219">
        <w:rPr>
          <w:rFonts w:cs="Times New Roman"/>
          <w:b/>
          <w:bCs/>
          <w:i/>
          <w:iCs/>
          <w:sz w:val="20"/>
          <w:szCs w:val="20"/>
        </w:rPr>
        <w:t xml:space="preserve"> </w:t>
      </w:r>
      <w:r w:rsidRPr="00711219">
        <w:rPr>
          <w:rFonts w:cs="Times New Roman"/>
          <w:b/>
          <w:bCs/>
          <w:sz w:val="20"/>
          <w:szCs w:val="20"/>
        </w:rPr>
        <w:t>Data Organization</w:t>
      </w:r>
      <w:r w:rsidRPr="00711219">
        <w:rPr>
          <w:rFonts w:cs="Times New Roman"/>
          <w:b/>
          <w:bCs/>
          <w:i/>
          <w:iCs/>
          <w:sz w:val="20"/>
          <w:szCs w:val="20"/>
        </w:rPr>
        <w:t xml:space="preserve">  </w:t>
      </w:r>
    </w:p>
    <w:p w14:paraId="6AFCBBC2" w14:textId="7D51F7B7" w:rsidR="00BF3C2E" w:rsidRPr="00711219" w:rsidRDefault="008462BD" w:rsidP="00711219">
      <w:pPr>
        <w:spacing w:after="78" w:line="480" w:lineRule="auto"/>
        <w:ind w:left="14" w:right="469"/>
        <w:rPr>
          <w:rFonts w:cs="Times New Roman"/>
          <w:sz w:val="20"/>
          <w:szCs w:val="20"/>
        </w:rPr>
      </w:pPr>
      <w:r w:rsidRPr="00711219">
        <w:rPr>
          <w:rFonts w:cs="Times New Roman"/>
          <w:sz w:val="20"/>
          <w:szCs w:val="20"/>
        </w:rPr>
        <w:t xml:space="preserve">The dataset for the model includes an ESRI map of </w:t>
      </w:r>
      <w:r w:rsidR="003533B8" w:rsidRPr="00711219">
        <w:rPr>
          <w:rFonts w:cs="Times New Roman"/>
          <w:sz w:val="20"/>
          <w:szCs w:val="20"/>
        </w:rPr>
        <w:t>Sekondi-Takoradi</w:t>
      </w:r>
      <w:r w:rsidRPr="00711219">
        <w:rPr>
          <w:rFonts w:cs="Times New Roman"/>
          <w:sz w:val="20"/>
          <w:szCs w:val="20"/>
        </w:rPr>
        <w:t xml:space="preserve"> that shows both public and stool/family lands. To allow the map to be displayed in the Process Maker Software's map panel, the dataset is hosted locally on a server. </w:t>
      </w:r>
      <w:r w:rsidR="003533B8" w:rsidRPr="00711219">
        <w:rPr>
          <w:rFonts w:cs="Times New Roman"/>
          <w:sz w:val="20"/>
          <w:szCs w:val="20"/>
        </w:rPr>
        <w:t>Sekondi-Takoradi</w:t>
      </w:r>
      <w:r w:rsidRPr="00711219">
        <w:rPr>
          <w:rFonts w:cs="Times New Roman"/>
          <w:sz w:val="20"/>
          <w:szCs w:val="20"/>
        </w:rPr>
        <w:t xml:space="preserve"> could be located on the map thanks to the integration of </w:t>
      </w:r>
      <w:r w:rsidR="00BB4738" w:rsidRPr="00711219">
        <w:rPr>
          <w:rFonts w:cs="Times New Roman"/>
          <w:sz w:val="20"/>
          <w:szCs w:val="20"/>
        </w:rPr>
        <w:t>JavaScript</w:t>
      </w:r>
      <w:r w:rsidRPr="00711219">
        <w:rPr>
          <w:rFonts w:cs="Times New Roman"/>
          <w:sz w:val="20"/>
          <w:szCs w:val="20"/>
        </w:rPr>
        <w:t xml:space="preserve"> on an open street map layer using the Process Maker interface.</w:t>
      </w:r>
    </w:p>
    <w:p w14:paraId="11A44A54" w14:textId="77777777" w:rsidR="008462BD" w:rsidRPr="00711219" w:rsidRDefault="008462BD" w:rsidP="006F1AF8">
      <w:pPr>
        <w:spacing w:line="480" w:lineRule="auto"/>
        <w:rPr>
          <w:rFonts w:cs="Times New Roman"/>
          <w:b/>
          <w:bCs/>
          <w:i/>
          <w:iCs/>
          <w:sz w:val="20"/>
          <w:szCs w:val="20"/>
        </w:rPr>
      </w:pPr>
      <w:r w:rsidRPr="00711219">
        <w:rPr>
          <w:rFonts w:cs="Times New Roman"/>
          <w:b/>
          <w:bCs/>
          <w:sz w:val="20"/>
          <w:szCs w:val="20"/>
        </w:rPr>
        <w:t>5.3.3</w:t>
      </w:r>
      <w:r w:rsidRPr="00711219">
        <w:rPr>
          <w:rFonts w:cs="Times New Roman"/>
          <w:b/>
          <w:bCs/>
          <w:i/>
          <w:iCs/>
          <w:sz w:val="20"/>
          <w:szCs w:val="20"/>
        </w:rPr>
        <w:t xml:space="preserve"> </w:t>
      </w:r>
      <w:r w:rsidRPr="00711219">
        <w:rPr>
          <w:rFonts w:cs="Times New Roman"/>
          <w:b/>
          <w:bCs/>
          <w:sz w:val="20"/>
          <w:szCs w:val="20"/>
        </w:rPr>
        <w:t>Task Operationalization</w:t>
      </w:r>
      <w:r w:rsidRPr="00711219">
        <w:rPr>
          <w:rFonts w:cs="Times New Roman"/>
          <w:b/>
          <w:bCs/>
          <w:i/>
          <w:iCs/>
          <w:sz w:val="20"/>
          <w:szCs w:val="20"/>
        </w:rPr>
        <w:t xml:space="preserve"> </w:t>
      </w:r>
    </w:p>
    <w:p w14:paraId="3A20F14A" w14:textId="21FF8E4D" w:rsidR="00832EB9" w:rsidRPr="00711219" w:rsidRDefault="008462BD" w:rsidP="00346B9C">
      <w:pPr>
        <w:spacing w:line="480" w:lineRule="auto"/>
        <w:ind w:right="470"/>
        <w:rPr>
          <w:rFonts w:cs="Times New Roman"/>
          <w:sz w:val="20"/>
          <w:szCs w:val="20"/>
        </w:rPr>
      </w:pPr>
      <w:r w:rsidRPr="00711219">
        <w:rPr>
          <w:rFonts w:cs="Times New Roman"/>
          <w:sz w:val="20"/>
          <w:szCs w:val="20"/>
        </w:rPr>
        <w:t xml:space="preserve">The model takes into consideration the two categories of land ownership in </w:t>
      </w:r>
      <w:r w:rsidR="003533B8" w:rsidRPr="00711219">
        <w:rPr>
          <w:rFonts w:cs="Times New Roman"/>
          <w:sz w:val="20"/>
          <w:szCs w:val="20"/>
        </w:rPr>
        <w:t>Sekondi-Takoradi</w:t>
      </w:r>
      <w:r w:rsidRPr="00711219">
        <w:rPr>
          <w:rFonts w:cs="Times New Roman"/>
          <w:sz w:val="20"/>
          <w:szCs w:val="20"/>
        </w:rPr>
        <w:t xml:space="preserve">: governmental lands and family/stool lands. </w:t>
      </w:r>
      <w:r w:rsidR="00BB4738" w:rsidRPr="00711219">
        <w:rPr>
          <w:rFonts w:cs="Times New Roman"/>
          <w:sz w:val="20"/>
          <w:szCs w:val="20"/>
        </w:rPr>
        <w:t>To</w:t>
      </w:r>
      <w:r w:rsidRPr="00711219">
        <w:rPr>
          <w:rFonts w:cs="Times New Roman"/>
          <w:sz w:val="20"/>
          <w:szCs w:val="20"/>
        </w:rPr>
        <w:t xml:space="preserve"> assist the Land Title Registry, the Survey and Mapping Division, and the Land Use Spatial Planning Authority in carrying out a spatial task (</w:t>
      </w:r>
      <w:r w:rsidR="00BB4738" w:rsidRPr="00711219">
        <w:rPr>
          <w:rFonts w:cs="Times New Roman"/>
          <w:sz w:val="20"/>
          <w:szCs w:val="20"/>
        </w:rPr>
        <w:t>drawing</w:t>
      </w:r>
      <w:r w:rsidRPr="00711219">
        <w:rPr>
          <w:rFonts w:cs="Times New Roman"/>
          <w:sz w:val="20"/>
          <w:szCs w:val="20"/>
        </w:rPr>
        <w:t xml:space="preserve"> polygons) in response to a certain type of client request, the target for these parcels shows a map panel that permits the parcels to appear on the form. In response to a client request, the Survey and Mapping Division can use JavaScript to create polygons and preserve parcel coordinates </w:t>
      </w:r>
      <w:r w:rsidR="00BB4738" w:rsidRPr="00711219">
        <w:rPr>
          <w:rFonts w:cs="Times New Roman"/>
          <w:sz w:val="20"/>
          <w:szCs w:val="20"/>
        </w:rPr>
        <w:t>to</w:t>
      </w:r>
      <w:r w:rsidRPr="00711219">
        <w:rPr>
          <w:rFonts w:cs="Times New Roman"/>
          <w:sz w:val="20"/>
          <w:szCs w:val="20"/>
        </w:rPr>
        <w:t xml:space="preserve"> digitize a region of interest.  </w:t>
      </w:r>
    </w:p>
    <w:p w14:paraId="11C6BF32" w14:textId="77777777" w:rsidR="008462BD" w:rsidRPr="00711219" w:rsidRDefault="008462BD" w:rsidP="006F1AF8">
      <w:pPr>
        <w:spacing w:line="480" w:lineRule="auto"/>
        <w:rPr>
          <w:rFonts w:cs="Times New Roman"/>
          <w:b/>
          <w:bCs/>
          <w:i/>
          <w:iCs/>
          <w:sz w:val="20"/>
          <w:szCs w:val="20"/>
        </w:rPr>
      </w:pPr>
      <w:r w:rsidRPr="00711219">
        <w:rPr>
          <w:rFonts w:cs="Times New Roman"/>
          <w:b/>
          <w:bCs/>
          <w:sz w:val="20"/>
          <w:szCs w:val="20"/>
        </w:rPr>
        <w:t>5.3.4</w:t>
      </w:r>
      <w:r w:rsidRPr="00711219">
        <w:rPr>
          <w:rFonts w:cs="Times New Roman"/>
          <w:b/>
          <w:bCs/>
          <w:i/>
          <w:iCs/>
          <w:sz w:val="20"/>
          <w:szCs w:val="20"/>
        </w:rPr>
        <w:t xml:space="preserve"> </w:t>
      </w:r>
      <w:r w:rsidRPr="00711219">
        <w:rPr>
          <w:rFonts w:cs="Times New Roman"/>
          <w:b/>
          <w:bCs/>
          <w:sz w:val="20"/>
          <w:szCs w:val="20"/>
        </w:rPr>
        <w:t>Output Interface</w:t>
      </w:r>
      <w:r w:rsidRPr="00711219">
        <w:rPr>
          <w:rFonts w:cs="Times New Roman"/>
          <w:b/>
          <w:bCs/>
          <w:i/>
          <w:iCs/>
          <w:sz w:val="20"/>
          <w:szCs w:val="20"/>
        </w:rPr>
        <w:t xml:space="preserve"> </w:t>
      </w:r>
    </w:p>
    <w:p w14:paraId="10A192C5" w14:textId="5DD9CA34" w:rsidR="008462BD" w:rsidRDefault="008462BD" w:rsidP="006F1AF8">
      <w:pPr>
        <w:spacing w:after="85" w:line="480" w:lineRule="auto"/>
        <w:ind w:left="14" w:right="466"/>
        <w:rPr>
          <w:rFonts w:cs="Times New Roman"/>
          <w:sz w:val="20"/>
          <w:szCs w:val="20"/>
        </w:rPr>
      </w:pPr>
      <w:r w:rsidRPr="00711219">
        <w:rPr>
          <w:rFonts w:cs="Times New Roman"/>
          <w:sz w:val="20"/>
          <w:szCs w:val="20"/>
        </w:rPr>
        <w:t xml:space="preserve">A division notifies the opening of a </w:t>
      </w:r>
      <w:proofErr w:type="spellStart"/>
      <w:r w:rsidRPr="00711219">
        <w:rPr>
          <w:rFonts w:cs="Times New Roman"/>
          <w:sz w:val="20"/>
          <w:szCs w:val="20"/>
        </w:rPr>
        <w:t>dynoform</w:t>
      </w:r>
      <w:proofErr w:type="spellEnd"/>
      <w:r w:rsidRPr="00711219">
        <w:rPr>
          <w:rFonts w:cs="Times New Roman"/>
          <w:sz w:val="20"/>
          <w:szCs w:val="20"/>
        </w:rPr>
        <w:t xml:space="preserve">. The </w:t>
      </w:r>
      <w:proofErr w:type="spellStart"/>
      <w:r w:rsidRPr="00711219">
        <w:rPr>
          <w:rFonts w:cs="Times New Roman"/>
          <w:sz w:val="20"/>
          <w:szCs w:val="20"/>
        </w:rPr>
        <w:t>dynoform</w:t>
      </w:r>
      <w:proofErr w:type="spellEnd"/>
      <w:r w:rsidRPr="00711219">
        <w:rPr>
          <w:rFonts w:cs="Times New Roman"/>
          <w:sz w:val="20"/>
          <w:szCs w:val="20"/>
        </w:rPr>
        <w:t xml:space="preserve"> is instantly filled with the properties of the polygon that an officer makes for </w:t>
      </w:r>
      <w:r w:rsidR="008476E7" w:rsidRPr="00711219">
        <w:rPr>
          <w:rFonts w:cs="Times New Roman"/>
          <w:sz w:val="20"/>
          <w:szCs w:val="20"/>
        </w:rPr>
        <w:t xml:space="preserve">a </w:t>
      </w:r>
      <w:r w:rsidRPr="00711219">
        <w:rPr>
          <w:rFonts w:cs="Times New Roman"/>
          <w:sz w:val="20"/>
          <w:szCs w:val="20"/>
        </w:rPr>
        <w:t xml:space="preserve">parcel survey. The parcel search request form is operationalized from the Survey and Mapping Division interface within the map panel container. Depending on the kind of request, officers can search, draw, and save polygons in the panel.  </w:t>
      </w:r>
    </w:p>
    <w:p w14:paraId="137DF32B" w14:textId="77777777" w:rsidR="00294E51" w:rsidRDefault="00294E51" w:rsidP="006F1AF8">
      <w:pPr>
        <w:spacing w:after="85" w:line="480" w:lineRule="auto"/>
        <w:ind w:left="14" w:right="466"/>
        <w:rPr>
          <w:rFonts w:cs="Times New Roman"/>
          <w:sz w:val="20"/>
          <w:szCs w:val="20"/>
        </w:rPr>
      </w:pPr>
    </w:p>
    <w:p w14:paraId="613DBC33" w14:textId="77777777" w:rsidR="00294E51" w:rsidRPr="00711219" w:rsidRDefault="00294E51" w:rsidP="006F1AF8">
      <w:pPr>
        <w:spacing w:after="85" w:line="480" w:lineRule="auto"/>
        <w:ind w:left="14" w:right="466"/>
        <w:rPr>
          <w:rFonts w:cs="Times New Roman"/>
          <w:sz w:val="20"/>
          <w:szCs w:val="20"/>
        </w:rPr>
      </w:pPr>
    </w:p>
    <w:p w14:paraId="21884C7C" w14:textId="77777777" w:rsidR="008462BD" w:rsidRPr="00711219" w:rsidRDefault="008462BD" w:rsidP="006F1AF8">
      <w:pPr>
        <w:spacing w:line="480" w:lineRule="auto"/>
        <w:rPr>
          <w:rFonts w:cs="Times New Roman"/>
          <w:b/>
          <w:bCs/>
          <w:i/>
          <w:iCs/>
          <w:sz w:val="20"/>
          <w:szCs w:val="20"/>
        </w:rPr>
      </w:pPr>
      <w:r w:rsidRPr="00711219">
        <w:rPr>
          <w:rFonts w:cs="Times New Roman"/>
          <w:b/>
          <w:bCs/>
          <w:sz w:val="20"/>
          <w:szCs w:val="20"/>
        </w:rPr>
        <w:t>5.3.5 Output Generation</w:t>
      </w:r>
      <w:r w:rsidRPr="00711219">
        <w:rPr>
          <w:rFonts w:cs="Times New Roman"/>
          <w:b/>
          <w:bCs/>
          <w:i/>
          <w:iCs/>
          <w:sz w:val="20"/>
          <w:szCs w:val="20"/>
        </w:rPr>
        <w:t xml:space="preserve">  </w:t>
      </w:r>
    </w:p>
    <w:p w14:paraId="53658449" w14:textId="4C992AC1" w:rsidR="00BF3C2E" w:rsidRPr="00711219" w:rsidRDefault="00521492" w:rsidP="006F1AF8">
      <w:pPr>
        <w:spacing w:line="480" w:lineRule="auto"/>
        <w:rPr>
          <w:rFonts w:cs="Times New Roman"/>
          <w:sz w:val="20"/>
          <w:szCs w:val="20"/>
        </w:rPr>
      </w:pPr>
      <w:r w:rsidRPr="00711219">
        <w:rPr>
          <w:rFonts w:cs="Times New Roman"/>
          <w:sz w:val="20"/>
          <w:szCs w:val="20"/>
        </w:rPr>
        <w:t xml:space="preserve">The model shows how every phase of execution generates an output document. When a client requests a parcel search through the Customer Service and Access Unit, their information is recorded in an output document. The request, either in Word or PDF format, is examined by the Survey and Mapping Division to perform the required </w:t>
      </w:r>
      <w:r w:rsidRPr="00711219">
        <w:rPr>
          <w:rFonts w:cs="Times New Roman"/>
          <w:sz w:val="20"/>
          <w:szCs w:val="20"/>
        </w:rPr>
        <w:lastRenderedPageBreak/>
        <w:t xml:space="preserve">search. HTML codes reference client information, e.g., @@Request_Type, @@First_Name, to create reports and certificates. HTML manages layout and formatting, pre-formatting documents such as certificates and e-mail templates. These are stored as PDF or Word for easy retrieval by officers. All output is retained in the database for future reference and optimized workflow. </w:t>
      </w:r>
    </w:p>
    <w:p w14:paraId="57D79C5D" w14:textId="60AB1D00"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5.3.6 Rules and Conditions </w:t>
      </w:r>
    </w:p>
    <w:p w14:paraId="7E87D611" w14:textId="3C2C35C6" w:rsidR="00521492" w:rsidRPr="00711219" w:rsidRDefault="00521492" w:rsidP="006F1AF8">
      <w:pPr>
        <w:spacing w:line="480" w:lineRule="auto"/>
        <w:rPr>
          <w:rFonts w:cs="Times New Roman"/>
          <w:sz w:val="20"/>
          <w:szCs w:val="20"/>
        </w:rPr>
      </w:pPr>
      <w:r w:rsidRPr="00711219">
        <w:rPr>
          <w:rFonts w:cs="Times New Roman"/>
          <w:sz w:val="20"/>
          <w:szCs w:val="20"/>
        </w:rPr>
        <w:t xml:space="preserve">The model includes decision-making rules on each step. Activities are based on "if conditions" that decide the rejection or acceptance of requests. Responsibilities are assigned to divisions with detailed assignments. For example, reports are sent to the SMD by the CSAU for parcel search or surveys. An exclusive SMD gateway allows only approved requests to proceed. Upon approval, the system alerts the Lands Valuation Division for assessment. Each division has specific tasks to prevent overlap and ensure accountability. This structure fosters clear responsibility, secure data handling, and transparency in the land registration process. </w:t>
      </w:r>
    </w:p>
    <w:p w14:paraId="61052EB1" w14:textId="641B1880" w:rsidR="008462BD" w:rsidRPr="00711219" w:rsidRDefault="008462BD" w:rsidP="006F1AF8">
      <w:pPr>
        <w:spacing w:line="480" w:lineRule="auto"/>
        <w:rPr>
          <w:rFonts w:cs="Times New Roman"/>
          <w:b/>
          <w:bCs/>
          <w:sz w:val="20"/>
          <w:szCs w:val="20"/>
        </w:rPr>
      </w:pPr>
      <w:r w:rsidRPr="00711219">
        <w:rPr>
          <w:rFonts w:cs="Times New Roman"/>
          <w:b/>
          <w:bCs/>
          <w:sz w:val="20"/>
          <w:szCs w:val="20"/>
        </w:rPr>
        <w:t xml:space="preserve">5.3.7 Database Connection and Record Tracking  </w:t>
      </w:r>
    </w:p>
    <w:p w14:paraId="5EFD9E4B" w14:textId="47572582" w:rsidR="00832EB9" w:rsidRPr="00711219" w:rsidRDefault="00FF2EB9" w:rsidP="006F1AF8">
      <w:pPr>
        <w:spacing w:line="480" w:lineRule="auto"/>
        <w:ind w:right="467"/>
        <w:rPr>
          <w:rFonts w:cs="Times New Roman"/>
          <w:sz w:val="20"/>
          <w:szCs w:val="20"/>
        </w:rPr>
      </w:pPr>
      <w:r w:rsidRPr="00711219">
        <w:rPr>
          <w:rFonts w:cs="Times New Roman"/>
          <w:sz w:val="20"/>
          <w:szCs w:val="20"/>
        </w:rPr>
        <w:t>The model uses a PostgreSQL database with tables for land rights, surveys, rent verification, document checks, valuation, payments, site assessments, mapping, certification, and archiving. It tracks all actors in the workflow. The Client Recordation Table stores each client's details and triggers the request form. This data remains active throughout the workflow, minimizing repetition and ensuring smooth task transfers between actors once each job is completed.</w:t>
      </w:r>
    </w:p>
    <w:p w14:paraId="324F3322" w14:textId="42789E1E" w:rsidR="00120059" w:rsidRPr="00711219" w:rsidRDefault="00120059" w:rsidP="006F1AF8">
      <w:pPr>
        <w:spacing w:line="480" w:lineRule="auto"/>
        <w:ind w:right="467"/>
        <w:rPr>
          <w:rFonts w:cs="Times New Roman"/>
          <w:b/>
          <w:bCs/>
          <w:sz w:val="20"/>
          <w:szCs w:val="20"/>
        </w:rPr>
      </w:pPr>
      <w:r w:rsidRPr="00711219">
        <w:rPr>
          <w:rFonts w:cs="Times New Roman"/>
          <w:b/>
          <w:bCs/>
          <w:sz w:val="20"/>
          <w:szCs w:val="20"/>
        </w:rPr>
        <w:t xml:space="preserve">6. </w:t>
      </w:r>
      <w:r w:rsidR="004F306F" w:rsidRPr="00711219">
        <w:rPr>
          <w:rFonts w:cs="Times New Roman"/>
          <w:b/>
          <w:bCs/>
          <w:sz w:val="22"/>
        </w:rPr>
        <w:t>CONCLUSION AND RECOMMENDATIONS</w:t>
      </w:r>
    </w:p>
    <w:bookmarkEnd w:id="0"/>
    <w:p w14:paraId="402149D1" w14:textId="37E805E1" w:rsidR="00D450BD" w:rsidRPr="00D450BD" w:rsidRDefault="00D450BD" w:rsidP="00D450BD">
      <w:pPr>
        <w:spacing w:after="189" w:line="480" w:lineRule="auto"/>
        <w:ind w:left="-5" w:right="21"/>
        <w:rPr>
          <w:rFonts w:cs="Times New Roman"/>
          <w:sz w:val="20"/>
          <w:szCs w:val="20"/>
        </w:rPr>
      </w:pPr>
      <w:r w:rsidRPr="00D450BD">
        <w:rPr>
          <w:rFonts w:cs="Times New Roman"/>
          <w:sz w:val="20"/>
          <w:szCs w:val="20"/>
        </w:rPr>
        <w:t>This study explains the complexities of land registration in Sekondi-Takoradi, highlighting significant inefficiencies in the dual customary and statutory system that generate delays in transactions and insecurity. Urbanization for rapid development exacerbates issues relating to unregistered customary lands and competing claims among owners. The land registry faces constraints including duplication of records, lack of coordination between agencies, and bureaucratic delays, compounded by understaffing and disorganization. Citizens are typically annoyed with multiple checks and duplicative paperwork since most procedures last longer than the three-month timeframe stipulated by land reforms.</w:t>
      </w:r>
    </w:p>
    <w:p w14:paraId="4654F3DF" w14:textId="47197D48" w:rsidR="00D450BD" w:rsidRPr="00D450BD" w:rsidRDefault="00D450BD" w:rsidP="00D450BD">
      <w:pPr>
        <w:spacing w:after="189" w:line="480" w:lineRule="auto"/>
        <w:ind w:left="-5" w:right="21"/>
        <w:rPr>
          <w:rFonts w:cs="Times New Roman"/>
          <w:sz w:val="20"/>
          <w:szCs w:val="20"/>
        </w:rPr>
      </w:pPr>
      <w:r w:rsidRPr="00D450BD">
        <w:rPr>
          <w:rFonts w:cs="Times New Roman"/>
          <w:sz w:val="20"/>
          <w:szCs w:val="20"/>
        </w:rPr>
        <w:t xml:space="preserve">The findings have extensive consequences on most of the Sustainable Development Goals (SDGs). The improvement of land registration can assist in ensuring access to land rights for marginalized communities, thereby reducing poverty (SDG 1: No Poverty). Economic growth needs to be underpinned by secure land </w:t>
      </w:r>
      <w:r w:rsidRPr="00D450BD">
        <w:rPr>
          <w:rFonts w:cs="Times New Roman"/>
          <w:sz w:val="20"/>
          <w:szCs w:val="20"/>
        </w:rPr>
        <w:lastRenderedPageBreak/>
        <w:t>tenure, as it enables individuals to have the confidence to invest in their lands.</w:t>
      </w:r>
      <w:r>
        <w:rPr>
          <w:rFonts w:cs="Times New Roman"/>
          <w:sz w:val="20"/>
          <w:szCs w:val="20"/>
        </w:rPr>
        <w:t xml:space="preserve"> </w:t>
      </w:r>
      <w:r w:rsidRPr="00D450BD">
        <w:rPr>
          <w:rFonts w:cs="Times New Roman"/>
          <w:sz w:val="20"/>
          <w:szCs w:val="20"/>
        </w:rPr>
        <w:t>An efficient registration system can facilitate sustainable urbanization by bringing customary and statutory land rights together, and fostering community stability (SDG 11). Increased transparency in land administration is also in support of the development of peaceful societies (SDG 16) as it reduces land conflicts.</w:t>
      </w:r>
    </w:p>
    <w:p w14:paraId="4429C295" w14:textId="77777777" w:rsidR="00D450BD" w:rsidRDefault="00D450BD" w:rsidP="00D450BD">
      <w:pPr>
        <w:spacing w:after="189" w:line="480" w:lineRule="auto"/>
        <w:ind w:left="-5" w:right="21"/>
        <w:rPr>
          <w:rFonts w:cs="Times New Roman"/>
          <w:sz w:val="20"/>
          <w:szCs w:val="20"/>
        </w:rPr>
      </w:pPr>
      <w:r w:rsidRPr="00D450BD">
        <w:rPr>
          <w:rFonts w:cs="Times New Roman"/>
          <w:sz w:val="20"/>
          <w:szCs w:val="20"/>
        </w:rPr>
        <w:t>In response to these challenges, the present research suggests an electronic process of land registration based on Process Maker and PostgreSQL, with the objective of document digitization and enhanced inter-agency coordination. The model aligns with Ghana's National Land Policy by incorporating customary land rights in formal systems, such that all land rights holders are recognized. The proposals also align with the objectives of the Land Administration Project (LAP), whose goal is to reform land administration and widen access to information. Encouragement of decentralization provides proof of compliance with national policy objectives of improving local governance. Ultimately, effective and fair land administration holds the key to local development and the attainment of global sustainability objectives, hence opening up opportunities for socio-economic development of Ghanaian communities.</w:t>
      </w:r>
    </w:p>
    <w:p w14:paraId="3A727FF2" w14:textId="1567A4CB" w:rsidR="000F118A" w:rsidRPr="00711219" w:rsidRDefault="000F118A" w:rsidP="00D450BD">
      <w:pPr>
        <w:spacing w:after="189" w:line="480" w:lineRule="auto"/>
        <w:ind w:left="-5" w:right="21"/>
        <w:rPr>
          <w:rFonts w:cs="Times New Roman"/>
          <w:b/>
          <w:bCs/>
          <w:sz w:val="20"/>
          <w:szCs w:val="20"/>
        </w:rPr>
      </w:pPr>
      <w:r w:rsidRPr="00711219">
        <w:rPr>
          <w:rFonts w:cs="Times New Roman"/>
          <w:b/>
          <w:bCs/>
          <w:sz w:val="20"/>
          <w:szCs w:val="20"/>
        </w:rPr>
        <w:t>Conflict Of Interest Statement</w:t>
      </w:r>
    </w:p>
    <w:p w14:paraId="08C13ED6" w14:textId="4014CC36" w:rsidR="00DD02C7" w:rsidRPr="00832EB9" w:rsidRDefault="000F118A" w:rsidP="00832EB9">
      <w:pPr>
        <w:spacing w:after="189" w:line="480" w:lineRule="auto"/>
        <w:ind w:left="-5" w:right="21"/>
        <w:rPr>
          <w:rFonts w:cs="Times New Roman"/>
          <w:sz w:val="20"/>
          <w:szCs w:val="20"/>
        </w:rPr>
      </w:pPr>
      <w:r w:rsidRPr="00711219">
        <w:rPr>
          <w:rFonts w:cs="Times New Roman"/>
          <w:sz w:val="20"/>
          <w:szCs w:val="20"/>
        </w:rPr>
        <w:t>The authors do not know of any conflicts of interest associated with this publication, and there has been no significant financial support for this work that could have influenced its outcome.</w:t>
      </w:r>
    </w:p>
    <w:p w14:paraId="6581C38F" w14:textId="6C4E0922" w:rsidR="00E62993" w:rsidRPr="00E62993" w:rsidRDefault="00E62993" w:rsidP="00E62993">
      <w:pPr>
        <w:spacing w:line="480" w:lineRule="auto"/>
        <w:ind w:right="467"/>
        <w:rPr>
          <w:rFonts w:cs="Times New Roman"/>
          <w:b/>
          <w:bCs/>
          <w:sz w:val="20"/>
          <w:szCs w:val="20"/>
          <w:lang w:val="en-US"/>
        </w:rPr>
      </w:pPr>
      <w:r w:rsidRPr="00E62993">
        <w:rPr>
          <w:rFonts w:cs="Times New Roman"/>
          <w:b/>
          <w:bCs/>
          <w:sz w:val="20"/>
          <w:szCs w:val="20"/>
          <w:lang w:val="en-US"/>
        </w:rPr>
        <w:t>COMPETING INTERESTS DISCLAIMER:</w:t>
      </w:r>
    </w:p>
    <w:p w14:paraId="32E63C9D" w14:textId="7546CCCE" w:rsidR="00832EB9" w:rsidRDefault="00E62993" w:rsidP="00E62993">
      <w:pPr>
        <w:spacing w:line="480" w:lineRule="auto"/>
        <w:ind w:right="467"/>
        <w:rPr>
          <w:rFonts w:cs="Times New Roman"/>
          <w:sz w:val="20"/>
          <w:szCs w:val="20"/>
          <w:lang w:val="en-US"/>
        </w:rPr>
      </w:pPr>
      <w:r w:rsidRPr="00E62993">
        <w:rPr>
          <w:rFonts w:cs="Times New Roman"/>
          <w:sz w:val="20"/>
          <w:szCs w:val="20"/>
          <w:lang w:val="en-US"/>
        </w:rPr>
        <w:t>Authors have declared that they have no known competing financial interests OR non-financial interests OR personal relationships that could have appeared to influence the work reported in this paper.</w:t>
      </w:r>
    </w:p>
    <w:p w14:paraId="02F6E1D5" w14:textId="77777777" w:rsidR="00F00F0A" w:rsidRPr="00F00F0A" w:rsidRDefault="00F00F0A" w:rsidP="00F00F0A">
      <w:pPr>
        <w:rPr>
          <w:highlight w:val="yellow"/>
        </w:rPr>
      </w:pPr>
      <w:r w:rsidRPr="00F00F0A">
        <w:rPr>
          <w:highlight w:val="yellow"/>
        </w:rPr>
        <w:t>Disclaimer (Artificial intelligence)</w:t>
      </w:r>
    </w:p>
    <w:p w14:paraId="544265E5" w14:textId="77777777" w:rsidR="00F00F0A" w:rsidRPr="00F00F0A" w:rsidRDefault="00F00F0A" w:rsidP="00F00F0A">
      <w:pPr>
        <w:rPr>
          <w:highlight w:val="yellow"/>
        </w:rPr>
      </w:pPr>
      <w:r w:rsidRPr="00F00F0A">
        <w:rPr>
          <w:highlight w:val="yellow"/>
        </w:rPr>
        <w:t xml:space="preserve">Option 1: </w:t>
      </w:r>
    </w:p>
    <w:p w14:paraId="124BE0E8" w14:textId="77777777" w:rsidR="00F00F0A" w:rsidRPr="00F00F0A" w:rsidRDefault="00F00F0A" w:rsidP="00F00F0A">
      <w:pPr>
        <w:rPr>
          <w:highlight w:val="yellow"/>
        </w:rPr>
      </w:pPr>
      <w:r w:rsidRPr="00F00F0A">
        <w:rPr>
          <w:highlight w:val="yellow"/>
        </w:rPr>
        <w:t xml:space="preserve">Author(s) hereby declare that NO generative AI technologies such as Large Language Models (ChatGPT, COPILOT, etc.) and text-to-image generators have been used during the writing or editing of this manuscript. </w:t>
      </w:r>
    </w:p>
    <w:p w14:paraId="03FFDF2E" w14:textId="77777777" w:rsidR="00F00F0A" w:rsidRPr="00F00F0A" w:rsidRDefault="00F00F0A" w:rsidP="00F00F0A">
      <w:pPr>
        <w:rPr>
          <w:highlight w:val="yellow"/>
        </w:rPr>
      </w:pPr>
      <w:r w:rsidRPr="00F00F0A">
        <w:rPr>
          <w:highlight w:val="yellow"/>
        </w:rPr>
        <w:t xml:space="preserve">Option 2: </w:t>
      </w:r>
    </w:p>
    <w:p w14:paraId="0A219259" w14:textId="77777777" w:rsidR="00F00F0A" w:rsidRPr="00F00F0A" w:rsidRDefault="00F00F0A" w:rsidP="00F00F0A">
      <w:pPr>
        <w:rPr>
          <w:highlight w:val="yellow"/>
        </w:rPr>
      </w:pPr>
      <w:r w:rsidRPr="00F00F0A">
        <w:rPr>
          <w:highlight w:val="yellow"/>
        </w:rPr>
        <w:t xml:space="preserve">Author(s) hereby declare that generative AI technologies such as Large Language Models, etc. have been used during the writing or editing of manuscripts. This explanation will </w:t>
      </w:r>
      <w:r w:rsidRPr="00F00F0A">
        <w:rPr>
          <w:highlight w:val="yellow"/>
        </w:rPr>
        <w:lastRenderedPageBreak/>
        <w:t>include the name, version, model, and source of the generative AI technology and as well as all input prompts provided to the generative AI technology</w:t>
      </w:r>
    </w:p>
    <w:p w14:paraId="44F8215F" w14:textId="77777777" w:rsidR="00F00F0A" w:rsidRPr="00F00F0A" w:rsidRDefault="00F00F0A" w:rsidP="00F00F0A">
      <w:pPr>
        <w:rPr>
          <w:highlight w:val="yellow"/>
        </w:rPr>
      </w:pPr>
      <w:r w:rsidRPr="00F00F0A">
        <w:rPr>
          <w:highlight w:val="yellow"/>
        </w:rPr>
        <w:t>Details of the AI usage are given below:</w:t>
      </w:r>
    </w:p>
    <w:p w14:paraId="7E250676" w14:textId="77777777" w:rsidR="00F00F0A" w:rsidRPr="00F00F0A" w:rsidRDefault="00F00F0A" w:rsidP="00F00F0A">
      <w:pPr>
        <w:rPr>
          <w:highlight w:val="yellow"/>
        </w:rPr>
      </w:pPr>
      <w:r w:rsidRPr="00F00F0A">
        <w:rPr>
          <w:highlight w:val="yellow"/>
        </w:rPr>
        <w:t>1.</w:t>
      </w:r>
    </w:p>
    <w:p w14:paraId="6D75CB9C" w14:textId="77777777" w:rsidR="00F00F0A" w:rsidRPr="00F00F0A" w:rsidRDefault="00F00F0A" w:rsidP="00F00F0A">
      <w:pPr>
        <w:rPr>
          <w:highlight w:val="yellow"/>
        </w:rPr>
      </w:pPr>
      <w:r w:rsidRPr="00F00F0A">
        <w:rPr>
          <w:highlight w:val="yellow"/>
        </w:rPr>
        <w:t>2.</w:t>
      </w:r>
    </w:p>
    <w:p w14:paraId="5B110B7E" w14:textId="77777777" w:rsidR="00F00F0A" w:rsidRPr="0053103C" w:rsidRDefault="00F00F0A" w:rsidP="00F00F0A">
      <w:r w:rsidRPr="00F00F0A">
        <w:rPr>
          <w:highlight w:val="yellow"/>
        </w:rPr>
        <w:t>3.</w:t>
      </w:r>
    </w:p>
    <w:p w14:paraId="690BC0F8" w14:textId="77777777" w:rsidR="00F00F0A" w:rsidRPr="00711219" w:rsidRDefault="00F00F0A" w:rsidP="00E62993">
      <w:pPr>
        <w:spacing w:line="480" w:lineRule="auto"/>
        <w:ind w:right="467"/>
        <w:rPr>
          <w:rFonts w:cs="Times New Roman"/>
          <w:sz w:val="20"/>
          <w:szCs w:val="20"/>
          <w:lang w:val="en-US"/>
        </w:rPr>
      </w:pPr>
    </w:p>
    <w:p w14:paraId="366BBB3A" w14:textId="78EAF7B9" w:rsidR="00BB68C0" w:rsidRPr="00832EB9" w:rsidRDefault="004845D5" w:rsidP="00832EB9">
      <w:pPr>
        <w:spacing w:line="480" w:lineRule="auto"/>
        <w:ind w:right="467"/>
        <w:rPr>
          <w:rFonts w:cs="Times New Roman"/>
          <w:sz w:val="20"/>
          <w:szCs w:val="20"/>
        </w:rPr>
      </w:pPr>
      <w:r w:rsidRPr="00711219">
        <w:rPr>
          <w:rFonts w:eastAsia="Times New Roman" w:cs="Times New Roman"/>
          <w:b/>
          <w:bCs/>
          <w:sz w:val="20"/>
          <w:szCs w:val="20"/>
          <w:lang w:val="en-US"/>
        </w:rPr>
        <w:t>References</w:t>
      </w:r>
    </w:p>
    <w:p w14:paraId="5DFA67DA" w14:textId="77777777" w:rsidR="00BB68C0" w:rsidRPr="00BB68C0" w:rsidRDefault="00BB68C0" w:rsidP="006F1AF8">
      <w:pPr>
        <w:spacing w:after="172" w:line="480" w:lineRule="auto"/>
        <w:ind w:left="724" w:right="497" w:hanging="720"/>
        <w:rPr>
          <w:rFonts w:cs="Times New Roman"/>
          <w:sz w:val="20"/>
          <w:szCs w:val="20"/>
        </w:rPr>
      </w:pPr>
      <w:r w:rsidRPr="002A7E1D">
        <w:rPr>
          <w:rFonts w:eastAsia="Times New Roman" w:cs="Times New Roman"/>
          <w:bCs/>
          <w:sz w:val="20"/>
          <w:szCs w:val="20"/>
          <w:highlight w:val="yellow"/>
          <w:lang w:val="en-US"/>
        </w:rPr>
        <w:t xml:space="preserve">Abubakari, Z., Addo, P. K., &amp; Amoako, K. (2020). Evaluating some major assumptions in land registration: Insights from Ghana’s context of land tenure and registration. </w:t>
      </w:r>
      <w:r w:rsidRPr="002A7E1D">
        <w:rPr>
          <w:rFonts w:eastAsia="Times New Roman" w:cs="Times New Roman"/>
          <w:bCs/>
          <w:i/>
          <w:iCs/>
          <w:sz w:val="20"/>
          <w:szCs w:val="20"/>
          <w:highlight w:val="yellow"/>
          <w:lang w:val="en-US"/>
        </w:rPr>
        <w:t>Land Use Policy</w:t>
      </w:r>
      <w:r w:rsidRPr="002A7E1D">
        <w:rPr>
          <w:rFonts w:eastAsia="Times New Roman" w:cs="Times New Roman"/>
          <w:bCs/>
          <w:sz w:val="20"/>
          <w:szCs w:val="20"/>
          <w:highlight w:val="yellow"/>
          <w:lang w:val="en-US"/>
        </w:rPr>
        <w:t xml:space="preserve">, 94, 104580. </w:t>
      </w:r>
      <w:hyperlink r:id="rId17" w:history="1">
        <w:r w:rsidRPr="002A7E1D">
          <w:rPr>
            <w:rStyle w:val="Hyperlink"/>
            <w:rFonts w:eastAsia="Times New Roman" w:cs="Times New Roman"/>
            <w:bCs/>
            <w:sz w:val="20"/>
            <w:szCs w:val="20"/>
            <w:highlight w:val="yellow"/>
            <w:lang w:val="en-US"/>
          </w:rPr>
          <w:t>https://doi.org/10.1016/j.landusepol.2020.104580</w:t>
        </w:r>
      </w:hyperlink>
    </w:p>
    <w:p w14:paraId="6A6EF07B" w14:textId="77777777" w:rsidR="00BB68C0" w:rsidRPr="00BB68C0" w:rsidRDefault="00BB68C0" w:rsidP="006F1AF8">
      <w:pPr>
        <w:spacing w:after="172" w:line="480" w:lineRule="auto"/>
        <w:ind w:left="724" w:right="497" w:hanging="720"/>
        <w:rPr>
          <w:rFonts w:eastAsia="Times New Roman" w:cs="Times New Roman"/>
          <w:bCs/>
          <w:sz w:val="20"/>
          <w:szCs w:val="20"/>
        </w:rPr>
      </w:pPr>
      <w:r w:rsidRPr="002A7E1D">
        <w:rPr>
          <w:rFonts w:eastAsia="Times New Roman" w:cs="Times New Roman"/>
          <w:bCs/>
          <w:sz w:val="20"/>
          <w:szCs w:val="20"/>
          <w:highlight w:val="yellow"/>
        </w:rPr>
        <w:t xml:space="preserve">Adjei Mensah, C., Eshun, J., Asamoah, Y., &amp; Ofori, E. (2019). Changing land use/cover of Ghana’s oil city (Sekondi-Takoradi Metropolis): Implications for sustainable urban development. </w:t>
      </w:r>
      <w:r w:rsidRPr="002A7E1D">
        <w:rPr>
          <w:rFonts w:eastAsia="Times New Roman" w:cs="Times New Roman"/>
          <w:bCs/>
          <w:i/>
          <w:iCs/>
          <w:sz w:val="20"/>
          <w:szCs w:val="20"/>
          <w:highlight w:val="yellow"/>
        </w:rPr>
        <w:t>International Journal of Sustainable Development</w:t>
      </w:r>
      <w:r w:rsidRPr="002A7E1D">
        <w:rPr>
          <w:rFonts w:eastAsia="Times New Roman" w:cs="Times New Roman"/>
          <w:bCs/>
          <w:sz w:val="20"/>
          <w:szCs w:val="20"/>
          <w:highlight w:val="yellow"/>
        </w:rPr>
        <w:t xml:space="preserve">, </w:t>
      </w:r>
      <w:r w:rsidRPr="002A7E1D">
        <w:rPr>
          <w:rFonts w:eastAsia="Times New Roman" w:cs="Times New Roman"/>
          <w:bCs/>
          <w:i/>
          <w:iCs/>
          <w:sz w:val="20"/>
          <w:szCs w:val="20"/>
          <w:highlight w:val="yellow"/>
        </w:rPr>
        <w:t>1</w:t>
      </w:r>
      <w:r w:rsidRPr="002A7E1D">
        <w:rPr>
          <w:rFonts w:eastAsia="Times New Roman" w:cs="Times New Roman"/>
          <w:bCs/>
          <w:sz w:val="20"/>
          <w:szCs w:val="20"/>
          <w:highlight w:val="yellow"/>
        </w:rPr>
        <w:t xml:space="preserve">(1), 1–11. </w:t>
      </w:r>
      <w:hyperlink r:id="rId18" w:history="1">
        <w:r w:rsidRPr="002A7E1D">
          <w:rPr>
            <w:rStyle w:val="Hyperlink"/>
            <w:rFonts w:eastAsia="Times New Roman" w:cs="Times New Roman"/>
            <w:bCs/>
            <w:sz w:val="20"/>
            <w:szCs w:val="20"/>
            <w:highlight w:val="yellow"/>
          </w:rPr>
          <w:t>https://doi.org/10.1080/19463138.2019.1615492</w:t>
        </w:r>
      </w:hyperlink>
    </w:p>
    <w:p w14:paraId="3D0C9A2A" w14:textId="77777777" w:rsidR="00BB68C0" w:rsidRPr="00BB68C0" w:rsidRDefault="00BB68C0" w:rsidP="006F1AF8">
      <w:pPr>
        <w:spacing w:after="172" w:line="480" w:lineRule="auto"/>
        <w:ind w:left="724" w:right="497" w:hanging="720"/>
        <w:rPr>
          <w:rFonts w:eastAsia="Times New Roman" w:cs="Times New Roman"/>
          <w:bCs/>
          <w:sz w:val="20"/>
          <w:szCs w:val="20"/>
        </w:rPr>
      </w:pPr>
      <w:r w:rsidRPr="00590C7A">
        <w:rPr>
          <w:rFonts w:eastAsia="Times New Roman" w:cs="Times New Roman"/>
          <w:bCs/>
          <w:sz w:val="20"/>
          <w:szCs w:val="20"/>
          <w:highlight w:val="green"/>
        </w:rPr>
        <w:t xml:space="preserve">Agyei-Holmes, A., </w:t>
      </w:r>
      <w:proofErr w:type="spellStart"/>
      <w:r w:rsidRPr="00590C7A">
        <w:rPr>
          <w:rFonts w:eastAsia="Times New Roman" w:cs="Times New Roman"/>
          <w:bCs/>
          <w:sz w:val="20"/>
          <w:szCs w:val="20"/>
          <w:highlight w:val="green"/>
        </w:rPr>
        <w:t>Buehren</w:t>
      </w:r>
      <w:proofErr w:type="spellEnd"/>
      <w:r w:rsidRPr="00590C7A">
        <w:rPr>
          <w:rFonts w:eastAsia="Times New Roman" w:cs="Times New Roman"/>
          <w:bCs/>
          <w:sz w:val="20"/>
          <w:szCs w:val="20"/>
          <w:highlight w:val="green"/>
        </w:rPr>
        <w:t xml:space="preserve">, N., Goldstein, M., Osei, R. D., Osei-Akoto, I., &amp; </w:t>
      </w:r>
      <w:proofErr w:type="spellStart"/>
      <w:r w:rsidRPr="00590C7A">
        <w:rPr>
          <w:rFonts w:eastAsia="Times New Roman" w:cs="Times New Roman"/>
          <w:bCs/>
          <w:sz w:val="20"/>
          <w:szCs w:val="20"/>
          <w:highlight w:val="green"/>
        </w:rPr>
        <w:t>Udry</w:t>
      </w:r>
      <w:proofErr w:type="spellEnd"/>
      <w:r w:rsidRPr="00590C7A">
        <w:rPr>
          <w:rFonts w:eastAsia="Times New Roman" w:cs="Times New Roman"/>
          <w:bCs/>
          <w:sz w:val="20"/>
          <w:szCs w:val="20"/>
          <w:highlight w:val="green"/>
        </w:rPr>
        <w:t xml:space="preserve">, C. (2020). </w:t>
      </w:r>
      <w:r w:rsidRPr="00590C7A">
        <w:rPr>
          <w:rFonts w:eastAsia="Times New Roman" w:cs="Times New Roman"/>
          <w:bCs/>
          <w:i/>
          <w:iCs/>
          <w:sz w:val="20"/>
          <w:szCs w:val="20"/>
          <w:highlight w:val="green"/>
        </w:rPr>
        <w:t>The effects of land title registration on tenure security, investment, and the allocation of productive resources</w:t>
      </w:r>
      <w:r w:rsidRPr="00590C7A">
        <w:rPr>
          <w:rFonts w:eastAsia="Times New Roman" w:cs="Times New Roman"/>
          <w:bCs/>
          <w:sz w:val="20"/>
          <w:szCs w:val="20"/>
          <w:highlight w:val="green"/>
        </w:rPr>
        <w:t xml:space="preserve">. Global Poverty Research Lab Working Paper No. 20-107. </w:t>
      </w:r>
      <w:hyperlink r:id="rId19" w:history="1">
        <w:r w:rsidRPr="00590C7A">
          <w:rPr>
            <w:rStyle w:val="Hyperlink"/>
            <w:rFonts w:eastAsia="Times New Roman" w:cs="Times New Roman"/>
            <w:bCs/>
            <w:sz w:val="20"/>
            <w:szCs w:val="20"/>
            <w:highlight w:val="green"/>
          </w:rPr>
          <w:t xml:space="preserve">The Effects of Land Title Registration on Tenure Security, Investment and the Allocation of Productive Resources by Andrew </w:t>
        </w:r>
        <w:proofErr w:type="spellStart"/>
        <w:r w:rsidRPr="00590C7A">
          <w:rPr>
            <w:rStyle w:val="Hyperlink"/>
            <w:rFonts w:eastAsia="Times New Roman" w:cs="Times New Roman"/>
            <w:bCs/>
            <w:sz w:val="20"/>
            <w:szCs w:val="20"/>
            <w:highlight w:val="green"/>
          </w:rPr>
          <w:t>Agyei</w:t>
        </w:r>
        <w:proofErr w:type="spellEnd"/>
        <w:r w:rsidRPr="00590C7A">
          <w:rPr>
            <w:rStyle w:val="Hyperlink"/>
            <w:rFonts w:eastAsia="Times New Roman" w:cs="Times New Roman"/>
            <w:bCs/>
            <w:sz w:val="20"/>
            <w:szCs w:val="20"/>
            <w:highlight w:val="green"/>
          </w:rPr>
          <w:t xml:space="preserve">-Holmes, </w:t>
        </w:r>
        <w:proofErr w:type="spellStart"/>
        <w:r w:rsidRPr="00590C7A">
          <w:rPr>
            <w:rStyle w:val="Hyperlink"/>
            <w:rFonts w:eastAsia="Times New Roman" w:cs="Times New Roman"/>
            <w:bCs/>
            <w:sz w:val="20"/>
            <w:szCs w:val="20"/>
            <w:highlight w:val="green"/>
          </w:rPr>
          <w:t>Niklas</w:t>
        </w:r>
        <w:proofErr w:type="spellEnd"/>
        <w:r w:rsidRPr="00590C7A">
          <w:rPr>
            <w:rStyle w:val="Hyperlink"/>
            <w:rFonts w:eastAsia="Times New Roman" w:cs="Times New Roman"/>
            <w:bCs/>
            <w:sz w:val="20"/>
            <w:szCs w:val="20"/>
            <w:highlight w:val="green"/>
          </w:rPr>
          <w:t xml:space="preserve"> </w:t>
        </w:r>
        <w:proofErr w:type="spellStart"/>
        <w:r w:rsidRPr="00590C7A">
          <w:rPr>
            <w:rStyle w:val="Hyperlink"/>
            <w:rFonts w:eastAsia="Times New Roman" w:cs="Times New Roman"/>
            <w:bCs/>
            <w:sz w:val="20"/>
            <w:szCs w:val="20"/>
            <w:highlight w:val="green"/>
          </w:rPr>
          <w:t>Buehren</w:t>
        </w:r>
        <w:proofErr w:type="spellEnd"/>
        <w:r w:rsidRPr="00590C7A">
          <w:rPr>
            <w:rStyle w:val="Hyperlink"/>
            <w:rFonts w:eastAsia="Times New Roman" w:cs="Times New Roman"/>
            <w:bCs/>
            <w:sz w:val="20"/>
            <w:szCs w:val="20"/>
            <w:highlight w:val="green"/>
          </w:rPr>
          <w:t xml:space="preserve">, Markus Goldstein, Robert </w:t>
        </w:r>
        <w:proofErr w:type="spellStart"/>
        <w:r w:rsidRPr="00590C7A">
          <w:rPr>
            <w:rStyle w:val="Hyperlink"/>
            <w:rFonts w:eastAsia="Times New Roman" w:cs="Times New Roman"/>
            <w:bCs/>
            <w:sz w:val="20"/>
            <w:szCs w:val="20"/>
            <w:highlight w:val="green"/>
          </w:rPr>
          <w:t>Darko</w:t>
        </w:r>
        <w:proofErr w:type="spellEnd"/>
        <w:r w:rsidRPr="00590C7A">
          <w:rPr>
            <w:rStyle w:val="Hyperlink"/>
            <w:rFonts w:eastAsia="Times New Roman" w:cs="Times New Roman"/>
            <w:bCs/>
            <w:sz w:val="20"/>
            <w:szCs w:val="20"/>
            <w:highlight w:val="green"/>
          </w:rPr>
          <w:t xml:space="preserve"> </w:t>
        </w:r>
        <w:proofErr w:type="spellStart"/>
        <w:r w:rsidRPr="00590C7A">
          <w:rPr>
            <w:rStyle w:val="Hyperlink"/>
            <w:rFonts w:eastAsia="Times New Roman" w:cs="Times New Roman"/>
            <w:bCs/>
            <w:sz w:val="20"/>
            <w:szCs w:val="20"/>
            <w:highlight w:val="green"/>
          </w:rPr>
          <w:t>Osei</w:t>
        </w:r>
        <w:proofErr w:type="spellEnd"/>
        <w:r w:rsidRPr="00590C7A">
          <w:rPr>
            <w:rStyle w:val="Hyperlink"/>
            <w:rFonts w:eastAsia="Times New Roman" w:cs="Times New Roman"/>
            <w:bCs/>
            <w:sz w:val="20"/>
            <w:szCs w:val="20"/>
            <w:highlight w:val="green"/>
          </w:rPr>
          <w:t xml:space="preserve">, Isaac </w:t>
        </w:r>
        <w:proofErr w:type="spellStart"/>
        <w:r w:rsidRPr="00590C7A">
          <w:rPr>
            <w:rStyle w:val="Hyperlink"/>
            <w:rFonts w:eastAsia="Times New Roman" w:cs="Times New Roman"/>
            <w:bCs/>
            <w:sz w:val="20"/>
            <w:szCs w:val="20"/>
            <w:highlight w:val="green"/>
          </w:rPr>
          <w:t>Osei-Akoto</w:t>
        </w:r>
        <w:proofErr w:type="spellEnd"/>
        <w:r w:rsidRPr="00590C7A">
          <w:rPr>
            <w:rStyle w:val="Hyperlink"/>
            <w:rFonts w:eastAsia="Times New Roman" w:cs="Times New Roman"/>
            <w:bCs/>
            <w:sz w:val="20"/>
            <w:szCs w:val="20"/>
            <w:highlight w:val="green"/>
          </w:rPr>
          <w:t xml:space="preserve">, Christopher </w:t>
        </w:r>
        <w:proofErr w:type="spellStart"/>
        <w:r w:rsidRPr="00590C7A">
          <w:rPr>
            <w:rStyle w:val="Hyperlink"/>
            <w:rFonts w:eastAsia="Times New Roman" w:cs="Times New Roman"/>
            <w:bCs/>
            <w:sz w:val="20"/>
            <w:szCs w:val="20"/>
            <w:highlight w:val="green"/>
          </w:rPr>
          <w:t>Udry</w:t>
        </w:r>
        <w:proofErr w:type="spellEnd"/>
        <w:r w:rsidRPr="00590C7A">
          <w:rPr>
            <w:rStyle w:val="Hyperlink"/>
            <w:rFonts w:eastAsia="Times New Roman" w:cs="Times New Roman"/>
            <w:bCs/>
            <w:sz w:val="20"/>
            <w:szCs w:val="20"/>
            <w:highlight w:val="green"/>
          </w:rPr>
          <w:t xml:space="preserve"> :: SSRN</w:t>
        </w:r>
      </w:hyperlink>
    </w:p>
    <w:p w14:paraId="27832449" w14:textId="77777777" w:rsidR="00BB68C0" w:rsidRPr="00BB68C0" w:rsidRDefault="00BB68C0" w:rsidP="006F1AF8">
      <w:pPr>
        <w:spacing w:after="172" w:line="480" w:lineRule="auto"/>
        <w:ind w:left="724" w:right="497" w:hanging="720"/>
        <w:rPr>
          <w:rFonts w:cs="Times New Roman"/>
          <w:sz w:val="20"/>
          <w:szCs w:val="20"/>
        </w:rPr>
      </w:pPr>
      <w:r w:rsidRPr="002A7E1D">
        <w:rPr>
          <w:rFonts w:eastAsia="Times New Roman" w:cs="Times New Roman"/>
          <w:bCs/>
          <w:sz w:val="20"/>
          <w:szCs w:val="20"/>
          <w:highlight w:val="yellow"/>
          <w:lang w:val="en-US"/>
        </w:rPr>
        <w:t xml:space="preserve">Akaateba, M. (2019). The politics of customary land rights transformation in peri-urban Ghana: Powers of exclusion in the era of land commodification. </w:t>
      </w:r>
      <w:r w:rsidRPr="002A7E1D">
        <w:rPr>
          <w:rFonts w:eastAsia="Times New Roman" w:cs="Times New Roman"/>
          <w:bCs/>
          <w:i/>
          <w:iCs/>
          <w:sz w:val="20"/>
          <w:szCs w:val="20"/>
          <w:highlight w:val="yellow"/>
          <w:lang w:val="en-US"/>
        </w:rPr>
        <w:t>Land Use Policy, 81</w:t>
      </w:r>
      <w:r w:rsidRPr="002A7E1D">
        <w:rPr>
          <w:rFonts w:eastAsia="Times New Roman" w:cs="Times New Roman"/>
          <w:bCs/>
          <w:sz w:val="20"/>
          <w:szCs w:val="20"/>
          <w:highlight w:val="yellow"/>
          <w:lang w:val="en-US"/>
        </w:rPr>
        <w:t xml:space="preserve">, 823–832. </w:t>
      </w:r>
      <w:hyperlink r:id="rId20" w:history="1">
        <w:r w:rsidRPr="002A7E1D">
          <w:rPr>
            <w:rStyle w:val="Hyperlink"/>
            <w:rFonts w:eastAsia="Times New Roman" w:cs="Times New Roman"/>
            <w:bCs/>
            <w:sz w:val="20"/>
            <w:szCs w:val="20"/>
            <w:highlight w:val="yellow"/>
            <w:lang w:val="en-US"/>
          </w:rPr>
          <w:t>https://doi.org/10.1016/j.landusepol.2019.01.015</w:t>
        </w:r>
      </w:hyperlink>
    </w:p>
    <w:p w14:paraId="6D13D4FD" w14:textId="77777777" w:rsidR="00BB68C0" w:rsidRPr="00BB68C0" w:rsidRDefault="00BB68C0" w:rsidP="006F1AF8">
      <w:pPr>
        <w:spacing w:after="172" w:line="480" w:lineRule="auto"/>
        <w:ind w:left="724" w:right="497" w:hanging="720"/>
        <w:rPr>
          <w:rFonts w:cs="Times New Roman"/>
          <w:sz w:val="20"/>
          <w:szCs w:val="20"/>
        </w:rPr>
      </w:pPr>
      <w:r w:rsidRPr="002A7E1D">
        <w:rPr>
          <w:rFonts w:eastAsia="Times New Roman" w:cs="Times New Roman"/>
          <w:bCs/>
          <w:sz w:val="20"/>
          <w:szCs w:val="20"/>
          <w:highlight w:val="yellow"/>
          <w:lang w:val="en-US"/>
        </w:rPr>
        <w:t xml:space="preserve">Alden Wily, L. (2011). </w:t>
      </w:r>
      <w:r w:rsidRPr="002A7E1D">
        <w:rPr>
          <w:rFonts w:eastAsia="Times New Roman" w:cs="Times New Roman"/>
          <w:bCs/>
          <w:i/>
          <w:iCs/>
          <w:sz w:val="20"/>
          <w:szCs w:val="20"/>
          <w:highlight w:val="yellow"/>
          <w:lang w:val="en-US"/>
        </w:rPr>
        <w:t>The Law is to Blame: The Vulnerable Status of Common Property Rights in Sub-Saharan Africa</w:t>
      </w:r>
      <w:r w:rsidRPr="002A7E1D">
        <w:rPr>
          <w:rFonts w:eastAsia="Times New Roman" w:cs="Times New Roman"/>
          <w:bCs/>
          <w:sz w:val="20"/>
          <w:szCs w:val="20"/>
          <w:highlight w:val="yellow"/>
          <w:lang w:val="en-US"/>
        </w:rPr>
        <w:t xml:space="preserve">. Development and Change, 42(3), 733–757. </w:t>
      </w:r>
      <w:hyperlink r:id="rId21" w:history="1">
        <w:r w:rsidRPr="002A7E1D">
          <w:rPr>
            <w:rStyle w:val="Hyperlink"/>
            <w:rFonts w:eastAsia="Times New Roman" w:cs="Times New Roman"/>
            <w:bCs/>
            <w:sz w:val="20"/>
            <w:szCs w:val="20"/>
            <w:highlight w:val="yellow"/>
          </w:rPr>
          <w:t>https://scholar.google.com/scholar?hl=en&amp;as_sdt=0%2C5&amp;q=%22Alden+Wily%2C+L.+%282011%29.+The+Law+is+to+Blame%3A+The+Vulnerable+Status+of+Common+Property+Rights+</w:t>
        </w:r>
        <w:r w:rsidRPr="002A7E1D">
          <w:rPr>
            <w:rStyle w:val="Hyperlink"/>
            <w:rFonts w:eastAsia="Times New Roman" w:cs="Times New Roman"/>
            <w:bCs/>
            <w:sz w:val="20"/>
            <w:szCs w:val="20"/>
            <w:highlight w:val="yellow"/>
          </w:rPr>
          <w:lastRenderedPageBreak/>
          <w:t>in+Sub-Saharan+Africa.+Development+and+Change%2C+42%283%29%2C+733%E2%80%93757.%22&amp;btnG</w:t>
        </w:r>
      </w:hyperlink>
    </w:p>
    <w:p w14:paraId="2CDEF143" w14:textId="77777777" w:rsidR="00BB68C0" w:rsidRPr="00BB68C0" w:rsidRDefault="00BB68C0" w:rsidP="006B30C7">
      <w:pPr>
        <w:spacing w:after="172" w:line="480" w:lineRule="auto"/>
        <w:ind w:left="724" w:right="497" w:hanging="720"/>
        <w:rPr>
          <w:rFonts w:eastAsia="Times New Roman" w:cs="Times New Roman"/>
          <w:sz w:val="20"/>
          <w:szCs w:val="20"/>
        </w:rPr>
      </w:pPr>
      <w:proofErr w:type="spellStart"/>
      <w:r w:rsidRPr="00435048">
        <w:rPr>
          <w:rFonts w:eastAsia="Times New Roman" w:cs="Times New Roman"/>
          <w:sz w:val="20"/>
          <w:szCs w:val="20"/>
          <w:highlight w:val="green"/>
        </w:rPr>
        <w:t>Appau</w:t>
      </w:r>
      <w:proofErr w:type="spellEnd"/>
      <w:r w:rsidRPr="00435048">
        <w:rPr>
          <w:rFonts w:eastAsia="Times New Roman" w:cs="Times New Roman"/>
          <w:sz w:val="20"/>
          <w:szCs w:val="20"/>
          <w:highlight w:val="green"/>
        </w:rPr>
        <w:t xml:space="preserve">, M. W., </w:t>
      </w:r>
      <w:proofErr w:type="spellStart"/>
      <w:r w:rsidRPr="00435048">
        <w:rPr>
          <w:rFonts w:eastAsia="Times New Roman" w:cs="Times New Roman"/>
          <w:sz w:val="20"/>
          <w:szCs w:val="20"/>
          <w:highlight w:val="green"/>
        </w:rPr>
        <w:t>Aziabah</w:t>
      </w:r>
      <w:proofErr w:type="spellEnd"/>
      <w:r w:rsidRPr="00435048">
        <w:rPr>
          <w:rFonts w:eastAsia="Times New Roman" w:cs="Times New Roman"/>
          <w:sz w:val="20"/>
          <w:szCs w:val="20"/>
          <w:highlight w:val="green"/>
        </w:rPr>
        <w:t xml:space="preserve">, S., &amp; </w:t>
      </w:r>
      <w:proofErr w:type="spellStart"/>
      <w:r w:rsidRPr="00435048">
        <w:rPr>
          <w:rFonts w:eastAsia="Times New Roman" w:cs="Times New Roman"/>
          <w:sz w:val="20"/>
          <w:szCs w:val="20"/>
          <w:highlight w:val="green"/>
        </w:rPr>
        <w:t>Avogo</w:t>
      </w:r>
      <w:proofErr w:type="spellEnd"/>
      <w:r w:rsidRPr="00435048">
        <w:rPr>
          <w:rFonts w:eastAsia="Times New Roman" w:cs="Times New Roman"/>
          <w:sz w:val="20"/>
          <w:szCs w:val="20"/>
          <w:highlight w:val="green"/>
        </w:rPr>
        <w:t xml:space="preserve">, F. A. (2021). </w:t>
      </w:r>
      <w:r w:rsidRPr="00435048">
        <w:rPr>
          <w:rFonts w:eastAsia="Times New Roman" w:cs="Times New Roman"/>
          <w:i/>
          <w:iCs/>
          <w:sz w:val="20"/>
          <w:szCs w:val="20"/>
          <w:highlight w:val="green"/>
        </w:rPr>
        <w:t>User and systems requirement framework for electronic land registration systems decentralisation in Ghana</w:t>
      </w:r>
      <w:r w:rsidRPr="00435048">
        <w:rPr>
          <w:rFonts w:eastAsia="Times New Roman" w:cs="Times New Roman"/>
          <w:sz w:val="20"/>
          <w:szCs w:val="20"/>
          <w:highlight w:val="green"/>
        </w:rPr>
        <w:t xml:space="preserve">. </w:t>
      </w:r>
      <w:r w:rsidRPr="00435048">
        <w:rPr>
          <w:rFonts w:eastAsia="Times New Roman" w:cs="Times New Roman"/>
          <w:i/>
          <w:iCs/>
          <w:sz w:val="20"/>
          <w:szCs w:val="20"/>
          <w:highlight w:val="green"/>
        </w:rPr>
        <w:t>Journal of Electronic &amp; Information Systems, 3</w:t>
      </w:r>
      <w:r w:rsidRPr="00435048">
        <w:rPr>
          <w:rFonts w:eastAsia="Times New Roman" w:cs="Times New Roman"/>
          <w:sz w:val="20"/>
          <w:szCs w:val="20"/>
          <w:highlight w:val="green"/>
        </w:rPr>
        <w:t xml:space="preserve">(2). </w:t>
      </w:r>
      <w:hyperlink r:id="rId22" w:history="1">
        <w:r w:rsidRPr="00435048">
          <w:rPr>
            <w:rStyle w:val="Hyperlink"/>
            <w:rFonts w:eastAsia="Times New Roman" w:cs="Times New Roman"/>
            <w:sz w:val="20"/>
            <w:szCs w:val="20"/>
            <w:highlight w:val="green"/>
          </w:rPr>
          <w:t>https://doi.org/10.30564/jeisr.v3i2.3692</w:t>
        </w:r>
      </w:hyperlink>
    </w:p>
    <w:p w14:paraId="7FDA5AD9" w14:textId="77777777" w:rsidR="00BB68C0" w:rsidRPr="00BB68C0" w:rsidRDefault="00BB68C0" w:rsidP="006B30C7">
      <w:pPr>
        <w:spacing w:after="172" w:line="480" w:lineRule="auto"/>
        <w:ind w:left="724" w:right="497" w:hanging="720"/>
        <w:rPr>
          <w:rFonts w:cs="Times New Roman"/>
          <w:sz w:val="20"/>
          <w:szCs w:val="20"/>
        </w:rPr>
      </w:pPr>
      <w:r w:rsidRPr="002A7E1D">
        <w:rPr>
          <w:rFonts w:eastAsia="Times New Roman" w:cs="Times New Roman"/>
          <w:bCs/>
          <w:sz w:val="20"/>
          <w:szCs w:val="20"/>
          <w:highlight w:val="yellow"/>
          <w:lang w:val="en-US"/>
        </w:rPr>
        <w:t xml:space="preserve">Arko-Adjei, A., Ameyaw, S., &amp; </w:t>
      </w:r>
      <w:proofErr w:type="spellStart"/>
      <w:r w:rsidRPr="002A7E1D">
        <w:rPr>
          <w:rFonts w:eastAsia="Times New Roman" w:cs="Times New Roman"/>
          <w:bCs/>
          <w:sz w:val="20"/>
          <w:szCs w:val="20"/>
          <w:highlight w:val="yellow"/>
          <w:lang w:val="en-US"/>
        </w:rPr>
        <w:t>Akudibillah</w:t>
      </w:r>
      <w:proofErr w:type="spellEnd"/>
      <w:r w:rsidRPr="002A7E1D">
        <w:rPr>
          <w:rFonts w:eastAsia="Times New Roman" w:cs="Times New Roman"/>
          <w:bCs/>
          <w:sz w:val="20"/>
          <w:szCs w:val="20"/>
          <w:highlight w:val="yellow"/>
          <w:lang w:val="en-US"/>
        </w:rPr>
        <w:t xml:space="preserve">, S. (2009). Customary land tenure dynamics at peri-urban Ghana: Implications for land administration system modeling. </w:t>
      </w:r>
      <w:r w:rsidRPr="002A7E1D">
        <w:rPr>
          <w:rFonts w:eastAsia="Times New Roman" w:cs="Times New Roman"/>
          <w:bCs/>
          <w:i/>
          <w:iCs/>
          <w:sz w:val="20"/>
          <w:szCs w:val="20"/>
          <w:highlight w:val="yellow"/>
          <w:lang w:val="en-US"/>
        </w:rPr>
        <w:t>Land Use Policy, 26</w:t>
      </w:r>
      <w:r w:rsidRPr="002A7E1D">
        <w:rPr>
          <w:rFonts w:eastAsia="Times New Roman" w:cs="Times New Roman"/>
          <w:bCs/>
          <w:sz w:val="20"/>
          <w:szCs w:val="20"/>
          <w:highlight w:val="yellow"/>
          <w:lang w:val="en-US"/>
        </w:rPr>
        <w:t xml:space="preserve">(Supplement 1), S99–S105. </w:t>
      </w:r>
      <w:hyperlink r:id="rId23" w:history="1">
        <w:r w:rsidRPr="002A7E1D">
          <w:rPr>
            <w:rStyle w:val="Hyperlink"/>
            <w:kern w:val="0"/>
            <w:sz w:val="20"/>
            <w:szCs w:val="20"/>
            <w:highlight w:val="yellow"/>
            <w14:ligatures w14:val="none"/>
          </w:rPr>
          <w:t>https://scholar.google.com/scholar?hl=en&amp;as_sdt=0%2C5&amp;q=%22Arko-Adjei%2C+A.%2C+Ameyaw%2C+S.%2C+%26+Akudibillah%2C+S.+%282009%29.+Customary+land+tenure+dynamics+at+peri-urban+Ghana%3A+Implications+for+land+administration+system+modeling.+Land+Use+Policy%2C+26%28Supplement+1%29%2C+S99%E2%80%93S105.%22&amp;btnG</w:t>
        </w:r>
      </w:hyperlink>
      <w:r w:rsidRPr="00BB68C0">
        <w:rPr>
          <w:kern w:val="0"/>
          <w:sz w:val="20"/>
          <w:szCs w:val="20"/>
          <w14:ligatures w14:val="none"/>
        </w:rPr>
        <w:t xml:space="preserve"> </w:t>
      </w:r>
    </w:p>
    <w:p w14:paraId="76DC29EB" w14:textId="77777777" w:rsidR="00BB68C0" w:rsidRPr="00BB68C0" w:rsidRDefault="00BB68C0" w:rsidP="006F1AF8">
      <w:pPr>
        <w:spacing w:after="172" w:line="480" w:lineRule="auto"/>
        <w:ind w:left="724" w:right="497" w:hanging="720"/>
        <w:rPr>
          <w:rFonts w:cs="Times New Roman"/>
          <w:sz w:val="20"/>
          <w:szCs w:val="20"/>
        </w:rPr>
      </w:pPr>
      <w:r w:rsidRPr="002A7E1D">
        <w:rPr>
          <w:rFonts w:eastAsia="Times New Roman" w:cs="Times New Roman"/>
          <w:sz w:val="20"/>
          <w:szCs w:val="20"/>
          <w:highlight w:val="yellow"/>
          <w:lang w:val="en-US"/>
        </w:rPr>
        <w:t xml:space="preserve">Armah, B. A. (2014). Impacts of socio-political organizational structures underpinning indigenous land tenure: Evidence from Ghana. </w:t>
      </w:r>
      <w:r w:rsidRPr="002A7E1D">
        <w:rPr>
          <w:rFonts w:eastAsia="Times New Roman" w:cs="Times New Roman"/>
          <w:i/>
          <w:iCs/>
          <w:sz w:val="20"/>
          <w:szCs w:val="20"/>
          <w:highlight w:val="yellow"/>
          <w:lang w:val="en-US"/>
        </w:rPr>
        <w:t>Journal of Land Use Policy, 40</w:t>
      </w:r>
      <w:r w:rsidRPr="002A7E1D">
        <w:rPr>
          <w:rFonts w:eastAsia="Times New Roman" w:cs="Times New Roman"/>
          <w:sz w:val="20"/>
          <w:szCs w:val="20"/>
          <w:highlight w:val="yellow"/>
          <w:lang w:val="en-US"/>
        </w:rPr>
        <w:t xml:space="preserve">, 1–12. </w:t>
      </w:r>
      <w:hyperlink r:id="rId24" w:history="1">
        <w:r w:rsidRPr="002A7E1D">
          <w:rPr>
            <w:rStyle w:val="Hyperlink"/>
            <w:rFonts w:eastAsia="Times New Roman" w:cs="Times New Roman"/>
            <w:sz w:val="20"/>
            <w:szCs w:val="20"/>
            <w:highlight w:val="yellow"/>
          </w:rPr>
          <w:t>https://scholar.google.com/scholar?hl=en&amp;as_sdt=0%2C5&amp;q=%22Armah%2C+B.+A.+%282014%29.+Impacts+of+socio-political+organizational+structures+underpinning+indigenous+land+tenure%3A+Evidence+from+Ghana.+Journal+of+Land+Use+Policy%2C+40%2C+1%E2%80%9312%22&amp;btnG</w:t>
        </w:r>
      </w:hyperlink>
      <w:r w:rsidRPr="00BB68C0">
        <w:rPr>
          <w:rFonts w:eastAsia="Times New Roman" w:cs="Times New Roman"/>
          <w:sz w:val="20"/>
          <w:szCs w:val="20"/>
        </w:rPr>
        <w:t xml:space="preserve"> </w:t>
      </w:r>
    </w:p>
    <w:p w14:paraId="77411C92" w14:textId="77777777" w:rsidR="00BB68C0" w:rsidRPr="00BB68C0" w:rsidRDefault="00BB68C0" w:rsidP="006F1AF8">
      <w:pPr>
        <w:spacing w:after="172" w:line="480" w:lineRule="auto"/>
        <w:ind w:left="724" w:right="497" w:hanging="720"/>
        <w:rPr>
          <w:rFonts w:eastAsia="Times New Roman" w:cs="Times New Roman"/>
          <w:bCs/>
          <w:sz w:val="20"/>
          <w:szCs w:val="20"/>
          <w:lang w:val="en-US"/>
        </w:rPr>
      </w:pPr>
      <w:proofErr w:type="spellStart"/>
      <w:r w:rsidRPr="00B076D1">
        <w:rPr>
          <w:rFonts w:eastAsia="Times New Roman" w:cs="Times New Roman"/>
          <w:bCs/>
          <w:sz w:val="20"/>
          <w:szCs w:val="20"/>
          <w:highlight w:val="green"/>
        </w:rPr>
        <w:t>Asaaga</w:t>
      </w:r>
      <w:proofErr w:type="spellEnd"/>
      <w:r w:rsidRPr="00B076D1">
        <w:rPr>
          <w:rFonts w:eastAsia="Times New Roman" w:cs="Times New Roman"/>
          <w:bCs/>
          <w:sz w:val="20"/>
          <w:szCs w:val="20"/>
          <w:highlight w:val="green"/>
        </w:rPr>
        <w:t xml:space="preserve">, F. A. (2021). </w:t>
      </w:r>
      <w:r w:rsidRPr="00B076D1">
        <w:rPr>
          <w:rFonts w:eastAsia="Times New Roman" w:cs="Times New Roman"/>
          <w:bCs/>
          <w:i/>
          <w:iCs/>
          <w:sz w:val="20"/>
          <w:szCs w:val="20"/>
          <w:highlight w:val="green"/>
        </w:rPr>
        <w:t>Building on “Traditional” Land Dispute Resolution Mechanisms in Rural Ghana: Adaptive or Anachronistic?</w:t>
      </w:r>
      <w:r w:rsidRPr="00B076D1">
        <w:rPr>
          <w:rFonts w:eastAsia="Times New Roman" w:cs="Times New Roman"/>
          <w:bCs/>
          <w:sz w:val="20"/>
          <w:szCs w:val="20"/>
          <w:highlight w:val="green"/>
        </w:rPr>
        <w:t xml:space="preserve"> </w:t>
      </w:r>
      <w:r w:rsidRPr="00B076D1">
        <w:rPr>
          <w:rFonts w:eastAsia="Times New Roman" w:cs="Times New Roman"/>
          <w:bCs/>
          <w:i/>
          <w:iCs/>
          <w:sz w:val="20"/>
          <w:szCs w:val="20"/>
          <w:highlight w:val="green"/>
        </w:rPr>
        <w:t>Land, 10</w:t>
      </w:r>
      <w:r w:rsidRPr="00B076D1">
        <w:rPr>
          <w:rFonts w:eastAsia="Times New Roman" w:cs="Times New Roman"/>
          <w:bCs/>
          <w:sz w:val="20"/>
          <w:szCs w:val="20"/>
          <w:highlight w:val="green"/>
        </w:rPr>
        <w:t xml:space="preserve">(2), 143. </w:t>
      </w:r>
      <w:hyperlink r:id="rId25" w:history="1">
        <w:r w:rsidRPr="00B076D1">
          <w:rPr>
            <w:rStyle w:val="Hyperlink"/>
            <w:rFonts w:eastAsia="Times New Roman" w:cs="Times New Roman"/>
            <w:bCs/>
            <w:sz w:val="20"/>
            <w:szCs w:val="20"/>
            <w:highlight w:val="green"/>
          </w:rPr>
          <w:t>https://doi.org/10.3390/land10020143</w:t>
        </w:r>
      </w:hyperlink>
    </w:p>
    <w:p w14:paraId="17F20527" w14:textId="77777777" w:rsidR="00BB68C0" w:rsidRPr="00BB68C0" w:rsidRDefault="00BB68C0" w:rsidP="006F1AF8">
      <w:pPr>
        <w:spacing w:after="172" w:line="480" w:lineRule="auto"/>
        <w:ind w:left="724" w:right="497" w:hanging="720"/>
        <w:rPr>
          <w:rFonts w:eastAsia="Times New Roman" w:cs="Times New Roman"/>
          <w:bCs/>
          <w:sz w:val="20"/>
          <w:szCs w:val="20"/>
        </w:rPr>
      </w:pPr>
      <w:r w:rsidRPr="00B076D1">
        <w:rPr>
          <w:rFonts w:eastAsia="Times New Roman" w:cs="Times New Roman"/>
          <w:bCs/>
          <w:sz w:val="20"/>
          <w:szCs w:val="20"/>
          <w:highlight w:val="green"/>
        </w:rPr>
        <w:t xml:space="preserve">Berry, S. (2001). </w:t>
      </w:r>
      <w:r w:rsidRPr="00B076D1">
        <w:rPr>
          <w:rFonts w:eastAsia="Times New Roman" w:cs="Times New Roman"/>
          <w:bCs/>
          <w:i/>
          <w:iCs/>
          <w:sz w:val="20"/>
          <w:szCs w:val="20"/>
          <w:highlight w:val="green"/>
        </w:rPr>
        <w:t>Chiefs know their boundaries: Essays on property, power, and the past in Asante, 1896-1996</w:t>
      </w:r>
      <w:r w:rsidRPr="00B076D1">
        <w:rPr>
          <w:rFonts w:eastAsia="Times New Roman" w:cs="Times New Roman"/>
          <w:bCs/>
          <w:sz w:val="20"/>
          <w:szCs w:val="20"/>
          <w:highlight w:val="green"/>
        </w:rPr>
        <w:t xml:space="preserve">. ABC-CLIO. Berry, S. (2001). </w:t>
      </w:r>
      <w:r w:rsidRPr="00B076D1">
        <w:rPr>
          <w:rFonts w:eastAsia="Times New Roman" w:cs="Times New Roman"/>
          <w:bCs/>
          <w:i/>
          <w:iCs/>
          <w:sz w:val="20"/>
          <w:szCs w:val="20"/>
          <w:highlight w:val="green"/>
        </w:rPr>
        <w:t>Chiefs know their boundaries: Essays on property, power, and the past in Asante, 1896-1996</w:t>
      </w:r>
      <w:r w:rsidRPr="00B076D1">
        <w:rPr>
          <w:rFonts w:eastAsia="Times New Roman" w:cs="Times New Roman"/>
          <w:bCs/>
          <w:sz w:val="20"/>
          <w:szCs w:val="20"/>
          <w:highlight w:val="green"/>
        </w:rPr>
        <w:t>. ABC-CLIO</w:t>
      </w:r>
    </w:p>
    <w:p w14:paraId="4CADBC55" w14:textId="77777777" w:rsidR="000C1523" w:rsidRDefault="000C1523" w:rsidP="000C1523">
      <w:pPr>
        <w:spacing w:after="172" w:line="480" w:lineRule="auto"/>
        <w:ind w:left="724" w:right="497" w:hanging="720"/>
      </w:pPr>
      <w:proofErr w:type="spellStart"/>
      <w:r w:rsidRPr="00E77423">
        <w:rPr>
          <w:rFonts w:eastAsia="Times New Roman" w:cs="Times New Roman"/>
          <w:sz w:val="20"/>
          <w:szCs w:val="20"/>
          <w:highlight w:val="green"/>
          <w:lang w:val="en-US"/>
        </w:rPr>
        <w:t>Bugri</w:t>
      </w:r>
      <w:proofErr w:type="spellEnd"/>
      <w:r w:rsidRPr="00E77423">
        <w:rPr>
          <w:rFonts w:eastAsia="Times New Roman" w:cs="Times New Roman"/>
          <w:sz w:val="20"/>
          <w:szCs w:val="20"/>
          <w:highlight w:val="green"/>
          <w:lang w:val="en-US"/>
        </w:rPr>
        <w:t>, J.T. (2012).</w:t>
      </w:r>
      <w:r w:rsidRPr="00E77423">
        <w:rPr>
          <w:rFonts w:eastAsia="Times New Roman" w:cs="Times New Roman"/>
          <w:bCs/>
          <w:sz w:val="20"/>
          <w:szCs w:val="20"/>
          <w:highlight w:val="green"/>
          <w:lang w:val="en-US"/>
        </w:rPr>
        <w:t xml:space="preserve"> </w:t>
      </w:r>
      <w:r w:rsidRPr="00E77423">
        <w:rPr>
          <w:rFonts w:eastAsia="Times New Roman" w:cs="Times New Roman"/>
          <w:bCs/>
          <w:i/>
          <w:iCs/>
          <w:sz w:val="20"/>
          <w:szCs w:val="20"/>
          <w:highlight w:val="green"/>
          <w:lang w:val="en-US"/>
        </w:rPr>
        <w:t>Improving Land Sector Governance in Ghana: Implementation of the Land Governance Assessment Framework (LGAF) – Final Report</w:t>
      </w:r>
      <w:r w:rsidRPr="00E77423">
        <w:rPr>
          <w:rFonts w:eastAsia="Times New Roman" w:cs="Times New Roman"/>
          <w:bCs/>
          <w:sz w:val="20"/>
          <w:szCs w:val="20"/>
          <w:highlight w:val="green"/>
          <w:lang w:val="en-US"/>
        </w:rPr>
        <w:t>. World Bank.</w:t>
      </w:r>
      <w:r w:rsidRPr="00E77423">
        <w:rPr>
          <w:rFonts w:eastAsia="Times New Roman" w:cs="Times New Roman"/>
          <w:bCs/>
          <w:sz w:val="20"/>
          <w:szCs w:val="20"/>
          <w:highlight w:val="green"/>
          <w:lang w:val="en-US"/>
        </w:rPr>
        <w:br/>
      </w:r>
      <w:hyperlink r:id="rId26" w:history="1">
        <w:r w:rsidRPr="00E77423">
          <w:rPr>
            <w:rStyle w:val="Hyperlink"/>
            <w:rFonts w:ascii="Segoe UI Emoji" w:eastAsia="Times New Roman" w:hAnsi="Segoe UI Emoji" w:cs="Segoe UI Emoji"/>
            <w:bCs/>
            <w:sz w:val="20"/>
            <w:szCs w:val="20"/>
            <w:highlight w:val="green"/>
          </w:rPr>
          <w:t>Improving land sector governance in Ghana : implementation of the Land Governance Assessment Framework (LGAF) - final report</w:t>
        </w:r>
      </w:hyperlink>
    </w:p>
    <w:p w14:paraId="3ABC633D" w14:textId="77777777" w:rsidR="00BB68C0" w:rsidRPr="00BB68C0" w:rsidRDefault="00BB68C0" w:rsidP="006F1AF8">
      <w:pPr>
        <w:spacing w:after="172" w:line="480" w:lineRule="auto"/>
        <w:ind w:left="724" w:right="497" w:hanging="720"/>
        <w:rPr>
          <w:rFonts w:eastAsia="Times New Roman" w:cs="Times New Roman"/>
          <w:bCs/>
          <w:sz w:val="20"/>
          <w:szCs w:val="20"/>
        </w:rPr>
      </w:pPr>
      <w:proofErr w:type="spellStart"/>
      <w:r w:rsidRPr="00723E24">
        <w:rPr>
          <w:rFonts w:eastAsia="Times New Roman" w:cs="Times New Roman"/>
          <w:bCs/>
          <w:sz w:val="20"/>
          <w:szCs w:val="20"/>
          <w:highlight w:val="green"/>
        </w:rPr>
        <w:lastRenderedPageBreak/>
        <w:t>Chimhowu</w:t>
      </w:r>
      <w:proofErr w:type="spellEnd"/>
      <w:r w:rsidRPr="00723E24">
        <w:rPr>
          <w:rFonts w:eastAsia="Times New Roman" w:cs="Times New Roman"/>
          <w:bCs/>
          <w:sz w:val="20"/>
          <w:szCs w:val="20"/>
          <w:highlight w:val="green"/>
        </w:rPr>
        <w:t xml:space="preserve">, A. (2019). </w:t>
      </w:r>
      <w:r w:rsidRPr="00723E24">
        <w:rPr>
          <w:rFonts w:eastAsia="Times New Roman" w:cs="Times New Roman"/>
          <w:bCs/>
          <w:i/>
          <w:iCs/>
          <w:sz w:val="20"/>
          <w:szCs w:val="20"/>
          <w:highlight w:val="green"/>
        </w:rPr>
        <w:t>The 'new' African customary land tenure: Characteristics, features, and policy implications of a new paradigm</w:t>
      </w:r>
      <w:r w:rsidRPr="00723E24">
        <w:rPr>
          <w:rFonts w:eastAsia="Times New Roman" w:cs="Times New Roman"/>
          <w:bCs/>
          <w:sz w:val="20"/>
          <w:szCs w:val="20"/>
          <w:highlight w:val="green"/>
        </w:rPr>
        <w:t xml:space="preserve">. </w:t>
      </w:r>
      <w:r w:rsidRPr="00723E24">
        <w:rPr>
          <w:rFonts w:eastAsia="Times New Roman" w:cs="Times New Roman"/>
          <w:bCs/>
          <w:i/>
          <w:iCs/>
          <w:sz w:val="20"/>
          <w:szCs w:val="20"/>
          <w:highlight w:val="green"/>
        </w:rPr>
        <w:t>Land Use Policy, 81</w:t>
      </w:r>
      <w:r w:rsidRPr="00723E24">
        <w:rPr>
          <w:rFonts w:eastAsia="Times New Roman" w:cs="Times New Roman"/>
          <w:bCs/>
          <w:sz w:val="20"/>
          <w:szCs w:val="20"/>
          <w:highlight w:val="green"/>
        </w:rPr>
        <w:t>, 897–903. DOI:</w:t>
      </w:r>
      <w:hyperlink r:id="rId27" w:tgtFrame="_blank" w:history="1">
        <w:r w:rsidRPr="00723E24">
          <w:rPr>
            <w:rStyle w:val="Hyperlink"/>
            <w:rFonts w:eastAsia="Times New Roman" w:cs="Times New Roman"/>
            <w:bCs/>
            <w:sz w:val="20"/>
            <w:szCs w:val="20"/>
            <w:highlight w:val="green"/>
          </w:rPr>
          <w:t>10.1016/j.landusepol.2018.04.014</w:t>
        </w:r>
      </w:hyperlink>
    </w:p>
    <w:p w14:paraId="6837EC3B" w14:textId="77777777" w:rsidR="00BB68C0" w:rsidRPr="00BB68C0" w:rsidRDefault="00BB68C0" w:rsidP="006F1AF8">
      <w:pPr>
        <w:spacing w:after="172" w:line="480" w:lineRule="auto"/>
        <w:ind w:left="724" w:right="497" w:hanging="720"/>
        <w:rPr>
          <w:rFonts w:cs="Times New Roman"/>
          <w:sz w:val="20"/>
          <w:szCs w:val="20"/>
        </w:rPr>
      </w:pPr>
      <w:proofErr w:type="spellStart"/>
      <w:r w:rsidRPr="002A7E1D">
        <w:rPr>
          <w:rFonts w:eastAsia="Times New Roman" w:cs="Times New Roman"/>
          <w:bCs/>
          <w:sz w:val="20"/>
          <w:szCs w:val="20"/>
          <w:highlight w:val="yellow"/>
          <w:lang w:val="en-US"/>
        </w:rPr>
        <w:t>Cotula</w:t>
      </w:r>
      <w:proofErr w:type="spellEnd"/>
      <w:r w:rsidRPr="002A7E1D">
        <w:rPr>
          <w:rFonts w:eastAsia="Times New Roman" w:cs="Times New Roman"/>
          <w:bCs/>
          <w:sz w:val="20"/>
          <w:szCs w:val="20"/>
          <w:highlight w:val="yellow"/>
          <w:lang w:val="en-US"/>
        </w:rPr>
        <w:t xml:space="preserve">, L., Toulmin, C., &amp; Hesse, C. (2004). </w:t>
      </w:r>
      <w:r w:rsidRPr="002A7E1D">
        <w:rPr>
          <w:rFonts w:eastAsia="Times New Roman" w:cs="Times New Roman"/>
          <w:bCs/>
          <w:i/>
          <w:iCs/>
          <w:sz w:val="20"/>
          <w:szCs w:val="20"/>
          <w:highlight w:val="yellow"/>
          <w:lang w:val="en-US"/>
        </w:rPr>
        <w:t>Land Tenure and Administration in Africa: Lessons of Experience and Emerging Issues</w:t>
      </w:r>
      <w:r w:rsidRPr="002A7E1D">
        <w:rPr>
          <w:rFonts w:eastAsia="Times New Roman" w:cs="Times New Roman"/>
          <w:bCs/>
          <w:sz w:val="20"/>
          <w:szCs w:val="20"/>
          <w:highlight w:val="yellow"/>
          <w:lang w:val="en-US"/>
        </w:rPr>
        <w:t xml:space="preserve">. International Institute for Environment and Development (IIED), London. </w:t>
      </w:r>
      <w:hyperlink r:id="rId28" w:history="1">
        <w:r w:rsidRPr="002A7E1D">
          <w:rPr>
            <w:rStyle w:val="Hyperlink"/>
            <w:rFonts w:eastAsia="Times New Roman" w:cs="Times New Roman"/>
            <w:bCs/>
            <w:sz w:val="20"/>
            <w:szCs w:val="20"/>
            <w:highlight w:val="yellow"/>
          </w:rPr>
          <w:t>9305IIED.pdf</w:t>
        </w:r>
      </w:hyperlink>
    </w:p>
    <w:p w14:paraId="446E81CE" w14:textId="77777777" w:rsidR="00BB68C0" w:rsidRPr="00BB68C0" w:rsidRDefault="00BB68C0" w:rsidP="006F1AF8">
      <w:pPr>
        <w:spacing w:after="172" w:line="480" w:lineRule="auto"/>
        <w:ind w:left="724" w:right="497" w:hanging="720"/>
        <w:rPr>
          <w:rFonts w:cs="Times New Roman"/>
          <w:sz w:val="20"/>
          <w:szCs w:val="20"/>
        </w:rPr>
      </w:pPr>
      <w:r w:rsidRPr="002A7E1D">
        <w:rPr>
          <w:rFonts w:eastAsia="Times New Roman" w:cs="Times New Roman"/>
          <w:bCs/>
          <w:sz w:val="20"/>
          <w:szCs w:val="20"/>
          <w:highlight w:val="yellow"/>
          <w:lang w:val="en-US"/>
        </w:rPr>
        <w:t xml:space="preserve">Deininger, K., </w:t>
      </w:r>
      <w:proofErr w:type="spellStart"/>
      <w:r w:rsidRPr="002A7E1D">
        <w:rPr>
          <w:rFonts w:eastAsia="Times New Roman" w:cs="Times New Roman"/>
          <w:bCs/>
          <w:sz w:val="20"/>
          <w:szCs w:val="20"/>
          <w:highlight w:val="yellow"/>
          <w:lang w:val="en-US"/>
        </w:rPr>
        <w:t>Selod</w:t>
      </w:r>
      <w:proofErr w:type="spellEnd"/>
      <w:r w:rsidRPr="002A7E1D">
        <w:rPr>
          <w:rFonts w:eastAsia="Times New Roman" w:cs="Times New Roman"/>
          <w:bCs/>
          <w:sz w:val="20"/>
          <w:szCs w:val="20"/>
          <w:highlight w:val="yellow"/>
          <w:lang w:val="en-US"/>
        </w:rPr>
        <w:t xml:space="preserve">, H., &amp; Burns, A. (2012). </w:t>
      </w:r>
      <w:r w:rsidRPr="002A7E1D">
        <w:rPr>
          <w:rFonts w:eastAsia="Times New Roman" w:cs="Times New Roman"/>
          <w:bCs/>
          <w:i/>
          <w:iCs/>
          <w:sz w:val="20"/>
          <w:szCs w:val="20"/>
          <w:highlight w:val="yellow"/>
          <w:lang w:val="en-US"/>
        </w:rPr>
        <w:t>The Land Governance Assessment Framework: Identifying and Monitoring Good Practice in the Land Sector</w:t>
      </w:r>
      <w:r w:rsidRPr="002A7E1D">
        <w:rPr>
          <w:rFonts w:eastAsia="Times New Roman" w:cs="Times New Roman"/>
          <w:bCs/>
          <w:sz w:val="20"/>
          <w:szCs w:val="20"/>
          <w:highlight w:val="yellow"/>
          <w:lang w:val="en-US"/>
        </w:rPr>
        <w:t xml:space="preserve">. World Bank Publications. </w:t>
      </w:r>
      <w:hyperlink r:id="rId29" w:history="1">
        <w:r w:rsidRPr="002A7E1D">
          <w:rPr>
            <w:rStyle w:val="Hyperlink"/>
            <w:rFonts w:eastAsia="Times New Roman" w:cs="Times New Roman"/>
            <w:bCs/>
            <w:sz w:val="20"/>
            <w:szCs w:val="20"/>
            <w:highlight w:val="yellow"/>
          </w:rPr>
          <w:t>https://scholar.google.com/scholar?hl=en&amp;as_sdt=0%2C5&amp;q=%22Deininger%2C+K.%2C+Selod%2C+H.%2C+%26+Burns%2C+A.+%282012%29.+The+Land+Governance+Assessment+Framework%3A+Identifying+and+Monitoring+Good+Practice+in+the+Land+Sector.+World+Bank+Publications.%22&amp;btnG</w:t>
        </w:r>
      </w:hyperlink>
    </w:p>
    <w:p w14:paraId="5E7684AA" w14:textId="77777777" w:rsidR="00BB68C0" w:rsidRPr="00BB68C0" w:rsidRDefault="00BB68C0" w:rsidP="00BB68C0">
      <w:pPr>
        <w:spacing w:after="172" w:line="480" w:lineRule="auto"/>
        <w:ind w:left="724" w:right="497" w:hanging="720"/>
        <w:rPr>
          <w:rFonts w:eastAsia="Times New Roman" w:cs="Times New Roman"/>
          <w:bCs/>
          <w:sz w:val="20"/>
          <w:szCs w:val="20"/>
          <w:lang w:val="en-US"/>
        </w:rPr>
      </w:pPr>
      <w:r w:rsidRPr="007D04D6">
        <w:rPr>
          <w:rFonts w:cs="Times New Roman"/>
          <w:sz w:val="20"/>
          <w:szCs w:val="20"/>
          <w:highlight w:val="green"/>
        </w:rPr>
        <w:t xml:space="preserve">Dinye, R. D., </w:t>
      </w:r>
      <w:proofErr w:type="spellStart"/>
      <w:r w:rsidRPr="007D04D6">
        <w:rPr>
          <w:rFonts w:cs="Times New Roman"/>
          <w:sz w:val="20"/>
          <w:szCs w:val="20"/>
          <w:highlight w:val="green"/>
        </w:rPr>
        <w:t>Ayimaa</w:t>
      </w:r>
      <w:proofErr w:type="spellEnd"/>
      <w:r w:rsidRPr="007D04D6">
        <w:rPr>
          <w:rFonts w:cs="Times New Roman"/>
          <w:sz w:val="20"/>
          <w:szCs w:val="20"/>
          <w:highlight w:val="green"/>
        </w:rPr>
        <w:t xml:space="preserve">, R., Sarpong, C. K., &amp; Boafo, H. K. (2025). Formalizing customary land rights in Ghana: A novel governance framework for Sub-Saharan Africa. International Journal of Multidisciplinary Research and Analysis, 8(5), 2423–2436. </w:t>
      </w:r>
      <w:hyperlink r:id="rId30" w:history="1">
        <w:r w:rsidRPr="007D04D6">
          <w:rPr>
            <w:rStyle w:val="Hyperlink"/>
            <w:rFonts w:cs="Times New Roman"/>
            <w:sz w:val="20"/>
            <w:szCs w:val="20"/>
            <w:highlight w:val="green"/>
          </w:rPr>
          <w:t>https://doi.org/10.47191/ijmra/v8-i05-18</w:t>
        </w:r>
      </w:hyperlink>
      <w:r w:rsidRPr="007D04D6">
        <w:rPr>
          <w:rFonts w:cs="Times New Roman"/>
          <w:sz w:val="20"/>
          <w:szCs w:val="20"/>
          <w:highlight w:val="green"/>
        </w:rPr>
        <w:t>.</w:t>
      </w:r>
    </w:p>
    <w:p w14:paraId="03CC5CE1" w14:textId="77777777" w:rsidR="00BB68C0" w:rsidRPr="00BB68C0" w:rsidRDefault="00BB68C0" w:rsidP="006F1AF8">
      <w:pPr>
        <w:spacing w:after="172" w:line="480" w:lineRule="auto"/>
        <w:ind w:left="724" w:right="497" w:hanging="720"/>
        <w:rPr>
          <w:rFonts w:eastAsia="Times New Roman" w:cs="Times New Roman"/>
          <w:sz w:val="20"/>
          <w:szCs w:val="20"/>
          <w:lang w:val="en-US"/>
        </w:rPr>
      </w:pPr>
      <w:proofErr w:type="spellStart"/>
      <w:r w:rsidRPr="002F575A">
        <w:rPr>
          <w:rFonts w:eastAsia="Times New Roman" w:cs="Times New Roman"/>
          <w:sz w:val="20"/>
          <w:szCs w:val="20"/>
          <w:highlight w:val="green"/>
        </w:rPr>
        <w:t>Gyamera</w:t>
      </w:r>
      <w:proofErr w:type="spellEnd"/>
      <w:r w:rsidRPr="002F575A">
        <w:rPr>
          <w:rFonts w:eastAsia="Times New Roman" w:cs="Times New Roman"/>
          <w:sz w:val="20"/>
          <w:szCs w:val="20"/>
          <w:highlight w:val="green"/>
        </w:rPr>
        <w:t xml:space="preserve">, E. A., Duncan, E. E. A., Kuma, J. S. Y., &amp; Arko-Adjei, A. (2016). </w:t>
      </w:r>
      <w:r w:rsidRPr="002F575A">
        <w:rPr>
          <w:rFonts w:eastAsia="Times New Roman" w:cs="Times New Roman"/>
          <w:i/>
          <w:iCs/>
          <w:sz w:val="20"/>
          <w:szCs w:val="20"/>
          <w:highlight w:val="green"/>
        </w:rPr>
        <w:t>Land conflicts in Ghana: Causes, effects, and resolution</w:t>
      </w:r>
      <w:r w:rsidRPr="002F575A">
        <w:rPr>
          <w:rFonts w:eastAsia="Times New Roman" w:cs="Times New Roman"/>
          <w:sz w:val="20"/>
          <w:szCs w:val="20"/>
          <w:highlight w:val="green"/>
        </w:rPr>
        <w:t xml:space="preserve">. 4th </w:t>
      </w:r>
      <w:proofErr w:type="spellStart"/>
      <w:r w:rsidRPr="002F575A">
        <w:rPr>
          <w:rFonts w:eastAsia="Times New Roman" w:cs="Times New Roman"/>
          <w:sz w:val="20"/>
          <w:szCs w:val="20"/>
          <w:highlight w:val="green"/>
        </w:rPr>
        <w:t>UMaT</w:t>
      </w:r>
      <w:proofErr w:type="spellEnd"/>
      <w:r w:rsidRPr="002F575A">
        <w:rPr>
          <w:rFonts w:eastAsia="Times New Roman" w:cs="Times New Roman"/>
          <w:sz w:val="20"/>
          <w:szCs w:val="20"/>
          <w:highlight w:val="green"/>
        </w:rPr>
        <w:t xml:space="preserve"> Biennial International Mining and Mineral Conference, University of Mines and Technology, Tarkwa, Ghana. </w:t>
      </w:r>
      <w:hyperlink r:id="rId31" w:history="1">
        <w:r w:rsidRPr="002F575A">
          <w:rPr>
            <w:rStyle w:val="Hyperlink"/>
            <w:rFonts w:eastAsia="Times New Roman" w:cs="Times New Roman"/>
            <w:sz w:val="20"/>
            <w:szCs w:val="20"/>
            <w:highlight w:val="green"/>
          </w:rPr>
          <w:t>(PDF) LAND CONFLICTS IN GHANA, CAUSES, EFFECTS AND RESOLUTION</w:t>
        </w:r>
      </w:hyperlink>
    </w:p>
    <w:p w14:paraId="5213E586" w14:textId="77777777" w:rsidR="00BB68C0" w:rsidRPr="00BB68C0" w:rsidRDefault="00BB68C0" w:rsidP="006F1AF8">
      <w:pPr>
        <w:spacing w:after="172" w:line="480" w:lineRule="auto"/>
        <w:ind w:left="724" w:right="497" w:hanging="720"/>
        <w:rPr>
          <w:rFonts w:eastAsia="Times New Roman" w:cs="Times New Roman"/>
          <w:bCs/>
          <w:sz w:val="20"/>
          <w:szCs w:val="20"/>
        </w:rPr>
      </w:pPr>
      <w:r w:rsidRPr="00D459DD">
        <w:rPr>
          <w:rFonts w:eastAsia="Times New Roman" w:cs="Times New Roman"/>
          <w:bCs/>
          <w:sz w:val="20"/>
          <w:szCs w:val="20"/>
          <w:highlight w:val="green"/>
        </w:rPr>
        <w:t xml:space="preserve">Issah, K. (2016). </w:t>
      </w:r>
      <w:r w:rsidRPr="00D459DD">
        <w:rPr>
          <w:rFonts w:eastAsia="Times New Roman" w:cs="Times New Roman"/>
          <w:bCs/>
          <w:i/>
          <w:iCs/>
          <w:sz w:val="20"/>
          <w:szCs w:val="20"/>
          <w:highlight w:val="green"/>
        </w:rPr>
        <w:t xml:space="preserve">Land tenure and land development in Ghana: A case study of </w:t>
      </w:r>
      <w:proofErr w:type="spellStart"/>
      <w:r w:rsidRPr="00D459DD">
        <w:rPr>
          <w:rFonts w:eastAsia="Times New Roman" w:cs="Times New Roman"/>
          <w:bCs/>
          <w:i/>
          <w:iCs/>
          <w:sz w:val="20"/>
          <w:szCs w:val="20"/>
          <w:highlight w:val="green"/>
        </w:rPr>
        <w:t>Nkawkaw</w:t>
      </w:r>
      <w:proofErr w:type="spellEnd"/>
      <w:r w:rsidRPr="00D459DD">
        <w:rPr>
          <w:rFonts w:eastAsia="Times New Roman" w:cs="Times New Roman"/>
          <w:bCs/>
          <w:i/>
          <w:iCs/>
          <w:sz w:val="20"/>
          <w:szCs w:val="20"/>
          <w:highlight w:val="green"/>
        </w:rPr>
        <w:t xml:space="preserve"> Township</w:t>
      </w:r>
      <w:r w:rsidRPr="00D459DD">
        <w:rPr>
          <w:rFonts w:eastAsia="Times New Roman" w:cs="Times New Roman"/>
          <w:bCs/>
          <w:sz w:val="20"/>
          <w:szCs w:val="20"/>
          <w:highlight w:val="green"/>
        </w:rPr>
        <w:t>. University of Education, Winneba.</w:t>
      </w:r>
      <w:r w:rsidRPr="00BB68C0">
        <w:rPr>
          <w:rFonts w:eastAsia="Times New Roman" w:cs="Times New Roman"/>
          <w:bCs/>
          <w:sz w:val="20"/>
          <w:szCs w:val="20"/>
        </w:rPr>
        <w:t xml:space="preserve"> </w:t>
      </w:r>
    </w:p>
    <w:p w14:paraId="58DE232C" w14:textId="77777777" w:rsidR="00BB68C0" w:rsidRPr="00BB68C0" w:rsidRDefault="00BB68C0" w:rsidP="006F1AF8">
      <w:pPr>
        <w:spacing w:after="172" w:line="480" w:lineRule="auto"/>
        <w:ind w:left="724" w:right="497" w:hanging="720"/>
        <w:rPr>
          <w:rFonts w:cs="Times New Roman"/>
          <w:sz w:val="20"/>
          <w:szCs w:val="20"/>
        </w:rPr>
      </w:pPr>
      <w:proofErr w:type="spellStart"/>
      <w:proofErr w:type="gramStart"/>
      <w:r w:rsidRPr="000F54F3">
        <w:rPr>
          <w:rFonts w:eastAsia="Times New Roman" w:cs="Times New Roman"/>
          <w:bCs/>
          <w:sz w:val="20"/>
          <w:szCs w:val="20"/>
          <w:highlight w:val="green"/>
          <w:lang w:val="en-US"/>
        </w:rPr>
        <w:t>Kasanga</w:t>
      </w:r>
      <w:proofErr w:type="spellEnd"/>
      <w:r w:rsidRPr="000F54F3">
        <w:rPr>
          <w:rFonts w:eastAsia="Times New Roman" w:cs="Times New Roman"/>
          <w:bCs/>
          <w:sz w:val="20"/>
          <w:szCs w:val="20"/>
          <w:highlight w:val="green"/>
          <w:lang w:val="en-US"/>
        </w:rPr>
        <w:t>, K., &amp; Kotey, N. A. (2001).</w:t>
      </w:r>
      <w:proofErr w:type="gramEnd"/>
      <w:r w:rsidRPr="000F54F3">
        <w:rPr>
          <w:rFonts w:eastAsia="Times New Roman" w:cs="Times New Roman"/>
          <w:bCs/>
          <w:sz w:val="20"/>
          <w:szCs w:val="20"/>
          <w:highlight w:val="green"/>
          <w:lang w:val="en-US"/>
        </w:rPr>
        <w:t xml:space="preserve"> </w:t>
      </w:r>
      <w:r w:rsidRPr="000F54F3">
        <w:rPr>
          <w:rFonts w:eastAsia="Times New Roman" w:cs="Times New Roman"/>
          <w:bCs/>
          <w:i/>
          <w:iCs/>
          <w:sz w:val="20"/>
          <w:szCs w:val="20"/>
          <w:highlight w:val="green"/>
          <w:lang w:val="en-US"/>
        </w:rPr>
        <w:t>Land Management in Ghana: Building on Tradition and Modernity</w:t>
      </w:r>
      <w:r w:rsidRPr="000F54F3">
        <w:rPr>
          <w:rFonts w:eastAsia="Times New Roman" w:cs="Times New Roman"/>
          <w:bCs/>
          <w:sz w:val="20"/>
          <w:szCs w:val="20"/>
          <w:highlight w:val="green"/>
          <w:lang w:val="en-US"/>
        </w:rPr>
        <w:t xml:space="preserve">. International Institute for Environment and Development (IIED). </w:t>
      </w:r>
      <w:hyperlink r:id="rId32" w:history="1">
        <w:r w:rsidRPr="000F54F3">
          <w:rPr>
            <w:rStyle w:val="Hyperlink"/>
            <w:rFonts w:eastAsia="Times New Roman" w:cs="Times New Roman"/>
            <w:bCs/>
            <w:sz w:val="20"/>
            <w:szCs w:val="20"/>
            <w:highlight w:val="green"/>
          </w:rPr>
          <w:t>https://scholar.google.com/scholar?hl=en&amp;as_sdt=0%2C5&amp;q=%22Kasanga%2C+K.%2C+%26+Kotey%2C+N.+A.+%282001%29.+Land+Management+in+Ghana%3A+Building+on+Tradition+and+Modernity.+International+Institute+for+Environment+and+Development+%28IIED%29.%22&amp;btnG</w:t>
        </w:r>
      </w:hyperlink>
    </w:p>
    <w:p w14:paraId="7FA10927" w14:textId="3001BC72" w:rsidR="00B72BB0" w:rsidRDefault="00B72BB0" w:rsidP="006F1AF8">
      <w:pPr>
        <w:spacing w:after="172" w:line="480" w:lineRule="auto"/>
        <w:ind w:left="724" w:right="497" w:hanging="720"/>
        <w:rPr>
          <w:rFonts w:eastAsia="Times New Roman" w:cs="Times New Roman"/>
          <w:bCs/>
          <w:sz w:val="20"/>
          <w:szCs w:val="20"/>
        </w:rPr>
      </w:pPr>
      <w:r w:rsidRPr="000A1808">
        <w:rPr>
          <w:rFonts w:eastAsia="Times New Roman" w:cs="Times New Roman"/>
          <w:sz w:val="20"/>
          <w:szCs w:val="20"/>
          <w:highlight w:val="green"/>
          <w:lang w:val="nl-BE"/>
        </w:rPr>
        <w:lastRenderedPageBreak/>
        <w:t>Koranteng, A., &amp; Zawila-Niedzwiecki, T. (2015).</w:t>
      </w:r>
      <w:r w:rsidRPr="000A1808">
        <w:rPr>
          <w:rFonts w:eastAsia="Times New Roman" w:cs="Times New Roman"/>
          <w:bCs/>
          <w:sz w:val="20"/>
          <w:szCs w:val="20"/>
          <w:highlight w:val="green"/>
          <w:lang w:val="nl-BE"/>
        </w:rPr>
        <w:t xml:space="preserve"> </w:t>
      </w:r>
      <w:r w:rsidRPr="000A1808">
        <w:rPr>
          <w:rFonts w:eastAsia="Times New Roman" w:cs="Times New Roman"/>
          <w:bCs/>
          <w:i/>
          <w:iCs/>
          <w:sz w:val="20"/>
          <w:szCs w:val="20"/>
          <w:highlight w:val="green"/>
        </w:rPr>
        <w:t>Modelling Forest Loss and Other Land Use Change Dynamics in Ashanti Region of Ghana.</w:t>
      </w:r>
      <w:r w:rsidRPr="000A1808">
        <w:rPr>
          <w:rFonts w:eastAsia="Times New Roman" w:cs="Times New Roman"/>
          <w:bCs/>
          <w:sz w:val="20"/>
          <w:szCs w:val="20"/>
          <w:highlight w:val="green"/>
        </w:rPr>
        <w:t xml:space="preserve"> Folia </w:t>
      </w:r>
      <w:proofErr w:type="spellStart"/>
      <w:r w:rsidRPr="000A1808">
        <w:rPr>
          <w:rFonts w:eastAsia="Times New Roman" w:cs="Times New Roman"/>
          <w:bCs/>
          <w:sz w:val="20"/>
          <w:szCs w:val="20"/>
          <w:highlight w:val="green"/>
        </w:rPr>
        <w:t>Forestalia</w:t>
      </w:r>
      <w:proofErr w:type="spellEnd"/>
      <w:r w:rsidRPr="000A1808">
        <w:rPr>
          <w:rFonts w:eastAsia="Times New Roman" w:cs="Times New Roman"/>
          <w:bCs/>
          <w:sz w:val="20"/>
          <w:szCs w:val="20"/>
          <w:highlight w:val="green"/>
        </w:rPr>
        <w:t xml:space="preserve"> </w:t>
      </w:r>
      <w:proofErr w:type="spellStart"/>
      <w:r w:rsidRPr="000A1808">
        <w:rPr>
          <w:rFonts w:eastAsia="Times New Roman" w:cs="Times New Roman"/>
          <w:bCs/>
          <w:sz w:val="20"/>
          <w:szCs w:val="20"/>
          <w:highlight w:val="green"/>
        </w:rPr>
        <w:t>Polonica</w:t>
      </w:r>
      <w:proofErr w:type="spellEnd"/>
      <w:r w:rsidRPr="000A1808">
        <w:rPr>
          <w:rFonts w:eastAsia="Times New Roman" w:cs="Times New Roman"/>
          <w:bCs/>
          <w:sz w:val="20"/>
          <w:szCs w:val="20"/>
          <w:highlight w:val="green"/>
        </w:rPr>
        <w:t xml:space="preserve">, Series A, </w:t>
      </w:r>
      <w:r w:rsidRPr="000A1808">
        <w:rPr>
          <w:rFonts w:eastAsia="Times New Roman" w:cs="Times New Roman"/>
          <w:b/>
          <w:bCs/>
          <w:sz w:val="20"/>
          <w:szCs w:val="20"/>
          <w:highlight w:val="green"/>
        </w:rPr>
        <w:t>7</w:t>
      </w:r>
      <w:r w:rsidRPr="000A1808">
        <w:rPr>
          <w:rFonts w:eastAsia="Times New Roman" w:cs="Times New Roman"/>
          <w:bCs/>
          <w:sz w:val="20"/>
          <w:szCs w:val="20"/>
          <w:highlight w:val="green"/>
        </w:rPr>
        <w:t xml:space="preserve">, 96-111. </w:t>
      </w:r>
      <w:hyperlink r:id="rId33" w:history="1">
        <w:r w:rsidRPr="000A1808">
          <w:rPr>
            <w:rStyle w:val="Hyperlink"/>
            <w:rFonts w:eastAsia="Times New Roman" w:cs="Times New Roman"/>
            <w:bCs/>
            <w:sz w:val="20"/>
            <w:szCs w:val="20"/>
            <w:highlight w:val="green"/>
          </w:rPr>
          <w:t>10.1515_ffp-2015-0010.pdf</w:t>
        </w:r>
      </w:hyperlink>
      <w:r w:rsidRPr="00B72BB0">
        <w:rPr>
          <w:rFonts w:eastAsia="Times New Roman" w:cs="Times New Roman"/>
          <w:bCs/>
          <w:sz w:val="20"/>
          <w:szCs w:val="20"/>
        </w:rPr>
        <w:t xml:space="preserve"> </w:t>
      </w:r>
    </w:p>
    <w:p w14:paraId="5CF83E67" w14:textId="2F44DB62" w:rsidR="00BB68C0" w:rsidRPr="000B1B4B" w:rsidRDefault="00BB68C0" w:rsidP="006F1AF8">
      <w:pPr>
        <w:spacing w:after="172" w:line="480" w:lineRule="auto"/>
        <w:ind w:left="724" w:right="497" w:hanging="720"/>
        <w:rPr>
          <w:sz w:val="20"/>
          <w:szCs w:val="20"/>
          <w:highlight w:val="green"/>
          <w:lang w:val="nl-BE"/>
        </w:rPr>
      </w:pPr>
      <w:r w:rsidRPr="000B1B4B">
        <w:rPr>
          <w:rFonts w:eastAsia="Times New Roman" w:cs="Times New Roman"/>
          <w:bCs/>
          <w:sz w:val="20"/>
          <w:szCs w:val="20"/>
          <w:highlight w:val="green"/>
          <w:lang w:val="en-US"/>
        </w:rPr>
        <w:t xml:space="preserve">Kuntu-Mensah, P. (2006). On the implementation of land title registration in Ghana. </w:t>
      </w:r>
      <w:r w:rsidRPr="000B1B4B">
        <w:rPr>
          <w:rFonts w:eastAsia="Times New Roman" w:cs="Times New Roman"/>
          <w:bCs/>
          <w:i/>
          <w:iCs/>
          <w:sz w:val="20"/>
          <w:szCs w:val="20"/>
          <w:highlight w:val="green"/>
          <w:lang w:val="nl-BE"/>
        </w:rPr>
        <w:t>Land</w:t>
      </w:r>
      <w:r w:rsidRPr="000B1B4B">
        <w:rPr>
          <w:rFonts w:eastAsia="Times New Roman" w:cs="Times New Roman"/>
          <w:bCs/>
          <w:sz w:val="20"/>
          <w:szCs w:val="20"/>
          <w:highlight w:val="green"/>
          <w:lang w:val="nl-BE"/>
        </w:rPr>
        <w:t xml:space="preserve">, 19(1), 1–18. </w:t>
      </w:r>
      <w:hyperlink r:id="rId34" w:history="1">
        <w:r w:rsidRPr="000B1B4B">
          <w:rPr>
            <w:rStyle w:val="Hyperlink"/>
            <w:sz w:val="20"/>
            <w:szCs w:val="20"/>
            <w:highlight w:val="green"/>
            <w:lang w:val="nl-BE"/>
          </w:rPr>
          <w:t>https://scholar.google.com/scholar?hl=en&amp;as_sdt=0%2C5&amp;q=%22Kuntu-Mensah%2C+P.+%282006%29.+On+the+implementation+of+land+title+registration+in+Ghana.+Land%2C+19%281%29%2C+1%E2%80%9318%22&amp;btnG</w:t>
        </w:r>
      </w:hyperlink>
      <w:r w:rsidRPr="000B1B4B">
        <w:rPr>
          <w:sz w:val="20"/>
          <w:szCs w:val="20"/>
          <w:highlight w:val="green"/>
          <w:lang w:val="nl-BE"/>
        </w:rPr>
        <w:t xml:space="preserve"> </w:t>
      </w:r>
    </w:p>
    <w:p w14:paraId="67D4AEBE" w14:textId="450FC8D3" w:rsidR="00C761C5" w:rsidRDefault="00C761C5" w:rsidP="006F1AF8">
      <w:pPr>
        <w:spacing w:after="172" w:line="480" w:lineRule="auto"/>
        <w:ind w:left="724" w:right="497" w:hanging="720"/>
        <w:rPr>
          <w:rFonts w:eastAsia="Times New Roman" w:cs="Times New Roman"/>
          <w:bCs/>
          <w:sz w:val="20"/>
          <w:szCs w:val="20"/>
          <w:lang w:val="en-US"/>
        </w:rPr>
      </w:pPr>
      <w:r w:rsidRPr="000B1B4B">
        <w:rPr>
          <w:rFonts w:eastAsia="Times New Roman" w:cs="Times New Roman"/>
          <w:bCs/>
          <w:sz w:val="20"/>
          <w:szCs w:val="20"/>
          <w:highlight w:val="green"/>
          <w:lang w:val="en-US"/>
        </w:rPr>
        <w:t xml:space="preserve">Lands Act, 2020 (Act 1036). </w:t>
      </w:r>
      <w:hyperlink r:id="rId35" w:anchor=":~:text=AN%20ACT%20is%20to%20revise%2C%20harmonise%20and%20consolidate,Parliament%20and%20assented%20to%20by%20the%20President%201." w:history="1">
        <w:r w:rsidRPr="000B1B4B">
          <w:rPr>
            <w:rStyle w:val="Hyperlink"/>
            <w:rFonts w:eastAsia="Times New Roman" w:cs="Times New Roman"/>
            <w:bCs/>
            <w:sz w:val="20"/>
            <w:szCs w:val="20"/>
            <w:highlight w:val="green"/>
          </w:rPr>
          <w:t>LAND ACT 2020 (ACT 1036)</w:t>
        </w:r>
      </w:hyperlink>
    </w:p>
    <w:p w14:paraId="3A7ED314" w14:textId="49A8B280" w:rsidR="00BB68C0" w:rsidRPr="00BB68C0" w:rsidRDefault="00BB68C0" w:rsidP="006F1AF8">
      <w:pPr>
        <w:spacing w:after="172" w:line="480" w:lineRule="auto"/>
        <w:ind w:left="724" w:right="497" w:hanging="720"/>
        <w:rPr>
          <w:rFonts w:eastAsia="Times New Roman" w:cs="Times New Roman"/>
          <w:bCs/>
          <w:sz w:val="20"/>
          <w:szCs w:val="20"/>
          <w:lang w:val="en-US"/>
        </w:rPr>
      </w:pPr>
      <w:r w:rsidRPr="00DA4612">
        <w:rPr>
          <w:rFonts w:eastAsia="Times New Roman" w:cs="Times New Roman"/>
          <w:bCs/>
          <w:sz w:val="20"/>
          <w:szCs w:val="20"/>
          <w:highlight w:val="green"/>
          <w:lang w:val="en-US"/>
        </w:rPr>
        <w:t xml:space="preserve">Larbi, W. O. (2006). </w:t>
      </w:r>
      <w:r w:rsidRPr="00DA4612">
        <w:rPr>
          <w:rFonts w:eastAsia="Times New Roman" w:cs="Times New Roman"/>
          <w:bCs/>
          <w:i/>
          <w:iCs/>
          <w:sz w:val="20"/>
          <w:szCs w:val="20"/>
          <w:highlight w:val="green"/>
          <w:lang w:val="en-US"/>
        </w:rPr>
        <w:t>Land Administration Reform in a Plural Environment: The Case of Ghana</w:t>
      </w:r>
      <w:r w:rsidRPr="00DA4612">
        <w:rPr>
          <w:rFonts w:eastAsia="Times New Roman" w:cs="Times New Roman"/>
          <w:bCs/>
          <w:sz w:val="20"/>
          <w:szCs w:val="20"/>
          <w:highlight w:val="green"/>
          <w:lang w:val="en-US"/>
        </w:rPr>
        <w:t xml:space="preserve">. In </w:t>
      </w:r>
      <w:r w:rsidRPr="00DA4612">
        <w:rPr>
          <w:rFonts w:eastAsia="Times New Roman" w:cs="Times New Roman"/>
          <w:bCs/>
          <w:i/>
          <w:iCs/>
          <w:sz w:val="20"/>
          <w:szCs w:val="20"/>
          <w:highlight w:val="green"/>
          <w:lang w:val="en-US"/>
        </w:rPr>
        <w:t>Proceedings of the FIG Working Week 2008</w:t>
      </w:r>
      <w:r w:rsidRPr="00DA4612">
        <w:rPr>
          <w:rFonts w:eastAsia="Times New Roman" w:cs="Times New Roman"/>
          <w:bCs/>
          <w:sz w:val="20"/>
          <w:szCs w:val="20"/>
          <w:highlight w:val="green"/>
          <w:lang w:val="en-US"/>
        </w:rPr>
        <w:t xml:space="preserve">. Stockholm, Sweden. </w:t>
      </w:r>
      <w:hyperlink r:id="rId36" w:history="1">
        <w:r w:rsidRPr="00DA4612">
          <w:rPr>
            <w:rStyle w:val="Hyperlink"/>
            <w:rFonts w:eastAsia="Times New Roman" w:cs="Times New Roman"/>
            <w:bCs/>
            <w:sz w:val="20"/>
            <w:szCs w:val="20"/>
            <w:highlight w:val="green"/>
          </w:rPr>
          <w:t>Microsoft Word - ps01_02_larbi.doc</w:t>
        </w:r>
      </w:hyperlink>
    </w:p>
    <w:p w14:paraId="2E74820E" w14:textId="77777777" w:rsidR="00BB68C0" w:rsidRPr="00BB68C0" w:rsidRDefault="00BB68C0" w:rsidP="006F1AF8">
      <w:pPr>
        <w:spacing w:after="172" w:line="480" w:lineRule="auto"/>
        <w:ind w:left="724" w:right="497" w:hanging="720"/>
        <w:rPr>
          <w:rFonts w:cs="Times New Roman"/>
          <w:sz w:val="20"/>
          <w:szCs w:val="20"/>
        </w:rPr>
      </w:pPr>
      <w:r w:rsidRPr="003F3E58">
        <w:rPr>
          <w:rFonts w:cs="Times New Roman"/>
          <w:sz w:val="20"/>
          <w:szCs w:val="20"/>
          <w:highlight w:val="cyan"/>
        </w:rPr>
        <w:t>Latham, B. (2007). Sampling: What is it? Quantitative Re</w:t>
      </w:r>
      <w:bookmarkStart w:id="1" w:name="_GoBack"/>
      <w:bookmarkEnd w:id="1"/>
      <w:r w:rsidRPr="003F3E58">
        <w:rPr>
          <w:rFonts w:cs="Times New Roman"/>
          <w:sz w:val="20"/>
          <w:szCs w:val="20"/>
          <w:highlight w:val="cyan"/>
        </w:rPr>
        <w:t xml:space="preserve">search Methods. </w:t>
      </w:r>
      <w:hyperlink r:id="rId37" w:history="1">
        <w:r w:rsidRPr="003F3E58">
          <w:rPr>
            <w:rStyle w:val="Hyperlink"/>
            <w:rFonts w:cs="Times New Roman"/>
            <w:sz w:val="20"/>
            <w:szCs w:val="20"/>
            <w:highlight w:val="cyan"/>
          </w:rPr>
          <w:t>Sampling techniques - RESEARCH DESIGN AND METHODOLOGY</w:t>
        </w:r>
      </w:hyperlink>
    </w:p>
    <w:p w14:paraId="46AE1A1E" w14:textId="77777777" w:rsidR="00BB68C0" w:rsidRPr="00BB68C0" w:rsidRDefault="00BB68C0" w:rsidP="005A3A44">
      <w:pPr>
        <w:spacing w:after="172" w:line="480" w:lineRule="auto"/>
        <w:ind w:left="724" w:right="497" w:hanging="720"/>
        <w:rPr>
          <w:rFonts w:eastAsia="Times New Roman" w:cs="Times New Roman"/>
          <w:bCs/>
          <w:sz w:val="20"/>
          <w:szCs w:val="20"/>
          <w:lang w:val="en-US"/>
        </w:rPr>
      </w:pPr>
      <w:r w:rsidRPr="00D93974">
        <w:rPr>
          <w:rFonts w:eastAsia="Times New Roman" w:cs="Times New Roman"/>
          <w:bCs/>
          <w:sz w:val="20"/>
          <w:szCs w:val="20"/>
          <w:highlight w:val="green"/>
          <w:lang w:val="en-US"/>
        </w:rPr>
        <w:t xml:space="preserve">Mohammed, A. S., Abbas, J. &amp; </w:t>
      </w:r>
      <w:proofErr w:type="spellStart"/>
      <w:r w:rsidRPr="00D93974">
        <w:rPr>
          <w:rFonts w:eastAsia="Times New Roman" w:cs="Times New Roman"/>
          <w:bCs/>
          <w:sz w:val="20"/>
          <w:szCs w:val="20"/>
          <w:highlight w:val="green"/>
          <w:lang w:val="en-US"/>
        </w:rPr>
        <w:t>Dzimale</w:t>
      </w:r>
      <w:proofErr w:type="spellEnd"/>
      <w:r w:rsidRPr="00D93974">
        <w:rPr>
          <w:rFonts w:eastAsia="Times New Roman" w:cs="Times New Roman"/>
          <w:bCs/>
          <w:sz w:val="20"/>
          <w:szCs w:val="20"/>
          <w:highlight w:val="green"/>
          <w:lang w:val="en-US"/>
        </w:rPr>
        <w:t xml:space="preserve">, A. (2018). Navigating land acquisition hurdles in Ghana’s real estate development. </w:t>
      </w:r>
      <w:r w:rsidRPr="00D93974">
        <w:rPr>
          <w:rFonts w:eastAsia="Times New Roman" w:cs="Times New Roman"/>
          <w:bCs/>
          <w:i/>
          <w:iCs/>
          <w:sz w:val="20"/>
          <w:szCs w:val="20"/>
          <w:highlight w:val="green"/>
          <w:lang w:val="en-US"/>
        </w:rPr>
        <w:t>International Journal of Research and Innovation in Engineering System</w:t>
      </w:r>
      <w:r w:rsidRPr="00D93974">
        <w:rPr>
          <w:rFonts w:eastAsia="Times New Roman" w:cs="Times New Roman"/>
          <w:bCs/>
          <w:sz w:val="20"/>
          <w:szCs w:val="20"/>
          <w:highlight w:val="green"/>
          <w:lang w:val="en-US"/>
        </w:rPr>
        <w:t xml:space="preserve">, 31(2), 45-60. </w:t>
      </w:r>
      <w:r w:rsidRPr="00D93974">
        <w:rPr>
          <w:sz w:val="20"/>
          <w:szCs w:val="20"/>
          <w:highlight w:val="green"/>
        </w:rPr>
        <w:t>DOI:</w:t>
      </w:r>
      <w:hyperlink r:id="rId38" w:tgtFrame="_blank" w:history="1">
        <w:r w:rsidRPr="00D93974">
          <w:rPr>
            <w:rStyle w:val="Hyperlink"/>
            <w:sz w:val="20"/>
            <w:szCs w:val="20"/>
            <w:highlight w:val="green"/>
          </w:rPr>
          <w:t>10.47772/IJRISS.2023.7012082</w:t>
        </w:r>
      </w:hyperlink>
    </w:p>
    <w:p w14:paraId="202CD23C" w14:textId="77777777" w:rsidR="00BB68C0" w:rsidRPr="002A7E1D" w:rsidRDefault="00BB68C0" w:rsidP="005A3A44">
      <w:pPr>
        <w:spacing w:after="172" w:line="480" w:lineRule="auto"/>
        <w:ind w:left="724" w:right="497" w:hanging="720"/>
        <w:rPr>
          <w:rFonts w:eastAsia="Times New Roman" w:cs="Times New Roman"/>
          <w:bCs/>
          <w:sz w:val="20"/>
          <w:szCs w:val="20"/>
          <w:highlight w:val="yellow"/>
          <w:lang w:val="en-US"/>
        </w:rPr>
      </w:pPr>
      <w:proofErr w:type="spellStart"/>
      <w:r w:rsidRPr="002A7E1D">
        <w:rPr>
          <w:rFonts w:eastAsia="Times New Roman" w:cs="Times New Roman"/>
          <w:bCs/>
          <w:sz w:val="20"/>
          <w:szCs w:val="20"/>
          <w:highlight w:val="yellow"/>
          <w:lang w:val="en-US"/>
        </w:rPr>
        <w:t>Nwuba</w:t>
      </w:r>
      <w:proofErr w:type="spellEnd"/>
      <w:r w:rsidRPr="002A7E1D">
        <w:rPr>
          <w:rFonts w:eastAsia="Times New Roman" w:cs="Times New Roman"/>
          <w:bCs/>
          <w:sz w:val="20"/>
          <w:szCs w:val="20"/>
          <w:highlight w:val="yellow"/>
          <w:lang w:val="en-US"/>
        </w:rPr>
        <w:t xml:space="preserve">, C. C. (2018). Challenges to land registration in Kaduna State, Nigeria. </w:t>
      </w:r>
      <w:r w:rsidRPr="002A7E1D">
        <w:rPr>
          <w:rFonts w:eastAsia="Times New Roman" w:cs="Times New Roman"/>
          <w:bCs/>
          <w:i/>
          <w:iCs/>
          <w:sz w:val="20"/>
          <w:szCs w:val="20"/>
          <w:highlight w:val="yellow"/>
          <w:lang w:val="en-US"/>
        </w:rPr>
        <w:t>Journal of African Real Estate Research</w:t>
      </w:r>
      <w:r w:rsidRPr="002A7E1D">
        <w:rPr>
          <w:rFonts w:eastAsia="Times New Roman" w:cs="Times New Roman"/>
          <w:bCs/>
          <w:sz w:val="20"/>
          <w:szCs w:val="20"/>
          <w:highlight w:val="yellow"/>
          <w:lang w:val="en-US"/>
        </w:rPr>
        <w:t xml:space="preserve">, 14(2), 154-172. </w:t>
      </w:r>
      <w:hyperlink r:id="rId39" w:history="1">
        <w:r w:rsidRPr="002A7E1D">
          <w:rPr>
            <w:rStyle w:val="Hyperlink"/>
            <w:kern w:val="0"/>
            <w:sz w:val="20"/>
            <w:szCs w:val="20"/>
            <w:highlight w:val="yellow"/>
            <w14:ligatures w14:val="none"/>
          </w:rPr>
          <w:t>https://scholar.google.com/scholar?hl=en&amp;as_sdt=0%2C5&amp;q=%22Nwuba%2C+C.+C.+%282018%29.+Challenges+to+land+registration+in+Kaduna+State%2C+Nigeria.+Journal+of+African+Real+Estate+Research%2C+14%282%29%2C+154-172.+%22&amp;btnG</w:t>
        </w:r>
      </w:hyperlink>
    </w:p>
    <w:p w14:paraId="7289F966" w14:textId="77777777" w:rsidR="00BB68C0" w:rsidRPr="00BB68C0" w:rsidRDefault="00BB68C0" w:rsidP="006F1AF8">
      <w:pPr>
        <w:spacing w:after="172" w:line="480" w:lineRule="auto"/>
        <w:ind w:left="724" w:right="497" w:hanging="720"/>
        <w:rPr>
          <w:rFonts w:eastAsia="Times New Roman" w:cs="Times New Roman"/>
          <w:bCs/>
          <w:sz w:val="20"/>
          <w:szCs w:val="20"/>
        </w:rPr>
      </w:pPr>
      <w:r w:rsidRPr="003B6D6A">
        <w:rPr>
          <w:rFonts w:eastAsia="Times New Roman" w:cs="Times New Roman"/>
          <w:bCs/>
          <w:sz w:val="20"/>
          <w:szCs w:val="20"/>
          <w:highlight w:val="green"/>
        </w:rPr>
        <w:t xml:space="preserve">Owusu-Ansah, J. K., &amp; O'Connor, K. B. (2010). Housing demand in the urban fringe around Kumasi, Ghana. </w:t>
      </w:r>
      <w:r w:rsidRPr="003B6D6A">
        <w:rPr>
          <w:rFonts w:eastAsia="Times New Roman" w:cs="Times New Roman"/>
          <w:bCs/>
          <w:i/>
          <w:iCs/>
          <w:sz w:val="20"/>
          <w:szCs w:val="20"/>
          <w:highlight w:val="green"/>
        </w:rPr>
        <w:t>Journal of Housing and the Built Environment, 25</w:t>
      </w:r>
      <w:r w:rsidRPr="003B6D6A">
        <w:rPr>
          <w:rFonts w:eastAsia="Times New Roman" w:cs="Times New Roman"/>
          <w:bCs/>
          <w:sz w:val="20"/>
          <w:szCs w:val="20"/>
          <w:highlight w:val="green"/>
        </w:rPr>
        <w:t xml:space="preserve">(1), 1-17. </w:t>
      </w:r>
      <w:hyperlink r:id="rId40" w:history="1">
        <w:r w:rsidRPr="003B6D6A">
          <w:rPr>
            <w:rStyle w:val="Hyperlink"/>
            <w:rFonts w:eastAsia="Times New Roman" w:cs="Times New Roman"/>
            <w:bCs/>
            <w:sz w:val="20"/>
            <w:szCs w:val="20"/>
            <w:highlight w:val="green"/>
          </w:rPr>
          <w:t>https://doi.org/10.1007/s10901-009-9173-x</w:t>
        </w:r>
      </w:hyperlink>
    </w:p>
    <w:p w14:paraId="3231A156" w14:textId="77777777" w:rsidR="00BB68C0" w:rsidRPr="00BB68C0" w:rsidRDefault="00BB68C0" w:rsidP="006F1AF8">
      <w:pPr>
        <w:spacing w:after="172" w:line="480" w:lineRule="auto"/>
        <w:ind w:left="724" w:right="497" w:hanging="720"/>
        <w:rPr>
          <w:rFonts w:eastAsia="Times New Roman" w:cs="Times New Roman"/>
          <w:bCs/>
          <w:sz w:val="20"/>
          <w:szCs w:val="20"/>
          <w:lang w:val="en-US"/>
        </w:rPr>
      </w:pPr>
      <w:r w:rsidRPr="002A7E1D">
        <w:rPr>
          <w:rFonts w:eastAsia="Times New Roman" w:cs="Times New Roman"/>
          <w:sz w:val="20"/>
          <w:szCs w:val="20"/>
          <w:highlight w:val="yellow"/>
          <w:lang w:val="en-US"/>
        </w:rPr>
        <w:t xml:space="preserve">Quaye, B. A. (2020). Effective implementation of land title registration in Ghana: Legal and organizational challenges. </w:t>
      </w:r>
      <w:r w:rsidRPr="002A7E1D">
        <w:rPr>
          <w:rFonts w:eastAsia="Times New Roman" w:cs="Times New Roman"/>
          <w:i/>
          <w:iCs/>
          <w:sz w:val="20"/>
          <w:szCs w:val="20"/>
          <w:highlight w:val="yellow"/>
          <w:lang w:val="en-US"/>
        </w:rPr>
        <w:t>Ghana Land Administration Journal, 15</w:t>
      </w:r>
      <w:r w:rsidRPr="002A7E1D">
        <w:rPr>
          <w:rFonts w:eastAsia="Times New Roman" w:cs="Times New Roman"/>
          <w:sz w:val="20"/>
          <w:szCs w:val="20"/>
          <w:highlight w:val="yellow"/>
          <w:lang w:val="en-US"/>
        </w:rPr>
        <w:t xml:space="preserve">(3), 45–60. </w:t>
      </w:r>
      <w:hyperlink r:id="rId41" w:history="1">
        <w:r w:rsidRPr="002A7E1D">
          <w:rPr>
            <w:rStyle w:val="Hyperlink"/>
            <w:sz w:val="20"/>
            <w:szCs w:val="20"/>
            <w:highlight w:val="yellow"/>
          </w:rPr>
          <w:t>https://scholar.google.com/scholar?hl=en&amp;as_sdt=0%2C5&amp;q=%22Quaye%2C+B.+A.+%282020</w:t>
        </w:r>
        <w:r w:rsidRPr="002A7E1D">
          <w:rPr>
            <w:rStyle w:val="Hyperlink"/>
            <w:sz w:val="20"/>
            <w:szCs w:val="20"/>
            <w:highlight w:val="yellow"/>
          </w:rPr>
          <w:lastRenderedPageBreak/>
          <w:t>%29.+Effective+implementation+of+land+title+registration+in+Ghana%3A+Legal+and+organizational+challenges.+Ghana+Land+Administration+Journal%2C+15%283%29%2C+45%E2%80%9360.+%22&amp;btnG</w:t>
        </w:r>
      </w:hyperlink>
    </w:p>
    <w:p w14:paraId="35072DA5" w14:textId="36656DE6" w:rsidR="00BB68C0" w:rsidRPr="002A7E1D" w:rsidRDefault="00197990" w:rsidP="00BB68C0">
      <w:pPr>
        <w:spacing w:after="172" w:line="480" w:lineRule="auto"/>
        <w:ind w:left="724" w:right="497" w:hanging="720"/>
        <w:rPr>
          <w:rFonts w:eastAsia="Times New Roman" w:cs="Times New Roman"/>
          <w:bCs/>
          <w:sz w:val="20"/>
          <w:szCs w:val="20"/>
          <w:highlight w:val="yellow"/>
          <w:lang w:val="en-US"/>
        </w:rPr>
      </w:pPr>
      <w:r w:rsidRPr="002A7E1D">
        <w:rPr>
          <w:rFonts w:cs="Times New Roman"/>
          <w:sz w:val="20"/>
          <w:szCs w:val="20"/>
          <w:highlight w:val="yellow"/>
        </w:rPr>
        <w:t xml:space="preserve">Sadiq, S., Orlowska, M., Sadiq, W., &amp; Foulger, C. (2004). </w:t>
      </w:r>
      <w:r w:rsidRPr="002A7E1D">
        <w:rPr>
          <w:rFonts w:cs="Times New Roman"/>
          <w:i/>
          <w:iCs/>
          <w:sz w:val="20"/>
          <w:szCs w:val="20"/>
          <w:highlight w:val="yellow"/>
        </w:rPr>
        <w:t>Data flow and validation in workflow modelling</w:t>
      </w:r>
      <w:r w:rsidRPr="002A7E1D">
        <w:rPr>
          <w:rFonts w:cs="Times New Roman"/>
          <w:sz w:val="20"/>
          <w:szCs w:val="20"/>
          <w:highlight w:val="yellow"/>
        </w:rPr>
        <w:t xml:space="preserve">. Proceedings of the 15th Australasian Database Conference, 207-214. </w:t>
      </w:r>
      <w:hyperlink r:id="rId42" w:history="1">
        <w:r w:rsidR="00BB68C0" w:rsidRPr="002A7E1D">
          <w:rPr>
            <w:rStyle w:val="Hyperlink"/>
            <w:rFonts w:cs="Times New Roman"/>
            <w:sz w:val="20"/>
            <w:szCs w:val="20"/>
            <w:highlight w:val="yellow"/>
          </w:rPr>
          <w:t>https://scholar.google.com/scholar?hl=en&amp;as_sdt=0%2C5&amp;q=%22Sadiq%2C+S.%2C+Orlowska%2C+M.%2C+Sadiq%2C+W.%2C+%26+Foulger%2C+C.+%282004%29.+Data+Flow+and+Validation+in%22&amp;btnG</w:t>
        </w:r>
      </w:hyperlink>
      <w:r w:rsidR="00BB68C0" w:rsidRPr="002A7E1D">
        <w:rPr>
          <w:rFonts w:cs="Times New Roman"/>
          <w:sz w:val="20"/>
          <w:szCs w:val="20"/>
          <w:highlight w:val="yellow"/>
        </w:rPr>
        <w:t xml:space="preserve"> </w:t>
      </w:r>
    </w:p>
    <w:p w14:paraId="6F6EDEC4" w14:textId="77777777" w:rsidR="00BB68C0" w:rsidRPr="00BB68C0" w:rsidRDefault="00BB68C0" w:rsidP="006F1AF8">
      <w:pPr>
        <w:spacing w:after="172" w:line="480" w:lineRule="auto"/>
        <w:ind w:left="724" w:right="497" w:hanging="720"/>
        <w:rPr>
          <w:rFonts w:eastAsia="Times New Roman" w:cs="Times New Roman"/>
          <w:bCs/>
          <w:sz w:val="20"/>
          <w:szCs w:val="20"/>
          <w:lang w:val="en-US"/>
        </w:rPr>
      </w:pPr>
      <w:proofErr w:type="spellStart"/>
      <w:r w:rsidRPr="002A7E1D">
        <w:rPr>
          <w:rFonts w:eastAsia="Times New Roman" w:cs="Times New Roman"/>
          <w:bCs/>
          <w:sz w:val="20"/>
          <w:szCs w:val="20"/>
          <w:highlight w:val="yellow"/>
          <w:lang w:val="en-US"/>
        </w:rPr>
        <w:t>Schoneveld</w:t>
      </w:r>
      <w:proofErr w:type="spellEnd"/>
      <w:r w:rsidRPr="002A7E1D">
        <w:rPr>
          <w:rFonts w:eastAsia="Times New Roman" w:cs="Times New Roman"/>
          <w:bCs/>
          <w:sz w:val="20"/>
          <w:szCs w:val="20"/>
          <w:highlight w:val="yellow"/>
          <w:lang w:val="en-US"/>
        </w:rPr>
        <w:t xml:space="preserve">, G. (2014). Translating legal rights into tenure security: Lessons from the new commercial pressures on land in Ghana. </w:t>
      </w:r>
      <w:r w:rsidRPr="002A7E1D">
        <w:rPr>
          <w:rFonts w:eastAsia="Times New Roman" w:cs="Times New Roman"/>
          <w:bCs/>
          <w:i/>
          <w:iCs/>
          <w:sz w:val="20"/>
          <w:szCs w:val="20"/>
          <w:highlight w:val="yellow"/>
          <w:lang w:val="en-US"/>
        </w:rPr>
        <w:t>Land Use Policy, 38</w:t>
      </w:r>
      <w:r w:rsidRPr="002A7E1D">
        <w:rPr>
          <w:rFonts w:eastAsia="Times New Roman" w:cs="Times New Roman"/>
          <w:bCs/>
          <w:sz w:val="20"/>
          <w:szCs w:val="20"/>
          <w:highlight w:val="yellow"/>
          <w:lang w:val="en-US"/>
        </w:rPr>
        <w:t xml:space="preserve">, 205–215. </w:t>
      </w:r>
      <w:hyperlink r:id="rId43" w:history="1">
        <w:r w:rsidRPr="002A7E1D">
          <w:rPr>
            <w:rStyle w:val="Hyperlink"/>
            <w:rFonts w:eastAsia="Times New Roman" w:cs="Times New Roman"/>
            <w:bCs/>
            <w:sz w:val="20"/>
            <w:szCs w:val="20"/>
            <w:highlight w:val="yellow"/>
          </w:rPr>
          <w:t>https://scholar.google.com/scholar?hl=en&amp;as_sdt=0%2C5&amp;q=%22Schoneveld%2C+G.+%282014%29.+Translating+legal+rights+into+tenure+security%3A+Lessons+from+the+new+commercial+pressures+on+land+in+Ghana.+Land+Use+Policy%2C+38%2C+205%E2%80%93215%22&amp;btnG</w:t>
        </w:r>
      </w:hyperlink>
    </w:p>
    <w:p w14:paraId="1C683F08" w14:textId="14DDF76D" w:rsidR="00066F57" w:rsidRDefault="00066F57" w:rsidP="006F1AF8">
      <w:pPr>
        <w:spacing w:after="172" w:line="480" w:lineRule="auto"/>
        <w:ind w:left="724" w:right="497" w:hanging="720"/>
        <w:rPr>
          <w:rFonts w:eastAsia="Times New Roman" w:cs="Times New Roman"/>
          <w:bCs/>
          <w:sz w:val="20"/>
          <w:szCs w:val="20"/>
        </w:rPr>
      </w:pPr>
      <w:r w:rsidRPr="00A23A99">
        <w:rPr>
          <w:rFonts w:eastAsia="Times New Roman" w:cs="Times New Roman"/>
          <w:bCs/>
          <w:sz w:val="20"/>
          <w:szCs w:val="20"/>
          <w:highlight w:val="green"/>
        </w:rPr>
        <w:t xml:space="preserve">Sekondi-Takoradi Metropolitan Assembly. (2022). </w:t>
      </w:r>
      <w:r w:rsidRPr="00A23A99">
        <w:rPr>
          <w:rFonts w:eastAsia="Times New Roman" w:cs="Times New Roman"/>
          <w:bCs/>
          <w:i/>
          <w:iCs/>
          <w:sz w:val="20"/>
          <w:szCs w:val="20"/>
          <w:highlight w:val="green"/>
        </w:rPr>
        <w:t>Medium-term development plan, 2022-2025</w:t>
      </w:r>
      <w:r w:rsidRPr="00A23A99">
        <w:rPr>
          <w:rFonts w:eastAsia="Times New Roman" w:cs="Times New Roman"/>
          <w:bCs/>
          <w:sz w:val="20"/>
          <w:szCs w:val="20"/>
          <w:highlight w:val="green"/>
        </w:rPr>
        <w:t xml:space="preserve">.  </w:t>
      </w:r>
      <w:hyperlink r:id="rId44" w:history="1">
        <w:r w:rsidRPr="00A23A99">
          <w:rPr>
            <w:rStyle w:val="Hyperlink"/>
            <w:rFonts w:eastAsia="Times New Roman" w:cs="Times New Roman"/>
            <w:bCs/>
            <w:sz w:val="20"/>
            <w:szCs w:val="20"/>
            <w:highlight w:val="green"/>
          </w:rPr>
          <w:t>https://stma.gov.gh/documents/STMA%20MEDIUM-TERM%20DEVELOPMENT%20PLAN%20%202022%202025%20final.pdf</w:t>
        </w:r>
      </w:hyperlink>
    </w:p>
    <w:p w14:paraId="60360437" w14:textId="77777777" w:rsidR="000C1523" w:rsidRPr="002B0690" w:rsidRDefault="000C1523" w:rsidP="000C1523">
      <w:pPr>
        <w:spacing w:after="172" w:line="480" w:lineRule="auto"/>
        <w:ind w:left="724" w:right="497" w:hanging="720"/>
      </w:pPr>
      <w:proofErr w:type="spellStart"/>
      <w:r w:rsidRPr="0018004C">
        <w:rPr>
          <w:rFonts w:eastAsia="Times New Roman" w:cs="Times New Roman"/>
          <w:sz w:val="20"/>
          <w:szCs w:val="20"/>
          <w:highlight w:val="green"/>
          <w:lang w:val="en-US"/>
        </w:rPr>
        <w:t>Ubink</w:t>
      </w:r>
      <w:proofErr w:type="spellEnd"/>
      <w:r w:rsidRPr="0018004C">
        <w:rPr>
          <w:rFonts w:eastAsia="Times New Roman" w:cs="Times New Roman"/>
          <w:sz w:val="20"/>
          <w:szCs w:val="20"/>
          <w:highlight w:val="green"/>
          <w:lang w:val="en-US"/>
        </w:rPr>
        <w:t>, J.M. (2008).</w:t>
      </w:r>
      <w:r w:rsidRPr="0018004C">
        <w:rPr>
          <w:rFonts w:eastAsia="Times New Roman" w:cs="Times New Roman"/>
          <w:bCs/>
          <w:sz w:val="20"/>
          <w:szCs w:val="20"/>
          <w:highlight w:val="green"/>
          <w:lang w:val="en-US"/>
        </w:rPr>
        <w:t xml:space="preserve"> </w:t>
      </w:r>
      <w:r w:rsidRPr="0018004C">
        <w:rPr>
          <w:rFonts w:eastAsia="Times New Roman" w:cs="Times New Roman"/>
          <w:bCs/>
          <w:i/>
          <w:iCs/>
          <w:sz w:val="20"/>
          <w:szCs w:val="20"/>
          <w:highlight w:val="green"/>
          <w:lang w:val="en-US"/>
        </w:rPr>
        <w:t>In the Land of the Chiefs: Customary Law, Land Conflicts, and the Role of the State in Peri-Urban Ghana</w:t>
      </w:r>
      <w:r w:rsidRPr="0018004C">
        <w:rPr>
          <w:rFonts w:eastAsia="Times New Roman" w:cs="Times New Roman"/>
          <w:bCs/>
          <w:sz w:val="20"/>
          <w:szCs w:val="20"/>
          <w:highlight w:val="green"/>
          <w:lang w:val="en-US"/>
        </w:rPr>
        <w:t>. Leiden University Press.</w:t>
      </w:r>
      <w:r w:rsidRPr="0018004C">
        <w:rPr>
          <w:rFonts w:eastAsia="Times New Roman" w:cs="Times New Roman"/>
          <w:bCs/>
          <w:sz w:val="20"/>
          <w:szCs w:val="20"/>
          <w:highlight w:val="green"/>
          <w:lang w:val="en-US"/>
        </w:rPr>
        <w:br/>
      </w:r>
      <w:hyperlink r:id="rId45" w:history="1">
        <w:r w:rsidRPr="0018004C">
          <w:rPr>
            <w:rStyle w:val="Hyperlink"/>
            <w:rFonts w:ascii="Segoe UI Emoji" w:eastAsia="Times New Roman" w:hAnsi="Segoe UI Emoji" w:cs="Segoe UI Emoji"/>
            <w:bCs/>
            <w:sz w:val="20"/>
            <w:szCs w:val="20"/>
            <w:highlight w:val="green"/>
          </w:rPr>
          <w:t xml:space="preserve">In the Land of the </w:t>
        </w:r>
        <w:proofErr w:type="gramStart"/>
        <w:r w:rsidRPr="0018004C">
          <w:rPr>
            <w:rStyle w:val="Hyperlink"/>
            <w:rFonts w:ascii="Segoe UI Emoji" w:eastAsia="Times New Roman" w:hAnsi="Segoe UI Emoji" w:cs="Segoe UI Emoji"/>
            <w:bCs/>
            <w:sz w:val="20"/>
            <w:szCs w:val="20"/>
            <w:highlight w:val="green"/>
          </w:rPr>
          <w:t>Chiefs :</w:t>
        </w:r>
        <w:proofErr w:type="gramEnd"/>
        <w:r w:rsidRPr="0018004C">
          <w:rPr>
            <w:rStyle w:val="Hyperlink"/>
            <w:rFonts w:ascii="Segoe UI Emoji" w:eastAsia="Times New Roman" w:hAnsi="Segoe UI Emoji" w:cs="Segoe UI Emoji"/>
            <w:bCs/>
            <w:sz w:val="20"/>
            <w:szCs w:val="20"/>
            <w:highlight w:val="green"/>
          </w:rPr>
          <w:t xml:space="preserve"> customary law, land conflicts, and the role of the state in Peri-Urban Ghana | Scholarly Publications</w:t>
        </w:r>
      </w:hyperlink>
    </w:p>
    <w:p w14:paraId="0B64FE84" w14:textId="4542529E" w:rsidR="00BB68C0" w:rsidRPr="00BB68C0" w:rsidRDefault="00BB68C0" w:rsidP="006F1AF8">
      <w:pPr>
        <w:spacing w:after="172" w:line="480" w:lineRule="auto"/>
        <w:ind w:left="724" w:right="497" w:hanging="720"/>
        <w:rPr>
          <w:rFonts w:eastAsia="Times New Roman" w:cs="Times New Roman"/>
          <w:bCs/>
          <w:sz w:val="20"/>
          <w:szCs w:val="20"/>
          <w:lang w:val="en-US"/>
        </w:rPr>
      </w:pPr>
      <w:proofErr w:type="gramStart"/>
      <w:r w:rsidRPr="002A7E1D">
        <w:rPr>
          <w:rFonts w:eastAsia="Times New Roman" w:cs="Times New Roman"/>
          <w:bCs/>
          <w:sz w:val="20"/>
          <w:szCs w:val="20"/>
          <w:highlight w:val="yellow"/>
          <w:lang w:val="en-US"/>
        </w:rPr>
        <w:t>United Nations.</w:t>
      </w:r>
      <w:proofErr w:type="gramEnd"/>
      <w:r w:rsidRPr="002A7E1D">
        <w:rPr>
          <w:rFonts w:eastAsia="Times New Roman" w:cs="Times New Roman"/>
          <w:bCs/>
          <w:sz w:val="20"/>
          <w:szCs w:val="20"/>
          <w:highlight w:val="yellow"/>
          <w:lang w:val="en-US"/>
        </w:rPr>
        <w:t xml:space="preserve"> (2015). </w:t>
      </w:r>
      <w:r w:rsidRPr="002A7E1D">
        <w:rPr>
          <w:rFonts w:eastAsia="Times New Roman" w:cs="Times New Roman"/>
          <w:bCs/>
          <w:i/>
          <w:iCs/>
          <w:sz w:val="20"/>
          <w:szCs w:val="20"/>
          <w:highlight w:val="yellow"/>
          <w:lang w:val="en-US"/>
        </w:rPr>
        <w:t>Transforming Our World: The 2030 Agenda for Sustainable Development</w:t>
      </w:r>
      <w:r w:rsidRPr="002A7E1D">
        <w:rPr>
          <w:rFonts w:eastAsia="Times New Roman" w:cs="Times New Roman"/>
          <w:bCs/>
          <w:sz w:val="20"/>
          <w:szCs w:val="20"/>
          <w:highlight w:val="yellow"/>
          <w:lang w:val="en-US"/>
        </w:rPr>
        <w:t xml:space="preserve">. United Nations General Assembly. </w:t>
      </w:r>
      <w:hyperlink r:id="rId46" w:history="1">
        <w:r w:rsidRPr="002A7E1D">
          <w:rPr>
            <w:rStyle w:val="Hyperlink"/>
            <w:rFonts w:eastAsia="Times New Roman" w:cs="Times New Roman"/>
            <w:bCs/>
            <w:sz w:val="20"/>
            <w:szCs w:val="20"/>
            <w:highlight w:val="yellow"/>
          </w:rPr>
          <w:t>https://scholar.google.com/scholar?hl=en&amp;as_sdt=0%2C5&amp;q=United+Nations.+%282015%29.+Transforming+Our+World%3A+The+2030+Agenda+for+Sustainable+Development.+United+Nations+General+Assembly.&amp;btnG</w:t>
        </w:r>
      </w:hyperlink>
    </w:p>
    <w:p w14:paraId="3C84C46D" w14:textId="77777777" w:rsidR="00BB68C0" w:rsidRPr="00BB68C0" w:rsidRDefault="00BB68C0" w:rsidP="006F1AF8">
      <w:pPr>
        <w:spacing w:after="172" w:line="480" w:lineRule="auto"/>
        <w:ind w:left="724" w:right="497" w:hanging="720"/>
        <w:rPr>
          <w:rFonts w:cs="Times New Roman"/>
          <w:sz w:val="20"/>
          <w:szCs w:val="20"/>
        </w:rPr>
      </w:pPr>
      <w:r w:rsidRPr="003576AC">
        <w:rPr>
          <w:rFonts w:cs="Times New Roman"/>
          <w:sz w:val="20"/>
          <w:szCs w:val="20"/>
          <w:highlight w:val="green"/>
          <w:lang w:val="nl-BE"/>
        </w:rPr>
        <w:t xml:space="preserve">Wang, Y., Yu, S., &amp; Xu, T. (2017). </w:t>
      </w:r>
      <w:r w:rsidRPr="003576AC">
        <w:rPr>
          <w:rFonts w:cs="Times New Roman"/>
          <w:sz w:val="20"/>
          <w:szCs w:val="20"/>
          <w:highlight w:val="green"/>
        </w:rPr>
        <w:t xml:space="preserve">Advanced Engineering Informatics. A user requirement driven framework for collaborative design knowledge management. </w:t>
      </w:r>
      <w:r w:rsidRPr="003576AC">
        <w:rPr>
          <w:rFonts w:cs="Times New Roman"/>
          <w:i/>
          <w:sz w:val="20"/>
          <w:szCs w:val="20"/>
          <w:highlight w:val="green"/>
        </w:rPr>
        <w:t>Advanced Engineering Informatics</w:t>
      </w:r>
      <w:r w:rsidRPr="003576AC">
        <w:rPr>
          <w:rFonts w:cs="Times New Roman"/>
          <w:sz w:val="20"/>
          <w:szCs w:val="20"/>
          <w:highlight w:val="green"/>
        </w:rPr>
        <w:t xml:space="preserve">, </w:t>
      </w:r>
      <w:r w:rsidRPr="003576AC">
        <w:rPr>
          <w:rFonts w:cs="Times New Roman"/>
          <w:i/>
          <w:sz w:val="20"/>
          <w:szCs w:val="20"/>
          <w:highlight w:val="green"/>
        </w:rPr>
        <w:lastRenderedPageBreak/>
        <w:t>33</w:t>
      </w:r>
      <w:r w:rsidRPr="003576AC">
        <w:rPr>
          <w:rFonts w:cs="Times New Roman"/>
          <w:sz w:val="20"/>
          <w:szCs w:val="20"/>
          <w:highlight w:val="green"/>
        </w:rPr>
        <w:t xml:space="preserve">, 16– 28. </w:t>
      </w:r>
      <w:hyperlink r:id="rId47" w:history="1">
        <w:r w:rsidRPr="003576AC">
          <w:rPr>
            <w:rStyle w:val="Hyperlink"/>
            <w:rFonts w:cs="Times New Roman"/>
            <w:sz w:val="20"/>
            <w:szCs w:val="20"/>
            <w:highlight w:val="green"/>
          </w:rPr>
          <w:t>https://scholar.google.com/scholar?hl=en&amp;as_sdt=0%2C5&amp;q=%22Wang%2C+Y.%2C+Yu%2C+S.%2C+%26+Xu%2C+T.+%282017%29.+Advanced+Engineering+Informatics.+A+user+requirement+driven+framework+for+collaborative+design+knowledge+management.+Advanced+Engineering+Informatics%2C+33%2C+16%E2%80%93+28.++%22&amp;btnG</w:t>
        </w:r>
      </w:hyperlink>
      <w:r w:rsidRPr="00BB68C0">
        <w:rPr>
          <w:rFonts w:cs="Times New Roman"/>
          <w:sz w:val="20"/>
          <w:szCs w:val="20"/>
        </w:rPr>
        <w:t xml:space="preserve">   </w:t>
      </w:r>
    </w:p>
    <w:p w14:paraId="4C706576" w14:textId="77777777" w:rsidR="00BB68C0" w:rsidRPr="00BB68C0" w:rsidRDefault="00BB68C0" w:rsidP="006F1AF8">
      <w:pPr>
        <w:spacing w:after="172" w:line="480" w:lineRule="auto"/>
        <w:ind w:left="724" w:right="497" w:hanging="720"/>
        <w:rPr>
          <w:rFonts w:eastAsia="Times New Roman" w:cs="Times New Roman"/>
          <w:bCs/>
          <w:sz w:val="20"/>
          <w:szCs w:val="20"/>
          <w:lang w:val="en-US"/>
        </w:rPr>
      </w:pPr>
      <w:proofErr w:type="spellStart"/>
      <w:r w:rsidRPr="002A7E1D">
        <w:rPr>
          <w:rFonts w:eastAsia="Times New Roman" w:cs="Times New Roman"/>
          <w:bCs/>
          <w:sz w:val="20"/>
          <w:szCs w:val="20"/>
          <w:highlight w:val="yellow"/>
          <w:lang w:val="en-US"/>
        </w:rPr>
        <w:t>Whittal</w:t>
      </w:r>
      <w:proofErr w:type="spellEnd"/>
      <w:r w:rsidRPr="002A7E1D">
        <w:rPr>
          <w:rFonts w:eastAsia="Times New Roman" w:cs="Times New Roman"/>
          <w:bCs/>
          <w:sz w:val="20"/>
          <w:szCs w:val="20"/>
          <w:highlight w:val="yellow"/>
          <w:lang w:val="en-US"/>
        </w:rPr>
        <w:t xml:space="preserve">, J. (2014). A new conceptual model for the continuum of land rights. </w:t>
      </w:r>
      <w:r w:rsidRPr="002A7E1D">
        <w:rPr>
          <w:rFonts w:eastAsia="Times New Roman" w:cs="Times New Roman"/>
          <w:bCs/>
          <w:i/>
          <w:iCs/>
          <w:sz w:val="20"/>
          <w:szCs w:val="20"/>
          <w:highlight w:val="yellow"/>
          <w:lang w:val="en-US"/>
        </w:rPr>
        <w:t>Land Use Policy, 45</w:t>
      </w:r>
      <w:r w:rsidRPr="002A7E1D">
        <w:rPr>
          <w:rFonts w:eastAsia="Times New Roman" w:cs="Times New Roman"/>
          <w:bCs/>
          <w:sz w:val="20"/>
          <w:szCs w:val="20"/>
          <w:highlight w:val="yellow"/>
          <w:lang w:val="en-US"/>
        </w:rPr>
        <w:t xml:space="preserve">, 136–147. </w:t>
      </w:r>
      <w:hyperlink r:id="rId48" w:history="1">
        <w:r w:rsidRPr="002A7E1D">
          <w:rPr>
            <w:rStyle w:val="Hyperlink"/>
            <w:sz w:val="20"/>
            <w:szCs w:val="20"/>
            <w:highlight w:val="yellow"/>
          </w:rPr>
          <w:t>https://scholar.google.com/scholar?hl=en&amp;as_sdt=0%2C5&amp;q=%22Whittal%2C+J.+%282014%29.+A+new+conceptual+model+for+the+continuum+of+land+rights.+Land+Use+Policy%2C+45%2C+136%E2%80%93147%22&amp;btnG</w:t>
        </w:r>
      </w:hyperlink>
    </w:p>
    <w:p w14:paraId="0EF12DDF" w14:textId="77777777" w:rsidR="00BB68C0" w:rsidRPr="00BB68C0" w:rsidRDefault="00BB68C0" w:rsidP="00987A2C">
      <w:pPr>
        <w:spacing w:after="172" w:line="480" w:lineRule="auto"/>
        <w:ind w:left="724" w:right="497" w:hanging="720"/>
        <w:rPr>
          <w:rFonts w:eastAsia="Times New Roman" w:cs="Times New Roman"/>
          <w:bCs/>
          <w:sz w:val="20"/>
          <w:szCs w:val="20"/>
          <w:lang w:val="en-US"/>
        </w:rPr>
      </w:pPr>
      <w:r w:rsidRPr="002A7E1D">
        <w:rPr>
          <w:rFonts w:eastAsia="Times New Roman" w:cs="Times New Roman"/>
          <w:bCs/>
          <w:sz w:val="20"/>
          <w:szCs w:val="20"/>
          <w:highlight w:val="yellow"/>
          <w:lang w:val="en-US"/>
        </w:rPr>
        <w:t xml:space="preserve">Woodman, G. (1987). Land Title Registration Without Prejudice: The Ghana Land Title Registration Law, 1986. </w:t>
      </w:r>
      <w:r w:rsidRPr="002A7E1D">
        <w:rPr>
          <w:rFonts w:eastAsia="Times New Roman" w:cs="Times New Roman"/>
          <w:bCs/>
          <w:i/>
          <w:iCs/>
          <w:sz w:val="20"/>
          <w:szCs w:val="20"/>
          <w:highlight w:val="yellow"/>
          <w:lang w:val="en-US"/>
        </w:rPr>
        <w:t>Journal of African Law</w:t>
      </w:r>
      <w:r w:rsidRPr="002A7E1D">
        <w:rPr>
          <w:rFonts w:eastAsia="Times New Roman" w:cs="Times New Roman"/>
          <w:bCs/>
          <w:sz w:val="20"/>
          <w:szCs w:val="20"/>
          <w:highlight w:val="yellow"/>
          <w:lang w:val="en-US"/>
        </w:rPr>
        <w:t xml:space="preserve">, 31(1), 7-20. </w:t>
      </w:r>
      <w:hyperlink r:id="rId49" w:history="1">
        <w:r w:rsidRPr="002A7E1D">
          <w:rPr>
            <w:rStyle w:val="Hyperlink"/>
            <w:rFonts w:eastAsia="Times New Roman" w:cs="Times New Roman"/>
            <w:bCs/>
            <w:sz w:val="20"/>
            <w:szCs w:val="20"/>
            <w:highlight w:val="yellow"/>
          </w:rPr>
          <w:t>https://scholar.google.com/scholar?hl=en&amp;as_sdt=0%2C5&amp;q=%22Woodman%2C+G.+%281987%29.+Land+Title+Registration+Without+Prejudice%3A+The+Ghana+Land+Title+Registration+Law%2C+1986.+Journal+of+African+Law%2C+31%281%29%2C+7-20.%22&amp;btnG</w:t>
        </w:r>
      </w:hyperlink>
    </w:p>
    <w:p w14:paraId="687942B8" w14:textId="77777777" w:rsidR="000C1523" w:rsidRDefault="00BB68C0" w:rsidP="000C1523">
      <w:pPr>
        <w:spacing w:after="172" w:line="480" w:lineRule="auto"/>
        <w:ind w:left="724" w:right="497" w:hanging="720"/>
      </w:pPr>
      <w:r w:rsidRPr="00A452A0">
        <w:rPr>
          <w:rFonts w:eastAsia="Times New Roman" w:cs="Times New Roman"/>
          <w:bCs/>
          <w:sz w:val="20"/>
          <w:szCs w:val="20"/>
          <w:highlight w:val="green"/>
        </w:rPr>
        <w:t xml:space="preserve">Yeboah, E., &amp; Shaw, D. (2013). </w:t>
      </w:r>
      <w:r w:rsidRPr="00A452A0">
        <w:rPr>
          <w:rFonts w:eastAsia="Times New Roman" w:cs="Times New Roman"/>
          <w:bCs/>
          <w:i/>
          <w:iCs/>
          <w:sz w:val="20"/>
          <w:szCs w:val="20"/>
          <w:highlight w:val="green"/>
        </w:rPr>
        <w:t>Customary land tenure practices in Ghana: Examining the relationship with land-use planning delivery</w:t>
      </w:r>
      <w:r w:rsidRPr="00A452A0">
        <w:rPr>
          <w:rFonts w:eastAsia="Times New Roman" w:cs="Times New Roman"/>
          <w:bCs/>
          <w:sz w:val="20"/>
          <w:szCs w:val="20"/>
          <w:highlight w:val="green"/>
        </w:rPr>
        <w:t xml:space="preserve">. </w:t>
      </w:r>
      <w:r w:rsidRPr="00A452A0">
        <w:rPr>
          <w:rFonts w:eastAsia="Times New Roman" w:cs="Times New Roman"/>
          <w:bCs/>
          <w:i/>
          <w:iCs/>
          <w:sz w:val="20"/>
          <w:szCs w:val="20"/>
          <w:highlight w:val="green"/>
        </w:rPr>
        <w:t>International Development Planning Review, 35</w:t>
      </w:r>
      <w:r w:rsidRPr="00A452A0">
        <w:rPr>
          <w:rFonts w:eastAsia="Times New Roman" w:cs="Times New Roman"/>
          <w:bCs/>
          <w:sz w:val="20"/>
          <w:szCs w:val="20"/>
          <w:highlight w:val="green"/>
        </w:rPr>
        <w:t xml:space="preserve">(1), 21–39. </w:t>
      </w:r>
      <w:hyperlink r:id="rId50" w:history="1">
        <w:r w:rsidRPr="00A452A0">
          <w:rPr>
            <w:rStyle w:val="Hyperlink"/>
            <w:rFonts w:eastAsia="Times New Roman" w:cs="Times New Roman"/>
            <w:bCs/>
            <w:sz w:val="20"/>
            <w:szCs w:val="20"/>
            <w:highlight w:val="green"/>
          </w:rPr>
          <w:t>https://doi.org/10.3828/idpr.2013.3</w:t>
        </w:r>
      </w:hyperlink>
    </w:p>
    <w:p w14:paraId="7ED7C202" w14:textId="77777777" w:rsidR="000C1523" w:rsidRDefault="002B0690" w:rsidP="000C1523">
      <w:pPr>
        <w:spacing w:after="172" w:line="480" w:lineRule="auto"/>
        <w:ind w:left="724" w:right="497" w:hanging="720"/>
      </w:pPr>
      <w:r w:rsidRPr="00030E86">
        <w:rPr>
          <w:rFonts w:eastAsia="Times New Roman" w:cs="Times New Roman"/>
          <w:sz w:val="20"/>
          <w:szCs w:val="20"/>
          <w:highlight w:val="green"/>
        </w:rPr>
        <w:t>World Bank. (201</w:t>
      </w:r>
      <w:r w:rsidR="000C1523" w:rsidRPr="00030E86">
        <w:rPr>
          <w:rFonts w:eastAsia="Times New Roman" w:cs="Times New Roman"/>
          <w:sz w:val="20"/>
          <w:szCs w:val="20"/>
          <w:highlight w:val="green"/>
        </w:rPr>
        <w:t>3</w:t>
      </w:r>
      <w:r w:rsidRPr="00030E86">
        <w:rPr>
          <w:rFonts w:eastAsia="Times New Roman" w:cs="Times New Roman"/>
          <w:sz w:val="20"/>
          <w:szCs w:val="20"/>
          <w:highlight w:val="green"/>
        </w:rPr>
        <w:t xml:space="preserve">). </w:t>
      </w:r>
      <w:r w:rsidRPr="00030E86">
        <w:rPr>
          <w:rFonts w:eastAsia="Times New Roman" w:cs="Times New Roman"/>
          <w:i/>
          <w:iCs/>
          <w:sz w:val="20"/>
          <w:szCs w:val="20"/>
          <w:highlight w:val="green"/>
        </w:rPr>
        <w:t>Project Appraisal Document on a Proposed Credit in the Amount of SDR 32.2 Million (US$50 Million Equivalent) to the Republic of Ghana for a Second Land Administration Project</w:t>
      </w:r>
      <w:r w:rsidRPr="00030E86">
        <w:rPr>
          <w:rFonts w:eastAsia="Times New Roman" w:cs="Times New Roman"/>
          <w:sz w:val="20"/>
          <w:szCs w:val="20"/>
          <w:highlight w:val="green"/>
        </w:rPr>
        <w:t>. Report No. 58334-GH. Washington, D.C.: World Bank .</w:t>
      </w:r>
      <w:hyperlink r:id="rId51" w:tgtFrame="_blank" w:history="1">
        <w:r w:rsidRPr="00030E86">
          <w:rPr>
            <w:rStyle w:val="Hyperlink"/>
            <w:rFonts w:eastAsia="Times New Roman" w:cs="Times New Roman"/>
            <w:sz w:val="20"/>
            <w:szCs w:val="20"/>
            <w:highlight w:val="green"/>
          </w:rPr>
          <w:t>IEG World Bank Group</w:t>
        </w:r>
      </w:hyperlink>
    </w:p>
    <w:p w14:paraId="23A68FD4" w14:textId="77777777" w:rsidR="002B0690" w:rsidRPr="00BB68C0" w:rsidRDefault="002B0690" w:rsidP="00464FC1">
      <w:pPr>
        <w:spacing w:after="172" w:line="480" w:lineRule="auto"/>
        <w:ind w:left="724" w:right="497" w:hanging="720"/>
        <w:rPr>
          <w:rFonts w:eastAsia="Times New Roman" w:cs="Times New Roman"/>
          <w:bCs/>
          <w:sz w:val="20"/>
          <w:szCs w:val="20"/>
          <w:lang w:val="en-US"/>
        </w:rPr>
      </w:pPr>
    </w:p>
    <w:sectPr w:rsidR="002B0690" w:rsidRPr="00BB68C0" w:rsidSect="008462BD">
      <w:headerReference w:type="even" r:id="rId52"/>
      <w:headerReference w:type="default" r:id="rId53"/>
      <w:footerReference w:type="even" r:id="rId54"/>
      <w:footerReference w:type="default" r:id="rId55"/>
      <w:headerReference w:type="first" r:id="rId56"/>
      <w:footerReference w:type="first" r:id="rId5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620DB" w14:textId="77777777" w:rsidR="00B34966" w:rsidRDefault="00B34966" w:rsidP="00DD02C7">
      <w:pPr>
        <w:spacing w:before="0" w:after="0" w:line="240" w:lineRule="auto"/>
      </w:pPr>
      <w:r>
        <w:separator/>
      </w:r>
    </w:p>
  </w:endnote>
  <w:endnote w:type="continuationSeparator" w:id="0">
    <w:p w14:paraId="353B92EF" w14:textId="77777777" w:rsidR="00B34966" w:rsidRDefault="00B34966" w:rsidP="00DD02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8A47A" w14:textId="77777777" w:rsidR="00DD02C7" w:rsidRDefault="00DD0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4DE9A" w14:textId="77777777" w:rsidR="00DD02C7" w:rsidRDefault="00DD02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7C45F" w14:textId="77777777" w:rsidR="00DD02C7" w:rsidRDefault="00DD0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65DF8" w14:textId="77777777" w:rsidR="00B34966" w:rsidRDefault="00B34966" w:rsidP="00DD02C7">
      <w:pPr>
        <w:spacing w:before="0" w:after="0" w:line="240" w:lineRule="auto"/>
      </w:pPr>
      <w:r>
        <w:separator/>
      </w:r>
    </w:p>
  </w:footnote>
  <w:footnote w:type="continuationSeparator" w:id="0">
    <w:p w14:paraId="72925DFE" w14:textId="77777777" w:rsidR="00B34966" w:rsidRDefault="00B34966" w:rsidP="00DD02C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679E4" w14:textId="45231BBD" w:rsidR="00DD02C7" w:rsidRDefault="00B34966">
    <w:pPr>
      <w:pStyle w:val="Header"/>
    </w:pPr>
    <w:r>
      <w:rPr>
        <w:noProof/>
      </w:rPr>
      <w:pict w14:anchorId="22D7A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13"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92F46" w14:textId="47FB093C" w:rsidR="00DD02C7" w:rsidRDefault="00B34966">
    <w:pPr>
      <w:pStyle w:val="Header"/>
    </w:pPr>
    <w:r>
      <w:rPr>
        <w:noProof/>
      </w:rPr>
      <w:pict w14:anchorId="435FA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1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C0081" w14:textId="3B856410" w:rsidR="00DD02C7" w:rsidRDefault="00B34966">
    <w:pPr>
      <w:pStyle w:val="Header"/>
    </w:pPr>
    <w:r>
      <w:rPr>
        <w:noProof/>
      </w:rPr>
      <w:pict w14:anchorId="5A52F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12"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CEA"/>
    <w:multiLevelType w:val="multilevel"/>
    <w:tmpl w:val="1A4C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45574"/>
    <w:multiLevelType w:val="multilevel"/>
    <w:tmpl w:val="1DD2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A6EF0"/>
    <w:multiLevelType w:val="multilevel"/>
    <w:tmpl w:val="7AC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E092A"/>
    <w:multiLevelType w:val="multilevel"/>
    <w:tmpl w:val="8004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9F513E"/>
    <w:multiLevelType w:val="multilevel"/>
    <w:tmpl w:val="52027C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45EF1678"/>
    <w:multiLevelType w:val="multilevel"/>
    <w:tmpl w:val="436270D4"/>
    <w:lvl w:ilvl="0">
      <w:start w:val="2"/>
      <w:numFmt w:val="decimal"/>
      <w:lvlText w:val="%1"/>
      <w:lvlJc w:val="left"/>
      <w:pPr>
        <w:ind w:left="360" w:hanging="360"/>
      </w:pPr>
      <w:rPr>
        <w:rFonts w:hint="default"/>
      </w:rPr>
    </w:lvl>
    <w:lvl w:ilvl="1">
      <w:start w:val="2"/>
      <w:numFmt w:val="decimal"/>
      <w:lvlText w:val="%1.%2"/>
      <w:lvlJc w:val="left"/>
      <w:pPr>
        <w:ind w:left="702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F1E4FCA"/>
    <w:multiLevelType w:val="multilevel"/>
    <w:tmpl w:val="781C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9529AC"/>
    <w:multiLevelType w:val="multilevel"/>
    <w:tmpl w:val="CDD4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A858F6"/>
    <w:multiLevelType w:val="multilevel"/>
    <w:tmpl w:val="2A3A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1D1D33"/>
    <w:multiLevelType w:val="multilevel"/>
    <w:tmpl w:val="EDFE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A94581"/>
    <w:multiLevelType w:val="hybridMultilevel"/>
    <w:tmpl w:val="739CC50C"/>
    <w:lvl w:ilvl="0" w:tplc="FE629722">
      <w:start w:val="1"/>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A8C5EF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360C30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4667F7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3AFAC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8E4433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C8E4E7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6BC657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BE4227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2"/>
  </w:num>
  <w:num w:numId="3">
    <w:abstractNumId w:val="4"/>
  </w:num>
  <w:num w:numId="4">
    <w:abstractNumId w:val="3"/>
  </w:num>
  <w:num w:numId="5">
    <w:abstractNumId w:val="7"/>
  </w:num>
  <w:num w:numId="6">
    <w:abstractNumId w:val="1"/>
  </w:num>
  <w:num w:numId="7">
    <w:abstractNumId w:val="6"/>
  </w:num>
  <w:num w:numId="8">
    <w:abstractNumId w:val="9"/>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DE9"/>
    <w:rsid w:val="000166D2"/>
    <w:rsid w:val="00030E86"/>
    <w:rsid w:val="00066F57"/>
    <w:rsid w:val="00070588"/>
    <w:rsid w:val="00073097"/>
    <w:rsid w:val="00096F3A"/>
    <w:rsid w:val="000A1808"/>
    <w:rsid w:val="000A2CE9"/>
    <w:rsid w:val="000B1B4B"/>
    <w:rsid w:val="000B2D9B"/>
    <w:rsid w:val="000C1523"/>
    <w:rsid w:val="000F118A"/>
    <w:rsid w:val="000F54F3"/>
    <w:rsid w:val="0010694E"/>
    <w:rsid w:val="00120059"/>
    <w:rsid w:val="00132BBB"/>
    <w:rsid w:val="00137245"/>
    <w:rsid w:val="00141F4B"/>
    <w:rsid w:val="00152C71"/>
    <w:rsid w:val="00162135"/>
    <w:rsid w:val="00175522"/>
    <w:rsid w:val="0018004C"/>
    <w:rsid w:val="00183566"/>
    <w:rsid w:val="001940C7"/>
    <w:rsid w:val="00197990"/>
    <w:rsid w:val="001A0171"/>
    <w:rsid w:val="001A2A7B"/>
    <w:rsid w:val="001A4451"/>
    <w:rsid w:val="001B0176"/>
    <w:rsid w:val="001B1C6C"/>
    <w:rsid w:val="001F1B56"/>
    <w:rsid w:val="002230C8"/>
    <w:rsid w:val="002256CC"/>
    <w:rsid w:val="0024444F"/>
    <w:rsid w:val="0025276C"/>
    <w:rsid w:val="00260C6C"/>
    <w:rsid w:val="00294E51"/>
    <w:rsid w:val="00295A81"/>
    <w:rsid w:val="002A4A74"/>
    <w:rsid w:val="002A7E1D"/>
    <w:rsid w:val="002B0690"/>
    <w:rsid w:val="002E74B8"/>
    <w:rsid w:val="002F5259"/>
    <w:rsid w:val="002F575A"/>
    <w:rsid w:val="002F6AFA"/>
    <w:rsid w:val="00346B9C"/>
    <w:rsid w:val="00347CF3"/>
    <w:rsid w:val="003533B8"/>
    <w:rsid w:val="003550FB"/>
    <w:rsid w:val="003576AC"/>
    <w:rsid w:val="00364C64"/>
    <w:rsid w:val="00383224"/>
    <w:rsid w:val="003869C3"/>
    <w:rsid w:val="003A12F1"/>
    <w:rsid w:val="003A1814"/>
    <w:rsid w:val="003A4B34"/>
    <w:rsid w:val="003B6D6A"/>
    <w:rsid w:val="003B73B3"/>
    <w:rsid w:val="003C2D8E"/>
    <w:rsid w:val="003C5DE9"/>
    <w:rsid w:val="003D0C89"/>
    <w:rsid w:val="003D63EC"/>
    <w:rsid w:val="003D7562"/>
    <w:rsid w:val="003F2414"/>
    <w:rsid w:val="003F3325"/>
    <w:rsid w:val="003F3E58"/>
    <w:rsid w:val="00435048"/>
    <w:rsid w:val="00442FF8"/>
    <w:rsid w:val="00457422"/>
    <w:rsid w:val="00463B7C"/>
    <w:rsid w:val="00464FC1"/>
    <w:rsid w:val="004777BC"/>
    <w:rsid w:val="00477E7C"/>
    <w:rsid w:val="004845D5"/>
    <w:rsid w:val="004B3BC5"/>
    <w:rsid w:val="004D2561"/>
    <w:rsid w:val="004D3973"/>
    <w:rsid w:val="004E5F6C"/>
    <w:rsid w:val="004F306F"/>
    <w:rsid w:val="004F7063"/>
    <w:rsid w:val="005119D6"/>
    <w:rsid w:val="00521492"/>
    <w:rsid w:val="00521866"/>
    <w:rsid w:val="00531F30"/>
    <w:rsid w:val="0053284F"/>
    <w:rsid w:val="00540CC8"/>
    <w:rsid w:val="00556C85"/>
    <w:rsid w:val="005670A0"/>
    <w:rsid w:val="0058057F"/>
    <w:rsid w:val="005811C2"/>
    <w:rsid w:val="0058499E"/>
    <w:rsid w:val="00590C7A"/>
    <w:rsid w:val="005A3A44"/>
    <w:rsid w:val="005B37AB"/>
    <w:rsid w:val="005C18D8"/>
    <w:rsid w:val="005C3A99"/>
    <w:rsid w:val="005E2807"/>
    <w:rsid w:val="005F59B4"/>
    <w:rsid w:val="006343CF"/>
    <w:rsid w:val="00646038"/>
    <w:rsid w:val="00646526"/>
    <w:rsid w:val="00650269"/>
    <w:rsid w:val="00651BF5"/>
    <w:rsid w:val="00652775"/>
    <w:rsid w:val="006536A7"/>
    <w:rsid w:val="00665226"/>
    <w:rsid w:val="006920EC"/>
    <w:rsid w:val="00695E77"/>
    <w:rsid w:val="006B26D1"/>
    <w:rsid w:val="006B30C7"/>
    <w:rsid w:val="006B57B9"/>
    <w:rsid w:val="006B76C2"/>
    <w:rsid w:val="006C2BA7"/>
    <w:rsid w:val="006E55C0"/>
    <w:rsid w:val="006F1AF8"/>
    <w:rsid w:val="00711219"/>
    <w:rsid w:val="00714BBB"/>
    <w:rsid w:val="00722DC1"/>
    <w:rsid w:val="00723E24"/>
    <w:rsid w:val="007522BF"/>
    <w:rsid w:val="00764D87"/>
    <w:rsid w:val="00774BB4"/>
    <w:rsid w:val="00785083"/>
    <w:rsid w:val="00790076"/>
    <w:rsid w:val="007A663B"/>
    <w:rsid w:val="007C3F8A"/>
    <w:rsid w:val="007C75C5"/>
    <w:rsid w:val="007C7F29"/>
    <w:rsid w:val="007D04D6"/>
    <w:rsid w:val="007D593E"/>
    <w:rsid w:val="007F10A1"/>
    <w:rsid w:val="008120E5"/>
    <w:rsid w:val="00831D5D"/>
    <w:rsid w:val="00832EB9"/>
    <w:rsid w:val="008462BD"/>
    <w:rsid w:val="008476E7"/>
    <w:rsid w:val="0085205F"/>
    <w:rsid w:val="00872D14"/>
    <w:rsid w:val="008E74C8"/>
    <w:rsid w:val="009106DF"/>
    <w:rsid w:val="00910DC0"/>
    <w:rsid w:val="00926A68"/>
    <w:rsid w:val="00930834"/>
    <w:rsid w:val="00946BF7"/>
    <w:rsid w:val="0094700B"/>
    <w:rsid w:val="00963B10"/>
    <w:rsid w:val="00972A3F"/>
    <w:rsid w:val="00987A2C"/>
    <w:rsid w:val="0099503C"/>
    <w:rsid w:val="009A0788"/>
    <w:rsid w:val="009B350D"/>
    <w:rsid w:val="00A15DF3"/>
    <w:rsid w:val="00A23A99"/>
    <w:rsid w:val="00A44FAD"/>
    <w:rsid w:val="00A452A0"/>
    <w:rsid w:val="00A51809"/>
    <w:rsid w:val="00A75FA9"/>
    <w:rsid w:val="00A876E5"/>
    <w:rsid w:val="00A9019B"/>
    <w:rsid w:val="00A94DCB"/>
    <w:rsid w:val="00A97550"/>
    <w:rsid w:val="00AD2639"/>
    <w:rsid w:val="00AD2E7E"/>
    <w:rsid w:val="00B076D1"/>
    <w:rsid w:val="00B132D6"/>
    <w:rsid w:val="00B24DF9"/>
    <w:rsid w:val="00B34966"/>
    <w:rsid w:val="00B35084"/>
    <w:rsid w:val="00B55297"/>
    <w:rsid w:val="00B72BB0"/>
    <w:rsid w:val="00B853A3"/>
    <w:rsid w:val="00B9731A"/>
    <w:rsid w:val="00BB4738"/>
    <w:rsid w:val="00BB68C0"/>
    <w:rsid w:val="00BD15B3"/>
    <w:rsid w:val="00BE6009"/>
    <w:rsid w:val="00BF3C2E"/>
    <w:rsid w:val="00C10DC6"/>
    <w:rsid w:val="00C25BFB"/>
    <w:rsid w:val="00C348C1"/>
    <w:rsid w:val="00C35AC5"/>
    <w:rsid w:val="00C478A4"/>
    <w:rsid w:val="00C52030"/>
    <w:rsid w:val="00C52405"/>
    <w:rsid w:val="00C56FFA"/>
    <w:rsid w:val="00C761C5"/>
    <w:rsid w:val="00C7696C"/>
    <w:rsid w:val="00CA53BB"/>
    <w:rsid w:val="00CF7D73"/>
    <w:rsid w:val="00D15117"/>
    <w:rsid w:val="00D2660B"/>
    <w:rsid w:val="00D26DFA"/>
    <w:rsid w:val="00D2787C"/>
    <w:rsid w:val="00D36DA0"/>
    <w:rsid w:val="00D406DE"/>
    <w:rsid w:val="00D430FB"/>
    <w:rsid w:val="00D450BD"/>
    <w:rsid w:val="00D459DD"/>
    <w:rsid w:val="00D5558A"/>
    <w:rsid w:val="00D74A30"/>
    <w:rsid w:val="00D76605"/>
    <w:rsid w:val="00D93974"/>
    <w:rsid w:val="00DA4612"/>
    <w:rsid w:val="00DD02C7"/>
    <w:rsid w:val="00DD135E"/>
    <w:rsid w:val="00DD3A27"/>
    <w:rsid w:val="00E20F0A"/>
    <w:rsid w:val="00E249A6"/>
    <w:rsid w:val="00E3048E"/>
    <w:rsid w:val="00E314D5"/>
    <w:rsid w:val="00E350FC"/>
    <w:rsid w:val="00E540B9"/>
    <w:rsid w:val="00E5696D"/>
    <w:rsid w:val="00E62993"/>
    <w:rsid w:val="00E77423"/>
    <w:rsid w:val="00EA668F"/>
    <w:rsid w:val="00EB711B"/>
    <w:rsid w:val="00EE3348"/>
    <w:rsid w:val="00EF3F5D"/>
    <w:rsid w:val="00EF604F"/>
    <w:rsid w:val="00F00F0A"/>
    <w:rsid w:val="00F016CB"/>
    <w:rsid w:val="00F45751"/>
    <w:rsid w:val="00F54DFB"/>
    <w:rsid w:val="00F71B8D"/>
    <w:rsid w:val="00F72582"/>
    <w:rsid w:val="00F9232C"/>
    <w:rsid w:val="00FA2E81"/>
    <w:rsid w:val="00FA6FF6"/>
    <w:rsid w:val="00FB615B"/>
    <w:rsid w:val="00FC75D5"/>
    <w:rsid w:val="00FD526D"/>
    <w:rsid w:val="00FD75E8"/>
    <w:rsid w:val="00FE7CFF"/>
    <w:rsid w:val="00FF2E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31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2"/>
        <w:lang w:val="en-US" w:eastAsia="zh-TW" w:bidi="ar-SA"/>
        <w14:ligatures w14:val="standardContextual"/>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4F"/>
    <w:rPr>
      <w:lang w:val="en-GB"/>
    </w:rPr>
  </w:style>
  <w:style w:type="paragraph" w:styleId="Heading1">
    <w:name w:val="heading 1"/>
    <w:basedOn w:val="Normal"/>
    <w:next w:val="Normal"/>
    <w:link w:val="Heading1Char"/>
    <w:uiPriority w:val="9"/>
    <w:qFormat/>
    <w:rsid w:val="003C5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5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5DE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C5D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3C5DE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5D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3C5D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DE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DE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DE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3C5DE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3C5DE9"/>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3C5DE9"/>
    <w:rPr>
      <w:rFonts w:asciiTheme="minorHAnsi" w:eastAsiaTheme="majorEastAsia" w:hAnsiTheme="minorHAnsi" w:cstheme="majorBidi"/>
      <w:i/>
      <w:iCs/>
      <w:color w:val="2F5496" w:themeColor="accent1" w:themeShade="BF"/>
      <w:lang w:val="en-GB"/>
    </w:rPr>
  </w:style>
  <w:style w:type="character" w:customStyle="1" w:styleId="Heading5Char">
    <w:name w:val="Heading 5 Char"/>
    <w:basedOn w:val="DefaultParagraphFont"/>
    <w:link w:val="Heading5"/>
    <w:uiPriority w:val="9"/>
    <w:rsid w:val="003C5DE9"/>
    <w:rPr>
      <w:rFonts w:asciiTheme="minorHAnsi" w:eastAsiaTheme="majorEastAsia" w:hAnsiTheme="min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3C5DE9"/>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rsid w:val="003C5DE9"/>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3C5DE9"/>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C5DE9"/>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3C5DE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DE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C5D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DE9"/>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C5D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5DE9"/>
    <w:rPr>
      <w:i/>
      <w:iCs/>
      <w:color w:val="404040" w:themeColor="text1" w:themeTint="BF"/>
      <w:lang w:val="en-GB"/>
    </w:rPr>
  </w:style>
  <w:style w:type="paragraph" w:styleId="ListParagraph">
    <w:name w:val="List Paragraph"/>
    <w:basedOn w:val="Normal"/>
    <w:uiPriority w:val="34"/>
    <w:qFormat/>
    <w:rsid w:val="003C5DE9"/>
    <w:pPr>
      <w:ind w:left="720"/>
      <w:contextualSpacing/>
    </w:pPr>
  </w:style>
  <w:style w:type="character" w:styleId="IntenseEmphasis">
    <w:name w:val="Intense Emphasis"/>
    <w:basedOn w:val="DefaultParagraphFont"/>
    <w:uiPriority w:val="21"/>
    <w:qFormat/>
    <w:rsid w:val="003C5DE9"/>
    <w:rPr>
      <w:i/>
      <w:iCs/>
      <w:color w:val="2F5496" w:themeColor="accent1" w:themeShade="BF"/>
    </w:rPr>
  </w:style>
  <w:style w:type="paragraph" w:styleId="IntenseQuote">
    <w:name w:val="Intense Quote"/>
    <w:basedOn w:val="Normal"/>
    <w:next w:val="Normal"/>
    <w:link w:val="IntenseQuoteChar"/>
    <w:uiPriority w:val="30"/>
    <w:qFormat/>
    <w:rsid w:val="003C5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DE9"/>
    <w:rPr>
      <w:i/>
      <w:iCs/>
      <w:color w:val="2F5496" w:themeColor="accent1" w:themeShade="BF"/>
      <w:lang w:val="en-GB"/>
    </w:rPr>
  </w:style>
  <w:style w:type="character" w:styleId="IntenseReference">
    <w:name w:val="Intense Reference"/>
    <w:basedOn w:val="DefaultParagraphFont"/>
    <w:uiPriority w:val="32"/>
    <w:qFormat/>
    <w:rsid w:val="003C5DE9"/>
    <w:rPr>
      <w:b/>
      <w:bCs/>
      <w:smallCaps/>
      <w:color w:val="2F5496" w:themeColor="accent1" w:themeShade="BF"/>
      <w:spacing w:val="5"/>
    </w:rPr>
  </w:style>
  <w:style w:type="table" w:customStyle="1" w:styleId="TableGrid">
    <w:name w:val="TableGrid"/>
    <w:rsid w:val="008462BD"/>
    <w:pPr>
      <w:spacing w:before="0" w:after="0" w:line="240" w:lineRule="auto"/>
      <w:jc w:val="left"/>
    </w:pPr>
    <w:rPr>
      <w:rFonts w:asciiTheme="minorHAnsi" w:hAnsiTheme="minorHAnsi"/>
      <w:szCs w:val="24"/>
    </w:rPr>
    <w:tblPr>
      <w:tblCellMar>
        <w:top w:w="0" w:type="dxa"/>
        <w:left w:w="0" w:type="dxa"/>
        <w:bottom w:w="0" w:type="dxa"/>
        <w:right w:w="0" w:type="dxa"/>
      </w:tblCellMar>
    </w:tblPr>
  </w:style>
  <w:style w:type="character" w:styleId="Hyperlink">
    <w:name w:val="Hyperlink"/>
    <w:basedOn w:val="DefaultParagraphFont"/>
    <w:uiPriority w:val="99"/>
    <w:unhideWhenUsed/>
    <w:rsid w:val="004845D5"/>
    <w:rPr>
      <w:color w:val="0563C1" w:themeColor="hyperlink"/>
      <w:u w:val="single"/>
    </w:rPr>
  </w:style>
  <w:style w:type="character" w:customStyle="1" w:styleId="UnresolvedMention">
    <w:name w:val="Unresolved Mention"/>
    <w:basedOn w:val="DefaultParagraphFont"/>
    <w:uiPriority w:val="99"/>
    <w:semiHidden/>
    <w:unhideWhenUsed/>
    <w:rsid w:val="004845D5"/>
    <w:rPr>
      <w:color w:val="605E5C"/>
      <w:shd w:val="clear" w:color="auto" w:fill="E1DFDD"/>
    </w:rPr>
  </w:style>
  <w:style w:type="table" w:styleId="TableGrid0">
    <w:name w:val="Table Grid"/>
    <w:basedOn w:val="TableNormal"/>
    <w:uiPriority w:val="39"/>
    <w:rsid w:val="005670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45"/>
    <w:rsid w:val="006652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D278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F72582"/>
    <w:rPr>
      <w:color w:val="954F72" w:themeColor="followedHyperlink"/>
      <w:u w:val="single"/>
    </w:rPr>
  </w:style>
  <w:style w:type="paragraph" w:styleId="NormalWeb">
    <w:name w:val="Normal (Web)"/>
    <w:basedOn w:val="Normal"/>
    <w:uiPriority w:val="99"/>
    <w:semiHidden/>
    <w:unhideWhenUsed/>
    <w:rsid w:val="00D26DFA"/>
    <w:rPr>
      <w:rFonts w:cs="Times New Roman"/>
      <w:szCs w:val="24"/>
    </w:rPr>
  </w:style>
  <w:style w:type="paragraph" w:styleId="Header">
    <w:name w:val="header"/>
    <w:basedOn w:val="Normal"/>
    <w:link w:val="HeaderChar"/>
    <w:uiPriority w:val="99"/>
    <w:unhideWhenUsed/>
    <w:rsid w:val="00DD02C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D02C7"/>
    <w:rPr>
      <w:lang w:val="en-GB"/>
    </w:rPr>
  </w:style>
  <w:style w:type="paragraph" w:styleId="Footer">
    <w:name w:val="footer"/>
    <w:basedOn w:val="Normal"/>
    <w:link w:val="FooterChar"/>
    <w:uiPriority w:val="99"/>
    <w:unhideWhenUsed/>
    <w:rsid w:val="00DD02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D02C7"/>
    <w:rPr>
      <w:lang w:val="en-GB"/>
    </w:rPr>
  </w:style>
  <w:style w:type="table" w:customStyle="1" w:styleId="TableGrid2">
    <w:name w:val="Table Grid2"/>
    <w:basedOn w:val="TableNormal"/>
    <w:uiPriority w:val="59"/>
    <w:rsid w:val="00CA53BB"/>
    <w:pPr>
      <w:spacing w:before="0" w:after="0" w:line="240" w:lineRule="auto"/>
      <w:jc w:val="left"/>
    </w:pPr>
    <w:rPr>
      <w:rFonts w:ascii="Calibri" w:eastAsia="Calibri" w:hAnsi="Calibri" w:cs="Times New Roman"/>
      <w:kern w:val="0"/>
      <w:sz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2"/>
        <w:lang w:val="en-US" w:eastAsia="zh-TW" w:bidi="ar-SA"/>
        <w14:ligatures w14:val="standardContextual"/>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4F"/>
    <w:rPr>
      <w:lang w:val="en-GB"/>
    </w:rPr>
  </w:style>
  <w:style w:type="paragraph" w:styleId="Heading1">
    <w:name w:val="heading 1"/>
    <w:basedOn w:val="Normal"/>
    <w:next w:val="Normal"/>
    <w:link w:val="Heading1Char"/>
    <w:uiPriority w:val="9"/>
    <w:qFormat/>
    <w:rsid w:val="003C5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5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5DE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C5D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3C5DE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5D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3C5D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DE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DE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DE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3C5DE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3C5DE9"/>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3C5DE9"/>
    <w:rPr>
      <w:rFonts w:asciiTheme="minorHAnsi" w:eastAsiaTheme="majorEastAsia" w:hAnsiTheme="minorHAnsi" w:cstheme="majorBidi"/>
      <w:i/>
      <w:iCs/>
      <w:color w:val="2F5496" w:themeColor="accent1" w:themeShade="BF"/>
      <w:lang w:val="en-GB"/>
    </w:rPr>
  </w:style>
  <w:style w:type="character" w:customStyle="1" w:styleId="Heading5Char">
    <w:name w:val="Heading 5 Char"/>
    <w:basedOn w:val="DefaultParagraphFont"/>
    <w:link w:val="Heading5"/>
    <w:uiPriority w:val="9"/>
    <w:rsid w:val="003C5DE9"/>
    <w:rPr>
      <w:rFonts w:asciiTheme="minorHAnsi" w:eastAsiaTheme="majorEastAsia" w:hAnsiTheme="min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3C5DE9"/>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rsid w:val="003C5DE9"/>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3C5DE9"/>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C5DE9"/>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3C5DE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DE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C5D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DE9"/>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C5D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5DE9"/>
    <w:rPr>
      <w:i/>
      <w:iCs/>
      <w:color w:val="404040" w:themeColor="text1" w:themeTint="BF"/>
      <w:lang w:val="en-GB"/>
    </w:rPr>
  </w:style>
  <w:style w:type="paragraph" w:styleId="ListParagraph">
    <w:name w:val="List Paragraph"/>
    <w:basedOn w:val="Normal"/>
    <w:uiPriority w:val="34"/>
    <w:qFormat/>
    <w:rsid w:val="003C5DE9"/>
    <w:pPr>
      <w:ind w:left="720"/>
      <w:contextualSpacing/>
    </w:pPr>
  </w:style>
  <w:style w:type="character" w:styleId="IntenseEmphasis">
    <w:name w:val="Intense Emphasis"/>
    <w:basedOn w:val="DefaultParagraphFont"/>
    <w:uiPriority w:val="21"/>
    <w:qFormat/>
    <w:rsid w:val="003C5DE9"/>
    <w:rPr>
      <w:i/>
      <w:iCs/>
      <w:color w:val="2F5496" w:themeColor="accent1" w:themeShade="BF"/>
    </w:rPr>
  </w:style>
  <w:style w:type="paragraph" w:styleId="IntenseQuote">
    <w:name w:val="Intense Quote"/>
    <w:basedOn w:val="Normal"/>
    <w:next w:val="Normal"/>
    <w:link w:val="IntenseQuoteChar"/>
    <w:uiPriority w:val="30"/>
    <w:qFormat/>
    <w:rsid w:val="003C5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DE9"/>
    <w:rPr>
      <w:i/>
      <w:iCs/>
      <w:color w:val="2F5496" w:themeColor="accent1" w:themeShade="BF"/>
      <w:lang w:val="en-GB"/>
    </w:rPr>
  </w:style>
  <w:style w:type="character" w:styleId="IntenseReference">
    <w:name w:val="Intense Reference"/>
    <w:basedOn w:val="DefaultParagraphFont"/>
    <w:uiPriority w:val="32"/>
    <w:qFormat/>
    <w:rsid w:val="003C5DE9"/>
    <w:rPr>
      <w:b/>
      <w:bCs/>
      <w:smallCaps/>
      <w:color w:val="2F5496" w:themeColor="accent1" w:themeShade="BF"/>
      <w:spacing w:val="5"/>
    </w:rPr>
  </w:style>
  <w:style w:type="table" w:customStyle="1" w:styleId="TableGrid">
    <w:name w:val="TableGrid"/>
    <w:rsid w:val="008462BD"/>
    <w:pPr>
      <w:spacing w:before="0" w:after="0" w:line="240" w:lineRule="auto"/>
      <w:jc w:val="left"/>
    </w:pPr>
    <w:rPr>
      <w:rFonts w:asciiTheme="minorHAnsi" w:hAnsiTheme="minorHAnsi"/>
      <w:szCs w:val="24"/>
    </w:rPr>
    <w:tblPr>
      <w:tblCellMar>
        <w:top w:w="0" w:type="dxa"/>
        <w:left w:w="0" w:type="dxa"/>
        <w:bottom w:w="0" w:type="dxa"/>
        <w:right w:w="0" w:type="dxa"/>
      </w:tblCellMar>
    </w:tblPr>
  </w:style>
  <w:style w:type="character" w:styleId="Hyperlink">
    <w:name w:val="Hyperlink"/>
    <w:basedOn w:val="DefaultParagraphFont"/>
    <w:uiPriority w:val="99"/>
    <w:unhideWhenUsed/>
    <w:rsid w:val="004845D5"/>
    <w:rPr>
      <w:color w:val="0563C1" w:themeColor="hyperlink"/>
      <w:u w:val="single"/>
    </w:rPr>
  </w:style>
  <w:style w:type="character" w:customStyle="1" w:styleId="UnresolvedMention">
    <w:name w:val="Unresolved Mention"/>
    <w:basedOn w:val="DefaultParagraphFont"/>
    <w:uiPriority w:val="99"/>
    <w:semiHidden/>
    <w:unhideWhenUsed/>
    <w:rsid w:val="004845D5"/>
    <w:rPr>
      <w:color w:val="605E5C"/>
      <w:shd w:val="clear" w:color="auto" w:fill="E1DFDD"/>
    </w:rPr>
  </w:style>
  <w:style w:type="table" w:styleId="TableGrid0">
    <w:name w:val="Table Grid"/>
    <w:basedOn w:val="TableNormal"/>
    <w:uiPriority w:val="39"/>
    <w:rsid w:val="005670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45"/>
    <w:rsid w:val="006652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D278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F72582"/>
    <w:rPr>
      <w:color w:val="954F72" w:themeColor="followedHyperlink"/>
      <w:u w:val="single"/>
    </w:rPr>
  </w:style>
  <w:style w:type="paragraph" w:styleId="NormalWeb">
    <w:name w:val="Normal (Web)"/>
    <w:basedOn w:val="Normal"/>
    <w:uiPriority w:val="99"/>
    <w:semiHidden/>
    <w:unhideWhenUsed/>
    <w:rsid w:val="00D26DFA"/>
    <w:rPr>
      <w:rFonts w:cs="Times New Roman"/>
      <w:szCs w:val="24"/>
    </w:rPr>
  </w:style>
  <w:style w:type="paragraph" w:styleId="Header">
    <w:name w:val="header"/>
    <w:basedOn w:val="Normal"/>
    <w:link w:val="HeaderChar"/>
    <w:uiPriority w:val="99"/>
    <w:unhideWhenUsed/>
    <w:rsid w:val="00DD02C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D02C7"/>
    <w:rPr>
      <w:lang w:val="en-GB"/>
    </w:rPr>
  </w:style>
  <w:style w:type="paragraph" w:styleId="Footer">
    <w:name w:val="footer"/>
    <w:basedOn w:val="Normal"/>
    <w:link w:val="FooterChar"/>
    <w:uiPriority w:val="99"/>
    <w:unhideWhenUsed/>
    <w:rsid w:val="00DD02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D02C7"/>
    <w:rPr>
      <w:lang w:val="en-GB"/>
    </w:rPr>
  </w:style>
  <w:style w:type="table" w:customStyle="1" w:styleId="TableGrid2">
    <w:name w:val="Table Grid2"/>
    <w:basedOn w:val="TableNormal"/>
    <w:uiPriority w:val="59"/>
    <w:rsid w:val="00CA53BB"/>
    <w:pPr>
      <w:spacing w:before="0" w:after="0" w:line="240" w:lineRule="auto"/>
      <w:jc w:val="left"/>
    </w:pPr>
    <w:rPr>
      <w:rFonts w:ascii="Calibri" w:eastAsia="Calibri" w:hAnsi="Calibri" w:cs="Times New Roman"/>
      <w:kern w:val="0"/>
      <w:sz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9715">
      <w:bodyDiv w:val="1"/>
      <w:marLeft w:val="0"/>
      <w:marRight w:val="0"/>
      <w:marTop w:val="0"/>
      <w:marBottom w:val="0"/>
      <w:divBdr>
        <w:top w:val="none" w:sz="0" w:space="0" w:color="auto"/>
        <w:left w:val="none" w:sz="0" w:space="0" w:color="auto"/>
        <w:bottom w:val="none" w:sz="0" w:space="0" w:color="auto"/>
        <w:right w:val="none" w:sz="0" w:space="0" w:color="auto"/>
      </w:divBdr>
    </w:div>
    <w:div w:id="89129382">
      <w:bodyDiv w:val="1"/>
      <w:marLeft w:val="0"/>
      <w:marRight w:val="0"/>
      <w:marTop w:val="0"/>
      <w:marBottom w:val="0"/>
      <w:divBdr>
        <w:top w:val="none" w:sz="0" w:space="0" w:color="auto"/>
        <w:left w:val="none" w:sz="0" w:space="0" w:color="auto"/>
        <w:bottom w:val="none" w:sz="0" w:space="0" w:color="auto"/>
        <w:right w:val="none" w:sz="0" w:space="0" w:color="auto"/>
      </w:divBdr>
      <w:divsChild>
        <w:div w:id="41488999">
          <w:marLeft w:val="0"/>
          <w:marRight w:val="0"/>
          <w:marTop w:val="0"/>
          <w:marBottom w:val="0"/>
          <w:divBdr>
            <w:top w:val="none" w:sz="0" w:space="0" w:color="auto"/>
            <w:left w:val="none" w:sz="0" w:space="0" w:color="auto"/>
            <w:bottom w:val="none" w:sz="0" w:space="0" w:color="auto"/>
            <w:right w:val="none" w:sz="0" w:space="0" w:color="auto"/>
          </w:divBdr>
          <w:divsChild>
            <w:div w:id="1591155751">
              <w:marLeft w:val="0"/>
              <w:marRight w:val="0"/>
              <w:marTop w:val="0"/>
              <w:marBottom w:val="0"/>
              <w:divBdr>
                <w:top w:val="none" w:sz="0" w:space="0" w:color="auto"/>
                <w:left w:val="none" w:sz="0" w:space="0" w:color="auto"/>
                <w:bottom w:val="none" w:sz="0" w:space="0" w:color="auto"/>
                <w:right w:val="none" w:sz="0" w:space="0" w:color="auto"/>
              </w:divBdr>
              <w:divsChild>
                <w:div w:id="5821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0134">
      <w:bodyDiv w:val="1"/>
      <w:marLeft w:val="0"/>
      <w:marRight w:val="0"/>
      <w:marTop w:val="0"/>
      <w:marBottom w:val="0"/>
      <w:divBdr>
        <w:top w:val="none" w:sz="0" w:space="0" w:color="auto"/>
        <w:left w:val="none" w:sz="0" w:space="0" w:color="auto"/>
        <w:bottom w:val="none" w:sz="0" w:space="0" w:color="auto"/>
        <w:right w:val="none" w:sz="0" w:space="0" w:color="auto"/>
      </w:divBdr>
    </w:div>
    <w:div w:id="140116685">
      <w:bodyDiv w:val="1"/>
      <w:marLeft w:val="0"/>
      <w:marRight w:val="0"/>
      <w:marTop w:val="0"/>
      <w:marBottom w:val="0"/>
      <w:divBdr>
        <w:top w:val="none" w:sz="0" w:space="0" w:color="auto"/>
        <w:left w:val="none" w:sz="0" w:space="0" w:color="auto"/>
        <w:bottom w:val="none" w:sz="0" w:space="0" w:color="auto"/>
        <w:right w:val="none" w:sz="0" w:space="0" w:color="auto"/>
      </w:divBdr>
      <w:divsChild>
        <w:div w:id="561602760">
          <w:marLeft w:val="0"/>
          <w:marRight w:val="0"/>
          <w:marTop w:val="0"/>
          <w:marBottom w:val="0"/>
          <w:divBdr>
            <w:top w:val="none" w:sz="0" w:space="0" w:color="auto"/>
            <w:left w:val="none" w:sz="0" w:space="0" w:color="auto"/>
            <w:bottom w:val="none" w:sz="0" w:space="0" w:color="auto"/>
            <w:right w:val="none" w:sz="0" w:space="0" w:color="auto"/>
          </w:divBdr>
          <w:divsChild>
            <w:div w:id="1760636358">
              <w:marLeft w:val="0"/>
              <w:marRight w:val="0"/>
              <w:marTop w:val="0"/>
              <w:marBottom w:val="0"/>
              <w:divBdr>
                <w:top w:val="none" w:sz="0" w:space="0" w:color="auto"/>
                <w:left w:val="none" w:sz="0" w:space="0" w:color="auto"/>
                <w:bottom w:val="none" w:sz="0" w:space="0" w:color="auto"/>
                <w:right w:val="none" w:sz="0" w:space="0" w:color="auto"/>
              </w:divBdr>
              <w:divsChild>
                <w:div w:id="10565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65866">
      <w:bodyDiv w:val="1"/>
      <w:marLeft w:val="0"/>
      <w:marRight w:val="0"/>
      <w:marTop w:val="0"/>
      <w:marBottom w:val="0"/>
      <w:divBdr>
        <w:top w:val="none" w:sz="0" w:space="0" w:color="auto"/>
        <w:left w:val="none" w:sz="0" w:space="0" w:color="auto"/>
        <w:bottom w:val="none" w:sz="0" w:space="0" w:color="auto"/>
        <w:right w:val="none" w:sz="0" w:space="0" w:color="auto"/>
      </w:divBdr>
    </w:div>
    <w:div w:id="228728659">
      <w:bodyDiv w:val="1"/>
      <w:marLeft w:val="0"/>
      <w:marRight w:val="0"/>
      <w:marTop w:val="0"/>
      <w:marBottom w:val="0"/>
      <w:divBdr>
        <w:top w:val="none" w:sz="0" w:space="0" w:color="auto"/>
        <w:left w:val="none" w:sz="0" w:space="0" w:color="auto"/>
        <w:bottom w:val="none" w:sz="0" w:space="0" w:color="auto"/>
        <w:right w:val="none" w:sz="0" w:space="0" w:color="auto"/>
      </w:divBdr>
    </w:div>
    <w:div w:id="240604830">
      <w:bodyDiv w:val="1"/>
      <w:marLeft w:val="0"/>
      <w:marRight w:val="0"/>
      <w:marTop w:val="0"/>
      <w:marBottom w:val="0"/>
      <w:divBdr>
        <w:top w:val="none" w:sz="0" w:space="0" w:color="auto"/>
        <w:left w:val="none" w:sz="0" w:space="0" w:color="auto"/>
        <w:bottom w:val="none" w:sz="0" w:space="0" w:color="auto"/>
        <w:right w:val="none" w:sz="0" w:space="0" w:color="auto"/>
      </w:divBdr>
      <w:divsChild>
        <w:div w:id="1476678976">
          <w:marLeft w:val="0"/>
          <w:marRight w:val="0"/>
          <w:marTop w:val="0"/>
          <w:marBottom w:val="0"/>
          <w:divBdr>
            <w:top w:val="none" w:sz="0" w:space="0" w:color="auto"/>
            <w:left w:val="none" w:sz="0" w:space="0" w:color="auto"/>
            <w:bottom w:val="none" w:sz="0" w:space="0" w:color="auto"/>
            <w:right w:val="none" w:sz="0" w:space="0" w:color="auto"/>
          </w:divBdr>
          <w:divsChild>
            <w:div w:id="534738454">
              <w:marLeft w:val="0"/>
              <w:marRight w:val="0"/>
              <w:marTop w:val="0"/>
              <w:marBottom w:val="0"/>
              <w:divBdr>
                <w:top w:val="none" w:sz="0" w:space="0" w:color="auto"/>
                <w:left w:val="none" w:sz="0" w:space="0" w:color="auto"/>
                <w:bottom w:val="none" w:sz="0" w:space="0" w:color="auto"/>
                <w:right w:val="none" w:sz="0" w:space="0" w:color="auto"/>
              </w:divBdr>
              <w:divsChild>
                <w:div w:id="3124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51721">
      <w:bodyDiv w:val="1"/>
      <w:marLeft w:val="0"/>
      <w:marRight w:val="0"/>
      <w:marTop w:val="0"/>
      <w:marBottom w:val="0"/>
      <w:divBdr>
        <w:top w:val="none" w:sz="0" w:space="0" w:color="auto"/>
        <w:left w:val="none" w:sz="0" w:space="0" w:color="auto"/>
        <w:bottom w:val="none" w:sz="0" w:space="0" w:color="auto"/>
        <w:right w:val="none" w:sz="0" w:space="0" w:color="auto"/>
      </w:divBdr>
    </w:div>
    <w:div w:id="297688895">
      <w:bodyDiv w:val="1"/>
      <w:marLeft w:val="0"/>
      <w:marRight w:val="0"/>
      <w:marTop w:val="0"/>
      <w:marBottom w:val="0"/>
      <w:divBdr>
        <w:top w:val="none" w:sz="0" w:space="0" w:color="auto"/>
        <w:left w:val="none" w:sz="0" w:space="0" w:color="auto"/>
        <w:bottom w:val="none" w:sz="0" w:space="0" w:color="auto"/>
        <w:right w:val="none" w:sz="0" w:space="0" w:color="auto"/>
      </w:divBdr>
    </w:div>
    <w:div w:id="330304875">
      <w:bodyDiv w:val="1"/>
      <w:marLeft w:val="0"/>
      <w:marRight w:val="0"/>
      <w:marTop w:val="0"/>
      <w:marBottom w:val="0"/>
      <w:divBdr>
        <w:top w:val="none" w:sz="0" w:space="0" w:color="auto"/>
        <w:left w:val="none" w:sz="0" w:space="0" w:color="auto"/>
        <w:bottom w:val="none" w:sz="0" w:space="0" w:color="auto"/>
        <w:right w:val="none" w:sz="0" w:space="0" w:color="auto"/>
      </w:divBdr>
    </w:div>
    <w:div w:id="360981413">
      <w:bodyDiv w:val="1"/>
      <w:marLeft w:val="0"/>
      <w:marRight w:val="0"/>
      <w:marTop w:val="0"/>
      <w:marBottom w:val="0"/>
      <w:divBdr>
        <w:top w:val="none" w:sz="0" w:space="0" w:color="auto"/>
        <w:left w:val="none" w:sz="0" w:space="0" w:color="auto"/>
        <w:bottom w:val="none" w:sz="0" w:space="0" w:color="auto"/>
        <w:right w:val="none" w:sz="0" w:space="0" w:color="auto"/>
      </w:divBdr>
      <w:divsChild>
        <w:div w:id="1878814358">
          <w:marLeft w:val="0"/>
          <w:marRight w:val="0"/>
          <w:marTop w:val="0"/>
          <w:marBottom w:val="0"/>
          <w:divBdr>
            <w:top w:val="none" w:sz="0" w:space="0" w:color="auto"/>
            <w:left w:val="none" w:sz="0" w:space="0" w:color="auto"/>
            <w:bottom w:val="none" w:sz="0" w:space="0" w:color="auto"/>
            <w:right w:val="none" w:sz="0" w:space="0" w:color="auto"/>
          </w:divBdr>
          <w:divsChild>
            <w:div w:id="1913465278">
              <w:marLeft w:val="0"/>
              <w:marRight w:val="0"/>
              <w:marTop w:val="0"/>
              <w:marBottom w:val="0"/>
              <w:divBdr>
                <w:top w:val="none" w:sz="0" w:space="0" w:color="auto"/>
                <w:left w:val="none" w:sz="0" w:space="0" w:color="auto"/>
                <w:bottom w:val="none" w:sz="0" w:space="0" w:color="auto"/>
                <w:right w:val="none" w:sz="0" w:space="0" w:color="auto"/>
              </w:divBdr>
              <w:divsChild>
                <w:div w:id="1531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0389">
      <w:bodyDiv w:val="1"/>
      <w:marLeft w:val="0"/>
      <w:marRight w:val="0"/>
      <w:marTop w:val="0"/>
      <w:marBottom w:val="0"/>
      <w:divBdr>
        <w:top w:val="none" w:sz="0" w:space="0" w:color="auto"/>
        <w:left w:val="none" w:sz="0" w:space="0" w:color="auto"/>
        <w:bottom w:val="none" w:sz="0" w:space="0" w:color="auto"/>
        <w:right w:val="none" w:sz="0" w:space="0" w:color="auto"/>
      </w:divBdr>
    </w:div>
    <w:div w:id="404692391">
      <w:bodyDiv w:val="1"/>
      <w:marLeft w:val="0"/>
      <w:marRight w:val="0"/>
      <w:marTop w:val="0"/>
      <w:marBottom w:val="0"/>
      <w:divBdr>
        <w:top w:val="none" w:sz="0" w:space="0" w:color="auto"/>
        <w:left w:val="none" w:sz="0" w:space="0" w:color="auto"/>
        <w:bottom w:val="none" w:sz="0" w:space="0" w:color="auto"/>
        <w:right w:val="none" w:sz="0" w:space="0" w:color="auto"/>
      </w:divBdr>
    </w:div>
    <w:div w:id="437264424">
      <w:bodyDiv w:val="1"/>
      <w:marLeft w:val="0"/>
      <w:marRight w:val="0"/>
      <w:marTop w:val="0"/>
      <w:marBottom w:val="0"/>
      <w:divBdr>
        <w:top w:val="none" w:sz="0" w:space="0" w:color="auto"/>
        <w:left w:val="none" w:sz="0" w:space="0" w:color="auto"/>
        <w:bottom w:val="none" w:sz="0" w:space="0" w:color="auto"/>
        <w:right w:val="none" w:sz="0" w:space="0" w:color="auto"/>
      </w:divBdr>
    </w:div>
    <w:div w:id="455949453">
      <w:bodyDiv w:val="1"/>
      <w:marLeft w:val="0"/>
      <w:marRight w:val="0"/>
      <w:marTop w:val="0"/>
      <w:marBottom w:val="0"/>
      <w:divBdr>
        <w:top w:val="none" w:sz="0" w:space="0" w:color="auto"/>
        <w:left w:val="none" w:sz="0" w:space="0" w:color="auto"/>
        <w:bottom w:val="none" w:sz="0" w:space="0" w:color="auto"/>
        <w:right w:val="none" w:sz="0" w:space="0" w:color="auto"/>
      </w:divBdr>
      <w:divsChild>
        <w:div w:id="483937303">
          <w:marLeft w:val="0"/>
          <w:marRight w:val="0"/>
          <w:marTop w:val="0"/>
          <w:marBottom w:val="0"/>
          <w:divBdr>
            <w:top w:val="none" w:sz="0" w:space="0" w:color="auto"/>
            <w:left w:val="none" w:sz="0" w:space="0" w:color="auto"/>
            <w:bottom w:val="none" w:sz="0" w:space="0" w:color="auto"/>
            <w:right w:val="none" w:sz="0" w:space="0" w:color="auto"/>
          </w:divBdr>
          <w:divsChild>
            <w:div w:id="58748076">
              <w:marLeft w:val="0"/>
              <w:marRight w:val="0"/>
              <w:marTop w:val="0"/>
              <w:marBottom w:val="0"/>
              <w:divBdr>
                <w:top w:val="none" w:sz="0" w:space="0" w:color="auto"/>
                <w:left w:val="none" w:sz="0" w:space="0" w:color="auto"/>
                <w:bottom w:val="none" w:sz="0" w:space="0" w:color="auto"/>
                <w:right w:val="none" w:sz="0" w:space="0" w:color="auto"/>
              </w:divBdr>
              <w:divsChild>
                <w:div w:id="4784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90605">
      <w:bodyDiv w:val="1"/>
      <w:marLeft w:val="0"/>
      <w:marRight w:val="0"/>
      <w:marTop w:val="0"/>
      <w:marBottom w:val="0"/>
      <w:divBdr>
        <w:top w:val="none" w:sz="0" w:space="0" w:color="auto"/>
        <w:left w:val="none" w:sz="0" w:space="0" w:color="auto"/>
        <w:bottom w:val="none" w:sz="0" w:space="0" w:color="auto"/>
        <w:right w:val="none" w:sz="0" w:space="0" w:color="auto"/>
      </w:divBdr>
    </w:div>
    <w:div w:id="460536396">
      <w:bodyDiv w:val="1"/>
      <w:marLeft w:val="0"/>
      <w:marRight w:val="0"/>
      <w:marTop w:val="0"/>
      <w:marBottom w:val="0"/>
      <w:divBdr>
        <w:top w:val="none" w:sz="0" w:space="0" w:color="auto"/>
        <w:left w:val="none" w:sz="0" w:space="0" w:color="auto"/>
        <w:bottom w:val="none" w:sz="0" w:space="0" w:color="auto"/>
        <w:right w:val="none" w:sz="0" w:space="0" w:color="auto"/>
      </w:divBdr>
    </w:div>
    <w:div w:id="491024154">
      <w:bodyDiv w:val="1"/>
      <w:marLeft w:val="0"/>
      <w:marRight w:val="0"/>
      <w:marTop w:val="0"/>
      <w:marBottom w:val="0"/>
      <w:divBdr>
        <w:top w:val="none" w:sz="0" w:space="0" w:color="auto"/>
        <w:left w:val="none" w:sz="0" w:space="0" w:color="auto"/>
        <w:bottom w:val="none" w:sz="0" w:space="0" w:color="auto"/>
        <w:right w:val="none" w:sz="0" w:space="0" w:color="auto"/>
      </w:divBdr>
    </w:div>
    <w:div w:id="505438634">
      <w:bodyDiv w:val="1"/>
      <w:marLeft w:val="0"/>
      <w:marRight w:val="0"/>
      <w:marTop w:val="0"/>
      <w:marBottom w:val="0"/>
      <w:divBdr>
        <w:top w:val="none" w:sz="0" w:space="0" w:color="auto"/>
        <w:left w:val="none" w:sz="0" w:space="0" w:color="auto"/>
        <w:bottom w:val="none" w:sz="0" w:space="0" w:color="auto"/>
        <w:right w:val="none" w:sz="0" w:space="0" w:color="auto"/>
      </w:divBdr>
      <w:divsChild>
        <w:div w:id="1528910327">
          <w:marLeft w:val="0"/>
          <w:marRight w:val="0"/>
          <w:marTop w:val="0"/>
          <w:marBottom w:val="0"/>
          <w:divBdr>
            <w:top w:val="none" w:sz="0" w:space="0" w:color="auto"/>
            <w:left w:val="none" w:sz="0" w:space="0" w:color="auto"/>
            <w:bottom w:val="none" w:sz="0" w:space="0" w:color="auto"/>
            <w:right w:val="none" w:sz="0" w:space="0" w:color="auto"/>
          </w:divBdr>
          <w:divsChild>
            <w:div w:id="1919706705">
              <w:marLeft w:val="0"/>
              <w:marRight w:val="0"/>
              <w:marTop w:val="0"/>
              <w:marBottom w:val="0"/>
              <w:divBdr>
                <w:top w:val="none" w:sz="0" w:space="0" w:color="auto"/>
                <w:left w:val="none" w:sz="0" w:space="0" w:color="auto"/>
                <w:bottom w:val="none" w:sz="0" w:space="0" w:color="auto"/>
                <w:right w:val="none" w:sz="0" w:space="0" w:color="auto"/>
              </w:divBdr>
              <w:divsChild>
                <w:div w:id="6702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9157">
      <w:bodyDiv w:val="1"/>
      <w:marLeft w:val="0"/>
      <w:marRight w:val="0"/>
      <w:marTop w:val="0"/>
      <w:marBottom w:val="0"/>
      <w:divBdr>
        <w:top w:val="none" w:sz="0" w:space="0" w:color="auto"/>
        <w:left w:val="none" w:sz="0" w:space="0" w:color="auto"/>
        <w:bottom w:val="none" w:sz="0" w:space="0" w:color="auto"/>
        <w:right w:val="none" w:sz="0" w:space="0" w:color="auto"/>
      </w:divBdr>
    </w:div>
    <w:div w:id="569190166">
      <w:bodyDiv w:val="1"/>
      <w:marLeft w:val="0"/>
      <w:marRight w:val="0"/>
      <w:marTop w:val="0"/>
      <w:marBottom w:val="0"/>
      <w:divBdr>
        <w:top w:val="none" w:sz="0" w:space="0" w:color="auto"/>
        <w:left w:val="none" w:sz="0" w:space="0" w:color="auto"/>
        <w:bottom w:val="none" w:sz="0" w:space="0" w:color="auto"/>
        <w:right w:val="none" w:sz="0" w:space="0" w:color="auto"/>
      </w:divBdr>
      <w:divsChild>
        <w:div w:id="2141680238">
          <w:marLeft w:val="0"/>
          <w:marRight w:val="0"/>
          <w:marTop w:val="0"/>
          <w:marBottom w:val="0"/>
          <w:divBdr>
            <w:top w:val="none" w:sz="0" w:space="0" w:color="auto"/>
            <w:left w:val="none" w:sz="0" w:space="0" w:color="auto"/>
            <w:bottom w:val="none" w:sz="0" w:space="0" w:color="auto"/>
            <w:right w:val="none" w:sz="0" w:space="0" w:color="auto"/>
          </w:divBdr>
          <w:divsChild>
            <w:div w:id="1396124358">
              <w:marLeft w:val="0"/>
              <w:marRight w:val="0"/>
              <w:marTop w:val="0"/>
              <w:marBottom w:val="0"/>
              <w:divBdr>
                <w:top w:val="none" w:sz="0" w:space="0" w:color="auto"/>
                <w:left w:val="none" w:sz="0" w:space="0" w:color="auto"/>
                <w:bottom w:val="none" w:sz="0" w:space="0" w:color="auto"/>
                <w:right w:val="none" w:sz="0" w:space="0" w:color="auto"/>
              </w:divBdr>
              <w:divsChild>
                <w:div w:id="1063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3157">
      <w:bodyDiv w:val="1"/>
      <w:marLeft w:val="0"/>
      <w:marRight w:val="0"/>
      <w:marTop w:val="0"/>
      <w:marBottom w:val="0"/>
      <w:divBdr>
        <w:top w:val="none" w:sz="0" w:space="0" w:color="auto"/>
        <w:left w:val="none" w:sz="0" w:space="0" w:color="auto"/>
        <w:bottom w:val="none" w:sz="0" w:space="0" w:color="auto"/>
        <w:right w:val="none" w:sz="0" w:space="0" w:color="auto"/>
      </w:divBdr>
      <w:divsChild>
        <w:div w:id="1145929187">
          <w:marLeft w:val="0"/>
          <w:marRight w:val="0"/>
          <w:marTop w:val="0"/>
          <w:marBottom w:val="0"/>
          <w:divBdr>
            <w:top w:val="none" w:sz="0" w:space="0" w:color="auto"/>
            <w:left w:val="none" w:sz="0" w:space="0" w:color="auto"/>
            <w:bottom w:val="none" w:sz="0" w:space="0" w:color="auto"/>
            <w:right w:val="none" w:sz="0" w:space="0" w:color="auto"/>
          </w:divBdr>
          <w:divsChild>
            <w:div w:id="1623995381">
              <w:marLeft w:val="0"/>
              <w:marRight w:val="0"/>
              <w:marTop w:val="0"/>
              <w:marBottom w:val="0"/>
              <w:divBdr>
                <w:top w:val="none" w:sz="0" w:space="0" w:color="auto"/>
                <w:left w:val="none" w:sz="0" w:space="0" w:color="auto"/>
                <w:bottom w:val="none" w:sz="0" w:space="0" w:color="auto"/>
                <w:right w:val="none" w:sz="0" w:space="0" w:color="auto"/>
              </w:divBdr>
              <w:divsChild>
                <w:div w:id="4927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37552">
      <w:bodyDiv w:val="1"/>
      <w:marLeft w:val="0"/>
      <w:marRight w:val="0"/>
      <w:marTop w:val="0"/>
      <w:marBottom w:val="0"/>
      <w:divBdr>
        <w:top w:val="none" w:sz="0" w:space="0" w:color="auto"/>
        <w:left w:val="none" w:sz="0" w:space="0" w:color="auto"/>
        <w:bottom w:val="none" w:sz="0" w:space="0" w:color="auto"/>
        <w:right w:val="none" w:sz="0" w:space="0" w:color="auto"/>
      </w:divBdr>
    </w:div>
    <w:div w:id="832768470">
      <w:bodyDiv w:val="1"/>
      <w:marLeft w:val="0"/>
      <w:marRight w:val="0"/>
      <w:marTop w:val="0"/>
      <w:marBottom w:val="0"/>
      <w:divBdr>
        <w:top w:val="none" w:sz="0" w:space="0" w:color="auto"/>
        <w:left w:val="none" w:sz="0" w:space="0" w:color="auto"/>
        <w:bottom w:val="none" w:sz="0" w:space="0" w:color="auto"/>
        <w:right w:val="none" w:sz="0" w:space="0" w:color="auto"/>
      </w:divBdr>
      <w:divsChild>
        <w:div w:id="1348604293">
          <w:marLeft w:val="0"/>
          <w:marRight w:val="0"/>
          <w:marTop w:val="0"/>
          <w:marBottom w:val="0"/>
          <w:divBdr>
            <w:top w:val="none" w:sz="0" w:space="0" w:color="auto"/>
            <w:left w:val="none" w:sz="0" w:space="0" w:color="auto"/>
            <w:bottom w:val="none" w:sz="0" w:space="0" w:color="auto"/>
            <w:right w:val="none" w:sz="0" w:space="0" w:color="auto"/>
          </w:divBdr>
          <w:divsChild>
            <w:div w:id="1209877447">
              <w:marLeft w:val="0"/>
              <w:marRight w:val="0"/>
              <w:marTop w:val="0"/>
              <w:marBottom w:val="0"/>
              <w:divBdr>
                <w:top w:val="none" w:sz="0" w:space="0" w:color="auto"/>
                <w:left w:val="none" w:sz="0" w:space="0" w:color="auto"/>
                <w:bottom w:val="none" w:sz="0" w:space="0" w:color="auto"/>
                <w:right w:val="none" w:sz="0" w:space="0" w:color="auto"/>
              </w:divBdr>
              <w:divsChild>
                <w:div w:id="1728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5274">
      <w:bodyDiv w:val="1"/>
      <w:marLeft w:val="0"/>
      <w:marRight w:val="0"/>
      <w:marTop w:val="0"/>
      <w:marBottom w:val="0"/>
      <w:divBdr>
        <w:top w:val="none" w:sz="0" w:space="0" w:color="auto"/>
        <w:left w:val="none" w:sz="0" w:space="0" w:color="auto"/>
        <w:bottom w:val="none" w:sz="0" w:space="0" w:color="auto"/>
        <w:right w:val="none" w:sz="0" w:space="0" w:color="auto"/>
      </w:divBdr>
    </w:div>
    <w:div w:id="937559522">
      <w:bodyDiv w:val="1"/>
      <w:marLeft w:val="0"/>
      <w:marRight w:val="0"/>
      <w:marTop w:val="0"/>
      <w:marBottom w:val="0"/>
      <w:divBdr>
        <w:top w:val="none" w:sz="0" w:space="0" w:color="auto"/>
        <w:left w:val="none" w:sz="0" w:space="0" w:color="auto"/>
        <w:bottom w:val="none" w:sz="0" w:space="0" w:color="auto"/>
        <w:right w:val="none" w:sz="0" w:space="0" w:color="auto"/>
      </w:divBdr>
    </w:div>
    <w:div w:id="943073222">
      <w:bodyDiv w:val="1"/>
      <w:marLeft w:val="0"/>
      <w:marRight w:val="0"/>
      <w:marTop w:val="0"/>
      <w:marBottom w:val="0"/>
      <w:divBdr>
        <w:top w:val="none" w:sz="0" w:space="0" w:color="auto"/>
        <w:left w:val="none" w:sz="0" w:space="0" w:color="auto"/>
        <w:bottom w:val="none" w:sz="0" w:space="0" w:color="auto"/>
        <w:right w:val="none" w:sz="0" w:space="0" w:color="auto"/>
      </w:divBdr>
      <w:divsChild>
        <w:div w:id="151334426">
          <w:marLeft w:val="0"/>
          <w:marRight w:val="0"/>
          <w:marTop w:val="0"/>
          <w:marBottom w:val="0"/>
          <w:divBdr>
            <w:top w:val="none" w:sz="0" w:space="0" w:color="auto"/>
            <w:left w:val="none" w:sz="0" w:space="0" w:color="auto"/>
            <w:bottom w:val="none" w:sz="0" w:space="0" w:color="auto"/>
            <w:right w:val="none" w:sz="0" w:space="0" w:color="auto"/>
          </w:divBdr>
          <w:divsChild>
            <w:div w:id="956066500">
              <w:marLeft w:val="0"/>
              <w:marRight w:val="0"/>
              <w:marTop w:val="0"/>
              <w:marBottom w:val="0"/>
              <w:divBdr>
                <w:top w:val="none" w:sz="0" w:space="0" w:color="auto"/>
                <w:left w:val="none" w:sz="0" w:space="0" w:color="auto"/>
                <w:bottom w:val="none" w:sz="0" w:space="0" w:color="auto"/>
                <w:right w:val="none" w:sz="0" w:space="0" w:color="auto"/>
              </w:divBdr>
              <w:divsChild>
                <w:div w:id="7661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0628">
      <w:bodyDiv w:val="1"/>
      <w:marLeft w:val="0"/>
      <w:marRight w:val="0"/>
      <w:marTop w:val="0"/>
      <w:marBottom w:val="0"/>
      <w:divBdr>
        <w:top w:val="none" w:sz="0" w:space="0" w:color="auto"/>
        <w:left w:val="none" w:sz="0" w:space="0" w:color="auto"/>
        <w:bottom w:val="none" w:sz="0" w:space="0" w:color="auto"/>
        <w:right w:val="none" w:sz="0" w:space="0" w:color="auto"/>
      </w:divBdr>
      <w:divsChild>
        <w:div w:id="269166970">
          <w:marLeft w:val="0"/>
          <w:marRight w:val="0"/>
          <w:marTop w:val="0"/>
          <w:marBottom w:val="0"/>
          <w:divBdr>
            <w:top w:val="none" w:sz="0" w:space="0" w:color="auto"/>
            <w:left w:val="none" w:sz="0" w:space="0" w:color="auto"/>
            <w:bottom w:val="none" w:sz="0" w:space="0" w:color="auto"/>
            <w:right w:val="none" w:sz="0" w:space="0" w:color="auto"/>
          </w:divBdr>
          <w:divsChild>
            <w:div w:id="1360660628">
              <w:marLeft w:val="0"/>
              <w:marRight w:val="0"/>
              <w:marTop w:val="0"/>
              <w:marBottom w:val="0"/>
              <w:divBdr>
                <w:top w:val="none" w:sz="0" w:space="0" w:color="auto"/>
                <w:left w:val="none" w:sz="0" w:space="0" w:color="auto"/>
                <w:bottom w:val="none" w:sz="0" w:space="0" w:color="auto"/>
                <w:right w:val="none" w:sz="0" w:space="0" w:color="auto"/>
              </w:divBdr>
              <w:divsChild>
                <w:div w:id="4771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7492">
      <w:bodyDiv w:val="1"/>
      <w:marLeft w:val="0"/>
      <w:marRight w:val="0"/>
      <w:marTop w:val="0"/>
      <w:marBottom w:val="0"/>
      <w:divBdr>
        <w:top w:val="none" w:sz="0" w:space="0" w:color="auto"/>
        <w:left w:val="none" w:sz="0" w:space="0" w:color="auto"/>
        <w:bottom w:val="none" w:sz="0" w:space="0" w:color="auto"/>
        <w:right w:val="none" w:sz="0" w:space="0" w:color="auto"/>
      </w:divBdr>
      <w:divsChild>
        <w:div w:id="443963613">
          <w:marLeft w:val="0"/>
          <w:marRight w:val="0"/>
          <w:marTop w:val="0"/>
          <w:marBottom w:val="0"/>
          <w:divBdr>
            <w:top w:val="none" w:sz="0" w:space="0" w:color="auto"/>
            <w:left w:val="none" w:sz="0" w:space="0" w:color="auto"/>
            <w:bottom w:val="none" w:sz="0" w:space="0" w:color="auto"/>
            <w:right w:val="none" w:sz="0" w:space="0" w:color="auto"/>
          </w:divBdr>
          <w:divsChild>
            <w:div w:id="1032611698">
              <w:marLeft w:val="0"/>
              <w:marRight w:val="0"/>
              <w:marTop w:val="0"/>
              <w:marBottom w:val="0"/>
              <w:divBdr>
                <w:top w:val="none" w:sz="0" w:space="0" w:color="auto"/>
                <w:left w:val="none" w:sz="0" w:space="0" w:color="auto"/>
                <w:bottom w:val="none" w:sz="0" w:space="0" w:color="auto"/>
                <w:right w:val="none" w:sz="0" w:space="0" w:color="auto"/>
              </w:divBdr>
              <w:divsChild>
                <w:div w:id="12505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2714">
      <w:bodyDiv w:val="1"/>
      <w:marLeft w:val="0"/>
      <w:marRight w:val="0"/>
      <w:marTop w:val="0"/>
      <w:marBottom w:val="0"/>
      <w:divBdr>
        <w:top w:val="none" w:sz="0" w:space="0" w:color="auto"/>
        <w:left w:val="none" w:sz="0" w:space="0" w:color="auto"/>
        <w:bottom w:val="none" w:sz="0" w:space="0" w:color="auto"/>
        <w:right w:val="none" w:sz="0" w:space="0" w:color="auto"/>
      </w:divBdr>
    </w:div>
    <w:div w:id="1007514216">
      <w:bodyDiv w:val="1"/>
      <w:marLeft w:val="0"/>
      <w:marRight w:val="0"/>
      <w:marTop w:val="0"/>
      <w:marBottom w:val="0"/>
      <w:divBdr>
        <w:top w:val="none" w:sz="0" w:space="0" w:color="auto"/>
        <w:left w:val="none" w:sz="0" w:space="0" w:color="auto"/>
        <w:bottom w:val="none" w:sz="0" w:space="0" w:color="auto"/>
        <w:right w:val="none" w:sz="0" w:space="0" w:color="auto"/>
      </w:divBdr>
      <w:divsChild>
        <w:div w:id="883761663">
          <w:marLeft w:val="0"/>
          <w:marRight w:val="0"/>
          <w:marTop w:val="0"/>
          <w:marBottom w:val="0"/>
          <w:divBdr>
            <w:top w:val="none" w:sz="0" w:space="0" w:color="auto"/>
            <w:left w:val="none" w:sz="0" w:space="0" w:color="auto"/>
            <w:bottom w:val="none" w:sz="0" w:space="0" w:color="auto"/>
            <w:right w:val="none" w:sz="0" w:space="0" w:color="auto"/>
          </w:divBdr>
          <w:divsChild>
            <w:div w:id="203179458">
              <w:marLeft w:val="0"/>
              <w:marRight w:val="0"/>
              <w:marTop w:val="0"/>
              <w:marBottom w:val="0"/>
              <w:divBdr>
                <w:top w:val="none" w:sz="0" w:space="0" w:color="auto"/>
                <w:left w:val="none" w:sz="0" w:space="0" w:color="auto"/>
                <w:bottom w:val="none" w:sz="0" w:space="0" w:color="auto"/>
                <w:right w:val="none" w:sz="0" w:space="0" w:color="auto"/>
              </w:divBdr>
              <w:divsChild>
                <w:div w:id="5885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69596">
      <w:bodyDiv w:val="1"/>
      <w:marLeft w:val="0"/>
      <w:marRight w:val="0"/>
      <w:marTop w:val="0"/>
      <w:marBottom w:val="0"/>
      <w:divBdr>
        <w:top w:val="none" w:sz="0" w:space="0" w:color="auto"/>
        <w:left w:val="none" w:sz="0" w:space="0" w:color="auto"/>
        <w:bottom w:val="none" w:sz="0" w:space="0" w:color="auto"/>
        <w:right w:val="none" w:sz="0" w:space="0" w:color="auto"/>
      </w:divBdr>
    </w:div>
    <w:div w:id="1197162679">
      <w:bodyDiv w:val="1"/>
      <w:marLeft w:val="0"/>
      <w:marRight w:val="0"/>
      <w:marTop w:val="0"/>
      <w:marBottom w:val="0"/>
      <w:divBdr>
        <w:top w:val="none" w:sz="0" w:space="0" w:color="auto"/>
        <w:left w:val="none" w:sz="0" w:space="0" w:color="auto"/>
        <w:bottom w:val="none" w:sz="0" w:space="0" w:color="auto"/>
        <w:right w:val="none" w:sz="0" w:space="0" w:color="auto"/>
      </w:divBdr>
    </w:div>
    <w:div w:id="1241712457">
      <w:bodyDiv w:val="1"/>
      <w:marLeft w:val="0"/>
      <w:marRight w:val="0"/>
      <w:marTop w:val="0"/>
      <w:marBottom w:val="0"/>
      <w:divBdr>
        <w:top w:val="none" w:sz="0" w:space="0" w:color="auto"/>
        <w:left w:val="none" w:sz="0" w:space="0" w:color="auto"/>
        <w:bottom w:val="none" w:sz="0" w:space="0" w:color="auto"/>
        <w:right w:val="none" w:sz="0" w:space="0" w:color="auto"/>
      </w:divBdr>
      <w:divsChild>
        <w:div w:id="1487284799">
          <w:marLeft w:val="0"/>
          <w:marRight w:val="0"/>
          <w:marTop w:val="0"/>
          <w:marBottom w:val="0"/>
          <w:divBdr>
            <w:top w:val="none" w:sz="0" w:space="0" w:color="auto"/>
            <w:left w:val="none" w:sz="0" w:space="0" w:color="auto"/>
            <w:bottom w:val="none" w:sz="0" w:space="0" w:color="auto"/>
            <w:right w:val="none" w:sz="0" w:space="0" w:color="auto"/>
          </w:divBdr>
          <w:divsChild>
            <w:div w:id="668564494">
              <w:marLeft w:val="0"/>
              <w:marRight w:val="0"/>
              <w:marTop w:val="0"/>
              <w:marBottom w:val="0"/>
              <w:divBdr>
                <w:top w:val="none" w:sz="0" w:space="0" w:color="auto"/>
                <w:left w:val="none" w:sz="0" w:space="0" w:color="auto"/>
                <w:bottom w:val="none" w:sz="0" w:space="0" w:color="auto"/>
                <w:right w:val="none" w:sz="0" w:space="0" w:color="auto"/>
              </w:divBdr>
              <w:divsChild>
                <w:div w:id="15688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04318">
      <w:bodyDiv w:val="1"/>
      <w:marLeft w:val="0"/>
      <w:marRight w:val="0"/>
      <w:marTop w:val="0"/>
      <w:marBottom w:val="0"/>
      <w:divBdr>
        <w:top w:val="none" w:sz="0" w:space="0" w:color="auto"/>
        <w:left w:val="none" w:sz="0" w:space="0" w:color="auto"/>
        <w:bottom w:val="none" w:sz="0" w:space="0" w:color="auto"/>
        <w:right w:val="none" w:sz="0" w:space="0" w:color="auto"/>
      </w:divBdr>
      <w:divsChild>
        <w:div w:id="1083528820">
          <w:marLeft w:val="0"/>
          <w:marRight w:val="0"/>
          <w:marTop w:val="0"/>
          <w:marBottom w:val="0"/>
          <w:divBdr>
            <w:top w:val="none" w:sz="0" w:space="0" w:color="auto"/>
            <w:left w:val="none" w:sz="0" w:space="0" w:color="auto"/>
            <w:bottom w:val="none" w:sz="0" w:space="0" w:color="auto"/>
            <w:right w:val="none" w:sz="0" w:space="0" w:color="auto"/>
          </w:divBdr>
          <w:divsChild>
            <w:div w:id="1025180730">
              <w:marLeft w:val="0"/>
              <w:marRight w:val="0"/>
              <w:marTop w:val="0"/>
              <w:marBottom w:val="0"/>
              <w:divBdr>
                <w:top w:val="none" w:sz="0" w:space="0" w:color="auto"/>
                <w:left w:val="none" w:sz="0" w:space="0" w:color="auto"/>
                <w:bottom w:val="none" w:sz="0" w:space="0" w:color="auto"/>
                <w:right w:val="none" w:sz="0" w:space="0" w:color="auto"/>
              </w:divBdr>
              <w:divsChild>
                <w:div w:id="5839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2988">
      <w:bodyDiv w:val="1"/>
      <w:marLeft w:val="0"/>
      <w:marRight w:val="0"/>
      <w:marTop w:val="0"/>
      <w:marBottom w:val="0"/>
      <w:divBdr>
        <w:top w:val="none" w:sz="0" w:space="0" w:color="auto"/>
        <w:left w:val="none" w:sz="0" w:space="0" w:color="auto"/>
        <w:bottom w:val="none" w:sz="0" w:space="0" w:color="auto"/>
        <w:right w:val="none" w:sz="0" w:space="0" w:color="auto"/>
      </w:divBdr>
    </w:div>
    <w:div w:id="1289361080">
      <w:bodyDiv w:val="1"/>
      <w:marLeft w:val="0"/>
      <w:marRight w:val="0"/>
      <w:marTop w:val="0"/>
      <w:marBottom w:val="0"/>
      <w:divBdr>
        <w:top w:val="none" w:sz="0" w:space="0" w:color="auto"/>
        <w:left w:val="none" w:sz="0" w:space="0" w:color="auto"/>
        <w:bottom w:val="none" w:sz="0" w:space="0" w:color="auto"/>
        <w:right w:val="none" w:sz="0" w:space="0" w:color="auto"/>
      </w:divBdr>
    </w:div>
    <w:div w:id="1291979024">
      <w:bodyDiv w:val="1"/>
      <w:marLeft w:val="0"/>
      <w:marRight w:val="0"/>
      <w:marTop w:val="0"/>
      <w:marBottom w:val="0"/>
      <w:divBdr>
        <w:top w:val="none" w:sz="0" w:space="0" w:color="auto"/>
        <w:left w:val="none" w:sz="0" w:space="0" w:color="auto"/>
        <w:bottom w:val="none" w:sz="0" w:space="0" w:color="auto"/>
        <w:right w:val="none" w:sz="0" w:space="0" w:color="auto"/>
      </w:divBdr>
      <w:divsChild>
        <w:div w:id="1889415961">
          <w:marLeft w:val="0"/>
          <w:marRight w:val="0"/>
          <w:marTop w:val="0"/>
          <w:marBottom w:val="0"/>
          <w:divBdr>
            <w:top w:val="none" w:sz="0" w:space="0" w:color="auto"/>
            <w:left w:val="none" w:sz="0" w:space="0" w:color="auto"/>
            <w:bottom w:val="none" w:sz="0" w:space="0" w:color="auto"/>
            <w:right w:val="none" w:sz="0" w:space="0" w:color="auto"/>
          </w:divBdr>
          <w:divsChild>
            <w:div w:id="1978946836">
              <w:marLeft w:val="0"/>
              <w:marRight w:val="0"/>
              <w:marTop w:val="0"/>
              <w:marBottom w:val="0"/>
              <w:divBdr>
                <w:top w:val="none" w:sz="0" w:space="0" w:color="auto"/>
                <w:left w:val="none" w:sz="0" w:space="0" w:color="auto"/>
                <w:bottom w:val="none" w:sz="0" w:space="0" w:color="auto"/>
                <w:right w:val="none" w:sz="0" w:space="0" w:color="auto"/>
              </w:divBdr>
              <w:divsChild>
                <w:div w:id="4794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9581">
      <w:bodyDiv w:val="1"/>
      <w:marLeft w:val="0"/>
      <w:marRight w:val="0"/>
      <w:marTop w:val="0"/>
      <w:marBottom w:val="0"/>
      <w:divBdr>
        <w:top w:val="none" w:sz="0" w:space="0" w:color="auto"/>
        <w:left w:val="none" w:sz="0" w:space="0" w:color="auto"/>
        <w:bottom w:val="none" w:sz="0" w:space="0" w:color="auto"/>
        <w:right w:val="none" w:sz="0" w:space="0" w:color="auto"/>
      </w:divBdr>
      <w:divsChild>
        <w:div w:id="808130954">
          <w:marLeft w:val="0"/>
          <w:marRight w:val="0"/>
          <w:marTop w:val="0"/>
          <w:marBottom w:val="0"/>
          <w:divBdr>
            <w:top w:val="none" w:sz="0" w:space="0" w:color="auto"/>
            <w:left w:val="none" w:sz="0" w:space="0" w:color="auto"/>
            <w:bottom w:val="none" w:sz="0" w:space="0" w:color="auto"/>
            <w:right w:val="none" w:sz="0" w:space="0" w:color="auto"/>
          </w:divBdr>
          <w:divsChild>
            <w:div w:id="124474488">
              <w:marLeft w:val="0"/>
              <w:marRight w:val="0"/>
              <w:marTop w:val="0"/>
              <w:marBottom w:val="0"/>
              <w:divBdr>
                <w:top w:val="none" w:sz="0" w:space="0" w:color="auto"/>
                <w:left w:val="none" w:sz="0" w:space="0" w:color="auto"/>
                <w:bottom w:val="none" w:sz="0" w:space="0" w:color="auto"/>
                <w:right w:val="none" w:sz="0" w:space="0" w:color="auto"/>
              </w:divBdr>
              <w:divsChild>
                <w:div w:id="14501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7839">
      <w:bodyDiv w:val="1"/>
      <w:marLeft w:val="0"/>
      <w:marRight w:val="0"/>
      <w:marTop w:val="0"/>
      <w:marBottom w:val="0"/>
      <w:divBdr>
        <w:top w:val="none" w:sz="0" w:space="0" w:color="auto"/>
        <w:left w:val="none" w:sz="0" w:space="0" w:color="auto"/>
        <w:bottom w:val="none" w:sz="0" w:space="0" w:color="auto"/>
        <w:right w:val="none" w:sz="0" w:space="0" w:color="auto"/>
      </w:divBdr>
    </w:div>
    <w:div w:id="1356421145">
      <w:bodyDiv w:val="1"/>
      <w:marLeft w:val="0"/>
      <w:marRight w:val="0"/>
      <w:marTop w:val="0"/>
      <w:marBottom w:val="0"/>
      <w:divBdr>
        <w:top w:val="none" w:sz="0" w:space="0" w:color="auto"/>
        <w:left w:val="none" w:sz="0" w:space="0" w:color="auto"/>
        <w:bottom w:val="none" w:sz="0" w:space="0" w:color="auto"/>
        <w:right w:val="none" w:sz="0" w:space="0" w:color="auto"/>
      </w:divBdr>
    </w:div>
    <w:div w:id="1358239300">
      <w:bodyDiv w:val="1"/>
      <w:marLeft w:val="0"/>
      <w:marRight w:val="0"/>
      <w:marTop w:val="0"/>
      <w:marBottom w:val="0"/>
      <w:divBdr>
        <w:top w:val="none" w:sz="0" w:space="0" w:color="auto"/>
        <w:left w:val="none" w:sz="0" w:space="0" w:color="auto"/>
        <w:bottom w:val="none" w:sz="0" w:space="0" w:color="auto"/>
        <w:right w:val="none" w:sz="0" w:space="0" w:color="auto"/>
      </w:divBdr>
    </w:div>
    <w:div w:id="1376273634">
      <w:bodyDiv w:val="1"/>
      <w:marLeft w:val="0"/>
      <w:marRight w:val="0"/>
      <w:marTop w:val="0"/>
      <w:marBottom w:val="0"/>
      <w:divBdr>
        <w:top w:val="none" w:sz="0" w:space="0" w:color="auto"/>
        <w:left w:val="none" w:sz="0" w:space="0" w:color="auto"/>
        <w:bottom w:val="none" w:sz="0" w:space="0" w:color="auto"/>
        <w:right w:val="none" w:sz="0" w:space="0" w:color="auto"/>
      </w:divBdr>
    </w:div>
    <w:div w:id="1397507685">
      <w:bodyDiv w:val="1"/>
      <w:marLeft w:val="0"/>
      <w:marRight w:val="0"/>
      <w:marTop w:val="0"/>
      <w:marBottom w:val="0"/>
      <w:divBdr>
        <w:top w:val="none" w:sz="0" w:space="0" w:color="auto"/>
        <w:left w:val="none" w:sz="0" w:space="0" w:color="auto"/>
        <w:bottom w:val="none" w:sz="0" w:space="0" w:color="auto"/>
        <w:right w:val="none" w:sz="0" w:space="0" w:color="auto"/>
      </w:divBdr>
      <w:divsChild>
        <w:div w:id="1248267267">
          <w:marLeft w:val="0"/>
          <w:marRight w:val="0"/>
          <w:marTop w:val="0"/>
          <w:marBottom w:val="0"/>
          <w:divBdr>
            <w:top w:val="none" w:sz="0" w:space="0" w:color="auto"/>
            <w:left w:val="none" w:sz="0" w:space="0" w:color="auto"/>
            <w:bottom w:val="none" w:sz="0" w:space="0" w:color="auto"/>
            <w:right w:val="none" w:sz="0" w:space="0" w:color="auto"/>
          </w:divBdr>
          <w:divsChild>
            <w:div w:id="1993102037">
              <w:marLeft w:val="0"/>
              <w:marRight w:val="0"/>
              <w:marTop w:val="0"/>
              <w:marBottom w:val="0"/>
              <w:divBdr>
                <w:top w:val="none" w:sz="0" w:space="0" w:color="auto"/>
                <w:left w:val="none" w:sz="0" w:space="0" w:color="auto"/>
                <w:bottom w:val="none" w:sz="0" w:space="0" w:color="auto"/>
                <w:right w:val="none" w:sz="0" w:space="0" w:color="auto"/>
              </w:divBdr>
              <w:divsChild>
                <w:div w:id="78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3485">
      <w:bodyDiv w:val="1"/>
      <w:marLeft w:val="0"/>
      <w:marRight w:val="0"/>
      <w:marTop w:val="0"/>
      <w:marBottom w:val="0"/>
      <w:divBdr>
        <w:top w:val="none" w:sz="0" w:space="0" w:color="auto"/>
        <w:left w:val="none" w:sz="0" w:space="0" w:color="auto"/>
        <w:bottom w:val="none" w:sz="0" w:space="0" w:color="auto"/>
        <w:right w:val="none" w:sz="0" w:space="0" w:color="auto"/>
      </w:divBdr>
    </w:div>
    <w:div w:id="1398161385">
      <w:bodyDiv w:val="1"/>
      <w:marLeft w:val="0"/>
      <w:marRight w:val="0"/>
      <w:marTop w:val="0"/>
      <w:marBottom w:val="0"/>
      <w:divBdr>
        <w:top w:val="none" w:sz="0" w:space="0" w:color="auto"/>
        <w:left w:val="none" w:sz="0" w:space="0" w:color="auto"/>
        <w:bottom w:val="none" w:sz="0" w:space="0" w:color="auto"/>
        <w:right w:val="none" w:sz="0" w:space="0" w:color="auto"/>
      </w:divBdr>
    </w:div>
    <w:div w:id="1410619305">
      <w:bodyDiv w:val="1"/>
      <w:marLeft w:val="0"/>
      <w:marRight w:val="0"/>
      <w:marTop w:val="0"/>
      <w:marBottom w:val="0"/>
      <w:divBdr>
        <w:top w:val="none" w:sz="0" w:space="0" w:color="auto"/>
        <w:left w:val="none" w:sz="0" w:space="0" w:color="auto"/>
        <w:bottom w:val="none" w:sz="0" w:space="0" w:color="auto"/>
        <w:right w:val="none" w:sz="0" w:space="0" w:color="auto"/>
      </w:divBdr>
      <w:divsChild>
        <w:div w:id="1709912737">
          <w:marLeft w:val="0"/>
          <w:marRight w:val="0"/>
          <w:marTop w:val="0"/>
          <w:marBottom w:val="0"/>
          <w:divBdr>
            <w:top w:val="none" w:sz="0" w:space="0" w:color="auto"/>
            <w:left w:val="none" w:sz="0" w:space="0" w:color="auto"/>
            <w:bottom w:val="none" w:sz="0" w:space="0" w:color="auto"/>
            <w:right w:val="none" w:sz="0" w:space="0" w:color="auto"/>
          </w:divBdr>
          <w:divsChild>
            <w:div w:id="223831900">
              <w:marLeft w:val="0"/>
              <w:marRight w:val="0"/>
              <w:marTop w:val="0"/>
              <w:marBottom w:val="0"/>
              <w:divBdr>
                <w:top w:val="none" w:sz="0" w:space="0" w:color="auto"/>
                <w:left w:val="none" w:sz="0" w:space="0" w:color="auto"/>
                <w:bottom w:val="none" w:sz="0" w:space="0" w:color="auto"/>
                <w:right w:val="none" w:sz="0" w:space="0" w:color="auto"/>
              </w:divBdr>
              <w:divsChild>
                <w:div w:id="3585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82337">
      <w:bodyDiv w:val="1"/>
      <w:marLeft w:val="0"/>
      <w:marRight w:val="0"/>
      <w:marTop w:val="0"/>
      <w:marBottom w:val="0"/>
      <w:divBdr>
        <w:top w:val="none" w:sz="0" w:space="0" w:color="auto"/>
        <w:left w:val="none" w:sz="0" w:space="0" w:color="auto"/>
        <w:bottom w:val="none" w:sz="0" w:space="0" w:color="auto"/>
        <w:right w:val="none" w:sz="0" w:space="0" w:color="auto"/>
      </w:divBdr>
    </w:div>
    <w:div w:id="1563565631">
      <w:bodyDiv w:val="1"/>
      <w:marLeft w:val="0"/>
      <w:marRight w:val="0"/>
      <w:marTop w:val="0"/>
      <w:marBottom w:val="0"/>
      <w:divBdr>
        <w:top w:val="none" w:sz="0" w:space="0" w:color="auto"/>
        <w:left w:val="none" w:sz="0" w:space="0" w:color="auto"/>
        <w:bottom w:val="none" w:sz="0" w:space="0" w:color="auto"/>
        <w:right w:val="none" w:sz="0" w:space="0" w:color="auto"/>
      </w:divBdr>
      <w:divsChild>
        <w:div w:id="579173560">
          <w:marLeft w:val="0"/>
          <w:marRight w:val="0"/>
          <w:marTop w:val="0"/>
          <w:marBottom w:val="0"/>
          <w:divBdr>
            <w:top w:val="none" w:sz="0" w:space="0" w:color="auto"/>
            <w:left w:val="none" w:sz="0" w:space="0" w:color="auto"/>
            <w:bottom w:val="none" w:sz="0" w:space="0" w:color="auto"/>
            <w:right w:val="none" w:sz="0" w:space="0" w:color="auto"/>
          </w:divBdr>
          <w:divsChild>
            <w:div w:id="1858041652">
              <w:marLeft w:val="0"/>
              <w:marRight w:val="0"/>
              <w:marTop w:val="0"/>
              <w:marBottom w:val="0"/>
              <w:divBdr>
                <w:top w:val="none" w:sz="0" w:space="0" w:color="auto"/>
                <w:left w:val="none" w:sz="0" w:space="0" w:color="auto"/>
                <w:bottom w:val="none" w:sz="0" w:space="0" w:color="auto"/>
                <w:right w:val="none" w:sz="0" w:space="0" w:color="auto"/>
              </w:divBdr>
              <w:divsChild>
                <w:div w:id="909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3083">
      <w:bodyDiv w:val="1"/>
      <w:marLeft w:val="0"/>
      <w:marRight w:val="0"/>
      <w:marTop w:val="0"/>
      <w:marBottom w:val="0"/>
      <w:divBdr>
        <w:top w:val="none" w:sz="0" w:space="0" w:color="auto"/>
        <w:left w:val="none" w:sz="0" w:space="0" w:color="auto"/>
        <w:bottom w:val="none" w:sz="0" w:space="0" w:color="auto"/>
        <w:right w:val="none" w:sz="0" w:space="0" w:color="auto"/>
      </w:divBdr>
      <w:divsChild>
        <w:div w:id="1142501689">
          <w:marLeft w:val="0"/>
          <w:marRight w:val="0"/>
          <w:marTop w:val="0"/>
          <w:marBottom w:val="0"/>
          <w:divBdr>
            <w:top w:val="none" w:sz="0" w:space="0" w:color="auto"/>
            <w:left w:val="none" w:sz="0" w:space="0" w:color="auto"/>
            <w:bottom w:val="none" w:sz="0" w:space="0" w:color="auto"/>
            <w:right w:val="none" w:sz="0" w:space="0" w:color="auto"/>
          </w:divBdr>
          <w:divsChild>
            <w:div w:id="279530603">
              <w:marLeft w:val="0"/>
              <w:marRight w:val="0"/>
              <w:marTop w:val="0"/>
              <w:marBottom w:val="0"/>
              <w:divBdr>
                <w:top w:val="none" w:sz="0" w:space="0" w:color="auto"/>
                <w:left w:val="none" w:sz="0" w:space="0" w:color="auto"/>
                <w:bottom w:val="none" w:sz="0" w:space="0" w:color="auto"/>
                <w:right w:val="none" w:sz="0" w:space="0" w:color="auto"/>
              </w:divBdr>
              <w:divsChild>
                <w:div w:id="6709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25121">
      <w:bodyDiv w:val="1"/>
      <w:marLeft w:val="0"/>
      <w:marRight w:val="0"/>
      <w:marTop w:val="0"/>
      <w:marBottom w:val="0"/>
      <w:divBdr>
        <w:top w:val="none" w:sz="0" w:space="0" w:color="auto"/>
        <w:left w:val="none" w:sz="0" w:space="0" w:color="auto"/>
        <w:bottom w:val="none" w:sz="0" w:space="0" w:color="auto"/>
        <w:right w:val="none" w:sz="0" w:space="0" w:color="auto"/>
      </w:divBdr>
    </w:div>
    <w:div w:id="1628969283">
      <w:bodyDiv w:val="1"/>
      <w:marLeft w:val="0"/>
      <w:marRight w:val="0"/>
      <w:marTop w:val="0"/>
      <w:marBottom w:val="0"/>
      <w:divBdr>
        <w:top w:val="none" w:sz="0" w:space="0" w:color="auto"/>
        <w:left w:val="none" w:sz="0" w:space="0" w:color="auto"/>
        <w:bottom w:val="none" w:sz="0" w:space="0" w:color="auto"/>
        <w:right w:val="none" w:sz="0" w:space="0" w:color="auto"/>
      </w:divBdr>
    </w:div>
    <w:div w:id="1640964012">
      <w:bodyDiv w:val="1"/>
      <w:marLeft w:val="0"/>
      <w:marRight w:val="0"/>
      <w:marTop w:val="0"/>
      <w:marBottom w:val="0"/>
      <w:divBdr>
        <w:top w:val="none" w:sz="0" w:space="0" w:color="auto"/>
        <w:left w:val="none" w:sz="0" w:space="0" w:color="auto"/>
        <w:bottom w:val="none" w:sz="0" w:space="0" w:color="auto"/>
        <w:right w:val="none" w:sz="0" w:space="0" w:color="auto"/>
      </w:divBdr>
    </w:div>
    <w:div w:id="1644963455">
      <w:bodyDiv w:val="1"/>
      <w:marLeft w:val="0"/>
      <w:marRight w:val="0"/>
      <w:marTop w:val="0"/>
      <w:marBottom w:val="0"/>
      <w:divBdr>
        <w:top w:val="none" w:sz="0" w:space="0" w:color="auto"/>
        <w:left w:val="none" w:sz="0" w:space="0" w:color="auto"/>
        <w:bottom w:val="none" w:sz="0" w:space="0" w:color="auto"/>
        <w:right w:val="none" w:sz="0" w:space="0" w:color="auto"/>
      </w:divBdr>
    </w:div>
    <w:div w:id="1696807563">
      <w:bodyDiv w:val="1"/>
      <w:marLeft w:val="0"/>
      <w:marRight w:val="0"/>
      <w:marTop w:val="0"/>
      <w:marBottom w:val="0"/>
      <w:divBdr>
        <w:top w:val="none" w:sz="0" w:space="0" w:color="auto"/>
        <w:left w:val="none" w:sz="0" w:space="0" w:color="auto"/>
        <w:bottom w:val="none" w:sz="0" w:space="0" w:color="auto"/>
        <w:right w:val="none" w:sz="0" w:space="0" w:color="auto"/>
      </w:divBdr>
    </w:div>
    <w:div w:id="1702167167">
      <w:bodyDiv w:val="1"/>
      <w:marLeft w:val="0"/>
      <w:marRight w:val="0"/>
      <w:marTop w:val="0"/>
      <w:marBottom w:val="0"/>
      <w:divBdr>
        <w:top w:val="none" w:sz="0" w:space="0" w:color="auto"/>
        <w:left w:val="none" w:sz="0" w:space="0" w:color="auto"/>
        <w:bottom w:val="none" w:sz="0" w:space="0" w:color="auto"/>
        <w:right w:val="none" w:sz="0" w:space="0" w:color="auto"/>
      </w:divBdr>
      <w:divsChild>
        <w:div w:id="624778199">
          <w:marLeft w:val="0"/>
          <w:marRight w:val="0"/>
          <w:marTop w:val="0"/>
          <w:marBottom w:val="0"/>
          <w:divBdr>
            <w:top w:val="none" w:sz="0" w:space="0" w:color="auto"/>
            <w:left w:val="none" w:sz="0" w:space="0" w:color="auto"/>
            <w:bottom w:val="none" w:sz="0" w:space="0" w:color="auto"/>
            <w:right w:val="none" w:sz="0" w:space="0" w:color="auto"/>
          </w:divBdr>
          <w:divsChild>
            <w:div w:id="561059652">
              <w:marLeft w:val="0"/>
              <w:marRight w:val="0"/>
              <w:marTop w:val="0"/>
              <w:marBottom w:val="0"/>
              <w:divBdr>
                <w:top w:val="none" w:sz="0" w:space="0" w:color="auto"/>
                <w:left w:val="none" w:sz="0" w:space="0" w:color="auto"/>
                <w:bottom w:val="none" w:sz="0" w:space="0" w:color="auto"/>
                <w:right w:val="none" w:sz="0" w:space="0" w:color="auto"/>
              </w:divBdr>
              <w:divsChild>
                <w:div w:id="19519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3749">
      <w:bodyDiv w:val="1"/>
      <w:marLeft w:val="0"/>
      <w:marRight w:val="0"/>
      <w:marTop w:val="0"/>
      <w:marBottom w:val="0"/>
      <w:divBdr>
        <w:top w:val="none" w:sz="0" w:space="0" w:color="auto"/>
        <w:left w:val="none" w:sz="0" w:space="0" w:color="auto"/>
        <w:bottom w:val="none" w:sz="0" w:space="0" w:color="auto"/>
        <w:right w:val="none" w:sz="0" w:space="0" w:color="auto"/>
      </w:divBdr>
      <w:divsChild>
        <w:div w:id="1731882668">
          <w:marLeft w:val="0"/>
          <w:marRight w:val="0"/>
          <w:marTop w:val="0"/>
          <w:marBottom w:val="0"/>
          <w:divBdr>
            <w:top w:val="none" w:sz="0" w:space="0" w:color="auto"/>
            <w:left w:val="none" w:sz="0" w:space="0" w:color="auto"/>
            <w:bottom w:val="none" w:sz="0" w:space="0" w:color="auto"/>
            <w:right w:val="none" w:sz="0" w:space="0" w:color="auto"/>
          </w:divBdr>
          <w:divsChild>
            <w:div w:id="1813328495">
              <w:marLeft w:val="0"/>
              <w:marRight w:val="0"/>
              <w:marTop w:val="0"/>
              <w:marBottom w:val="0"/>
              <w:divBdr>
                <w:top w:val="none" w:sz="0" w:space="0" w:color="auto"/>
                <w:left w:val="none" w:sz="0" w:space="0" w:color="auto"/>
                <w:bottom w:val="none" w:sz="0" w:space="0" w:color="auto"/>
                <w:right w:val="none" w:sz="0" w:space="0" w:color="auto"/>
              </w:divBdr>
              <w:divsChild>
                <w:div w:id="14178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8553">
      <w:bodyDiv w:val="1"/>
      <w:marLeft w:val="0"/>
      <w:marRight w:val="0"/>
      <w:marTop w:val="0"/>
      <w:marBottom w:val="0"/>
      <w:divBdr>
        <w:top w:val="none" w:sz="0" w:space="0" w:color="auto"/>
        <w:left w:val="none" w:sz="0" w:space="0" w:color="auto"/>
        <w:bottom w:val="none" w:sz="0" w:space="0" w:color="auto"/>
        <w:right w:val="none" w:sz="0" w:space="0" w:color="auto"/>
      </w:divBdr>
    </w:div>
    <w:div w:id="1842891695">
      <w:bodyDiv w:val="1"/>
      <w:marLeft w:val="0"/>
      <w:marRight w:val="0"/>
      <w:marTop w:val="0"/>
      <w:marBottom w:val="0"/>
      <w:divBdr>
        <w:top w:val="none" w:sz="0" w:space="0" w:color="auto"/>
        <w:left w:val="none" w:sz="0" w:space="0" w:color="auto"/>
        <w:bottom w:val="none" w:sz="0" w:space="0" w:color="auto"/>
        <w:right w:val="none" w:sz="0" w:space="0" w:color="auto"/>
      </w:divBdr>
    </w:div>
    <w:div w:id="1892645984">
      <w:bodyDiv w:val="1"/>
      <w:marLeft w:val="0"/>
      <w:marRight w:val="0"/>
      <w:marTop w:val="0"/>
      <w:marBottom w:val="0"/>
      <w:divBdr>
        <w:top w:val="none" w:sz="0" w:space="0" w:color="auto"/>
        <w:left w:val="none" w:sz="0" w:space="0" w:color="auto"/>
        <w:bottom w:val="none" w:sz="0" w:space="0" w:color="auto"/>
        <w:right w:val="none" w:sz="0" w:space="0" w:color="auto"/>
      </w:divBdr>
      <w:divsChild>
        <w:div w:id="1109549379">
          <w:marLeft w:val="0"/>
          <w:marRight w:val="0"/>
          <w:marTop w:val="0"/>
          <w:marBottom w:val="0"/>
          <w:divBdr>
            <w:top w:val="none" w:sz="0" w:space="0" w:color="auto"/>
            <w:left w:val="none" w:sz="0" w:space="0" w:color="auto"/>
            <w:bottom w:val="none" w:sz="0" w:space="0" w:color="auto"/>
            <w:right w:val="none" w:sz="0" w:space="0" w:color="auto"/>
          </w:divBdr>
          <w:divsChild>
            <w:div w:id="1602763008">
              <w:marLeft w:val="0"/>
              <w:marRight w:val="0"/>
              <w:marTop w:val="0"/>
              <w:marBottom w:val="0"/>
              <w:divBdr>
                <w:top w:val="none" w:sz="0" w:space="0" w:color="auto"/>
                <w:left w:val="none" w:sz="0" w:space="0" w:color="auto"/>
                <w:bottom w:val="none" w:sz="0" w:space="0" w:color="auto"/>
                <w:right w:val="none" w:sz="0" w:space="0" w:color="auto"/>
              </w:divBdr>
              <w:divsChild>
                <w:div w:id="16057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1602">
      <w:bodyDiv w:val="1"/>
      <w:marLeft w:val="0"/>
      <w:marRight w:val="0"/>
      <w:marTop w:val="0"/>
      <w:marBottom w:val="0"/>
      <w:divBdr>
        <w:top w:val="none" w:sz="0" w:space="0" w:color="auto"/>
        <w:left w:val="none" w:sz="0" w:space="0" w:color="auto"/>
        <w:bottom w:val="none" w:sz="0" w:space="0" w:color="auto"/>
        <w:right w:val="none" w:sz="0" w:space="0" w:color="auto"/>
      </w:divBdr>
    </w:div>
    <w:div w:id="1919513713">
      <w:bodyDiv w:val="1"/>
      <w:marLeft w:val="0"/>
      <w:marRight w:val="0"/>
      <w:marTop w:val="0"/>
      <w:marBottom w:val="0"/>
      <w:divBdr>
        <w:top w:val="none" w:sz="0" w:space="0" w:color="auto"/>
        <w:left w:val="none" w:sz="0" w:space="0" w:color="auto"/>
        <w:bottom w:val="none" w:sz="0" w:space="0" w:color="auto"/>
        <w:right w:val="none" w:sz="0" w:space="0" w:color="auto"/>
      </w:divBdr>
      <w:divsChild>
        <w:div w:id="468404732">
          <w:marLeft w:val="0"/>
          <w:marRight w:val="0"/>
          <w:marTop w:val="0"/>
          <w:marBottom w:val="0"/>
          <w:divBdr>
            <w:top w:val="none" w:sz="0" w:space="0" w:color="auto"/>
            <w:left w:val="none" w:sz="0" w:space="0" w:color="auto"/>
            <w:bottom w:val="none" w:sz="0" w:space="0" w:color="auto"/>
            <w:right w:val="none" w:sz="0" w:space="0" w:color="auto"/>
          </w:divBdr>
          <w:divsChild>
            <w:div w:id="995644312">
              <w:marLeft w:val="0"/>
              <w:marRight w:val="0"/>
              <w:marTop w:val="0"/>
              <w:marBottom w:val="0"/>
              <w:divBdr>
                <w:top w:val="none" w:sz="0" w:space="0" w:color="auto"/>
                <w:left w:val="none" w:sz="0" w:space="0" w:color="auto"/>
                <w:bottom w:val="none" w:sz="0" w:space="0" w:color="auto"/>
                <w:right w:val="none" w:sz="0" w:space="0" w:color="auto"/>
              </w:divBdr>
              <w:divsChild>
                <w:div w:id="17049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386">
      <w:bodyDiv w:val="1"/>
      <w:marLeft w:val="0"/>
      <w:marRight w:val="0"/>
      <w:marTop w:val="0"/>
      <w:marBottom w:val="0"/>
      <w:divBdr>
        <w:top w:val="none" w:sz="0" w:space="0" w:color="auto"/>
        <w:left w:val="none" w:sz="0" w:space="0" w:color="auto"/>
        <w:bottom w:val="none" w:sz="0" w:space="0" w:color="auto"/>
        <w:right w:val="none" w:sz="0" w:space="0" w:color="auto"/>
      </w:divBdr>
    </w:div>
    <w:div w:id="1992514967">
      <w:bodyDiv w:val="1"/>
      <w:marLeft w:val="0"/>
      <w:marRight w:val="0"/>
      <w:marTop w:val="0"/>
      <w:marBottom w:val="0"/>
      <w:divBdr>
        <w:top w:val="none" w:sz="0" w:space="0" w:color="auto"/>
        <w:left w:val="none" w:sz="0" w:space="0" w:color="auto"/>
        <w:bottom w:val="none" w:sz="0" w:space="0" w:color="auto"/>
        <w:right w:val="none" w:sz="0" w:space="0" w:color="auto"/>
      </w:divBdr>
      <w:divsChild>
        <w:div w:id="2078477339">
          <w:marLeft w:val="0"/>
          <w:marRight w:val="0"/>
          <w:marTop w:val="0"/>
          <w:marBottom w:val="0"/>
          <w:divBdr>
            <w:top w:val="none" w:sz="0" w:space="0" w:color="auto"/>
            <w:left w:val="none" w:sz="0" w:space="0" w:color="auto"/>
            <w:bottom w:val="none" w:sz="0" w:space="0" w:color="auto"/>
            <w:right w:val="none" w:sz="0" w:space="0" w:color="auto"/>
          </w:divBdr>
          <w:divsChild>
            <w:div w:id="1465855332">
              <w:marLeft w:val="0"/>
              <w:marRight w:val="0"/>
              <w:marTop w:val="0"/>
              <w:marBottom w:val="0"/>
              <w:divBdr>
                <w:top w:val="none" w:sz="0" w:space="0" w:color="auto"/>
                <w:left w:val="none" w:sz="0" w:space="0" w:color="auto"/>
                <w:bottom w:val="none" w:sz="0" w:space="0" w:color="auto"/>
                <w:right w:val="none" w:sz="0" w:space="0" w:color="auto"/>
              </w:divBdr>
              <w:divsChild>
                <w:div w:id="19562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71078">
      <w:bodyDiv w:val="1"/>
      <w:marLeft w:val="0"/>
      <w:marRight w:val="0"/>
      <w:marTop w:val="0"/>
      <w:marBottom w:val="0"/>
      <w:divBdr>
        <w:top w:val="none" w:sz="0" w:space="0" w:color="auto"/>
        <w:left w:val="none" w:sz="0" w:space="0" w:color="auto"/>
        <w:bottom w:val="none" w:sz="0" w:space="0" w:color="auto"/>
        <w:right w:val="none" w:sz="0" w:space="0" w:color="auto"/>
      </w:divBdr>
    </w:div>
    <w:div w:id="2034840042">
      <w:bodyDiv w:val="1"/>
      <w:marLeft w:val="0"/>
      <w:marRight w:val="0"/>
      <w:marTop w:val="0"/>
      <w:marBottom w:val="0"/>
      <w:divBdr>
        <w:top w:val="none" w:sz="0" w:space="0" w:color="auto"/>
        <w:left w:val="none" w:sz="0" w:space="0" w:color="auto"/>
        <w:bottom w:val="none" w:sz="0" w:space="0" w:color="auto"/>
        <w:right w:val="none" w:sz="0" w:space="0" w:color="auto"/>
      </w:divBdr>
    </w:div>
    <w:div w:id="2041276647">
      <w:bodyDiv w:val="1"/>
      <w:marLeft w:val="0"/>
      <w:marRight w:val="0"/>
      <w:marTop w:val="0"/>
      <w:marBottom w:val="0"/>
      <w:divBdr>
        <w:top w:val="none" w:sz="0" w:space="0" w:color="auto"/>
        <w:left w:val="none" w:sz="0" w:space="0" w:color="auto"/>
        <w:bottom w:val="none" w:sz="0" w:space="0" w:color="auto"/>
        <w:right w:val="none" w:sz="0" w:space="0" w:color="auto"/>
      </w:divBdr>
    </w:div>
    <w:div w:id="20718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doi.org/10.1080/19463138.2019.1615492" TargetMode="External"/><Relationship Id="rId26" Type="http://schemas.openxmlformats.org/officeDocument/2006/relationships/hyperlink" Target="https://documents.worldbank.org/en/publication/documents-reports/documentdetail/201121504860579264/improving-land-sector-governance-in-ghana-implementation-of-the-land-governance-assessment-framework-lgaf-final-report" TargetMode="External"/><Relationship Id="rId39" Type="http://schemas.openxmlformats.org/officeDocument/2006/relationships/hyperlink" Target="https://scholar.google.com/scholar?hl=en&amp;as_sdt=0%2C5&amp;q=%22Nwuba%2C+C.+C.+%282018%29.+Challenges+to+land+registration+in+Kaduna+State%2C+Nigeria.+Journal+of+African+Real+Estate+Research%2C+14%282%29%2C+154-172.+%22&amp;btnG" TargetMode="External"/><Relationship Id="rId21" Type="http://schemas.openxmlformats.org/officeDocument/2006/relationships/hyperlink" Target="https://scholar.google.com/scholar?hl=en&amp;as_sdt=0%2C5&amp;q=%22Alden+Wily%2C+L.+%282011%29.+The+Law+is+to+Blame%3A+The+Vulnerable+Status+of+Common+Property+Rights+in+Sub-Saharan+Africa.+Development+and+Change%2C+42%283%29%2C+733%E2%80%93757.%22&amp;btnG" TargetMode="External"/><Relationship Id="rId34" Type="http://schemas.openxmlformats.org/officeDocument/2006/relationships/hyperlink" Target="https://scholar.google.com/scholar?hl=en&amp;as_sdt=0%2C5&amp;q=%22Kuntu-Mensah%2C+P.+%282006%29.+On+the+implementation+of+land+title+registration+in+Ghana.+Land%2C+19%281%29%2C+1%E2%80%9318%22&amp;btnG" TargetMode="External"/><Relationship Id="rId42" Type="http://schemas.openxmlformats.org/officeDocument/2006/relationships/hyperlink" Target="https://scholar.google.com/scholar?hl=en&amp;as_sdt=0%2C5&amp;q=%22Sadiq%2C+S.%2C+Orlowska%2C+M.%2C+Sadiq%2C+W.%2C+%26+Foulger%2C+C.+%282004%29.+Data+Flow+and+Validation+in%22&amp;btnG" TargetMode="External"/><Relationship Id="rId47" Type="http://schemas.openxmlformats.org/officeDocument/2006/relationships/hyperlink" Target="https://scholar.google.com/scholar?hl=en&amp;as_sdt=0%2C5&amp;q=%22Wang%2C+Y.%2C+Yu%2C+S.%2C+%26+Xu%2C+T.+%282017%29.+Advanced+Engineering+Informatics.+A+user+requirement+driven+framework+for+collaborative+design+knowledge+management.+Advanced+Engineering+Informatics%2C+33%2C+16%E2%80%93+28.++%22&amp;btnG" TargetMode="External"/><Relationship Id="rId50" Type="http://schemas.openxmlformats.org/officeDocument/2006/relationships/hyperlink" Target="https://doi.org/10.3828/idpr.2013.3"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hart" Target="charts/chart3.xml"/><Relationship Id="rId29" Type="http://schemas.openxmlformats.org/officeDocument/2006/relationships/hyperlink" Target="https://scholar.google.com/scholar?hl=en&amp;as_sdt=0%2C5&amp;q=%22Deininger%2C+K.%2C+Selod%2C+H.%2C+%26+Burns%2C+A.+%282012%29.+The+Land+Governance+Assessment+Framework%3A+Identifying+and+Monitoring+Good+Practice+in+the+Land+Sector.+World+Bank+Publications.%22&amp;btnG" TargetMode="External"/><Relationship Id="rId11" Type="http://schemas.openxmlformats.org/officeDocument/2006/relationships/diagramQuickStyle" Target="diagrams/quickStyle1.xml"/><Relationship Id="rId24" Type="http://schemas.openxmlformats.org/officeDocument/2006/relationships/hyperlink" Target="https://scholar.google.com/scholar?hl=en&amp;as_sdt=0%2C5&amp;q=%22Armah%2C+B.+A.+%282014%29.+Impacts+of+socio-political+organizational+structures+underpinning+indigenous+land+tenure%3A+Evidence+from+Ghana.+Journal+of+Land+Use+Policy%2C+40%2C+1%E2%80%9312%22&amp;btnG" TargetMode="External"/><Relationship Id="rId32" Type="http://schemas.openxmlformats.org/officeDocument/2006/relationships/hyperlink" Target="https://scholar.google.com/scholar?hl=en&amp;as_sdt=0%2C5&amp;q=%22Kasanga%2C+K.%2C+%26+Kotey%2C+N.+A.+%282001%29.+Land+Management+in+Ghana%3A+Building+on+Tradition+and+Modernity.+International+Institute+for+Environment+and+Development+%28IIED%29.%22&amp;btnG" TargetMode="External"/><Relationship Id="rId37" Type="http://schemas.openxmlformats.org/officeDocument/2006/relationships/hyperlink" Target="https://1library.net/article/sampling-techniques-research-design-and-methodology.zk7r16pq" TargetMode="External"/><Relationship Id="rId40" Type="http://schemas.openxmlformats.org/officeDocument/2006/relationships/hyperlink" Target="https://doi.org/10.1007/s10901-009-9173-x" TargetMode="External"/><Relationship Id="rId45" Type="http://schemas.openxmlformats.org/officeDocument/2006/relationships/hyperlink" Target="https://scholarlypublications.universiteitleiden.nl/handle/1887/21154"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papers.ssrn.com/sol3/papers.cfm?abstract_id=3694776"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https://doi.org/10.30564/jeisr.v3i2.3692" TargetMode="External"/><Relationship Id="rId27" Type="http://schemas.openxmlformats.org/officeDocument/2006/relationships/hyperlink" Target="http://dx.doi.org/10.1016/j.landusepol.2018.04.014" TargetMode="External"/><Relationship Id="rId30" Type="http://schemas.openxmlformats.org/officeDocument/2006/relationships/hyperlink" Target="https://doi.org/10.47191/ijmra/v8-i05-18" TargetMode="External"/><Relationship Id="rId35" Type="http://schemas.openxmlformats.org/officeDocument/2006/relationships/hyperlink" Target="https://www.dennislawgh.com/law-preview/land-act/1254" TargetMode="External"/><Relationship Id="rId43" Type="http://schemas.openxmlformats.org/officeDocument/2006/relationships/hyperlink" Target="https://scholar.google.com/scholar?hl=en&amp;as_sdt=0%2C5&amp;q=%22Schoneveld%2C+G.+%282014%29.+Translating+legal+rights+into+tenure+security%3A+Lessons+from+the+new+commercial+pressures+on+land+in+Ghana.+Land+Use+Policy%2C+38%2C+205%E2%80%93215%22&amp;btnG" TargetMode="External"/><Relationship Id="rId48" Type="http://schemas.openxmlformats.org/officeDocument/2006/relationships/hyperlink" Target="https://scholar.google.com/scholar?hl=en&amp;as_sdt=0%2C5&amp;q=%22Whittal%2C+J.+%282014%29.+A+new+conceptual+model+for+the+continuum+of+land+rights.+Land+Use+Policy%2C+45%2C+136%E2%80%93147%22&amp;btnG" TargetMode="External"/><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ieg.worldbankgroup.org/reports/ghana-land-administration-project-0?utm_source=chatgpt.com" TargetMode="External"/><Relationship Id="rId3" Type="http://schemas.microsoft.com/office/2007/relationships/stylesWithEffects" Target="stylesWithEffects.xml"/><Relationship Id="rId12" Type="http://schemas.openxmlformats.org/officeDocument/2006/relationships/diagramColors" Target="diagrams/colors1.xml"/><Relationship Id="rId17" Type="http://schemas.openxmlformats.org/officeDocument/2006/relationships/hyperlink" Target="https://doi.org/10.1016/j.landusepol.2020.104580" TargetMode="External"/><Relationship Id="rId25" Type="http://schemas.openxmlformats.org/officeDocument/2006/relationships/hyperlink" Target="https://doi.org/10.3390/land10020143" TargetMode="External"/><Relationship Id="rId33" Type="http://schemas.openxmlformats.org/officeDocument/2006/relationships/hyperlink" Target="https://sciendo-parsed.s3.eu-central-1.amazonaws.com/6471ce3f215d2f6c89db172f/10.1515_ffp-2015-0010.pdf?X-Amz-Algorithm=AWS4-HMAC-SHA256&amp;X-Amz-Content-Sha256=UNSIGNED-PAYLOAD&amp;X-Amz-Credential=ASIA6AP2G7AKAK5ZTSHJ%2F20250519%2Feu-central-1%2Fs3%2Faws4_request&amp;X-Amz-Date=20250519T105333Z&amp;X-Amz-Expires=3600&amp;X-Amz-Security-Token=IQoJb3JpZ2luX2VjENL%2F%2F%2F%2F%2F%2F%2F%2F%2F%2FwEaDGV1LWNlbnRyYWwtMSJHMEUCIQDT1HS9I7Shp0939CfsLWeAt7k5pqzYFUhasJLXZk5JwwIgbHhhBXfcffOlXzyK0fHfAxsBBwkL0f3ZoveTjx%2BmXDYqxQUIi%2F%2F%2F%2F%2F%2F%2F%2F%2F%2F%2FARACGgw5NjMxMzQyODk5NDAiDElXN4bsJu5aQl3s2iqZBRcjb78DHd00NOYEgU4xSCk4WniF02BMwYSOTTYwbYtP5QmfUjp7ktQU5jxwtH4iSnZsotRVJCIqZEReMQCU4zPLFnNZ2VdyLb2g6blMRGmN%2BoscaDaLrl4UoRhrWGkXMQkp%2BCODhb43neYD6tX3u%2FfqecGES8xVLjB79HyjVcLpgS8zFQFllmZIKaJ2Y6REpkr2HIbdKOJ7zmuWzv4MWcd8Zet4N%2BOdoURbk04hFEMVahfZXxyWG7RLU%2F6cPJSRS2TuPp%2B2yOOw8%2FlEBmtifra42Bm6Pc7n%2BlllqdSyAtHPmRjDAHUoz0v6W0eDm%2FRZlfm4GuRaQ7agw%2BN%2FoJm56YDIyecQGR%2B8pszM5LUCkPkRzSu79mo0%2BxRv%2BrP1gsj%2FkhiP8020MlqpNkE48CXj63ICpSjOQt9dT5h802X5mcXSJj3J76XF9vNASXQqloJ8UNGxv30aerl6GXNoJKPzoIcMMpHMAYbb%2BIZQt4TLScyllT6stJygohlY8lLBayrtnNSwByWllt%2FQQnL2aRmlH0bwWF9lxxcBMAQtIX%2Blld%2F2EUh9DXiTrs%2B5cJAVln%2BNsDKAfsJSACyQlif%2B27ze5AY4oYGfLLgAn%2BdTtXIWzgCRFzKJN80J8147Y%2FZtemde%2F2m1gwa%2BWV2yy2B8dGFkAnOE3TXza5xkKROp8Zpa%2FkcxonXiX5RA%2BeYw5%2B4Dxc7r%2FzOFpkHzH1FQd4IlESehLG8FMQFGKo6vMZjantv2Q5CIof6LLVekzcq8vgxaPdhwmNjL%2FzYWKyK80tK9ARKjea01lgA94MgP%2BBiiOlgTmlz8aRCUM1BcofEGoIIJzbaFI5XDZwTDeBtIRSlji8l8HyQdc65CfEQo2aUKe9Ez4qms2ts8D48FLWyJML6CrMEGOrEByeCb0HbJAjq0syRD9tjKdRbeJ4oAGmIb8HB5psY7fRozwtR0tESHRxGk%2B%2FCwnLnY2I4fl%2Btt%2FzPjVk1eE8QPk4%2FmD5Rndm0i21HTJ%2FM%2B5LX%2BbX6Auh%2BRDdrVq%2BIsO%2B%2BcfDKDuv8REFhiZpOYvNo3EgJuiPDANIJ%2B8JtX6BSzI1ywl439hE%2BbeKzZzAEPE5czuWzu7vc%2BZ620PmlOqSNaTI%2FMyn7KTnIhkqzGAiOk%2BZ8u&amp;X-Amz-Signature=6e9b74852c0ade8327458d439d627acd2490f466051ea6cd831cb46435979034&amp;X-Amz-SignedHeaders=host&amp;x-amz-checksum-mode=ENABLED&amp;x-id=GetObject" TargetMode="External"/><Relationship Id="rId38" Type="http://schemas.openxmlformats.org/officeDocument/2006/relationships/hyperlink" Target="http://dx.doi.org/10.47772/IJRISS.2023.7012082" TargetMode="External"/><Relationship Id="rId46" Type="http://schemas.openxmlformats.org/officeDocument/2006/relationships/hyperlink" Target="https://scholar.google.com/scholar?hl=en&amp;as_sdt=0%2C5&amp;q=United+Nations.+%282015%29.+Transforming+Our+World%3A+The+2030+Agenda+for+Sustainable+Development.+United+Nations+General+Assembly.&amp;btnG" TargetMode="External"/><Relationship Id="rId59" Type="http://schemas.openxmlformats.org/officeDocument/2006/relationships/theme" Target="theme/theme1.xml"/><Relationship Id="rId20" Type="http://schemas.openxmlformats.org/officeDocument/2006/relationships/hyperlink" Target="https://doi.org/10.1016/j.landusepol.2019.01.015" TargetMode="External"/><Relationship Id="rId41" Type="http://schemas.openxmlformats.org/officeDocument/2006/relationships/hyperlink" Target="https://scholar.google.com/scholar?hl=en&amp;as_sdt=0%2C5&amp;q=%22Quaye%2C+B.+A.+%282020%29.+Effective+implementation+of+land+title+registration+in+Ghana%3A+Legal+and+organizational+challenges.+Ghana+Land+Administration+Journal%2C+15%283%29%2C+45%E2%80%9360.+%22&amp;btn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scholar.google.com/scholar?hl=en&amp;as_sdt=0%2C5&amp;q=%22Arko-Adjei%2C+A.%2C+Ameyaw%2C+S.%2C+%26+Akudibillah%2C+S.+%282009%29.+Customary+land+tenure+dynamics+at+peri-urban+Ghana%3A+Implications+for+land+administration+system+modeling.+Land+Use+Policy%2C+26%28Supplement+1%29%2C+S99%E2%80%93S105.%22&amp;btnG" TargetMode="External"/><Relationship Id="rId28" Type="http://schemas.openxmlformats.org/officeDocument/2006/relationships/hyperlink" Target="https://www.iied.org/sites/default/files/pdfs/migrate/9305IIED.pdf" TargetMode="External"/><Relationship Id="rId36" Type="http://schemas.openxmlformats.org/officeDocument/2006/relationships/hyperlink" Target="https://www.fig.net/resources/proceedings/fig_proceedings/accra/papers/ps01/ps01_02_larbi.pdf" TargetMode="External"/><Relationship Id="rId49" Type="http://schemas.openxmlformats.org/officeDocument/2006/relationships/hyperlink" Target="https://scholar.google.com/scholar?hl=en&amp;as_sdt=0%2C5&amp;q=%22Woodman%2C+G.+%281987%29.+Land+Title+Registration+Without+Prejudice%3A+The+Ghana+Land+Title+Registration+Law%2C+1986.+Journal+of+African+Law%2C+31%281%29%2C+7-20.%22&amp;btnG" TargetMode="External"/><Relationship Id="rId57" Type="http://schemas.openxmlformats.org/officeDocument/2006/relationships/footer" Target="footer3.xml"/><Relationship Id="rId10" Type="http://schemas.openxmlformats.org/officeDocument/2006/relationships/diagramLayout" Target="diagrams/layout1.xml"/><Relationship Id="rId31" Type="http://schemas.openxmlformats.org/officeDocument/2006/relationships/hyperlink" Target="https://www.researchgate.net/publication/316554067_LAND_CONFLICTS_IN_GHANA_CAUSES_EFFECTS_AND_RESOLUTION" TargetMode="External"/><Relationship Id="rId44" Type="http://schemas.openxmlformats.org/officeDocument/2006/relationships/hyperlink" Target="https://stma.gov.gh/documents/STMA%20MEDIUM-TERM%20DEVELOPMENT%20PLAN%20%202022%202025%20final.pdf" TargetMode="External"/><Relationship Id="rId5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c:f>
              <c:strCache>
                <c:ptCount val="1"/>
                <c:pt idx="0">
                  <c:v>Percentage of Registered Land Rights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Sheet1!$D$4:$D$8</c:f>
              <c:strCache>
                <c:ptCount val="5"/>
                <c:pt idx="0">
                  <c:v>Leasehold</c:v>
                </c:pt>
                <c:pt idx="1">
                  <c:v>Assignment</c:v>
                </c:pt>
                <c:pt idx="2">
                  <c:v>Sublease</c:v>
                </c:pt>
                <c:pt idx="3">
                  <c:v>Allodial Title</c:v>
                </c:pt>
                <c:pt idx="4">
                  <c:v>Freehold</c:v>
                </c:pt>
              </c:strCache>
            </c:strRef>
          </c:cat>
          <c:val>
            <c:numRef>
              <c:f>Sheet1!$E$4:$E$8</c:f>
              <c:numCache>
                <c:formatCode>0%</c:formatCode>
                <c:ptCount val="5"/>
                <c:pt idx="0" formatCode="0.00%">
                  <c:v>0.71599999999999997</c:v>
                </c:pt>
                <c:pt idx="1">
                  <c:v>0.18</c:v>
                </c:pt>
                <c:pt idx="2" formatCode="0.00%">
                  <c:v>6.9000000000000006E-2</c:v>
                </c:pt>
                <c:pt idx="3">
                  <c:v>0.03</c:v>
                </c:pt>
                <c:pt idx="4" formatCode="0.00%">
                  <c:v>5.0000000000000001E-3</c:v>
                </c:pt>
              </c:numCache>
            </c:numRef>
          </c:val>
          <c:extLst xmlns:c16r2="http://schemas.microsoft.com/office/drawing/2015/06/chart">
            <c:ext xmlns:c16="http://schemas.microsoft.com/office/drawing/2014/chart" uri="{C3380CC4-5D6E-409C-BE32-E72D297353CC}">
              <c16:uniqueId val="{00000000-9FA2-496D-8C79-EC6A307870E5}"/>
            </c:ext>
          </c:extLst>
        </c:ser>
        <c:dLbls>
          <c:dLblPos val="outEnd"/>
          <c:showLegendKey val="0"/>
          <c:showVal val="1"/>
          <c:showCatName val="0"/>
          <c:showSerName val="0"/>
          <c:showPercent val="0"/>
          <c:showBubbleSize val="0"/>
        </c:dLbls>
        <c:gapWidth val="355"/>
        <c:overlap val="-70"/>
        <c:axId val="682093056"/>
        <c:axId val="682836544"/>
      </c:barChart>
      <c:catAx>
        <c:axId val="682093056"/>
        <c:scaling>
          <c:orientation val="minMax"/>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u="none" strike="noStrike" kern="1200" cap="none" spc="50" baseline="0">
                    <a:solidFill>
                      <a:sysClr val="windowText" lastClr="000000">
                        <a:lumMod val="65000"/>
                        <a:lumOff val="35000"/>
                      </a:sysClr>
                    </a:solidFill>
                    <a:latin typeface="Times New Roman" panose="02020603050405020304" pitchFamily="18" charset="0"/>
                    <a:cs typeface="Times New Roman" panose="02020603050405020304" pitchFamily="18" charset="0"/>
                  </a:rPr>
                  <a:t>Land Rights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2836544"/>
        <c:crosses val="autoZero"/>
        <c:auto val="1"/>
        <c:lblAlgn val="ctr"/>
        <c:lblOffset val="100"/>
        <c:noMultiLvlLbl val="0"/>
      </c:catAx>
      <c:valAx>
        <c:axId val="68283654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12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Respondents</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20930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0583005249343833"/>
          <c:w val="0.83611111111111114"/>
          <c:h val="0.38505067074948973"/>
        </c:manualLayout>
      </c:layout>
      <c:pie3DChart>
        <c:varyColors val="1"/>
        <c:ser>
          <c:idx val="0"/>
          <c:order val="0"/>
          <c:tx>
            <c:strRef>
              <c:f>Sheet1!$E$5</c:f>
              <c:strCache>
                <c:ptCount val="1"/>
                <c:pt idx="0">
                  <c:v>Respondents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942-4A0D-8587-B02483B0948D}"/>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942-4A0D-8587-B02483B0948D}"/>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942-4A0D-8587-B02483B0948D}"/>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A942-4A0D-8587-B02483B0948D}"/>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Sheet1!$D$6:$D$9</c:f>
              <c:strCache>
                <c:ptCount val="4"/>
                <c:pt idx="0">
                  <c:v>Inadequate staffing</c:v>
                </c:pt>
                <c:pt idx="1">
                  <c:v>Bureaucracies, inefficient land registration logistics</c:v>
                </c:pt>
                <c:pt idx="2">
                  <c:v>Inefficient land registration logistics</c:v>
                </c:pt>
                <c:pt idx="3">
                  <c:v>Corruption</c:v>
                </c:pt>
              </c:strCache>
            </c:strRef>
          </c:cat>
          <c:val>
            <c:numRef>
              <c:f>Sheet1!$E$6:$E$9</c:f>
              <c:numCache>
                <c:formatCode>General</c:formatCode>
                <c:ptCount val="4"/>
                <c:pt idx="0">
                  <c:v>57</c:v>
                </c:pt>
                <c:pt idx="1">
                  <c:v>45</c:v>
                </c:pt>
                <c:pt idx="2">
                  <c:v>27</c:v>
                </c:pt>
                <c:pt idx="3">
                  <c:v>21</c:v>
                </c:pt>
              </c:numCache>
            </c:numRef>
          </c:val>
          <c:extLst xmlns:c16r2="http://schemas.microsoft.com/office/drawing/2015/06/chart">
            <c:ext xmlns:c16="http://schemas.microsoft.com/office/drawing/2014/chart" uri="{C3380CC4-5D6E-409C-BE32-E72D297353CC}">
              <c16:uniqueId val="{00000008-A942-4A0D-8587-B02483B0948D}"/>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5286417322834644"/>
          <c:y val="0.66666447944007001"/>
          <c:w val="0.73038254593175855"/>
          <c:h val="0.305557742782152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Sheet1!$F$14</c:f>
              <c:strCache>
                <c:ptCount val="1"/>
                <c:pt idx="0">
                  <c:v>Respondents impacted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Sheet1!$E$15:$E$18</c:f>
              <c:strCache>
                <c:ptCount val="4"/>
                <c:pt idx="0">
                  <c:v>More than six months</c:v>
                </c:pt>
                <c:pt idx="1">
                  <c:v>Greater than or equal to 3 months</c:v>
                </c:pt>
                <c:pt idx="2">
                  <c:v>Less than 3 months</c:v>
                </c:pt>
                <c:pt idx="3">
                  <c:v>Less than 1 month</c:v>
                </c:pt>
              </c:strCache>
            </c:strRef>
          </c:cat>
          <c:val>
            <c:numRef>
              <c:f>Sheet1!$F$15:$F$18</c:f>
              <c:numCache>
                <c:formatCode>General</c:formatCode>
                <c:ptCount val="4"/>
                <c:pt idx="0">
                  <c:v>110</c:v>
                </c:pt>
                <c:pt idx="1">
                  <c:v>28</c:v>
                </c:pt>
                <c:pt idx="2">
                  <c:v>8</c:v>
                </c:pt>
                <c:pt idx="3">
                  <c:v>4</c:v>
                </c:pt>
              </c:numCache>
            </c:numRef>
          </c:val>
          <c:smooth val="0"/>
          <c:extLst xmlns:c16r2="http://schemas.microsoft.com/office/drawing/2015/06/chart">
            <c:ext xmlns:c16="http://schemas.microsoft.com/office/drawing/2014/chart" uri="{C3380CC4-5D6E-409C-BE32-E72D297353CC}">
              <c16:uniqueId val="{00000000-8973-45BD-9265-FF4AE2CE6906}"/>
            </c:ext>
          </c:extLst>
        </c:ser>
        <c:dLbls>
          <c:dLblPos val="t"/>
          <c:showLegendKey val="0"/>
          <c:showVal val="1"/>
          <c:showCatName val="0"/>
          <c:showSerName val="0"/>
          <c:showPercent val="0"/>
          <c:showBubbleSize val="0"/>
        </c:dLbls>
        <c:marker val="1"/>
        <c:smooth val="0"/>
        <c:axId val="682090496"/>
        <c:axId val="682841152"/>
      </c:lineChart>
      <c:catAx>
        <c:axId val="68209049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Period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2841152"/>
        <c:crosses val="autoZero"/>
        <c:auto val="1"/>
        <c:lblAlgn val="ctr"/>
        <c:lblOffset val="100"/>
        <c:noMultiLvlLbl val="0"/>
      </c:catAx>
      <c:valAx>
        <c:axId val="682841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2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Respondents </a:t>
                </a:r>
              </a:p>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20904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98D72F-4F4C-4712-AE6F-5A80F0EF200C}"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382EC59B-5E72-4945-802A-EA2868E09DDF}">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Land Tenure in Ghana</a:t>
          </a:r>
        </a:p>
      </dgm:t>
    </dgm:pt>
    <dgm:pt modelId="{222F06C6-E736-4B74-8472-1DDFFA0D2663}" type="parTrans" cxnId="{39DAD455-37A0-48E9-A6B3-87EC7F4E0C8C}">
      <dgm:prSet/>
      <dgm:spPr/>
      <dgm:t>
        <a:bodyPr/>
        <a:lstStyle/>
        <a:p>
          <a:endParaRPr lang="en-US" sz="1200">
            <a:latin typeface="Times New Roman" panose="02020603050405020304" pitchFamily="18" charset="0"/>
            <a:cs typeface="Times New Roman" panose="02020603050405020304" pitchFamily="18" charset="0"/>
          </a:endParaRPr>
        </a:p>
      </dgm:t>
    </dgm:pt>
    <dgm:pt modelId="{6149C59B-F15C-4499-98A1-57FF31E5A391}" type="sibTrans" cxnId="{39DAD455-37A0-48E9-A6B3-87EC7F4E0C8C}">
      <dgm:prSet/>
      <dgm:spPr/>
      <dgm:t>
        <a:bodyPr/>
        <a:lstStyle/>
        <a:p>
          <a:endParaRPr lang="en-US" sz="1200">
            <a:latin typeface="Times New Roman" panose="02020603050405020304" pitchFamily="18" charset="0"/>
            <a:cs typeface="Times New Roman" panose="02020603050405020304" pitchFamily="18" charset="0"/>
          </a:endParaRPr>
        </a:p>
      </dgm:t>
    </dgm:pt>
    <dgm:pt modelId="{C6AE1D37-7357-4D9F-B8AE-1FAECC06735F}">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Public Lands</a:t>
          </a:r>
        </a:p>
      </dgm:t>
    </dgm:pt>
    <dgm:pt modelId="{6AAC222E-2037-4EB9-B9B9-8C7C0E7E17CE}" type="parTrans" cxnId="{13816C0F-5149-4DCD-9C32-B267957D9FD7}">
      <dgm:prSet custT="1"/>
      <dgm:spPr/>
      <dgm:t>
        <a:bodyPr/>
        <a:lstStyle/>
        <a:p>
          <a:endParaRPr lang="en-US" sz="1200">
            <a:latin typeface="Times New Roman" panose="02020603050405020304" pitchFamily="18" charset="0"/>
            <a:cs typeface="Times New Roman" panose="02020603050405020304" pitchFamily="18" charset="0"/>
          </a:endParaRPr>
        </a:p>
      </dgm:t>
    </dgm:pt>
    <dgm:pt modelId="{CAA7D089-B2C8-4EE1-9FB5-C57EE1AE32FF}" type="sibTrans" cxnId="{13816C0F-5149-4DCD-9C32-B267957D9FD7}">
      <dgm:prSet/>
      <dgm:spPr/>
      <dgm:t>
        <a:bodyPr/>
        <a:lstStyle/>
        <a:p>
          <a:endParaRPr lang="en-US" sz="1200">
            <a:latin typeface="Times New Roman" panose="02020603050405020304" pitchFamily="18" charset="0"/>
            <a:cs typeface="Times New Roman" panose="02020603050405020304" pitchFamily="18" charset="0"/>
          </a:endParaRPr>
        </a:p>
      </dgm:t>
    </dgm:pt>
    <dgm:pt modelId="{57FC81CA-EDC5-4B45-B2BB-2A059B3B0854}">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State lands</a:t>
          </a:r>
        </a:p>
      </dgm:t>
    </dgm:pt>
    <dgm:pt modelId="{28778ACF-8898-439F-A47D-86A14C0D065D}" type="parTrans" cxnId="{23C6E3E6-5C2D-44BC-BE28-7D7E6BC0F80B}">
      <dgm:prSet custT="1"/>
      <dgm:spPr/>
      <dgm:t>
        <a:bodyPr/>
        <a:lstStyle/>
        <a:p>
          <a:endParaRPr lang="en-US" sz="1200">
            <a:latin typeface="Times New Roman" panose="02020603050405020304" pitchFamily="18" charset="0"/>
            <a:cs typeface="Times New Roman" panose="02020603050405020304" pitchFamily="18" charset="0"/>
          </a:endParaRPr>
        </a:p>
      </dgm:t>
    </dgm:pt>
    <dgm:pt modelId="{B76E3E3E-2F40-4FC0-97AF-DD7F9821BFAB}" type="sibTrans" cxnId="{23C6E3E6-5C2D-44BC-BE28-7D7E6BC0F80B}">
      <dgm:prSet/>
      <dgm:spPr/>
      <dgm:t>
        <a:bodyPr/>
        <a:lstStyle/>
        <a:p>
          <a:endParaRPr lang="en-US" sz="1200">
            <a:latin typeface="Times New Roman" panose="02020603050405020304" pitchFamily="18" charset="0"/>
            <a:cs typeface="Times New Roman" panose="02020603050405020304" pitchFamily="18" charset="0"/>
          </a:endParaRPr>
        </a:p>
      </dgm:t>
    </dgm:pt>
    <dgm:pt modelId="{1B41A6A5-9168-49FE-B27A-A8B89BA3E031}">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Vested Lands</a:t>
          </a:r>
        </a:p>
      </dgm:t>
    </dgm:pt>
    <dgm:pt modelId="{33D967F2-45CC-44C6-85EB-FE2B9CEBE562}" type="parTrans" cxnId="{9C54DA58-0894-40BF-82B6-A5CC26A23399}">
      <dgm:prSet custT="1"/>
      <dgm:spPr/>
      <dgm:t>
        <a:bodyPr/>
        <a:lstStyle/>
        <a:p>
          <a:endParaRPr lang="en-US" sz="1200">
            <a:latin typeface="Times New Roman" panose="02020603050405020304" pitchFamily="18" charset="0"/>
            <a:cs typeface="Times New Roman" panose="02020603050405020304" pitchFamily="18" charset="0"/>
          </a:endParaRPr>
        </a:p>
      </dgm:t>
    </dgm:pt>
    <dgm:pt modelId="{D6FC60A0-7441-45BF-9780-238159E63F7D}" type="sibTrans" cxnId="{9C54DA58-0894-40BF-82B6-A5CC26A23399}">
      <dgm:prSet/>
      <dgm:spPr/>
      <dgm:t>
        <a:bodyPr/>
        <a:lstStyle/>
        <a:p>
          <a:endParaRPr lang="en-US" sz="1200">
            <a:latin typeface="Times New Roman" panose="02020603050405020304" pitchFamily="18" charset="0"/>
            <a:cs typeface="Times New Roman" panose="02020603050405020304" pitchFamily="18" charset="0"/>
          </a:endParaRPr>
        </a:p>
      </dgm:t>
    </dgm:pt>
    <dgm:pt modelId="{EBD1CCB0-9BB3-4D7A-AB08-07A9264CE6E2}">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Customary Lands</a:t>
          </a:r>
        </a:p>
      </dgm:t>
    </dgm:pt>
    <dgm:pt modelId="{075CF1AB-552A-4FCE-9AFE-B3B5D049873D}" type="parTrans" cxnId="{92D43283-9B0F-4C8A-BC27-BCE65145CD8F}">
      <dgm:prSet custT="1"/>
      <dgm:spPr/>
      <dgm:t>
        <a:bodyPr/>
        <a:lstStyle/>
        <a:p>
          <a:endParaRPr lang="en-US" sz="1200">
            <a:latin typeface="Times New Roman" panose="02020603050405020304" pitchFamily="18" charset="0"/>
            <a:cs typeface="Times New Roman" panose="02020603050405020304" pitchFamily="18" charset="0"/>
          </a:endParaRPr>
        </a:p>
      </dgm:t>
    </dgm:pt>
    <dgm:pt modelId="{B681872A-AE66-4ACB-8F57-F3AABD06A0A5}" type="sibTrans" cxnId="{92D43283-9B0F-4C8A-BC27-BCE65145CD8F}">
      <dgm:prSet/>
      <dgm:spPr/>
      <dgm:t>
        <a:bodyPr/>
        <a:lstStyle/>
        <a:p>
          <a:endParaRPr lang="en-US" sz="1200">
            <a:latin typeface="Times New Roman" panose="02020603050405020304" pitchFamily="18" charset="0"/>
            <a:cs typeface="Times New Roman" panose="02020603050405020304" pitchFamily="18" charset="0"/>
          </a:endParaRPr>
        </a:p>
      </dgm:t>
    </dgm:pt>
    <dgm:pt modelId="{5690D64F-E781-40CF-850B-246AA68ED0C5}">
      <dgm:prSet phldrT="[Tex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Family lands</a:t>
          </a:r>
        </a:p>
      </dgm:t>
    </dgm:pt>
    <dgm:pt modelId="{5DE95231-BFCB-42EE-BE95-EA4A1DB63CDA}" type="parTrans" cxnId="{B49305A4-027A-4904-9B70-A5C4F84EB3CE}">
      <dgm:prSet custT="1"/>
      <dgm:spPr/>
      <dgm:t>
        <a:bodyPr/>
        <a:lstStyle/>
        <a:p>
          <a:endParaRPr lang="en-US" sz="1200">
            <a:latin typeface="Times New Roman" panose="02020603050405020304" pitchFamily="18" charset="0"/>
            <a:cs typeface="Times New Roman" panose="02020603050405020304" pitchFamily="18" charset="0"/>
          </a:endParaRPr>
        </a:p>
      </dgm:t>
    </dgm:pt>
    <dgm:pt modelId="{A83A20AC-3C70-4E7A-9111-7C657833366F}" type="sibTrans" cxnId="{B49305A4-027A-4904-9B70-A5C4F84EB3CE}">
      <dgm:prSet/>
      <dgm:spPr/>
      <dgm:t>
        <a:bodyPr/>
        <a:lstStyle/>
        <a:p>
          <a:endParaRPr lang="en-US" sz="1200">
            <a:latin typeface="Times New Roman" panose="02020603050405020304" pitchFamily="18" charset="0"/>
            <a:cs typeface="Times New Roman" panose="02020603050405020304" pitchFamily="18" charset="0"/>
          </a:endParaRPr>
        </a:p>
      </dgm:t>
    </dgm:pt>
    <dgm:pt modelId="{60F87477-88E2-426A-90F2-907509C6A0C1}">
      <dgm:prSet custT="1">
        <dgm:style>
          <a:lnRef idx="1">
            <a:schemeClr val="dk1"/>
          </a:lnRef>
          <a:fillRef idx="2">
            <a:schemeClr val="dk1"/>
          </a:fillRef>
          <a:effectRef idx="1">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Skin or stool lands</a:t>
          </a:r>
        </a:p>
      </dgm:t>
    </dgm:pt>
    <dgm:pt modelId="{CE54AABD-E1A5-4D27-928C-56C86AFBD20B}" type="parTrans" cxnId="{B5411C91-6D47-4D6E-BE16-8B370233145E}">
      <dgm:prSet custT="1"/>
      <dgm:spPr/>
      <dgm:t>
        <a:bodyPr/>
        <a:lstStyle/>
        <a:p>
          <a:endParaRPr lang="en-US" sz="1200">
            <a:latin typeface="Times New Roman" panose="02020603050405020304" pitchFamily="18" charset="0"/>
            <a:cs typeface="Times New Roman" panose="02020603050405020304" pitchFamily="18" charset="0"/>
          </a:endParaRPr>
        </a:p>
      </dgm:t>
    </dgm:pt>
    <dgm:pt modelId="{2539EEF5-E1E6-4A3E-BB4B-2E1CCD49EDB0}" type="sibTrans" cxnId="{B5411C91-6D47-4D6E-BE16-8B370233145E}">
      <dgm:prSet/>
      <dgm:spPr/>
      <dgm:t>
        <a:bodyPr/>
        <a:lstStyle/>
        <a:p>
          <a:endParaRPr lang="en-US" sz="1200">
            <a:latin typeface="Times New Roman" panose="02020603050405020304" pitchFamily="18" charset="0"/>
            <a:cs typeface="Times New Roman" panose="02020603050405020304" pitchFamily="18" charset="0"/>
          </a:endParaRPr>
        </a:p>
      </dgm:t>
    </dgm:pt>
    <dgm:pt modelId="{9A52231B-A1CF-41BA-A123-C67B3E486D50}" type="pres">
      <dgm:prSet presAssocID="{A198D72F-4F4C-4712-AE6F-5A80F0EF200C}" presName="diagram" presStyleCnt="0">
        <dgm:presLayoutVars>
          <dgm:chPref val="1"/>
          <dgm:dir/>
          <dgm:animOne val="branch"/>
          <dgm:animLvl val="lvl"/>
          <dgm:resizeHandles val="exact"/>
        </dgm:presLayoutVars>
      </dgm:prSet>
      <dgm:spPr/>
      <dgm:t>
        <a:bodyPr/>
        <a:lstStyle/>
        <a:p>
          <a:endParaRPr lang="en-US"/>
        </a:p>
      </dgm:t>
    </dgm:pt>
    <dgm:pt modelId="{DB9A9C8A-C8E0-4B18-81D7-B11A4239F09C}" type="pres">
      <dgm:prSet presAssocID="{382EC59B-5E72-4945-802A-EA2868E09DDF}" presName="root1" presStyleCnt="0"/>
      <dgm:spPr/>
    </dgm:pt>
    <dgm:pt modelId="{39A52583-5675-43D1-A458-8B8DDA18A14F}" type="pres">
      <dgm:prSet presAssocID="{382EC59B-5E72-4945-802A-EA2868E09DDF}" presName="LevelOneTextNode" presStyleLbl="node0" presStyleIdx="0" presStyleCnt="1">
        <dgm:presLayoutVars>
          <dgm:chPref val="3"/>
        </dgm:presLayoutVars>
      </dgm:prSet>
      <dgm:spPr/>
      <dgm:t>
        <a:bodyPr/>
        <a:lstStyle/>
        <a:p>
          <a:endParaRPr lang="en-US"/>
        </a:p>
      </dgm:t>
    </dgm:pt>
    <dgm:pt modelId="{960F7E54-9169-440A-82B9-CE72A035C398}" type="pres">
      <dgm:prSet presAssocID="{382EC59B-5E72-4945-802A-EA2868E09DDF}" presName="level2hierChild" presStyleCnt="0"/>
      <dgm:spPr/>
    </dgm:pt>
    <dgm:pt modelId="{2B947B16-5747-4585-9491-8CF47A0283D7}" type="pres">
      <dgm:prSet presAssocID="{6AAC222E-2037-4EB9-B9B9-8C7C0E7E17CE}" presName="conn2-1" presStyleLbl="parChTrans1D2" presStyleIdx="0" presStyleCnt="2"/>
      <dgm:spPr/>
      <dgm:t>
        <a:bodyPr/>
        <a:lstStyle/>
        <a:p>
          <a:endParaRPr lang="en-US"/>
        </a:p>
      </dgm:t>
    </dgm:pt>
    <dgm:pt modelId="{06FE6F34-ED79-4D5D-996F-541A345ABCE0}" type="pres">
      <dgm:prSet presAssocID="{6AAC222E-2037-4EB9-B9B9-8C7C0E7E17CE}" presName="connTx" presStyleLbl="parChTrans1D2" presStyleIdx="0" presStyleCnt="2"/>
      <dgm:spPr/>
      <dgm:t>
        <a:bodyPr/>
        <a:lstStyle/>
        <a:p>
          <a:endParaRPr lang="en-US"/>
        </a:p>
      </dgm:t>
    </dgm:pt>
    <dgm:pt modelId="{999AA971-39E1-49BA-B5F5-764908ADEB7B}" type="pres">
      <dgm:prSet presAssocID="{C6AE1D37-7357-4D9F-B8AE-1FAECC06735F}" presName="root2" presStyleCnt="0"/>
      <dgm:spPr/>
    </dgm:pt>
    <dgm:pt modelId="{87DA9F2D-C4EF-410A-B028-03E5CD8728DC}" type="pres">
      <dgm:prSet presAssocID="{C6AE1D37-7357-4D9F-B8AE-1FAECC06735F}" presName="LevelTwoTextNode" presStyleLbl="node2" presStyleIdx="0" presStyleCnt="2">
        <dgm:presLayoutVars>
          <dgm:chPref val="3"/>
        </dgm:presLayoutVars>
      </dgm:prSet>
      <dgm:spPr/>
      <dgm:t>
        <a:bodyPr/>
        <a:lstStyle/>
        <a:p>
          <a:endParaRPr lang="en-US"/>
        </a:p>
      </dgm:t>
    </dgm:pt>
    <dgm:pt modelId="{840DF35C-149A-47F2-86AA-F92DC39B950B}" type="pres">
      <dgm:prSet presAssocID="{C6AE1D37-7357-4D9F-B8AE-1FAECC06735F}" presName="level3hierChild" presStyleCnt="0"/>
      <dgm:spPr/>
    </dgm:pt>
    <dgm:pt modelId="{F569109A-C934-4AAE-895E-48CE7B26A40B}" type="pres">
      <dgm:prSet presAssocID="{28778ACF-8898-439F-A47D-86A14C0D065D}" presName="conn2-1" presStyleLbl="parChTrans1D3" presStyleIdx="0" presStyleCnt="4"/>
      <dgm:spPr/>
      <dgm:t>
        <a:bodyPr/>
        <a:lstStyle/>
        <a:p>
          <a:endParaRPr lang="en-US"/>
        </a:p>
      </dgm:t>
    </dgm:pt>
    <dgm:pt modelId="{A113BF00-2B73-408D-A89E-37501CD1D831}" type="pres">
      <dgm:prSet presAssocID="{28778ACF-8898-439F-A47D-86A14C0D065D}" presName="connTx" presStyleLbl="parChTrans1D3" presStyleIdx="0" presStyleCnt="4"/>
      <dgm:spPr/>
      <dgm:t>
        <a:bodyPr/>
        <a:lstStyle/>
        <a:p>
          <a:endParaRPr lang="en-US"/>
        </a:p>
      </dgm:t>
    </dgm:pt>
    <dgm:pt modelId="{A3FE9D46-8419-48F4-9500-AF2CC903FDD2}" type="pres">
      <dgm:prSet presAssocID="{57FC81CA-EDC5-4B45-B2BB-2A059B3B0854}" presName="root2" presStyleCnt="0"/>
      <dgm:spPr/>
    </dgm:pt>
    <dgm:pt modelId="{50C09DC5-FBA4-4D39-981F-ADFC1B6B5CFF}" type="pres">
      <dgm:prSet presAssocID="{57FC81CA-EDC5-4B45-B2BB-2A059B3B0854}" presName="LevelTwoTextNode" presStyleLbl="node3" presStyleIdx="0" presStyleCnt="4">
        <dgm:presLayoutVars>
          <dgm:chPref val="3"/>
        </dgm:presLayoutVars>
      </dgm:prSet>
      <dgm:spPr/>
      <dgm:t>
        <a:bodyPr/>
        <a:lstStyle/>
        <a:p>
          <a:endParaRPr lang="en-US"/>
        </a:p>
      </dgm:t>
    </dgm:pt>
    <dgm:pt modelId="{A0EB5E08-B4FE-4836-B77B-484EE135B09B}" type="pres">
      <dgm:prSet presAssocID="{57FC81CA-EDC5-4B45-B2BB-2A059B3B0854}" presName="level3hierChild" presStyleCnt="0"/>
      <dgm:spPr/>
    </dgm:pt>
    <dgm:pt modelId="{B1ACD151-67BD-4B8A-B085-45D50DD0A981}" type="pres">
      <dgm:prSet presAssocID="{33D967F2-45CC-44C6-85EB-FE2B9CEBE562}" presName="conn2-1" presStyleLbl="parChTrans1D3" presStyleIdx="1" presStyleCnt="4"/>
      <dgm:spPr/>
      <dgm:t>
        <a:bodyPr/>
        <a:lstStyle/>
        <a:p>
          <a:endParaRPr lang="en-US"/>
        </a:p>
      </dgm:t>
    </dgm:pt>
    <dgm:pt modelId="{587F902F-BDEB-45C1-BAAE-C3AB91443B3F}" type="pres">
      <dgm:prSet presAssocID="{33D967F2-45CC-44C6-85EB-FE2B9CEBE562}" presName="connTx" presStyleLbl="parChTrans1D3" presStyleIdx="1" presStyleCnt="4"/>
      <dgm:spPr/>
      <dgm:t>
        <a:bodyPr/>
        <a:lstStyle/>
        <a:p>
          <a:endParaRPr lang="en-US"/>
        </a:p>
      </dgm:t>
    </dgm:pt>
    <dgm:pt modelId="{90849C35-C420-4E2B-9249-147F81ED2674}" type="pres">
      <dgm:prSet presAssocID="{1B41A6A5-9168-49FE-B27A-A8B89BA3E031}" presName="root2" presStyleCnt="0"/>
      <dgm:spPr/>
    </dgm:pt>
    <dgm:pt modelId="{58B083D7-710D-4C54-8EE8-CAA39F42FE0A}" type="pres">
      <dgm:prSet presAssocID="{1B41A6A5-9168-49FE-B27A-A8B89BA3E031}" presName="LevelTwoTextNode" presStyleLbl="node3" presStyleIdx="1" presStyleCnt="4">
        <dgm:presLayoutVars>
          <dgm:chPref val="3"/>
        </dgm:presLayoutVars>
      </dgm:prSet>
      <dgm:spPr/>
      <dgm:t>
        <a:bodyPr/>
        <a:lstStyle/>
        <a:p>
          <a:endParaRPr lang="en-US"/>
        </a:p>
      </dgm:t>
    </dgm:pt>
    <dgm:pt modelId="{E772A643-07F8-40C2-8AB8-E0DC72B87811}" type="pres">
      <dgm:prSet presAssocID="{1B41A6A5-9168-49FE-B27A-A8B89BA3E031}" presName="level3hierChild" presStyleCnt="0"/>
      <dgm:spPr/>
    </dgm:pt>
    <dgm:pt modelId="{64CB524B-745F-442C-93C5-5F0A839F98D7}" type="pres">
      <dgm:prSet presAssocID="{075CF1AB-552A-4FCE-9AFE-B3B5D049873D}" presName="conn2-1" presStyleLbl="parChTrans1D2" presStyleIdx="1" presStyleCnt="2"/>
      <dgm:spPr/>
      <dgm:t>
        <a:bodyPr/>
        <a:lstStyle/>
        <a:p>
          <a:endParaRPr lang="en-US"/>
        </a:p>
      </dgm:t>
    </dgm:pt>
    <dgm:pt modelId="{544E8642-59E4-47CE-90E3-F373953349C3}" type="pres">
      <dgm:prSet presAssocID="{075CF1AB-552A-4FCE-9AFE-B3B5D049873D}" presName="connTx" presStyleLbl="parChTrans1D2" presStyleIdx="1" presStyleCnt="2"/>
      <dgm:spPr/>
      <dgm:t>
        <a:bodyPr/>
        <a:lstStyle/>
        <a:p>
          <a:endParaRPr lang="en-US"/>
        </a:p>
      </dgm:t>
    </dgm:pt>
    <dgm:pt modelId="{914F4DBF-5E80-4549-880F-B4F911F4D148}" type="pres">
      <dgm:prSet presAssocID="{EBD1CCB0-9BB3-4D7A-AB08-07A9264CE6E2}" presName="root2" presStyleCnt="0"/>
      <dgm:spPr/>
    </dgm:pt>
    <dgm:pt modelId="{F9054216-8926-4FE2-8245-7AA669AF0372}" type="pres">
      <dgm:prSet presAssocID="{EBD1CCB0-9BB3-4D7A-AB08-07A9264CE6E2}" presName="LevelTwoTextNode" presStyleLbl="node2" presStyleIdx="1" presStyleCnt="2">
        <dgm:presLayoutVars>
          <dgm:chPref val="3"/>
        </dgm:presLayoutVars>
      </dgm:prSet>
      <dgm:spPr/>
      <dgm:t>
        <a:bodyPr/>
        <a:lstStyle/>
        <a:p>
          <a:endParaRPr lang="en-US"/>
        </a:p>
      </dgm:t>
    </dgm:pt>
    <dgm:pt modelId="{47C6FAEA-33BA-49EB-8210-599CC326E397}" type="pres">
      <dgm:prSet presAssocID="{EBD1CCB0-9BB3-4D7A-AB08-07A9264CE6E2}" presName="level3hierChild" presStyleCnt="0"/>
      <dgm:spPr/>
    </dgm:pt>
    <dgm:pt modelId="{FA7FBF92-8BE6-41D8-9EFA-5F7669F31187}" type="pres">
      <dgm:prSet presAssocID="{5DE95231-BFCB-42EE-BE95-EA4A1DB63CDA}" presName="conn2-1" presStyleLbl="parChTrans1D3" presStyleIdx="2" presStyleCnt="4"/>
      <dgm:spPr/>
      <dgm:t>
        <a:bodyPr/>
        <a:lstStyle/>
        <a:p>
          <a:endParaRPr lang="en-US"/>
        </a:p>
      </dgm:t>
    </dgm:pt>
    <dgm:pt modelId="{EF21FC45-C453-4727-A9A9-0C688F196F9A}" type="pres">
      <dgm:prSet presAssocID="{5DE95231-BFCB-42EE-BE95-EA4A1DB63CDA}" presName="connTx" presStyleLbl="parChTrans1D3" presStyleIdx="2" presStyleCnt="4"/>
      <dgm:spPr/>
      <dgm:t>
        <a:bodyPr/>
        <a:lstStyle/>
        <a:p>
          <a:endParaRPr lang="en-US"/>
        </a:p>
      </dgm:t>
    </dgm:pt>
    <dgm:pt modelId="{92E502D2-D593-4A2F-B05C-58A0C9ABE1AD}" type="pres">
      <dgm:prSet presAssocID="{5690D64F-E781-40CF-850B-246AA68ED0C5}" presName="root2" presStyleCnt="0"/>
      <dgm:spPr/>
    </dgm:pt>
    <dgm:pt modelId="{D473669D-43F5-4E36-957D-AC63EF0AE40B}" type="pres">
      <dgm:prSet presAssocID="{5690D64F-E781-40CF-850B-246AA68ED0C5}" presName="LevelTwoTextNode" presStyleLbl="node3" presStyleIdx="2" presStyleCnt="4">
        <dgm:presLayoutVars>
          <dgm:chPref val="3"/>
        </dgm:presLayoutVars>
      </dgm:prSet>
      <dgm:spPr/>
      <dgm:t>
        <a:bodyPr/>
        <a:lstStyle/>
        <a:p>
          <a:endParaRPr lang="en-US"/>
        </a:p>
      </dgm:t>
    </dgm:pt>
    <dgm:pt modelId="{123EDB25-8CC3-496E-ADAE-E6A171C76CA6}" type="pres">
      <dgm:prSet presAssocID="{5690D64F-E781-40CF-850B-246AA68ED0C5}" presName="level3hierChild" presStyleCnt="0"/>
      <dgm:spPr/>
    </dgm:pt>
    <dgm:pt modelId="{157C8B3C-804F-4AF9-8570-B7673F1BBEA4}" type="pres">
      <dgm:prSet presAssocID="{CE54AABD-E1A5-4D27-928C-56C86AFBD20B}" presName="conn2-1" presStyleLbl="parChTrans1D3" presStyleIdx="3" presStyleCnt="4"/>
      <dgm:spPr/>
      <dgm:t>
        <a:bodyPr/>
        <a:lstStyle/>
        <a:p>
          <a:endParaRPr lang="en-US"/>
        </a:p>
      </dgm:t>
    </dgm:pt>
    <dgm:pt modelId="{7C364132-C3D3-4289-993C-4CB79607DF55}" type="pres">
      <dgm:prSet presAssocID="{CE54AABD-E1A5-4D27-928C-56C86AFBD20B}" presName="connTx" presStyleLbl="parChTrans1D3" presStyleIdx="3" presStyleCnt="4"/>
      <dgm:spPr/>
      <dgm:t>
        <a:bodyPr/>
        <a:lstStyle/>
        <a:p>
          <a:endParaRPr lang="en-US"/>
        </a:p>
      </dgm:t>
    </dgm:pt>
    <dgm:pt modelId="{723BE1B0-7925-40D3-AA73-D51B0C9E97D9}" type="pres">
      <dgm:prSet presAssocID="{60F87477-88E2-426A-90F2-907509C6A0C1}" presName="root2" presStyleCnt="0"/>
      <dgm:spPr/>
    </dgm:pt>
    <dgm:pt modelId="{4D9820B3-BF01-463A-B5ED-08429531668D}" type="pres">
      <dgm:prSet presAssocID="{60F87477-88E2-426A-90F2-907509C6A0C1}" presName="LevelTwoTextNode" presStyleLbl="node3" presStyleIdx="3" presStyleCnt="4">
        <dgm:presLayoutVars>
          <dgm:chPref val="3"/>
        </dgm:presLayoutVars>
      </dgm:prSet>
      <dgm:spPr/>
      <dgm:t>
        <a:bodyPr/>
        <a:lstStyle/>
        <a:p>
          <a:endParaRPr lang="en-US"/>
        </a:p>
      </dgm:t>
    </dgm:pt>
    <dgm:pt modelId="{577C8113-E36D-44BC-AB40-2B7426FF35DB}" type="pres">
      <dgm:prSet presAssocID="{60F87477-88E2-426A-90F2-907509C6A0C1}" presName="level3hierChild" presStyleCnt="0"/>
      <dgm:spPr/>
    </dgm:pt>
  </dgm:ptLst>
  <dgm:cxnLst>
    <dgm:cxn modelId="{97EEE95C-D18B-446F-B464-B547478371A3}" type="presOf" srcId="{28778ACF-8898-439F-A47D-86A14C0D065D}" destId="{A113BF00-2B73-408D-A89E-37501CD1D831}" srcOrd="1" destOrd="0" presId="urn:microsoft.com/office/officeart/2005/8/layout/hierarchy2"/>
    <dgm:cxn modelId="{AF194DB9-BBA4-4AD7-A740-D8066E69FD8D}" type="presOf" srcId="{28778ACF-8898-439F-A47D-86A14C0D065D}" destId="{F569109A-C934-4AAE-895E-48CE7B26A40B}" srcOrd="0" destOrd="0" presId="urn:microsoft.com/office/officeart/2005/8/layout/hierarchy2"/>
    <dgm:cxn modelId="{23C6E3E6-5C2D-44BC-BE28-7D7E6BC0F80B}" srcId="{C6AE1D37-7357-4D9F-B8AE-1FAECC06735F}" destId="{57FC81CA-EDC5-4B45-B2BB-2A059B3B0854}" srcOrd="0" destOrd="0" parTransId="{28778ACF-8898-439F-A47D-86A14C0D065D}" sibTransId="{B76E3E3E-2F40-4FC0-97AF-DD7F9821BFAB}"/>
    <dgm:cxn modelId="{B49305A4-027A-4904-9B70-A5C4F84EB3CE}" srcId="{EBD1CCB0-9BB3-4D7A-AB08-07A9264CE6E2}" destId="{5690D64F-E781-40CF-850B-246AA68ED0C5}" srcOrd="0" destOrd="0" parTransId="{5DE95231-BFCB-42EE-BE95-EA4A1DB63CDA}" sibTransId="{A83A20AC-3C70-4E7A-9111-7C657833366F}"/>
    <dgm:cxn modelId="{39DAD455-37A0-48E9-A6B3-87EC7F4E0C8C}" srcId="{A198D72F-4F4C-4712-AE6F-5A80F0EF200C}" destId="{382EC59B-5E72-4945-802A-EA2868E09DDF}" srcOrd="0" destOrd="0" parTransId="{222F06C6-E736-4B74-8472-1DDFFA0D2663}" sibTransId="{6149C59B-F15C-4499-98A1-57FF31E5A391}"/>
    <dgm:cxn modelId="{F87E3B0F-4645-4EF2-A500-28BB1276FE92}" type="presOf" srcId="{075CF1AB-552A-4FCE-9AFE-B3B5D049873D}" destId="{544E8642-59E4-47CE-90E3-F373953349C3}" srcOrd="1" destOrd="0" presId="urn:microsoft.com/office/officeart/2005/8/layout/hierarchy2"/>
    <dgm:cxn modelId="{8E87B374-BD89-49FA-8F85-167216F000B8}" type="presOf" srcId="{075CF1AB-552A-4FCE-9AFE-B3B5D049873D}" destId="{64CB524B-745F-442C-93C5-5F0A839F98D7}" srcOrd="0" destOrd="0" presId="urn:microsoft.com/office/officeart/2005/8/layout/hierarchy2"/>
    <dgm:cxn modelId="{5F05BA79-3663-4029-BE46-9145F71C9337}" type="presOf" srcId="{6AAC222E-2037-4EB9-B9B9-8C7C0E7E17CE}" destId="{06FE6F34-ED79-4D5D-996F-541A345ABCE0}" srcOrd="1" destOrd="0" presId="urn:microsoft.com/office/officeart/2005/8/layout/hierarchy2"/>
    <dgm:cxn modelId="{13816C0F-5149-4DCD-9C32-B267957D9FD7}" srcId="{382EC59B-5E72-4945-802A-EA2868E09DDF}" destId="{C6AE1D37-7357-4D9F-B8AE-1FAECC06735F}" srcOrd="0" destOrd="0" parTransId="{6AAC222E-2037-4EB9-B9B9-8C7C0E7E17CE}" sibTransId="{CAA7D089-B2C8-4EE1-9FB5-C57EE1AE32FF}"/>
    <dgm:cxn modelId="{0AE72266-BFF0-4E23-A2F1-846BA5F1B081}" type="presOf" srcId="{1B41A6A5-9168-49FE-B27A-A8B89BA3E031}" destId="{58B083D7-710D-4C54-8EE8-CAA39F42FE0A}" srcOrd="0" destOrd="0" presId="urn:microsoft.com/office/officeart/2005/8/layout/hierarchy2"/>
    <dgm:cxn modelId="{043567F3-A332-4C8D-B0A4-AE8C4815C29A}" type="presOf" srcId="{33D967F2-45CC-44C6-85EB-FE2B9CEBE562}" destId="{587F902F-BDEB-45C1-BAAE-C3AB91443B3F}" srcOrd="1" destOrd="0" presId="urn:microsoft.com/office/officeart/2005/8/layout/hierarchy2"/>
    <dgm:cxn modelId="{DAFFFD93-427C-4435-83CB-BB7B944F9289}" type="presOf" srcId="{5DE95231-BFCB-42EE-BE95-EA4A1DB63CDA}" destId="{EF21FC45-C453-4727-A9A9-0C688F196F9A}" srcOrd="1" destOrd="0" presId="urn:microsoft.com/office/officeart/2005/8/layout/hierarchy2"/>
    <dgm:cxn modelId="{D01CC144-5024-4DFC-B069-11DE4298C80D}" type="presOf" srcId="{60F87477-88E2-426A-90F2-907509C6A0C1}" destId="{4D9820B3-BF01-463A-B5ED-08429531668D}" srcOrd="0" destOrd="0" presId="urn:microsoft.com/office/officeart/2005/8/layout/hierarchy2"/>
    <dgm:cxn modelId="{03027A75-A2E6-486E-9E14-AF34FCE5CA8A}" type="presOf" srcId="{C6AE1D37-7357-4D9F-B8AE-1FAECC06735F}" destId="{87DA9F2D-C4EF-410A-B028-03E5CD8728DC}" srcOrd="0" destOrd="0" presId="urn:microsoft.com/office/officeart/2005/8/layout/hierarchy2"/>
    <dgm:cxn modelId="{149CF338-6D69-4C87-B95D-D616C845632D}" type="presOf" srcId="{5690D64F-E781-40CF-850B-246AA68ED0C5}" destId="{D473669D-43F5-4E36-957D-AC63EF0AE40B}" srcOrd="0" destOrd="0" presId="urn:microsoft.com/office/officeart/2005/8/layout/hierarchy2"/>
    <dgm:cxn modelId="{E602E19C-B183-48A9-9EE7-0BC4FA597A02}" type="presOf" srcId="{CE54AABD-E1A5-4D27-928C-56C86AFBD20B}" destId="{157C8B3C-804F-4AF9-8570-B7673F1BBEA4}" srcOrd="0" destOrd="0" presId="urn:microsoft.com/office/officeart/2005/8/layout/hierarchy2"/>
    <dgm:cxn modelId="{293A0FF7-7A86-467C-BD0E-4F87F0113EB4}" type="presOf" srcId="{EBD1CCB0-9BB3-4D7A-AB08-07A9264CE6E2}" destId="{F9054216-8926-4FE2-8245-7AA669AF0372}" srcOrd="0" destOrd="0" presId="urn:microsoft.com/office/officeart/2005/8/layout/hierarchy2"/>
    <dgm:cxn modelId="{B5411C91-6D47-4D6E-BE16-8B370233145E}" srcId="{EBD1CCB0-9BB3-4D7A-AB08-07A9264CE6E2}" destId="{60F87477-88E2-426A-90F2-907509C6A0C1}" srcOrd="1" destOrd="0" parTransId="{CE54AABD-E1A5-4D27-928C-56C86AFBD20B}" sibTransId="{2539EEF5-E1E6-4A3E-BB4B-2E1CCD49EDB0}"/>
    <dgm:cxn modelId="{92D43283-9B0F-4C8A-BC27-BCE65145CD8F}" srcId="{382EC59B-5E72-4945-802A-EA2868E09DDF}" destId="{EBD1CCB0-9BB3-4D7A-AB08-07A9264CE6E2}" srcOrd="1" destOrd="0" parTransId="{075CF1AB-552A-4FCE-9AFE-B3B5D049873D}" sibTransId="{B681872A-AE66-4ACB-8F57-F3AABD06A0A5}"/>
    <dgm:cxn modelId="{B2FFA875-2940-4362-AAD3-99DB1DCF5A5A}" type="presOf" srcId="{6AAC222E-2037-4EB9-B9B9-8C7C0E7E17CE}" destId="{2B947B16-5747-4585-9491-8CF47A0283D7}" srcOrd="0" destOrd="0" presId="urn:microsoft.com/office/officeart/2005/8/layout/hierarchy2"/>
    <dgm:cxn modelId="{D9C141C4-EF6C-465A-8FBA-803120563545}" type="presOf" srcId="{382EC59B-5E72-4945-802A-EA2868E09DDF}" destId="{39A52583-5675-43D1-A458-8B8DDA18A14F}" srcOrd="0" destOrd="0" presId="urn:microsoft.com/office/officeart/2005/8/layout/hierarchy2"/>
    <dgm:cxn modelId="{B19A14C6-D577-4119-929B-7E842BFC7512}" type="presOf" srcId="{A198D72F-4F4C-4712-AE6F-5A80F0EF200C}" destId="{9A52231B-A1CF-41BA-A123-C67B3E486D50}" srcOrd="0" destOrd="0" presId="urn:microsoft.com/office/officeart/2005/8/layout/hierarchy2"/>
    <dgm:cxn modelId="{B0423ABC-6ABD-4BCE-BF1E-E495B0B58DE1}" type="presOf" srcId="{CE54AABD-E1A5-4D27-928C-56C86AFBD20B}" destId="{7C364132-C3D3-4289-993C-4CB79607DF55}" srcOrd="1" destOrd="0" presId="urn:microsoft.com/office/officeart/2005/8/layout/hierarchy2"/>
    <dgm:cxn modelId="{9C54DA58-0894-40BF-82B6-A5CC26A23399}" srcId="{C6AE1D37-7357-4D9F-B8AE-1FAECC06735F}" destId="{1B41A6A5-9168-49FE-B27A-A8B89BA3E031}" srcOrd="1" destOrd="0" parTransId="{33D967F2-45CC-44C6-85EB-FE2B9CEBE562}" sibTransId="{D6FC60A0-7441-45BF-9780-238159E63F7D}"/>
    <dgm:cxn modelId="{B596CC6C-BEDA-40AF-B31A-4715E7AB201D}" type="presOf" srcId="{57FC81CA-EDC5-4B45-B2BB-2A059B3B0854}" destId="{50C09DC5-FBA4-4D39-981F-ADFC1B6B5CFF}" srcOrd="0" destOrd="0" presId="urn:microsoft.com/office/officeart/2005/8/layout/hierarchy2"/>
    <dgm:cxn modelId="{FF903D23-2C41-4619-ADA4-37515AC5758C}" type="presOf" srcId="{5DE95231-BFCB-42EE-BE95-EA4A1DB63CDA}" destId="{FA7FBF92-8BE6-41D8-9EFA-5F7669F31187}" srcOrd="0" destOrd="0" presId="urn:microsoft.com/office/officeart/2005/8/layout/hierarchy2"/>
    <dgm:cxn modelId="{794B3E8D-0504-45AE-BC7F-49B8080D63F0}" type="presOf" srcId="{33D967F2-45CC-44C6-85EB-FE2B9CEBE562}" destId="{B1ACD151-67BD-4B8A-B085-45D50DD0A981}" srcOrd="0" destOrd="0" presId="urn:microsoft.com/office/officeart/2005/8/layout/hierarchy2"/>
    <dgm:cxn modelId="{78FCFD7A-3FA2-4349-BE40-38691E60E4D2}" type="presParOf" srcId="{9A52231B-A1CF-41BA-A123-C67B3E486D50}" destId="{DB9A9C8A-C8E0-4B18-81D7-B11A4239F09C}" srcOrd="0" destOrd="0" presId="urn:microsoft.com/office/officeart/2005/8/layout/hierarchy2"/>
    <dgm:cxn modelId="{112F1FD4-5658-4A05-8A84-ECBE765184C0}" type="presParOf" srcId="{DB9A9C8A-C8E0-4B18-81D7-B11A4239F09C}" destId="{39A52583-5675-43D1-A458-8B8DDA18A14F}" srcOrd="0" destOrd="0" presId="urn:microsoft.com/office/officeart/2005/8/layout/hierarchy2"/>
    <dgm:cxn modelId="{DBA51F25-4593-44BF-A70B-A27F91A384F3}" type="presParOf" srcId="{DB9A9C8A-C8E0-4B18-81D7-B11A4239F09C}" destId="{960F7E54-9169-440A-82B9-CE72A035C398}" srcOrd="1" destOrd="0" presId="urn:microsoft.com/office/officeart/2005/8/layout/hierarchy2"/>
    <dgm:cxn modelId="{F5296BD5-34A2-4847-AB49-D7B47167766F}" type="presParOf" srcId="{960F7E54-9169-440A-82B9-CE72A035C398}" destId="{2B947B16-5747-4585-9491-8CF47A0283D7}" srcOrd="0" destOrd="0" presId="urn:microsoft.com/office/officeart/2005/8/layout/hierarchy2"/>
    <dgm:cxn modelId="{FEDBA462-47C3-424B-9857-8BF9DFA765B0}" type="presParOf" srcId="{2B947B16-5747-4585-9491-8CF47A0283D7}" destId="{06FE6F34-ED79-4D5D-996F-541A345ABCE0}" srcOrd="0" destOrd="0" presId="urn:microsoft.com/office/officeart/2005/8/layout/hierarchy2"/>
    <dgm:cxn modelId="{59482C7A-267A-4493-8F2B-24240CFB6D11}" type="presParOf" srcId="{960F7E54-9169-440A-82B9-CE72A035C398}" destId="{999AA971-39E1-49BA-B5F5-764908ADEB7B}" srcOrd="1" destOrd="0" presId="urn:microsoft.com/office/officeart/2005/8/layout/hierarchy2"/>
    <dgm:cxn modelId="{B4A41412-4EF9-4870-83FC-81D3820CF0C9}" type="presParOf" srcId="{999AA971-39E1-49BA-B5F5-764908ADEB7B}" destId="{87DA9F2D-C4EF-410A-B028-03E5CD8728DC}" srcOrd="0" destOrd="0" presId="urn:microsoft.com/office/officeart/2005/8/layout/hierarchy2"/>
    <dgm:cxn modelId="{8FF666B6-E3AC-496B-AC68-2970E4D7D3AA}" type="presParOf" srcId="{999AA971-39E1-49BA-B5F5-764908ADEB7B}" destId="{840DF35C-149A-47F2-86AA-F92DC39B950B}" srcOrd="1" destOrd="0" presId="urn:microsoft.com/office/officeart/2005/8/layout/hierarchy2"/>
    <dgm:cxn modelId="{8944D850-C9C9-4295-8093-2351D21A60D7}" type="presParOf" srcId="{840DF35C-149A-47F2-86AA-F92DC39B950B}" destId="{F569109A-C934-4AAE-895E-48CE7B26A40B}" srcOrd="0" destOrd="0" presId="urn:microsoft.com/office/officeart/2005/8/layout/hierarchy2"/>
    <dgm:cxn modelId="{12A166E3-F331-4914-ABF7-7E5A4493A3B3}" type="presParOf" srcId="{F569109A-C934-4AAE-895E-48CE7B26A40B}" destId="{A113BF00-2B73-408D-A89E-37501CD1D831}" srcOrd="0" destOrd="0" presId="urn:microsoft.com/office/officeart/2005/8/layout/hierarchy2"/>
    <dgm:cxn modelId="{50B58C02-28E0-4619-99BB-1444297720E3}" type="presParOf" srcId="{840DF35C-149A-47F2-86AA-F92DC39B950B}" destId="{A3FE9D46-8419-48F4-9500-AF2CC903FDD2}" srcOrd="1" destOrd="0" presId="urn:microsoft.com/office/officeart/2005/8/layout/hierarchy2"/>
    <dgm:cxn modelId="{EB5500E1-156C-4DF6-975B-D3620612084B}" type="presParOf" srcId="{A3FE9D46-8419-48F4-9500-AF2CC903FDD2}" destId="{50C09DC5-FBA4-4D39-981F-ADFC1B6B5CFF}" srcOrd="0" destOrd="0" presId="urn:microsoft.com/office/officeart/2005/8/layout/hierarchy2"/>
    <dgm:cxn modelId="{71B6A006-E50B-449F-AF9F-ECFE6A9F7D51}" type="presParOf" srcId="{A3FE9D46-8419-48F4-9500-AF2CC903FDD2}" destId="{A0EB5E08-B4FE-4836-B77B-484EE135B09B}" srcOrd="1" destOrd="0" presId="urn:microsoft.com/office/officeart/2005/8/layout/hierarchy2"/>
    <dgm:cxn modelId="{54EF4070-C44F-41CA-B971-3F0D3CDD9B41}" type="presParOf" srcId="{840DF35C-149A-47F2-86AA-F92DC39B950B}" destId="{B1ACD151-67BD-4B8A-B085-45D50DD0A981}" srcOrd="2" destOrd="0" presId="urn:microsoft.com/office/officeart/2005/8/layout/hierarchy2"/>
    <dgm:cxn modelId="{04D53315-F9D7-464E-92A7-7FB21C0735BB}" type="presParOf" srcId="{B1ACD151-67BD-4B8A-B085-45D50DD0A981}" destId="{587F902F-BDEB-45C1-BAAE-C3AB91443B3F}" srcOrd="0" destOrd="0" presId="urn:microsoft.com/office/officeart/2005/8/layout/hierarchy2"/>
    <dgm:cxn modelId="{028B9D00-4B7B-4005-ABC5-4EDB665AF649}" type="presParOf" srcId="{840DF35C-149A-47F2-86AA-F92DC39B950B}" destId="{90849C35-C420-4E2B-9249-147F81ED2674}" srcOrd="3" destOrd="0" presId="urn:microsoft.com/office/officeart/2005/8/layout/hierarchy2"/>
    <dgm:cxn modelId="{408F66D8-7455-4576-BC68-A3227F74D7AF}" type="presParOf" srcId="{90849C35-C420-4E2B-9249-147F81ED2674}" destId="{58B083D7-710D-4C54-8EE8-CAA39F42FE0A}" srcOrd="0" destOrd="0" presId="urn:microsoft.com/office/officeart/2005/8/layout/hierarchy2"/>
    <dgm:cxn modelId="{9CB8E475-9606-4B1E-A244-5E71ACBA02C5}" type="presParOf" srcId="{90849C35-C420-4E2B-9249-147F81ED2674}" destId="{E772A643-07F8-40C2-8AB8-E0DC72B87811}" srcOrd="1" destOrd="0" presId="urn:microsoft.com/office/officeart/2005/8/layout/hierarchy2"/>
    <dgm:cxn modelId="{4EBCCF42-8586-49E1-BCE6-AA06CF3B815A}" type="presParOf" srcId="{960F7E54-9169-440A-82B9-CE72A035C398}" destId="{64CB524B-745F-442C-93C5-5F0A839F98D7}" srcOrd="2" destOrd="0" presId="urn:microsoft.com/office/officeart/2005/8/layout/hierarchy2"/>
    <dgm:cxn modelId="{9B8FBF64-359A-419C-9B58-8D6C48422571}" type="presParOf" srcId="{64CB524B-745F-442C-93C5-5F0A839F98D7}" destId="{544E8642-59E4-47CE-90E3-F373953349C3}" srcOrd="0" destOrd="0" presId="urn:microsoft.com/office/officeart/2005/8/layout/hierarchy2"/>
    <dgm:cxn modelId="{42C75019-65A8-4480-BB3F-E7E8839E30C2}" type="presParOf" srcId="{960F7E54-9169-440A-82B9-CE72A035C398}" destId="{914F4DBF-5E80-4549-880F-B4F911F4D148}" srcOrd="3" destOrd="0" presId="urn:microsoft.com/office/officeart/2005/8/layout/hierarchy2"/>
    <dgm:cxn modelId="{C73422F3-C593-4F87-BC55-3B10B65E05F0}" type="presParOf" srcId="{914F4DBF-5E80-4549-880F-B4F911F4D148}" destId="{F9054216-8926-4FE2-8245-7AA669AF0372}" srcOrd="0" destOrd="0" presId="urn:microsoft.com/office/officeart/2005/8/layout/hierarchy2"/>
    <dgm:cxn modelId="{E32E5BC2-D4D6-4FCE-9297-EDCD4BA00EA8}" type="presParOf" srcId="{914F4DBF-5E80-4549-880F-B4F911F4D148}" destId="{47C6FAEA-33BA-49EB-8210-599CC326E397}" srcOrd="1" destOrd="0" presId="urn:microsoft.com/office/officeart/2005/8/layout/hierarchy2"/>
    <dgm:cxn modelId="{A0E59318-42D0-4935-A798-39FB0B8BFEC8}" type="presParOf" srcId="{47C6FAEA-33BA-49EB-8210-599CC326E397}" destId="{FA7FBF92-8BE6-41D8-9EFA-5F7669F31187}" srcOrd="0" destOrd="0" presId="urn:microsoft.com/office/officeart/2005/8/layout/hierarchy2"/>
    <dgm:cxn modelId="{ECB52040-C891-4603-8FCE-CB1D71AC2B8D}" type="presParOf" srcId="{FA7FBF92-8BE6-41D8-9EFA-5F7669F31187}" destId="{EF21FC45-C453-4727-A9A9-0C688F196F9A}" srcOrd="0" destOrd="0" presId="urn:microsoft.com/office/officeart/2005/8/layout/hierarchy2"/>
    <dgm:cxn modelId="{4444226D-ED78-4419-90D7-AA4CCC5BD00A}" type="presParOf" srcId="{47C6FAEA-33BA-49EB-8210-599CC326E397}" destId="{92E502D2-D593-4A2F-B05C-58A0C9ABE1AD}" srcOrd="1" destOrd="0" presId="urn:microsoft.com/office/officeart/2005/8/layout/hierarchy2"/>
    <dgm:cxn modelId="{9DD6D5E0-8A7F-436A-83E0-4A697FF88582}" type="presParOf" srcId="{92E502D2-D593-4A2F-B05C-58A0C9ABE1AD}" destId="{D473669D-43F5-4E36-957D-AC63EF0AE40B}" srcOrd="0" destOrd="0" presId="urn:microsoft.com/office/officeart/2005/8/layout/hierarchy2"/>
    <dgm:cxn modelId="{BE3187A7-8659-4097-89F0-B9E30BF605E5}" type="presParOf" srcId="{92E502D2-D593-4A2F-B05C-58A0C9ABE1AD}" destId="{123EDB25-8CC3-496E-ADAE-E6A171C76CA6}" srcOrd="1" destOrd="0" presId="urn:microsoft.com/office/officeart/2005/8/layout/hierarchy2"/>
    <dgm:cxn modelId="{1A605BF1-31A1-4512-B207-1CD88A838E79}" type="presParOf" srcId="{47C6FAEA-33BA-49EB-8210-599CC326E397}" destId="{157C8B3C-804F-4AF9-8570-B7673F1BBEA4}" srcOrd="2" destOrd="0" presId="urn:microsoft.com/office/officeart/2005/8/layout/hierarchy2"/>
    <dgm:cxn modelId="{19BAD84C-02AE-4ECE-9881-FF958A1B9A5C}" type="presParOf" srcId="{157C8B3C-804F-4AF9-8570-B7673F1BBEA4}" destId="{7C364132-C3D3-4289-993C-4CB79607DF55}" srcOrd="0" destOrd="0" presId="urn:microsoft.com/office/officeart/2005/8/layout/hierarchy2"/>
    <dgm:cxn modelId="{55678B74-355F-4DDF-9DAF-CEDA4F7C565B}" type="presParOf" srcId="{47C6FAEA-33BA-49EB-8210-599CC326E397}" destId="{723BE1B0-7925-40D3-AA73-D51B0C9E97D9}" srcOrd="3" destOrd="0" presId="urn:microsoft.com/office/officeart/2005/8/layout/hierarchy2"/>
    <dgm:cxn modelId="{66FF9A3D-3B61-408B-BCCB-50A4EFEF2122}" type="presParOf" srcId="{723BE1B0-7925-40D3-AA73-D51B0C9E97D9}" destId="{4D9820B3-BF01-463A-B5ED-08429531668D}" srcOrd="0" destOrd="0" presId="urn:microsoft.com/office/officeart/2005/8/layout/hierarchy2"/>
    <dgm:cxn modelId="{B07F6514-63AE-471A-8AF4-8C9E12962D9F}" type="presParOf" srcId="{723BE1B0-7925-40D3-AA73-D51B0C9E97D9}" destId="{577C8113-E36D-44BC-AB40-2B7426FF35DB}"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52583-5675-43D1-A458-8B8DDA18A14F}">
      <dsp:nvSpPr>
        <dsp:cNvPr id="0" name=""/>
        <dsp:cNvSpPr/>
      </dsp:nvSpPr>
      <dsp:spPr>
        <a:xfrm>
          <a:off x="304465" y="982284"/>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Land Tenure in Ghana</a:t>
          </a:r>
        </a:p>
      </dsp:txBody>
      <dsp:txXfrm>
        <a:off x="321133" y="998952"/>
        <a:ext cx="1104827" cy="535745"/>
      </dsp:txXfrm>
    </dsp:sp>
    <dsp:sp modelId="{2B947B16-5747-4585-9491-8CF47A0283D7}">
      <dsp:nvSpPr>
        <dsp:cNvPr id="0" name=""/>
        <dsp:cNvSpPr/>
      </dsp:nvSpPr>
      <dsp:spPr>
        <a:xfrm rot="18289469">
          <a:off x="1271649" y="919388"/>
          <a:ext cx="797222" cy="40429"/>
        </a:xfrm>
        <a:custGeom>
          <a:avLst/>
          <a:gdLst/>
          <a:ahLst/>
          <a:cxnLst/>
          <a:rect l="0" t="0" r="0" b="0"/>
          <a:pathLst>
            <a:path>
              <a:moveTo>
                <a:pt x="0" y="20214"/>
              </a:moveTo>
              <a:lnTo>
                <a:pt x="79722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1650330" y="919672"/>
        <a:ext cx="39861" cy="39861"/>
      </dsp:txXfrm>
    </dsp:sp>
    <dsp:sp modelId="{87DA9F2D-C4EF-410A-B028-03E5CD8728DC}">
      <dsp:nvSpPr>
        <dsp:cNvPr id="0" name=""/>
        <dsp:cNvSpPr/>
      </dsp:nvSpPr>
      <dsp:spPr>
        <a:xfrm>
          <a:off x="1897893" y="327840"/>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Public Lands</a:t>
          </a:r>
        </a:p>
      </dsp:txBody>
      <dsp:txXfrm>
        <a:off x="1914561" y="344508"/>
        <a:ext cx="1104827" cy="535745"/>
      </dsp:txXfrm>
    </dsp:sp>
    <dsp:sp modelId="{F569109A-C934-4AAE-895E-48CE7B26A40B}">
      <dsp:nvSpPr>
        <dsp:cNvPr id="0" name=""/>
        <dsp:cNvSpPr/>
      </dsp:nvSpPr>
      <dsp:spPr>
        <a:xfrm rot="19457599">
          <a:off x="2983358" y="428555"/>
          <a:ext cx="560660" cy="40429"/>
        </a:xfrm>
        <a:custGeom>
          <a:avLst/>
          <a:gdLst/>
          <a:ahLst/>
          <a:cxnLst/>
          <a:rect l="0" t="0" r="0" b="0"/>
          <a:pathLst>
            <a:path>
              <a:moveTo>
                <a:pt x="0" y="20214"/>
              </a:moveTo>
              <a:lnTo>
                <a:pt x="560660"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249672" y="434753"/>
        <a:ext cx="28033" cy="28033"/>
      </dsp:txXfrm>
    </dsp:sp>
    <dsp:sp modelId="{50C09DC5-FBA4-4D39-981F-ADFC1B6B5CFF}">
      <dsp:nvSpPr>
        <dsp:cNvPr id="0" name=""/>
        <dsp:cNvSpPr/>
      </dsp:nvSpPr>
      <dsp:spPr>
        <a:xfrm>
          <a:off x="3491321" y="618"/>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State lands</a:t>
          </a:r>
        </a:p>
      </dsp:txBody>
      <dsp:txXfrm>
        <a:off x="3507989" y="17286"/>
        <a:ext cx="1104827" cy="535745"/>
      </dsp:txXfrm>
    </dsp:sp>
    <dsp:sp modelId="{B1ACD151-67BD-4B8A-B085-45D50DD0A981}">
      <dsp:nvSpPr>
        <dsp:cNvPr id="0" name=""/>
        <dsp:cNvSpPr/>
      </dsp:nvSpPr>
      <dsp:spPr>
        <a:xfrm rot="2142401">
          <a:off x="2983358" y="755777"/>
          <a:ext cx="560660" cy="40429"/>
        </a:xfrm>
        <a:custGeom>
          <a:avLst/>
          <a:gdLst/>
          <a:ahLst/>
          <a:cxnLst/>
          <a:rect l="0" t="0" r="0" b="0"/>
          <a:pathLst>
            <a:path>
              <a:moveTo>
                <a:pt x="0" y="20214"/>
              </a:moveTo>
              <a:lnTo>
                <a:pt x="560660"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249672" y="761975"/>
        <a:ext cx="28033" cy="28033"/>
      </dsp:txXfrm>
    </dsp:sp>
    <dsp:sp modelId="{58B083D7-710D-4C54-8EE8-CAA39F42FE0A}">
      <dsp:nvSpPr>
        <dsp:cNvPr id="0" name=""/>
        <dsp:cNvSpPr/>
      </dsp:nvSpPr>
      <dsp:spPr>
        <a:xfrm>
          <a:off x="3491321" y="655062"/>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Vested Lands</a:t>
          </a:r>
        </a:p>
      </dsp:txBody>
      <dsp:txXfrm>
        <a:off x="3507989" y="671730"/>
        <a:ext cx="1104827" cy="535745"/>
      </dsp:txXfrm>
    </dsp:sp>
    <dsp:sp modelId="{64CB524B-745F-442C-93C5-5F0A839F98D7}">
      <dsp:nvSpPr>
        <dsp:cNvPr id="0" name=""/>
        <dsp:cNvSpPr/>
      </dsp:nvSpPr>
      <dsp:spPr>
        <a:xfrm rot="3310531">
          <a:off x="1271649" y="1573832"/>
          <a:ext cx="797222" cy="40429"/>
        </a:xfrm>
        <a:custGeom>
          <a:avLst/>
          <a:gdLst/>
          <a:ahLst/>
          <a:cxnLst/>
          <a:rect l="0" t="0" r="0" b="0"/>
          <a:pathLst>
            <a:path>
              <a:moveTo>
                <a:pt x="0" y="20214"/>
              </a:moveTo>
              <a:lnTo>
                <a:pt x="79722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1650330" y="1574116"/>
        <a:ext cx="39861" cy="39861"/>
      </dsp:txXfrm>
    </dsp:sp>
    <dsp:sp modelId="{F9054216-8926-4FE2-8245-7AA669AF0372}">
      <dsp:nvSpPr>
        <dsp:cNvPr id="0" name=""/>
        <dsp:cNvSpPr/>
      </dsp:nvSpPr>
      <dsp:spPr>
        <a:xfrm>
          <a:off x="1897893" y="1636728"/>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Customary Lands</a:t>
          </a:r>
        </a:p>
      </dsp:txBody>
      <dsp:txXfrm>
        <a:off x="1914561" y="1653396"/>
        <a:ext cx="1104827" cy="535745"/>
      </dsp:txXfrm>
    </dsp:sp>
    <dsp:sp modelId="{FA7FBF92-8BE6-41D8-9EFA-5F7669F31187}">
      <dsp:nvSpPr>
        <dsp:cNvPr id="0" name=""/>
        <dsp:cNvSpPr/>
      </dsp:nvSpPr>
      <dsp:spPr>
        <a:xfrm rot="19457599">
          <a:off x="2983358" y="1737442"/>
          <a:ext cx="560660" cy="40429"/>
        </a:xfrm>
        <a:custGeom>
          <a:avLst/>
          <a:gdLst/>
          <a:ahLst/>
          <a:cxnLst/>
          <a:rect l="0" t="0" r="0" b="0"/>
          <a:pathLst>
            <a:path>
              <a:moveTo>
                <a:pt x="0" y="20214"/>
              </a:moveTo>
              <a:lnTo>
                <a:pt x="560660"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249672" y="1743641"/>
        <a:ext cx="28033" cy="28033"/>
      </dsp:txXfrm>
    </dsp:sp>
    <dsp:sp modelId="{D473669D-43F5-4E36-957D-AC63EF0AE40B}">
      <dsp:nvSpPr>
        <dsp:cNvPr id="0" name=""/>
        <dsp:cNvSpPr/>
      </dsp:nvSpPr>
      <dsp:spPr>
        <a:xfrm>
          <a:off x="3491321" y="1309506"/>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Family lands</a:t>
          </a:r>
        </a:p>
      </dsp:txBody>
      <dsp:txXfrm>
        <a:off x="3507989" y="1326174"/>
        <a:ext cx="1104827" cy="535745"/>
      </dsp:txXfrm>
    </dsp:sp>
    <dsp:sp modelId="{157C8B3C-804F-4AF9-8570-B7673F1BBEA4}">
      <dsp:nvSpPr>
        <dsp:cNvPr id="0" name=""/>
        <dsp:cNvSpPr/>
      </dsp:nvSpPr>
      <dsp:spPr>
        <a:xfrm rot="2142401">
          <a:off x="2983358" y="2064664"/>
          <a:ext cx="560660" cy="40429"/>
        </a:xfrm>
        <a:custGeom>
          <a:avLst/>
          <a:gdLst/>
          <a:ahLst/>
          <a:cxnLst/>
          <a:rect l="0" t="0" r="0" b="0"/>
          <a:pathLst>
            <a:path>
              <a:moveTo>
                <a:pt x="0" y="20214"/>
              </a:moveTo>
              <a:lnTo>
                <a:pt x="560660"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249672" y="2070863"/>
        <a:ext cx="28033" cy="28033"/>
      </dsp:txXfrm>
    </dsp:sp>
    <dsp:sp modelId="{4D9820B3-BF01-463A-B5ED-08429531668D}">
      <dsp:nvSpPr>
        <dsp:cNvPr id="0" name=""/>
        <dsp:cNvSpPr/>
      </dsp:nvSpPr>
      <dsp:spPr>
        <a:xfrm>
          <a:off x="3491321" y="1963949"/>
          <a:ext cx="1138163" cy="569081"/>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Skin or stool lands</a:t>
          </a:r>
        </a:p>
      </dsp:txBody>
      <dsp:txXfrm>
        <a:off x="3507989" y="1980617"/>
        <a:ext cx="1104827" cy="5357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26</Pages>
  <Words>8621</Words>
  <Characters>49145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SDI 1055</cp:lastModifiedBy>
  <cp:revision>63</cp:revision>
  <dcterms:created xsi:type="dcterms:W3CDTF">2025-05-13T23:26:00Z</dcterms:created>
  <dcterms:modified xsi:type="dcterms:W3CDTF">2025-05-21T08:01:00Z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0c8d62cc-fd45-4f7f-b519-d98d6b2cafb0</vt:lpwstr>
  </property>
</Properties>
</file>