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2FB1" w14:textId="77777777" w:rsidR="001E7D41" w:rsidRDefault="001E7D41" w:rsidP="002752FC">
      <w:pPr>
        <w:pStyle w:val="NormalWeb"/>
        <w:spacing w:before="0" w:beforeAutospacing="0" w:after="0" w:afterAutospacing="0"/>
        <w:jc w:val="both"/>
        <w:rPr>
          <w:rStyle w:val="Strong"/>
        </w:rPr>
      </w:pPr>
      <w:r w:rsidRPr="002752FC">
        <w:rPr>
          <w:rStyle w:val="Strong"/>
        </w:rPr>
        <w:t>Challenges to Mainstreaming TVET in Bangladesh: Understanding the Gaps Between Policy and Practice</w:t>
      </w:r>
    </w:p>
    <w:p w14:paraId="5B753B56" w14:textId="77777777" w:rsidR="002752FC" w:rsidRPr="002752FC" w:rsidRDefault="002752FC" w:rsidP="002752FC">
      <w:pPr>
        <w:pStyle w:val="NormalWeb"/>
        <w:spacing w:before="0" w:beforeAutospacing="0" w:after="0" w:afterAutospacing="0"/>
        <w:jc w:val="both"/>
        <w:rPr>
          <w:rStyle w:val="Strong"/>
        </w:rPr>
      </w:pPr>
    </w:p>
    <w:p w14:paraId="7160AB07" w14:textId="77777777" w:rsidR="002752FC" w:rsidRPr="002752FC" w:rsidRDefault="002752FC" w:rsidP="002752FC">
      <w:pPr>
        <w:spacing w:after="0" w:line="240" w:lineRule="auto"/>
        <w:jc w:val="both"/>
        <w:rPr>
          <w:rStyle w:val="Strong"/>
          <w:rFonts w:ascii="Times New Roman" w:hAnsi="Times New Roman" w:cs="Times New Roman"/>
          <w:sz w:val="24"/>
          <w:szCs w:val="24"/>
        </w:rPr>
      </w:pPr>
    </w:p>
    <w:p w14:paraId="00687BE9" w14:textId="12D0DAA5" w:rsidR="00462E25" w:rsidRPr="002752FC" w:rsidRDefault="001E7D41" w:rsidP="002752FC">
      <w:pPr>
        <w:spacing w:after="0" w:line="240" w:lineRule="auto"/>
        <w:jc w:val="both"/>
        <w:rPr>
          <w:rFonts w:ascii="Times New Roman" w:hAnsi="Times New Roman" w:cs="Times New Roman"/>
          <w:sz w:val="24"/>
          <w:szCs w:val="24"/>
        </w:rPr>
      </w:pPr>
      <w:r w:rsidRPr="002752FC">
        <w:rPr>
          <w:rStyle w:val="Strong"/>
          <w:rFonts w:ascii="Times New Roman" w:hAnsi="Times New Roman" w:cs="Times New Roman"/>
          <w:sz w:val="24"/>
          <w:szCs w:val="24"/>
        </w:rPr>
        <w:t>Abstract</w:t>
      </w:r>
      <w:r w:rsidRPr="002752FC">
        <w:rPr>
          <w:rFonts w:ascii="Times New Roman" w:hAnsi="Times New Roman" w:cs="Times New Roman"/>
          <w:sz w:val="24"/>
          <w:szCs w:val="24"/>
        </w:rPr>
        <w:t xml:space="preserve"> </w:t>
      </w:r>
    </w:p>
    <w:p w14:paraId="43664E9E" w14:textId="0A664A0B" w:rsidR="00462E25" w:rsidRDefault="00462E25"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 xml:space="preserve">This study examined the obstacles that prevented Technical and Vocational Education and Training (TVET) from being successfully mainstreamed in Bangladesh, even after thorough policy frameworks were developed. It used document analysis, stakeholder interviews, and field observations to have a qualitative look at how TVET-related policies were being implemented. The results showed notable gaps between policy and practice, which were caused by antiquated curricula, inadequate industry engagement, insufficient governance frameworks, a lack of funding, and enduringly unfavorable public opinions of </w:t>
      </w:r>
      <w:r w:rsidR="005A1274" w:rsidRPr="002752FC">
        <w:rPr>
          <w:rFonts w:ascii="Times New Roman" w:eastAsia="Times New Roman" w:hAnsi="Times New Roman" w:cs="Times New Roman"/>
          <w:sz w:val="24"/>
          <w:szCs w:val="24"/>
        </w:rPr>
        <w:t xml:space="preserve">Technical and </w:t>
      </w:r>
      <w:r w:rsidRPr="002752FC">
        <w:rPr>
          <w:rFonts w:ascii="Times New Roman" w:eastAsia="Times New Roman" w:hAnsi="Times New Roman" w:cs="Times New Roman"/>
          <w:sz w:val="24"/>
          <w:szCs w:val="24"/>
        </w:rPr>
        <w:t>vocational education</w:t>
      </w:r>
      <w:r w:rsidR="005A1274" w:rsidRPr="002752FC">
        <w:rPr>
          <w:rFonts w:ascii="Times New Roman" w:eastAsia="Times New Roman" w:hAnsi="Times New Roman" w:cs="Times New Roman"/>
          <w:sz w:val="24"/>
          <w:szCs w:val="24"/>
        </w:rPr>
        <w:t xml:space="preserve"> and Training (TVET)</w:t>
      </w:r>
      <w:r w:rsidRPr="002752FC">
        <w:rPr>
          <w:rFonts w:ascii="Times New Roman" w:eastAsia="Times New Roman" w:hAnsi="Times New Roman" w:cs="Times New Roman"/>
          <w:sz w:val="24"/>
          <w:szCs w:val="24"/>
        </w:rPr>
        <w:t>.</w:t>
      </w:r>
      <w:r w:rsidR="005A1274" w:rsidRPr="002752FC">
        <w:rPr>
          <w:rFonts w:ascii="Times New Roman" w:eastAsia="Times New Roman" w:hAnsi="Times New Roman" w:cs="Times New Roman"/>
          <w:sz w:val="24"/>
          <w:szCs w:val="24"/>
        </w:rPr>
        <w:t xml:space="preserve"> </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All of these elements worked against the creation of a flexible and long-lasting TVET system. The study came to the conclusion that structural changes, such as improved policy coordination, more funding, curriculum modernization, industry collaborations, and public awareness campaigns, were necessary to solve these issues. These revelations helped to clarify the TVET </w:t>
      </w:r>
      <w:r w:rsidR="005A1274" w:rsidRPr="002752FC">
        <w:rPr>
          <w:rFonts w:ascii="Times New Roman" w:eastAsia="Times New Roman" w:hAnsi="Times New Roman" w:cs="Times New Roman"/>
          <w:sz w:val="24"/>
          <w:szCs w:val="24"/>
        </w:rPr>
        <w:t>ecosystem</w:t>
      </w:r>
      <w:r w:rsidRPr="002752FC">
        <w:rPr>
          <w:rFonts w:ascii="Times New Roman" w:eastAsia="Times New Roman" w:hAnsi="Times New Roman" w:cs="Times New Roman"/>
          <w:sz w:val="24"/>
          <w:szCs w:val="24"/>
        </w:rPr>
        <w:t xml:space="preserve"> in Bangladesh and provided practical suggestions for matching </w:t>
      </w:r>
      <w:r w:rsidR="005A1274" w:rsidRPr="002752FC">
        <w:rPr>
          <w:rFonts w:ascii="Times New Roman" w:eastAsia="Times New Roman" w:hAnsi="Times New Roman" w:cs="Times New Roman"/>
          <w:sz w:val="24"/>
          <w:szCs w:val="24"/>
        </w:rPr>
        <w:t xml:space="preserve">employable </w:t>
      </w:r>
      <w:r w:rsidRPr="002752FC">
        <w:rPr>
          <w:rFonts w:ascii="Times New Roman" w:eastAsia="Times New Roman" w:hAnsi="Times New Roman" w:cs="Times New Roman"/>
          <w:sz w:val="24"/>
          <w:szCs w:val="24"/>
        </w:rPr>
        <w:t>skill development to market demands.</w:t>
      </w:r>
    </w:p>
    <w:p w14:paraId="27D25F21"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46E2ED59" w14:textId="248E2980" w:rsidR="00462E25" w:rsidRDefault="00462E25"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b/>
          <w:bCs/>
          <w:sz w:val="24"/>
          <w:szCs w:val="24"/>
        </w:rPr>
        <w:t>Keywords:</w:t>
      </w:r>
      <w:r w:rsidRPr="002752FC">
        <w:rPr>
          <w:rFonts w:ascii="Times New Roman" w:eastAsia="Times New Roman" w:hAnsi="Times New Roman" w:cs="Times New Roman"/>
          <w:sz w:val="24"/>
          <w:szCs w:val="24"/>
        </w:rPr>
        <w:t xml:space="preserve"> TVET, Policy Implementation, Skills Development, </w:t>
      </w:r>
      <w:r w:rsidR="005A1274" w:rsidRPr="002752FC">
        <w:rPr>
          <w:rFonts w:ascii="Times New Roman" w:eastAsia="Times New Roman" w:hAnsi="Times New Roman" w:cs="Times New Roman"/>
          <w:sz w:val="24"/>
          <w:szCs w:val="24"/>
        </w:rPr>
        <w:t>TVET r</w:t>
      </w:r>
      <w:r w:rsidRPr="002752FC">
        <w:rPr>
          <w:rFonts w:ascii="Times New Roman" w:eastAsia="Times New Roman" w:hAnsi="Times New Roman" w:cs="Times New Roman"/>
          <w:sz w:val="24"/>
          <w:szCs w:val="24"/>
        </w:rPr>
        <w:t>eform</w:t>
      </w:r>
      <w:r w:rsidR="002752FC" w:rsidRPr="002752FC">
        <w:rPr>
          <w:rFonts w:ascii="Times New Roman" w:eastAsia="Times New Roman" w:hAnsi="Times New Roman" w:cs="Times New Roman"/>
          <w:sz w:val="24"/>
          <w:szCs w:val="24"/>
        </w:rPr>
        <w:t>.</w:t>
      </w:r>
    </w:p>
    <w:p w14:paraId="05A85FA5"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5C18206E" w14:textId="5ECABF3D" w:rsidR="00CD3168" w:rsidRPr="002752FC" w:rsidRDefault="002752FC" w:rsidP="002752FC">
      <w:pPr>
        <w:pStyle w:val="NormalWeb"/>
        <w:spacing w:before="0" w:beforeAutospacing="0" w:after="0" w:afterAutospacing="0"/>
        <w:jc w:val="both"/>
      </w:pPr>
      <w:r>
        <w:rPr>
          <w:rStyle w:val="Strong"/>
        </w:rPr>
        <w:t xml:space="preserve">1. </w:t>
      </w:r>
      <w:r w:rsidR="001E7D41" w:rsidRPr="002752FC">
        <w:rPr>
          <w:rStyle w:val="Strong"/>
        </w:rPr>
        <w:t>Introduction</w:t>
      </w:r>
      <w:r w:rsidR="001E7D41" w:rsidRPr="002752FC">
        <w:t xml:space="preserve"> </w:t>
      </w:r>
      <w:r w:rsidR="005A1274" w:rsidRPr="002752FC">
        <w:t xml:space="preserve"> </w:t>
      </w:r>
    </w:p>
    <w:p w14:paraId="24A0FC65" w14:textId="7B80A98F" w:rsidR="00CD3168" w:rsidRPr="002752FC" w:rsidRDefault="001E7D41" w:rsidP="002752FC">
      <w:pPr>
        <w:spacing w:after="0" w:line="240" w:lineRule="auto"/>
        <w:jc w:val="both"/>
        <w:rPr>
          <w:rFonts w:ascii="Times New Roman" w:eastAsia="Times New Roman" w:hAnsi="Times New Roman" w:cs="Times New Roman"/>
          <w:sz w:val="24"/>
          <w:szCs w:val="24"/>
        </w:rPr>
      </w:pPr>
      <w:r w:rsidRPr="002752FC">
        <w:rPr>
          <w:rFonts w:ascii="Times New Roman" w:hAnsi="Times New Roman" w:cs="Times New Roman"/>
          <w:sz w:val="24"/>
          <w:szCs w:val="24"/>
        </w:rPr>
        <w:t>Bangladesh faces the dual challenge of youth unemployment and a shortage of skilled labor</w:t>
      </w:r>
      <w:r w:rsidR="00EB39A3">
        <w:rPr>
          <w:rFonts w:ascii="Times New Roman" w:hAnsi="Times New Roman" w:cs="Times New Roman"/>
          <w:sz w:val="24"/>
          <w:szCs w:val="24"/>
        </w:rPr>
        <w:t xml:space="preserve"> </w:t>
      </w:r>
      <w:r w:rsidR="00B81B06" w:rsidRPr="002752FC">
        <w:rPr>
          <w:rFonts w:ascii="Times New Roman" w:hAnsi="Times New Roman" w:cs="Times New Roman"/>
          <w:sz w:val="24"/>
          <w:szCs w:val="24"/>
        </w:rPr>
        <w:fldChar w:fldCharType="begin"/>
      </w:r>
      <w:r w:rsidR="008C6940" w:rsidRPr="002752FC">
        <w:rPr>
          <w:rFonts w:ascii="Times New Roman" w:hAnsi="Times New Roman" w:cs="Times New Roman"/>
          <w:sz w:val="24"/>
          <w:szCs w:val="24"/>
        </w:rPr>
        <w:instrText xml:space="preserve"> ADDIN ZOTERO_ITEM CSL_CITATION {"citationID":"zpUKgKSx","properties":{"formattedCitation":"(M. Rahman et al., 2021)","plainCitation":"(M. Rahman et al., 2021)","noteIndex":0},"citationItems":[{"id":770,"uris":["http://zotero.org/users/local/MHhRaBP9/items/MFECAQ54"],"itemData":{"id":770,"type":"article-journal","abstract":", ABSTRACT:, Ever-increasing unemployment or underemployment of educated youth is taking its toll on Bangladesh as it is giving birth to new social unrest in the country. While its national average unemployment rate is 4.2 per cent, the rate is 2.7 per cent among those who have studied up to primary level and 11.2 per cent among those who have graduated from the universities. If such a trend continues, over the next ten years, the working-age population structure in Bangladesh would grow more than two million annually. Since the rate of job creation is lagging far behind, excessive unemployment may not only increase the rate of crime and social maladies but also cause social unrest. The recent student protest movement against the existing quota/reservation policy in public service recruitment is indicative of this alarming trend. Drawing on the publicly available data and information, this conceptual paper makes the case that youth unemployment and underemployment in Bangladesh is the result of underdeveloped skills that is due to the lack of proper and purposeful education and human resource development policy. Under the current system, technical education remains below par and the few technical education institutions that the country has are not producing enough and relevant skilled workers. It is unfortunate that there is existing and growing demand for skilled human resources for various sectors of the economy, while, despite explosive growth in tertiary education at universities, the pool of educated unemployed is also growing. Due to the scarcity of qualified manpower, Bangladeshi companies often hire better skilled people from abroad by incurring higher costs and keeping a portion of Bangladeshi citizens out of job. Bangladesh therefore needs to address its skills mismatch phenomenon first. More specifically, the country must equip its youth with right set of skills, which would make them employable in the fast-changing job market both inside and outside the country. To make it happen, the country needs a policy shift on an urgent basis, which would include but not limit to interfacing its formal education with technical training, technical training with labour market entry, and labour market entry to the workplace.","container-title":"The Journal of Developing Areas","ISSN":"1548-2278","issue":"1","note":"publisher: Tennessee State University College of Business","source":"Project MUSE","title":"Mitigating educated youth unemployment in Bangladesh","URL":"https://muse.jhu.edu/pub/51/article/766446","volume":"55","author":[{"family":"Rahman","given":"Mahbubur"},{"family":"Farooq","given":"Mohammad Omar"},{"family":"Selim","given":"Mohammad"}],"accessed":{"date-parts":[["2025",4,22]]},"issued":{"date-parts":[["2021"]]}}}],"schema":"https://github.com/citation-style-language/schema/raw/master/csl-citation.json"} </w:instrText>
      </w:r>
      <w:r w:rsidR="00B81B06" w:rsidRPr="002752FC">
        <w:rPr>
          <w:rFonts w:ascii="Times New Roman" w:hAnsi="Times New Roman" w:cs="Times New Roman"/>
          <w:sz w:val="24"/>
          <w:szCs w:val="24"/>
        </w:rPr>
        <w:fldChar w:fldCharType="separate"/>
      </w:r>
      <w:r w:rsidR="008C6940" w:rsidRPr="002752FC">
        <w:rPr>
          <w:rFonts w:ascii="Times New Roman" w:hAnsi="Times New Roman" w:cs="Times New Roman"/>
          <w:sz w:val="24"/>
          <w:szCs w:val="24"/>
        </w:rPr>
        <w:t>(M. Rahman et al., 2021)</w:t>
      </w:r>
      <w:r w:rsidR="00B81B06" w:rsidRPr="002752FC">
        <w:rPr>
          <w:rFonts w:ascii="Times New Roman" w:hAnsi="Times New Roman" w:cs="Times New Roman"/>
          <w:sz w:val="24"/>
          <w:szCs w:val="24"/>
        </w:rPr>
        <w:fldChar w:fldCharType="end"/>
      </w:r>
      <w:r w:rsidRPr="002752FC">
        <w:rPr>
          <w:rFonts w:ascii="Times New Roman" w:hAnsi="Times New Roman" w:cs="Times New Roman"/>
          <w:sz w:val="24"/>
          <w:szCs w:val="24"/>
        </w:rPr>
        <w:t>. TVET has the potential to address both issues by providing practical education aligned with labor market needs. While national policies such as the National Skills Development Policy (NSDP) aim to promote TVET, its practical integration remains limited</w:t>
      </w:r>
      <w:r w:rsidR="00E54D02" w:rsidRPr="002752FC">
        <w:rPr>
          <w:rFonts w:ascii="Times New Roman" w:hAnsi="Times New Roman" w:cs="Times New Roman"/>
          <w:sz w:val="24"/>
          <w:szCs w:val="24"/>
        </w:rPr>
        <w:fldChar w:fldCharType="begin"/>
      </w:r>
      <w:r w:rsidR="00E54D02" w:rsidRPr="002752FC">
        <w:rPr>
          <w:rFonts w:ascii="Times New Roman" w:hAnsi="Times New Roman" w:cs="Times New Roman"/>
          <w:sz w:val="24"/>
          <w:szCs w:val="24"/>
        </w:rPr>
        <w:instrText xml:space="preserve"> ADDIN ZOTERO_ITEM CSL_CITATION {"citationID":"4gVDc22m","properties":{"formattedCitation":"(Halimuzzaman et al., 2024)","plainCitation":"(Halimuzzaman et al., 2024)","noteIndex":0},"citationItems":[{"id":567,"uris":["http://zotero.org/users/local/MHhRaBP9/items/4YIAEXAE"],"itemData":{"id":567,"type":"article-journal","abstract":"The objective of the study is to conduct a comprehensive analysis of the challenges and opportunities faced by the entertainment industry in Bangladesh in terms of public relations (PR), with a specific focus on the case study of the movie \"Hawa.\" The goals include examining the current state of PR in Bangladesh, assessing the integration of cultural sensitivity in the PR strategy for \"Hawa,\" and exploring the educational outcomes of the movie. The significance of PR in Bangladesh is underscored by its crucial role in communication, trust-building, and shaping public perceptions. The multifaceted importance is explained through cultural integration, bridging traditional and modern media, maintaining harmony between the government and society, and managing global connectivity and reputation. The literature review delves into the existing knowledge on PR tools and strategies in Bangladesh, with a particular emphasis on cultural dynamics, the media landscape, government influence, and global perspectives. The methodology employed entails a qualitative case study design, sampling PR practitioners, collecting data from various sources, and considering ethical considerations. The findings provide insights into the state of PR practices, emphasizing the need for a more strategic, transparent, and inclusive approach. Moreover, the educational outcomes of the movie \"Hawa\" demonstrates success in imparting knowledge about the sea and coastal life. The recommendations put forth include diversifying communication strategies, adopting a public-centric approach, enhancing professional development, embracing digital transformation, and encouraging creativity in PR practices. As for the educational outcomes of movies like \"Hawa,\" the recommendations focus on building on previous success, promoting cultural understanding, collaborating with educational institutions, and ensuring accessibility and outreach. In conclusion, this study offers valuable insights into the field of PR in Bangladesh and the impact of media on public knowledge.","container-title":"Journal of Primeasia","DOI":"10.25163/primeasia.519834","journalAbbreviation":"Journal of Primeasia","page":"1-7","source":"ResearchGate","title":"Public Relation and Educational Outcomes of Films in Bangladesh: A Study on Hawa","title-short":"Public Relation and Educational Outcomes of Films in Bangladesh","volume":"5","author":[{"family":"Halimuzzaman","given":"Md"},{"family":"Wafik","given":"M"},{"family":"Chakrabortty","given":"Prabir"},{"family":"Mahbub","given":"Salehin"}],"issued":{"date-parts":[["2024",5,14]]}}}],"schema":"https://github.com/citation-style-language/schema/raw/master/csl-citation.json"} </w:instrText>
      </w:r>
      <w:r w:rsidR="00E54D02" w:rsidRPr="002752FC">
        <w:rPr>
          <w:rFonts w:ascii="Times New Roman" w:hAnsi="Times New Roman" w:cs="Times New Roman"/>
          <w:sz w:val="24"/>
          <w:szCs w:val="24"/>
        </w:rPr>
        <w:fldChar w:fldCharType="separate"/>
      </w:r>
      <w:r w:rsidR="00E54D02" w:rsidRPr="002752FC">
        <w:rPr>
          <w:rFonts w:ascii="Times New Roman" w:hAnsi="Times New Roman" w:cs="Times New Roman"/>
          <w:sz w:val="24"/>
          <w:szCs w:val="24"/>
        </w:rPr>
        <w:t>(Halimuzzaman et al., 2024)</w:t>
      </w:r>
      <w:r w:rsidR="00E54D02" w:rsidRPr="002752FC">
        <w:rPr>
          <w:rFonts w:ascii="Times New Roman" w:hAnsi="Times New Roman" w:cs="Times New Roman"/>
          <w:sz w:val="24"/>
          <w:szCs w:val="24"/>
        </w:rPr>
        <w:fldChar w:fldCharType="end"/>
      </w:r>
      <w:r w:rsidRPr="002752FC">
        <w:rPr>
          <w:rFonts w:ascii="Times New Roman" w:hAnsi="Times New Roman" w:cs="Times New Roman"/>
          <w:sz w:val="24"/>
          <w:szCs w:val="24"/>
        </w:rPr>
        <w:t xml:space="preserve">. </w:t>
      </w:r>
      <w:r w:rsidR="00CD3168" w:rsidRPr="002752FC">
        <w:rPr>
          <w:rFonts w:ascii="Times New Roman" w:eastAsia="Times New Roman" w:hAnsi="Times New Roman" w:cs="Times New Roman"/>
          <w:sz w:val="24"/>
          <w:szCs w:val="24"/>
        </w:rPr>
        <w:t>Bangladesh has seen significant economic expansion in recent decades, which has increased demand for a skilled labor force to support industrialization and development</w:t>
      </w:r>
      <w:r w:rsidR="00C43EC5" w:rsidRPr="002752FC">
        <w:rPr>
          <w:rFonts w:ascii="Times New Roman" w:eastAsia="Times New Roman" w:hAnsi="Times New Roman" w:cs="Times New Roman"/>
          <w:sz w:val="24"/>
          <w:szCs w:val="24"/>
        </w:rPr>
        <w:fldChar w:fldCharType="begin"/>
      </w:r>
      <w:r w:rsidR="00C43EC5" w:rsidRPr="002752FC">
        <w:rPr>
          <w:rFonts w:ascii="Times New Roman" w:eastAsia="Times New Roman" w:hAnsi="Times New Roman" w:cs="Times New Roman"/>
          <w:sz w:val="24"/>
          <w:szCs w:val="24"/>
        </w:rPr>
        <w:instrText xml:space="preserve"> ADDIN ZOTERO_ITEM CSL_CITATION {"citationID":"viiXAZgT","properties":{"formattedCitation":"(Mujeri &amp; Mujeri, 2021)","plainCitation":"(Mujeri &amp; Mujeri, 2021)","noteIndex":0},"citationItems":[{"id":842,"uris":["http://zotero.org/users/local/MHhRaBP9/items/C7WAW2LA"],"itemData":{"id":842,"type":"chapter","abstract":"The conceptual scrutiny and empirical evidence indicate that STStructural Transformation (ST) involves changes in structures of production and employment along with improvement of tangible and intangible infrastructure in the economy. The process refers to stylised facts that highlight its links with economic growth, horizontal and vertical evolutionHorizontal and vertical evolution, and diversification and technological upgrading. For South Asia, the key is to promote economic growth with structural and productive transformationStructural and productive transformation, implying that productivity enhancements within sectors should not come at the expense of job creationJob creation. A virtuous process of inclusive STStructural Transformation (ST) transforms a country beyond growth to reduce poverty, enables the poor to acquire higher human development, enhances the government’s fiscal capacity and strengthens institutions, widens social protection measures, and increases expenditure on essential public services.","container-title":"Structural Transformation of Bangladesh Economy: A South Asian Perspective","event-place":"Singapore","ISBN":"9789811607646","language":"en","note":"DOI: 10.1007/978-981-16-0764-6_2","page":"13-44","publisher":"Springer","publisher-place":"Singapore","source":"Springer Link","title":"Structural Transformation: Theory and Global Evidence","title-short":"Structural Transformation","URL":"https://doi.org/10.1007/978-981-16-0764-6_2","author":[{"family":"Mujeri","given":"Mustafa K."},{"family":"Mujeri","given":"Neaz"}],"editor":[{"family":"Mujeri","given":"Mustafa K."},{"family":"Mujeri","given":"Neaz"}],"accessed":{"date-parts":[["2025",4,26]]},"issued":{"date-parts":[["2021"]]}}}],"schema":"https://github.com/citation-style-language/schema/raw/master/csl-citation.json"} </w:instrText>
      </w:r>
      <w:r w:rsidR="00C43EC5" w:rsidRPr="002752FC">
        <w:rPr>
          <w:rFonts w:ascii="Times New Roman" w:eastAsia="Times New Roman" w:hAnsi="Times New Roman" w:cs="Times New Roman"/>
          <w:sz w:val="24"/>
          <w:szCs w:val="24"/>
        </w:rPr>
        <w:fldChar w:fldCharType="separate"/>
      </w:r>
      <w:r w:rsidR="00C43EC5" w:rsidRPr="002752FC">
        <w:rPr>
          <w:rFonts w:ascii="Times New Roman" w:hAnsi="Times New Roman" w:cs="Times New Roman"/>
          <w:sz w:val="24"/>
          <w:szCs w:val="24"/>
        </w:rPr>
        <w:t>(Mujeri &amp; Mujeri, 2021)</w:t>
      </w:r>
      <w:r w:rsidR="00C43EC5" w:rsidRPr="002752FC">
        <w:rPr>
          <w:rFonts w:ascii="Times New Roman" w:eastAsia="Times New Roman" w:hAnsi="Times New Roman" w:cs="Times New Roman"/>
          <w:sz w:val="24"/>
          <w:szCs w:val="24"/>
        </w:rPr>
        <w:fldChar w:fldCharType="end"/>
      </w:r>
      <w:r w:rsidR="00CD3168" w:rsidRPr="002752FC">
        <w:rPr>
          <w:rFonts w:ascii="Times New Roman" w:eastAsia="Times New Roman" w:hAnsi="Times New Roman" w:cs="Times New Roman"/>
          <w:sz w:val="24"/>
          <w:szCs w:val="24"/>
        </w:rPr>
        <w:t>. The demand for technically trained labor and the supply of educated people, however, continue to be significantly out of sync. This disparity is especially concerning in light of the nation's expanding youth population and rising graduate jobless rates. By providing young people with market-driven, job-ready skills, Technical and Vocational Education and Training (TVET) has emerged as a viable way to close this skills gap</w:t>
      </w:r>
      <w:r w:rsidR="00C43EC5" w:rsidRPr="002752FC">
        <w:rPr>
          <w:rFonts w:ascii="Times New Roman" w:eastAsia="Times New Roman" w:hAnsi="Times New Roman" w:cs="Times New Roman"/>
          <w:sz w:val="24"/>
          <w:szCs w:val="24"/>
        </w:rPr>
        <w:fldChar w:fldCharType="begin"/>
      </w:r>
      <w:r w:rsidR="00C43EC5" w:rsidRPr="002752FC">
        <w:rPr>
          <w:rFonts w:ascii="Times New Roman" w:eastAsia="Times New Roman" w:hAnsi="Times New Roman" w:cs="Times New Roman"/>
          <w:sz w:val="24"/>
          <w:szCs w:val="24"/>
        </w:rPr>
        <w:instrText xml:space="preserve"> ADDIN ZOTERO_ITEM CSL_CITATION {"citationID":"tpxsTYxh","properties":{"formattedCitation":"(Majola, 2024)","plainCitation":"(Majola, 2024)","noteIndex":0},"citationItems":[{"id":844,"uris":["http://zotero.org/users/local/MHhRaBP9/items/DFBYMXAK"],"itemData":{"id":844,"type":"article-journal","language":"en","source":"Zotero","title":"Vocational Education and the Relentless Struggles of TVET Graduates in the Eastern Cape, South Africa: A Freirean Approach","author":[{"family":"Majola","given":"Ezekiel"}],"issued":{"date-parts":[["2024"]]}}}],"schema":"https://github.com/citation-style-language/schema/raw/master/csl-citation.json"} </w:instrText>
      </w:r>
      <w:r w:rsidR="00C43EC5" w:rsidRPr="002752FC">
        <w:rPr>
          <w:rFonts w:ascii="Times New Roman" w:eastAsia="Times New Roman" w:hAnsi="Times New Roman" w:cs="Times New Roman"/>
          <w:sz w:val="24"/>
          <w:szCs w:val="24"/>
        </w:rPr>
        <w:fldChar w:fldCharType="separate"/>
      </w:r>
      <w:r w:rsidR="00C43EC5" w:rsidRPr="002752FC">
        <w:rPr>
          <w:rFonts w:ascii="Times New Roman" w:hAnsi="Times New Roman" w:cs="Times New Roman"/>
          <w:sz w:val="24"/>
          <w:szCs w:val="24"/>
        </w:rPr>
        <w:t>(Majola, 2024)</w:t>
      </w:r>
      <w:r w:rsidR="00C43EC5" w:rsidRPr="002752FC">
        <w:rPr>
          <w:rFonts w:ascii="Times New Roman" w:eastAsia="Times New Roman" w:hAnsi="Times New Roman" w:cs="Times New Roman"/>
          <w:sz w:val="24"/>
          <w:szCs w:val="24"/>
        </w:rPr>
        <w:fldChar w:fldCharType="end"/>
      </w:r>
      <w:r w:rsidR="00CD3168" w:rsidRPr="002752FC">
        <w:rPr>
          <w:rFonts w:ascii="Times New Roman" w:eastAsia="Times New Roman" w:hAnsi="Times New Roman" w:cs="Times New Roman"/>
          <w:sz w:val="24"/>
          <w:szCs w:val="24"/>
        </w:rPr>
        <w:t>.</w:t>
      </w:r>
    </w:p>
    <w:p w14:paraId="3AD54A36" w14:textId="2804F5DA" w:rsidR="00964101" w:rsidRDefault="00CD3168"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In Bangladesh, TVET's integration into the regular educational system is still somewhat limited, despite its potential. The significance of skills development for economic growth and poverty reduction has been emphasized by national policies such as the Education Policy 2010 and the National Skills Development Policy (NSDP)</w:t>
      </w:r>
      <w:r w:rsidR="00C43EC5" w:rsidRPr="002752FC">
        <w:rPr>
          <w:rFonts w:ascii="Times New Roman" w:eastAsia="Times New Roman" w:hAnsi="Times New Roman" w:cs="Times New Roman"/>
          <w:sz w:val="24"/>
          <w:szCs w:val="24"/>
        </w:rPr>
        <w:fldChar w:fldCharType="begin"/>
      </w:r>
      <w:r w:rsidR="00C43EC5" w:rsidRPr="002752FC">
        <w:rPr>
          <w:rFonts w:ascii="Times New Roman" w:eastAsia="Times New Roman" w:hAnsi="Times New Roman" w:cs="Times New Roman"/>
          <w:sz w:val="24"/>
          <w:szCs w:val="24"/>
        </w:rPr>
        <w:instrText xml:space="preserve"> ADDIN ZOTERO_ITEM CSL_CITATION {"citationID":"QcudeLvx","properties":{"formattedCitation":"(Kgalema et al., 2021)","plainCitation":"(Kgalema et al., 2021)","noteIndex":0},"citationItems":[{"id":845,"uris":["http://zotero.org/users/local/MHhRaBP9/items/CW89TBQ8"],"itemData":{"id":845,"type":"article-journal","abstract":"This paper explores the relationship between the goals of broad-based black economic empowerment (BBBEE) and those of the skills development policy in South Africa. We review the relationship between the policy tools that have been developed for each of these policies. We start from the premise that South Africa has developed a complex set of policies, many of which have not been aligned well with each other. In some instances, policies duplicate or contradict one another. The policies require multiple company reports that have tightly specified targets. Reporting requirements do not consistently support the achievement of the broader goals of the policy interventions and do not always work together. A second starting assumption is that empowerment is not just a matter of income and wealth – it is also about access to skills, resources and knowledge.","language":"en","source":"wiredspace.wits.ac.za","title":"The Alignment of Black Economic Empowerment and Skills Policies in South Africa","URL":"https://hdl.handle.net/10539/33466","author":[{"family":"Kgalema","given":"Victor"},{"family":"Marock","given":"Carmel"},{"family":"Allais","given":"Stephanie"}],"accessed":{"date-parts":[["2025",4,26]]},"issued":{"date-parts":[["2021",4,16]]}}}],"schema":"https://github.com/citation-style-language/schema/raw/master/csl-citation.json"} </w:instrText>
      </w:r>
      <w:r w:rsidR="00C43EC5" w:rsidRPr="002752FC">
        <w:rPr>
          <w:rFonts w:ascii="Times New Roman" w:eastAsia="Times New Roman" w:hAnsi="Times New Roman" w:cs="Times New Roman"/>
          <w:sz w:val="24"/>
          <w:szCs w:val="24"/>
        </w:rPr>
        <w:fldChar w:fldCharType="separate"/>
      </w:r>
      <w:r w:rsidR="00C43EC5" w:rsidRPr="002752FC">
        <w:rPr>
          <w:rFonts w:ascii="Times New Roman" w:hAnsi="Times New Roman" w:cs="Times New Roman"/>
          <w:sz w:val="24"/>
          <w:szCs w:val="24"/>
        </w:rPr>
        <w:t>(Kgalema et al., 2021)</w:t>
      </w:r>
      <w:r w:rsidR="00C43EC5"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Nevertheless, there have been several obstacles in converting these policy goals into practical and expandable procedures. TVET's growth, quality, and social acceptance have all been hampered by the current disconnect between the creation of policies and their actual application.</w:t>
      </w:r>
      <w:r w:rsidR="002752FC">
        <w:rPr>
          <w:rFonts w:ascii="Times New Roman" w:eastAsia="Times New Roman" w:hAnsi="Times New Roman" w:cs="Times New Roman"/>
          <w:sz w:val="24"/>
          <w:szCs w:val="24"/>
        </w:rPr>
        <w:t xml:space="preserve"> </w:t>
      </w:r>
      <w:r w:rsidR="00964101" w:rsidRPr="002752FC">
        <w:rPr>
          <w:rFonts w:ascii="Times New Roman" w:eastAsia="Times New Roman" w:hAnsi="Times New Roman" w:cs="Times New Roman"/>
          <w:sz w:val="24"/>
          <w:szCs w:val="24"/>
        </w:rPr>
        <w:t>This policy-practice split is caused by a number of problems, such as disjointed institutional governance, out-of-date training materials, a lack of funding and human resources, and a failure to coordinate between industry stakeholders and education providers</w:t>
      </w:r>
      <w:r w:rsidR="00857984" w:rsidRPr="002752FC">
        <w:rPr>
          <w:rFonts w:ascii="Times New Roman" w:eastAsia="Times New Roman" w:hAnsi="Times New Roman" w:cs="Times New Roman"/>
          <w:sz w:val="24"/>
          <w:szCs w:val="24"/>
        </w:rPr>
        <w:fldChar w:fldCharType="begin"/>
      </w:r>
      <w:r w:rsidR="00857984" w:rsidRPr="002752FC">
        <w:rPr>
          <w:rFonts w:ascii="Times New Roman" w:eastAsia="Times New Roman" w:hAnsi="Times New Roman" w:cs="Times New Roman"/>
          <w:sz w:val="24"/>
          <w:szCs w:val="24"/>
        </w:rPr>
        <w:instrText xml:space="preserve"> ADDIN ZOTERO_ITEM CSL_CITATION {"citationID":"cAtubYFD","properties":{"formattedCitation":"(Mohammad Sarwar Hossain Islam et al., 2024)","plainCitation":"(Mohammad Sarwar Hossain Islam et al., 2024)","noteIndex":0},"citationItems":[{"id":832,"uris":["http://zotero.org/users/local/MHhRaBP9/items/XH57ZJSB"],"itemData":{"id":832,"type":"article-journal","abstract":"Small and medium-sized enterprises (SMEs) are widely recognised as significant catalysts for economic growth at a worldwide level. The benefits that are frequently highlighted for their promotion, particularly in developing nations like Bangladesh, include their relatively high labor intensity, reliance on local technology and skills, contributions to the growth of entrepreneurialism and innovativeness, and industrial linkage expansion. The objective of this study is to examine the influence of financial and internet support on the performance of small and medium enterprises (SMEs) in Bangladesh during the COVID-19 pandemic while also considering the moderating effect of technology adoption. By going through the literature, the study identified a number of factors namely financial support, ICT support, technological support played a strong role on SME performance during COVID-19. The present study utilises Partial Least Square (PLS) path modelling, a variance-based technique within the framework of Structural Equation Modelling (SEM), to investigate the correlations. A well-structured questionnaire is prepared for collecting primary data from the SME owners or managers and finally 378 data have been collected from the different types of SME entrepreneurs through using purposive sampling technique. Eight hypotheses are tested and found seven positive relationships with moderating interaction of technology adoption between influential factors and SME performance (financial and nonfinancial).","container-title":"World Journal of Advanced Engineering Technology and Sciences","DOI":"10.30574/wjaets.2024.13.2.0533","ISSN":"25828266","issue":"2","journalAbbreviation":"World J. Adv. Eng. Technol. Sci.","language":"en","page":"105-118","source":"DOI.org (Crossref)","title":"Impact of financial and internet support on SME performance: Moderating effect of technology adoption during COVID-19 pandemic","title-short":"Impact of financial and internet support on SME performance","volume":"13","author":[{"literal":"Mohammad Sarwar Hossain Islam"},{"literal":"Mohammad Rabiul Basher Rubel"},{"literal":"Mohammed Imam Hossain"},{"literal":"Md. Kamruzzaman"},{"literal":"Sathi Akter"},{"literal":"Md. Halimuzzaman"},{"literal":"Mohammad Rezaul Karim"}],"issued":{"date-parts":[["2024",11,30]]}}}],"schema":"https://github.com/citation-style-language/schema/raw/master/csl-citation.json"} </w:instrText>
      </w:r>
      <w:r w:rsidR="00857984" w:rsidRPr="002752FC">
        <w:rPr>
          <w:rFonts w:ascii="Times New Roman" w:eastAsia="Times New Roman" w:hAnsi="Times New Roman" w:cs="Times New Roman"/>
          <w:sz w:val="24"/>
          <w:szCs w:val="24"/>
        </w:rPr>
        <w:fldChar w:fldCharType="separate"/>
      </w:r>
      <w:r w:rsidR="00857984" w:rsidRPr="002752FC">
        <w:rPr>
          <w:rFonts w:ascii="Times New Roman" w:hAnsi="Times New Roman" w:cs="Times New Roman"/>
          <w:sz w:val="24"/>
          <w:szCs w:val="24"/>
        </w:rPr>
        <w:t>(Mohammad Sarwar Hossain Islam et al., 2024)</w:t>
      </w:r>
      <w:r w:rsidR="00857984" w:rsidRPr="002752FC">
        <w:rPr>
          <w:rFonts w:ascii="Times New Roman" w:eastAsia="Times New Roman" w:hAnsi="Times New Roman" w:cs="Times New Roman"/>
          <w:sz w:val="24"/>
          <w:szCs w:val="24"/>
        </w:rPr>
        <w:fldChar w:fldCharType="end"/>
      </w:r>
      <w:r w:rsidR="00964101" w:rsidRPr="002752FC">
        <w:rPr>
          <w:rFonts w:ascii="Times New Roman" w:eastAsia="Times New Roman" w:hAnsi="Times New Roman" w:cs="Times New Roman"/>
          <w:sz w:val="24"/>
          <w:szCs w:val="24"/>
        </w:rPr>
        <w:t xml:space="preserve">. Furthermore, vocational education is sometimes devalued in societal conceptions as a last alternative for pupils who don't achieve in regular academic paths. These enduring issues imply that enhancing TVET results necessitates more than just policy pledges; it calls for extensive </w:t>
      </w:r>
      <w:r w:rsidR="00964101" w:rsidRPr="002752FC">
        <w:rPr>
          <w:rFonts w:ascii="Times New Roman" w:eastAsia="Times New Roman" w:hAnsi="Times New Roman" w:cs="Times New Roman"/>
          <w:sz w:val="24"/>
          <w:szCs w:val="24"/>
        </w:rPr>
        <w:lastRenderedPageBreak/>
        <w:t>structural changes as well as a change in the way that vocational education is viewed and rewarded</w:t>
      </w:r>
      <w:r w:rsidR="0070573A" w:rsidRPr="002752FC">
        <w:rPr>
          <w:rFonts w:ascii="Times New Roman" w:eastAsia="Times New Roman" w:hAnsi="Times New Roman" w:cs="Times New Roman"/>
          <w:sz w:val="24"/>
          <w:szCs w:val="24"/>
        </w:rPr>
        <w:fldChar w:fldCharType="begin"/>
      </w:r>
      <w:r w:rsidR="0070573A" w:rsidRPr="002752FC">
        <w:rPr>
          <w:rFonts w:ascii="Times New Roman" w:eastAsia="Times New Roman" w:hAnsi="Times New Roman" w:cs="Times New Roman"/>
          <w:sz w:val="24"/>
          <w:szCs w:val="24"/>
        </w:rPr>
        <w:instrText xml:space="preserve"> ADDIN ZOTERO_ITEM CSL_CITATION {"citationID":"1s2vKg07","properties":{"formattedCitation":"(Zancajo &amp; and Valiente, 2019)","plainCitation":"(Zancajo &amp; and Valiente, 2019)","noteIndex":0},"citationItems":[{"id":849,"uris":["http://zotero.org/users/local/MHhRaBP9/items/9BB8T4BI"],"itemData":{"id":849,"type":"article-journal","abstract":"Human development and rights-based approaches to education have been gaining support among international organisations and development agencies as alternative frameworks to human capital orthodoxy. While these global trends have been well-documented in the international development literature, there is little empirical evidence into what extent, and through which mechanisms, alternative development paradigms in education are influencing Technical and Vocational Education and Training (TVET) reforms. Chile provides an excellent opportunity for this kind of research given the long cycle of political contestation of neoliberal education policies in the country during the last decade. The article analyses TVET policy discourses for the last three government administrations (2006–2018) from a Cultural Political Economy perspective. The adoption of the rights-based approach in Chile shows its potential to mobilise greater involvement of the state in the funding and provision of TVET and in the support to secondary TVET students who want to continue their studies in tertiary education. However, the rights-based approach to education falls short when it comes to problematising political economy structures that shape TVET policymaking and the precarious labour market opportunities available to TVET graduates. These shortfalls show the need to incorporate more fundamental critiques of the neoliberal paradigm into the formulation of alternative policy agendas for TVET.","container-title":"Journal of Vocational Education &amp; Training","DOI":"10.1080/13636820.2018.1548500","ISSN":"1363-6820","issue":"4","note":"publisher: Routledge\n_eprint: https://doi.org/10.1080/13636820.2018.1548500","page":"579-599","source":"Taylor and Francis+NEJM","title":"TVET policy reforms in Chile 2006–2018: between human capital and the right to education","title-short":"TVET policy reforms in Chile 2006–2018","volume":"71","author":[{"family":"Zancajo","given":"Adrian"},{"family":"Valiente","given":"Oscar","non-dropping-particle":"and"}],"issued":{"date-parts":[["2019",10,2]]}}}],"schema":"https://github.com/citation-style-language/schema/raw/master/csl-citation.json"} </w:instrText>
      </w:r>
      <w:r w:rsidR="0070573A" w:rsidRPr="002752FC">
        <w:rPr>
          <w:rFonts w:ascii="Times New Roman" w:eastAsia="Times New Roman" w:hAnsi="Times New Roman" w:cs="Times New Roman"/>
          <w:sz w:val="24"/>
          <w:szCs w:val="24"/>
        </w:rPr>
        <w:fldChar w:fldCharType="separate"/>
      </w:r>
      <w:r w:rsidR="0070573A" w:rsidRPr="002752FC">
        <w:rPr>
          <w:rFonts w:ascii="Times New Roman" w:hAnsi="Times New Roman" w:cs="Times New Roman"/>
          <w:sz w:val="24"/>
          <w:szCs w:val="24"/>
        </w:rPr>
        <w:t>(Zancajo &amp; and Valiente, 2019)</w:t>
      </w:r>
      <w:r w:rsidR="0070573A" w:rsidRPr="002752FC">
        <w:rPr>
          <w:rFonts w:ascii="Times New Roman" w:eastAsia="Times New Roman" w:hAnsi="Times New Roman" w:cs="Times New Roman"/>
          <w:sz w:val="24"/>
          <w:szCs w:val="24"/>
        </w:rPr>
        <w:fldChar w:fldCharType="end"/>
      </w:r>
      <w:r w:rsidR="00964101" w:rsidRPr="002752FC">
        <w:rPr>
          <w:rFonts w:ascii="Times New Roman" w:eastAsia="Times New Roman" w:hAnsi="Times New Roman" w:cs="Times New Roman"/>
          <w:sz w:val="24"/>
          <w:szCs w:val="24"/>
        </w:rPr>
        <w:t>.</w:t>
      </w:r>
    </w:p>
    <w:p w14:paraId="238CC273" w14:textId="482214C9" w:rsidR="00964101" w:rsidRDefault="00A00978" w:rsidP="00A00978">
      <w:pPr>
        <w:spacing w:before="100" w:beforeAutospacing="1" w:after="100" w:afterAutospacing="1" w:line="240" w:lineRule="auto"/>
        <w:jc w:val="both"/>
        <w:rPr>
          <w:rFonts w:ascii="Times New Roman" w:eastAsia="Times New Roman" w:hAnsi="Times New Roman" w:cs="Times New Roman"/>
          <w:sz w:val="24"/>
          <w:szCs w:val="24"/>
        </w:rPr>
      </w:pPr>
      <w:r w:rsidRPr="00A00978">
        <w:rPr>
          <w:rFonts w:ascii="Times New Roman" w:eastAsia="Times New Roman" w:hAnsi="Times New Roman" w:cs="Times New Roman"/>
          <w:sz w:val="24"/>
          <w:szCs w:val="24"/>
          <w:highlight w:val="yellow"/>
        </w:rPr>
        <w:t>This study takes a critical look at the successful mainstreaming of TVET in</w:t>
      </w:r>
      <w:r w:rsidRPr="00A00978">
        <w:rPr>
          <w:rFonts w:ascii="Times New Roman" w:eastAsia="Times New Roman" w:hAnsi="Times New Roman" w:cs="Times New Roman"/>
          <w:sz w:val="24"/>
          <w:szCs w:val="24"/>
          <w:highlight w:val="yellow"/>
        </w:rPr>
        <w:t> </w:t>
      </w:r>
      <w:r w:rsidRPr="00A00978">
        <w:rPr>
          <w:rFonts w:ascii="Times New Roman" w:eastAsia="Times New Roman" w:hAnsi="Times New Roman" w:cs="Times New Roman"/>
          <w:sz w:val="24"/>
          <w:szCs w:val="24"/>
          <w:highlight w:val="yellow"/>
        </w:rPr>
        <w:t>Bangladesh in practice and what it will take to foster better understanding and cooperation between TVET and higher education, and to enhance the impact of vocational education as a whole. It makes a major contribution to the field</w:t>
      </w:r>
      <w:r w:rsidRPr="00A00978">
        <w:rPr>
          <w:rFonts w:ascii="Times New Roman" w:eastAsia="Times New Roman" w:hAnsi="Times New Roman" w:cs="Times New Roman"/>
          <w:sz w:val="24"/>
          <w:szCs w:val="24"/>
          <w:highlight w:val="yellow"/>
        </w:rPr>
        <w:t> </w:t>
      </w:r>
      <w:r w:rsidRPr="00A00978">
        <w:rPr>
          <w:rFonts w:ascii="Times New Roman" w:eastAsia="Times New Roman" w:hAnsi="Times New Roman" w:cs="Times New Roman"/>
          <w:sz w:val="24"/>
          <w:szCs w:val="24"/>
          <w:highlight w:val="yellow"/>
        </w:rPr>
        <w:t>of education policy and development studies by closing the 'policy-practice' divide. The report presents recommendations based on evidence that may be relevant for other developing countries</w:t>
      </w:r>
      <w:r w:rsidRPr="00A00978">
        <w:rPr>
          <w:rFonts w:ascii="Times New Roman" w:eastAsia="Times New Roman" w:hAnsi="Times New Roman" w:cs="Times New Roman"/>
          <w:sz w:val="24"/>
          <w:szCs w:val="24"/>
          <w:highlight w:val="yellow"/>
        </w:rPr>
        <w:t> </w:t>
      </w:r>
      <w:r w:rsidRPr="00A00978">
        <w:rPr>
          <w:rFonts w:ascii="Times New Roman" w:eastAsia="Times New Roman" w:hAnsi="Times New Roman" w:cs="Times New Roman"/>
          <w:sz w:val="24"/>
          <w:szCs w:val="24"/>
          <w:highlight w:val="yellow"/>
        </w:rPr>
        <w:t>facing similar challenges with TVET integration, and one-sided barriers are also highlighted. Particularly for researchers, policymakers, and practitioners endeavoring to enhance workforce</w:t>
      </w:r>
      <w:r w:rsidRPr="00A00978">
        <w:rPr>
          <w:rFonts w:ascii="Times New Roman" w:eastAsia="Times New Roman" w:hAnsi="Times New Roman" w:cs="Times New Roman"/>
          <w:sz w:val="24"/>
          <w:szCs w:val="24"/>
          <w:highlight w:val="yellow"/>
        </w:rPr>
        <w:t> </w:t>
      </w:r>
      <w:r w:rsidRPr="00A00978">
        <w:rPr>
          <w:rFonts w:ascii="Times New Roman" w:eastAsia="Times New Roman" w:hAnsi="Times New Roman" w:cs="Times New Roman"/>
          <w:sz w:val="24"/>
          <w:szCs w:val="24"/>
          <w:highlight w:val="yellow"/>
        </w:rPr>
        <w:t>development initiatives in limited and middle-income settings, its implications are momentous.</w:t>
      </w:r>
      <w:r>
        <w:rPr>
          <w:rFonts w:ascii="Times New Roman" w:eastAsia="Times New Roman" w:hAnsi="Times New Roman" w:cs="Times New Roman"/>
          <w:sz w:val="24"/>
          <w:szCs w:val="24"/>
        </w:rPr>
        <w:t xml:space="preserve"> </w:t>
      </w:r>
      <w:r w:rsidR="00964101" w:rsidRPr="002752FC">
        <w:rPr>
          <w:rFonts w:ascii="Times New Roman" w:eastAsia="Times New Roman" w:hAnsi="Times New Roman" w:cs="Times New Roman"/>
          <w:sz w:val="24"/>
          <w:szCs w:val="24"/>
        </w:rPr>
        <w:t>This paper explores the various obstacles to TVET mainstreaming in Bangladesh and looks at the reasons why the current frameworks for policy have not been able to produce the desired results. The study intends to offer evidence-based insights and suggestions for more efficient TVET governance and implementation by examining the systemic, institutional, and sociocultural aspects of the policy-practice gap.</w:t>
      </w:r>
    </w:p>
    <w:p w14:paraId="439DA21E" w14:textId="2D14B026" w:rsidR="007A5B03" w:rsidRPr="007A5B03" w:rsidRDefault="007A5B03" w:rsidP="007A5B03">
      <w:pPr>
        <w:pStyle w:val="Heading1"/>
        <w:rPr>
          <w:rFonts w:ascii="Times New Roman" w:eastAsia="Times New Roman" w:hAnsi="Times New Roman" w:cs="Times New Roman"/>
          <w:b/>
          <w:color w:val="auto"/>
          <w:sz w:val="24"/>
          <w:szCs w:val="24"/>
          <w:highlight w:val="yellow"/>
        </w:rPr>
      </w:pPr>
      <w:r>
        <w:rPr>
          <w:rFonts w:ascii="Times New Roman" w:eastAsia="Times New Roman" w:hAnsi="Times New Roman" w:cs="Times New Roman"/>
          <w:b/>
          <w:color w:val="auto"/>
          <w:sz w:val="24"/>
          <w:szCs w:val="24"/>
        </w:rPr>
        <w:t>2</w:t>
      </w:r>
      <w:r w:rsidRPr="007A5B03">
        <w:rPr>
          <w:rFonts w:ascii="Times New Roman" w:eastAsia="Times New Roman" w:hAnsi="Times New Roman" w:cs="Times New Roman"/>
          <w:b/>
          <w:color w:val="auto"/>
          <w:sz w:val="24"/>
          <w:szCs w:val="24"/>
          <w:highlight w:val="yellow"/>
        </w:rPr>
        <w:t>. Significance of the study</w:t>
      </w:r>
    </w:p>
    <w:p w14:paraId="5CD5D8B0" w14:textId="11614326" w:rsidR="007A5B03" w:rsidRPr="007A5B03" w:rsidRDefault="007A5B03" w:rsidP="007A5B03">
      <w:pPr>
        <w:jc w:val="both"/>
        <w:rPr>
          <w:rFonts w:ascii="Times New Roman" w:hAnsi="Times New Roman" w:cs="Times New Roman"/>
          <w:b/>
          <w:sz w:val="24"/>
          <w:szCs w:val="24"/>
        </w:rPr>
      </w:pPr>
      <w:r w:rsidRPr="007A5B03">
        <w:rPr>
          <w:rFonts w:ascii="Times New Roman" w:hAnsi="Times New Roman" w:cs="Times New Roman"/>
          <w:sz w:val="24"/>
          <w:szCs w:val="24"/>
          <w:highlight w:val="yellow"/>
        </w:rPr>
        <w:t>The study is significant in that not only it probes into the major challenges that are hindering the successful TVET policy in Bangladesh but it also identifies issues related to institutional</w:t>
      </w:r>
      <w:r w:rsidRPr="007A5B03">
        <w:rPr>
          <w:rFonts w:ascii="Times New Roman" w:hAnsi="Times New Roman" w:cs="Times New Roman"/>
          <w:sz w:val="24"/>
          <w:szCs w:val="24"/>
          <w:highlight w:val="yellow"/>
        </w:rPr>
        <w:t> </w:t>
      </w:r>
      <w:r w:rsidRPr="007A5B03">
        <w:rPr>
          <w:rFonts w:ascii="Times New Roman" w:hAnsi="Times New Roman" w:cs="Times New Roman"/>
          <w:sz w:val="24"/>
          <w:szCs w:val="24"/>
          <w:highlight w:val="yellow"/>
        </w:rPr>
        <w:t>barriers, curriculum- industry mismatch, systemic failures and social attitudes. The study complements this evidence base, filling information gaps for enhancing quality, delivery and relevance</w:t>
      </w:r>
      <w:r w:rsidRPr="007A5B03">
        <w:rPr>
          <w:rFonts w:ascii="Times New Roman" w:hAnsi="Times New Roman" w:cs="Times New Roman"/>
          <w:sz w:val="24"/>
          <w:szCs w:val="24"/>
          <w:highlight w:val="yellow"/>
        </w:rPr>
        <w:t> </w:t>
      </w:r>
      <w:r w:rsidRPr="007A5B03">
        <w:rPr>
          <w:rFonts w:ascii="Times New Roman" w:hAnsi="Times New Roman" w:cs="Times New Roman"/>
          <w:sz w:val="24"/>
          <w:szCs w:val="24"/>
          <w:highlight w:val="yellow"/>
        </w:rPr>
        <w:t>of TVET. The findings have crucial implications for policy makers, educators, and development practitioners interested in advancing TVET as a viable path towards youth employment and economic advancement, and in matching skills obtained in TVET with actual labor market</w:t>
      </w:r>
      <w:r w:rsidRPr="007A5B03">
        <w:rPr>
          <w:rFonts w:ascii="Times New Roman" w:hAnsi="Times New Roman" w:cs="Times New Roman"/>
          <w:sz w:val="24"/>
          <w:szCs w:val="24"/>
          <w:highlight w:val="yellow"/>
        </w:rPr>
        <w:t> </w:t>
      </w:r>
      <w:r w:rsidRPr="007A5B03">
        <w:rPr>
          <w:rFonts w:ascii="Times New Roman" w:hAnsi="Times New Roman" w:cs="Times New Roman"/>
          <w:sz w:val="24"/>
          <w:szCs w:val="24"/>
          <w:highlight w:val="yellow"/>
        </w:rPr>
        <w:t>needs.</w:t>
      </w:r>
    </w:p>
    <w:p w14:paraId="7AA1ED17" w14:textId="3D3707A6" w:rsidR="002752FC" w:rsidRPr="00524D8F" w:rsidRDefault="00524D8F" w:rsidP="00275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524D8F">
        <w:rPr>
          <w:rFonts w:ascii="Times New Roman" w:eastAsia="Times New Roman" w:hAnsi="Times New Roman" w:cs="Times New Roman"/>
          <w:b/>
          <w:sz w:val="24"/>
          <w:szCs w:val="24"/>
        </w:rPr>
        <w:t>Statement of the problem</w:t>
      </w:r>
    </w:p>
    <w:p w14:paraId="58C5F439" w14:textId="77777777" w:rsidR="00524D8F" w:rsidRPr="00524D8F" w:rsidRDefault="00524D8F" w:rsidP="00524D8F">
      <w:pPr>
        <w:spacing w:before="100" w:beforeAutospacing="1" w:after="100" w:afterAutospacing="1" w:line="240" w:lineRule="auto"/>
        <w:rPr>
          <w:rFonts w:ascii="Times New Roman" w:eastAsia="Times New Roman" w:hAnsi="Times New Roman" w:cs="Times New Roman"/>
          <w:sz w:val="24"/>
          <w:szCs w:val="24"/>
        </w:rPr>
      </w:pPr>
      <w:r w:rsidRPr="00524D8F">
        <w:rPr>
          <w:rFonts w:ascii="Times New Roman" w:eastAsia="Times New Roman" w:hAnsi="Times New Roman" w:cs="Times New Roman"/>
          <w:sz w:val="24"/>
          <w:szCs w:val="24"/>
          <w:highlight w:val="yellow"/>
        </w:rPr>
        <w:t>Even though it has received comparatively high policy attention and investment, the TVET</w:t>
      </w:r>
      <w:r w:rsidRPr="00524D8F">
        <w:rPr>
          <w:rFonts w:ascii="Times New Roman" w:eastAsia="Times New Roman" w:hAnsi="Times New Roman" w:cs="Times New Roman"/>
          <w:sz w:val="24"/>
          <w:szCs w:val="24"/>
          <w:highlight w:val="yellow"/>
        </w:rPr>
        <w:t> </w:t>
      </w:r>
      <w:r w:rsidRPr="00524D8F">
        <w:rPr>
          <w:rFonts w:ascii="Times New Roman" w:eastAsia="Times New Roman" w:hAnsi="Times New Roman" w:cs="Times New Roman"/>
          <w:sz w:val="24"/>
          <w:szCs w:val="24"/>
          <w:highlight w:val="yellow"/>
        </w:rPr>
        <w:t>sector in Bangladesh still suffers from major implementation challenges. These are issues of poor</w:t>
      </w:r>
      <w:r w:rsidRPr="00524D8F">
        <w:rPr>
          <w:rFonts w:ascii="Times New Roman" w:eastAsia="Times New Roman" w:hAnsi="Times New Roman" w:cs="Times New Roman"/>
          <w:sz w:val="24"/>
          <w:szCs w:val="24"/>
          <w:highlight w:val="yellow"/>
        </w:rPr>
        <w:t> </w:t>
      </w:r>
      <w:r w:rsidRPr="00524D8F">
        <w:rPr>
          <w:rFonts w:ascii="Times New Roman" w:eastAsia="Times New Roman" w:hAnsi="Times New Roman" w:cs="Times New Roman"/>
          <w:sz w:val="24"/>
          <w:szCs w:val="24"/>
          <w:highlight w:val="yellow"/>
        </w:rPr>
        <w:t>governance, irrelevant curricula, lack of industry involvement and poor societal perceptions of these institutions, which collectively inhibit the effectiveness and the scalability of TVET initiatives. The result is a mismatch between policy goals and actual results, which narrows the private sector’s ability</w:t>
      </w:r>
      <w:r w:rsidRPr="00524D8F">
        <w:rPr>
          <w:rFonts w:ascii="Times New Roman" w:eastAsia="Times New Roman" w:hAnsi="Times New Roman" w:cs="Times New Roman"/>
          <w:sz w:val="24"/>
          <w:szCs w:val="24"/>
          <w:highlight w:val="yellow"/>
        </w:rPr>
        <w:t> </w:t>
      </w:r>
      <w:r w:rsidRPr="00524D8F">
        <w:rPr>
          <w:rFonts w:ascii="Times New Roman" w:eastAsia="Times New Roman" w:hAnsi="Times New Roman" w:cs="Times New Roman"/>
          <w:sz w:val="24"/>
          <w:szCs w:val="24"/>
          <w:highlight w:val="yellow"/>
        </w:rPr>
        <w:t>to fill critical skills gaps and ease youth unemployment.</w:t>
      </w:r>
    </w:p>
    <w:p w14:paraId="3B6DA76D" w14:textId="77777777" w:rsidR="00524D8F" w:rsidRPr="002752FC" w:rsidRDefault="00524D8F" w:rsidP="002752FC">
      <w:pPr>
        <w:spacing w:after="0" w:line="240" w:lineRule="auto"/>
        <w:jc w:val="both"/>
        <w:rPr>
          <w:rFonts w:ascii="Times New Roman" w:eastAsia="Times New Roman" w:hAnsi="Times New Roman" w:cs="Times New Roman"/>
          <w:sz w:val="24"/>
          <w:szCs w:val="24"/>
        </w:rPr>
      </w:pPr>
    </w:p>
    <w:p w14:paraId="6A0C7E88" w14:textId="7880A81B" w:rsidR="0090481E" w:rsidRPr="002752FC" w:rsidRDefault="00524D8F" w:rsidP="002752FC">
      <w:pPr>
        <w:pStyle w:val="NormalWeb"/>
        <w:spacing w:before="0" w:beforeAutospacing="0" w:after="0" w:afterAutospacing="0"/>
        <w:jc w:val="both"/>
      </w:pPr>
      <w:r>
        <w:rPr>
          <w:rStyle w:val="Strong"/>
        </w:rPr>
        <w:t>4</w:t>
      </w:r>
      <w:r w:rsidR="002752FC">
        <w:rPr>
          <w:rStyle w:val="Strong"/>
        </w:rPr>
        <w:t xml:space="preserve">. </w:t>
      </w:r>
      <w:r w:rsidR="001E7D41" w:rsidRPr="002752FC">
        <w:rPr>
          <w:rStyle w:val="Strong"/>
        </w:rPr>
        <w:t>Objectives</w:t>
      </w:r>
      <w:r w:rsidR="001E7D41" w:rsidRPr="002752FC">
        <w:t xml:space="preserve"> </w:t>
      </w:r>
    </w:p>
    <w:p w14:paraId="7C5F0F8E" w14:textId="77777777" w:rsidR="001E7D41" w:rsidRPr="00E174DE" w:rsidRDefault="001E7D41" w:rsidP="002752FC">
      <w:pPr>
        <w:pStyle w:val="NormalWeb"/>
        <w:spacing w:before="0" w:beforeAutospacing="0" w:after="0" w:afterAutospacing="0"/>
        <w:jc w:val="both"/>
        <w:rPr>
          <w:highlight w:val="yellow"/>
        </w:rPr>
      </w:pPr>
      <w:r w:rsidRPr="00E174DE">
        <w:rPr>
          <w:highlight w:val="yellow"/>
        </w:rPr>
        <w:t>The objectives of this study are:</w:t>
      </w:r>
    </w:p>
    <w:p w14:paraId="2DD593C7" w14:textId="77777777" w:rsidR="005F2E3E" w:rsidRPr="00E174DE" w:rsidRDefault="005F2E3E" w:rsidP="005F2E3E">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E174DE">
        <w:rPr>
          <w:rFonts w:ascii="Times New Roman" w:eastAsia="Times New Roman" w:hAnsi="Times New Roman" w:cs="Times New Roman"/>
          <w:sz w:val="24"/>
          <w:szCs w:val="24"/>
          <w:highlight w:val="yellow"/>
        </w:rPr>
        <w:t>To investigate the institutional, systemic, and resource-related issues</w:t>
      </w:r>
    </w:p>
    <w:p w14:paraId="0F2A189F" w14:textId="77777777" w:rsidR="005F2E3E" w:rsidRPr="00E174DE" w:rsidRDefault="005F2E3E" w:rsidP="005F2E3E">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E174DE">
        <w:rPr>
          <w:rFonts w:ascii="Times New Roman" w:eastAsia="Times New Roman" w:hAnsi="Times New Roman" w:cs="Times New Roman"/>
          <w:sz w:val="24"/>
          <w:szCs w:val="24"/>
          <w:highlight w:val="yellow"/>
        </w:rPr>
        <w:t>To evaluate TVET programs' applicability to industrial demands</w:t>
      </w:r>
    </w:p>
    <w:p w14:paraId="3E4749BB" w14:textId="77777777" w:rsidR="005F2E3E" w:rsidRPr="00E174DE" w:rsidRDefault="005F2E3E" w:rsidP="005F2E3E">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E174DE">
        <w:rPr>
          <w:rFonts w:ascii="Times New Roman" w:eastAsia="Times New Roman" w:hAnsi="Times New Roman" w:cs="Times New Roman"/>
          <w:sz w:val="24"/>
          <w:szCs w:val="24"/>
          <w:highlight w:val="yellow"/>
        </w:rPr>
        <w:t>To investigate how society views and what motivates students</w:t>
      </w:r>
    </w:p>
    <w:p w14:paraId="42229D11" w14:textId="77777777" w:rsidR="005F2E3E" w:rsidRPr="00E174DE" w:rsidRDefault="005F2E3E" w:rsidP="005F2E3E">
      <w:pPr>
        <w:pStyle w:val="ListParagraph"/>
        <w:numPr>
          <w:ilvl w:val="0"/>
          <w:numId w:val="5"/>
        </w:numPr>
        <w:spacing w:after="0" w:line="240" w:lineRule="auto"/>
        <w:rPr>
          <w:rFonts w:ascii="Times New Roman" w:eastAsia="Times New Roman" w:hAnsi="Times New Roman" w:cs="Times New Roman"/>
          <w:sz w:val="24"/>
          <w:szCs w:val="24"/>
          <w:highlight w:val="yellow"/>
        </w:rPr>
      </w:pPr>
      <w:r w:rsidRPr="00E174DE">
        <w:rPr>
          <w:rFonts w:ascii="Times New Roman" w:eastAsia="Times New Roman" w:hAnsi="Times New Roman" w:cs="Times New Roman"/>
          <w:sz w:val="24"/>
          <w:szCs w:val="24"/>
          <w:highlight w:val="yellow"/>
        </w:rPr>
        <w:t>To produce policy insights and make practical suggestions</w:t>
      </w:r>
    </w:p>
    <w:p w14:paraId="7F07E611" w14:textId="77777777" w:rsidR="005F2E3E" w:rsidRDefault="005F2E3E" w:rsidP="002752FC">
      <w:pPr>
        <w:pStyle w:val="NormalWeb"/>
        <w:spacing w:before="0" w:beforeAutospacing="0" w:after="0" w:afterAutospacing="0"/>
        <w:jc w:val="both"/>
        <w:rPr>
          <w:rStyle w:val="Strong"/>
        </w:rPr>
      </w:pPr>
    </w:p>
    <w:p w14:paraId="36F76C37" w14:textId="66A89BA5" w:rsidR="009422BD" w:rsidRPr="002752FC" w:rsidRDefault="00524D8F" w:rsidP="002752FC">
      <w:pPr>
        <w:pStyle w:val="NormalWeb"/>
        <w:spacing w:before="0" w:beforeAutospacing="0" w:after="0" w:afterAutospacing="0"/>
        <w:jc w:val="both"/>
      </w:pPr>
      <w:r>
        <w:rPr>
          <w:rStyle w:val="Strong"/>
        </w:rPr>
        <w:t>5</w:t>
      </w:r>
      <w:r w:rsidR="002752FC">
        <w:rPr>
          <w:rStyle w:val="Strong"/>
        </w:rPr>
        <w:t xml:space="preserve">. </w:t>
      </w:r>
      <w:r w:rsidR="001E7D41" w:rsidRPr="002752FC">
        <w:rPr>
          <w:rStyle w:val="Strong"/>
        </w:rPr>
        <w:t>Literature Review</w:t>
      </w:r>
      <w:r w:rsidR="001E7D41" w:rsidRPr="002752FC">
        <w:t xml:space="preserve"> </w:t>
      </w:r>
    </w:p>
    <w:p w14:paraId="7AE502EB" w14:textId="0ADE6CE3" w:rsidR="00234581" w:rsidRPr="002752FC" w:rsidRDefault="009422BD"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 xml:space="preserve">Recent research has shed important light on the obstacles to and possible facilitators of Bangladesh's Technical and Vocational Education and Training (TVET) mainstreaming. Although </w:t>
      </w:r>
      <w:r w:rsidRPr="002752FC">
        <w:rPr>
          <w:rFonts w:ascii="Times New Roman" w:eastAsia="Times New Roman" w:hAnsi="Times New Roman" w:cs="Times New Roman"/>
          <w:sz w:val="24"/>
          <w:szCs w:val="24"/>
        </w:rPr>
        <w:lastRenderedPageBreak/>
        <w:t>Bangladesh has created a number of national programs to improve skills</w:t>
      </w:r>
      <w:r w:rsidR="00491B8D" w:rsidRPr="002752FC">
        <w:rPr>
          <w:rFonts w:ascii="Times New Roman" w:eastAsia="Times New Roman" w:hAnsi="Times New Roman" w:cs="Times New Roman"/>
          <w:sz w:val="24"/>
          <w:szCs w:val="24"/>
        </w:rPr>
        <w:t xml:space="preserve"> development, </w:t>
      </w:r>
      <w:r w:rsidR="00491B8D" w:rsidRPr="002752FC">
        <w:rPr>
          <w:rFonts w:ascii="Times New Roman" w:eastAsia="Times New Roman" w:hAnsi="Times New Roman" w:cs="Times New Roman"/>
          <w:sz w:val="24"/>
          <w:szCs w:val="24"/>
        </w:rPr>
        <w:fldChar w:fldCharType="begin"/>
      </w:r>
      <w:r w:rsidR="00491B8D" w:rsidRPr="002752FC">
        <w:rPr>
          <w:rFonts w:ascii="Times New Roman" w:eastAsia="Times New Roman" w:hAnsi="Times New Roman" w:cs="Times New Roman"/>
          <w:sz w:val="24"/>
          <w:szCs w:val="24"/>
        </w:rPr>
        <w:instrText xml:space="preserve"> ADDIN ZOTERO_ITEM CSL_CITATION {"citationID":"fRJuE8K8","properties":{"formattedCitation":"(Panth &amp; Maclean, 2020)","plainCitation":"(Panth &amp; Maclean, 2020)","noteIndex":0},"citationItems":[{"id":852,"uris":["http://zotero.org/users/local/MHhRaBP9/items/4XZWRI39"],"itemData":{"id":852,"type":"book","collection-title":"Education in the Asia-Pacific Region: Issues, Concerns and Prospects","event-place":"Singapore","ISBN":"9789811570179","language":"en","license":"https://creativecommons.org/licenses/by-nc/3.0/igo","note":"DOI: 10.1007/978-981-15-7018-6","publisher":"Springer Singapore","publisher-place":"Singapore","source":"DOI.org (Crossref)","title":"Anticipating and Preparing for Emerging Skills and Jobs: Key Issues, Concerns, and Prospects","title-short":"Anticipating and Preparing for Emerging Skills and Jobs","URL":"http://link.springer.com/10.1007/978-981-15-7018-6","volume":"55","editor":[{"family":"Panth","given":"Brajesh"},{"family":"Maclean","given":"Rupert"}],"accessed":{"date-parts":[["2025",4,26]]},"issued":{"date-parts":[["2020"]]}}}],"schema":"https://github.com/citation-style-language/schema/raw/master/csl-citation.json"} </w:instrText>
      </w:r>
      <w:r w:rsidR="00491B8D" w:rsidRPr="002752FC">
        <w:rPr>
          <w:rFonts w:ascii="Times New Roman" w:eastAsia="Times New Roman" w:hAnsi="Times New Roman" w:cs="Times New Roman"/>
          <w:sz w:val="24"/>
          <w:szCs w:val="24"/>
        </w:rPr>
        <w:fldChar w:fldCharType="separate"/>
      </w:r>
      <w:r w:rsidR="00491B8D" w:rsidRPr="002752FC">
        <w:rPr>
          <w:rFonts w:ascii="Times New Roman" w:hAnsi="Times New Roman" w:cs="Times New Roman"/>
          <w:sz w:val="24"/>
          <w:szCs w:val="24"/>
        </w:rPr>
        <w:t>(Panth &amp; Maclean, 2020)</w:t>
      </w:r>
      <w:r w:rsidR="00491B8D"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xml:space="preserve"> contend that institutional fragmentation and inadequate coordinating mechanisms have resulted in uneven implementation. Their research highlights the continued marginalization of vocational tracks in the national education system as well as TVET institutions' inadequate ability to adjust to changing market demands</w:t>
      </w:r>
      <w:r w:rsidR="00957E42" w:rsidRPr="002752FC">
        <w:rPr>
          <w:rFonts w:ascii="Times New Roman" w:eastAsia="Times New Roman" w:hAnsi="Times New Roman" w:cs="Times New Roman"/>
          <w:sz w:val="24"/>
          <w:szCs w:val="24"/>
        </w:rPr>
        <w:fldChar w:fldCharType="begin"/>
      </w:r>
      <w:r w:rsidR="00957E42" w:rsidRPr="002752FC">
        <w:rPr>
          <w:rFonts w:ascii="Times New Roman" w:eastAsia="Times New Roman" w:hAnsi="Times New Roman" w:cs="Times New Roman"/>
          <w:sz w:val="24"/>
          <w:szCs w:val="24"/>
        </w:rPr>
        <w:instrText xml:space="preserve"> ADDIN ZOTERO_ITEM CSL_CITATION {"citationID":"FqIDitUw","properties":{"formattedCitation":"(Majola, 2024)","plainCitation":"(Majola, 2024)","noteIndex":0},"citationItems":[{"id":844,"uris":["http://zotero.org/users/local/MHhRaBP9/items/DFBYMXAK"],"itemData":{"id":844,"type":"article-journal","language":"en","source":"Zotero","title":"Vocational Education and the Relentless Struggles of TVET Graduates in the Eastern Cape, South Africa: A Freirean Approach","author":[{"family":"Majola","given":"Ezekiel"}],"issued":{"date-parts":[["2024"]]}}}],"schema":"https://github.com/citation-style-language/schema/raw/master/csl-citation.json"} </w:instrText>
      </w:r>
      <w:r w:rsidR="00957E42" w:rsidRPr="002752FC">
        <w:rPr>
          <w:rFonts w:ascii="Times New Roman" w:eastAsia="Times New Roman" w:hAnsi="Times New Roman" w:cs="Times New Roman"/>
          <w:sz w:val="24"/>
          <w:szCs w:val="24"/>
        </w:rPr>
        <w:fldChar w:fldCharType="separate"/>
      </w:r>
      <w:r w:rsidR="00957E42" w:rsidRPr="002752FC">
        <w:rPr>
          <w:rFonts w:ascii="Times New Roman" w:hAnsi="Times New Roman" w:cs="Times New Roman"/>
          <w:sz w:val="24"/>
          <w:szCs w:val="24"/>
        </w:rPr>
        <w:t>(Majola, 2024)</w:t>
      </w:r>
      <w:r w:rsidR="00957E42"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The lack of a coherent plan to include TVET into the larger agenda for educational and economic development is a significant obstacle</w:t>
      </w:r>
      <w:r w:rsidR="008C6940" w:rsidRPr="002752FC">
        <w:rPr>
          <w:rFonts w:ascii="Times New Roman" w:eastAsia="Times New Roman" w:hAnsi="Times New Roman" w:cs="Times New Roman"/>
          <w:sz w:val="24"/>
          <w:szCs w:val="24"/>
        </w:rPr>
        <w:t xml:space="preserve">, claim </w:t>
      </w:r>
      <w:r w:rsidR="008C6940" w:rsidRPr="002752FC">
        <w:rPr>
          <w:rFonts w:ascii="Times New Roman" w:eastAsia="Times New Roman" w:hAnsi="Times New Roman" w:cs="Times New Roman"/>
          <w:sz w:val="24"/>
          <w:szCs w:val="24"/>
        </w:rPr>
        <w:fldChar w:fldCharType="begin"/>
      </w:r>
      <w:r w:rsidR="008C6940" w:rsidRPr="002752FC">
        <w:rPr>
          <w:rFonts w:ascii="Times New Roman" w:eastAsia="Times New Roman" w:hAnsi="Times New Roman" w:cs="Times New Roman"/>
          <w:sz w:val="24"/>
          <w:szCs w:val="24"/>
        </w:rPr>
        <w:instrText xml:space="preserve"> ADDIN ZOTERO_ITEM CSL_CITATION {"citationID":"Fo2340LP","properties":{"formattedCitation":"(K. A. Rahman, 2022)","plainCitation":"(K. A. Rahman, 2022)","noteIndex":0},"citationItems":[{"id":853,"uris":["http://zotero.org/users/local/MHhRaBP9/items/A5MJEPSM"],"itemData":{"id":853,"type":"thesis","abstract":"Teaching English has always been a challenging area in Bangladesh (Rahman and Pandian, 2018). In order to improve the quality of English teaching and learning, several attempts have been made to reform the curriculum. But unfortunately, regardless of various attempts of curriculum reforms, several recent studies (Rahman et al., 2019; Sultana, 2019; Al Amin and Greenwood, 2018; Hoque, 2016; Hoque, 2011; Chowdhury, 2010; and Maniruzzaman &amp; Hoque, 2010) confirm that there is very insignificant change in the teaching and learning process in the English classrooms. Among other factors, researchers (Rahman et al., 2019; Rahman et al., 2018b; Khan, 2010) explored a direct connection between the failure of English teaching, learning and assessment system in Bangladesh. Few studies found the relationship between the failure of CLT and its methods of assessment in Bangladesh (Sultana, 2019; Ali, Hamid, &amp; Hardy, 2018; Amin, 2017).\nHowever, although it is a widely held notion that washback (i.e., positive or negative effects of a test on teaching and learning) exists, there is insufficient data or evidence to confirm ―whether it really exists and, if it does, what the nature of its effect is‖ (Shohamy, 1993, p. 4), especially in the context of current study (Nuby, Rashid, &amp; Hasan, 2019; Nur &amp; Islam, 2018; Rahman et al., 2018b; Sultana, 2019; Karim, et al., 2017). Literature (e.g., Nuby, Rashid, &amp; Hasan, 2019; Rahman et al., 2019, 2018; Sultana, 2019) indicates that there are three shortcomings in the field of language testing in Bangladesh (i.e., paucity of empirical studies, absence of washback study on the JSC English test, and absence of students‘ perspectives in the washback studies). Responding to these shortcomings, the present doctoral study made an effort to investigate and approach washback of JSC English test from a context-specific and wider perspective.\n\nIt examined the correlations between the JSC English curriculum and JSC examination; the JSC textbook and other teaching-learning materials and JSC English test; teaching-learning methods and JSC English examination; classroom activities and test, etc. It, then, investigated if any washback of the JSC English test exists, and in what ways English teaching and learning practice are affected by the JSC English test.\nThis study focused firstly on JSC English teaching-learning practice in the classrooms. Secondly, it attempted to explore the existing assessment practice used in JSC English. Thirdly and most importantly, it examined the interplays between JSC English teaching-learning and assessment practice, how they influence (facilitate or hinder i.e., washback effect) each other. Thus, the overarching aim of this study is to investigate the effect of assessment (JSC English Test) on English teaching-learning at Class 8 at secondary schools of Bangladesh. Alongside, it seeks to examine the effect of any other teacher, students and context-dependent variables which may contribute to positive or negative interplays between JSC English teaching-learning and assessment practice.\nIn order to achieve the aims and objectives of the study, mixed method research approach was applied to collect relevant data. The researcher used in-depth interviews with teachers and students, classroom observations (COLT scheme) and analysis of JSC curriculum, textbook, commercially produced books or materials and other examination related documents to elicit qualitative data and conducted questionnaire surveys for students and teachers to obtain quantitative data, which provided ample insights into the current study.\nAs far as analysis of relevant data is concerned, a thorough analysis of the features of the JSC English test was made and reported. The data elicited from the classroom observation scheme was first compiled and tallied for an individual lesson/class, and then coded according to the categories specified in the classroom observation scheme. Then, frequency counts for each category across all observed lessons were done. Moreover, during the analysis, mean ratings for each category across all observed lessons were also computed. When analyzing the data was done quantitatively, a short summary was written. On the other hand, the interviews involved the application of transcript-based analysis (for teacher interviews) and tape-based analysis (for FGIs) approach (Krueger &amp; Casey, 2020), thematic analysis (Vaismoradi, et al., 2016), and constant comparative method (Bogdan &amp; Biklen, 1998; Glasser and Strauss, 1990; Lincoln &amp; Guba, 1985). The relevant data were classified into categories. The analysis of the quantitative data derived from the questionnaire surveys for students and teachers involved frequency counts (and/or percentages by category), and descriptive statistics.\nEventually, the study has explored some noteworthy and interesting findings that were cross-referenced through a number of research instruments already mentioned. These findings of the study are: the majority of the teachers lacked proper understanding and awareness of the objectives of JSC English curriculum. They only knew the JSC English test format and taught accordingly. Both teachers and their students were reluctant to study the textbook, rather they depended highly on commercially produced test-oriented materials. The study reveals that this phenomenon happened because of misalignment between the JSC English textbook and the test.\nTeachers skipped and ignored some of the lessons of the textbook that were not or less expected and thus, they narrowed the content of the textbook so that it can match and resemble the content of the JSC English examination, i.e., ―what is tested is taught.‖ Test-items of the JSC English test were quite commonly repeated almost every year. Consequently, the learners took resort to memorizing those test-items got from the commercially produced guidebooks or their teachers. The content and construct validity of the question-items of the JSC English Test were found questionable. Most of the teachers criticized this test for failing to redress the expected balance between its contents and the content of the national English curriculum (2012).\nBoth teachers and their students underwent internal and external pressure for better scores. The JSC English test greatly influenced the teachers‘ and students‘ teaching and learning practices, tailoring it to the test. They emphasized acquiring mastery over grammar, and reading and writing skills; limiting participation in communicative tasks and activities. Since listening and speaking skills are not tested in the JSC English test, teachers did not teach and/or assess these two skills. Even if these two skills were ever taught, the way they were taught hardly could benefit the students to develop their proficiency in these two skills.\nThe findings of the study also reveal that the JSC English test was not the sole reason behind these unwelcomed English teaching and learning practices in the classroom by the English teachers and their students. Teacher characteristics including teachers‘ educational background, their beliefs, and their past experience also play a significant role in this regard. On the other hand, context characteristics or factors include large student population, small class size, insufficient time allotted for instruction, large contents of syllabus, the grades teachers teach, their heavy workloads, students‘ low levels of proficiency in English, pressure from authority (school and education ministry), and parents of the students to improve the score, no reflection of the marks of speaking and listening tests in public (JSC) examinations, poor socio-economic conditions of teachers, absence of monitoring and supervision by concerned authorities like NCTB, education boards, etc. are also indirectly responsible for this. The findings of the study have several significant implications for policy makes, test creators, teachers, teacher trainers and other stakeholders.","genre":"Thesis","language":"en","note":"Accepted: 2022-02-03T08:41:36Z","publisher":"©University of Dhaka","source":"reposit.library.du.ac.bd:8080","title":"Interplays between English Teaching-Learning and Assessment Practice in Secondary Schools","URL":"http://reposit.library.du.ac.bd:8080/xmlui/xmlui/handle/123456789/1831","author":[{"family":"Rahman","given":"Kh Atikur"}],"accessed":{"date-parts":[["2025",4,26]]},"issued":{"date-parts":[["2022",2,3]]}}}],"schema":"https://github.com/citation-style-language/schema/raw/master/csl-citation.json"} </w:instrText>
      </w:r>
      <w:r w:rsidR="008C6940" w:rsidRPr="002752FC">
        <w:rPr>
          <w:rFonts w:ascii="Times New Roman" w:eastAsia="Times New Roman" w:hAnsi="Times New Roman" w:cs="Times New Roman"/>
          <w:sz w:val="24"/>
          <w:szCs w:val="24"/>
        </w:rPr>
        <w:fldChar w:fldCharType="separate"/>
      </w:r>
      <w:r w:rsidR="008C6940" w:rsidRPr="002752FC">
        <w:rPr>
          <w:rFonts w:ascii="Times New Roman" w:hAnsi="Times New Roman" w:cs="Times New Roman"/>
          <w:sz w:val="24"/>
          <w:szCs w:val="24"/>
        </w:rPr>
        <w:t>(K. A. Rahman, 2022)</w:t>
      </w:r>
      <w:r w:rsidR="008C6940"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They draw attention to the fact that the Technical Education Board and the National Skills Development Authority (NSDA) sometimes function in silos, resulting in inefficiencies and overlaps</w:t>
      </w:r>
      <w:r w:rsidR="00BD2532" w:rsidRPr="002752FC">
        <w:rPr>
          <w:rFonts w:ascii="Times New Roman" w:eastAsia="Times New Roman" w:hAnsi="Times New Roman" w:cs="Times New Roman"/>
          <w:sz w:val="24"/>
          <w:szCs w:val="24"/>
        </w:rPr>
        <w:fldChar w:fldCharType="begin"/>
      </w:r>
      <w:r w:rsidR="00BD2532" w:rsidRPr="002752FC">
        <w:rPr>
          <w:rFonts w:ascii="Times New Roman" w:eastAsia="Times New Roman" w:hAnsi="Times New Roman" w:cs="Times New Roman"/>
          <w:sz w:val="24"/>
          <w:szCs w:val="24"/>
        </w:rPr>
        <w:instrText xml:space="preserve"> ADDIN ZOTERO_ITEM CSL_CITATION {"citationID":"8oRgbIdG","properties":{"formattedCitation":"(Walcutt &amp; Schatz, 2019)","plainCitation":"(Walcutt &amp; Schatz, 2019)","noteIndex":0},"citationItems":[{"id":855,"uris":["http://zotero.org/users/local/MHhRaBP9/items/A3MGLIDJ"],"itemData":{"id":855,"type":"book","abstract":"The book examines the shift needed to our systems and society to enable lifelong, experiential, interconnected learning journeys. The book outlines the vision for a learning ecosystem that spans technology, learning science, policy, and organizational factors. \"Modernizing Learning\" is the outcome of a multi-year study recently completed by the Advanced Distributed Learning (ADL) Initiative, a Department of Defense (DoD)-sponsored program that conducts research, development, testing, evaluation, and policy stewardship to enhance distributed learning. More than 85 stakeholders from across communities contributed, bringing together perspectives from K-12 educators, military trainers, technology specialists, and government leaders.","ISBN":"978-0-16-095088-9","language":"en","note":"container-title: Advanced Distributed Learning Initiative\nERIC Number: ED603521","publisher":"Advanced Distributed Learning Initiative","source":"ERIC","title":"Modernizing Learning: Building the Future Learning Ecosystem","title-short":"Modernizing Learning","URL":"https://eric.ed.gov/?id=ED603521","author":[{"family":"Walcutt","given":"J. J."},{"family":"Schatz","given":"Sae"}],"accessed":{"date-parts":[["2025",4,26]]},"issued":{"date-parts":[["2019"]]}}}],"schema":"https://github.com/citation-style-language/schema/raw/master/csl-citation.json"} </w:instrText>
      </w:r>
      <w:r w:rsidR="00BD2532" w:rsidRPr="002752FC">
        <w:rPr>
          <w:rFonts w:ascii="Times New Roman" w:eastAsia="Times New Roman" w:hAnsi="Times New Roman" w:cs="Times New Roman"/>
          <w:sz w:val="24"/>
          <w:szCs w:val="24"/>
        </w:rPr>
        <w:fldChar w:fldCharType="separate"/>
      </w:r>
      <w:r w:rsidR="00BD2532" w:rsidRPr="002752FC">
        <w:rPr>
          <w:rFonts w:ascii="Times New Roman" w:hAnsi="Times New Roman" w:cs="Times New Roman"/>
          <w:sz w:val="24"/>
          <w:szCs w:val="24"/>
        </w:rPr>
        <w:t>(Walcutt &amp; Schatz, 2019)</w:t>
      </w:r>
      <w:r w:rsidR="00BD2532"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Furthermore, they note that bureaucratic slowness and political meddling impede the development and revision of policies.</w:t>
      </w:r>
      <w:r w:rsidR="002752FC">
        <w:rPr>
          <w:rFonts w:ascii="Times New Roman" w:eastAsia="Times New Roman" w:hAnsi="Times New Roman" w:cs="Times New Roman"/>
          <w:sz w:val="24"/>
          <w:szCs w:val="24"/>
        </w:rPr>
        <w:t xml:space="preserve"> </w:t>
      </w:r>
      <w:r w:rsidR="004F2043" w:rsidRPr="002752FC">
        <w:rPr>
          <w:rFonts w:ascii="Times New Roman" w:eastAsia="Times New Roman" w:hAnsi="Times New Roman" w:cs="Times New Roman"/>
          <w:sz w:val="24"/>
          <w:szCs w:val="24"/>
        </w:rPr>
        <w:fldChar w:fldCharType="begin"/>
      </w:r>
      <w:r w:rsidR="004F2043" w:rsidRPr="002752FC">
        <w:rPr>
          <w:rFonts w:ascii="Times New Roman" w:eastAsia="Times New Roman" w:hAnsi="Times New Roman" w:cs="Times New Roman"/>
          <w:sz w:val="24"/>
          <w:szCs w:val="24"/>
        </w:rPr>
        <w:instrText xml:space="preserve"> ADDIN ZOTERO_ITEM CSL_CITATION {"citationID":"EmirwC1W","properties":{"formattedCitation":"(Omar &amp; Kamaruzaman, 2024)","plainCitation":"(Omar &amp; Kamaruzaman, 2024)","noteIndex":0},"citationItems":[{"id":859,"uris":["http://zotero.org/users/local/MHhRaBP9/items/WJYWX8L9"],"itemData":{"id":859,"type":"article-journal","abstract":"Technical and vocational education training (TVET) is an education and training process with a strong emphasis on industry practices that aims to generate competent workers in particular fields. Collaboration with industry in TVET has the potential to improve the quality and relevance of TVET programmes and equip students with the practical skills and knowledge demanded by employers. Thus, there is a need for a complete bibliometric study of research linked to collaboration between TVET and industry, despite the fact that the number of studies in this field continues to increase. The bibliometric analysis in this research which was extracted from Web of Science database is analyze using VOSviewer. The research conducted a descriptive analysis of the publication number trends, the top authors and leading journals in this field. Next, the researcher also analyzed the co authorship based on authors and countries, research trends, citation and keywords analysis as well as co citation analysis. The article found that most of the articles in this field are published by authors from developed countries where the majority is from the United States. Other than that, the recent research hotspot were also identified indicating the future direction of the research in this field.","container-title":"Journal of Education and Learning (EduLearn)","ISSN":"2089-9823","issue":"4","language":"en","note":"publisher: Institute of Advanced Engineering and Science\nERIC Number: EJ1442486","page":"1582-1592","source":"ERIC","title":"Technical and Vocational Education Training and Industry Collaboration: A Bibliometric Review","title-short":"Technical and Vocational Education Training and Industry Collaboration","volume":"18","author":[{"family":"Omar","given":"Marlissa"},{"family":"Kamaruzaman","given":"Fathiyah Mohd"}],"issued":{"date-parts":[["2024"]]}}}],"schema":"https://github.com/citation-style-language/schema/raw/master/csl-citation.json"} </w:instrText>
      </w:r>
      <w:r w:rsidR="004F2043" w:rsidRPr="002752FC">
        <w:rPr>
          <w:rFonts w:ascii="Times New Roman" w:eastAsia="Times New Roman" w:hAnsi="Times New Roman" w:cs="Times New Roman"/>
          <w:sz w:val="24"/>
          <w:szCs w:val="24"/>
        </w:rPr>
        <w:fldChar w:fldCharType="separate"/>
      </w:r>
      <w:r w:rsidR="004F2043" w:rsidRPr="002752FC">
        <w:rPr>
          <w:rFonts w:ascii="Times New Roman" w:hAnsi="Times New Roman" w:cs="Times New Roman"/>
          <w:sz w:val="24"/>
          <w:szCs w:val="24"/>
        </w:rPr>
        <w:t>(Omar &amp; Kamaruzaman, 2024)</w:t>
      </w:r>
      <w:r w:rsidR="004F2043"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xml:space="preserve"> investigate how industry collaborations might improve Technical and Vocational Education and Training. In order to close the gap between theory and practice, they stress the necessity of demand-driven courses and organized apprenticeship programs. But they discover that collaborations between TVET providers and business sector actors are still haphazard and unsystematic, frequently confined to short-term initiatives without ongoing involvement or outcome monitoring</w:t>
      </w:r>
      <w:r w:rsidR="002752FC">
        <w:rPr>
          <w:rFonts w:ascii="Times New Roman" w:eastAsia="Times New Roman" w:hAnsi="Times New Roman" w:cs="Times New Roman"/>
          <w:sz w:val="24"/>
          <w:szCs w:val="24"/>
        </w:rPr>
        <w:t xml:space="preserve"> </w:t>
      </w:r>
      <w:r w:rsidR="00A43B9A" w:rsidRPr="002752FC">
        <w:rPr>
          <w:rFonts w:ascii="Times New Roman" w:eastAsia="Times New Roman" w:hAnsi="Times New Roman" w:cs="Times New Roman"/>
          <w:sz w:val="24"/>
          <w:szCs w:val="24"/>
        </w:rPr>
        <w:fldChar w:fldCharType="begin"/>
      </w:r>
      <w:r w:rsidR="00A43B9A" w:rsidRPr="002752FC">
        <w:rPr>
          <w:rFonts w:ascii="Times New Roman" w:eastAsia="Times New Roman" w:hAnsi="Times New Roman" w:cs="Times New Roman"/>
          <w:sz w:val="24"/>
          <w:szCs w:val="24"/>
        </w:rPr>
        <w:instrText xml:space="preserve"> ADDIN ZOTERO_ITEM CSL_CITATION {"citationID":"gnul0LIJ","properties":{"formattedCitation":"(Harikirishanan, 2024)","plainCitation":"(Harikirishanan, 2024)","noteIndex":0},"citationItems":[{"id":857,"uris":["http://zotero.org/users/local/MHhRaBP9/items/4PAN52U5"],"itemData":{"id":857,"type":"thesis","abstract":"Espousing the sequential exploratory design, this study aims to propose industry-driven \nTVET (Technical Education Vocational and Training) partnership strategies between the \nlocal industries and TVET institutions (Higher Education Institutions) in Malaysia. \nAccording to The Star (2023), the Malaysian TVET enrolment rate was at 6.1% compared to \nSingapore (23.8%), Indonesia (12.8) and South Korea (14.2%) and cannot be perceived as a \nconvincing rate. The dip in student enrolment rates, archaic teaching and learning \npedagogical approaches, and hesitance from the industrial sector to participate in TVET \npartnerships pose impediments to the growth of the Malaysian TVET program. Via these\npartnership strategies, it is anticipated that TVET students will be able to hone their \ncapabilities to respond to the skills requirements required by the industry to boost\nproductivity and profitability. Anchored on the Triple Helix Model of Innovation, the study\nbegan inductively to explore the viewpoints of seventeen respondents using the semi-structured interview technique to discover emerging TVET partnership strategies applying\nthe reflexive thematic analysis approach. Consequently, five themes, (1) curriculum design\nand delivery collaboration, (2) mentor-mentee relationship, (3) research and development\ncollaboration, (4) infrastructural collaboration and (5) joint promotional activities were\nidentified. These five themes and self-determined pedagogical approach were then\nquantitatively validated and generalized using structured questionnaires distributed to\nmedium and large industries in Malaysia. The collected data was statistically assessed using\nthe Structural Equation Modelling (SEM) technique to evaluate the path significance and the\nmoderating effect of self-determined learning (heutagogy). All direct paths were found to be\nsignificant. However, heutagogy was found to significantly moderate the relationship\nbetween mentor-mentee relationship and the successful fulfilment of industry skills\nrequirements. In theory, this research highlights the pertinent role of the Triple Helix Model \nin proportioning the function of the industries, institutes and the government, while also \naccentuating the viability of heutagogy in the Malaysian context. In practice, the study \nprovides an impetus to the government to vigorously implement an ‘industry-driven TVET’ \nstrategy to successfully achieve the Malaysian TVET agenda.","genre":"Thesis","language":"en","note":"Accepted: 2025-01-24T16:18:53Z","publisher":"Heriot-Watt University","source":"www.ros.hw.ac.uk","title":"A critical examination of forging ‘industry-driven’ partnerships in Malaysian TVET institutions","URL":"https://www.ros.hw.ac.uk/handle/10399/5057","author":[{"family":"Harikirishanan","given":"Davindran"}],"accessed":{"date-parts":[["2025",4,26]]},"issued":{"date-parts":[["2024",4]]}}}],"schema":"https://github.com/citation-style-language/schema/raw/master/csl-citation.json"} </w:instrText>
      </w:r>
      <w:r w:rsidR="00A43B9A" w:rsidRPr="002752FC">
        <w:rPr>
          <w:rFonts w:ascii="Times New Roman" w:eastAsia="Times New Roman" w:hAnsi="Times New Roman" w:cs="Times New Roman"/>
          <w:sz w:val="24"/>
          <w:szCs w:val="24"/>
        </w:rPr>
        <w:fldChar w:fldCharType="separate"/>
      </w:r>
      <w:r w:rsidR="00A43B9A" w:rsidRPr="002752FC">
        <w:rPr>
          <w:rFonts w:ascii="Times New Roman" w:hAnsi="Times New Roman" w:cs="Times New Roman"/>
          <w:sz w:val="24"/>
          <w:szCs w:val="24"/>
        </w:rPr>
        <w:t>(Harikirishanan, 2024)</w:t>
      </w:r>
      <w:r w:rsidR="00A43B9A"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w:t>
      </w:r>
      <w:r w:rsidR="002752FC">
        <w:rPr>
          <w:rFonts w:ascii="Times New Roman" w:eastAsia="Times New Roman" w:hAnsi="Times New Roman" w:cs="Times New Roman"/>
          <w:sz w:val="24"/>
          <w:szCs w:val="24"/>
        </w:rPr>
        <w:t xml:space="preserve"> </w:t>
      </w:r>
      <w:r w:rsidR="00234581" w:rsidRPr="002752FC">
        <w:rPr>
          <w:rFonts w:ascii="Times New Roman" w:eastAsia="Times New Roman" w:hAnsi="Times New Roman" w:cs="Times New Roman"/>
          <w:sz w:val="24"/>
          <w:szCs w:val="24"/>
        </w:rPr>
        <w:t xml:space="preserve">Both the International </w:t>
      </w:r>
      <w:proofErr w:type="spellStart"/>
      <w:r w:rsidR="00234581" w:rsidRPr="002752FC">
        <w:rPr>
          <w:rFonts w:ascii="Times New Roman" w:eastAsia="Times New Roman" w:hAnsi="Times New Roman" w:cs="Times New Roman"/>
          <w:sz w:val="24"/>
          <w:szCs w:val="24"/>
        </w:rPr>
        <w:t>Labour</w:t>
      </w:r>
      <w:proofErr w:type="spellEnd"/>
      <w:r w:rsidR="00234581" w:rsidRPr="002752FC">
        <w:rPr>
          <w:rFonts w:ascii="Times New Roman" w:eastAsia="Times New Roman" w:hAnsi="Times New Roman" w:cs="Times New Roman"/>
          <w:sz w:val="24"/>
          <w:szCs w:val="24"/>
        </w:rPr>
        <w:t xml:space="preserve"> Organization (ILO, 2022) and UNESCO (2021) stress how crucial inclusive governance structures and sufficient funding are to the success of TVET programs in poor nations. These international assessments highlight Bangladesh's persistent underfunding of Technical and Vocational Education and Training (TVET), pointing out that per capita investment in vocational training is still significantly lower than regional averages. In order to advance social mobility and equity, they also demand that women and underrepresented groups participate more actively in TVET programs</w:t>
      </w:r>
      <w:r w:rsidR="00675450" w:rsidRPr="002752FC">
        <w:rPr>
          <w:rFonts w:ascii="Times New Roman" w:eastAsia="Times New Roman" w:hAnsi="Times New Roman" w:cs="Times New Roman"/>
          <w:sz w:val="24"/>
          <w:szCs w:val="24"/>
        </w:rPr>
        <w:fldChar w:fldCharType="begin"/>
      </w:r>
      <w:r w:rsidR="00675450" w:rsidRPr="002752FC">
        <w:rPr>
          <w:rFonts w:ascii="Times New Roman" w:eastAsia="Times New Roman" w:hAnsi="Times New Roman" w:cs="Times New Roman"/>
          <w:sz w:val="24"/>
          <w:szCs w:val="24"/>
        </w:rPr>
        <w:instrText xml:space="preserve"> ADDIN ZOTERO_ITEM CSL_CITATION {"citationID":"6pUFTCAh","properties":{"formattedCitation":"(Leong, 2024)","plainCitation":"(Leong, 2024)","noteIndex":0},"citationItems":[{"id":861,"uris":["http://zotero.org/users/local/MHhRaBP9/items/J7CBFAUF"],"itemData":{"id":861,"type":"paper-conference","abstract":"Technical and Vocational Education and Training (TVET) plays a pivotal role in equipping individuals with the skills necessary to participate in an evolving global economy. However, inequities in access and participation persist, disproportionately affecting marginalized groups such as women, persons with disabilities, and socio-economically disadvantaged communities. This paper examines the transformative potential of inclusive TVET systems in fostering social equity and economic empowerment. Drawing on global case studies and recent research, the study highlights the critical need for policies and practices that prioritize accessibility, equity, and cultural relevance. It explores the integration of assistive technologies, gender-responsive curricula, and community-based partnerships to dismantle barriers and create pathways to meaningful employment. The analysis underscores the importance of aligning TVET initiatives with the principles of social justice, lifelong learning, and the Sustainable Development Goals (SDGs).","container-title":"2024 International Conference on TVET Excellence &amp; Development (ICTeD)","DOI":"10.1109/ICTeD62334.2024.10844604","event-title":"2024 International Conference on TVET Excellence &amp; Development (ICTeD)","page":"284-288","source":"IEEE Xplore","title":"TVET for All: Fostering Social Equity Through Inclusive Skills Education","title-short":"TVET for All","URL":"https://ieeexplore.ieee.org/abstract/document/10844604","author":[{"family":"Leong","given":"Wai Yie"}],"accessed":{"date-parts":[["2025",4,26]]},"issued":{"date-parts":[["2024",12]]}}}],"schema":"https://github.com/citation-style-language/schema/raw/master/csl-citation.json"} </w:instrText>
      </w:r>
      <w:r w:rsidR="00675450" w:rsidRPr="002752FC">
        <w:rPr>
          <w:rFonts w:ascii="Times New Roman" w:eastAsia="Times New Roman" w:hAnsi="Times New Roman" w:cs="Times New Roman"/>
          <w:sz w:val="24"/>
          <w:szCs w:val="24"/>
        </w:rPr>
        <w:fldChar w:fldCharType="separate"/>
      </w:r>
      <w:r w:rsidR="00675450" w:rsidRPr="002752FC">
        <w:rPr>
          <w:rFonts w:ascii="Times New Roman" w:hAnsi="Times New Roman" w:cs="Times New Roman"/>
          <w:sz w:val="24"/>
          <w:szCs w:val="24"/>
        </w:rPr>
        <w:t>(Leong, 2024)</w:t>
      </w:r>
      <w:r w:rsidR="00675450" w:rsidRPr="002752FC">
        <w:rPr>
          <w:rFonts w:ascii="Times New Roman" w:eastAsia="Times New Roman" w:hAnsi="Times New Roman" w:cs="Times New Roman"/>
          <w:sz w:val="24"/>
          <w:szCs w:val="24"/>
        </w:rPr>
        <w:fldChar w:fldCharType="end"/>
      </w:r>
      <w:r w:rsidR="00234581" w:rsidRPr="002752FC">
        <w:rPr>
          <w:rFonts w:ascii="Times New Roman" w:eastAsia="Times New Roman" w:hAnsi="Times New Roman" w:cs="Times New Roman"/>
          <w:sz w:val="24"/>
          <w:szCs w:val="24"/>
        </w:rPr>
        <w:t>.</w:t>
      </w:r>
    </w:p>
    <w:p w14:paraId="3EADF9AB" w14:textId="7D4C03DC" w:rsidR="00234581" w:rsidRDefault="00675450"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fldChar w:fldCharType="begin"/>
      </w:r>
      <w:r w:rsidRPr="002752FC">
        <w:rPr>
          <w:rFonts w:ascii="Times New Roman" w:eastAsia="Times New Roman" w:hAnsi="Times New Roman" w:cs="Times New Roman"/>
          <w:sz w:val="24"/>
          <w:szCs w:val="24"/>
        </w:rPr>
        <w:instrText xml:space="preserve"> ADDIN ZOTERO_ITEM CSL_CITATION {"citationID":"odVpzqdq","properties":{"formattedCitation":"(Shimu &amp; Haolader, 2025)","plainCitation":"(Shimu &amp; Haolader, 2025)","noteIndex":0},"citationItems":[{"id":783,"uris":["http://zotero.org/users/local/MHhRaBP9/items/C8IR8W6C"],"itemData":{"id":783,"type":"article-journal","abstract":"This article seeks to delve into the underlying causes contributing to the marginalized societal perception of TVET in Bangladesh. Focusing on the significant challenges faced by TVET despite its substantial enrollment at the secondary level, the study aims to investigate the root factors responsible for the prevalent negative perception surrounding TVET. This research endeavors to uncover insights into the reasons behind the low societal status and under-resource attributed to TVET in Bangladesh.,This article emanates from the “Skills for Industry” research project, a cross-country comparative study focusing on vital economic sectors, crucial to each country’s GDP. Employing an interpretative qualitative methodology, the study employs an inductive thematic approach to delve into the social perspective on TVET through the lens of TVET educators. A series of face-to-face interviews involving 18 TVET teachers were conducted, utilizing a semi-structured questionnaire to gather qualitative data.,The study reveals pivotal challenges undermining the societal perception and efficacy of TVET in Bangladesh. These encompass issues such as inadequate salary structures in private sectors, the absence of defined career paths, entrenched social stigmas labeling TVET as “laborers” jobs, hindrances to familial acceptance and substantial shortcomings in curriculum, affordability, training facilities, infrastructure, equipment and resource allocation, collectively impeding the effectiveness and societal embrace of TVET programs.,It must be pointed out here that this study’s focus on teacher perspectives constitutes a limitation, as broader insights from diverse stakeholders would provide a more comprehensive understanding of TVET and its social acceptability across Bangladesh. Future research should involve a wider range of stakeholders, including students, employers and policymakers, to further enhance our understanding of TVET’s role in meeting industry needs and societal expectations., The originality of this study lies in exploring teachers' perceptions of TVET in Bangladesh, focusing on its under-resourcing and societal stigma. It highlights systemic challenges, including cultural and institutional barriers, offering valuable insights into improving the status of TVET, resource allocation, and alignment with national development goals for sustainable economic growth.","archive_location":"world","container-title":"Education + Training","DOI":"10.1108/ET-12-2023-0551","ISSN":"1758-6127","issue":"ahead-of-print","language":"en","note":"publisher: Emerald Publishing Limited","source":"www.emerald.com","title":"TVET is under-resourced and held in low regard? Teachers’ perceptions of TVET in Bangladesh","title-short":"TVET is under-resourced and held in low regard?","URL":"https://www.emerald.com/insight/content/doi/10.1108/et-12-2023-0551/full/html","volume":"ahead-of-print","author":[{"family":"Shimu","given":"Skeikh Shahana"},{"family":"Haolader","given":"Faruque A."}],"accessed":{"date-parts":[["2025",4,22]]},"issued":{"date-parts":[["2025",1,8]]}}}],"schema":"https://github.com/citation-style-language/schema/raw/master/csl-citation.json"} </w:instrText>
      </w:r>
      <w:r w:rsidRPr="002752FC">
        <w:rPr>
          <w:rFonts w:ascii="Times New Roman" w:eastAsia="Times New Roman" w:hAnsi="Times New Roman" w:cs="Times New Roman"/>
          <w:sz w:val="24"/>
          <w:szCs w:val="24"/>
        </w:rPr>
        <w:fldChar w:fldCharType="separate"/>
      </w:r>
      <w:r w:rsidRPr="002752FC">
        <w:rPr>
          <w:rFonts w:ascii="Times New Roman" w:hAnsi="Times New Roman" w:cs="Times New Roman"/>
          <w:sz w:val="24"/>
          <w:szCs w:val="24"/>
        </w:rPr>
        <w:t>(Shimu &amp; Haolader, 2025)</w:t>
      </w:r>
      <w:r w:rsidRPr="002752FC">
        <w:rPr>
          <w:rFonts w:ascii="Times New Roman" w:eastAsia="Times New Roman" w:hAnsi="Times New Roman" w:cs="Times New Roman"/>
          <w:sz w:val="24"/>
          <w:szCs w:val="24"/>
        </w:rPr>
        <w:fldChar w:fldCharType="end"/>
      </w:r>
      <w:r w:rsidR="00234581" w:rsidRPr="002752FC">
        <w:rPr>
          <w:rFonts w:ascii="Times New Roman" w:eastAsia="Times New Roman" w:hAnsi="Times New Roman" w:cs="Times New Roman"/>
          <w:sz w:val="24"/>
          <w:szCs w:val="24"/>
        </w:rPr>
        <w:t xml:space="preserve"> investigates the stigma associated with </w:t>
      </w:r>
      <w:r w:rsidR="009454A3" w:rsidRPr="002752FC">
        <w:rPr>
          <w:rFonts w:ascii="Times New Roman" w:eastAsia="Times New Roman" w:hAnsi="Times New Roman" w:cs="Times New Roman"/>
          <w:sz w:val="24"/>
          <w:szCs w:val="24"/>
        </w:rPr>
        <w:t xml:space="preserve">technical and </w:t>
      </w:r>
      <w:r w:rsidR="00234581" w:rsidRPr="002752FC">
        <w:rPr>
          <w:rFonts w:ascii="Times New Roman" w:eastAsia="Times New Roman" w:hAnsi="Times New Roman" w:cs="Times New Roman"/>
          <w:sz w:val="24"/>
          <w:szCs w:val="24"/>
        </w:rPr>
        <w:t>vocational education</w:t>
      </w:r>
      <w:r w:rsidR="009454A3" w:rsidRPr="002752FC">
        <w:rPr>
          <w:rFonts w:ascii="Times New Roman" w:eastAsia="Times New Roman" w:hAnsi="Times New Roman" w:cs="Times New Roman"/>
          <w:sz w:val="24"/>
          <w:szCs w:val="24"/>
        </w:rPr>
        <w:t xml:space="preserve"> and </w:t>
      </w:r>
      <w:r w:rsidR="002752FC" w:rsidRPr="002752FC">
        <w:rPr>
          <w:rFonts w:ascii="Times New Roman" w:eastAsia="Times New Roman" w:hAnsi="Times New Roman" w:cs="Times New Roman"/>
          <w:sz w:val="24"/>
          <w:szCs w:val="24"/>
        </w:rPr>
        <w:t>training in</w:t>
      </w:r>
      <w:r w:rsidR="00234581" w:rsidRPr="002752FC">
        <w:rPr>
          <w:rFonts w:ascii="Times New Roman" w:eastAsia="Times New Roman" w:hAnsi="Times New Roman" w:cs="Times New Roman"/>
          <w:sz w:val="24"/>
          <w:szCs w:val="24"/>
        </w:rPr>
        <w:t xml:space="preserve"> Bangladesh from a sociocultural standpoint. According to his research, TVET's appeal among young people and their families is limited by ingrained cultural assumptions that portray it as a route for pupils who are academically less capable. Weak job placement systems and employer biases that prioritize generic academic credentials over occupational competencies support this viewpoint.</w:t>
      </w:r>
    </w:p>
    <w:p w14:paraId="3E2AC548"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334FD82F" w14:textId="0DAD1E82" w:rsidR="00801BF1" w:rsidRDefault="00801BF1"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All things considered, the research shows a complicated interaction of institutional, monetary, cultural, and policy-related elements that still prevent TVET from becoming mainstream in Bangladesh. Although national</w:t>
      </w:r>
      <w:r w:rsidR="009454A3" w:rsidRPr="002752FC">
        <w:rPr>
          <w:rFonts w:ascii="Times New Roman" w:eastAsia="Times New Roman" w:hAnsi="Times New Roman" w:cs="Times New Roman"/>
          <w:sz w:val="24"/>
          <w:szCs w:val="24"/>
        </w:rPr>
        <w:t xml:space="preserve"> technical vocational </w:t>
      </w:r>
      <w:r w:rsidR="002752FC" w:rsidRPr="002752FC">
        <w:rPr>
          <w:rFonts w:ascii="Times New Roman" w:eastAsia="Times New Roman" w:hAnsi="Times New Roman" w:cs="Times New Roman"/>
          <w:sz w:val="24"/>
          <w:szCs w:val="24"/>
        </w:rPr>
        <w:t>qualification frameworks</w:t>
      </w:r>
      <w:r w:rsidR="009454A3" w:rsidRPr="002752FC">
        <w:rPr>
          <w:rFonts w:ascii="Times New Roman" w:eastAsia="Times New Roman" w:hAnsi="Times New Roman" w:cs="Times New Roman"/>
          <w:sz w:val="24"/>
          <w:szCs w:val="24"/>
        </w:rPr>
        <w:t xml:space="preserve"> (NTVQF)</w:t>
      </w:r>
      <w:r w:rsidRPr="002752FC">
        <w:rPr>
          <w:rFonts w:ascii="Times New Roman" w:eastAsia="Times New Roman" w:hAnsi="Times New Roman" w:cs="Times New Roman"/>
          <w:sz w:val="24"/>
          <w:szCs w:val="24"/>
        </w:rPr>
        <w:t xml:space="preserve"> offer a good starting point, substantial reforms are necessary to successfully operationalize these policies and match them with the demands of the labor market.</w:t>
      </w:r>
    </w:p>
    <w:p w14:paraId="2E2EA77D"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19254C5B" w14:textId="45A1E242" w:rsidR="00D75D10" w:rsidRPr="002752FC" w:rsidRDefault="00524D8F" w:rsidP="002752FC">
      <w:pPr>
        <w:pStyle w:val="NormalWeb"/>
        <w:spacing w:before="0" w:beforeAutospacing="0" w:after="0" w:afterAutospacing="0"/>
        <w:jc w:val="both"/>
      </w:pPr>
      <w:r>
        <w:rPr>
          <w:rStyle w:val="Strong"/>
        </w:rPr>
        <w:t>6</w:t>
      </w:r>
      <w:r w:rsidR="002752FC">
        <w:rPr>
          <w:rStyle w:val="Strong"/>
        </w:rPr>
        <w:t xml:space="preserve">. </w:t>
      </w:r>
      <w:r w:rsidR="001E7D41" w:rsidRPr="002752FC">
        <w:rPr>
          <w:rStyle w:val="Strong"/>
        </w:rPr>
        <w:t>Methodology</w:t>
      </w:r>
      <w:r w:rsidR="001E7D41" w:rsidRPr="002752FC">
        <w:t xml:space="preserve"> </w:t>
      </w:r>
    </w:p>
    <w:p w14:paraId="46EF0B43" w14:textId="1D7ED242" w:rsidR="00D7651C" w:rsidRPr="002752FC" w:rsidRDefault="00D75D10" w:rsidP="002752FC">
      <w:pPr>
        <w:pStyle w:val="NormalWeb"/>
        <w:spacing w:before="0" w:beforeAutospacing="0" w:after="0" w:afterAutospacing="0"/>
        <w:jc w:val="both"/>
      </w:pPr>
      <w:r w:rsidRPr="002752FC">
        <w:t xml:space="preserve">This study used a qualitative research approach to investigate the institutional, systemic, and sociocultural hurdles that impeded TVET mainstreaming in Bangladesh. Three primary techniques were used to gather data: field observations, semi-structured interviews, and document analysis. The official position on TVET development was evaluated by a systematic assessment of pertinent policy documents, such as the Education Policy 2010, the National Skills Development Policy (NSDP), </w:t>
      </w:r>
      <w:r w:rsidR="009454A3" w:rsidRPr="002752FC">
        <w:t xml:space="preserve">sustainable development goal (SDG) </w:t>
      </w:r>
      <w:r w:rsidRPr="002752FC">
        <w:t>and several Five-Year Plans. To learn more about the implementation iss</w:t>
      </w:r>
      <w:r w:rsidR="00880915" w:rsidRPr="002752FC">
        <w:t>ues and attitudes around TVET, 2</w:t>
      </w:r>
      <w:r w:rsidR="009454A3" w:rsidRPr="002752FC">
        <w:t>3</w:t>
      </w:r>
      <w:r w:rsidRPr="002752FC">
        <w:t xml:space="preserve"> purposefully chosen stakeholders—including students, industry representatives, TVET educators, and policymakers—were interviewed in a semi-structured manner. In order to get a firsthand look at the institutional </w:t>
      </w:r>
      <w:r w:rsidRPr="002752FC">
        <w:lastRenderedPageBreak/>
        <w:t>procedures, resource limitations, and operational realities, five TVET institutions in both urban and rural locations were also visited.</w:t>
      </w:r>
      <w:r w:rsidR="00D7651C" w:rsidRPr="002752FC">
        <w:t xml:space="preserve"> Data were analyzed using thematic analysis to identify recurring patterns, contradictions, and key themes that reflected the gaps between policy and practice.</w:t>
      </w:r>
    </w:p>
    <w:p w14:paraId="70308887" w14:textId="77777777" w:rsidR="002752FC" w:rsidRDefault="002752FC" w:rsidP="002752FC">
      <w:pPr>
        <w:spacing w:after="0" w:line="240" w:lineRule="auto"/>
        <w:jc w:val="both"/>
        <w:rPr>
          <w:rStyle w:val="Strong"/>
          <w:rFonts w:ascii="Times New Roman" w:hAnsi="Times New Roman" w:cs="Times New Roman"/>
          <w:sz w:val="24"/>
          <w:szCs w:val="24"/>
        </w:rPr>
      </w:pPr>
    </w:p>
    <w:p w14:paraId="5B8FD8C3" w14:textId="2203AC7F" w:rsidR="001E7D41" w:rsidRPr="002752FC" w:rsidRDefault="00524D8F" w:rsidP="002752FC">
      <w:pPr>
        <w:spacing w:after="0" w:line="24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7</w:t>
      </w:r>
      <w:r w:rsidR="002752FC">
        <w:rPr>
          <w:rStyle w:val="Strong"/>
          <w:rFonts w:ascii="Times New Roman" w:hAnsi="Times New Roman" w:cs="Times New Roman"/>
          <w:sz w:val="24"/>
          <w:szCs w:val="24"/>
        </w:rPr>
        <w:t xml:space="preserve">. </w:t>
      </w:r>
      <w:r w:rsidR="001E7D41" w:rsidRPr="002752FC">
        <w:rPr>
          <w:rStyle w:val="Strong"/>
          <w:rFonts w:ascii="Times New Roman" w:hAnsi="Times New Roman" w:cs="Times New Roman"/>
          <w:sz w:val="24"/>
          <w:szCs w:val="24"/>
        </w:rPr>
        <w:t>Analysis and Discussion</w:t>
      </w:r>
    </w:p>
    <w:p w14:paraId="387B9F5C" w14:textId="77777777" w:rsidR="003C4F77" w:rsidRPr="002752FC" w:rsidRDefault="003C4F77"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The analysis identified five key themes that highlighted the ongoing discrepancy between Bangladesh's TVET policy goals and implementation results. Policy evaluations, interviews, and field observations all revealed the same themes: industry connection, curricular relevance, governance and coordination, institutional capacity, and societal perception.</w:t>
      </w:r>
    </w:p>
    <w:p w14:paraId="799D6330" w14:textId="77777777" w:rsidR="003C4F77" w:rsidRPr="002752FC" w:rsidRDefault="003C4F77" w:rsidP="002752FC">
      <w:pPr>
        <w:spacing w:after="0" w:line="240" w:lineRule="auto"/>
        <w:jc w:val="both"/>
        <w:rPr>
          <w:rFonts w:ascii="Times New Roman" w:eastAsia="Times New Roman" w:hAnsi="Times New Roman" w:cs="Times New Roman"/>
          <w:sz w:val="24"/>
          <w:szCs w:val="24"/>
        </w:rPr>
      </w:pPr>
    </w:p>
    <w:p w14:paraId="25F30F51" w14:textId="6A0656CF" w:rsidR="003E0F74" w:rsidRPr="002752FC" w:rsidRDefault="00524D8F" w:rsidP="002752FC">
      <w:pPr>
        <w:pStyle w:val="NormalWeb"/>
        <w:spacing w:before="0" w:beforeAutospacing="0" w:after="0" w:afterAutospacing="0"/>
        <w:jc w:val="both"/>
      </w:pPr>
      <w:r>
        <w:rPr>
          <w:rStyle w:val="Strong"/>
        </w:rPr>
        <w:t>7</w:t>
      </w:r>
      <w:r w:rsidR="002752FC">
        <w:rPr>
          <w:rStyle w:val="Strong"/>
        </w:rPr>
        <w:t xml:space="preserve">.1 </w:t>
      </w:r>
      <w:r w:rsidR="001E7D41" w:rsidRPr="002752FC">
        <w:rPr>
          <w:rStyle w:val="Strong"/>
        </w:rPr>
        <w:t>Governance and Policy Implementation</w:t>
      </w:r>
      <w:r w:rsidR="001E7D41" w:rsidRPr="002752FC">
        <w:t xml:space="preserve"> </w:t>
      </w:r>
    </w:p>
    <w:p w14:paraId="7AA26E11" w14:textId="6D4B55B4" w:rsidR="00E8448F" w:rsidRPr="002752FC" w:rsidRDefault="003E0F74"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Among the most important shortcomings in Bangladesh's TVET mainstreaming was the synchronization of governance and policy. While different aspects of TVET policy and implementation were overseen by a number of institutions, including the National Skills Development Authority (NSDA), the Ministry of Education (</w:t>
      </w:r>
      <w:proofErr w:type="spellStart"/>
      <w:r w:rsidRPr="002752FC">
        <w:rPr>
          <w:rFonts w:ascii="Times New Roman" w:eastAsia="Times New Roman" w:hAnsi="Times New Roman" w:cs="Times New Roman"/>
          <w:sz w:val="24"/>
          <w:szCs w:val="24"/>
        </w:rPr>
        <w:t>MoE</w:t>
      </w:r>
      <w:proofErr w:type="spellEnd"/>
      <w:r w:rsidRPr="002752FC">
        <w:rPr>
          <w:rFonts w:ascii="Times New Roman" w:eastAsia="Times New Roman" w:hAnsi="Times New Roman" w:cs="Times New Roman"/>
          <w:sz w:val="24"/>
          <w:szCs w:val="24"/>
        </w:rPr>
        <w:t xml:space="preserve">), the Ministry of </w:t>
      </w:r>
      <w:proofErr w:type="spellStart"/>
      <w:r w:rsidRPr="002752FC">
        <w:rPr>
          <w:rFonts w:ascii="Times New Roman" w:eastAsia="Times New Roman" w:hAnsi="Times New Roman" w:cs="Times New Roman"/>
          <w:sz w:val="24"/>
          <w:szCs w:val="24"/>
        </w:rPr>
        <w:t>Labour</w:t>
      </w:r>
      <w:proofErr w:type="spellEnd"/>
      <w:r w:rsidRPr="002752FC">
        <w:rPr>
          <w:rFonts w:ascii="Times New Roman" w:eastAsia="Times New Roman" w:hAnsi="Times New Roman" w:cs="Times New Roman"/>
          <w:sz w:val="24"/>
          <w:szCs w:val="24"/>
        </w:rPr>
        <w:t xml:space="preserve"> and Employment (</w:t>
      </w:r>
      <w:proofErr w:type="spellStart"/>
      <w:r w:rsidRPr="002752FC">
        <w:rPr>
          <w:rFonts w:ascii="Times New Roman" w:eastAsia="Times New Roman" w:hAnsi="Times New Roman" w:cs="Times New Roman"/>
          <w:sz w:val="24"/>
          <w:szCs w:val="24"/>
        </w:rPr>
        <w:t>MoLE</w:t>
      </w:r>
      <w:proofErr w:type="spellEnd"/>
      <w:r w:rsidRPr="002752FC">
        <w:rPr>
          <w:rFonts w:ascii="Times New Roman" w:eastAsia="Times New Roman" w:hAnsi="Times New Roman" w:cs="Times New Roman"/>
          <w:sz w:val="24"/>
          <w:szCs w:val="24"/>
        </w:rPr>
        <w:t>), and the Bangladesh Technical Education Board (BTEB), there was no single lead agency with overarching authority to ensure coherence and accountability</w:t>
      </w:r>
      <w:r w:rsidR="00607C9D" w:rsidRPr="002752FC">
        <w:rPr>
          <w:rFonts w:ascii="Times New Roman" w:eastAsia="Times New Roman" w:hAnsi="Times New Roman" w:cs="Times New Roman"/>
          <w:sz w:val="24"/>
          <w:szCs w:val="24"/>
        </w:rPr>
        <w:fldChar w:fldCharType="begin"/>
      </w:r>
      <w:r w:rsidR="00607C9D" w:rsidRPr="002752FC">
        <w:rPr>
          <w:rFonts w:ascii="Times New Roman" w:eastAsia="Times New Roman" w:hAnsi="Times New Roman" w:cs="Times New Roman"/>
          <w:sz w:val="24"/>
          <w:szCs w:val="24"/>
        </w:rPr>
        <w:instrText xml:space="preserve"> ADDIN ZOTERO_ITEM CSL_CITATION {"citationID":"DnNxUomV","properties":{"formattedCitation":"(S. M. A. Imran et al., 2024)","plainCitation":"(S. M. A. Imran et al., 2024)","noteIndex":0},"citationItems":[{"id":835,"uris":["http://zotero.org/users/local/MHhRaBP9/items/ES6EVXJZ"],"itemData":{"id":835,"type":"article-journal","abstract":"The ready-made garments (RMG) industry is a cornerstone of Bangladesh's economy, but its rapid expansion has raised significant concerns about environmental and social sustainability. As global consumer preferences shift toward more eco-friendly products, sustainable marketing practices have become increasingly important for businesses in this sector. This study investigates the relationship between consumer behavior and sustainable marketing in Bangladesh's RMG industry, exploring both consumer awareness and the challenges faced by businesses in adopting sustainability-focused strategies. Using a mixed-methods approach, the research incorporates quantitative data from a consumer survey and qualitative insights from interviews with industry stakeholders. The findings reveal that while a growing segment of consumers expresses a positive attitude toward sustainability, actual purchasing behavior is often constrained by higher costs and limited availability of sustainable garments. On the business side, financial and operational barriers prevent many companies, especially SMEs, from fully embracing sustainable marketing. However, the rise of digital marketing platforms and international demand for ethical products present significant opportunities for growth. The study concludes that businesses that effectively communicate their sustainability efforts and leverage digital tools can tap into a growing market segment, enhancing brand loyalty and long-term profitability.","container-title":"International Journal of Management Studies and Social Science Research","DOI":"10.56293/IJMSSSR.2024.5322","ISSN":"25820265","issue":"06","journalAbbreviation":"IJMSSSR","language":"en","page":"152-161","source":"DOI.org (Crossref)","title":"Consumer Behavior and Sustainable Marketing Practices in the Ready-Made Garments Industry","volume":"06","author":[{"family":"Imran","given":"S M Al"},{"family":"Islam","given":"Shariful"},{"family":"Kabir","given":"Nazia"},{"family":"Uddin","given":"Imran"},{"family":"Ali","given":"Kaosar"},{"family":"Halimuzzaman","given":"Md."}],"issued":{"date-parts":[["2024"]]}}}],"schema":"https://github.com/citation-style-language/schema/raw/master/csl-citation.json"} </w:instrText>
      </w:r>
      <w:r w:rsidR="00607C9D" w:rsidRPr="002752FC">
        <w:rPr>
          <w:rFonts w:ascii="Times New Roman" w:eastAsia="Times New Roman" w:hAnsi="Times New Roman" w:cs="Times New Roman"/>
          <w:sz w:val="24"/>
          <w:szCs w:val="24"/>
        </w:rPr>
        <w:fldChar w:fldCharType="separate"/>
      </w:r>
      <w:r w:rsidR="00607C9D" w:rsidRPr="002752FC">
        <w:rPr>
          <w:rFonts w:ascii="Times New Roman" w:hAnsi="Times New Roman" w:cs="Times New Roman"/>
          <w:sz w:val="24"/>
          <w:szCs w:val="24"/>
        </w:rPr>
        <w:t>(S. M. A. Imran et al., 2024)</w:t>
      </w:r>
      <w:r w:rsidR="00607C9D"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Frequently, this multi-agency arrangement led to uncertainty about jurisdictional boundaries, policy overlaps, and redundant activities.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According to interview data, there was little to no interministerial collaboration and it was mostly ad hoc, without formal structures like inter-agency monitoring units or joint task teams. Additionally, due to a lack of enforcement authority and low stakeholder participation, the National Skills Development Policy (NSDP) and the National Skills Development Council (NSDC) continued to play mostly symbolic roles in promoting inter-sectoral cooperation.</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Fund disbursement delays, inconsistent regulatory control, and a weak monitoring and evaluation (M&amp;E) culture all hindered the implementation of the policy</w:t>
      </w:r>
      <w:r w:rsidR="00812F38" w:rsidRPr="002752FC">
        <w:rPr>
          <w:rFonts w:ascii="Times New Roman" w:eastAsia="Times New Roman" w:hAnsi="Times New Roman" w:cs="Times New Roman"/>
          <w:sz w:val="24"/>
          <w:szCs w:val="24"/>
        </w:rPr>
        <w:fldChar w:fldCharType="begin"/>
      </w:r>
      <w:r w:rsidR="00812F38" w:rsidRPr="002752FC">
        <w:rPr>
          <w:rFonts w:ascii="Times New Roman" w:eastAsia="Times New Roman" w:hAnsi="Times New Roman" w:cs="Times New Roman"/>
          <w:sz w:val="24"/>
          <w:szCs w:val="24"/>
        </w:rPr>
        <w:instrText xml:space="preserve"> ADDIN ZOTERO_ITEM CSL_CITATION {"citationID":"ooF9M3yH","properties":{"formattedCitation":"(Islam et al., 2025)","plainCitation":"(Islam et al., 2025)","noteIndex":0},"citationItems":[{"id":841,"uris":["http://zotero.org/users/local/MHhRaBP9/items/2JWNBDKC"],"itemData":{"id":841,"type":"article-journal","abstract":"The integration of Artificial Intelligence (AI) into green marketing strategies presents a transformative opportunity for eco-friendly tourism businesses. This study examines the effectiveness of AI-driven marketing techniques in promoting sustainable tourism by leveraging data analytics, machine learning, and predictive modeling. Using a quantitative research approach, we analyze consumer responses to AI-powered marketing campaigns, assessing their impact on eco-conscious purchasing behavior, customer engagement, and brand loyalty. Data was collected from a survey of eco-conscious travelers and analyzed using statistical methods, including regression analysis and machine learning-based sentiment analysis. The findings reveal that AI-driven green marketing significantly enhances consumer awareness and engagement, leading to increased adoption of sustainable tourism options. The results offer valuable insights for tourism businesses seeking to optimize their marketing strategies while maintaining sustainability goals. This research contributes to the growing discourse on AI applications in environmental marketing and provides actionable recommendations for businesses aiming to align profitability with ecological responsibility. Future studies should explore the long-term impact of AI-driven strategies on consumer loyalty and environmental conservation efforts.","container-title":"International Journal of Tourism and Hotel Management","DOI":"10.22271/27069583.2025.v7.i1a.125","ISSN":"27069583, 27069591","issue":"1","journalAbbreviation":"Int. J. Tourism Hotel Manage.","language":"en","page":"56-60","source":"DOI.org (Crossref)","title":"AI-Driven green marketing strategies for eco-friendly tourism businesses","volume":"7","author":[{"family":"Islam","given":"Md. Ashadul"},{"family":"Goldar","given":"Sufal Chandra"},{"family":"Imran","given":"Sm Al"},{"family":"Halimuzzaman","given":"Md."},{"family":"Hasan","given":"Salman"}],"issued":{"date-parts":[["2025",1,1]]}}}],"schema":"https://github.com/citation-style-language/schema/raw/master/csl-citation.json"} </w:instrText>
      </w:r>
      <w:r w:rsidR="00812F38" w:rsidRPr="002752FC">
        <w:rPr>
          <w:rFonts w:ascii="Times New Roman" w:eastAsia="Times New Roman" w:hAnsi="Times New Roman" w:cs="Times New Roman"/>
          <w:sz w:val="24"/>
          <w:szCs w:val="24"/>
        </w:rPr>
        <w:fldChar w:fldCharType="separate"/>
      </w:r>
      <w:r w:rsidR="00812F38" w:rsidRPr="002752FC">
        <w:rPr>
          <w:rFonts w:ascii="Times New Roman" w:hAnsi="Times New Roman" w:cs="Times New Roman"/>
          <w:sz w:val="24"/>
          <w:szCs w:val="24"/>
        </w:rPr>
        <w:t>(Islam et al., 2025)</w:t>
      </w:r>
      <w:r w:rsidR="00812F38"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According to respondents, regional and institutional players were rarely included in planning procedures, and national goals were frequently not successfully localized. Ownership was compromised by this top-down strategy, which also caused a discrepancy between local reality and national priorities.</w:t>
      </w:r>
      <w:r w:rsidR="002752FC">
        <w:rPr>
          <w:rFonts w:ascii="Times New Roman" w:eastAsia="Times New Roman" w:hAnsi="Times New Roman" w:cs="Times New Roman"/>
          <w:sz w:val="24"/>
          <w:szCs w:val="24"/>
        </w:rPr>
        <w:t xml:space="preserve"> </w:t>
      </w:r>
      <w:r w:rsidR="00E8448F" w:rsidRPr="002752FC">
        <w:rPr>
          <w:rFonts w:ascii="Times New Roman" w:eastAsia="Times New Roman" w:hAnsi="Times New Roman" w:cs="Times New Roman"/>
          <w:sz w:val="24"/>
          <w:szCs w:val="24"/>
        </w:rPr>
        <w:t>Furthermore, the consistency necessary for successful transformation was disrupted by frequent changes in goals brought on by political meddling and fluctuating leadership within important organizations. The study concluded that the policy-to-practice gap will persist in the absence of a strong, centralized coordinating organization with the authority to supervise TVET reform and institutional capacity to enforce standards and timetables.</w:t>
      </w:r>
    </w:p>
    <w:p w14:paraId="446585D3" w14:textId="77777777" w:rsidR="00E8448F" w:rsidRPr="002752FC" w:rsidRDefault="00E8448F"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lastRenderedPageBreak/>
        <w:drawing>
          <wp:inline distT="0" distB="0" distL="0" distR="0" wp14:anchorId="494C12E8" wp14:editId="3BF39FD8">
            <wp:extent cx="5221605" cy="2583180"/>
            <wp:effectExtent l="0" t="0" r="0" b="0"/>
            <wp:docPr id="1" name="Picture 1" descr="C:\Users\User\Downloads\Governance and Policy Implementation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Governance and Policy Implementation - visual select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1605" cy="2583180"/>
                    </a:xfrm>
                    <a:prstGeom prst="rect">
                      <a:avLst/>
                    </a:prstGeom>
                    <a:noFill/>
                    <a:ln>
                      <a:noFill/>
                    </a:ln>
                  </pic:spPr>
                </pic:pic>
              </a:graphicData>
            </a:graphic>
          </wp:inline>
        </w:drawing>
      </w:r>
    </w:p>
    <w:p w14:paraId="05CBCF0A" w14:textId="74EC3E0C" w:rsidR="00694128" w:rsidRDefault="0069412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Figure 1: Challenges in National Skills Development Policy Implementation</w:t>
      </w:r>
    </w:p>
    <w:p w14:paraId="266DF231" w14:textId="77777777" w:rsidR="002752FC" w:rsidRPr="002752FC" w:rsidRDefault="002752FC" w:rsidP="002752FC">
      <w:pPr>
        <w:spacing w:after="0" w:line="240" w:lineRule="auto"/>
        <w:jc w:val="center"/>
        <w:rPr>
          <w:rFonts w:ascii="Times New Roman" w:eastAsia="Times New Roman" w:hAnsi="Times New Roman" w:cs="Times New Roman"/>
          <w:b/>
          <w:sz w:val="24"/>
          <w:szCs w:val="24"/>
        </w:rPr>
      </w:pPr>
    </w:p>
    <w:p w14:paraId="76D26EDF" w14:textId="16D18BCE" w:rsidR="00BF2574" w:rsidRPr="002752FC" w:rsidRDefault="00524D8F" w:rsidP="002752FC">
      <w:pPr>
        <w:pStyle w:val="NormalWeb"/>
        <w:spacing w:before="0" w:beforeAutospacing="0" w:after="0" w:afterAutospacing="0"/>
        <w:jc w:val="both"/>
      </w:pPr>
      <w:r>
        <w:rPr>
          <w:rStyle w:val="Strong"/>
        </w:rPr>
        <w:t>7</w:t>
      </w:r>
      <w:r w:rsidR="002752FC">
        <w:rPr>
          <w:rStyle w:val="Strong"/>
        </w:rPr>
        <w:t xml:space="preserve">.2 </w:t>
      </w:r>
      <w:r w:rsidR="001E7D41" w:rsidRPr="002752FC">
        <w:rPr>
          <w:rStyle w:val="Strong"/>
        </w:rPr>
        <w:t>Institutional Constraints</w:t>
      </w:r>
      <w:r w:rsidR="001E7D41" w:rsidRPr="002752FC">
        <w:t xml:space="preserve"> </w:t>
      </w:r>
    </w:p>
    <w:p w14:paraId="3077DEA0" w14:textId="7C11060C" w:rsidR="00BF2574" w:rsidRPr="002752FC" w:rsidRDefault="00BF2574" w:rsidP="002752FC">
      <w:pPr>
        <w:spacing w:after="0" w:line="240" w:lineRule="auto"/>
        <w:jc w:val="both"/>
        <w:rPr>
          <w:rFonts w:ascii="Times New Roman" w:hAnsi="Times New Roman" w:cs="Times New Roman"/>
          <w:sz w:val="24"/>
          <w:szCs w:val="24"/>
        </w:rPr>
      </w:pPr>
      <w:r w:rsidRPr="002752FC">
        <w:rPr>
          <w:rFonts w:ascii="Times New Roman" w:hAnsi="Times New Roman" w:cs="Times New Roman"/>
          <w:sz w:val="24"/>
          <w:szCs w:val="24"/>
        </w:rPr>
        <w:t>Stakeholder input and field observations showed that the majority of TVET institutions had serious resource shortages. In addition to having old or insufficient technology, many facilities were woefully understaffed and lacked contemporary digital tools. Inadequate laboratory facilities, outdated workshops, and a lack of classrooms were among the infrastructure flaws that further hampered efficient instruction</w:t>
      </w:r>
      <w:r w:rsidR="0042566E" w:rsidRPr="002752FC">
        <w:rPr>
          <w:rFonts w:ascii="Times New Roman" w:hAnsi="Times New Roman" w:cs="Times New Roman"/>
          <w:sz w:val="24"/>
          <w:szCs w:val="24"/>
        </w:rPr>
        <w:fldChar w:fldCharType="begin"/>
      </w:r>
      <w:r w:rsidR="0042566E" w:rsidRPr="002752FC">
        <w:rPr>
          <w:rFonts w:ascii="Times New Roman" w:hAnsi="Times New Roman" w:cs="Times New Roman"/>
          <w:sz w:val="24"/>
          <w:szCs w:val="24"/>
        </w:rPr>
        <w:instrText xml:space="preserve"> ADDIN ZOTERO_ITEM CSL_CITATION {"citationID":"MM4VKexq","properties":{"formattedCitation":"(Julius Kumi Egyir, 2022)","plainCitation":"(Julius Kumi Egyir, 2022)","noteIndex":0},"citationItems":[{"id":866,"uris":["http://zotero.org/users/local/MHhRaBP9/items/DARKTMFQ"],"itemData":{"id":866,"type":"article-journal","abstract":"A school's infrastructure reflects its curriculum and co-curricular activities. Using constructivism and production theory, the study examined how school infrastructure affects academic achievement in four Ghanaian senior high schools. The study obtained data using interviews and questionnaires. The survey revealed that schools required sports fields, music rooms, church halls, mosques, and theatres. The study found that schools required additional dorms and bathrooms. The research uncovered that schools require updated classrooms, roomy scientific labs, and more cocurricular activities beyond outdoor games and computer labs. The study also indicated that learning, boarding, and co-curricular infrastructure improved student achievement. The interviews showed that SHS teachers believed school infrastructure improves academic achievement. The study suggests building and positioning school structures well and stocking and expanding school laboratories to serve all pupils to increase academic performance. To facilitate subject instruction, the school's ICT lab needs extra computers and supplies.","container-title":"International Journal of Innovative Science and Research Technology","journalAbbreviation":"International Journal of Innovative Science and Research Technology (IJISRT)","language":"en","source":"DOI.org (Crossref)","title":"Infrastructural Challenges and Student Academic Performance: Evidence from a Developing Nation","author":[{"family":"Julius Kumi Egyir","given":"Prince Dacosta Anaman"}],"issued":{"date-parts":[["2022"]]}}}],"schema":"https://github.com/citation-style-language/schema/raw/master/csl-citation.json"} </w:instrText>
      </w:r>
      <w:r w:rsidR="0042566E" w:rsidRPr="002752FC">
        <w:rPr>
          <w:rFonts w:ascii="Times New Roman" w:hAnsi="Times New Roman" w:cs="Times New Roman"/>
          <w:sz w:val="24"/>
          <w:szCs w:val="24"/>
        </w:rPr>
        <w:fldChar w:fldCharType="separate"/>
      </w:r>
      <w:r w:rsidR="0042566E" w:rsidRPr="002752FC">
        <w:rPr>
          <w:rFonts w:ascii="Times New Roman" w:hAnsi="Times New Roman" w:cs="Times New Roman"/>
          <w:sz w:val="24"/>
          <w:szCs w:val="24"/>
        </w:rPr>
        <w:t>(Julius Kumi Egyir, 2022)</w:t>
      </w:r>
      <w:r w:rsidR="0042566E" w:rsidRPr="002752FC">
        <w:rPr>
          <w:rFonts w:ascii="Times New Roman" w:hAnsi="Times New Roman" w:cs="Times New Roman"/>
          <w:sz w:val="24"/>
          <w:szCs w:val="24"/>
        </w:rPr>
        <w:fldChar w:fldCharType="end"/>
      </w:r>
      <w:r w:rsidRPr="002752FC">
        <w:rPr>
          <w:rFonts w:ascii="Times New Roman" w:hAnsi="Times New Roman" w:cs="Times New Roman"/>
          <w:sz w:val="24"/>
          <w:szCs w:val="24"/>
        </w:rPr>
        <w:t>. Local disparities in skill development were exacerbated by these deficiencies, which were especially noticeable in training facilities in rural and semi-urban areas.</w:t>
      </w:r>
      <w:r w:rsidR="002752FC">
        <w:rPr>
          <w:rFonts w:ascii="Times New Roman" w:hAnsi="Times New Roman" w:cs="Times New Roman"/>
          <w:sz w:val="24"/>
          <w:szCs w:val="24"/>
        </w:rPr>
        <w:t xml:space="preserve"> </w:t>
      </w:r>
      <w:r w:rsidRPr="002752FC">
        <w:rPr>
          <w:rFonts w:ascii="Times New Roman" w:hAnsi="Times New Roman" w:cs="Times New Roman"/>
          <w:sz w:val="24"/>
          <w:szCs w:val="24"/>
        </w:rPr>
        <w:t>Limitations in human resources become an urgent issue. Many universities reported ongoing teacher shortages, with current faculty frequently missing current pedagogical training or real-world experience. Attracting people from appropriate technical industries was challenging due to the recruitment process's frequent bureaucracy and lack of funding</w:t>
      </w:r>
      <w:r w:rsidR="00BC4604" w:rsidRPr="002752FC">
        <w:rPr>
          <w:rFonts w:ascii="Times New Roman" w:hAnsi="Times New Roman" w:cs="Times New Roman"/>
          <w:sz w:val="24"/>
          <w:szCs w:val="24"/>
        </w:rPr>
        <w:fldChar w:fldCharType="begin"/>
      </w:r>
      <w:r w:rsidR="00BC4604" w:rsidRPr="002752FC">
        <w:rPr>
          <w:rFonts w:ascii="Times New Roman" w:hAnsi="Times New Roman" w:cs="Times New Roman"/>
          <w:sz w:val="24"/>
          <w:szCs w:val="24"/>
        </w:rPr>
        <w:instrText xml:space="preserve"> ADDIN ZOTERO_ITEM CSL_CITATION {"citationID":"RogBTE2b","properties":{"formattedCitation":"(Mohammad Sarwar Hossain Islam et al., 2024)","plainCitation":"(Mohammad Sarwar Hossain Islam et al., 2024)","noteIndex":0},"citationItems":[{"id":832,"uris":["http://zotero.org/users/local/MHhRaBP9/items/XH57ZJSB"],"itemData":{"id":832,"type":"article-journal","abstract":"Small and medium-sized enterprises (SMEs) are widely recognised as significant catalysts for economic growth at a worldwide level. The benefits that are frequently highlighted for their promotion, particularly in developing nations like Bangladesh, include their relatively high labor intensity, reliance on local technology and skills, contributions to the growth of entrepreneurialism and innovativeness, and industrial linkage expansion. The objective of this study is to examine the influence of financial and internet support on the performance of small and medium enterprises (SMEs) in Bangladesh during the COVID-19 pandemic while also considering the moderating effect of technology adoption. By going through the literature, the study identified a number of factors namely financial support, ICT support, technological support played a strong role on SME performance during COVID-19. The present study utilises Partial Least Square (PLS) path modelling, a variance-based technique within the framework of Structural Equation Modelling (SEM), to investigate the correlations. A well-structured questionnaire is prepared for collecting primary data from the SME owners or managers and finally 378 data have been collected from the different types of SME entrepreneurs through using purposive sampling technique. Eight hypotheses are tested and found seven positive relationships with moderating interaction of technology adoption between influential factors and SME performance (financial and nonfinancial).","container-title":"World Journal of Advanced Engineering Technology and Sciences","DOI":"10.30574/wjaets.2024.13.2.0533","ISSN":"25828266","issue":"2","journalAbbreviation":"World J. Adv. Eng. Technol. Sci.","language":"en","page":"105-118","source":"DOI.org (Crossref)","title":"Impact of financial and internet support on SME performance: Moderating effect of technology adoption during COVID-19 pandemic","title-short":"Impact of financial and internet support on SME performance","volume":"13","author":[{"literal":"Mohammad Sarwar Hossain Islam"},{"literal":"Mohammad Rabiul Basher Rubel"},{"literal":"Mohammed Imam Hossain"},{"literal":"Md. Kamruzzaman"},{"literal":"Sathi Akter"},{"literal":"Md. Halimuzzaman"},{"literal":"Mohammad Rezaul Karim"}],"issued":{"date-parts":[["2024",11,30]]}}}],"schema":"https://github.com/citation-style-language/schema/raw/master/csl-citation.json"} </w:instrText>
      </w:r>
      <w:r w:rsidR="00BC4604" w:rsidRPr="002752FC">
        <w:rPr>
          <w:rFonts w:ascii="Times New Roman" w:hAnsi="Times New Roman" w:cs="Times New Roman"/>
          <w:sz w:val="24"/>
          <w:szCs w:val="24"/>
        </w:rPr>
        <w:fldChar w:fldCharType="separate"/>
      </w:r>
      <w:r w:rsidR="00BC4604" w:rsidRPr="002752FC">
        <w:rPr>
          <w:rFonts w:ascii="Times New Roman" w:hAnsi="Times New Roman" w:cs="Times New Roman"/>
          <w:sz w:val="24"/>
          <w:szCs w:val="24"/>
        </w:rPr>
        <w:t>(Mohammad Sarwar Hossain Islam et al., 2024)</w:t>
      </w:r>
      <w:r w:rsidR="00BC4604" w:rsidRPr="002752FC">
        <w:rPr>
          <w:rFonts w:ascii="Times New Roman" w:hAnsi="Times New Roman" w:cs="Times New Roman"/>
          <w:sz w:val="24"/>
          <w:szCs w:val="24"/>
        </w:rPr>
        <w:fldChar w:fldCharType="end"/>
      </w:r>
      <w:r w:rsidRPr="002752FC">
        <w:rPr>
          <w:rFonts w:ascii="Times New Roman" w:hAnsi="Times New Roman" w:cs="Times New Roman"/>
          <w:sz w:val="24"/>
          <w:szCs w:val="24"/>
        </w:rPr>
        <w:t>. Furthermore, there was little to no organized support for CPD, which prevented trainers from improving their abilities or implementing innovative teaching strategies.</w:t>
      </w:r>
      <w:r w:rsidR="002752FC">
        <w:rPr>
          <w:rFonts w:ascii="Times New Roman" w:hAnsi="Times New Roman" w:cs="Times New Roman"/>
          <w:sz w:val="24"/>
          <w:szCs w:val="24"/>
        </w:rPr>
        <w:t xml:space="preserve"> </w:t>
      </w:r>
      <w:r w:rsidRPr="002752FC">
        <w:rPr>
          <w:rFonts w:ascii="Times New Roman" w:hAnsi="Times New Roman" w:cs="Times New Roman"/>
          <w:sz w:val="24"/>
          <w:szCs w:val="24"/>
        </w:rPr>
        <w:t>Inadequate institutional management and ineffective administrative practices also contributed to capacity limitations. Many training facilities, according to a number of stakeholders, lacked decision-making autonomy and mostly relied on centralized directives that did not take local needs into account. Further limiting institutional flexibility were financial limitations, which made it challenging to maintain current infrastructure or launch creative activities.</w:t>
      </w:r>
      <w:r w:rsidR="002752FC">
        <w:rPr>
          <w:rFonts w:ascii="Times New Roman" w:hAnsi="Times New Roman" w:cs="Times New Roman"/>
          <w:sz w:val="24"/>
          <w:szCs w:val="24"/>
        </w:rPr>
        <w:t xml:space="preserve"> </w:t>
      </w:r>
      <w:r w:rsidRPr="002752FC">
        <w:rPr>
          <w:rFonts w:ascii="Times New Roman" w:hAnsi="Times New Roman" w:cs="Times New Roman"/>
          <w:sz w:val="24"/>
          <w:szCs w:val="24"/>
        </w:rPr>
        <w:t>These difficulties were made worse by a widespread deficiency of mechanisms for data management and performance monitoring. Institutions' capacity to match training with real job results was weakened by their frequent lack of trustworthy student monitoring, impact evaluation, or labor market feedback systems. Despite policy aspirations to increase access and relevance, TVET providers were still ill-prepared to deliver high-quality education at scale in the absence of focused investments in infrastructure, human resources, and institutional governance.</w:t>
      </w:r>
    </w:p>
    <w:p w14:paraId="6D08BFD0" w14:textId="13E5750C" w:rsidR="00BE30F9" w:rsidRPr="002752FC" w:rsidRDefault="00BE30F9" w:rsidP="002752FC">
      <w:pPr>
        <w:spacing w:after="0" w:line="240" w:lineRule="auto"/>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lastRenderedPageBreak/>
        <w:drawing>
          <wp:inline distT="0" distB="0" distL="0" distR="0" wp14:anchorId="4E6753DA" wp14:editId="143B51F7">
            <wp:extent cx="6076950" cy="3762375"/>
            <wp:effectExtent l="0" t="0" r="0" b="0"/>
            <wp:docPr id="2" name="Picture 2" descr="C:\Users\User\Downloads\Institutional Constraints - visual 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nstitutional Constraints - visual selection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762375"/>
                    </a:xfrm>
                    <a:prstGeom prst="rect">
                      <a:avLst/>
                    </a:prstGeom>
                    <a:noFill/>
                    <a:ln>
                      <a:noFill/>
                    </a:ln>
                  </pic:spPr>
                </pic:pic>
              </a:graphicData>
            </a:graphic>
          </wp:inline>
        </w:drawing>
      </w:r>
    </w:p>
    <w:p w14:paraId="68A11195" w14:textId="15CB8446" w:rsidR="001610A0" w:rsidRPr="002752FC" w:rsidRDefault="00BF2574" w:rsidP="002752FC">
      <w:pPr>
        <w:pStyle w:val="NormalWeb"/>
        <w:spacing w:before="0" w:beforeAutospacing="0" w:after="0" w:afterAutospacing="0"/>
      </w:pPr>
      <w:r w:rsidRPr="002752FC">
        <w:t xml:space="preserve"> </w:t>
      </w:r>
    </w:p>
    <w:p w14:paraId="1B6F7DDC" w14:textId="5B9EC4AE" w:rsidR="00D94789" w:rsidRPr="002752FC" w:rsidRDefault="00D94789" w:rsidP="002752FC">
      <w:pPr>
        <w:pStyle w:val="NormalWeb"/>
        <w:spacing w:before="0" w:beforeAutospacing="0" w:after="0" w:afterAutospacing="0"/>
        <w:jc w:val="center"/>
        <w:rPr>
          <w:b/>
        </w:rPr>
      </w:pPr>
      <w:r w:rsidRPr="002752FC">
        <w:rPr>
          <w:b/>
        </w:rPr>
        <w:t>Figure 2: TVET institutions unable to provide high-quality education at scale</w:t>
      </w:r>
    </w:p>
    <w:p w14:paraId="1F3C2329" w14:textId="77777777" w:rsidR="001E7D41" w:rsidRPr="002752FC" w:rsidRDefault="001E7D41" w:rsidP="002752FC">
      <w:pPr>
        <w:pStyle w:val="NormalWeb"/>
        <w:spacing w:before="0" w:beforeAutospacing="0" w:after="0" w:afterAutospacing="0"/>
        <w:jc w:val="both"/>
      </w:pPr>
    </w:p>
    <w:p w14:paraId="611DB0C0" w14:textId="48307408" w:rsidR="00B448BC" w:rsidRPr="002752FC" w:rsidRDefault="00524D8F" w:rsidP="002752FC">
      <w:pPr>
        <w:pStyle w:val="NormalWeb"/>
        <w:spacing w:before="0" w:beforeAutospacing="0" w:after="0" w:afterAutospacing="0"/>
        <w:jc w:val="both"/>
      </w:pPr>
      <w:r>
        <w:rPr>
          <w:rStyle w:val="Strong"/>
        </w:rPr>
        <w:t>7</w:t>
      </w:r>
      <w:r w:rsidR="002752FC">
        <w:rPr>
          <w:rStyle w:val="Strong"/>
        </w:rPr>
        <w:t xml:space="preserve">.3 </w:t>
      </w:r>
      <w:r w:rsidR="001E7D41" w:rsidRPr="002752FC">
        <w:rPr>
          <w:rStyle w:val="Strong"/>
        </w:rPr>
        <w:t>Curriculum and Industry Linkages</w:t>
      </w:r>
      <w:r w:rsidR="001E7D41" w:rsidRPr="002752FC">
        <w:t xml:space="preserve"> </w:t>
      </w:r>
    </w:p>
    <w:p w14:paraId="705C62DA" w14:textId="3953243B" w:rsidR="005010EB" w:rsidRPr="002752FC" w:rsidRDefault="00B448BC"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The antiquated character of TVET curricula was a persistent issue among educators and industry representatives. The majority of universities used conventional modules that did not take into account the demands of the modern industry or developments in technology</w:t>
      </w:r>
      <w:r w:rsidR="00D900A4" w:rsidRPr="002752FC">
        <w:rPr>
          <w:rFonts w:ascii="Times New Roman" w:eastAsia="Times New Roman" w:hAnsi="Times New Roman" w:cs="Times New Roman"/>
          <w:sz w:val="24"/>
          <w:szCs w:val="24"/>
        </w:rPr>
        <w:fldChar w:fldCharType="begin"/>
      </w:r>
      <w:r w:rsidR="00607C9D" w:rsidRPr="002752FC">
        <w:rPr>
          <w:rFonts w:ascii="Times New Roman" w:eastAsia="Times New Roman" w:hAnsi="Times New Roman" w:cs="Times New Roman"/>
          <w:sz w:val="24"/>
          <w:szCs w:val="24"/>
        </w:rPr>
        <w:instrText xml:space="preserve"> ADDIN ZOTERO_ITEM CSL_CITATION {"citationID":"AQVpERyw","properties":{"formattedCitation":"(S. Imran et al., 2024)","plainCitation":"(S. Imran et al., 2024)","noteIndex":0},"citationItems":[{"id":638,"uris":["http://zotero.org/users/local/MHhRaBP9/items/5P96EXLT"],"itemData":{"id":638,"type":"article-journal","abstract":"The ready-made garments (RMG) industry is a cornerstone of Bangladesh's economy, but its rapid expansion has raised significant concerns about environmental and social sustainability. As global consumer preferences shift toward more eco-friendly products, sustainable marketing practices have become increasingly important for businesses in this sector. This study investigates the relationship between consumer behavior and sustainable marketing in Bangladesh's RMG industry, exploring both consumer awareness and the challenges faced by businesses in adopting sustainability-focused strategies. Using a mixed-methods approach, the research incorporates quantitative data from a consumer survey and qualitative insights from interviews with industry stakeholders. The findings reveal that while a growing segment of consumers expresses a positive attitude toward sustainability, actual purchasing behavior is often constrained by higher costs and limited availability of sustainable garments. On the business side, financial and operational barriers prevent many companies, especially SMEs, from fully embracing sustainable marketing. However, the rise of digital marketing platforms and international demand for ethical products present significant opportunities for growth. The study concludes that businesses that effectively communicate their sustainability efforts and leverage digital tools can tap into a growing market segment, enhancing brand loyalty and long-term profitability.","container-title":"International Journal of Management Studies and Social Science Research","DOI":"10.56293/IJMSSSR.2024.5322","journalAbbreviation":"International Journal of Management Studies and Social Science Research","page":"152-161","source":"ResearchGate","title":"Consumer Behavior and Sustainable Marketing Practices in the Ready-Made Garments Industry","volume":"6","author":[{"family":"Imran","given":"S"},{"family":"Kabir","given":"Nazia"},{"family":"Uddin","given":"Imran"},{"family":"Ali","given":"Kaosar"},{"family":"Halimuzzaman","given":"Md"},{"family":"Bank","given":"Islami"},{"family":"Plc","given":"Bangladesh"},{"family":"Swarupkathi","given":"Bangladesh"}],"issued":{"date-parts":[["2024",12,4]]}}}],"schema":"https://github.com/citation-style-language/schema/raw/master/csl-citation.json"} </w:instrText>
      </w:r>
      <w:r w:rsidR="00D900A4" w:rsidRPr="002752FC">
        <w:rPr>
          <w:rFonts w:ascii="Times New Roman" w:eastAsia="Times New Roman" w:hAnsi="Times New Roman" w:cs="Times New Roman"/>
          <w:sz w:val="24"/>
          <w:szCs w:val="24"/>
        </w:rPr>
        <w:fldChar w:fldCharType="separate"/>
      </w:r>
      <w:r w:rsidR="00607C9D" w:rsidRPr="002752FC">
        <w:rPr>
          <w:rFonts w:ascii="Times New Roman" w:hAnsi="Times New Roman" w:cs="Times New Roman"/>
          <w:sz w:val="24"/>
          <w:szCs w:val="24"/>
        </w:rPr>
        <w:t>(S. Imran et al., 2024)</w:t>
      </w:r>
      <w:r w:rsidR="00D900A4"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Participants pointed out that there was a mismatch between supply and demand since skill sets taught in schools frequently had no direct application in the labor market. This discrepancy damaged the TVET system's reputation and made graduates less employable.</w:t>
      </w:r>
      <w:r w:rsidR="002752FC">
        <w:rPr>
          <w:rFonts w:ascii="Times New Roman" w:eastAsia="Times New Roman" w:hAnsi="Times New Roman" w:cs="Times New Roman"/>
          <w:sz w:val="24"/>
          <w:szCs w:val="24"/>
        </w:rPr>
        <w:t xml:space="preserve"> </w:t>
      </w:r>
      <w:r w:rsidR="005010EB" w:rsidRPr="002752FC">
        <w:rPr>
          <w:rFonts w:ascii="Times New Roman" w:eastAsia="Times New Roman" w:hAnsi="Times New Roman" w:cs="Times New Roman"/>
          <w:sz w:val="24"/>
          <w:szCs w:val="24"/>
        </w:rPr>
        <w:t>It was challenging for institutions to change or alter their material to satisfy particular regional or sectoral demands because of the national curriculum framework's rigidity. In several instances, curricula that had not been revised in more than ten years had neglected to incorporate new digital skills, technologies, green economy trends, or developing industries like e-commerce and renewable energy. As a result, graduates frequently lacked exposure to skills th</w:t>
      </w:r>
      <w:r w:rsidR="0032428E" w:rsidRPr="002752FC">
        <w:rPr>
          <w:rFonts w:ascii="Times New Roman" w:eastAsia="Times New Roman" w:hAnsi="Times New Roman" w:cs="Times New Roman"/>
          <w:sz w:val="24"/>
          <w:szCs w:val="24"/>
        </w:rPr>
        <w:t>at businesses actively sought.</w:t>
      </w:r>
      <w:r w:rsidR="0032428E" w:rsidRPr="002752FC">
        <w:rPr>
          <w:rFonts w:ascii="Times New Roman" w:eastAsia="Times New Roman" w:hAnsi="Times New Roman" w:cs="Times New Roman"/>
          <w:sz w:val="24"/>
          <w:szCs w:val="24"/>
        </w:rPr>
        <w:br/>
      </w:r>
      <w:r w:rsidR="005010EB" w:rsidRPr="002752FC">
        <w:rPr>
          <w:rFonts w:ascii="Times New Roman" w:eastAsia="Times New Roman" w:hAnsi="Times New Roman" w:cs="Times New Roman"/>
          <w:sz w:val="24"/>
          <w:szCs w:val="24"/>
        </w:rPr>
        <w:t>Curriculum reform, according to stakeholders, needs to be flexible and adaptable. This includes procedures for direct industry participation in curriculum creation, validation, and implementation in addition to regular reviews. But there was still little cooperation between institutions and business partners, and when there were consultations, they were frequently ceremonial rather than meaningful</w:t>
      </w:r>
      <w:r w:rsidR="00561546" w:rsidRPr="002752FC">
        <w:rPr>
          <w:rFonts w:ascii="Times New Roman" w:eastAsia="Times New Roman" w:hAnsi="Times New Roman" w:cs="Times New Roman"/>
          <w:sz w:val="24"/>
          <w:szCs w:val="24"/>
        </w:rPr>
        <w:fldChar w:fldCharType="begin"/>
      </w:r>
      <w:r w:rsidR="00561546" w:rsidRPr="002752FC">
        <w:rPr>
          <w:rFonts w:ascii="Times New Roman" w:eastAsia="Times New Roman" w:hAnsi="Times New Roman" w:cs="Times New Roman"/>
          <w:sz w:val="24"/>
          <w:szCs w:val="24"/>
        </w:rPr>
        <w:instrText xml:space="preserve"> ADDIN ZOTERO_ITEM CSL_CITATION {"citationID":"Q9NZm6EQ","properties":{"formattedCitation":"(Bhuiyan et al., 2025)","plainCitation":"(Bhuiyan et al., 2025)","noteIndex":0},"citationItems":[{"id":839,"uris":["http://zotero.org/users/local/MHhRaBP9/items/Y4MDPF4P"],"itemData":{"id":839,"type":"article-journal","abstract":"This study explores the role of Artificial Intelligence (AI) in transforming Human Resource (HR) practices, focusing on its impact on recruitment, employee engagement, performance management, and overall HR efficiency. Through a survey of 300 HR professionals, managers, and employees, the research evaluates the benefits and challenges of AI adoption in HR functions. The findings reveal that AI enhances efficiency, reduces biases in recruitment and performance evaluations, and improves employee satisfaction through personalized experiences. However, challenges such as high implementation costs, concerns about algorithmic bias, data privacy issues, and resistance to change were identified as barriers to successful AI adoption. The study concludes that while AI offers significant advantages for HR practices, organizations must address these challenges through training, transparency, and careful implementation to fully leverage AI's potential.","container-title":"International Journal of Business Management and Economic Review","DOI":"10.35409/IJBMER.2025.3646","ISSN":"25814664","issue":"01","journalAbbreviation":"IJBMER","language":"en","page":"98-110","source":"DOI.org (Crossref)","title":"EXPLORING THE ROLE OF ARTIFICIAL INTELLIGENCE IN TRANSFORMING HR PRACTICES","volume":"08","author":[{"family":"Bhuiyan","given":"Md. Masudul Haque"},{"family":"Dey","given":"Kripa Nath"},{"family":"Saha","given":"Palash"},{"family":"Sarker","given":"Pankaj Kumar"},{"literal":"Md. Halimuzzaman"},{"family":"Biswas","given":"Md. Tanjil"}],"issued":{"date-parts":[["2025"]]}}}],"schema":"https://github.com/citation-style-language/schema/raw/master/csl-citation.json"} </w:instrText>
      </w:r>
      <w:r w:rsidR="00561546" w:rsidRPr="002752FC">
        <w:rPr>
          <w:rFonts w:ascii="Times New Roman" w:eastAsia="Times New Roman" w:hAnsi="Times New Roman" w:cs="Times New Roman"/>
          <w:sz w:val="24"/>
          <w:szCs w:val="24"/>
        </w:rPr>
        <w:fldChar w:fldCharType="separate"/>
      </w:r>
      <w:r w:rsidR="00561546" w:rsidRPr="002752FC">
        <w:rPr>
          <w:rFonts w:ascii="Times New Roman" w:hAnsi="Times New Roman" w:cs="Times New Roman"/>
          <w:sz w:val="24"/>
          <w:szCs w:val="24"/>
        </w:rPr>
        <w:t>(Bhuiyan et al., 2025)</w:t>
      </w:r>
      <w:r w:rsidR="00561546" w:rsidRPr="002752FC">
        <w:rPr>
          <w:rFonts w:ascii="Times New Roman" w:eastAsia="Times New Roman" w:hAnsi="Times New Roman" w:cs="Times New Roman"/>
          <w:sz w:val="24"/>
          <w:szCs w:val="24"/>
        </w:rPr>
        <w:fldChar w:fldCharType="end"/>
      </w:r>
      <w:r w:rsidR="005010EB" w:rsidRPr="002752FC">
        <w:rPr>
          <w:rFonts w:ascii="Times New Roman" w:eastAsia="Times New Roman" w:hAnsi="Times New Roman" w:cs="Times New Roman"/>
          <w:sz w:val="24"/>
          <w:szCs w:val="24"/>
        </w:rPr>
        <w:t>.</w:t>
      </w:r>
      <w:r w:rsidR="005010EB" w:rsidRPr="002752FC">
        <w:rPr>
          <w:rFonts w:ascii="Times New Roman" w:hAnsi="Times New Roman" w:cs="Times New Roman"/>
          <w:sz w:val="24"/>
          <w:szCs w:val="24"/>
        </w:rPr>
        <w:t xml:space="preserve"> </w:t>
      </w:r>
      <w:r w:rsidR="005010EB" w:rsidRPr="002752FC">
        <w:rPr>
          <w:rFonts w:ascii="Times New Roman" w:eastAsia="Times New Roman" w:hAnsi="Times New Roman" w:cs="Times New Roman"/>
          <w:sz w:val="24"/>
          <w:szCs w:val="24"/>
        </w:rPr>
        <w:t>The absence of soft skills like problem-solving, cooperation, and communication in graduates, as well as practical training com</w:t>
      </w:r>
      <w:r w:rsidR="0032428E" w:rsidRPr="002752FC">
        <w:rPr>
          <w:rFonts w:ascii="Times New Roman" w:eastAsia="Times New Roman" w:hAnsi="Times New Roman" w:cs="Times New Roman"/>
          <w:sz w:val="24"/>
          <w:szCs w:val="24"/>
        </w:rPr>
        <w:t>ponents, frustrated employers.</w:t>
      </w:r>
      <w:r w:rsidR="002752FC">
        <w:rPr>
          <w:rFonts w:ascii="Times New Roman" w:eastAsia="Times New Roman" w:hAnsi="Times New Roman" w:cs="Times New Roman"/>
          <w:sz w:val="24"/>
          <w:szCs w:val="24"/>
        </w:rPr>
        <w:t xml:space="preserve"> </w:t>
      </w:r>
      <w:r w:rsidR="005010EB" w:rsidRPr="002752FC">
        <w:rPr>
          <w:rFonts w:ascii="Times New Roman" w:eastAsia="Times New Roman" w:hAnsi="Times New Roman" w:cs="Times New Roman"/>
          <w:sz w:val="24"/>
          <w:szCs w:val="24"/>
        </w:rPr>
        <w:t xml:space="preserve">Many training programs' theoretical direction was another significant problem. Practical sessions were few and far between, and when they did occur, they were weakened by inadequate equipment, antiquated technology, and packed workshops. The lack of dual training systems or other work-based learning methods added to the skills mismatch. Despite leaving training facilities with </w:t>
      </w:r>
      <w:r w:rsidR="005010EB" w:rsidRPr="002752FC">
        <w:rPr>
          <w:rFonts w:ascii="Times New Roman" w:eastAsia="Times New Roman" w:hAnsi="Times New Roman" w:cs="Times New Roman"/>
          <w:sz w:val="24"/>
          <w:szCs w:val="24"/>
        </w:rPr>
        <w:lastRenderedPageBreak/>
        <w:t>credentials, graduates lacked the self-assurance and skills necessary in practical situations.</w:t>
      </w:r>
      <w:r w:rsidR="002752FC">
        <w:rPr>
          <w:rFonts w:ascii="Times New Roman" w:eastAsia="Times New Roman" w:hAnsi="Times New Roman" w:cs="Times New Roman"/>
          <w:sz w:val="24"/>
          <w:szCs w:val="24"/>
        </w:rPr>
        <w:t xml:space="preserve"> </w:t>
      </w:r>
      <w:r w:rsidR="005010EB" w:rsidRPr="002752FC">
        <w:rPr>
          <w:rFonts w:ascii="Times New Roman" w:eastAsia="Times New Roman" w:hAnsi="Times New Roman" w:cs="Times New Roman"/>
          <w:sz w:val="24"/>
          <w:szCs w:val="24"/>
        </w:rPr>
        <w:t xml:space="preserve">Reforming curricula with an emphasis on flexibility, modularity, and labor market alignment is important in order to close the skills gap. By implementing competency-based training </w:t>
      </w:r>
      <w:r w:rsidR="00836025" w:rsidRPr="002752FC">
        <w:rPr>
          <w:rFonts w:ascii="Times New Roman" w:eastAsia="Times New Roman" w:hAnsi="Times New Roman" w:cs="Times New Roman"/>
          <w:sz w:val="24"/>
          <w:szCs w:val="24"/>
        </w:rPr>
        <w:t xml:space="preserve">and Assessment </w:t>
      </w:r>
      <w:r w:rsidR="005010EB" w:rsidRPr="002752FC">
        <w:rPr>
          <w:rFonts w:ascii="Times New Roman" w:eastAsia="Times New Roman" w:hAnsi="Times New Roman" w:cs="Times New Roman"/>
          <w:sz w:val="24"/>
          <w:szCs w:val="24"/>
        </w:rPr>
        <w:t>(CBT</w:t>
      </w:r>
      <w:r w:rsidR="00836025" w:rsidRPr="002752FC">
        <w:rPr>
          <w:rFonts w:ascii="Times New Roman" w:eastAsia="Times New Roman" w:hAnsi="Times New Roman" w:cs="Times New Roman"/>
          <w:sz w:val="24"/>
          <w:szCs w:val="24"/>
        </w:rPr>
        <w:t>&amp;A</w:t>
      </w:r>
      <w:r w:rsidR="005010EB" w:rsidRPr="002752FC">
        <w:rPr>
          <w:rFonts w:ascii="Times New Roman" w:eastAsia="Times New Roman" w:hAnsi="Times New Roman" w:cs="Times New Roman"/>
          <w:sz w:val="24"/>
          <w:szCs w:val="24"/>
        </w:rPr>
        <w:t>), credit transfer programs, and stackable credentials, students will be able to customize their education to fit certain career routes and adjust to shifting job markets. Strong quality assurance procedures must be implemented in tandem with these reforms to guarantee that the material satisfies both domestic and international requirements.</w:t>
      </w:r>
    </w:p>
    <w:p w14:paraId="23492A33" w14:textId="77777777" w:rsidR="005010EB" w:rsidRPr="002752FC" w:rsidRDefault="005010EB"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29AD0D47" wp14:editId="7DAA29E8">
            <wp:extent cx="4924425" cy="2438400"/>
            <wp:effectExtent l="0" t="0" r="0" b="0"/>
            <wp:docPr id="3" name="Picture 3" descr="C:\Users\User\Downloads\Curriculum and Industry Linkages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urriculum and Industry Linkages - visual selec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2438400"/>
                    </a:xfrm>
                    <a:prstGeom prst="rect">
                      <a:avLst/>
                    </a:prstGeom>
                    <a:noFill/>
                    <a:ln>
                      <a:noFill/>
                    </a:ln>
                  </pic:spPr>
                </pic:pic>
              </a:graphicData>
            </a:graphic>
          </wp:inline>
        </w:drawing>
      </w:r>
    </w:p>
    <w:p w14:paraId="48E4BAAC" w14:textId="009B29C9" w:rsidR="00417AA8" w:rsidRPr="002752FC" w:rsidRDefault="00417AA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Figure 3: Analyzing TVET Curriculum Challenges</w:t>
      </w:r>
    </w:p>
    <w:p w14:paraId="09DA31A7" w14:textId="77777777" w:rsidR="005010EB" w:rsidRPr="002752FC" w:rsidRDefault="005010EB" w:rsidP="002752FC">
      <w:pPr>
        <w:spacing w:after="0" w:line="240" w:lineRule="auto"/>
        <w:jc w:val="both"/>
        <w:rPr>
          <w:rFonts w:ascii="Times New Roman" w:eastAsia="Times New Roman" w:hAnsi="Times New Roman" w:cs="Times New Roman"/>
          <w:sz w:val="24"/>
          <w:szCs w:val="24"/>
        </w:rPr>
      </w:pPr>
    </w:p>
    <w:p w14:paraId="12AF8CFE" w14:textId="04CC2049" w:rsidR="0042700F" w:rsidRPr="002752FC" w:rsidRDefault="00524D8F" w:rsidP="002752FC">
      <w:pPr>
        <w:pStyle w:val="NormalWeb"/>
        <w:spacing w:before="0" w:beforeAutospacing="0" w:after="0" w:afterAutospacing="0"/>
        <w:jc w:val="both"/>
      </w:pPr>
      <w:r>
        <w:rPr>
          <w:rStyle w:val="Strong"/>
        </w:rPr>
        <w:t>7</w:t>
      </w:r>
      <w:r w:rsidR="002752FC">
        <w:rPr>
          <w:rStyle w:val="Strong"/>
        </w:rPr>
        <w:t xml:space="preserve">.4 </w:t>
      </w:r>
      <w:r w:rsidR="001E7D41" w:rsidRPr="002752FC">
        <w:rPr>
          <w:rStyle w:val="Strong"/>
        </w:rPr>
        <w:t>Financial and Resource Allocation</w:t>
      </w:r>
      <w:r w:rsidR="001E7D41" w:rsidRPr="002752FC">
        <w:t xml:space="preserve"> </w:t>
      </w:r>
    </w:p>
    <w:p w14:paraId="3F7B3D66" w14:textId="1DE4481D" w:rsidR="0042700F" w:rsidRPr="002752FC" w:rsidRDefault="0042700F"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One major obstacle to the successful mainstreaming of TVET in Bangladesh was the distribution of funds and resources. Although the government had attempted to provide money for vocational education and training, numerous institutions complained that the funding was inadequate and frequently delayed, which hindered their capacity to operate efficiently</w:t>
      </w:r>
      <w:r w:rsidR="00100BB5" w:rsidRPr="002752FC">
        <w:rPr>
          <w:rFonts w:ascii="Times New Roman" w:eastAsia="Times New Roman" w:hAnsi="Times New Roman" w:cs="Times New Roman"/>
          <w:sz w:val="24"/>
          <w:szCs w:val="24"/>
        </w:rPr>
        <w:fldChar w:fldCharType="begin"/>
      </w:r>
      <w:r w:rsidR="00100BB5" w:rsidRPr="002752FC">
        <w:rPr>
          <w:rFonts w:ascii="Times New Roman" w:eastAsia="Times New Roman" w:hAnsi="Times New Roman" w:cs="Times New Roman"/>
          <w:sz w:val="24"/>
          <w:szCs w:val="24"/>
        </w:rPr>
        <w:instrText xml:space="preserve"> ADDIN ZOTERO_ITEM CSL_CITATION {"citationID":"pDX405ft","properties":{"formattedCitation":"(Mohammad Sarwar Hossain Islam et al., 2024)","plainCitation":"(Mohammad Sarwar Hossain Islam et al., 2024)","noteIndex":0},"citationItems":[{"id":832,"uris":["http://zotero.org/users/local/MHhRaBP9/items/XH57ZJSB"],"itemData":{"id":832,"type":"article-journal","abstract":"Small and medium-sized enterprises (SMEs) are widely recognised as significant catalysts for economic growth at a worldwide level. The benefits that are frequently highlighted for their promotion, particularly in developing nations like Bangladesh, include their relatively high labor intensity, reliance on local technology and skills, contributions to the growth of entrepreneurialism and innovativeness, and industrial linkage expansion. The objective of this study is to examine the influence of financial and internet support on the performance of small and medium enterprises (SMEs) in Bangladesh during the COVID-19 pandemic while also considering the moderating effect of technology adoption. By going through the literature, the study identified a number of factors namely financial support, ICT support, technological support played a strong role on SME performance during COVID-19. The present study utilises Partial Least Square (PLS) path modelling, a variance-based technique within the framework of Structural Equation Modelling (SEM), to investigate the correlations. A well-structured questionnaire is prepared for collecting primary data from the SME owners or managers and finally 378 data have been collected from the different types of SME entrepreneurs through using purposive sampling technique. Eight hypotheses are tested and found seven positive relationships with moderating interaction of technology adoption between influential factors and SME performance (financial and nonfinancial).","container-title":"World Journal of Advanced Engineering Technology and Sciences","DOI":"10.30574/wjaets.2024.13.2.0533","ISSN":"25828266","issue":"2","journalAbbreviation":"World J. Adv. Eng. Technol. Sci.","language":"en","page":"105-118","source":"DOI.org (Crossref)","title":"Impact of financial and internet support on SME performance: Moderating effect of technology adoption during COVID-19 pandemic","title-short":"Impact of financial and internet support on SME performance","volume":"13","author":[{"literal":"Mohammad Sarwar Hossain Islam"},{"literal":"Mohammad Rabiul Basher Rubel"},{"literal":"Mohammed Imam Hossain"},{"literal":"Md. Kamruzzaman"},{"literal":"Sathi Akter"},{"literal":"Md. Halimuzzaman"},{"literal":"Mohammad Rezaul Karim"}],"issued":{"date-parts":[["2024",11,30]]}}}],"schema":"https://github.com/citation-style-language/schema/raw/master/csl-citation.json"} </w:instrText>
      </w:r>
      <w:r w:rsidR="00100BB5" w:rsidRPr="002752FC">
        <w:rPr>
          <w:rFonts w:ascii="Times New Roman" w:eastAsia="Times New Roman" w:hAnsi="Times New Roman" w:cs="Times New Roman"/>
          <w:sz w:val="24"/>
          <w:szCs w:val="24"/>
        </w:rPr>
        <w:fldChar w:fldCharType="separate"/>
      </w:r>
      <w:r w:rsidR="00100BB5" w:rsidRPr="002752FC">
        <w:rPr>
          <w:rFonts w:ascii="Times New Roman" w:hAnsi="Times New Roman" w:cs="Times New Roman"/>
          <w:sz w:val="24"/>
          <w:szCs w:val="24"/>
        </w:rPr>
        <w:t>(Mohammad Sarwar Hossain Islam et al., 2024)</w:t>
      </w:r>
      <w:r w:rsidR="00100BB5" w:rsidRPr="002752FC">
        <w:rPr>
          <w:rFonts w:ascii="Times New Roman" w:eastAsia="Times New Roman" w:hAnsi="Times New Roman" w:cs="Times New Roman"/>
          <w:sz w:val="24"/>
          <w:szCs w:val="24"/>
        </w:rPr>
        <w:fldChar w:fldCharType="end"/>
      </w:r>
      <w:r w:rsidRPr="002752FC">
        <w:rPr>
          <w:rFonts w:ascii="Times New Roman" w:eastAsia="Times New Roman" w:hAnsi="Times New Roman" w:cs="Times New Roman"/>
          <w:sz w:val="24"/>
          <w:szCs w:val="24"/>
        </w:rPr>
        <w:t>. Even though there was a clear national goal to upgrade and expand TVET, funding was frequently scarce and resources were dispersed among several programs and institutions. This resulted in a shortage of resources that made it difficult to update curricula, undertake reform initiatives, and acquire necessary training supplies.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The absence of appropriate budgeting procedures was cited by a number of parties as a major problem. Generally speaking, the resources allotted to TVET institutions were rigid, making it difficult to reroute them to address new demands or particular regional difficulties. Funds intended for infrastructure development, for instance, were occasionally misappropriated for administrative costs or other unrelated purposes. The distribution of cash was opaque due to the lack of a well-defined and organized system for financial planning; political connections, rather than needs assessments, determined which regions or institutions received more than others.</w:t>
      </w:r>
    </w:p>
    <w:p w14:paraId="52A2E6ED" w14:textId="044D9061" w:rsidR="00DF2B58" w:rsidRDefault="0042700F" w:rsidP="002752FC">
      <w:p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Financial management procedures were frequently inadequate at the institutional level. Dedicated finance officers or departments with the know-how to effectively handle funds were lacking in many TVET institutions. Because of this, the allocated funds were occasionally misused, which resulted in procurement delays, wasteful spending, or missed project deadlines. This made it even harder for training facilities to update their operations or adapt to the changing demands of the labor market.</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The significant reliance on donor financing was another important factor contributing to financial difficulties. TVET programs were greatly aided by foreign donors, but this reliance on outside sources also led to risks. These funds had strict requirements and were </w:t>
      </w:r>
      <w:r w:rsidRPr="002752FC">
        <w:rPr>
          <w:rFonts w:ascii="Times New Roman" w:eastAsia="Times New Roman" w:hAnsi="Times New Roman" w:cs="Times New Roman"/>
          <w:sz w:val="24"/>
          <w:szCs w:val="24"/>
        </w:rPr>
        <w:lastRenderedPageBreak/>
        <w:t>frequently linked to certain projects or results, which limited the ability of institutions to allocate resources in accordance with their own goals. Furthermore, if donor financing ran out, it was frequently questioned whether these projects could continue. Many TVET programs were left unfinished or failed to have the intended effect because there was no steady, long-term funding plan in place.</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Employers lacked clear incentives to invest in education and training, and the private sector's contribution to TVET funding remained modest. Without realizing that workforce development investments may eventually benefit their own companies by guaranteeing a qualified and competent worker pool, employers sometimes expected the government or educational institutions to cover the entire cost of training.</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 more strategic approach to resource allocation and financial planning is necessary to meet these difficulties. It is essential to make sure that TVET institutions receive timely and sufficient funding, with systemic flexibility to meet changing requirements.</w:t>
      </w:r>
      <w:r w:rsidR="00DF2B58" w:rsidRPr="002752FC">
        <w:rPr>
          <w:rFonts w:ascii="Times New Roman" w:hAnsi="Times New Roman" w:cs="Times New Roman"/>
          <w:sz w:val="24"/>
          <w:szCs w:val="24"/>
        </w:rPr>
        <w:t xml:space="preserve"> </w:t>
      </w:r>
      <w:r w:rsidR="00DF2B58" w:rsidRPr="002752FC">
        <w:rPr>
          <w:rFonts w:ascii="Times New Roman" w:eastAsia="Times New Roman" w:hAnsi="Times New Roman" w:cs="Times New Roman"/>
          <w:sz w:val="24"/>
          <w:szCs w:val="24"/>
        </w:rPr>
        <w:t>TVET programs would be more effective overall if institutional financial management were strengthened, strong monitoring systems were put in place, and funding was allocated fairly based on actual needs. A more sustainable model for vocational education in Bangladesh might also be established by establishing financial incentives for private sector participation in TVET, such as tax cuts or subsidies for businesses that provide apprenticeships.</w:t>
      </w:r>
    </w:p>
    <w:p w14:paraId="73DE6CE9"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4E81E977" w14:textId="77777777" w:rsidR="00BE48A4" w:rsidRPr="002752FC" w:rsidRDefault="00BE48A4"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drawing>
          <wp:inline distT="0" distB="0" distL="0" distR="0" wp14:anchorId="1A5B1D11" wp14:editId="11F0B688">
            <wp:extent cx="4589145" cy="2219325"/>
            <wp:effectExtent l="0" t="0" r="0" b="0"/>
            <wp:docPr id="4" name="Picture 4" descr="C:\Users\User\Downloads\Financial and Resource Allocation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Financial and Resource Allocation - visual selec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9145" cy="2219325"/>
                    </a:xfrm>
                    <a:prstGeom prst="rect">
                      <a:avLst/>
                    </a:prstGeom>
                    <a:noFill/>
                    <a:ln>
                      <a:noFill/>
                    </a:ln>
                  </pic:spPr>
                </pic:pic>
              </a:graphicData>
            </a:graphic>
          </wp:inline>
        </w:drawing>
      </w:r>
    </w:p>
    <w:p w14:paraId="68E64C20" w14:textId="748DD7C2" w:rsidR="00417AA8" w:rsidRPr="002752FC" w:rsidRDefault="00417AA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 xml:space="preserve">Figure 4: Strategic Funding and Resource Allocation Improves TVET in </w:t>
      </w:r>
      <w:r w:rsidR="002752FC" w:rsidRPr="002752FC">
        <w:rPr>
          <w:rFonts w:ascii="Times New Roman" w:eastAsia="Times New Roman" w:hAnsi="Times New Roman" w:cs="Times New Roman"/>
          <w:b/>
          <w:sz w:val="24"/>
          <w:szCs w:val="24"/>
        </w:rPr>
        <w:t>Bangladesh</w:t>
      </w:r>
    </w:p>
    <w:p w14:paraId="660355EB" w14:textId="77777777" w:rsidR="0042700F" w:rsidRPr="002752FC" w:rsidRDefault="0042700F" w:rsidP="002752FC">
      <w:pPr>
        <w:spacing w:after="0" w:line="240" w:lineRule="auto"/>
        <w:jc w:val="both"/>
        <w:rPr>
          <w:rFonts w:ascii="Times New Roman" w:eastAsia="Times New Roman" w:hAnsi="Times New Roman" w:cs="Times New Roman"/>
          <w:sz w:val="24"/>
          <w:szCs w:val="24"/>
        </w:rPr>
      </w:pPr>
    </w:p>
    <w:p w14:paraId="29040099" w14:textId="4EDA488C" w:rsidR="0005480B" w:rsidRPr="002752FC" w:rsidRDefault="00524D8F" w:rsidP="002752FC">
      <w:pPr>
        <w:pStyle w:val="NormalWeb"/>
        <w:spacing w:before="0" w:beforeAutospacing="0" w:after="0" w:afterAutospacing="0"/>
        <w:jc w:val="both"/>
      </w:pPr>
      <w:r>
        <w:rPr>
          <w:rStyle w:val="Strong"/>
        </w:rPr>
        <w:t>7</w:t>
      </w:r>
      <w:r w:rsidR="002752FC">
        <w:rPr>
          <w:rStyle w:val="Strong"/>
        </w:rPr>
        <w:t xml:space="preserve">.5 </w:t>
      </w:r>
      <w:r w:rsidR="001E7D41" w:rsidRPr="002752FC">
        <w:rPr>
          <w:rStyle w:val="Strong"/>
        </w:rPr>
        <w:t>Social Perception and Student Motivation</w:t>
      </w:r>
      <w:r w:rsidR="001E7D41" w:rsidRPr="002752FC">
        <w:t xml:space="preserve"> </w:t>
      </w:r>
    </w:p>
    <w:p w14:paraId="1997BA76" w14:textId="77777777" w:rsidR="0005480B" w:rsidRPr="002752FC" w:rsidRDefault="0005480B" w:rsidP="002752FC">
      <w:pPr>
        <w:spacing w:after="0" w:line="240" w:lineRule="auto"/>
        <w:jc w:val="both"/>
        <w:rPr>
          <w:rFonts w:ascii="Times New Roman" w:hAnsi="Times New Roman" w:cs="Times New Roman"/>
          <w:sz w:val="24"/>
          <w:szCs w:val="24"/>
        </w:rPr>
      </w:pPr>
      <w:r w:rsidRPr="002752FC">
        <w:rPr>
          <w:rFonts w:ascii="Times New Roman" w:hAnsi="Times New Roman" w:cs="Times New Roman"/>
          <w:sz w:val="24"/>
          <w:szCs w:val="24"/>
        </w:rPr>
        <w:t>One of the key obstacles to the successful mainstreaming of vocational education and training (TVET) in Bangladesh was the social view of TVET. TVET was still stigmatized as a secondary, less desired route for people who couldn't achieve in traditional academic programs, despite the fact that it may offer useful skills and job prospects</w:t>
      </w:r>
      <w:r w:rsidR="00561546" w:rsidRPr="002752FC">
        <w:rPr>
          <w:rFonts w:ascii="Times New Roman" w:hAnsi="Times New Roman" w:cs="Times New Roman"/>
          <w:sz w:val="24"/>
          <w:szCs w:val="24"/>
        </w:rPr>
        <w:fldChar w:fldCharType="begin"/>
      </w:r>
      <w:r w:rsidR="00561546" w:rsidRPr="002752FC">
        <w:rPr>
          <w:rFonts w:ascii="Times New Roman" w:hAnsi="Times New Roman" w:cs="Times New Roman"/>
          <w:sz w:val="24"/>
          <w:szCs w:val="24"/>
        </w:rPr>
        <w:instrText xml:space="preserve"> ADDIN ZOTERO_ITEM CSL_CITATION {"citationID":"5kYXf5so","properties":{"formattedCitation":"(Palash Saha, 2025)","plainCitation":"(Palash Saha, 2025)","noteIndex":0},"citationItems":[{"id":837,"uris":["http://zotero.org/users/local/MHhRaBP9/items/BFGPDZQG"],"itemData":{"id":837,"type":"article-journal","abstract":"The objectives of this study are to mark out and state factors of training, development, and motivation in construction companies in Bangladesh and to determine the impact of these practices on the performance of these organizations. The constant changes ensuing in the world today, especially with consideration to technology and innovation in new products and services in which they handle their employees. The data was collected by questionnaire in different Bangladeshi organizations. The survey targeted these categories. 50 questionnaires were distributed with 38 questionnaires were received. The findings disclose that there are strong and positive relationships between training and development and motivation of employees and the performance of the construction sector. The project researches the effects that motivation has on the job performance of employees. This research aims to evaluate the impact of motivation on employee performance in the construction industry in Bangladesh. This project pursues the result that motivation has on the job performance of employees. The findings from this study provide information as to what changes can be built so that employees are over motivated in their workplace. The most important factors of training and motivation that can improve the Construction Company’s performance are self-directed, learning, environment, trust, communication style, and interpersonal relationship.","container-title":"International Journal of Social Science and Economic Research","ISSN":"24558834","journalAbbreviation":"IJSSER","language":"en","source":"DOI.org (Crossref)","title":"Employee Motivation and Behavior in Construction Engineering Projects","author":[{"family":"Palash Saha","given":"Md Sharfuddin"}],"issued":{"date-parts":[["2025"]]}}}],"schema":"https://github.com/citation-style-language/schema/raw/master/csl-citation.json"} </w:instrText>
      </w:r>
      <w:r w:rsidR="00561546" w:rsidRPr="002752FC">
        <w:rPr>
          <w:rFonts w:ascii="Times New Roman" w:hAnsi="Times New Roman" w:cs="Times New Roman"/>
          <w:sz w:val="24"/>
          <w:szCs w:val="24"/>
        </w:rPr>
        <w:fldChar w:fldCharType="separate"/>
      </w:r>
      <w:r w:rsidR="00561546" w:rsidRPr="002752FC">
        <w:rPr>
          <w:rFonts w:ascii="Times New Roman" w:hAnsi="Times New Roman" w:cs="Times New Roman"/>
          <w:sz w:val="24"/>
          <w:szCs w:val="24"/>
        </w:rPr>
        <w:t>(Palash Saha, 2025)</w:t>
      </w:r>
      <w:r w:rsidR="00561546" w:rsidRPr="002752FC">
        <w:rPr>
          <w:rFonts w:ascii="Times New Roman" w:hAnsi="Times New Roman" w:cs="Times New Roman"/>
          <w:sz w:val="24"/>
          <w:szCs w:val="24"/>
        </w:rPr>
        <w:fldChar w:fldCharType="end"/>
      </w:r>
      <w:r w:rsidRPr="002752FC">
        <w:rPr>
          <w:rFonts w:ascii="Times New Roman" w:hAnsi="Times New Roman" w:cs="Times New Roman"/>
          <w:sz w:val="24"/>
          <w:szCs w:val="24"/>
        </w:rPr>
        <w:t>. Due to the public's lack of support for vocational education as a result of this unfavorable impression, student enrollment and motivation were low.</w:t>
      </w:r>
    </w:p>
    <w:p w14:paraId="5F490708" w14:textId="35B292C1" w:rsidR="00305EBA" w:rsidRPr="002752FC" w:rsidRDefault="00305EBA" w:rsidP="002752FC">
      <w:pPr>
        <w:spacing w:after="0" w:line="240" w:lineRule="auto"/>
        <w:jc w:val="both"/>
        <w:rPr>
          <w:rFonts w:ascii="Times New Roman" w:eastAsia="Times New Roman" w:hAnsi="Times New Roman" w:cs="Times New Roman"/>
          <w:sz w:val="24"/>
          <w:szCs w:val="24"/>
        </w:rPr>
      </w:pPr>
      <w:r w:rsidRPr="002752FC">
        <w:rPr>
          <w:rFonts w:ascii="Times New Roman" w:hAnsi="Times New Roman" w:cs="Times New Roman"/>
          <w:sz w:val="24"/>
          <w:szCs w:val="24"/>
        </w:rPr>
        <w:t>The pervasive notion that TVET was a route for students who had "failed" academically rather than a respectable and fulfilling career choice was a major contributing factor to this problem. In Bangladeshi society, where academic achievement in traditional topics was frequently valued more highly than technological or vocational abilities, this viewpoint was firmly established. As a result, many families dissuaded their kids from going to TVET because they thought it was less respectable than ordinary education</w:t>
      </w:r>
      <w:r w:rsidR="00692F1B" w:rsidRPr="002752FC">
        <w:rPr>
          <w:rFonts w:ascii="Times New Roman" w:hAnsi="Times New Roman" w:cs="Times New Roman"/>
          <w:sz w:val="24"/>
          <w:szCs w:val="24"/>
        </w:rPr>
        <w:fldChar w:fldCharType="begin"/>
      </w:r>
      <w:r w:rsidR="00692F1B" w:rsidRPr="002752FC">
        <w:rPr>
          <w:rFonts w:ascii="Times New Roman" w:hAnsi="Times New Roman" w:cs="Times New Roman"/>
          <w:sz w:val="24"/>
          <w:szCs w:val="24"/>
        </w:rPr>
        <w:instrText xml:space="preserve"> ADDIN ZOTERO_ITEM CSL_CITATION {"citationID":"ijtqmjNX","properties":{"formattedCitation":"(Islam et al., 2025)","plainCitation":"(Islam et al., 2025)","noteIndex":0},"citationItems":[{"id":841,"uris":["http://zotero.org/users/local/MHhRaBP9/items/2JWNBDKC"],"itemData":{"id":841,"type":"article-journal","abstract":"The integration of Artificial Intelligence (AI) into green marketing strategies presents a transformative opportunity for eco-friendly tourism businesses. This study examines the effectiveness of AI-driven marketing techniques in promoting sustainable tourism by leveraging data analytics, machine learning, and predictive modeling. Using a quantitative research approach, we analyze consumer responses to AI-powered marketing campaigns, assessing their impact on eco-conscious purchasing behavior, customer engagement, and brand loyalty. Data was collected from a survey of eco-conscious travelers and analyzed using statistical methods, including regression analysis and machine learning-based sentiment analysis. The findings reveal that AI-driven green marketing significantly enhances consumer awareness and engagement, leading to increased adoption of sustainable tourism options. The results offer valuable insights for tourism businesses seeking to optimize their marketing strategies while maintaining sustainability goals. This research contributes to the growing discourse on AI applications in environmental marketing and provides actionable recommendations for businesses aiming to align profitability with ecological responsibility. Future studies should explore the long-term impact of AI-driven strategies on consumer loyalty and environmental conservation efforts.","container-title":"International Journal of Tourism and Hotel Management","DOI":"10.22271/27069583.2025.v7.i1a.125","ISSN":"27069583, 27069591","issue":"1","journalAbbreviation":"Int. J. Tourism Hotel Manage.","language":"en","page":"56-60","source":"DOI.org (Crossref)","title":"AI-Driven green marketing strategies for eco-friendly tourism businesses","volume":"7","author":[{"family":"Islam","given":"Md. Ashadul"},{"family":"Goldar","given":"Sufal Chandra"},{"family":"Imran","given":"Sm Al"},{"family":"Halimuzzaman","given":"Md."},{"family":"Hasan","given":"Salman"}],"issued":{"date-parts":[["2025",1,1]]}}}],"schema":"https://github.com/citation-style-language/schema/raw/master/csl-citation.json"} </w:instrText>
      </w:r>
      <w:r w:rsidR="00692F1B" w:rsidRPr="002752FC">
        <w:rPr>
          <w:rFonts w:ascii="Times New Roman" w:hAnsi="Times New Roman" w:cs="Times New Roman"/>
          <w:sz w:val="24"/>
          <w:szCs w:val="24"/>
        </w:rPr>
        <w:fldChar w:fldCharType="separate"/>
      </w:r>
      <w:r w:rsidR="00692F1B" w:rsidRPr="002752FC">
        <w:rPr>
          <w:rFonts w:ascii="Times New Roman" w:hAnsi="Times New Roman" w:cs="Times New Roman"/>
          <w:sz w:val="24"/>
          <w:szCs w:val="24"/>
        </w:rPr>
        <w:t>(Islam et al., 2025)</w:t>
      </w:r>
      <w:r w:rsidR="00692F1B" w:rsidRPr="002752FC">
        <w:rPr>
          <w:rFonts w:ascii="Times New Roman" w:hAnsi="Times New Roman" w:cs="Times New Roman"/>
          <w:sz w:val="24"/>
          <w:szCs w:val="24"/>
        </w:rPr>
        <w:fldChar w:fldCharType="end"/>
      </w:r>
      <w:r w:rsidRPr="002752FC">
        <w:rPr>
          <w:rFonts w:ascii="Times New Roman" w:hAnsi="Times New Roman" w:cs="Times New Roman"/>
          <w:sz w:val="24"/>
          <w:szCs w:val="24"/>
        </w:rPr>
        <w:t xml:space="preserve">. TVET's value was diminished in the eyes of students, parents, and society at large due to the societal stigma produced by the idea that vocational education was only for those who were academically weak or unambitious. </w:t>
      </w:r>
      <w:r w:rsidRPr="002752FC">
        <w:rPr>
          <w:rFonts w:ascii="Times New Roman" w:hAnsi="Times New Roman" w:cs="Times New Roman"/>
          <w:sz w:val="24"/>
          <w:szCs w:val="24"/>
        </w:rPr>
        <w:lastRenderedPageBreak/>
        <w:t>Additionally, those who did decide for TVET frequently struggled with low self-esteem and motivation. This was partially because their parents, teachers, and classmates devalued their chosen career, maybe viewing vocational training as a "second-rate" alternative. The absence of social recognition or job opportunities in the labor market deterred many students from being motivated to succeed in TVET programs. Consequently, there was frequently a discrepancy between the actual advantages that students saw and the work that went into vocational training.</w:t>
      </w:r>
      <w:r w:rsidRPr="002752FC">
        <w:rPr>
          <w:rFonts w:ascii="Times New Roman" w:hAnsi="Times New Roman" w:cs="Times New Roman"/>
          <w:sz w:val="24"/>
          <w:szCs w:val="24"/>
        </w:rPr>
        <w:br/>
        <w:t xml:space="preserve">Lack of knowledge about the possible career options accessible to TVET program graduates made matters worse. </w:t>
      </w:r>
      <w:r w:rsidRPr="002752FC">
        <w:rPr>
          <w:rFonts w:ascii="Times New Roman" w:eastAsia="Times New Roman" w:hAnsi="Times New Roman" w:cs="Times New Roman"/>
          <w:sz w:val="24"/>
          <w:szCs w:val="24"/>
        </w:rPr>
        <w:t xml:space="preserve">Many students were not completely aware of the technical </w:t>
      </w:r>
      <w:r w:rsidR="00836025" w:rsidRPr="002752FC">
        <w:rPr>
          <w:rFonts w:ascii="Times New Roman" w:eastAsia="Times New Roman" w:hAnsi="Times New Roman" w:cs="Times New Roman"/>
          <w:sz w:val="24"/>
          <w:szCs w:val="24"/>
        </w:rPr>
        <w:t>and vocation</w:t>
      </w:r>
      <w:r w:rsidR="009A2E81" w:rsidRPr="002752FC">
        <w:rPr>
          <w:rFonts w:ascii="Times New Roman" w:eastAsia="Times New Roman" w:hAnsi="Times New Roman" w:cs="Times New Roman"/>
          <w:sz w:val="24"/>
          <w:szCs w:val="24"/>
        </w:rPr>
        <w:t xml:space="preserve">al </w:t>
      </w:r>
      <w:r w:rsidRPr="002752FC">
        <w:rPr>
          <w:rFonts w:ascii="Times New Roman" w:eastAsia="Times New Roman" w:hAnsi="Times New Roman" w:cs="Times New Roman"/>
          <w:sz w:val="24"/>
          <w:szCs w:val="24"/>
        </w:rPr>
        <w:t>occupations, skilled trades, and entrepreneurial options that TVET may lead them. Uncertainty regarding the worth of the education they were receiving was exacerbated by a lack of precise information regarding employment opportunities, pay, and career advancement within TVET sectors. Students have little knowledge of the success and upward mobility they could attain through vocational education in the absence of appropriate career guidance and role models in vocational sectors.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Additionally, students' confidence was frequently undermined by the design and caliber of TVET programs. Students found it challenging to view TVET as a means of achieving professional success due to rigid curricula, antiquated training facilities, and little exposure to contemporary technology.</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Students were frequently faced with a curriculum that did not correspond with the demands of the labor market when they enrolled in training programs, which left them unprepared for obstacles they would face in the real world. As a result, many lost </w:t>
      </w:r>
      <w:r w:rsidR="002752FC" w:rsidRPr="002752FC">
        <w:rPr>
          <w:rFonts w:ascii="Times New Roman" w:eastAsia="Times New Roman" w:hAnsi="Times New Roman" w:cs="Times New Roman"/>
          <w:sz w:val="24"/>
          <w:szCs w:val="24"/>
        </w:rPr>
        <w:t>interests</w:t>
      </w:r>
      <w:r w:rsidRPr="002752FC">
        <w:rPr>
          <w:rFonts w:ascii="Times New Roman" w:eastAsia="Times New Roman" w:hAnsi="Times New Roman" w:cs="Times New Roman"/>
          <w:sz w:val="24"/>
          <w:szCs w:val="24"/>
        </w:rPr>
        <w:t xml:space="preserve"> in studying because they could not understand how their education would directly affect their chances of finding work in the future.</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 xml:space="preserve">Furthermore, these motivating problems were made worse by the absence of industry </w:t>
      </w:r>
      <w:r w:rsidR="00836025" w:rsidRPr="002752FC">
        <w:rPr>
          <w:rFonts w:ascii="Times New Roman" w:eastAsia="Times New Roman" w:hAnsi="Times New Roman" w:cs="Times New Roman"/>
          <w:sz w:val="24"/>
          <w:szCs w:val="24"/>
        </w:rPr>
        <w:t xml:space="preserve">active </w:t>
      </w:r>
      <w:r w:rsidRPr="002752FC">
        <w:rPr>
          <w:rFonts w:ascii="Times New Roman" w:eastAsia="Times New Roman" w:hAnsi="Times New Roman" w:cs="Times New Roman"/>
          <w:sz w:val="24"/>
          <w:szCs w:val="24"/>
        </w:rPr>
        <w:t>participation in TVET programs. Students were less likely to be inspired by the idea of using their talents in a professional setting when they were not given the chance to interact with actual companies or obtain practical experience through internships or apprenticeships.</w:t>
      </w:r>
      <w:r w:rsidRPr="002752FC">
        <w:rPr>
          <w:rFonts w:ascii="Times New Roman" w:hAnsi="Times New Roman" w:cs="Times New Roman"/>
          <w:sz w:val="24"/>
          <w:szCs w:val="24"/>
        </w:rPr>
        <w:t xml:space="preserve"> </w:t>
      </w:r>
      <w:r w:rsidRPr="002752FC">
        <w:rPr>
          <w:rFonts w:ascii="Times New Roman" w:eastAsia="Times New Roman" w:hAnsi="Times New Roman" w:cs="Times New Roman"/>
          <w:sz w:val="24"/>
          <w:szCs w:val="24"/>
        </w:rPr>
        <w:t>Students' enthusiasm and professional aspirations were further dampened by the lack of job preparation that came from the misalignment between training programs and industry expectations.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A diversified strategy is required to change public perceptions of TVET in order to address these problems. First, in order to emphasize the importance of vocational education and the variety of employment options accessible to TVET graduates, public awareness campaigns are essential. Emphasizing the legitimacy, stability, and earning potential that TVET employment can provide, such advertisements should target not just kids but also parents, instructors, and the larger community.</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Policymakers and educational institutions must also endeavor to improve TVET programs' quality by bringing them closer to industry demands, integrating contemporary technologies, and giving students real-world, experiential learning opportunities. This can entail expanding industry collaborations, creating internship and apprenticeship programs, and encouraging a continuous improvement mindset in TVET institutions.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In order to give students clear direction on employment prospects, career advancement, and the possibility of entrepreneurship in technical domains, it is also imperative that TVET universities implement improved career counseling services. In order to inspire current students, positive role models—such as accomplished TVET graduates—should be emphasized. TVET's social perception can be changed and students can be inspired to pursue it with confidence by showcasing its successes and practical advantages.</w:t>
      </w:r>
      <w:r w:rsidR="002752FC">
        <w:rPr>
          <w:rFonts w:ascii="Times New Roman" w:eastAsia="Times New Roman" w:hAnsi="Times New Roman" w:cs="Times New Roman"/>
          <w:sz w:val="24"/>
          <w:szCs w:val="24"/>
        </w:rPr>
        <w:t xml:space="preserve"> </w:t>
      </w:r>
      <w:r w:rsidRPr="002752FC">
        <w:rPr>
          <w:rFonts w:ascii="Times New Roman" w:eastAsia="Times New Roman" w:hAnsi="Times New Roman" w:cs="Times New Roman"/>
          <w:sz w:val="24"/>
          <w:szCs w:val="24"/>
        </w:rPr>
        <w:t>Bangladesh can start to close the gap between TVET policy and practice by tackling these social and motivational obstacles. This would make vocational education a valued and practical option for students, thereby boosting the country's overall economic growth.</w:t>
      </w:r>
    </w:p>
    <w:p w14:paraId="0F9FAD2E" w14:textId="77777777" w:rsidR="00C43047" w:rsidRPr="002752FC" w:rsidRDefault="00C43047" w:rsidP="002752FC">
      <w:pPr>
        <w:spacing w:after="0" w:line="240" w:lineRule="auto"/>
        <w:jc w:val="center"/>
        <w:rPr>
          <w:rFonts w:ascii="Times New Roman" w:eastAsia="Times New Roman" w:hAnsi="Times New Roman" w:cs="Times New Roman"/>
          <w:sz w:val="24"/>
          <w:szCs w:val="24"/>
        </w:rPr>
      </w:pPr>
      <w:r w:rsidRPr="002752FC">
        <w:rPr>
          <w:rFonts w:ascii="Times New Roman" w:eastAsia="Times New Roman" w:hAnsi="Times New Roman" w:cs="Times New Roman"/>
          <w:noProof/>
          <w:sz w:val="24"/>
          <w:szCs w:val="24"/>
        </w:rPr>
        <w:lastRenderedPageBreak/>
        <w:drawing>
          <wp:inline distT="0" distB="0" distL="0" distR="0" wp14:anchorId="4BFC8057" wp14:editId="38575540">
            <wp:extent cx="4800600" cy="3337560"/>
            <wp:effectExtent l="0" t="0" r="0" b="0"/>
            <wp:docPr id="5" name="Picture 5" descr="C:\Users\User\Downloads\Social Perception and Student Motivation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Social Perception and Student Motivation - visual selec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3337560"/>
                    </a:xfrm>
                    <a:prstGeom prst="rect">
                      <a:avLst/>
                    </a:prstGeom>
                    <a:noFill/>
                    <a:ln>
                      <a:noFill/>
                    </a:ln>
                  </pic:spPr>
                </pic:pic>
              </a:graphicData>
            </a:graphic>
          </wp:inline>
        </w:drawing>
      </w:r>
    </w:p>
    <w:p w14:paraId="7BC36711" w14:textId="4DB6B99C" w:rsidR="00417AA8" w:rsidRPr="002752FC" w:rsidRDefault="00417AA8" w:rsidP="002752FC">
      <w:pPr>
        <w:spacing w:after="0" w:line="240" w:lineRule="auto"/>
        <w:jc w:val="center"/>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Figure 5: Low TVET enrollment and motivation due to negative social perception</w:t>
      </w:r>
    </w:p>
    <w:p w14:paraId="17FCA7F0" w14:textId="77777777" w:rsidR="002752FC" w:rsidRDefault="002752FC" w:rsidP="002752FC">
      <w:pPr>
        <w:pStyle w:val="NormalWeb"/>
        <w:spacing w:before="0" w:beforeAutospacing="0" w:after="0" w:afterAutospacing="0"/>
        <w:jc w:val="both"/>
        <w:rPr>
          <w:b/>
        </w:rPr>
      </w:pPr>
    </w:p>
    <w:p w14:paraId="12560192" w14:textId="44ECEB44" w:rsidR="001E7D41" w:rsidRPr="002752FC" w:rsidRDefault="00524D8F" w:rsidP="002752FC">
      <w:pPr>
        <w:pStyle w:val="NormalWeb"/>
        <w:spacing w:before="0" w:beforeAutospacing="0" w:after="0" w:afterAutospacing="0"/>
        <w:jc w:val="both"/>
        <w:rPr>
          <w:b/>
        </w:rPr>
      </w:pPr>
      <w:r>
        <w:rPr>
          <w:b/>
        </w:rPr>
        <w:t>7</w:t>
      </w:r>
      <w:r w:rsidR="002752FC">
        <w:rPr>
          <w:b/>
        </w:rPr>
        <w:t xml:space="preserve">.6 </w:t>
      </w:r>
      <w:r w:rsidR="00BC2638" w:rsidRPr="002752FC">
        <w:rPr>
          <w:b/>
        </w:rPr>
        <w:t>Recommendations to overcome the challenges</w:t>
      </w:r>
    </w:p>
    <w:p w14:paraId="08870467" w14:textId="77777777" w:rsidR="00BC2638" w:rsidRDefault="00BC2638" w:rsidP="002752FC">
      <w:pPr>
        <w:spacing w:after="0" w:line="240" w:lineRule="auto"/>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Here are some key recommendations to overcome the challenges identified in mainstreaming TVET in Bangladesh:</w:t>
      </w:r>
    </w:p>
    <w:p w14:paraId="00204380" w14:textId="77777777" w:rsidR="002752FC" w:rsidRPr="002752FC" w:rsidRDefault="002752FC" w:rsidP="002752FC">
      <w:pPr>
        <w:spacing w:after="0" w:line="240" w:lineRule="auto"/>
        <w:jc w:val="both"/>
        <w:rPr>
          <w:rFonts w:ascii="Times New Roman" w:eastAsia="Times New Roman" w:hAnsi="Times New Roman" w:cs="Times New Roman"/>
          <w:sz w:val="24"/>
          <w:szCs w:val="24"/>
        </w:rPr>
      </w:pPr>
    </w:p>
    <w:p w14:paraId="3EC08609"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Create a single, empowered body to oversee and harmonize TVET policy, implementation, and monitoring across all relevant ministries and agencies.</w:t>
      </w:r>
    </w:p>
    <w:p w14:paraId="2BB1BE80" w14:textId="6CCF86A9" w:rsidR="005D22E9" w:rsidRPr="002752FC" w:rsidRDefault="005D22E9"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Need special annual development budget (Development &amp; Revenue) for TVET development</w:t>
      </w:r>
    </w:p>
    <w:p w14:paraId="47263D91" w14:textId="71384C2C" w:rsidR="005D22E9" w:rsidRPr="002752FC" w:rsidRDefault="005D22E9" w:rsidP="002752FC">
      <w:pPr>
        <w:numPr>
          <w:ilvl w:val="0"/>
          <w:numId w:val="8"/>
        </w:numPr>
        <w:spacing w:after="0" w:line="240" w:lineRule="auto"/>
        <w:jc w:val="both"/>
        <w:rPr>
          <w:rFonts w:ascii="Times New Roman" w:eastAsia="Times New Roman" w:hAnsi="Times New Roman" w:cs="Times New Roman"/>
          <w:i/>
          <w:iCs/>
          <w:sz w:val="24"/>
          <w:szCs w:val="24"/>
        </w:rPr>
      </w:pPr>
      <w:r w:rsidRPr="002752FC">
        <w:rPr>
          <w:rFonts w:ascii="Times New Roman" w:eastAsia="Times New Roman" w:hAnsi="Times New Roman" w:cs="Times New Roman"/>
          <w:sz w:val="24"/>
          <w:szCs w:val="24"/>
        </w:rPr>
        <w:t xml:space="preserve">Need MPO system from government support of Private training service provider (TSP), </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 xml:space="preserve">like as </w:t>
      </w:r>
      <w:r w:rsidRPr="002752FC">
        <w:rPr>
          <w:rFonts w:ascii="Times New Roman" w:eastAsia="Times New Roman" w:hAnsi="Times New Roman" w:cs="Times New Roman"/>
          <w:i/>
          <w:iCs/>
          <w:sz w:val="24"/>
          <w:szCs w:val="24"/>
        </w:rPr>
        <w:t>the government's share in the payroll of the non-government educational institutions</w:t>
      </w:r>
    </w:p>
    <w:p w14:paraId="7AE2DDF5"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Institutionalize regular coordination mechanisms such as joint task forces or inter-agency councils to align efforts and reduce duplication.</w:t>
      </w:r>
    </w:p>
    <w:p w14:paraId="6C6A0646"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Ensure timely and adequate funding for infrastructure, faculty recruitment, curriculum development, and technological upgrades in TVET institutions.</w:t>
      </w:r>
    </w:p>
    <w:p w14:paraId="3A7F9873"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Offer tax incentives, subsidies, or co-financing models to encourage employers to participate in training delivery, internships, and curriculum development.</w:t>
      </w:r>
    </w:p>
    <w:p w14:paraId="4C0858B5"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Regularly review and update curricula in consultation with industry stakeholders to ensure alignment with emerging sectoral demands.</w:t>
      </w:r>
    </w:p>
    <w:p w14:paraId="773FE4ED"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Introduce structured professional development programs for instructors and recruit technically qualified trainers with industry experience.</w:t>
      </w:r>
    </w:p>
    <w:p w14:paraId="693E5BBF"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Mandate and facilitate structured internships, apprenticeships, and industry-based learning to provide real-world exposure for students.</w:t>
      </w:r>
    </w:p>
    <w:p w14:paraId="18528DC6"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Use media and community outreach to promote positive perceptions of TVET, showcasing success stories and viable career paths.</w:t>
      </w:r>
    </w:p>
    <w:p w14:paraId="3215A12C"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lastRenderedPageBreak/>
        <w:t>Establish guidance and counseling units in TVET institutions to help students make informed career choices and understand job market dynamics.</w:t>
      </w:r>
    </w:p>
    <w:p w14:paraId="02D4F053"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Base financial distribution on needs assessments and performance metrics to address regional disparities and institutional gaps.</w:t>
      </w:r>
    </w:p>
    <w:p w14:paraId="3E1463BD" w14:textId="77777777" w:rsidR="00BC2638" w:rsidRPr="002752FC" w:rsidRDefault="00BC2638" w:rsidP="002752FC">
      <w:pPr>
        <w:numPr>
          <w:ilvl w:val="0"/>
          <w:numId w:val="8"/>
        </w:numPr>
        <w:spacing w:after="0" w:line="240" w:lineRule="auto"/>
        <w:jc w:val="both"/>
        <w:rPr>
          <w:rFonts w:ascii="Times New Roman" w:eastAsia="Times New Roman" w:hAnsi="Times New Roman" w:cs="Times New Roman"/>
          <w:sz w:val="24"/>
          <w:szCs w:val="24"/>
        </w:rPr>
      </w:pPr>
      <w:r w:rsidRPr="002752FC">
        <w:rPr>
          <w:rFonts w:ascii="Times New Roman" w:eastAsia="Times New Roman" w:hAnsi="Times New Roman" w:cs="Times New Roman"/>
          <w:sz w:val="24"/>
          <w:szCs w:val="24"/>
        </w:rPr>
        <w:t>Implement robust M&amp;E frameworks to track outcomes, identify bottlenecks, and ensure continuous improvement of TVET programs.</w:t>
      </w:r>
    </w:p>
    <w:p w14:paraId="2F431D5C" w14:textId="77777777" w:rsidR="00BC2638" w:rsidRPr="002752FC" w:rsidRDefault="00BC2638" w:rsidP="002752FC">
      <w:pPr>
        <w:pStyle w:val="NormalWeb"/>
        <w:spacing w:before="0" w:beforeAutospacing="0" w:after="0" w:afterAutospacing="0"/>
        <w:jc w:val="both"/>
        <w:rPr>
          <w:b/>
        </w:rPr>
      </w:pPr>
    </w:p>
    <w:p w14:paraId="3CCA18C8" w14:textId="75645935" w:rsidR="001C4538" w:rsidRPr="002752FC" w:rsidRDefault="007A5B03" w:rsidP="002752FC">
      <w:pPr>
        <w:pStyle w:val="NormalWeb"/>
        <w:spacing w:before="0" w:beforeAutospacing="0" w:after="0" w:afterAutospacing="0"/>
        <w:jc w:val="both"/>
      </w:pPr>
      <w:r>
        <w:rPr>
          <w:rStyle w:val="Strong"/>
        </w:rPr>
        <w:t>7</w:t>
      </w:r>
      <w:r w:rsidR="004A634E">
        <w:rPr>
          <w:rStyle w:val="Strong"/>
        </w:rPr>
        <w:t xml:space="preserve">. </w:t>
      </w:r>
      <w:r w:rsidR="001E7D41" w:rsidRPr="002752FC">
        <w:rPr>
          <w:rStyle w:val="Strong"/>
        </w:rPr>
        <w:t>Conclusion</w:t>
      </w:r>
      <w:r w:rsidR="001E7D41" w:rsidRPr="002752FC">
        <w:t xml:space="preserve"> </w:t>
      </w:r>
    </w:p>
    <w:p w14:paraId="28B838E9" w14:textId="7E2F7230" w:rsidR="001C4538" w:rsidRDefault="001C4538" w:rsidP="00FA660E">
      <w:pPr>
        <w:pStyle w:val="NormalWeb"/>
        <w:jc w:val="both"/>
      </w:pPr>
      <w:r w:rsidRPr="002752FC">
        <w:t xml:space="preserve">The study on the challenges to mainstreaming TVET in Bangladesh has illuminated several key gaps between policy intentions and the realities of implementation. Even though there have been a lot of policy-level initiatives to support and advance TVET as a way to meet the country's skills development needs, there have been several obstacles in the way of these policies' actual implementation. </w:t>
      </w:r>
      <w:r w:rsidR="00FA660E" w:rsidRPr="00C67FE7">
        <w:rPr>
          <w:highlight w:val="yellow"/>
        </w:rPr>
        <w:t>The findings suggest that, in spite of good policy intents, mainstreaming of TVET in Bangladesh remains problematic due to fragmented</w:t>
      </w:r>
      <w:r w:rsidR="00FA660E" w:rsidRPr="00C67FE7">
        <w:rPr>
          <w:highlight w:val="yellow"/>
        </w:rPr>
        <w:t> </w:t>
      </w:r>
      <w:r w:rsidR="00FA660E" w:rsidRPr="00C67FE7">
        <w:rPr>
          <w:highlight w:val="yellow"/>
        </w:rPr>
        <w:t>governance structure, low institutional capabilities, obsolete curriculum, poor industry linkages, inadequate financing, and poor image in society. Together these problems undermine</w:t>
      </w:r>
      <w:r w:rsidR="00FA660E" w:rsidRPr="00C67FE7">
        <w:rPr>
          <w:highlight w:val="yellow"/>
        </w:rPr>
        <w:t> </w:t>
      </w:r>
      <w:r w:rsidR="00FA660E" w:rsidRPr="00C67FE7">
        <w:rPr>
          <w:highlight w:val="yellow"/>
        </w:rPr>
        <w:t xml:space="preserve">quality and sustainable relevance of TVET and make young people quite unprepared for the demands of the </w:t>
      </w:r>
      <w:proofErr w:type="spellStart"/>
      <w:r w:rsidR="00FA660E" w:rsidRPr="00C67FE7">
        <w:rPr>
          <w:highlight w:val="yellow"/>
        </w:rPr>
        <w:t>labour</w:t>
      </w:r>
      <w:proofErr w:type="spellEnd"/>
      <w:r w:rsidR="00FA660E" w:rsidRPr="00C67FE7">
        <w:rPr>
          <w:highlight w:val="yellow"/>
        </w:rPr>
        <w:t xml:space="preserve"> market. Tackling</w:t>
      </w:r>
      <w:r w:rsidR="00FA660E" w:rsidRPr="00C67FE7">
        <w:rPr>
          <w:highlight w:val="yellow"/>
        </w:rPr>
        <w:t> </w:t>
      </w:r>
      <w:r w:rsidR="00FA660E" w:rsidRPr="00C67FE7">
        <w:rPr>
          <w:highlight w:val="yellow"/>
        </w:rPr>
        <w:t>these gaps demands collaborative governance, more resources, curriculum that reflects industry needs, stronger practical instruction, and public-image efforts. By focusing on an integrated and</w:t>
      </w:r>
      <w:r w:rsidR="00FA660E" w:rsidRPr="00C67FE7">
        <w:rPr>
          <w:highlight w:val="yellow"/>
        </w:rPr>
        <w:t> </w:t>
      </w:r>
      <w:r w:rsidR="00FA660E" w:rsidRPr="00C67FE7">
        <w:rPr>
          <w:highlight w:val="yellow"/>
        </w:rPr>
        <w:t xml:space="preserve">holistic strategy, Bangladesh can establish a resilient TVET system that will provide a meaningful contribution to job creation and the development of the national economy. </w:t>
      </w:r>
      <w:r w:rsidRPr="00C67FE7">
        <w:rPr>
          <w:highlight w:val="yellow"/>
        </w:rPr>
        <w:t>Graduates are frequently unprepared to meet the needs of the labor market as a result of the strict, antiquated curricula and a lack of cooperation between training institutions and industry partners. Furthermore, many students lack real-world experience due to the inadequate integration of practical training, such as internships or apprenticeships, which further restr</w:t>
      </w:r>
      <w:r w:rsidR="007F77F4" w:rsidRPr="00C67FE7">
        <w:rPr>
          <w:highlight w:val="yellow"/>
        </w:rPr>
        <w:t>icts their employment option</w:t>
      </w:r>
      <w:r w:rsidR="007F77F4" w:rsidRPr="002752FC">
        <w:t>s.</w:t>
      </w:r>
      <w:r w:rsidR="004A634E">
        <w:t xml:space="preserve"> </w:t>
      </w:r>
      <w:r w:rsidRPr="002752FC">
        <w:t>These difficulties are made worse by the problems with funding</w:t>
      </w:r>
      <w:r w:rsidR="005D22E9" w:rsidRPr="002752FC">
        <w:t xml:space="preserve"> (development and revenue budget by Govt.)</w:t>
      </w:r>
      <w:r w:rsidRPr="002752FC">
        <w:t xml:space="preserve"> and resource distribution. Bangladesh can establish an efficient and long-lasting TVET system by tackling the systemic problems with governance, resource distribution, curriculum development, industry involvement, and social attitudes. By giving its workers the skills they need to succeed in a labor market that is becoming more competitive and international, such initiatives will support the country's economic progress.</w:t>
      </w:r>
    </w:p>
    <w:p w14:paraId="005757AB" w14:textId="77777777" w:rsidR="00F96FF0" w:rsidRPr="00F96FF0" w:rsidRDefault="00F96FF0" w:rsidP="00F96FF0">
      <w:pPr>
        <w:rPr>
          <w:highlight w:val="yellow"/>
        </w:rPr>
      </w:pPr>
      <w:r w:rsidRPr="00F96FF0">
        <w:rPr>
          <w:highlight w:val="yellow"/>
        </w:rPr>
        <w:t>Disclaimer (Artificial intelligence)</w:t>
      </w:r>
    </w:p>
    <w:p w14:paraId="31CAEE13" w14:textId="77777777" w:rsidR="00F96FF0" w:rsidRPr="00F96FF0" w:rsidRDefault="00F96FF0" w:rsidP="00F96FF0">
      <w:pPr>
        <w:rPr>
          <w:highlight w:val="yellow"/>
        </w:rPr>
      </w:pPr>
      <w:r w:rsidRPr="00F96FF0">
        <w:rPr>
          <w:highlight w:val="yellow"/>
        </w:rPr>
        <w:t xml:space="preserve">Option 1: </w:t>
      </w:r>
    </w:p>
    <w:p w14:paraId="511C1629" w14:textId="77777777" w:rsidR="00F96FF0" w:rsidRPr="00F96FF0" w:rsidRDefault="00F96FF0" w:rsidP="00F96FF0">
      <w:pPr>
        <w:rPr>
          <w:highlight w:val="yellow"/>
        </w:rPr>
      </w:pPr>
      <w:r w:rsidRPr="00F96FF0">
        <w:rPr>
          <w:highlight w:val="yellow"/>
        </w:rPr>
        <w:t xml:space="preserve">Author(s) hereby </w:t>
      </w:r>
      <w:proofErr w:type="gramStart"/>
      <w:r w:rsidRPr="00F96FF0">
        <w:rPr>
          <w:highlight w:val="yellow"/>
        </w:rPr>
        <w:t>declare</w:t>
      </w:r>
      <w:proofErr w:type="gramEnd"/>
      <w:r w:rsidRPr="00F96FF0">
        <w:rPr>
          <w:highlight w:val="yellow"/>
        </w:rPr>
        <w:t xml:space="preserve"> that NO generative AI technologies such as Large Language Models (ChatGPT, COPILOT, etc.) and text-to-image generators have been used during the writing or editing of this manuscript. </w:t>
      </w:r>
    </w:p>
    <w:p w14:paraId="3D8B0128" w14:textId="77777777" w:rsidR="00F96FF0" w:rsidRPr="00F96FF0" w:rsidRDefault="00F96FF0" w:rsidP="00F96FF0">
      <w:pPr>
        <w:rPr>
          <w:highlight w:val="yellow"/>
        </w:rPr>
      </w:pPr>
      <w:r w:rsidRPr="00F96FF0">
        <w:rPr>
          <w:highlight w:val="yellow"/>
        </w:rPr>
        <w:t xml:space="preserve">Option 2: </w:t>
      </w:r>
    </w:p>
    <w:p w14:paraId="18B82257" w14:textId="77777777" w:rsidR="00F96FF0" w:rsidRPr="00F96FF0" w:rsidRDefault="00F96FF0" w:rsidP="00F96FF0">
      <w:pPr>
        <w:rPr>
          <w:highlight w:val="yellow"/>
        </w:rPr>
      </w:pPr>
      <w:r w:rsidRPr="00F96FF0">
        <w:rPr>
          <w:highlight w:val="yellow"/>
        </w:rPr>
        <w:t xml:space="preserve">Author(s) hereby </w:t>
      </w:r>
      <w:proofErr w:type="gramStart"/>
      <w:r w:rsidRPr="00F96FF0">
        <w:rPr>
          <w:highlight w:val="yellow"/>
        </w:rPr>
        <w:t>declare</w:t>
      </w:r>
      <w:proofErr w:type="gramEnd"/>
      <w:r w:rsidRPr="00F96FF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0A3008" w14:textId="77777777" w:rsidR="00F96FF0" w:rsidRPr="00F96FF0" w:rsidRDefault="00F96FF0" w:rsidP="00F96FF0">
      <w:pPr>
        <w:rPr>
          <w:highlight w:val="yellow"/>
        </w:rPr>
      </w:pPr>
      <w:r w:rsidRPr="00F96FF0">
        <w:rPr>
          <w:highlight w:val="yellow"/>
        </w:rPr>
        <w:lastRenderedPageBreak/>
        <w:t>Details of the AI usage are given below:</w:t>
      </w:r>
    </w:p>
    <w:p w14:paraId="00E1873D" w14:textId="77777777" w:rsidR="00F96FF0" w:rsidRPr="00F96FF0" w:rsidRDefault="00F96FF0" w:rsidP="00F96FF0">
      <w:pPr>
        <w:rPr>
          <w:highlight w:val="yellow"/>
        </w:rPr>
      </w:pPr>
      <w:r w:rsidRPr="00F96FF0">
        <w:rPr>
          <w:highlight w:val="yellow"/>
        </w:rPr>
        <w:t>1.</w:t>
      </w:r>
    </w:p>
    <w:p w14:paraId="670DEB07" w14:textId="77777777" w:rsidR="00F96FF0" w:rsidRPr="00F96FF0" w:rsidRDefault="00F96FF0" w:rsidP="00F96FF0">
      <w:pPr>
        <w:rPr>
          <w:highlight w:val="yellow"/>
        </w:rPr>
      </w:pPr>
      <w:r w:rsidRPr="00F96FF0">
        <w:rPr>
          <w:highlight w:val="yellow"/>
        </w:rPr>
        <w:t>2.</w:t>
      </w:r>
    </w:p>
    <w:p w14:paraId="1BFE4A68" w14:textId="77777777" w:rsidR="00F96FF0" w:rsidRPr="0053103C" w:rsidRDefault="00F96FF0" w:rsidP="00F96FF0">
      <w:r w:rsidRPr="00F96FF0">
        <w:rPr>
          <w:highlight w:val="yellow"/>
        </w:rPr>
        <w:t>3.</w:t>
      </w:r>
    </w:p>
    <w:p w14:paraId="2D373CC1" w14:textId="77777777" w:rsidR="00AC2041" w:rsidRDefault="00AC2041" w:rsidP="002752FC">
      <w:pPr>
        <w:spacing w:after="0" w:line="240" w:lineRule="auto"/>
        <w:jc w:val="both"/>
        <w:rPr>
          <w:rFonts w:ascii="Times New Roman" w:eastAsia="Times New Roman" w:hAnsi="Times New Roman" w:cs="Times New Roman"/>
          <w:sz w:val="24"/>
          <w:szCs w:val="24"/>
        </w:rPr>
      </w:pPr>
    </w:p>
    <w:p w14:paraId="5F85F954" w14:textId="77777777" w:rsidR="004A634E" w:rsidRPr="002752FC" w:rsidRDefault="004A634E" w:rsidP="002752FC">
      <w:pPr>
        <w:spacing w:after="0" w:line="240" w:lineRule="auto"/>
        <w:jc w:val="both"/>
        <w:rPr>
          <w:rFonts w:ascii="Times New Roman" w:eastAsia="Times New Roman" w:hAnsi="Times New Roman" w:cs="Times New Roman"/>
          <w:sz w:val="24"/>
          <w:szCs w:val="24"/>
        </w:rPr>
      </w:pPr>
    </w:p>
    <w:p w14:paraId="3E6BFC31" w14:textId="77777777" w:rsidR="001C4538" w:rsidRDefault="00B81B06" w:rsidP="002752FC">
      <w:pPr>
        <w:spacing w:after="0" w:line="240" w:lineRule="auto"/>
        <w:jc w:val="both"/>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t>References</w:t>
      </w:r>
    </w:p>
    <w:p w14:paraId="7FF2AF32" w14:textId="77777777" w:rsidR="00680C1C" w:rsidRPr="002752FC" w:rsidRDefault="00680C1C" w:rsidP="002752FC">
      <w:pPr>
        <w:spacing w:after="0" w:line="240" w:lineRule="auto"/>
        <w:jc w:val="both"/>
        <w:rPr>
          <w:rFonts w:ascii="Times New Roman" w:eastAsia="Times New Roman" w:hAnsi="Times New Roman" w:cs="Times New Roman"/>
          <w:b/>
          <w:sz w:val="24"/>
          <w:szCs w:val="24"/>
        </w:rPr>
      </w:pPr>
    </w:p>
    <w:p w14:paraId="4FB6AA75" w14:textId="77777777" w:rsidR="00F47FDC" w:rsidRPr="002752FC" w:rsidRDefault="00561546" w:rsidP="004A634E">
      <w:pPr>
        <w:pStyle w:val="Bibliography"/>
        <w:spacing w:line="240" w:lineRule="auto"/>
        <w:jc w:val="both"/>
        <w:rPr>
          <w:rFonts w:ascii="Times New Roman" w:hAnsi="Times New Roman" w:cs="Times New Roman"/>
          <w:sz w:val="24"/>
          <w:szCs w:val="24"/>
        </w:rPr>
      </w:pPr>
      <w:r w:rsidRPr="002752FC">
        <w:rPr>
          <w:rFonts w:ascii="Times New Roman" w:eastAsia="Times New Roman" w:hAnsi="Times New Roman" w:cs="Times New Roman"/>
          <w:b/>
          <w:sz w:val="24"/>
          <w:szCs w:val="24"/>
        </w:rPr>
        <w:fldChar w:fldCharType="begin"/>
      </w:r>
      <w:r w:rsidRPr="002752FC">
        <w:rPr>
          <w:rFonts w:ascii="Times New Roman" w:eastAsia="Times New Roman" w:hAnsi="Times New Roman" w:cs="Times New Roman"/>
          <w:b/>
          <w:sz w:val="24"/>
          <w:szCs w:val="24"/>
        </w:rPr>
        <w:instrText xml:space="preserve"> ADDIN ZOTERO_BIBL {"uncited":[],"omitted":[],"custom":[]} CSL_BIBLIOGRAPHY </w:instrText>
      </w:r>
      <w:r w:rsidRPr="002752FC">
        <w:rPr>
          <w:rFonts w:ascii="Times New Roman" w:eastAsia="Times New Roman" w:hAnsi="Times New Roman" w:cs="Times New Roman"/>
          <w:b/>
          <w:sz w:val="24"/>
          <w:szCs w:val="24"/>
        </w:rPr>
        <w:fldChar w:fldCharType="separate"/>
      </w:r>
      <w:r w:rsidR="00F47FDC" w:rsidRPr="002752FC">
        <w:rPr>
          <w:rFonts w:ascii="Times New Roman" w:hAnsi="Times New Roman" w:cs="Times New Roman"/>
          <w:sz w:val="24"/>
          <w:szCs w:val="24"/>
        </w:rPr>
        <w:t xml:space="preserve">Bhuiyan, Md. M. H., Dey, K. N., Saha, P., Sarker, P. K., Md. Halimuzzaman, &amp; Biswas, Md. T. (2025). EXPLORING THE ROLE OF ARTIFICIAL INTELLIGENCE IN TRANSFORMING HR PRACTICES. </w:t>
      </w:r>
      <w:r w:rsidR="00F47FDC" w:rsidRPr="002752FC">
        <w:rPr>
          <w:rFonts w:ascii="Times New Roman" w:hAnsi="Times New Roman" w:cs="Times New Roman"/>
          <w:i/>
          <w:iCs/>
          <w:sz w:val="24"/>
          <w:szCs w:val="24"/>
        </w:rPr>
        <w:t>International Journal of Business Management and Economic Review</w:t>
      </w:r>
      <w:r w:rsidR="00F47FDC" w:rsidRPr="002752FC">
        <w:rPr>
          <w:rFonts w:ascii="Times New Roman" w:hAnsi="Times New Roman" w:cs="Times New Roman"/>
          <w:sz w:val="24"/>
          <w:szCs w:val="24"/>
        </w:rPr>
        <w:t xml:space="preserve">, </w:t>
      </w:r>
      <w:r w:rsidR="00F47FDC" w:rsidRPr="002752FC">
        <w:rPr>
          <w:rFonts w:ascii="Times New Roman" w:hAnsi="Times New Roman" w:cs="Times New Roman"/>
          <w:i/>
          <w:iCs/>
          <w:sz w:val="24"/>
          <w:szCs w:val="24"/>
        </w:rPr>
        <w:t>08</w:t>
      </w:r>
      <w:r w:rsidR="00F47FDC" w:rsidRPr="002752FC">
        <w:rPr>
          <w:rFonts w:ascii="Times New Roman" w:hAnsi="Times New Roman" w:cs="Times New Roman"/>
          <w:sz w:val="24"/>
          <w:szCs w:val="24"/>
        </w:rPr>
        <w:t>(01), 98–110. https://doi.org/10.35409/IJBMER.2025.3646</w:t>
      </w:r>
    </w:p>
    <w:p w14:paraId="2DB62F5C"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Cuenco, G. C. (2018). </w:t>
      </w:r>
      <w:r w:rsidRPr="002752FC">
        <w:rPr>
          <w:rFonts w:ascii="Times New Roman" w:hAnsi="Times New Roman" w:cs="Times New Roman"/>
          <w:i/>
          <w:iCs/>
          <w:sz w:val="24"/>
          <w:szCs w:val="24"/>
        </w:rPr>
        <w:t>Decentralizing TVET in a Federal Philippines</w:t>
      </w:r>
      <w:r w:rsidRPr="002752FC">
        <w:rPr>
          <w:rFonts w:ascii="Times New Roman" w:hAnsi="Times New Roman" w:cs="Times New Roman"/>
          <w:sz w:val="24"/>
          <w:szCs w:val="24"/>
        </w:rPr>
        <w:t>. http://hdl.handle.net/1880/109316</w:t>
      </w:r>
    </w:p>
    <w:p w14:paraId="4143A2A1"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Halimuzzaman, M., Wafik, M., Chakrabortty, P., &amp; Mahbub, S. (2024). Public Relation and Educational Outcomes of Films in Bangladesh: A Study on Hawa. </w:t>
      </w:r>
      <w:r w:rsidRPr="002752FC">
        <w:rPr>
          <w:rFonts w:ascii="Times New Roman" w:hAnsi="Times New Roman" w:cs="Times New Roman"/>
          <w:i/>
          <w:iCs/>
          <w:sz w:val="24"/>
          <w:szCs w:val="24"/>
        </w:rPr>
        <w:t>Journal of Primeasia</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5</w:t>
      </w:r>
      <w:r w:rsidRPr="002752FC">
        <w:rPr>
          <w:rFonts w:ascii="Times New Roman" w:hAnsi="Times New Roman" w:cs="Times New Roman"/>
          <w:sz w:val="24"/>
          <w:szCs w:val="24"/>
        </w:rPr>
        <w:t>, 1–7. https://doi.org/10.25163/primeasia.519834</w:t>
      </w:r>
    </w:p>
    <w:p w14:paraId="5AC2DBE5"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Haolader, F. A., &amp; Shimu, S. S. (2024). A Comparison of National Qualifications Frameworks and Recognition, Validation, and Accreditation Mechanism of Informal Learning in Vocational Education and Training Among Selected Countries. In M. Pilz (Ed.), </w:t>
      </w:r>
      <w:r w:rsidRPr="002752FC">
        <w:rPr>
          <w:rFonts w:ascii="Times New Roman" w:hAnsi="Times New Roman" w:cs="Times New Roman"/>
          <w:i/>
          <w:iCs/>
          <w:sz w:val="24"/>
          <w:szCs w:val="24"/>
        </w:rPr>
        <w:t>Informal Learning in Vocational Education and Training: Illuminating an Elusive Concept</w:t>
      </w:r>
      <w:r w:rsidRPr="002752FC">
        <w:rPr>
          <w:rFonts w:ascii="Times New Roman" w:hAnsi="Times New Roman" w:cs="Times New Roman"/>
          <w:sz w:val="24"/>
          <w:szCs w:val="24"/>
        </w:rPr>
        <w:t xml:space="preserve"> (pp. 363–382). Springer Fachmedien. https://doi.org/10.1007/978-3-658-44341-2_17</w:t>
      </w:r>
    </w:p>
    <w:p w14:paraId="007ABF21"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Harikirishanan, D. (2024). </w:t>
      </w:r>
      <w:r w:rsidRPr="002752FC">
        <w:rPr>
          <w:rFonts w:ascii="Times New Roman" w:hAnsi="Times New Roman" w:cs="Times New Roman"/>
          <w:i/>
          <w:iCs/>
          <w:sz w:val="24"/>
          <w:szCs w:val="24"/>
        </w:rPr>
        <w:t>A critical examination of forging ‘industry-driven’ partnerships in Malaysian TVET institutions</w:t>
      </w:r>
      <w:r w:rsidRPr="002752FC">
        <w:rPr>
          <w:rFonts w:ascii="Times New Roman" w:hAnsi="Times New Roman" w:cs="Times New Roman"/>
          <w:sz w:val="24"/>
          <w:szCs w:val="24"/>
        </w:rPr>
        <w:t xml:space="preserve"> [Thesis, Heriot-Watt University]. https://www.ros.hw.ac.uk/handle/10399/5057</w:t>
      </w:r>
    </w:p>
    <w:p w14:paraId="00030DCA"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Imran, S., Kabir, N., Uddin, I., Ali, K., Halimuzzaman, M., Bank, I., Plc, B., &amp; Swarupkathi, B. (2024). </w:t>
      </w:r>
      <w:r w:rsidRPr="002752FC">
        <w:rPr>
          <w:rFonts w:ascii="Times New Roman" w:hAnsi="Times New Roman" w:cs="Times New Roman"/>
          <w:sz w:val="24"/>
          <w:szCs w:val="24"/>
        </w:rPr>
        <w:t xml:space="preserve">Consumer Behavior and Sustainable Marketing Practices in the Ready-Made Garments Industry. </w:t>
      </w:r>
      <w:r w:rsidRPr="002752FC">
        <w:rPr>
          <w:rFonts w:ascii="Times New Roman" w:hAnsi="Times New Roman" w:cs="Times New Roman"/>
          <w:i/>
          <w:iCs/>
          <w:sz w:val="24"/>
          <w:szCs w:val="24"/>
        </w:rPr>
        <w:t>International Journal of Management Studies and Social Science Research</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6</w:t>
      </w:r>
      <w:r w:rsidRPr="002752FC">
        <w:rPr>
          <w:rFonts w:ascii="Times New Roman" w:hAnsi="Times New Roman" w:cs="Times New Roman"/>
          <w:sz w:val="24"/>
          <w:szCs w:val="24"/>
        </w:rPr>
        <w:t>, 152–161. https://doi.org/10.56293/IJMSSSR.2024.5322</w:t>
      </w:r>
    </w:p>
    <w:p w14:paraId="1034A5B9"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Imran, S. M. A., Islam, S., Kabir, N., Uddin, I., Ali, K., &amp; Halimuzzaman, Md. </w:t>
      </w:r>
      <w:r w:rsidRPr="002752FC">
        <w:rPr>
          <w:rFonts w:ascii="Times New Roman" w:hAnsi="Times New Roman" w:cs="Times New Roman"/>
          <w:sz w:val="24"/>
          <w:szCs w:val="24"/>
        </w:rPr>
        <w:t xml:space="preserve">(2024). Consumer Behavior and Sustainable Marketing Practices in the Ready-Made Garments Industry. </w:t>
      </w:r>
      <w:r w:rsidRPr="002752FC">
        <w:rPr>
          <w:rFonts w:ascii="Times New Roman" w:hAnsi="Times New Roman" w:cs="Times New Roman"/>
          <w:i/>
          <w:iCs/>
          <w:sz w:val="24"/>
          <w:szCs w:val="24"/>
        </w:rPr>
        <w:t>International Journal of Management Studies and Social Science Research</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06</w:t>
      </w:r>
      <w:r w:rsidRPr="002752FC">
        <w:rPr>
          <w:rFonts w:ascii="Times New Roman" w:hAnsi="Times New Roman" w:cs="Times New Roman"/>
          <w:sz w:val="24"/>
          <w:szCs w:val="24"/>
        </w:rPr>
        <w:t>(06), 152–161. https://doi.org/10.56293/IJMSSSR.2024.5322</w:t>
      </w:r>
    </w:p>
    <w:p w14:paraId="4EC6770B"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Islam, Md. A., Goldar, S. C., Imran, S. A., Halimuzzaman, Md., &amp; Hasan, S. (2025). </w:t>
      </w:r>
      <w:r w:rsidRPr="002752FC">
        <w:rPr>
          <w:rFonts w:ascii="Times New Roman" w:hAnsi="Times New Roman" w:cs="Times New Roman"/>
          <w:sz w:val="24"/>
          <w:szCs w:val="24"/>
        </w:rPr>
        <w:t xml:space="preserve">AI-Driven green marketing strategies for eco-friendly tourism businesses. </w:t>
      </w:r>
      <w:r w:rsidRPr="002752FC">
        <w:rPr>
          <w:rFonts w:ascii="Times New Roman" w:hAnsi="Times New Roman" w:cs="Times New Roman"/>
          <w:i/>
          <w:iCs/>
          <w:sz w:val="24"/>
          <w:szCs w:val="24"/>
        </w:rPr>
        <w:t>International Journal of Tourism and Hotel Management</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7</w:t>
      </w:r>
      <w:r w:rsidRPr="002752FC">
        <w:rPr>
          <w:rFonts w:ascii="Times New Roman" w:hAnsi="Times New Roman" w:cs="Times New Roman"/>
          <w:sz w:val="24"/>
          <w:szCs w:val="24"/>
        </w:rPr>
        <w:t>(1), 56–60. https://doi.org/10.22271/27069583.2025.v7.i1a.125</w:t>
      </w:r>
    </w:p>
    <w:p w14:paraId="2ED1C3CF"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Julius Kumi Egyir, P. D. A. (2022). </w:t>
      </w:r>
      <w:r w:rsidRPr="002752FC">
        <w:rPr>
          <w:rFonts w:ascii="Times New Roman" w:hAnsi="Times New Roman" w:cs="Times New Roman"/>
          <w:sz w:val="24"/>
          <w:szCs w:val="24"/>
        </w:rPr>
        <w:t xml:space="preserve">Infrastructural Challenges and Student Academic Performance: Evidence from a Developing Nation. </w:t>
      </w:r>
      <w:r w:rsidRPr="002752FC">
        <w:rPr>
          <w:rFonts w:ascii="Times New Roman" w:hAnsi="Times New Roman" w:cs="Times New Roman"/>
          <w:i/>
          <w:iCs/>
          <w:sz w:val="24"/>
          <w:szCs w:val="24"/>
        </w:rPr>
        <w:t>International Journal of Innovative Science and Research Technology</w:t>
      </w:r>
      <w:r w:rsidRPr="002752FC">
        <w:rPr>
          <w:rFonts w:ascii="Times New Roman" w:hAnsi="Times New Roman" w:cs="Times New Roman"/>
          <w:sz w:val="24"/>
          <w:szCs w:val="24"/>
        </w:rPr>
        <w:t>.</w:t>
      </w:r>
    </w:p>
    <w:p w14:paraId="4051ADF2"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Kgalema, V., Marock, C., &amp; Allais, S. (2021). </w:t>
      </w:r>
      <w:r w:rsidRPr="002752FC">
        <w:rPr>
          <w:rFonts w:ascii="Times New Roman" w:hAnsi="Times New Roman" w:cs="Times New Roman"/>
          <w:i/>
          <w:iCs/>
          <w:sz w:val="24"/>
          <w:szCs w:val="24"/>
        </w:rPr>
        <w:t>The Alignment of Black Economic Empowerment and Skills Policies in South Africa</w:t>
      </w:r>
      <w:r w:rsidRPr="002752FC">
        <w:rPr>
          <w:rFonts w:ascii="Times New Roman" w:hAnsi="Times New Roman" w:cs="Times New Roman"/>
          <w:sz w:val="24"/>
          <w:szCs w:val="24"/>
        </w:rPr>
        <w:t>. https://hdl.handle.net/10539/33466</w:t>
      </w:r>
    </w:p>
    <w:p w14:paraId="188AFD46"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lastRenderedPageBreak/>
        <w:t xml:space="preserve">Leong, W. Y. (2024). TVET for All: Fostering Social Equity Through Inclusive Skills Education. </w:t>
      </w:r>
      <w:r w:rsidRPr="002752FC">
        <w:rPr>
          <w:rFonts w:ascii="Times New Roman" w:hAnsi="Times New Roman" w:cs="Times New Roman"/>
          <w:i/>
          <w:iCs/>
          <w:sz w:val="24"/>
          <w:szCs w:val="24"/>
        </w:rPr>
        <w:t>2024 International Conference on TVET Excellence &amp; Development (ICTeD)</w:t>
      </w:r>
      <w:r w:rsidRPr="002752FC">
        <w:rPr>
          <w:rFonts w:ascii="Times New Roman" w:hAnsi="Times New Roman" w:cs="Times New Roman"/>
          <w:sz w:val="24"/>
          <w:szCs w:val="24"/>
        </w:rPr>
        <w:t>, 284–288. https://doi.org/10.1109/ICTeD62334.2024.10844604</w:t>
      </w:r>
    </w:p>
    <w:p w14:paraId="27233089"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Majola, E. (2024). </w:t>
      </w:r>
      <w:r w:rsidRPr="002752FC">
        <w:rPr>
          <w:rFonts w:ascii="Times New Roman" w:hAnsi="Times New Roman" w:cs="Times New Roman"/>
          <w:i/>
          <w:iCs/>
          <w:sz w:val="24"/>
          <w:szCs w:val="24"/>
        </w:rPr>
        <w:t>Vocational Education and the Relentless Struggles of TVET Graduates in the Eastern Cape, South Africa: A Freirean Approach</w:t>
      </w:r>
      <w:r w:rsidRPr="002752FC">
        <w:rPr>
          <w:rFonts w:ascii="Times New Roman" w:hAnsi="Times New Roman" w:cs="Times New Roman"/>
          <w:sz w:val="24"/>
          <w:szCs w:val="24"/>
        </w:rPr>
        <w:t>.</w:t>
      </w:r>
    </w:p>
    <w:p w14:paraId="0C09C3E6"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Mohammad Sarwar Hossain Islam, Mohammad Rabiul Basher Rubel, Mohammed Imam Hossain, Md. Kamruzzaman, Sathi Akter, Md. Halimuzzaman, &amp; Mohammad Rezaul Karim. (2024). Impact of financial and internet support on SME performance: Moderating effect of technology adoption during COVID-19 pandemic. </w:t>
      </w:r>
      <w:r w:rsidRPr="002752FC">
        <w:rPr>
          <w:rFonts w:ascii="Times New Roman" w:hAnsi="Times New Roman" w:cs="Times New Roman"/>
          <w:i/>
          <w:iCs/>
          <w:sz w:val="24"/>
          <w:szCs w:val="24"/>
        </w:rPr>
        <w:t>World Journal of Advanced Engineering Technology and Sciences</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13</w:t>
      </w:r>
      <w:r w:rsidRPr="002752FC">
        <w:rPr>
          <w:rFonts w:ascii="Times New Roman" w:hAnsi="Times New Roman" w:cs="Times New Roman"/>
          <w:sz w:val="24"/>
          <w:szCs w:val="24"/>
        </w:rPr>
        <w:t>(2), 105–118. https://doi.org/10.30574/wjaets.2024.13.2.0533</w:t>
      </w:r>
    </w:p>
    <w:p w14:paraId="6DAD1702"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F96FF0">
        <w:rPr>
          <w:rFonts w:ascii="Times New Roman" w:hAnsi="Times New Roman" w:cs="Times New Roman"/>
          <w:sz w:val="24"/>
          <w:szCs w:val="24"/>
          <w:lang w:val="nl-BE"/>
        </w:rPr>
        <w:t xml:space="preserve">Mujeri, M. K., &amp; Mujeri, N. (2021). </w:t>
      </w:r>
      <w:r w:rsidRPr="002752FC">
        <w:rPr>
          <w:rFonts w:ascii="Times New Roman" w:hAnsi="Times New Roman" w:cs="Times New Roman"/>
          <w:sz w:val="24"/>
          <w:szCs w:val="24"/>
        </w:rPr>
        <w:t xml:space="preserve">Structural Transformation: Theory and Global Evidence. In M. K. Mujeri &amp; N. Mujeri (Eds.), </w:t>
      </w:r>
      <w:r w:rsidRPr="002752FC">
        <w:rPr>
          <w:rFonts w:ascii="Times New Roman" w:hAnsi="Times New Roman" w:cs="Times New Roman"/>
          <w:i/>
          <w:iCs/>
          <w:sz w:val="24"/>
          <w:szCs w:val="24"/>
        </w:rPr>
        <w:t>Structural Transformation of Bangladesh Economy: A South Asian Perspective</w:t>
      </w:r>
      <w:r w:rsidRPr="002752FC">
        <w:rPr>
          <w:rFonts w:ascii="Times New Roman" w:hAnsi="Times New Roman" w:cs="Times New Roman"/>
          <w:sz w:val="24"/>
          <w:szCs w:val="24"/>
        </w:rPr>
        <w:t xml:space="preserve"> (pp. 13–44). Springer. https://doi.org/10.1007/978-981-16-0764-6_2</w:t>
      </w:r>
    </w:p>
    <w:p w14:paraId="24589A5E"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Omar, M., &amp; Kamaruzaman, F. M. (2024). Technical and Vocational Education Training and Industry Collaboration: A Bibliometric Review. </w:t>
      </w:r>
      <w:r w:rsidRPr="002752FC">
        <w:rPr>
          <w:rFonts w:ascii="Times New Roman" w:hAnsi="Times New Roman" w:cs="Times New Roman"/>
          <w:i/>
          <w:iCs/>
          <w:sz w:val="24"/>
          <w:szCs w:val="24"/>
        </w:rPr>
        <w:t>Journal of Education and Learning (EduLearn)</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18</w:t>
      </w:r>
      <w:r w:rsidRPr="002752FC">
        <w:rPr>
          <w:rFonts w:ascii="Times New Roman" w:hAnsi="Times New Roman" w:cs="Times New Roman"/>
          <w:sz w:val="24"/>
          <w:szCs w:val="24"/>
        </w:rPr>
        <w:t>(4), 1582–1592.</w:t>
      </w:r>
    </w:p>
    <w:p w14:paraId="7626DEB0"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Palash Saha, M. S. (2025). Employee Motivation and Behavior in Construction Engineering Projects. </w:t>
      </w:r>
      <w:r w:rsidRPr="002752FC">
        <w:rPr>
          <w:rFonts w:ascii="Times New Roman" w:hAnsi="Times New Roman" w:cs="Times New Roman"/>
          <w:i/>
          <w:iCs/>
          <w:sz w:val="24"/>
          <w:szCs w:val="24"/>
        </w:rPr>
        <w:t>International Journal of Social Science and Economic Research</w:t>
      </w:r>
      <w:r w:rsidRPr="002752FC">
        <w:rPr>
          <w:rFonts w:ascii="Times New Roman" w:hAnsi="Times New Roman" w:cs="Times New Roman"/>
          <w:sz w:val="24"/>
          <w:szCs w:val="24"/>
        </w:rPr>
        <w:t>.</w:t>
      </w:r>
    </w:p>
    <w:p w14:paraId="4C39FE46"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Panth, B., &amp; Maclean, R. (Eds.). (2020). </w:t>
      </w:r>
      <w:r w:rsidRPr="002752FC">
        <w:rPr>
          <w:rFonts w:ascii="Times New Roman" w:hAnsi="Times New Roman" w:cs="Times New Roman"/>
          <w:i/>
          <w:iCs/>
          <w:sz w:val="24"/>
          <w:szCs w:val="24"/>
        </w:rPr>
        <w:t>Anticipating and Preparing for Emerging Skills and Jobs: Key Issues, Concerns, and Prospects</w:t>
      </w:r>
      <w:r w:rsidRPr="002752FC">
        <w:rPr>
          <w:rFonts w:ascii="Times New Roman" w:hAnsi="Times New Roman" w:cs="Times New Roman"/>
          <w:sz w:val="24"/>
          <w:szCs w:val="24"/>
        </w:rPr>
        <w:t xml:space="preserve"> (Vol. 55). Springer Singapore. https://doi.org/10.1007/978-981-15-7018-6</w:t>
      </w:r>
    </w:p>
    <w:p w14:paraId="67DC927A"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Rahman, K. A. (2022). </w:t>
      </w:r>
      <w:r w:rsidRPr="002752FC">
        <w:rPr>
          <w:rFonts w:ascii="Times New Roman" w:hAnsi="Times New Roman" w:cs="Times New Roman"/>
          <w:i/>
          <w:iCs/>
          <w:sz w:val="24"/>
          <w:szCs w:val="24"/>
        </w:rPr>
        <w:t>Interplays between English Teaching-Learning and Assessment Practice in Secondary Schools</w:t>
      </w:r>
      <w:r w:rsidRPr="002752FC">
        <w:rPr>
          <w:rFonts w:ascii="Times New Roman" w:hAnsi="Times New Roman" w:cs="Times New Roman"/>
          <w:sz w:val="24"/>
          <w:szCs w:val="24"/>
        </w:rPr>
        <w:t xml:space="preserve"> [Thesis, ©University of Dhaka]. http://reposit.library.du.ac.bd:8080/xmlui/xmlui/handle/123456789/1831</w:t>
      </w:r>
    </w:p>
    <w:p w14:paraId="13EC445D"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Rahman, M., Farooq, M. O., &amp; Selim, M. (2021). Mitigating educated youth unemployment in Bangladesh. </w:t>
      </w:r>
      <w:r w:rsidRPr="002752FC">
        <w:rPr>
          <w:rFonts w:ascii="Times New Roman" w:hAnsi="Times New Roman" w:cs="Times New Roman"/>
          <w:i/>
          <w:iCs/>
          <w:sz w:val="24"/>
          <w:szCs w:val="24"/>
        </w:rPr>
        <w:t>The Journal of Developing Areas</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55</w:t>
      </w:r>
      <w:r w:rsidRPr="002752FC">
        <w:rPr>
          <w:rFonts w:ascii="Times New Roman" w:hAnsi="Times New Roman" w:cs="Times New Roman"/>
          <w:sz w:val="24"/>
          <w:szCs w:val="24"/>
        </w:rPr>
        <w:t>(1). https://muse.jhu.edu/pub/51/article/766446</w:t>
      </w:r>
    </w:p>
    <w:p w14:paraId="6A0768CB"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Shimu, S. S., &amp; Haolader, F. A. (2025). TVET is under-resourced and held in low regard? Teachers’ perceptions of TVET in Bangladesh. </w:t>
      </w:r>
      <w:r w:rsidRPr="002752FC">
        <w:rPr>
          <w:rFonts w:ascii="Times New Roman" w:hAnsi="Times New Roman" w:cs="Times New Roman"/>
          <w:i/>
          <w:iCs/>
          <w:sz w:val="24"/>
          <w:szCs w:val="24"/>
        </w:rPr>
        <w:t>Education + Training</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ahead-of-print</w:t>
      </w:r>
      <w:r w:rsidRPr="002752FC">
        <w:rPr>
          <w:rFonts w:ascii="Times New Roman" w:hAnsi="Times New Roman" w:cs="Times New Roman"/>
          <w:sz w:val="24"/>
          <w:szCs w:val="24"/>
        </w:rPr>
        <w:t>(ahead-of-print). https://doi.org/10.1108/ET-12-2023-0551</w:t>
      </w:r>
    </w:p>
    <w:p w14:paraId="394C18C0"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lang w:val="de-DE"/>
        </w:rPr>
        <w:t xml:space="preserve">Walcutt, J. J., &amp; Schatz, S. (2019). </w:t>
      </w:r>
      <w:r w:rsidRPr="002752FC">
        <w:rPr>
          <w:rFonts w:ascii="Times New Roman" w:hAnsi="Times New Roman" w:cs="Times New Roman"/>
          <w:sz w:val="24"/>
          <w:szCs w:val="24"/>
        </w:rPr>
        <w:t xml:space="preserve">Modernizing Learning: Building the Future Learning Ecosystem. In </w:t>
      </w:r>
      <w:r w:rsidRPr="002752FC">
        <w:rPr>
          <w:rFonts w:ascii="Times New Roman" w:hAnsi="Times New Roman" w:cs="Times New Roman"/>
          <w:i/>
          <w:iCs/>
          <w:sz w:val="24"/>
          <w:szCs w:val="24"/>
        </w:rPr>
        <w:t>Advanced Distributed Learning Initiative</w:t>
      </w:r>
      <w:r w:rsidRPr="002752FC">
        <w:rPr>
          <w:rFonts w:ascii="Times New Roman" w:hAnsi="Times New Roman" w:cs="Times New Roman"/>
          <w:sz w:val="24"/>
          <w:szCs w:val="24"/>
        </w:rPr>
        <w:t>. Advanced Distributed Learning Initiative. https://eric.ed.gov/?id=ED603521</w:t>
      </w:r>
    </w:p>
    <w:p w14:paraId="375E51E5" w14:textId="77777777" w:rsidR="00F47FDC" w:rsidRPr="002752FC" w:rsidRDefault="00F47FDC" w:rsidP="004A634E">
      <w:pPr>
        <w:pStyle w:val="Bibliography"/>
        <w:spacing w:line="240" w:lineRule="auto"/>
        <w:jc w:val="both"/>
        <w:rPr>
          <w:rFonts w:ascii="Times New Roman" w:hAnsi="Times New Roman" w:cs="Times New Roman"/>
          <w:sz w:val="24"/>
          <w:szCs w:val="24"/>
        </w:rPr>
      </w:pPr>
      <w:r w:rsidRPr="002752FC">
        <w:rPr>
          <w:rFonts w:ascii="Times New Roman" w:hAnsi="Times New Roman" w:cs="Times New Roman"/>
          <w:sz w:val="24"/>
          <w:szCs w:val="24"/>
        </w:rPr>
        <w:t xml:space="preserve">Zancajo, A., &amp; and Valiente, O. (2019). TVET policy reforms in Chile 2006–2018: Between human capital and the right to education. </w:t>
      </w:r>
      <w:r w:rsidRPr="002752FC">
        <w:rPr>
          <w:rFonts w:ascii="Times New Roman" w:hAnsi="Times New Roman" w:cs="Times New Roman"/>
          <w:i/>
          <w:iCs/>
          <w:sz w:val="24"/>
          <w:szCs w:val="24"/>
        </w:rPr>
        <w:t>Journal of Vocational Education &amp; Training</w:t>
      </w:r>
      <w:r w:rsidRPr="002752FC">
        <w:rPr>
          <w:rFonts w:ascii="Times New Roman" w:hAnsi="Times New Roman" w:cs="Times New Roman"/>
          <w:sz w:val="24"/>
          <w:szCs w:val="24"/>
        </w:rPr>
        <w:t xml:space="preserve">, </w:t>
      </w:r>
      <w:r w:rsidRPr="002752FC">
        <w:rPr>
          <w:rFonts w:ascii="Times New Roman" w:hAnsi="Times New Roman" w:cs="Times New Roman"/>
          <w:i/>
          <w:iCs/>
          <w:sz w:val="24"/>
          <w:szCs w:val="24"/>
        </w:rPr>
        <w:t>71</w:t>
      </w:r>
      <w:r w:rsidRPr="002752FC">
        <w:rPr>
          <w:rFonts w:ascii="Times New Roman" w:hAnsi="Times New Roman" w:cs="Times New Roman"/>
          <w:sz w:val="24"/>
          <w:szCs w:val="24"/>
        </w:rPr>
        <w:t>(4), 579–599. https://doi.org/10.1080/13636820.2018.1548500</w:t>
      </w:r>
    </w:p>
    <w:p w14:paraId="3878975B" w14:textId="77777777" w:rsidR="00561546" w:rsidRPr="002752FC" w:rsidRDefault="00561546" w:rsidP="004A634E">
      <w:pPr>
        <w:spacing w:after="0" w:line="240" w:lineRule="auto"/>
        <w:jc w:val="both"/>
        <w:rPr>
          <w:rFonts w:ascii="Times New Roman" w:eastAsia="Times New Roman" w:hAnsi="Times New Roman" w:cs="Times New Roman"/>
          <w:b/>
          <w:sz w:val="24"/>
          <w:szCs w:val="24"/>
        </w:rPr>
      </w:pPr>
      <w:r w:rsidRPr="002752FC">
        <w:rPr>
          <w:rFonts w:ascii="Times New Roman" w:eastAsia="Times New Roman" w:hAnsi="Times New Roman" w:cs="Times New Roman"/>
          <w:b/>
          <w:sz w:val="24"/>
          <w:szCs w:val="24"/>
        </w:rPr>
        <w:fldChar w:fldCharType="end"/>
      </w:r>
    </w:p>
    <w:p w14:paraId="05535DBF" w14:textId="77777777" w:rsidR="00B81B06" w:rsidRPr="002752FC" w:rsidRDefault="00B81B06" w:rsidP="002752FC">
      <w:pPr>
        <w:spacing w:after="0" w:line="240" w:lineRule="auto"/>
        <w:jc w:val="both"/>
        <w:rPr>
          <w:rFonts w:ascii="Times New Roman" w:eastAsia="Times New Roman" w:hAnsi="Times New Roman" w:cs="Times New Roman"/>
          <w:b/>
          <w:sz w:val="24"/>
          <w:szCs w:val="24"/>
        </w:rPr>
      </w:pPr>
    </w:p>
    <w:p w14:paraId="3837A1EF" w14:textId="77777777" w:rsidR="00276AF3" w:rsidRPr="002752FC" w:rsidRDefault="00276AF3" w:rsidP="002752FC">
      <w:pPr>
        <w:spacing w:after="0" w:line="240" w:lineRule="auto"/>
        <w:jc w:val="both"/>
        <w:rPr>
          <w:rFonts w:ascii="Times New Roman" w:hAnsi="Times New Roman" w:cs="Times New Roman"/>
          <w:sz w:val="24"/>
          <w:szCs w:val="24"/>
        </w:rPr>
      </w:pPr>
    </w:p>
    <w:sectPr w:rsidR="00276AF3" w:rsidRPr="002752FC" w:rsidSect="00D7712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619"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9739" w14:textId="77777777" w:rsidR="00F2307B" w:rsidRDefault="00F2307B" w:rsidP="0078377E">
      <w:pPr>
        <w:spacing w:after="0" w:line="240" w:lineRule="auto"/>
      </w:pPr>
      <w:r>
        <w:separator/>
      </w:r>
    </w:p>
  </w:endnote>
  <w:endnote w:type="continuationSeparator" w:id="0">
    <w:p w14:paraId="6B5C30F8" w14:textId="77777777" w:rsidR="00F2307B" w:rsidRDefault="00F2307B" w:rsidP="0078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9A51" w14:textId="77777777" w:rsidR="0078377E" w:rsidRDefault="00783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370F" w14:textId="77777777" w:rsidR="0078377E" w:rsidRDefault="00783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254B" w14:textId="77777777" w:rsidR="0078377E" w:rsidRDefault="0078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B33F" w14:textId="77777777" w:rsidR="00F2307B" w:rsidRDefault="00F2307B" w:rsidP="0078377E">
      <w:pPr>
        <w:spacing w:after="0" w:line="240" w:lineRule="auto"/>
      </w:pPr>
      <w:r>
        <w:separator/>
      </w:r>
    </w:p>
  </w:footnote>
  <w:footnote w:type="continuationSeparator" w:id="0">
    <w:p w14:paraId="481FFAF4" w14:textId="77777777" w:rsidR="00F2307B" w:rsidRDefault="00F2307B" w:rsidP="0078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AA4A" w14:textId="0B706A01" w:rsidR="0078377E" w:rsidRDefault="00000000">
    <w:pPr>
      <w:pStyle w:val="Header"/>
    </w:pPr>
    <w:r>
      <w:rPr>
        <w:noProof/>
      </w:rPr>
      <w:pict w14:anchorId="37030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80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2224" w14:textId="2BC6212B" w:rsidR="0078377E" w:rsidRDefault="00000000">
    <w:pPr>
      <w:pStyle w:val="Header"/>
    </w:pPr>
    <w:r>
      <w:rPr>
        <w:noProof/>
      </w:rPr>
      <w:pict w14:anchorId="0411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80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DCC" w14:textId="2422DCC2" w:rsidR="0078377E" w:rsidRDefault="00000000">
    <w:pPr>
      <w:pStyle w:val="Header"/>
    </w:pPr>
    <w:r>
      <w:rPr>
        <w:noProof/>
      </w:rPr>
      <w:pict w14:anchorId="61F58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80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13F"/>
    <w:multiLevelType w:val="hybridMultilevel"/>
    <w:tmpl w:val="4AEA74F8"/>
    <w:lvl w:ilvl="0" w:tplc="06544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75721"/>
    <w:multiLevelType w:val="multilevel"/>
    <w:tmpl w:val="9690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F21B7"/>
    <w:multiLevelType w:val="multilevel"/>
    <w:tmpl w:val="5D0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27A5D"/>
    <w:multiLevelType w:val="multilevel"/>
    <w:tmpl w:val="476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16CC0"/>
    <w:multiLevelType w:val="multilevel"/>
    <w:tmpl w:val="AB8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35792"/>
    <w:multiLevelType w:val="multilevel"/>
    <w:tmpl w:val="8E7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C07A7"/>
    <w:multiLevelType w:val="multilevel"/>
    <w:tmpl w:val="6A1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B415F"/>
    <w:multiLevelType w:val="multilevel"/>
    <w:tmpl w:val="1A3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96397">
    <w:abstractNumId w:val="2"/>
  </w:num>
  <w:num w:numId="2" w16cid:durableId="888959251">
    <w:abstractNumId w:val="5"/>
  </w:num>
  <w:num w:numId="3" w16cid:durableId="76640508">
    <w:abstractNumId w:val="1"/>
  </w:num>
  <w:num w:numId="4" w16cid:durableId="2011565519">
    <w:abstractNumId w:val="3"/>
  </w:num>
  <w:num w:numId="5" w16cid:durableId="151336928">
    <w:abstractNumId w:val="4"/>
  </w:num>
  <w:num w:numId="6" w16cid:durableId="1551380542">
    <w:abstractNumId w:val="6"/>
  </w:num>
  <w:num w:numId="7" w16cid:durableId="1411074154">
    <w:abstractNumId w:val="0"/>
  </w:num>
  <w:num w:numId="8" w16cid:durableId="458033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38"/>
    <w:rsid w:val="00006299"/>
    <w:rsid w:val="0005480B"/>
    <w:rsid w:val="000B0891"/>
    <w:rsid w:val="000E4890"/>
    <w:rsid w:val="000F3A00"/>
    <w:rsid w:val="000F7CDD"/>
    <w:rsid w:val="00100BB5"/>
    <w:rsid w:val="00133FC8"/>
    <w:rsid w:val="001610A0"/>
    <w:rsid w:val="001A5562"/>
    <w:rsid w:val="001C4538"/>
    <w:rsid w:val="001E7D41"/>
    <w:rsid w:val="00203497"/>
    <w:rsid w:val="00234581"/>
    <w:rsid w:val="002752FC"/>
    <w:rsid w:val="00276AF3"/>
    <w:rsid w:val="002D700E"/>
    <w:rsid w:val="00305EBA"/>
    <w:rsid w:val="0032428E"/>
    <w:rsid w:val="003A674D"/>
    <w:rsid w:val="003C4F77"/>
    <w:rsid w:val="003D3744"/>
    <w:rsid w:val="003E0F74"/>
    <w:rsid w:val="003E3751"/>
    <w:rsid w:val="003F7513"/>
    <w:rsid w:val="00417AA8"/>
    <w:rsid w:val="0042566E"/>
    <w:rsid w:val="0042700F"/>
    <w:rsid w:val="00427CBC"/>
    <w:rsid w:val="00462E25"/>
    <w:rsid w:val="00491B8D"/>
    <w:rsid w:val="004A634E"/>
    <w:rsid w:val="004F2043"/>
    <w:rsid w:val="005010EB"/>
    <w:rsid w:val="00524D8F"/>
    <w:rsid w:val="005254D5"/>
    <w:rsid w:val="0056073D"/>
    <w:rsid w:val="00560D4E"/>
    <w:rsid w:val="00561546"/>
    <w:rsid w:val="005A1274"/>
    <w:rsid w:val="005D22E9"/>
    <w:rsid w:val="005E4138"/>
    <w:rsid w:val="005F2E3E"/>
    <w:rsid w:val="00607C9D"/>
    <w:rsid w:val="00675450"/>
    <w:rsid w:val="00680C1C"/>
    <w:rsid w:val="006872A9"/>
    <w:rsid w:val="00692F1B"/>
    <w:rsid w:val="00694128"/>
    <w:rsid w:val="006A2B0E"/>
    <w:rsid w:val="0070573A"/>
    <w:rsid w:val="0078377E"/>
    <w:rsid w:val="00794F65"/>
    <w:rsid w:val="007A5B03"/>
    <w:rsid w:val="007C690B"/>
    <w:rsid w:val="007E531C"/>
    <w:rsid w:val="007F5FE7"/>
    <w:rsid w:val="007F77F4"/>
    <w:rsid w:val="00801BF1"/>
    <w:rsid w:val="0080730D"/>
    <w:rsid w:val="00812F38"/>
    <w:rsid w:val="0082510E"/>
    <w:rsid w:val="00836025"/>
    <w:rsid w:val="00857984"/>
    <w:rsid w:val="008746B9"/>
    <w:rsid w:val="00880915"/>
    <w:rsid w:val="00893567"/>
    <w:rsid w:val="008C6940"/>
    <w:rsid w:val="008D2BFE"/>
    <w:rsid w:val="0090481E"/>
    <w:rsid w:val="009422BD"/>
    <w:rsid w:val="009454A3"/>
    <w:rsid w:val="00957E42"/>
    <w:rsid w:val="00964101"/>
    <w:rsid w:val="009A0ED1"/>
    <w:rsid w:val="009A2E81"/>
    <w:rsid w:val="009D4944"/>
    <w:rsid w:val="009F5A77"/>
    <w:rsid w:val="00A00978"/>
    <w:rsid w:val="00A12BC1"/>
    <w:rsid w:val="00A43B9A"/>
    <w:rsid w:val="00A53C28"/>
    <w:rsid w:val="00A67677"/>
    <w:rsid w:val="00A8188E"/>
    <w:rsid w:val="00AC2041"/>
    <w:rsid w:val="00AD443A"/>
    <w:rsid w:val="00B27AA2"/>
    <w:rsid w:val="00B448BC"/>
    <w:rsid w:val="00B774C6"/>
    <w:rsid w:val="00B81B06"/>
    <w:rsid w:val="00B9086A"/>
    <w:rsid w:val="00BC2638"/>
    <w:rsid w:val="00BC4604"/>
    <w:rsid w:val="00BD2532"/>
    <w:rsid w:val="00BE30F9"/>
    <w:rsid w:val="00BE48A4"/>
    <w:rsid w:val="00BF2574"/>
    <w:rsid w:val="00C07355"/>
    <w:rsid w:val="00C43047"/>
    <w:rsid w:val="00C43EC5"/>
    <w:rsid w:val="00C67FE7"/>
    <w:rsid w:val="00CD3168"/>
    <w:rsid w:val="00D359C6"/>
    <w:rsid w:val="00D6329A"/>
    <w:rsid w:val="00D75D10"/>
    <w:rsid w:val="00D7651C"/>
    <w:rsid w:val="00D77126"/>
    <w:rsid w:val="00D900A4"/>
    <w:rsid w:val="00D91422"/>
    <w:rsid w:val="00D94789"/>
    <w:rsid w:val="00DD2CC9"/>
    <w:rsid w:val="00DF2B58"/>
    <w:rsid w:val="00E058E0"/>
    <w:rsid w:val="00E174DE"/>
    <w:rsid w:val="00E20979"/>
    <w:rsid w:val="00E51B38"/>
    <w:rsid w:val="00E54D02"/>
    <w:rsid w:val="00E740DD"/>
    <w:rsid w:val="00E8448F"/>
    <w:rsid w:val="00E92D4B"/>
    <w:rsid w:val="00EB39A3"/>
    <w:rsid w:val="00F2307B"/>
    <w:rsid w:val="00F47FDC"/>
    <w:rsid w:val="00F7338C"/>
    <w:rsid w:val="00F96FF0"/>
    <w:rsid w:val="00FA660E"/>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508E"/>
  <w15:chartTrackingRefBased/>
  <w15:docId w15:val="{F3B92378-85ED-4A87-8956-127F4C38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B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B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B38"/>
    <w:rPr>
      <w:b/>
      <w:bCs/>
    </w:rPr>
  </w:style>
  <w:style w:type="paragraph" w:styleId="Bibliography">
    <w:name w:val="Bibliography"/>
    <w:basedOn w:val="Normal"/>
    <w:next w:val="Normal"/>
    <w:uiPriority w:val="37"/>
    <w:unhideWhenUsed/>
    <w:rsid w:val="00561546"/>
    <w:pPr>
      <w:spacing w:after="0" w:line="480" w:lineRule="auto"/>
      <w:ind w:left="720" w:hanging="720"/>
    </w:pPr>
  </w:style>
  <w:style w:type="character" w:styleId="Hyperlink">
    <w:name w:val="Hyperlink"/>
    <w:basedOn w:val="DefaultParagraphFont"/>
    <w:uiPriority w:val="99"/>
    <w:unhideWhenUsed/>
    <w:rsid w:val="00D359C6"/>
    <w:rPr>
      <w:color w:val="0563C1" w:themeColor="hyperlink"/>
      <w:u w:val="single"/>
    </w:rPr>
  </w:style>
  <w:style w:type="character" w:customStyle="1" w:styleId="UnresolvedMention1">
    <w:name w:val="Unresolved Mention1"/>
    <w:basedOn w:val="DefaultParagraphFont"/>
    <w:uiPriority w:val="99"/>
    <w:semiHidden/>
    <w:unhideWhenUsed/>
    <w:rsid w:val="00D359C6"/>
    <w:rPr>
      <w:color w:val="605E5C"/>
      <w:shd w:val="clear" w:color="auto" w:fill="E1DFDD"/>
    </w:rPr>
  </w:style>
  <w:style w:type="paragraph" w:styleId="Header">
    <w:name w:val="header"/>
    <w:basedOn w:val="Normal"/>
    <w:link w:val="HeaderChar"/>
    <w:uiPriority w:val="99"/>
    <w:unhideWhenUsed/>
    <w:rsid w:val="00783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7E"/>
  </w:style>
  <w:style w:type="paragraph" w:styleId="Footer">
    <w:name w:val="footer"/>
    <w:basedOn w:val="Normal"/>
    <w:link w:val="FooterChar"/>
    <w:uiPriority w:val="99"/>
    <w:unhideWhenUsed/>
    <w:rsid w:val="00783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7E"/>
  </w:style>
  <w:style w:type="paragraph" w:styleId="ListParagraph">
    <w:name w:val="List Paragraph"/>
    <w:basedOn w:val="Normal"/>
    <w:uiPriority w:val="34"/>
    <w:qFormat/>
    <w:rsid w:val="005F2E3E"/>
    <w:pPr>
      <w:ind w:left="720"/>
      <w:contextualSpacing/>
    </w:pPr>
  </w:style>
  <w:style w:type="character" w:customStyle="1" w:styleId="Heading1Char">
    <w:name w:val="Heading 1 Char"/>
    <w:basedOn w:val="DefaultParagraphFont"/>
    <w:link w:val="Heading1"/>
    <w:uiPriority w:val="9"/>
    <w:rsid w:val="007A5B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358">
      <w:bodyDiv w:val="1"/>
      <w:marLeft w:val="0"/>
      <w:marRight w:val="0"/>
      <w:marTop w:val="0"/>
      <w:marBottom w:val="0"/>
      <w:divBdr>
        <w:top w:val="none" w:sz="0" w:space="0" w:color="auto"/>
        <w:left w:val="none" w:sz="0" w:space="0" w:color="auto"/>
        <w:bottom w:val="none" w:sz="0" w:space="0" w:color="auto"/>
        <w:right w:val="none" w:sz="0" w:space="0" w:color="auto"/>
      </w:divBdr>
    </w:div>
    <w:div w:id="104739571">
      <w:bodyDiv w:val="1"/>
      <w:marLeft w:val="0"/>
      <w:marRight w:val="0"/>
      <w:marTop w:val="0"/>
      <w:marBottom w:val="0"/>
      <w:divBdr>
        <w:top w:val="none" w:sz="0" w:space="0" w:color="auto"/>
        <w:left w:val="none" w:sz="0" w:space="0" w:color="auto"/>
        <w:bottom w:val="none" w:sz="0" w:space="0" w:color="auto"/>
        <w:right w:val="none" w:sz="0" w:space="0" w:color="auto"/>
      </w:divBdr>
    </w:div>
    <w:div w:id="123811480">
      <w:bodyDiv w:val="1"/>
      <w:marLeft w:val="0"/>
      <w:marRight w:val="0"/>
      <w:marTop w:val="0"/>
      <w:marBottom w:val="0"/>
      <w:divBdr>
        <w:top w:val="none" w:sz="0" w:space="0" w:color="auto"/>
        <w:left w:val="none" w:sz="0" w:space="0" w:color="auto"/>
        <w:bottom w:val="none" w:sz="0" w:space="0" w:color="auto"/>
        <w:right w:val="none" w:sz="0" w:space="0" w:color="auto"/>
      </w:divBdr>
    </w:div>
    <w:div w:id="162941108">
      <w:bodyDiv w:val="1"/>
      <w:marLeft w:val="0"/>
      <w:marRight w:val="0"/>
      <w:marTop w:val="0"/>
      <w:marBottom w:val="0"/>
      <w:divBdr>
        <w:top w:val="none" w:sz="0" w:space="0" w:color="auto"/>
        <w:left w:val="none" w:sz="0" w:space="0" w:color="auto"/>
        <w:bottom w:val="none" w:sz="0" w:space="0" w:color="auto"/>
        <w:right w:val="none" w:sz="0" w:space="0" w:color="auto"/>
      </w:divBdr>
    </w:div>
    <w:div w:id="175702116">
      <w:bodyDiv w:val="1"/>
      <w:marLeft w:val="0"/>
      <w:marRight w:val="0"/>
      <w:marTop w:val="0"/>
      <w:marBottom w:val="0"/>
      <w:divBdr>
        <w:top w:val="none" w:sz="0" w:space="0" w:color="auto"/>
        <w:left w:val="none" w:sz="0" w:space="0" w:color="auto"/>
        <w:bottom w:val="none" w:sz="0" w:space="0" w:color="auto"/>
        <w:right w:val="none" w:sz="0" w:space="0" w:color="auto"/>
      </w:divBdr>
    </w:div>
    <w:div w:id="198705216">
      <w:bodyDiv w:val="1"/>
      <w:marLeft w:val="0"/>
      <w:marRight w:val="0"/>
      <w:marTop w:val="0"/>
      <w:marBottom w:val="0"/>
      <w:divBdr>
        <w:top w:val="none" w:sz="0" w:space="0" w:color="auto"/>
        <w:left w:val="none" w:sz="0" w:space="0" w:color="auto"/>
        <w:bottom w:val="none" w:sz="0" w:space="0" w:color="auto"/>
        <w:right w:val="none" w:sz="0" w:space="0" w:color="auto"/>
      </w:divBdr>
    </w:div>
    <w:div w:id="210311611">
      <w:bodyDiv w:val="1"/>
      <w:marLeft w:val="0"/>
      <w:marRight w:val="0"/>
      <w:marTop w:val="0"/>
      <w:marBottom w:val="0"/>
      <w:divBdr>
        <w:top w:val="none" w:sz="0" w:space="0" w:color="auto"/>
        <w:left w:val="none" w:sz="0" w:space="0" w:color="auto"/>
        <w:bottom w:val="none" w:sz="0" w:space="0" w:color="auto"/>
        <w:right w:val="none" w:sz="0" w:space="0" w:color="auto"/>
      </w:divBdr>
    </w:div>
    <w:div w:id="210386886">
      <w:bodyDiv w:val="1"/>
      <w:marLeft w:val="0"/>
      <w:marRight w:val="0"/>
      <w:marTop w:val="0"/>
      <w:marBottom w:val="0"/>
      <w:divBdr>
        <w:top w:val="none" w:sz="0" w:space="0" w:color="auto"/>
        <w:left w:val="none" w:sz="0" w:space="0" w:color="auto"/>
        <w:bottom w:val="none" w:sz="0" w:space="0" w:color="auto"/>
        <w:right w:val="none" w:sz="0" w:space="0" w:color="auto"/>
      </w:divBdr>
    </w:div>
    <w:div w:id="216598055">
      <w:bodyDiv w:val="1"/>
      <w:marLeft w:val="0"/>
      <w:marRight w:val="0"/>
      <w:marTop w:val="0"/>
      <w:marBottom w:val="0"/>
      <w:divBdr>
        <w:top w:val="none" w:sz="0" w:space="0" w:color="auto"/>
        <w:left w:val="none" w:sz="0" w:space="0" w:color="auto"/>
        <w:bottom w:val="none" w:sz="0" w:space="0" w:color="auto"/>
        <w:right w:val="none" w:sz="0" w:space="0" w:color="auto"/>
      </w:divBdr>
    </w:div>
    <w:div w:id="237636180">
      <w:bodyDiv w:val="1"/>
      <w:marLeft w:val="0"/>
      <w:marRight w:val="0"/>
      <w:marTop w:val="0"/>
      <w:marBottom w:val="0"/>
      <w:divBdr>
        <w:top w:val="none" w:sz="0" w:space="0" w:color="auto"/>
        <w:left w:val="none" w:sz="0" w:space="0" w:color="auto"/>
        <w:bottom w:val="none" w:sz="0" w:space="0" w:color="auto"/>
        <w:right w:val="none" w:sz="0" w:space="0" w:color="auto"/>
      </w:divBdr>
    </w:div>
    <w:div w:id="241834561">
      <w:bodyDiv w:val="1"/>
      <w:marLeft w:val="0"/>
      <w:marRight w:val="0"/>
      <w:marTop w:val="0"/>
      <w:marBottom w:val="0"/>
      <w:divBdr>
        <w:top w:val="none" w:sz="0" w:space="0" w:color="auto"/>
        <w:left w:val="none" w:sz="0" w:space="0" w:color="auto"/>
        <w:bottom w:val="none" w:sz="0" w:space="0" w:color="auto"/>
        <w:right w:val="none" w:sz="0" w:space="0" w:color="auto"/>
      </w:divBdr>
    </w:div>
    <w:div w:id="248000655">
      <w:bodyDiv w:val="1"/>
      <w:marLeft w:val="0"/>
      <w:marRight w:val="0"/>
      <w:marTop w:val="0"/>
      <w:marBottom w:val="0"/>
      <w:divBdr>
        <w:top w:val="none" w:sz="0" w:space="0" w:color="auto"/>
        <w:left w:val="none" w:sz="0" w:space="0" w:color="auto"/>
        <w:bottom w:val="none" w:sz="0" w:space="0" w:color="auto"/>
        <w:right w:val="none" w:sz="0" w:space="0" w:color="auto"/>
      </w:divBdr>
    </w:div>
    <w:div w:id="278609069">
      <w:bodyDiv w:val="1"/>
      <w:marLeft w:val="0"/>
      <w:marRight w:val="0"/>
      <w:marTop w:val="0"/>
      <w:marBottom w:val="0"/>
      <w:divBdr>
        <w:top w:val="none" w:sz="0" w:space="0" w:color="auto"/>
        <w:left w:val="none" w:sz="0" w:space="0" w:color="auto"/>
        <w:bottom w:val="none" w:sz="0" w:space="0" w:color="auto"/>
        <w:right w:val="none" w:sz="0" w:space="0" w:color="auto"/>
      </w:divBdr>
    </w:div>
    <w:div w:id="378361484">
      <w:bodyDiv w:val="1"/>
      <w:marLeft w:val="0"/>
      <w:marRight w:val="0"/>
      <w:marTop w:val="0"/>
      <w:marBottom w:val="0"/>
      <w:divBdr>
        <w:top w:val="none" w:sz="0" w:space="0" w:color="auto"/>
        <w:left w:val="none" w:sz="0" w:space="0" w:color="auto"/>
        <w:bottom w:val="none" w:sz="0" w:space="0" w:color="auto"/>
        <w:right w:val="none" w:sz="0" w:space="0" w:color="auto"/>
      </w:divBdr>
    </w:div>
    <w:div w:id="388462461">
      <w:bodyDiv w:val="1"/>
      <w:marLeft w:val="0"/>
      <w:marRight w:val="0"/>
      <w:marTop w:val="0"/>
      <w:marBottom w:val="0"/>
      <w:divBdr>
        <w:top w:val="none" w:sz="0" w:space="0" w:color="auto"/>
        <w:left w:val="none" w:sz="0" w:space="0" w:color="auto"/>
        <w:bottom w:val="none" w:sz="0" w:space="0" w:color="auto"/>
        <w:right w:val="none" w:sz="0" w:space="0" w:color="auto"/>
      </w:divBdr>
    </w:div>
    <w:div w:id="438068650">
      <w:bodyDiv w:val="1"/>
      <w:marLeft w:val="0"/>
      <w:marRight w:val="0"/>
      <w:marTop w:val="0"/>
      <w:marBottom w:val="0"/>
      <w:divBdr>
        <w:top w:val="none" w:sz="0" w:space="0" w:color="auto"/>
        <w:left w:val="none" w:sz="0" w:space="0" w:color="auto"/>
        <w:bottom w:val="none" w:sz="0" w:space="0" w:color="auto"/>
        <w:right w:val="none" w:sz="0" w:space="0" w:color="auto"/>
      </w:divBdr>
    </w:div>
    <w:div w:id="440028894">
      <w:bodyDiv w:val="1"/>
      <w:marLeft w:val="0"/>
      <w:marRight w:val="0"/>
      <w:marTop w:val="0"/>
      <w:marBottom w:val="0"/>
      <w:divBdr>
        <w:top w:val="none" w:sz="0" w:space="0" w:color="auto"/>
        <w:left w:val="none" w:sz="0" w:space="0" w:color="auto"/>
        <w:bottom w:val="none" w:sz="0" w:space="0" w:color="auto"/>
        <w:right w:val="none" w:sz="0" w:space="0" w:color="auto"/>
      </w:divBdr>
    </w:div>
    <w:div w:id="468670070">
      <w:bodyDiv w:val="1"/>
      <w:marLeft w:val="0"/>
      <w:marRight w:val="0"/>
      <w:marTop w:val="0"/>
      <w:marBottom w:val="0"/>
      <w:divBdr>
        <w:top w:val="none" w:sz="0" w:space="0" w:color="auto"/>
        <w:left w:val="none" w:sz="0" w:space="0" w:color="auto"/>
        <w:bottom w:val="none" w:sz="0" w:space="0" w:color="auto"/>
        <w:right w:val="none" w:sz="0" w:space="0" w:color="auto"/>
      </w:divBdr>
    </w:div>
    <w:div w:id="508983770">
      <w:bodyDiv w:val="1"/>
      <w:marLeft w:val="0"/>
      <w:marRight w:val="0"/>
      <w:marTop w:val="0"/>
      <w:marBottom w:val="0"/>
      <w:divBdr>
        <w:top w:val="none" w:sz="0" w:space="0" w:color="auto"/>
        <w:left w:val="none" w:sz="0" w:space="0" w:color="auto"/>
        <w:bottom w:val="none" w:sz="0" w:space="0" w:color="auto"/>
        <w:right w:val="none" w:sz="0" w:space="0" w:color="auto"/>
      </w:divBdr>
    </w:div>
    <w:div w:id="545340163">
      <w:bodyDiv w:val="1"/>
      <w:marLeft w:val="0"/>
      <w:marRight w:val="0"/>
      <w:marTop w:val="0"/>
      <w:marBottom w:val="0"/>
      <w:divBdr>
        <w:top w:val="none" w:sz="0" w:space="0" w:color="auto"/>
        <w:left w:val="none" w:sz="0" w:space="0" w:color="auto"/>
        <w:bottom w:val="none" w:sz="0" w:space="0" w:color="auto"/>
        <w:right w:val="none" w:sz="0" w:space="0" w:color="auto"/>
      </w:divBdr>
    </w:div>
    <w:div w:id="573315648">
      <w:bodyDiv w:val="1"/>
      <w:marLeft w:val="0"/>
      <w:marRight w:val="0"/>
      <w:marTop w:val="0"/>
      <w:marBottom w:val="0"/>
      <w:divBdr>
        <w:top w:val="none" w:sz="0" w:space="0" w:color="auto"/>
        <w:left w:val="none" w:sz="0" w:space="0" w:color="auto"/>
        <w:bottom w:val="none" w:sz="0" w:space="0" w:color="auto"/>
        <w:right w:val="none" w:sz="0" w:space="0" w:color="auto"/>
      </w:divBdr>
    </w:div>
    <w:div w:id="600920964">
      <w:bodyDiv w:val="1"/>
      <w:marLeft w:val="0"/>
      <w:marRight w:val="0"/>
      <w:marTop w:val="0"/>
      <w:marBottom w:val="0"/>
      <w:divBdr>
        <w:top w:val="none" w:sz="0" w:space="0" w:color="auto"/>
        <w:left w:val="none" w:sz="0" w:space="0" w:color="auto"/>
        <w:bottom w:val="none" w:sz="0" w:space="0" w:color="auto"/>
        <w:right w:val="none" w:sz="0" w:space="0" w:color="auto"/>
      </w:divBdr>
    </w:div>
    <w:div w:id="609120751">
      <w:bodyDiv w:val="1"/>
      <w:marLeft w:val="0"/>
      <w:marRight w:val="0"/>
      <w:marTop w:val="0"/>
      <w:marBottom w:val="0"/>
      <w:divBdr>
        <w:top w:val="none" w:sz="0" w:space="0" w:color="auto"/>
        <w:left w:val="none" w:sz="0" w:space="0" w:color="auto"/>
        <w:bottom w:val="none" w:sz="0" w:space="0" w:color="auto"/>
        <w:right w:val="none" w:sz="0" w:space="0" w:color="auto"/>
      </w:divBdr>
    </w:div>
    <w:div w:id="680668222">
      <w:bodyDiv w:val="1"/>
      <w:marLeft w:val="0"/>
      <w:marRight w:val="0"/>
      <w:marTop w:val="0"/>
      <w:marBottom w:val="0"/>
      <w:divBdr>
        <w:top w:val="none" w:sz="0" w:space="0" w:color="auto"/>
        <w:left w:val="none" w:sz="0" w:space="0" w:color="auto"/>
        <w:bottom w:val="none" w:sz="0" w:space="0" w:color="auto"/>
        <w:right w:val="none" w:sz="0" w:space="0" w:color="auto"/>
      </w:divBdr>
    </w:div>
    <w:div w:id="693116548">
      <w:bodyDiv w:val="1"/>
      <w:marLeft w:val="0"/>
      <w:marRight w:val="0"/>
      <w:marTop w:val="0"/>
      <w:marBottom w:val="0"/>
      <w:divBdr>
        <w:top w:val="none" w:sz="0" w:space="0" w:color="auto"/>
        <w:left w:val="none" w:sz="0" w:space="0" w:color="auto"/>
        <w:bottom w:val="none" w:sz="0" w:space="0" w:color="auto"/>
        <w:right w:val="none" w:sz="0" w:space="0" w:color="auto"/>
      </w:divBdr>
    </w:div>
    <w:div w:id="736513334">
      <w:bodyDiv w:val="1"/>
      <w:marLeft w:val="0"/>
      <w:marRight w:val="0"/>
      <w:marTop w:val="0"/>
      <w:marBottom w:val="0"/>
      <w:divBdr>
        <w:top w:val="none" w:sz="0" w:space="0" w:color="auto"/>
        <w:left w:val="none" w:sz="0" w:space="0" w:color="auto"/>
        <w:bottom w:val="none" w:sz="0" w:space="0" w:color="auto"/>
        <w:right w:val="none" w:sz="0" w:space="0" w:color="auto"/>
      </w:divBdr>
    </w:div>
    <w:div w:id="766116481">
      <w:bodyDiv w:val="1"/>
      <w:marLeft w:val="0"/>
      <w:marRight w:val="0"/>
      <w:marTop w:val="0"/>
      <w:marBottom w:val="0"/>
      <w:divBdr>
        <w:top w:val="none" w:sz="0" w:space="0" w:color="auto"/>
        <w:left w:val="none" w:sz="0" w:space="0" w:color="auto"/>
        <w:bottom w:val="none" w:sz="0" w:space="0" w:color="auto"/>
        <w:right w:val="none" w:sz="0" w:space="0" w:color="auto"/>
      </w:divBdr>
    </w:div>
    <w:div w:id="774791044">
      <w:bodyDiv w:val="1"/>
      <w:marLeft w:val="0"/>
      <w:marRight w:val="0"/>
      <w:marTop w:val="0"/>
      <w:marBottom w:val="0"/>
      <w:divBdr>
        <w:top w:val="none" w:sz="0" w:space="0" w:color="auto"/>
        <w:left w:val="none" w:sz="0" w:space="0" w:color="auto"/>
        <w:bottom w:val="none" w:sz="0" w:space="0" w:color="auto"/>
        <w:right w:val="none" w:sz="0" w:space="0" w:color="auto"/>
      </w:divBdr>
    </w:div>
    <w:div w:id="821119446">
      <w:bodyDiv w:val="1"/>
      <w:marLeft w:val="0"/>
      <w:marRight w:val="0"/>
      <w:marTop w:val="0"/>
      <w:marBottom w:val="0"/>
      <w:divBdr>
        <w:top w:val="none" w:sz="0" w:space="0" w:color="auto"/>
        <w:left w:val="none" w:sz="0" w:space="0" w:color="auto"/>
        <w:bottom w:val="none" w:sz="0" w:space="0" w:color="auto"/>
        <w:right w:val="none" w:sz="0" w:space="0" w:color="auto"/>
      </w:divBdr>
    </w:div>
    <w:div w:id="945700041">
      <w:bodyDiv w:val="1"/>
      <w:marLeft w:val="0"/>
      <w:marRight w:val="0"/>
      <w:marTop w:val="0"/>
      <w:marBottom w:val="0"/>
      <w:divBdr>
        <w:top w:val="none" w:sz="0" w:space="0" w:color="auto"/>
        <w:left w:val="none" w:sz="0" w:space="0" w:color="auto"/>
        <w:bottom w:val="none" w:sz="0" w:space="0" w:color="auto"/>
        <w:right w:val="none" w:sz="0" w:space="0" w:color="auto"/>
      </w:divBdr>
    </w:div>
    <w:div w:id="958803388">
      <w:bodyDiv w:val="1"/>
      <w:marLeft w:val="0"/>
      <w:marRight w:val="0"/>
      <w:marTop w:val="0"/>
      <w:marBottom w:val="0"/>
      <w:divBdr>
        <w:top w:val="none" w:sz="0" w:space="0" w:color="auto"/>
        <w:left w:val="none" w:sz="0" w:space="0" w:color="auto"/>
        <w:bottom w:val="none" w:sz="0" w:space="0" w:color="auto"/>
        <w:right w:val="none" w:sz="0" w:space="0" w:color="auto"/>
      </w:divBdr>
    </w:div>
    <w:div w:id="963661315">
      <w:bodyDiv w:val="1"/>
      <w:marLeft w:val="0"/>
      <w:marRight w:val="0"/>
      <w:marTop w:val="0"/>
      <w:marBottom w:val="0"/>
      <w:divBdr>
        <w:top w:val="none" w:sz="0" w:space="0" w:color="auto"/>
        <w:left w:val="none" w:sz="0" w:space="0" w:color="auto"/>
        <w:bottom w:val="none" w:sz="0" w:space="0" w:color="auto"/>
        <w:right w:val="none" w:sz="0" w:space="0" w:color="auto"/>
      </w:divBdr>
    </w:div>
    <w:div w:id="975914769">
      <w:bodyDiv w:val="1"/>
      <w:marLeft w:val="0"/>
      <w:marRight w:val="0"/>
      <w:marTop w:val="0"/>
      <w:marBottom w:val="0"/>
      <w:divBdr>
        <w:top w:val="none" w:sz="0" w:space="0" w:color="auto"/>
        <w:left w:val="none" w:sz="0" w:space="0" w:color="auto"/>
        <w:bottom w:val="none" w:sz="0" w:space="0" w:color="auto"/>
        <w:right w:val="none" w:sz="0" w:space="0" w:color="auto"/>
      </w:divBdr>
    </w:div>
    <w:div w:id="1017200483">
      <w:bodyDiv w:val="1"/>
      <w:marLeft w:val="0"/>
      <w:marRight w:val="0"/>
      <w:marTop w:val="0"/>
      <w:marBottom w:val="0"/>
      <w:divBdr>
        <w:top w:val="none" w:sz="0" w:space="0" w:color="auto"/>
        <w:left w:val="none" w:sz="0" w:space="0" w:color="auto"/>
        <w:bottom w:val="none" w:sz="0" w:space="0" w:color="auto"/>
        <w:right w:val="none" w:sz="0" w:space="0" w:color="auto"/>
      </w:divBdr>
    </w:div>
    <w:div w:id="1187404555">
      <w:bodyDiv w:val="1"/>
      <w:marLeft w:val="0"/>
      <w:marRight w:val="0"/>
      <w:marTop w:val="0"/>
      <w:marBottom w:val="0"/>
      <w:divBdr>
        <w:top w:val="none" w:sz="0" w:space="0" w:color="auto"/>
        <w:left w:val="none" w:sz="0" w:space="0" w:color="auto"/>
        <w:bottom w:val="none" w:sz="0" w:space="0" w:color="auto"/>
        <w:right w:val="none" w:sz="0" w:space="0" w:color="auto"/>
      </w:divBdr>
    </w:div>
    <w:div w:id="1242251340">
      <w:bodyDiv w:val="1"/>
      <w:marLeft w:val="0"/>
      <w:marRight w:val="0"/>
      <w:marTop w:val="0"/>
      <w:marBottom w:val="0"/>
      <w:divBdr>
        <w:top w:val="none" w:sz="0" w:space="0" w:color="auto"/>
        <w:left w:val="none" w:sz="0" w:space="0" w:color="auto"/>
        <w:bottom w:val="none" w:sz="0" w:space="0" w:color="auto"/>
        <w:right w:val="none" w:sz="0" w:space="0" w:color="auto"/>
      </w:divBdr>
    </w:div>
    <w:div w:id="1285306227">
      <w:bodyDiv w:val="1"/>
      <w:marLeft w:val="0"/>
      <w:marRight w:val="0"/>
      <w:marTop w:val="0"/>
      <w:marBottom w:val="0"/>
      <w:divBdr>
        <w:top w:val="none" w:sz="0" w:space="0" w:color="auto"/>
        <w:left w:val="none" w:sz="0" w:space="0" w:color="auto"/>
        <w:bottom w:val="none" w:sz="0" w:space="0" w:color="auto"/>
        <w:right w:val="none" w:sz="0" w:space="0" w:color="auto"/>
      </w:divBdr>
    </w:div>
    <w:div w:id="1329865338">
      <w:bodyDiv w:val="1"/>
      <w:marLeft w:val="0"/>
      <w:marRight w:val="0"/>
      <w:marTop w:val="0"/>
      <w:marBottom w:val="0"/>
      <w:divBdr>
        <w:top w:val="none" w:sz="0" w:space="0" w:color="auto"/>
        <w:left w:val="none" w:sz="0" w:space="0" w:color="auto"/>
        <w:bottom w:val="none" w:sz="0" w:space="0" w:color="auto"/>
        <w:right w:val="none" w:sz="0" w:space="0" w:color="auto"/>
      </w:divBdr>
    </w:div>
    <w:div w:id="1335962368">
      <w:bodyDiv w:val="1"/>
      <w:marLeft w:val="0"/>
      <w:marRight w:val="0"/>
      <w:marTop w:val="0"/>
      <w:marBottom w:val="0"/>
      <w:divBdr>
        <w:top w:val="none" w:sz="0" w:space="0" w:color="auto"/>
        <w:left w:val="none" w:sz="0" w:space="0" w:color="auto"/>
        <w:bottom w:val="none" w:sz="0" w:space="0" w:color="auto"/>
        <w:right w:val="none" w:sz="0" w:space="0" w:color="auto"/>
      </w:divBdr>
    </w:div>
    <w:div w:id="1371488791">
      <w:bodyDiv w:val="1"/>
      <w:marLeft w:val="0"/>
      <w:marRight w:val="0"/>
      <w:marTop w:val="0"/>
      <w:marBottom w:val="0"/>
      <w:divBdr>
        <w:top w:val="none" w:sz="0" w:space="0" w:color="auto"/>
        <w:left w:val="none" w:sz="0" w:space="0" w:color="auto"/>
        <w:bottom w:val="none" w:sz="0" w:space="0" w:color="auto"/>
        <w:right w:val="none" w:sz="0" w:space="0" w:color="auto"/>
      </w:divBdr>
    </w:div>
    <w:div w:id="1388407373">
      <w:bodyDiv w:val="1"/>
      <w:marLeft w:val="0"/>
      <w:marRight w:val="0"/>
      <w:marTop w:val="0"/>
      <w:marBottom w:val="0"/>
      <w:divBdr>
        <w:top w:val="none" w:sz="0" w:space="0" w:color="auto"/>
        <w:left w:val="none" w:sz="0" w:space="0" w:color="auto"/>
        <w:bottom w:val="none" w:sz="0" w:space="0" w:color="auto"/>
        <w:right w:val="none" w:sz="0" w:space="0" w:color="auto"/>
      </w:divBdr>
    </w:div>
    <w:div w:id="1399591365">
      <w:bodyDiv w:val="1"/>
      <w:marLeft w:val="0"/>
      <w:marRight w:val="0"/>
      <w:marTop w:val="0"/>
      <w:marBottom w:val="0"/>
      <w:divBdr>
        <w:top w:val="none" w:sz="0" w:space="0" w:color="auto"/>
        <w:left w:val="none" w:sz="0" w:space="0" w:color="auto"/>
        <w:bottom w:val="none" w:sz="0" w:space="0" w:color="auto"/>
        <w:right w:val="none" w:sz="0" w:space="0" w:color="auto"/>
      </w:divBdr>
    </w:div>
    <w:div w:id="1407730148">
      <w:bodyDiv w:val="1"/>
      <w:marLeft w:val="0"/>
      <w:marRight w:val="0"/>
      <w:marTop w:val="0"/>
      <w:marBottom w:val="0"/>
      <w:divBdr>
        <w:top w:val="none" w:sz="0" w:space="0" w:color="auto"/>
        <w:left w:val="none" w:sz="0" w:space="0" w:color="auto"/>
        <w:bottom w:val="none" w:sz="0" w:space="0" w:color="auto"/>
        <w:right w:val="none" w:sz="0" w:space="0" w:color="auto"/>
      </w:divBdr>
    </w:div>
    <w:div w:id="1417901938">
      <w:bodyDiv w:val="1"/>
      <w:marLeft w:val="0"/>
      <w:marRight w:val="0"/>
      <w:marTop w:val="0"/>
      <w:marBottom w:val="0"/>
      <w:divBdr>
        <w:top w:val="none" w:sz="0" w:space="0" w:color="auto"/>
        <w:left w:val="none" w:sz="0" w:space="0" w:color="auto"/>
        <w:bottom w:val="none" w:sz="0" w:space="0" w:color="auto"/>
        <w:right w:val="none" w:sz="0" w:space="0" w:color="auto"/>
      </w:divBdr>
    </w:div>
    <w:div w:id="1435173478">
      <w:bodyDiv w:val="1"/>
      <w:marLeft w:val="0"/>
      <w:marRight w:val="0"/>
      <w:marTop w:val="0"/>
      <w:marBottom w:val="0"/>
      <w:divBdr>
        <w:top w:val="none" w:sz="0" w:space="0" w:color="auto"/>
        <w:left w:val="none" w:sz="0" w:space="0" w:color="auto"/>
        <w:bottom w:val="none" w:sz="0" w:space="0" w:color="auto"/>
        <w:right w:val="none" w:sz="0" w:space="0" w:color="auto"/>
      </w:divBdr>
    </w:div>
    <w:div w:id="1455639125">
      <w:bodyDiv w:val="1"/>
      <w:marLeft w:val="0"/>
      <w:marRight w:val="0"/>
      <w:marTop w:val="0"/>
      <w:marBottom w:val="0"/>
      <w:divBdr>
        <w:top w:val="none" w:sz="0" w:space="0" w:color="auto"/>
        <w:left w:val="none" w:sz="0" w:space="0" w:color="auto"/>
        <w:bottom w:val="none" w:sz="0" w:space="0" w:color="auto"/>
        <w:right w:val="none" w:sz="0" w:space="0" w:color="auto"/>
      </w:divBdr>
    </w:div>
    <w:div w:id="1479036379">
      <w:bodyDiv w:val="1"/>
      <w:marLeft w:val="0"/>
      <w:marRight w:val="0"/>
      <w:marTop w:val="0"/>
      <w:marBottom w:val="0"/>
      <w:divBdr>
        <w:top w:val="none" w:sz="0" w:space="0" w:color="auto"/>
        <w:left w:val="none" w:sz="0" w:space="0" w:color="auto"/>
        <w:bottom w:val="none" w:sz="0" w:space="0" w:color="auto"/>
        <w:right w:val="none" w:sz="0" w:space="0" w:color="auto"/>
      </w:divBdr>
    </w:div>
    <w:div w:id="1491286945">
      <w:bodyDiv w:val="1"/>
      <w:marLeft w:val="0"/>
      <w:marRight w:val="0"/>
      <w:marTop w:val="0"/>
      <w:marBottom w:val="0"/>
      <w:divBdr>
        <w:top w:val="none" w:sz="0" w:space="0" w:color="auto"/>
        <w:left w:val="none" w:sz="0" w:space="0" w:color="auto"/>
        <w:bottom w:val="none" w:sz="0" w:space="0" w:color="auto"/>
        <w:right w:val="none" w:sz="0" w:space="0" w:color="auto"/>
      </w:divBdr>
    </w:div>
    <w:div w:id="1533961806">
      <w:bodyDiv w:val="1"/>
      <w:marLeft w:val="0"/>
      <w:marRight w:val="0"/>
      <w:marTop w:val="0"/>
      <w:marBottom w:val="0"/>
      <w:divBdr>
        <w:top w:val="none" w:sz="0" w:space="0" w:color="auto"/>
        <w:left w:val="none" w:sz="0" w:space="0" w:color="auto"/>
        <w:bottom w:val="none" w:sz="0" w:space="0" w:color="auto"/>
        <w:right w:val="none" w:sz="0" w:space="0" w:color="auto"/>
      </w:divBdr>
    </w:div>
    <w:div w:id="1549492301">
      <w:bodyDiv w:val="1"/>
      <w:marLeft w:val="0"/>
      <w:marRight w:val="0"/>
      <w:marTop w:val="0"/>
      <w:marBottom w:val="0"/>
      <w:divBdr>
        <w:top w:val="none" w:sz="0" w:space="0" w:color="auto"/>
        <w:left w:val="none" w:sz="0" w:space="0" w:color="auto"/>
        <w:bottom w:val="none" w:sz="0" w:space="0" w:color="auto"/>
        <w:right w:val="none" w:sz="0" w:space="0" w:color="auto"/>
      </w:divBdr>
    </w:div>
    <w:div w:id="1559440802">
      <w:bodyDiv w:val="1"/>
      <w:marLeft w:val="0"/>
      <w:marRight w:val="0"/>
      <w:marTop w:val="0"/>
      <w:marBottom w:val="0"/>
      <w:divBdr>
        <w:top w:val="none" w:sz="0" w:space="0" w:color="auto"/>
        <w:left w:val="none" w:sz="0" w:space="0" w:color="auto"/>
        <w:bottom w:val="none" w:sz="0" w:space="0" w:color="auto"/>
        <w:right w:val="none" w:sz="0" w:space="0" w:color="auto"/>
      </w:divBdr>
    </w:div>
    <w:div w:id="1591347554">
      <w:bodyDiv w:val="1"/>
      <w:marLeft w:val="0"/>
      <w:marRight w:val="0"/>
      <w:marTop w:val="0"/>
      <w:marBottom w:val="0"/>
      <w:divBdr>
        <w:top w:val="none" w:sz="0" w:space="0" w:color="auto"/>
        <w:left w:val="none" w:sz="0" w:space="0" w:color="auto"/>
        <w:bottom w:val="none" w:sz="0" w:space="0" w:color="auto"/>
        <w:right w:val="none" w:sz="0" w:space="0" w:color="auto"/>
      </w:divBdr>
    </w:div>
    <w:div w:id="1642886395">
      <w:bodyDiv w:val="1"/>
      <w:marLeft w:val="0"/>
      <w:marRight w:val="0"/>
      <w:marTop w:val="0"/>
      <w:marBottom w:val="0"/>
      <w:divBdr>
        <w:top w:val="none" w:sz="0" w:space="0" w:color="auto"/>
        <w:left w:val="none" w:sz="0" w:space="0" w:color="auto"/>
        <w:bottom w:val="none" w:sz="0" w:space="0" w:color="auto"/>
        <w:right w:val="none" w:sz="0" w:space="0" w:color="auto"/>
      </w:divBdr>
    </w:div>
    <w:div w:id="1645692338">
      <w:bodyDiv w:val="1"/>
      <w:marLeft w:val="0"/>
      <w:marRight w:val="0"/>
      <w:marTop w:val="0"/>
      <w:marBottom w:val="0"/>
      <w:divBdr>
        <w:top w:val="none" w:sz="0" w:space="0" w:color="auto"/>
        <w:left w:val="none" w:sz="0" w:space="0" w:color="auto"/>
        <w:bottom w:val="none" w:sz="0" w:space="0" w:color="auto"/>
        <w:right w:val="none" w:sz="0" w:space="0" w:color="auto"/>
      </w:divBdr>
    </w:div>
    <w:div w:id="1671521963">
      <w:bodyDiv w:val="1"/>
      <w:marLeft w:val="0"/>
      <w:marRight w:val="0"/>
      <w:marTop w:val="0"/>
      <w:marBottom w:val="0"/>
      <w:divBdr>
        <w:top w:val="none" w:sz="0" w:space="0" w:color="auto"/>
        <w:left w:val="none" w:sz="0" w:space="0" w:color="auto"/>
        <w:bottom w:val="none" w:sz="0" w:space="0" w:color="auto"/>
        <w:right w:val="none" w:sz="0" w:space="0" w:color="auto"/>
      </w:divBdr>
    </w:div>
    <w:div w:id="1700474666">
      <w:bodyDiv w:val="1"/>
      <w:marLeft w:val="0"/>
      <w:marRight w:val="0"/>
      <w:marTop w:val="0"/>
      <w:marBottom w:val="0"/>
      <w:divBdr>
        <w:top w:val="none" w:sz="0" w:space="0" w:color="auto"/>
        <w:left w:val="none" w:sz="0" w:space="0" w:color="auto"/>
        <w:bottom w:val="none" w:sz="0" w:space="0" w:color="auto"/>
        <w:right w:val="none" w:sz="0" w:space="0" w:color="auto"/>
      </w:divBdr>
    </w:div>
    <w:div w:id="1710258021">
      <w:bodyDiv w:val="1"/>
      <w:marLeft w:val="0"/>
      <w:marRight w:val="0"/>
      <w:marTop w:val="0"/>
      <w:marBottom w:val="0"/>
      <w:divBdr>
        <w:top w:val="none" w:sz="0" w:space="0" w:color="auto"/>
        <w:left w:val="none" w:sz="0" w:space="0" w:color="auto"/>
        <w:bottom w:val="none" w:sz="0" w:space="0" w:color="auto"/>
        <w:right w:val="none" w:sz="0" w:space="0" w:color="auto"/>
      </w:divBdr>
    </w:div>
    <w:div w:id="1745837001">
      <w:bodyDiv w:val="1"/>
      <w:marLeft w:val="0"/>
      <w:marRight w:val="0"/>
      <w:marTop w:val="0"/>
      <w:marBottom w:val="0"/>
      <w:divBdr>
        <w:top w:val="none" w:sz="0" w:space="0" w:color="auto"/>
        <w:left w:val="none" w:sz="0" w:space="0" w:color="auto"/>
        <w:bottom w:val="none" w:sz="0" w:space="0" w:color="auto"/>
        <w:right w:val="none" w:sz="0" w:space="0" w:color="auto"/>
      </w:divBdr>
    </w:div>
    <w:div w:id="1797138719">
      <w:bodyDiv w:val="1"/>
      <w:marLeft w:val="0"/>
      <w:marRight w:val="0"/>
      <w:marTop w:val="0"/>
      <w:marBottom w:val="0"/>
      <w:divBdr>
        <w:top w:val="none" w:sz="0" w:space="0" w:color="auto"/>
        <w:left w:val="none" w:sz="0" w:space="0" w:color="auto"/>
        <w:bottom w:val="none" w:sz="0" w:space="0" w:color="auto"/>
        <w:right w:val="none" w:sz="0" w:space="0" w:color="auto"/>
      </w:divBdr>
    </w:div>
    <w:div w:id="1830949705">
      <w:bodyDiv w:val="1"/>
      <w:marLeft w:val="0"/>
      <w:marRight w:val="0"/>
      <w:marTop w:val="0"/>
      <w:marBottom w:val="0"/>
      <w:divBdr>
        <w:top w:val="none" w:sz="0" w:space="0" w:color="auto"/>
        <w:left w:val="none" w:sz="0" w:space="0" w:color="auto"/>
        <w:bottom w:val="none" w:sz="0" w:space="0" w:color="auto"/>
        <w:right w:val="none" w:sz="0" w:space="0" w:color="auto"/>
      </w:divBdr>
    </w:div>
    <w:div w:id="1841696167">
      <w:bodyDiv w:val="1"/>
      <w:marLeft w:val="0"/>
      <w:marRight w:val="0"/>
      <w:marTop w:val="0"/>
      <w:marBottom w:val="0"/>
      <w:divBdr>
        <w:top w:val="none" w:sz="0" w:space="0" w:color="auto"/>
        <w:left w:val="none" w:sz="0" w:space="0" w:color="auto"/>
        <w:bottom w:val="none" w:sz="0" w:space="0" w:color="auto"/>
        <w:right w:val="none" w:sz="0" w:space="0" w:color="auto"/>
      </w:divBdr>
    </w:div>
    <w:div w:id="1882014486">
      <w:bodyDiv w:val="1"/>
      <w:marLeft w:val="0"/>
      <w:marRight w:val="0"/>
      <w:marTop w:val="0"/>
      <w:marBottom w:val="0"/>
      <w:divBdr>
        <w:top w:val="none" w:sz="0" w:space="0" w:color="auto"/>
        <w:left w:val="none" w:sz="0" w:space="0" w:color="auto"/>
        <w:bottom w:val="none" w:sz="0" w:space="0" w:color="auto"/>
        <w:right w:val="none" w:sz="0" w:space="0" w:color="auto"/>
      </w:divBdr>
    </w:div>
    <w:div w:id="1891529982">
      <w:bodyDiv w:val="1"/>
      <w:marLeft w:val="0"/>
      <w:marRight w:val="0"/>
      <w:marTop w:val="0"/>
      <w:marBottom w:val="0"/>
      <w:divBdr>
        <w:top w:val="none" w:sz="0" w:space="0" w:color="auto"/>
        <w:left w:val="none" w:sz="0" w:space="0" w:color="auto"/>
        <w:bottom w:val="none" w:sz="0" w:space="0" w:color="auto"/>
        <w:right w:val="none" w:sz="0" w:space="0" w:color="auto"/>
      </w:divBdr>
    </w:div>
    <w:div w:id="1941450489">
      <w:bodyDiv w:val="1"/>
      <w:marLeft w:val="0"/>
      <w:marRight w:val="0"/>
      <w:marTop w:val="0"/>
      <w:marBottom w:val="0"/>
      <w:divBdr>
        <w:top w:val="none" w:sz="0" w:space="0" w:color="auto"/>
        <w:left w:val="none" w:sz="0" w:space="0" w:color="auto"/>
        <w:bottom w:val="none" w:sz="0" w:space="0" w:color="auto"/>
        <w:right w:val="none" w:sz="0" w:space="0" w:color="auto"/>
      </w:divBdr>
    </w:div>
    <w:div w:id="1981764993">
      <w:bodyDiv w:val="1"/>
      <w:marLeft w:val="0"/>
      <w:marRight w:val="0"/>
      <w:marTop w:val="0"/>
      <w:marBottom w:val="0"/>
      <w:divBdr>
        <w:top w:val="none" w:sz="0" w:space="0" w:color="auto"/>
        <w:left w:val="none" w:sz="0" w:space="0" w:color="auto"/>
        <w:bottom w:val="none" w:sz="0" w:space="0" w:color="auto"/>
        <w:right w:val="none" w:sz="0" w:space="0" w:color="auto"/>
      </w:divBdr>
    </w:div>
    <w:div w:id="2011784593">
      <w:bodyDiv w:val="1"/>
      <w:marLeft w:val="0"/>
      <w:marRight w:val="0"/>
      <w:marTop w:val="0"/>
      <w:marBottom w:val="0"/>
      <w:divBdr>
        <w:top w:val="none" w:sz="0" w:space="0" w:color="auto"/>
        <w:left w:val="none" w:sz="0" w:space="0" w:color="auto"/>
        <w:bottom w:val="none" w:sz="0" w:space="0" w:color="auto"/>
        <w:right w:val="none" w:sz="0" w:space="0" w:color="auto"/>
      </w:divBdr>
    </w:div>
    <w:div w:id="2059737235">
      <w:bodyDiv w:val="1"/>
      <w:marLeft w:val="0"/>
      <w:marRight w:val="0"/>
      <w:marTop w:val="0"/>
      <w:marBottom w:val="0"/>
      <w:divBdr>
        <w:top w:val="none" w:sz="0" w:space="0" w:color="auto"/>
        <w:left w:val="none" w:sz="0" w:space="0" w:color="auto"/>
        <w:bottom w:val="none" w:sz="0" w:space="0" w:color="auto"/>
        <w:right w:val="none" w:sz="0" w:space="0" w:color="auto"/>
      </w:divBdr>
    </w:div>
    <w:div w:id="2081781881">
      <w:bodyDiv w:val="1"/>
      <w:marLeft w:val="0"/>
      <w:marRight w:val="0"/>
      <w:marTop w:val="0"/>
      <w:marBottom w:val="0"/>
      <w:divBdr>
        <w:top w:val="none" w:sz="0" w:space="0" w:color="auto"/>
        <w:left w:val="none" w:sz="0" w:space="0" w:color="auto"/>
        <w:bottom w:val="none" w:sz="0" w:space="0" w:color="auto"/>
        <w:right w:val="none" w:sz="0" w:space="0" w:color="auto"/>
      </w:divBdr>
    </w:div>
    <w:div w:id="2082093340">
      <w:bodyDiv w:val="1"/>
      <w:marLeft w:val="0"/>
      <w:marRight w:val="0"/>
      <w:marTop w:val="0"/>
      <w:marBottom w:val="0"/>
      <w:divBdr>
        <w:top w:val="none" w:sz="0" w:space="0" w:color="auto"/>
        <w:left w:val="none" w:sz="0" w:space="0" w:color="auto"/>
        <w:bottom w:val="none" w:sz="0" w:space="0" w:color="auto"/>
        <w:right w:val="none" w:sz="0" w:space="0" w:color="auto"/>
      </w:divBdr>
    </w:div>
    <w:div w:id="21396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14783</Words>
  <Characters>84265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Editor-90</cp:lastModifiedBy>
  <cp:revision>11</cp:revision>
  <dcterms:created xsi:type="dcterms:W3CDTF">2025-05-11T14:20:00Z</dcterms:created>
  <dcterms:modified xsi:type="dcterms:W3CDTF">2025-05-12T07:52:00Z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id="EHF55dBz"/&gt;&lt;style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