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ADDD2" w14:textId="3240CA3C" w:rsidR="00332DA0" w:rsidRPr="00332DA0" w:rsidRDefault="00332DA0" w:rsidP="00B732FE">
      <w:pPr>
        <w:spacing w:line="360" w:lineRule="auto"/>
        <w:jc w:val="both"/>
        <w:rPr>
          <w:rFonts w:ascii="Times New Roman" w:hAnsi="Times New Roman" w:cs="Times New Roman"/>
          <w:b/>
          <w:i/>
          <w:iCs/>
          <w:sz w:val="24"/>
          <w:szCs w:val="24"/>
          <w:u w:val="single"/>
        </w:rPr>
      </w:pPr>
      <w:r w:rsidRPr="00332DA0">
        <w:rPr>
          <w:rFonts w:ascii="Times New Roman" w:hAnsi="Times New Roman" w:cs="Times New Roman"/>
          <w:b/>
          <w:i/>
          <w:iCs/>
          <w:sz w:val="24"/>
          <w:szCs w:val="24"/>
          <w:u w:val="single"/>
        </w:rPr>
        <w:t>Original Research Article</w:t>
      </w:r>
    </w:p>
    <w:p w14:paraId="0E9B67AD" w14:textId="5B0DDEF2" w:rsidR="00D16444" w:rsidRPr="00A9476A" w:rsidRDefault="000F5127" w:rsidP="00A94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IMPACT </w:t>
      </w:r>
      <w:r w:rsidRPr="00CA3B7D">
        <w:rPr>
          <w:rFonts w:ascii="Times New Roman" w:hAnsi="Times New Roman" w:cs="Times New Roman"/>
          <w:b/>
          <w:sz w:val="24"/>
          <w:szCs w:val="24"/>
        </w:rPr>
        <w:t>OF GENDER EQUALITY</w:t>
      </w:r>
      <w:r>
        <w:rPr>
          <w:rFonts w:ascii="Times New Roman" w:hAnsi="Times New Roman" w:cs="Times New Roman"/>
          <w:b/>
          <w:sz w:val="24"/>
          <w:szCs w:val="24"/>
        </w:rPr>
        <w:t xml:space="preserve"> POLICY</w:t>
      </w:r>
      <w:r w:rsidRPr="00CA3B7D">
        <w:rPr>
          <w:rFonts w:ascii="Times New Roman" w:hAnsi="Times New Roman" w:cs="Times New Roman"/>
          <w:b/>
          <w:sz w:val="24"/>
          <w:szCs w:val="24"/>
        </w:rPr>
        <w:t xml:space="preserve"> ON GIRLS’ ENROLLMENT RATE</w:t>
      </w:r>
      <w:r>
        <w:rPr>
          <w:rFonts w:ascii="Times New Roman" w:hAnsi="Times New Roman" w:cs="Times New Roman"/>
          <w:b/>
          <w:sz w:val="24"/>
          <w:szCs w:val="24"/>
        </w:rPr>
        <w:t>S</w:t>
      </w:r>
      <w:r w:rsidRPr="00CA3B7D">
        <w:rPr>
          <w:rFonts w:ascii="Times New Roman" w:hAnsi="Times New Roman" w:cs="Times New Roman"/>
          <w:b/>
          <w:sz w:val="24"/>
          <w:szCs w:val="24"/>
        </w:rPr>
        <w:t xml:space="preserve"> IN PUBLIC SECONDARY SCHOOLS</w:t>
      </w:r>
      <w:r w:rsidR="00A9476A">
        <w:rPr>
          <w:rFonts w:ascii="Times New Roman" w:hAnsi="Times New Roman" w:cs="Times New Roman"/>
          <w:b/>
          <w:sz w:val="24"/>
          <w:szCs w:val="24"/>
        </w:rPr>
        <w:t xml:space="preserve"> IN</w:t>
      </w:r>
      <w:r w:rsidRPr="00CA3B7D">
        <w:rPr>
          <w:rFonts w:ascii="Times New Roman" w:hAnsi="Times New Roman" w:cs="Times New Roman"/>
          <w:b/>
          <w:sz w:val="24"/>
          <w:szCs w:val="24"/>
        </w:rPr>
        <w:t xml:space="preserve"> RWANDA</w:t>
      </w:r>
    </w:p>
    <w:p w14:paraId="3F5AC78D" w14:textId="77777777" w:rsidR="00D16444" w:rsidRDefault="00D16444" w:rsidP="00B732FE">
      <w:pPr>
        <w:spacing w:after="0" w:line="360" w:lineRule="auto"/>
        <w:jc w:val="center"/>
        <w:rPr>
          <w:rFonts w:ascii="Times New Roman" w:eastAsia="Times New Roman" w:hAnsi="Times New Roman" w:cs="Times New Roman"/>
          <w:b/>
          <w:color w:val="000000"/>
          <w:sz w:val="24"/>
          <w:szCs w:val="24"/>
          <w:lang w:val="en-GB"/>
        </w:rPr>
      </w:pPr>
    </w:p>
    <w:p w14:paraId="6F981813" w14:textId="7AE5076D" w:rsidR="00EC6690" w:rsidRPr="00CA3B7D" w:rsidRDefault="00EC6690" w:rsidP="00B732FE">
      <w:pPr>
        <w:spacing w:after="0" w:line="360" w:lineRule="auto"/>
        <w:jc w:val="center"/>
        <w:rPr>
          <w:rFonts w:ascii="Times New Roman" w:eastAsia="Times New Roman" w:hAnsi="Times New Roman" w:cs="Times New Roman"/>
          <w:b/>
          <w:color w:val="000000"/>
          <w:sz w:val="24"/>
          <w:szCs w:val="24"/>
          <w:lang w:val="en-GB"/>
        </w:rPr>
      </w:pPr>
      <w:r w:rsidRPr="00CA3B7D">
        <w:rPr>
          <w:rFonts w:ascii="Times New Roman" w:eastAsia="Times New Roman" w:hAnsi="Times New Roman" w:cs="Times New Roman"/>
          <w:b/>
          <w:color w:val="000000"/>
          <w:sz w:val="24"/>
          <w:szCs w:val="24"/>
          <w:lang w:val="en-GB"/>
        </w:rPr>
        <w:t>ABSTRACT</w:t>
      </w:r>
    </w:p>
    <w:p w14:paraId="38E078D4" w14:textId="6ED93DF4" w:rsidR="00EA0BF8" w:rsidRPr="00EA0BF8" w:rsidRDefault="00EA0BF8"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This study examines the influence of gender equality policy on girls' enrollment rates in public secondary schools in Gicumbi and Kicukiro Districts, Rwanda. Grounded in social justice theory, the research adopts a mixed-methods approach within a pragmatist paradigm, employing a convergent parallel and correlational research desi</w:t>
      </w:r>
      <w:r w:rsidR="002435AD">
        <w:rPr>
          <w:rFonts w:ascii="Times New Roman" w:hAnsi="Times New Roman" w:cs="Times New Roman"/>
          <w:sz w:val="24"/>
          <w:szCs w:val="24"/>
        </w:rPr>
        <w:t xml:space="preserve">gn. </w:t>
      </w:r>
      <w:r w:rsidR="008F17B6" w:rsidRPr="008F17B6">
        <w:rPr>
          <w:rFonts w:ascii="Times New Roman" w:hAnsi="Times New Roman" w:cs="Times New Roman"/>
          <w:sz w:val="24"/>
          <w:szCs w:val="24"/>
        </w:rPr>
        <w:t>Data were collected through questionnaires from 260 respondents as an estimated sample size obtained using Slovin’</w:t>
      </w:r>
      <w:r w:rsidR="008F17B6">
        <w:rPr>
          <w:rFonts w:ascii="Times New Roman" w:hAnsi="Times New Roman" w:cs="Times New Roman"/>
          <w:sz w:val="24"/>
          <w:szCs w:val="24"/>
        </w:rPr>
        <w:t>s formula as a statistical tool</w:t>
      </w:r>
      <w:r w:rsidR="002435AD">
        <w:rPr>
          <w:rFonts w:ascii="Times New Roman" w:hAnsi="Times New Roman" w:cs="Times New Roman"/>
          <w:sz w:val="24"/>
          <w:szCs w:val="24"/>
        </w:rPr>
        <w:t>.</w:t>
      </w:r>
      <w:r w:rsidR="00690E99">
        <w:rPr>
          <w:rFonts w:ascii="Times New Roman" w:hAnsi="Times New Roman" w:cs="Times New Roman"/>
          <w:sz w:val="24"/>
          <w:szCs w:val="24"/>
        </w:rPr>
        <w:t xml:space="preserve"> </w:t>
      </w:r>
      <w:r w:rsidRPr="00EA0BF8">
        <w:rPr>
          <w:rFonts w:ascii="Times New Roman" w:hAnsi="Times New Roman" w:cs="Times New Roman"/>
          <w:sz w:val="24"/>
          <w:szCs w:val="24"/>
        </w:rPr>
        <w:t>The findings reveal a positive correlation between gender equality and girls' enrollment rates, with gender equality accounting for 22.2% of the variation in enrollment (R² = 0.222). The results highlight that effective gender equality measures contribute to increased enrollment, supported by positive perceptions of gender-inclusive e</w:t>
      </w:r>
      <w:r w:rsidR="00B40361">
        <w:rPr>
          <w:rFonts w:ascii="Times New Roman" w:hAnsi="Times New Roman" w:cs="Times New Roman"/>
          <w:sz w:val="24"/>
          <w:szCs w:val="24"/>
        </w:rPr>
        <w:t>nvironments. The study revealed</w:t>
      </w:r>
      <w:r w:rsidRPr="00EA0BF8">
        <w:rPr>
          <w:rFonts w:ascii="Times New Roman" w:hAnsi="Times New Roman" w:cs="Times New Roman"/>
          <w:sz w:val="24"/>
          <w:szCs w:val="24"/>
        </w:rPr>
        <w:t xml:space="preserve"> challenges based on economic barriers, gender-insensitive language, and limited female participation in decision-making. The study recommends strengthening gender-sensitive policies, expanding affordable education opportunities for low-income female students, and further investigating the impact of gender equality education on students' attitudes and academic performance in public secondary schools.</w:t>
      </w:r>
    </w:p>
    <w:p w14:paraId="16883476" w14:textId="09E60509" w:rsidR="006849A4" w:rsidRDefault="00EA0BF8" w:rsidP="00B732FE">
      <w:pPr>
        <w:spacing w:line="360" w:lineRule="auto"/>
        <w:jc w:val="both"/>
        <w:rPr>
          <w:rFonts w:ascii="Times New Roman" w:hAnsi="Times New Roman" w:cs="Times New Roman"/>
          <w:b/>
          <w:sz w:val="24"/>
          <w:szCs w:val="24"/>
        </w:rPr>
      </w:pPr>
      <w:r w:rsidRPr="00892C00">
        <w:rPr>
          <w:rFonts w:ascii="Times New Roman" w:hAnsi="Times New Roman" w:cs="Times New Roman"/>
          <w:i/>
          <w:iCs/>
          <w:sz w:val="24"/>
          <w:szCs w:val="24"/>
        </w:rPr>
        <w:t>Keywords</w:t>
      </w:r>
      <w:r w:rsidRPr="00EA0BF8">
        <w:rPr>
          <w:rFonts w:ascii="Times New Roman" w:hAnsi="Times New Roman" w:cs="Times New Roman"/>
          <w:sz w:val="24"/>
          <w:szCs w:val="24"/>
        </w:rPr>
        <w:t xml:space="preserve">: </w:t>
      </w:r>
      <w:r w:rsidRPr="00974ABF">
        <w:rPr>
          <w:rFonts w:ascii="Times New Roman" w:hAnsi="Times New Roman" w:cs="Times New Roman"/>
          <w:b/>
          <w:sz w:val="24"/>
          <w:szCs w:val="24"/>
        </w:rPr>
        <w:t>Gender Equality, Girls Enrollment Rate, Public Secondary Schools</w:t>
      </w:r>
    </w:p>
    <w:p w14:paraId="585BE11E" w14:textId="57D8143D" w:rsidR="00B732FE" w:rsidRDefault="00B732FE" w:rsidP="00B732FE">
      <w:pPr>
        <w:spacing w:line="360" w:lineRule="auto"/>
        <w:jc w:val="both"/>
        <w:rPr>
          <w:rFonts w:ascii="Times New Roman" w:hAnsi="Times New Roman" w:cs="Times New Roman"/>
          <w:b/>
          <w:sz w:val="24"/>
          <w:szCs w:val="24"/>
        </w:rPr>
      </w:pPr>
    </w:p>
    <w:p w14:paraId="178D47EC" w14:textId="77777777" w:rsidR="00B732FE" w:rsidRDefault="00B732FE" w:rsidP="00B732FE">
      <w:pPr>
        <w:spacing w:line="360" w:lineRule="auto"/>
        <w:jc w:val="both"/>
        <w:rPr>
          <w:rFonts w:ascii="Times New Roman" w:hAnsi="Times New Roman" w:cs="Times New Roman"/>
          <w:b/>
          <w:sz w:val="28"/>
          <w:szCs w:val="28"/>
        </w:rPr>
        <w:sectPr w:rsidR="00B732FE" w:rsidSect="002F26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251455F" w14:textId="77777777" w:rsidR="00A2295E" w:rsidRPr="00B732FE" w:rsidRDefault="00B02BA3" w:rsidP="00B732FE">
      <w:pPr>
        <w:pStyle w:val="ListParagraph"/>
        <w:numPr>
          <w:ilvl w:val="0"/>
          <w:numId w:val="2"/>
        </w:numPr>
        <w:spacing w:line="360" w:lineRule="auto"/>
        <w:jc w:val="both"/>
        <w:rPr>
          <w:rFonts w:ascii="Times New Roman" w:hAnsi="Times New Roman" w:cs="Times New Roman"/>
          <w:b/>
          <w:sz w:val="24"/>
          <w:szCs w:val="24"/>
        </w:rPr>
      </w:pPr>
      <w:r w:rsidRPr="00B732FE">
        <w:rPr>
          <w:rFonts w:ascii="Times New Roman" w:hAnsi="Times New Roman" w:cs="Times New Roman"/>
          <w:b/>
          <w:sz w:val="24"/>
          <w:szCs w:val="24"/>
        </w:rPr>
        <w:lastRenderedPageBreak/>
        <w:t>INTRODUCTION</w:t>
      </w:r>
    </w:p>
    <w:p w14:paraId="02DF1153" w14:textId="77777777" w:rsidR="00EA0BF8" w:rsidRPr="00EA0BF8" w:rsidRDefault="00EA0BF8"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The Global Partnership for Education's January 2025 report highlights progress in gender equality in education, though disparities remain, especially for girls in rural and low-income areas. </w:t>
      </w:r>
      <w:r w:rsidR="00B40361">
        <w:rPr>
          <w:rFonts w:ascii="Times New Roman" w:hAnsi="Times New Roman" w:cs="Times New Roman"/>
          <w:sz w:val="24"/>
          <w:szCs w:val="24"/>
        </w:rPr>
        <w:t xml:space="preserve">The report emphasizes </w:t>
      </w:r>
      <w:r w:rsidR="00B40361" w:rsidRPr="00EA0BF8">
        <w:rPr>
          <w:rFonts w:ascii="Times New Roman" w:hAnsi="Times New Roman" w:cs="Times New Roman"/>
          <w:sz w:val="24"/>
          <w:szCs w:val="24"/>
        </w:rPr>
        <w:t xml:space="preserve">the importance of </w:t>
      </w:r>
      <w:r w:rsidR="00B40361">
        <w:rPr>
          <w:rFonts w:ascii="Times New Roman" w:hAnsi="Times New Roman" w:cs="Times New Roman"/>
          <w:sz w:val="24"/>
          <w:szCs w:val="24"/>
        </w:rPr>
        <w:t xml:space="preserve">having </w:t>
      </w:r>
      <w:r w:rsidR="00B40361" w:rsidRPr="00EA0BF8">
        <w:rPr>
          <w:rFonts w:ascii="Times New Roman" w:hAnsi="Times New Roman" w:cs="Times New Roman"/>
          <w:sz w:val="24"/>
          <w:szCs w:val="24"/>
        </w:rPr>
        <w:t xml:space="preserve">diverse teachers and leaders </w:t>
      </w:r>
      <w:r w:rsidR="00B40361">
        <w:rPr>
          <w:rFonts w:ascii="Times New Roman" w:hAnsi="Times New Roman" w:cs="Times New Roman"/>
          <w:sz w:val="24"/>
          <w:szCs w:val="24"/>
        </w:rPr>
        <w:t>to</w:t>
      </w:r>
      <w:r w:rsidR="00B40361" w:rsidRPr="00EA0BF8">
        <w:rPr>
          <w:rFonts w:ascii="Times New Roman" w:hAnsi="Times New Roman" w:cs="Times New Roman"/>
          <w:sz w:val="24"/>
          <w:szCs w:val="24"/>
        </w:rPr>
        <w:t xml:space="preserve"> foster inclusive, </w:t>
      </w:r>
      <w:r w:rsidR="00B40361" w:rsidRPr="00EA0BF8">
        <w:rPr>
          <w:rFonts w:ascii="Times New Roman" w:hAnsi="Times New Roman" w:cs="Times New Roman"/>
          <w:sz w:val="24"/>
          <w:szCs w:val="24"/>
        </w:rPr>
        <w:lastRenderedPageBreak/>
        <w:t xml:space="preserve">stereotype-challenging learning environments. </w:t>
      </w:r>
      <w:r w:rsidR="00B40361">
        <w:rPr>
          <w:rFonts w:ascii="Times New Roman" w:hAnsi="Times New Roman" w:cs="Times New Roman"/>
          <w:sz w:val="24"/>
          <w:szCs w:val="24"/>
        </w:rPr>
        <w:t>Additionally</w:t>
      </w:r>
      <w:r w:rsidR="00B40361" w:rsidRPr="00EA0BF8">
        <w:rPr>
          <w:rFonts w:ascii="Times New Roman" w:hAnsi="Times New Roman" w:cs="Times New Roman"/>
          <w:sz w:val="24"/>
          <w:szCs w:val="24"/>
        </w:rPr>
        <w:t xml:space="preserve">, global research highlights </w:t>
      </w:r>
      <w:r w:rsidR="00B40361">
        <w:rPr>
          <w:rFonts w:ascii="Times New Roman" w:hAnsi="Times New Roman" w:cs="Times New Roman"/>
          <w:sz w:val="24"/>
          <w:szCs w:val="24"/>
        </w:rPr>
        <w:t xml:space="preserve">persistent </w:t>
      </w:r>
      <w:r w:rsidR="00B40361" w:rsidRPr="00EA0BF8">
        <w:rPr>
          <w:rFonts w:ascii="Times New Roman" w:hAnsi="Times New Roman" w:cs="Times New Roman"/>
          <w:sz w:val="24"/>
          <w:szCs w:val="24"/>
        </w:rPr>
        <w:t xml:space="preserve">gender discrimination in education, showing that teachers often </w:t>
      </w:r>
      <w:r w:rsidR="00B40361">
        <w:rPr>
          <w:rFonts w:ascii="Times New Roman" w:hAnsi="Times New Roman" w:cs="Times New Roman"/>
          <w:sz w:val="24"/>
          <w:szCs w:val="24"/>
        </w:rPr>
        <w:t>give</w:t>
      </w:r>
      <w:r w:rsidR="00B40361" w:rsidRPr="00EA0BF8">
        <w:rPr>
          <w:rFonts w:ascii="Times New Roman" w:hAnsi="Times New Roman" w:cs="Times New Roman"/>
          <w:sz w:val="24"/>
          <w:szCs w:val="24"/>
        </w:rPr>
        <w:t xml:space="preserve"> boys more attention and identify them more frequently (Tupper, 2020). </w:t>
      </w:r>
      <w:r w:rsidRPr="00EA0BF8">
        <w:rPr>
          <w:rFonts w:ascii="Times New Roman" w:hAnsi="Times New Roman" w:cs="Times New Roman"/>
          <w:sz w:val="24"/>
          <w:szCs w:val="24"/>
        </w:rPr>
        <w:t xml:space="preserve">This unequal treatment contributes to the ongoing gender gap in education. Girls, especially at the </w:t>
      </w:r>
      <w:r w:rsidRPr="00EA0BF8">
        <w:rPr>
          <w:rFonts w:ascii="Times New Roman" w:hAnsi="Times New Roman" w:cs="Times New Roman"/>
          <w:sz w:val="24"/>
          <w:szCs w:val="24"/>
        </w:rPr>
        <w:lastRenderedPageBreak/>
        <w:t>secondary level, experience higher rates of exclusion than boys, with the gap widening as ed</w:t>
      </w:r>
      <w:r w:rsidR="002049C6">
        <w:rPr>
          <w:rFonts w:ascii="Times New Roman" w:hAnsi="Times New Roman" w:cs="Times New Roman"/>
          <w:sz w:val="24"/>
          <w:szCs w:val="24"/>
        </w:rPr>
        <w:t>ucation progresses (UNESCO, 2018</w:t>
      </w:r>
      <w:r w:rsidRPr="00EA0BF8">
        <w:rPr>
          <w:rFonts w:ascii="Times New Roman" w:hAnsi="Times New Roman" w:cs="Times New Roman"/>
          <w:sz w:val="24"/>
          <w:szCs w:val="24"/>
        </w:rPr>
        <w:t xml:space="preserve">). </w:t>
      </w:r>
      <w:r w:rsidR="001A3EB1" w:rsidRPr="00944E37">
        <w:rPr>
          <w:rFonts w:ascii="Times New Roman" w:hAnsi="Times New Roman" w:cs="Times New Roman"/>
          <w:i/>
          <w:sz w:val="24"/>
          <w:szCs w:val="24"/>
        </w:rPr>
        <w:t xml:space="preserve">The Progress of the World’s Women </w:t>
      </w:r>
      <w:r w:rsidR="001A3EB1" w:rsidRPr="00EA0BF8">
        <w:rPr>
          <w:rFonts w:ascii="Times New Roman" w:hAnsi="Times New Roman" w:cs="Times New Roman"/>
          <w:sz w:val="24"/>
          <w:szCs w:val="24"/>
        </w:rPr>
        <w:t xml:space="preserve">2019-2020 report emphasizes that slow progress on gender equality and women's empowerment hinders goals </w:t>
      </w:r>
      <w:r w:rsidR="001A3EB1">
        <w:rPr>
          <w:rFonts w:ascii="Times New Roman" w:hAnsi="Times New Roman" w:cs="Times New Roman"/>
          <w:sz w:val="24"/>
          <w:szCs w:val="24"/>
        </w:rPr>
        <w:t xml:space="preserve">such as </w:t>
      </w:r>
      <w:r w:rsidR="001A3EB1" w:rsidRPr="00EA0BF8">
        <w:rPr>
          <w:rFonts w:ascii="Times New Roman" w:hAnsi="Times New Roman" w:cs="Times New Roman"/>
          <w:sz w:val="24"/>
          <w:szCs w:val="24"/>
        </w:rPr>
        <w:t xml:space="preserve">poverty reduction and universal education, </w:t>
      </w:r>
      <w:r w:rsidR="001A3EB1">
        <w:rPr>
          <w:rFonts w:ascii="Times New Roman" w:hAnsi="Times New Roman" w:cs="Times New Roman"/>
          <w:sz w:val="24"/>
          <w:szCs w:val="24"/>
        </w:rPr>
        <w:t>illustrating</w:t>
      </w:r>
      <w:r w:rsidR="001A3EB1" w:rsidRPr="00EA0BF8">
        <w:rPr>
          <w:rFonts w:ascii="Times New Roman" w:hAnsi="Times New Roman" w:cs="Times New Roman"/>
          <w:sz w:val="24"/>
          <w:szCs w:val="24"/>
        </w:rPr>
        <w:t xml:space="preserve"> the interconnectedness of these global c</w:t>
      </w:r>
      <w:r w:rsidR="004944ED">
        <w:rPr>
          <w:rFonts w:ascii="Times New Roman" w:hAnsi="Times New Roman" w:cs="Times New Roman"/>
          <w:sz w:val="24"/>
          <w:szCs w:val="24"/>
        </w:rPr>
        <w:t>hallenges (United Nations, 2019</w:t>
      </w:r>
      <w:r w:rsidR="001A3EB1" w:rsidRPr="00EA0BF8">
        <w:rPr>
          <w:rFonts w:ascii="Times New Roman" w:hAnsi="Times New Roman" w:cs="Times New Roman"/>
          <w:sz w:val="24"/>
          <w:szCs w:val="24"/>
        </w:rPr>
        <w:t>).</w:t>
      </w:r>
    </w:p>
    <w:p w14:paraId="42A85F64" w14:textId="77777777" w:rsidR="00C52BDA" w:rsidRPr="00EA0BF8" w:rsidRDefault="00C52BDA"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Achieving g</w:t>
      </w:r>
      <w:r w:rsidRPr="00EA0BF8">
        <w:rPr>
          <w:rFonts w:ascii="Times New Roman" w:hAnsi="Times New Roman" w:cs="Times New Roman"/>
          <w:sz w:val="24"/>
          <w:szCs w:val="24"/>
        </w:rPr>
        <w:t xml:space="preserve">ender equality in secondary education in Africa is vital for reducing poverty and empowering women to improve household welfare, education, and healthcare. It also ensures equal opportunities for all, as recognized globally. Educating girls is a key </w:t>
      </w:r>
      <w:r>
        <w:rPr>
          <w:rFonts w:ascii="Times New Roman" w:hAnsi="Times New Roman" w:cs="Times New Roman"/>
          <w:sz w:val="24"/>
          <w:szCs w:val="24"/>
        </w:rPr>
        <w:t>strategy</w:t>
      </w:r>
      <w:r w:rsidRPr="00EA0BF8">
        <w:rPr>
          <w:rFonts w:ascii="Times New Roman" w:hAnsi="Times New Roman" w:cs="Times New Roman"/>
          <w:sz w:val="24"/>
          <w:szCs w:val="24"/>
        </w:rPr>
        <w:t xml:space="preserve"> for improving health </w:t>
      </w:r>
      <w:r>
        <w:rPr>
          <w:rFonts w:ascii="Times New Roman" w:hAnsi="Times New Roman" w:cs="Times New Roman"/>
          <w:sz w:val="24"/>
          <w:szCs w:val="24"/>
        </w:rPr>
        <w:t>outcomes</w:t>
      </w:r>
      <w:r w:rsidRPr="00EA0BF8">
        <w:rPr>
          <w:rFonts w:ascii="Times New Roman" w:hAnsi="Times New Roman" w:cs="Times New Roman"/>
          <w:sz w:val="24"/>
          <w:szCs w:val="24"/>
        </w:rPr>
        <w:t xml:space="preserve"> and </w:t>
      </w:r>
      <w:r>
        <w:rPr>
          <w:rFonts w:ascii="Times New Roman" w:hAnsi="Times New Roman" w:cs="Times New Roman"/>
          <w:sz w:val="24"/>
          <w:szCs w:val="24"/>
        </w:rPr>
        <w:t xml:space="preserve">boosting </w:t>
      </w:r>
      <w:r w:rsidRPr="00EA0BF8">
        <w:rPr>
          <w:rFonts w:ascii="Times New Roman" w:hAnsi="Times New Roman" w:cs="Times New Roman"/>
          <w:sz w:val="24"/>
          <w:szCs w:val="24"/>
        </w:rPr>
        <w:t>economic productivity.</w:t>
      </w:r>
      <w:r>
        <w:rPr>
          <w:rFonts w:ascii="Times New Roman" w:hAnsi="Times New Roman" w:cs="Times New Roman"/>
          <w:sz w:val="24"/>
          <w:szCs w:val="24"/>
        </w:rPr>
        <w:t xml:space="preserve"> </w:t>
      </w:r>
      <w:r w:rsidR="00EA0BF8" w:rsidRPr="00EA0BF8">
        <w:rPr>
          <w:rFonts w:ascii="Times New Roman" w:hAnsi="Times New Roman" w:cs="Times New Roman"/>
          <w:sz w:val="24"/>
          <w:szCs w:val="24"/>
        </w:rPr>
        <w:t xml:space="preserve">Despite the 2030 Agenda for Sustainable Development's goal of ensuring equal education, fewer girls than boys attend school, particularly in sub-Saharan Africa, where 61% of girls do not complete secondary education (UNESCO, 2018). </w:t>
      </w:r>
      <w:r w:rsidRPr="00EA0BF8">
        <w:rPr>
          <w:rFonts w:ascii="Times New Roman" w:hAnsi="Times New Roman" w:cs="Times New Roman"/>
          <w:sz w:val="24"/>
          <w:szCs w:val="24"/>
        </w:rPr>
        <w:t xml:space="preserve">In </w:t>
      </w:r>
      <w:r>
        <w:rPr>
          <w:rFonts w:ascii="Times New Roman" w:hAnsi="Times New Roman" w:cs="Times New Roman"/>
          <w:sz w:val="24"/>
          <w:szCs w:val="24"/>
        </w:rPr>
        <w:t>this region</w:t>
      </w:r>
      <w:r w:rsidRPr="00EA0BF8">
        <w:rPr>
          <w:rFonts w:ascii="Times New Roman" w:hAnsi="Times New Roman" w:cs="Times New Roman"/>
          <w:sz w:val="24"/>
          <w:szCs w:val="24"/>
        </w:rPr>
        <w:t xml:space="preserve">, girls are more likely </w:t>
      </w:r>
      <w:r>
        <w:rPr>
          <w:rFonts w:ascii="Times New Roman" w:hAnsi="Times New Roman" w:cs="Times New Roman"/>
          <w:sz w:val="24"/>
          <w:szCs w:val="24"/>
        </w:rPr>
        <w:t xml:space="preserve">than boys </w:t>
      </w:r>
      <w:r w:rsidRPr="00EA0BF8">
        <w:rPr>
          <w:rFonts w:ascii="Times New Roman" w:hAnsi="Times New Roman" w:cs="Times New Roman"/>
          <w:sz w:val="24"/>
          <w:szCs w:val="24"/>
        </w:rPr>
        <w:t xml:space="preserve">to be excluded from education, due to poverty and traditional gender roles. However, when girls have access to education, they </w:t>
      </w:r>
      <w:r>
        <w:rPr>
          <w:rFonts w:ascii="Times New Roman" w:hAnsi="Times New Roman" w:cs="Times New Roman"/>
          <w:sz w:val="24"/>
          <w:szCs w:val="24"/>
        </w:rPr>
        <w:t xml:space="preserve">often </w:t>
      </w:r>
      <w:r w:rsidRPr="00EA0BF8">
        <w:rPr>
          <w:rFonts w:ascii="Times New Roman" w:hAnsi="Times New Roman" w:cs="Times New Roman"/>
          <w:sz w:val="24"/>
          <w:szCs w:val="24"/>
        </w:rPr>
        <w:t xml:space="preserve">pursue </w:t>
      </w:r>
      <w:r>
        <w:rPr>
          <w:rFonts w:ascii="Times New Roman" w:hAnsi="Times New Roman" w:cs="Times New Roman"/>
          <w:sz w:val="24"/>
          <w:szCs w:val="24"/>
        </w:rPr>
        <w:t xml:space="preserve">their </w:t>
      </w:r>
      <w:r w:rsidRPr="00EA0BF8">
        <w:rPr>
          <w:rFonts w:ascii="Times New Roman" w:hAnsi="Times New Roman" w:cs="Times New Roman"/>
          <w:sz w:val="24"/>
          <w:szCs w:val="24"/>
        </w:rPr>
        <w:t xml:space="preserve">studies with high </w:t>
      </w:r>
      <w:r>
        <w:rPr>
          <w:rFonts w:ascii="Times New Roman" w:hAnsi="Times New Roman" w:cs="Times New Roman"/>
          <w:sz w:val="24"/>
          <w:szCs w:val="24"/>
        </w:rPr>
        <w:t xml:space="preserve">levels of </w:t>
      </w:r>
      <w:r w:rsidRPr="00EA0BF8">
        <w:rPr>
          <w:rFonts w:ascii="Times New Roman" w:hAnsi="Times New Roman" w:cs="Times New Roman"/>
          <w:sz w:val="24"/>
          <w:szCs w:val="24"/>
        </w:rPr>
        <w:t>motivation (UNESCO, 2018).</w:t>
      </w:r>
      <w:r>
        <w:rPr>
          <w:rFonts w:ascii="Times New Roman" w:hAnsi="Times New Roman" w:cs="Times New Roman"/>
          <w:sz w:val="24"/>
          <w:szCs w:val="24"/>
        </w:rPr>
        <w:t xml:space="preserve"> </w:t>
      </w:r>
      <w:r w:rsidRPr="00EA0BF8">
        <w:rPr>
          <w:rFonts w:ascii="Times New Roman" w:hAnsi="Times New Roman" w:cs="Times New Roman"/>
          <w:sz w:val="24"/>
          <w:szCs w:val="24"/>
        </w:rPr>
        <w:t>In Kenya, girls face sexual and reproductive health</w:t>
      </w:r>
      <w:r>
        <w:rPr>
          <w:rFonts w:ascii="Times New Roman" w:hAnsi="Times New Roman" w:cs="Times New Roman"/>
          <w:sz w:val="24"/>
          <w:szCs w:val="24"/>
        </w:rPr>
        <w:t>-related</w:t>
      </w:r>
      <w:r w:rsidRPr="00EA0BF8">
        <w:rPr>
          <w:rFonts w:ascii="Times New Roman" w:hAnsi="Times New Roman" w:cs="Times New Roman"/>
          <w:sz w:val="24"/>
          <w:szCs w:val="24"/>
        </w:rPr>
        <w:t xml:space="preserve"> </w:t>
      </w:r>
      <w:r w:rsidRPr="00EA0BF8">
        <w:rPr>
          <w:rFonts w:ascii="Times New Roman" w:hAnsi="Times New Roman" w:cs="Times New Roman"/>
          <w:sz w:val="24"/>
          <w:szCs w:val="24"/>
        </w:rPr>
        <w:lastRenderedPageBreak/>
        <w:t xml:space="preserve">risks, but school </w:t>
      </w:r>
      <w:r>
        <w:rPr>
          <w:rFonts w:ascii="Times New Roman" w:hAnsi="Times New Roman" w:cs="Times New Roman"/>
          <w:sz w:val="24"/>
          <w:szCs w:val="24"/>
        </w:rPr>
        <w:t xml:space="preserve">attendance </w:t>
      </w:r>
      <w:r w:rsidRPr="00EA0BF8">
        <w:rPr>
          <w:rFonts w:ascii="Times New Roman" w:hAnsi="Times New Roman" w:cs="Times New Roman"/>
          <w:sz w:val="24"/>
          <w:szCs w:val="24"/>
        </w:rPr>
        <w:t xml:space="preserve">helps reduce these dangers. While recent government </w:t>
      </w:r>
      <w:r>
        <w:rPr>
          <w:rFonts w:ascii="Times New Roman" w:hAnsi="Times New Roman" w:cs="Times New Roman"/>
          <w:sz w:val="24"/>
          <w:szCs w:val="24"/>
        </w:rPr>
        <w:t>initiatives</w:t>
      </w:r>
      <w:r w:rsidRPr="00EA0BF8">
        <w:rPr>
          <w:rFonts w:ascii="Times New Roman" w:hAnsi="Times New Roman" w:cs="Times New Roman"/>
          <w:sz w:val="24"/>
          <w:szCs w:val="24"/>
        </w:rPr>
        <w:t xml:space="preserve"> to provide free primary and secondary education have increased </w:t>
      </w:r>
      <w:r>
        <w:rPr>
          <w:rFonts w:ascii="Times New Roman" w:hAnsi="Times New Roman" w:cs="Times New Roman"/>
          <w:sz w:val="24"/>
          <w:szCs w:val="24"/>
        </w:rPr>
        <w:t>overall</w:t>
      </w:r>
      <w:r w:rsidRPr="00EA0BF8">
        <w:rPr>
          <w:rFonts w:ascii="Times New Roman" w:hAnsi="Times New Roman" w:cs="Times New Roman"/>
          <w:sz w:val="24"/>
          <w:szCs w:val="24"/>
        </w:rPr>
        <w:t xml:space="preserve"> attendance, significant inequalities </w:t>
      </w:r>
      <w:r>
        <w:rPr>
          <w:rFonts w:ascii="Times New Roman" w:hAnsi="Times New Roman" w:cs="Times New Roman"/>
          <w:sz w:val="24"/>
          <w:szCs w:val="24"/>
        </w:rPr>
        <w:t>persist</w:t>
      </w:r>
      <w:r w:rsidRPr="00EA0BF8">
        <w:rPr>
          <w:rFonts w:ascii="Times New Roman" w:hAnsi="Times New Roman" w:cs="Times New Roman"/>
          <w:sz w:val="24"/>
          <w:szCs w:val="24"/>
        </w:rPr>
        <w:t>, especially in rural areas, where girls continue to face barriers to education (UNICEF, 2019).</w:t>
      </w:r>
    </w:p>
    <w:p w14:paraId="50605FAE" w14:textId="77777777" w:rsidR="00C52BDA" w:rsidRDefault="00C52BDA"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In Rwanda, traditional gender roles limit women’s participation in social, economic, and educational development. Despite </w:t>
      </w:r>
      <w:r>
        <w:rPr>
          <w:rFonts w:ascii="Times New Roman" w:hAnsi="Times New Roman" w:cs="Times New Roman"/>
          <w:sz w:val="24"/>
          <w:szCs w:val="24"/>
        </w:rPr>
        <w:t xml:space="preserve">government </w:t>
      </w:r>
      <w:r w:rsidRPr="00EA0BF8">
        <w:rPr>
          <w:rFonts w:ascii="Times New Roman" w:hAnsi="Times New Roman" w:cs="Times New Roman"/>
          <w:sz w:val="24"/>
          <w:szCs w:val="24"/>
        </w:rPr>
        <w:t xml:space="preserve">commitments to international education targets, higher education remains underdeveloped. To address low enrollment and </w:t>
      </w:r>
      <w:r>
        <w:rPr>
          <w:rFonts w:ascii="Times New Roman" w:hAnsi="Times New Roman" w:cs="Times New Roman"/>
          <w:sz w:val="24"/>
          <w:szCs w:val="24"/>
        </w:rPr>
        <w:t xml:space="preserve">education </w:t>
      </w:r>
      <w:r w:rsidRPr="00EA0BF8">
        <w:rPr>
          <w:rFonts w:ascii="Times New Roman" w:hAnsi="Times New Roman" w:cs="Times New Roman"/>
          <w:sz w:val="24"/>
          <w:szCs w:val="24"/>
        </w:rPr>
        <w:t>efficiency</w:t>
      </w:r>
      <w:r>
        <w:rPr>
          <w:rFonts w:ascii="Times New Roman" w:hAnsi="Times New Roman" w:cs="Times New Roman"/>
          <w:sz w:val="24"/>
          <w:szCs w:val="24"/>
        </w:rPr>
        <w:t xml:space="preserve"> among girls</w:t>
      </w:r>
      <w:r w:rsidRPr="00EA0BF8">
        <w:rPr>
          <w:rFonts w:ascii="Times New Roman" w:hAnsi="Times New Roman" w:cs="Times New Roman"/>
          <w:sz w:val="24"/>
          <w:szCs w:val="24"/>
        </w:rPr>
        <w:t xml:space="preserve">, Rwanda introduced a girls' education policy in 2008 aimed at eliminating gender disparities in education, training, and management </w:t>
      </w:r>
      <w:r>
        <w:rPr>
          <w:rFonts w:ascii="Times New Roman" w:hAnsi="Times New Roman" w:cs="Times New Roman"/>
          <w:sz w:val="24"/>
          <w:szCs w:val="24"/>
        </w:rPr>
        <w:t xml:space="preserve">while </w:t>
      </w:r>
      <w:r w:rsidRPr="00EA0BF8">
        <w:rPr>
          <w:rFonts w:ascii="Times New Roman" w:hAnsi="Times New Roman" w:cs="Times New Roman"/>
          <w:sz w:val="24"/>
          <w:szCs w:val="24"/>
        </w:rPr>
        <w:t>promoting su</w:t>
      </w:r>
      <w:r w:rsidR="008D57FD">
        <w:rPr>
          <w:rFonts w:ascii="Times New Roman" w:hAnsi="Times New Roman" w:cs="Times New Roman"/>
          <w:sz w:val="24"/>
          <w:szCs w:val="24"/>
        </w:rPr>
        <w:t>stainable progress (UNICEF, 2019</w:t>
      </w:r>
      <w:r w:rsidRPr="00EA0BF8">
        <w:rPr>
          <w:rFonts w:ascii="Times New Roman" w:hAnsi="Times New Roman" w:cs="Times New Roman"/>
          <w:sz w:val="24"/>
          <w:szCs w:val="24"/>
        </w:rPr>
        <w:t xml:space="preserve">). Although girls' access to primary education has improved since 1994, their participation in secondary education remains lower than </w:t>
      </w:r>
      <w:r>
        <w:rPr>
          <w:rFonts w:ascii="Times New Roman" w:hAnsi="Times New Roman" w:cs="Times New Roman"/>
          <w:sz w:val="24"/>
          <w:szCs w:val="24"/>
        </w:rPr>
        <w:t xml:space="preserve">that of </w:t>
      </w:r>
      <w:r w:rsidRPr="00EA0BF8">
        <w:rPr>
          <w:rFonts w:ascii="Times New Roman" w:hAnsi="Times New Roman" w:cs="Times New Roman"/>
          <w:sz w:val="24"/>
          <w:szCs w:val="24"/>
        </w:rPr>
        <w:t>boys. Challenges like high dropout rates, low completion</w:t>
      </w:r>
      <w:r>
        <w:rPr>
          <w:rFonts w:ascii="Times New Roman" w:hAnsi="Times New Roman" w:cs="Times New Roman"/>
          <w:sz w:val="24"/>
          <w:szCs w:val="24"/>
        </w:rPr>
        <w:t xml:space="preserve"> levels</w:t>
      </w:r>
      <w:r w:rsidRPr="00EA0BF8">
        <w:rPr>
          <w:rFonts w:ascii="Times New Roman" w:hAnsi="Times New Roman" w:cs="Times New Roman"/>
          <w:sz w:val="24"/>
          <w:szCs w:val="24"/>
        </w:rPr>
        <w:t xml:space="preserve">, and poor transition to higher education persist. In 2009, only 47.9% of girls advanced to secondary school, and they represented just 25.9% </w:t>
      </w:r>
      <w:r>
        <w:rPr>
          <w:rFonts w:ascii="Times New Roman" w:hAnsi="Times New Roman" w:cs="Times New Roman"/>
          <w:sz w:val="24"/>
          <w:szCs w:val="24"/>
        </w:rPr>
        <w:t xml:space="preserve">of students </w:t>
      </w:r>
      <w:r w:rsidRPr="00EA0BF8">
        <w:rPr>
          <w:rFonts w:ascii="Times New Roman" w:hAnsi="Times New Roman" w:cs="Times New Roman"/>
          <w:sz w:val="24"/>
          <w:szCs w:val="24"/>
        </w:rPr>
        <w:t xml:space="preserve">in higher education </w:t>
      </w:r>
      <w:r w:rsidRPr="006C3650">
        <w:rPr>
          <w:rFonts w:ascii="Times New Roman" w:hAnsi="Times New Roman" w:cs="Times New Roman"/>
          <w:sz w:val="24"/>
          <w:szCs w:val="24"/>
        </w:rPr>
        <w:t>(MINEDUC, 2019).</w:t>
      </w:r>
    </w:p>
    <w:p w14:paraId="1C437F0A" w14:textId="77777777" w:rsidR="00455EE8" w:rsidRPr="0051773E" w:rsidRDefault="00930F44" w:rsidP="00B732FE">
      <w:pPr>
        <w:spacing w:line="360" w:lineRule="auto"/>
        <w:jc w:val="both"/>
        <w:rPr>
          <w:rFonts w:ascii="Times New Roman" w:hAnsi="Times New Roman" w:cs="Times New Roman"/>
          <w:b/>
          <w:color w:val="000000" w:themeColor="text1"/>
          <w:sz w:val="24"/>
          <w:szCs w:val="24"/>
          <w:shd w:val="clear" w:color="auto" w:fill="FFFFFF"/>
        </w:rPr>
      </w:pPr>
      <w:r w:rsidRPr="0051773E">
        <w:rPr>
          <w:rFonts w:ascii="Times New Roman" w:hAnsi="Times New Roman" w:cs="Times New Roman"/>
          <w:b/>
          <w:color w:val="000000" w:themeColor="text1"/>
          <w:sz w:val="24"/>
          <w:szCs w:val="24"/>
          <w:shd w:val="clear" w:color="auto" w:fill="FFFFFF"/>
        </w:rPr>
        <w:t>2</w:t>
      </w:r>
      <w:r w:rsidRPr="00B732FE">
        <w:rPr>
          <w:rFonts w:ascii="Times New Roman" w:hAnsi="Times New Roman" w:cs="Times New Roman"/>
          <w:b/>
          <w:color w:val="000000" w:themeColor="text1"/>
          <w:sz w:val="24"/>
          <w:szCs w:val="24"/>
          <w:shd w:val="clear" w:color="auto" w:fill="FFFFFF"/>
        </w:rPr>
        <w:t>.</w:t>
      </w:r>
      <w:r w:rsidR="00EA0BF8" w:rsidRPr="00B732FE">
        <w:rPr>
          <w:rFonts w:ascii="Times New Roman" w:hAnsi="Times New Roman" w:cs="Times New Roman"/>
          <w:b/>
          <w:color w:val="000000" w:themeColor="text1"/>
          <w:sz w:val="24"/>
          <w:szCs w:val="24"/>
          <w:shd w:val="clear" w:color="auto" w:fill="FFFFFF"/>
        </w:rPr>
        <w:t xml:space="preserve"> </w:t>
      </w:r>
      <w:r w:rsidR="00B02BA3" w:rsidRPr="00B732FE">
        <w:rPr>
          <w:rFonts w:ascii="Times New Roman" w:hAnsi="Times New Roman" w:cs="Times New Roman"/>
          <w:b/>
          <w:color w:val="000000" w:themeColor="text1"/>
          <w:sz w:val="24"/>
          <w:szCs w:val="24"/>
          <w:shd w:val="clear" w:color="auto" w:fill="FFFFFF"/>
        </w:rPr>
        <w:t>LITERATURE REVIEW</w:t>
      </w:r>
    </w:p>
    <w:p w14:paraId="646D5A87" w14:textId="379511C2" w:rsidR="00930F44" w:rsidRPr="0051773E" w:rsidRDefault="00930F44" w:rsidP="00B732FE">
      <w:pPr>
        <w:spacing w:line="360" w:lineRule="auto"/>
        <w:jc w:val="both"/>
        <w:rPr>
          <w:rFonts w:ascii="Times New Roman" w:hAnsi="Times New Roman" w:cs="Times New Roman"/>
          <w:b/>
          <w:color w:val="000000" w:themeColor="text1"/>
          <w:sz w:val="24"/>
          <w:szCs w:val="24"/>
          <w:shd w:val="clear" w:color="auto" w:fill="FFFFFF"/>
        </w:rPr>
      </w:pPr>
      <w:r w:rsidRPr="0051773E">
        <w:rPr>
          <w:rFonts w:ascii="Times New Roman" w:hAnsi="Times New Roman" w:cs="Times New Roman"/>
          <w:b/>
          <w:color w:val="000000" w:themeColor="text1"/>
          <w:sz w:val="24"/>
          <w:szCs w:val="24"/>
          <w:shd w:val="clear" w:color="auto" w:fill="FFFFFF"/>
        </w:rPr>
        <w:lastRenderedPageBreak/>
        <w:t>Gender Equality</w:t>
      </w:r>
      <w:r w:rsidR="0045735C">
        <w:rPr>
          <w:rFonts w:ascii="Times New Roman" w:hAnsi="Times New Roman" w:cs="Times New Roman"/>
          <w:b/>
          <w:color w:val="000000" w:themeColor="text1"/>
          <w:sz w:val="24"/>
          <w:szCs w:val="24"/>
          <w:shd w:val="clear" w:color="auto" w:fill="FFFFFF"/>
        </w:rPr>
        <w:t xml:space="preserve"> in Education</w:t>
      </w:r>
    </w:p>
    <w:p w14:paraId="5236DA36" w14:textId="77777777" w:rsidR="00EA0BF8" w:rsidRPr="00EA0BF8" w:rsidRDefault="00EA0BF8"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Gender equality in education is crucial for sustainable development and global progress, empowering individuals, particularly women and girls, to participate in society and the economy. </w:t>
      </w:r>
      <w:r w:rsidR="00C52BDA" w:rsidRPr="00EA0BF8">
        <w:rPr>
          <w:rFonts w:ascii="Times New Roman" w:eastAsia="Times New Roman" w:hAnsi="Times New Roman" w:cs="Times New Roman"/>
          <w:sz w:val="24"/>
          <w:szCs w:val="24"/>
        </w:rPr>
        <w:t xml:space="preserve">The European Union's policies on the right to development </w:t>
      </w:r>
      <w:r w:rsidR="00C52BDA">
        <w:rPr>
          <w:rFonts w:ascii="Times New Roman" w:eastAsia="Times New Roman" w:hAnsi="Times New Roman" w:cs="Times New Roman"/>
          <w:sz w:val="24"/>
          <w:szCs w:val="24"/>
        </w:rPr>
        <w:t>emphasize</w:t>
      </w:r>
      <w:r w:rsidR="00C52BDA" w:rsidRPr="00EA0BF8">
        <w:rPr>
          <w:rFonts w:ascii="Times New Roman" w:eastAsia="Times New Roman" w:hAnsi="Times New Roman" w:cs="Times New Roman"/>
          <w:sz w:val="24"/>
          <w:szCs w:val="24"/>
        </w:rPr>
        <w:t xml:space="preserve"> poverty reduction, gender equality, and environmental sustainability, contributing to the achievement of the Sustainable Development Goals </w:t>
      </w:r>
      <w:r w:rsidR="00C52BDA" w:rsidRPr="006C3650">
        <w:rPr>
          <w:rFonts w:ascii="Times New Roman" w:eastAsia="Times New Roman" w:hAnsi="Times New Roman" w:cs="Times New Roman"/>
          <w:sz w:val="24"/>
          <w:szCs w:val="24"/>
        </w:rPr>
        <w:t xml:space="preserve">(Giralt, 2024). </w:t>
      </w:r>
      <w:r w:rsidR="00C52BDA" w:rsidRPr="00EA0BF8">
        <w:rPr>
          <w:rFonts w:ascii="Times New Roman" w:eastAsia="Times New Roman" w:hAnsi="Times New Roman" w:cs="Times New Roman"/>
          <w:sz w:val="24"/>
          <w:szCs w:val="24"/>
        </w:rPr>
        <w:t xml:space="preserve">This aligns with global trends </w:t>
      </w:r>
      <w:r w:rsidR="00C52BDA">
        <w:rPr>
          <w:rFonts w:ascii="Times New Roman" w:eastAsia="Times New Roman" w:hAnsi="Times New Roman" w:cs="Times New Roman"/>
          <w:sz w:val="24"/>
          <w:szCs w:val="24"/>
        </w:rPr>
        <w:t>which highlight</w:t>
      </w:r>
      <w:r w:rsidR="00C52BDA" w:rsidRPr="00EA0BF8">
        <w:rPr>
          <w:rFonts w:ascii="Times New Roman" w:eastAsia="Times New Roman" w:hAnsi="Times New Roman" w:cs="Times New Roman"/>
          <w:sz w:val="24"/>
          <w:szCs w:val="24"/>
        </w:rPr>
        <w:t xml:space="preserve"> the importance of addressing gender disparities in education, particularly in regions like Sub-Saharan Africa.</w:t>
      </w:r>
      <w:r w:rsidR="00C52BDA">
        <w:rPr>
          <w:rFonts w:ascii="Times New Roman" w:eastAsia="Times New Roman" w:hAnsi="Times New Roman" w:cs="Times New Roman"/>
          <w:sz w:val="24"/>
          <w:szCs w:val="24"/>
        </w:rPr>
        <w:t xml:space="preserve"> </w:t>
      </w:r>
      <w:r w:rsidRPr="00244FCC">
        <w:rPr>
          <w:rFonts w:ascii="Times New Roman" w:eastAsia="Times New Roman" w:hAnsi="Times New Roman" w:cs="Times New Roman"/>
          <w:sz w:val="24"/>
          <w:szCs w:val="24"/>
        </w:rPr>
        <w:t>In</w:t>
      </w:r>
      <w:r w:rsidRPr="00EA0BF8">
        <w:rPr>
          <w:rFonts w:ascii="Times New Roman" w:eastAsia="Times New Roman" w:hAnsi="Times New Roman" w:cs="Times New Roman"/>
          <w:sz w:val="24"/>
          <w:szCs w:val="24"/>
        </w:rPr>
        <w:t xml:space="preserve"> Kenya, cultural values, early marriages, and financial barriers significantly hinder girls' education, with socio-economic development heavily dependent on overcoming these challenges (Doğan &amp; Kirikkaleli, 2021). </w:t>
      </w:r>
      <w:r w:rsidR="00244FCC" w:rsidRPr="00EA0BF8">
        <w:rPr>
          <w:rFonts w:ascii="Times New Roman" w:eastAsia="Times New Roman" w:hAnsi="Times New Roman" w:cs="Times New Roman"/>
          <w:sz w:val="24"/>
          <w:szCs w:val="24"/>
        </w:rPr>
        <w:t xml:space="preserve">Educational initiatives such as scholarships and safe </w:t>
      </w:r>
      <w:r w:rsidR="00244FCC">
        <w:rPr>
          <w:rFonts w:ascii="Times New Roman" w:eastAsia="Times New Roman" w:hAnsi="Times New Roman" w:cs="Times New Roman"/>
          <w:sz w:val="24"/>
          <w:szCs w:val="24"/>
        </w:rPr>
        <w:t xml:space="preserve">learning </w:t>
      </w:r>
      <w:r w:rsidR="00244FCC" w:rsidRPr="00EA0BF8">
        <w:rPr>
          <w:rFonts w:ascii="Times New Roman" w:eastAsia="Times New Roman" w:hAnsi="Times New Roman" w:cs="Times New Roman"/>
          <w:sz w:val="24"/>
          <w:szCs w:val="24"/>
        </w:rPr>
        <w:t xml:space="preserve">environments, </w:t>
      </w:r>
      <w:r w:rsidR="00244FCC">
        <w:rPr>
          <w:rFonts w:ascii="Times New Roman" w:eastAsia="Times New Roman" w:hAnsi="Times New Roman" w:cs="Times New Roman"/>
          <w:sz w:val="24"/>
          <w:szCs w:val="24"/>
        </w:rPr>
        <w:t>and</w:t>
      </w:r>
      <w:r w:rsidR="00244FCC" w:rsidRPr="00EA0BF8">
        <w:rPr>
          <w:rFonts w:ascii="Times New Roman" w:eastAsia="Times New Roman" w:hAnsi="Times New Roman" w:cs="Times New Roman"/>
          <w:sz w:val="24"/>
          <w:szCs w:val="24"/>
        </w:rPr>
        <w:t xml:space="preserve"> awareness campaigns to challenge gender roles, have proven essential in improving girls' educational outcomes (Raymond, 2020).</w:t>
      </w:r>
    </w:p>
    <w:p w14:paraId="1D5E3C69" w14:textId="77777777" w:rsidR="00244FCC" w:rsidRPr="00EA0BF8" w:rsidRDefault="00244FCC"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In countries like Rwanda, gender equality in education is not only crucial for empowering women but also for </w:t>
      </w:r>
      <w:r>
        <w:rPr>
          <w:rFonts w:ascii="Times New Roman" w:eastAsia="Times New Roman" w:hAnsi="Times New Roman" w:cs="Times New Roman"/>
          <w:sz w:val="24"/>
          <w:szCs w:val="24"/>
        </w:rPr>
        <w:t>promoting</w:t>
      </w:r>
      <w:r w:rsidRPr="00EA0BF8">
        <w:rPr>
          <w:rFonts w:ascii="Times New Roman" w:eastAsia="Times New Roman" w:hAnsi="Times New Roman" w:cs="Times New Roman"/>
          <w:sz w:val="24"/>
          <w:szCs w:val="24"/>
        </w:rPr>
        <w:t xml:space="preserve"> economic and health </w:t>
      </w:r>
      <w:r>
        <w:rPr>
          <w:rFonts w:ascii="Times New Roman" w:eastAsia="Times New Roman" w:hAnsi="Times New Roman" w:cs="Times New Roman"/>
          <w:sz w:val="24"/>
          <w:szCs w:val="24"/>
        </w:rPr>
        <w:t>outcomes</w:t>
      </w:r>
      <w:r w:rsidRPr="00EA0BF8">
        <w:rPr>
          <w:rFonts w:ascii="Times New Roman" w:eastAsia="Times New Roman" w:hAnsi="Times New Roman" w:cs="Times New Roman"/>
          <w:sz w:val="24"/>
          <w:szCs w:val="24"/>
        </w:rPr>
        <w:t xml:space="preserve">. Educated women contribute significantly to the workforce, family </w:t>
      </w:r>
      <w:r w:rsidRPr="00EA0BF8">
        <w:rPr>
          <w:rFonts w:ascii="Times New Roman" w:eastAsia="Times New Roman" w:hAnsi="Times New Roman" w:cs="Times New Roman"/>
          <w:sz w:val="24"/>
          <w:szCs w:val="24"/>
        </w:rPr>
        <w:lastRenderedPageBreak/>
        <w:t xml:space="preserve">income, and children's education, </w:t>
      </w:r>
      <w:r>
        <w:rPr>
          <w:rFonts w:ascii="Times New Roman" w:eastAsia="Times New Roman" w:hAnsi="Times New Roman" w:cs="Times New Roman"/>
          <w:sz w:val="24"/>
          <w:szCs w:val="24"/>
        </w:rPr>
        <w:t>helping to</w:t>
      </w:r>
      <w:r w:rsidRPr="00EA0BF8">
        <w:rPr>
          <w:rFonts w:ascii="Times New Roman" w:eastAsia="Times New Roman" w:hAnsi="Times New Roman" w:cs="Times New Roman"/>
          <w:sz w:val="24"/>
          <w:szCs w:val="24"/>
        </w:rPr>
        <w:t xml:space="preserve"> break the cycle of poverty (</w:t>
      </w:r>
      <w:r w:rsidR="000B0212">
        <w:rPr>
          <w:rFonts w:ascii="Times New Roman" w:eastAsia="Calibri" w:hAnsi="Times New Roman" w:cs="Times New Roman"/>
          <w:sz w:val="24"/>
        </w:rPr>
        <w:t xml:space="preserve">Nyiransabimana </w:t>
      </w:r>
      <w:r w:rsidR="000B0212" w:rsidRPr="00EA0BF8">
        <w:rPr>
          <w:rFonts w:ascii="Times New Roman" w:eastAsia="Times New Roman" w:hAnsi="Times New Roman" w:cs="Times New Roman"/>
          <w:sz w:val="24"/>
          <w:szCs w:val="24"/>
        </w:rPr>
        <w:t>&amp;</w:t>
      </w:r>
      <w:r w:rsidR="000B0212">
        <w:rPr>
          <w:rFonts w:ascii="Times New Roman" w:eastAsia="Calibri" w:hAnsi="Times New Roman" w:cs="Times New Roman"/>
          <w:sz w:val="24"/>
        </w:rPr>
        <w:t xml:space="preserve"> Jarbandhan, 2024). </w:t>
      </w:r>
      <w:r w:rsidR="00EA0BF8" w:rsidRPr="00EA0BF8">
        <w:rPr>
          <w:rFonts w:ascii="Times New Roman" w:eastAsia="Times New Roman" w:hAnsi="Times New Roman" w:cs="Times New Roman"/>
          <w:sz w:val="24"/>
          <w:szCs w:val="24"/>
        </w:rPr>
        <w:t>Policies that prioritize women's access to education, healthcare, and economic resources, along with international partnerships, have supported this progress (Niyonzima &amp; Bayu, 2023). Furthermore, systemic changes that challenge limiting gender roles, promote gender-sensitive education, and highlight female role models in leadership are vital for creating a more equitabl</w:t>
      </w:r>
      <w:r w:rsidR="004944ED">
        <w:rPr>
          <w:rFonts w:ascii="Times New Roman" w:eastAsia="Times New Roman" w:hAnsi="Times New Roman" w:cs="Times New Roman"/>
          <w:sz w:val="24"/>
          <w:szCs w:val="24"/>
        </w:rPr>
        <w:t>e society (United Nations, 2019</w:t>
      </w:r>
      <w:r w:rsidR="00EA0BF8" w:rsidRPr="00EA0BF8">
        <w:rPr>
          <w:rFonts w:ascii="Times New Roman" w:eastAsia="Times New Roman" w:hAnsi="Times New Roman" w:cs="Times New Roman"/>
          <w:sz w:val="24"/>
          <w:szCs w:val="24"/>
        </w:rPr>
        <w:t xml:space="preserve">). </w:t>
      </w:r>
      <w:r w:rsidRPr="00EA0BF8">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 xml:space="preserve">combined </w:t>
      </w:r>
      <w:r w:rsidRPr="00EA0BF8">
        <w:rPr>
          <w:rFonts w:ascii="Times New Roman" w:eastAsia="Times New Roman" w:hAnsi="Times New Roman" w:cs="Times New Roman"/>
          <w:sz w:val="24"/>
          <w:szCs w:val="24"/>
        </w:rPr>
        <w:t>efforts advanc</w:t>
      </w:r>
      <w:r>
        <w:rPr>
          <w:rFonts w:ascii="Times New Roman" w:eastAsia="Times New Roman" w:hAnsi="Times New Roman" w:cs="Times New Roman"/>
          <w:sz w:val="24"/>
          <w:szCs w:val="24"/>
        </w:rPr>
        <w:t>e</w:t>
      </w:r>
      <w:r w:rsidRPr="00EA0B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both </w:t>
      </w:r>
      <w:r w:rsidRPr="00EA0BF8">
        <w:rPr>
          <w:rFonts w:ascii="Times New Roman" w:eastAsia="Times New Roman" w:hAnsi="Times New Roman" w:cs="Times New Roman"/>
          <w:sz w:val="24"/>
          <w:szCs w:val="24"/>
        </w:rPr>
        <w:t>gender equality and broader socio-economic development.</w:t>
      </w:r>
    </w:p>
    <w:p w14:paraId="4340461C" w14:textId="77777777" w:rsidR="00244FCC" w:rsidRPr="00EA0BF8" w:rsidRDefault="00EA0BF8"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Studies on girls' education in Rwanda highlight both progress and persistent challenges in improving academic outcomes. </w:t>
      </w:r>
      <w:r w:rsidR="00244FCC" w:rsidRPr="00EA0BF8">
        <w:rPr>
          <w:rFonts w:ascii="Times New Roman" w:eastAsia="Times New Roman" w:hAnsi="Times New Roman" w:cs="Times New Roman"/>
          <w:sz w:val="24"/>
          <w:szCs w:val="24"/>
        </w:rPr>
        <w:t>Tuyishime and Andala (2021), reveal strong support for gender-sensitive teacher training and alternative education for girls, with 53.1% and 86.4% of participants, respectively, backing these policies</w:t>
      </w:r>
      <w:r w:rsidR="00244FCC" w:rsidRPr="00244FCC">
        <w:rPr>
          <w:rFonts w:ascii="Times New Roman" w:eastAsia="Times New Roman" w:hAnsi="Times New Roman" w:cs="Times New Roman"/>
          <w:sz w:val="24"/>
          <w:szCs w:val="24"/>
        </w:rPr>
        <w:t xml:space="preserve"> </w:t>
      </w:r>
      <w:r w:rsidR="00244FCC" w:rsidRPr="00EA0BF8">
        <w:rPr>
          <w:rFonts w:ascii="Times New Roman" w:eastAsia="Times New Roman" w:hAnsi="Times New Roman" w:cs="Times New Roman"/>
          <w:sz w:val="24"/>
          <w:szCs w:val="24"/>
        </w:rPr>
        <w:t xml:space="preserve">However, the study also emphasized the need for policy evaluation and </w:t>
      </w:r>
      <w:r w:rsidR="00244FCC">
        <w:rPr>
          <w:rFonts w:ascii="Times New Roman" w:eastAsia="Times New Roman" w:hAnsi="Times New Roman" w:cs="Times New Roman"/>
          <w:sz w:val="24"/>
          <w:szCs w:val="24"/>
        </w:rPr>
        <w:t xml:space="preserve">improved </w:t>
      </w:r>
      <w:r w:rsidR="00244FCC" w:rsidRPr="00EA0BF8">
        <w:rPr>
          <w:rFonts w:ascii="Times New Roman" w:eastAsia="Times New Roman" w:hAnsi="Times New Roman" w:cs="Times New Roman"/>
          <w:sz w:val="24"/>
          <w:szCs w:val="24"/>
        </w:rPr>
        <w:t>implementation to enhance educational efficiency.</w:t>
      </w:r>
      <w:r w:rsidRPr="00EA0BF8">
        <w:rPr>
          <w:rFonts w:ascii="Times New Roman" w:eastAsia="Times New Roman" w:hAnsi="Times New Roman" w:cs="Times New Roman"/>
          <w:sz w:val="24"/>
          <w:szCs w:val="24"/>
        </w:rPr>
        <w:t xml:space="preserve"> Similarly, Uwineza </w:t>
      </w:r>
      <w:r w:rsidRPr="00244FCC">
        <w:rPr>
          <w:rFonts w:ascii="Times New Roman" w:eastAsia="Times New Roman" w:hAnsi="Times New Roman" w:cs="Times New Roman"/>
          <w:i/>
          <w:sz w:val="24"/>
          <w:szCs w:val="24"/>
        </w:rPr>
        <w:t>et al.</w:t>
      </w:r>
      <w:r w:rsidRPr="00EA0BF8">
        <w:rPr>
          <w:rFonts w:ascii="Times New Roman" w:eastAsia="Times New Roman" w:hAnsi="Times New Roman" w:cs="Times New Roman"/>
          <w:sz w:val="24"/>
          <w:szCs w:val="24"/>
        </w:rPr>
        <w:t xml:space="preserve"> (2018) </w:t>
      </w:r>
      <w:r w:rsidR="00244FCC" w:rsidRPr="00EA0BF8">
        <w:rPr>
          <w:rFonts w:ascii="Times New Roman" w:eastAsia="Times New Roman" w:hAnsi="Times New Roman" w:cs="Times New Roman"/>
          <w:sz w:val="24"/>
          <w:szCs w:val="24"/>
        </w:rPr>
        <w:t xml:space="preserve">observed higher enrollment </w:t>
      </w:r>
      <w:r w:rsidR="00244FCC">
        <w:rPr>
          <w:rFonts w:ascii="Times New Roman" w:eastAsia="Times New Roman" w:hAnsi="Times New Roman" w:cs="Times New Roman"/>
          <w:sz w:val="24"/>
          <w:szCs w:val="24"/>
        </w:rPr>
        <w:t xml:space="preserve">of girls </w:t>
      </w:r>
      <w:r w:rsidR="00244FCC" w:rsidRPr="00EA0BF8">
        <w:rPr>
          <w:rFonts w:ascii="Times New Roman" w:eastAsia="Times New Roman" w:hAnsi="Times New Roman" w:cs="Times New Roman"/>
          <w:sz w:val="24"/>
          <w:szCs w:val="24"/>
        </w:rPr>
        <w:t xml:space="preserve">in public primary schools </w:t>
      </w:r>
      <w:r w:rsidR="00244FCC">
        <w:rPr>
          <w:rFonts w:ascii="Times New Roman" w:eastAsia="Times New Roman" w:hAnsi="Times New Roman" w:cs="Times New Roman"/>
          <w:sz w:val="24"/>
          <w:szCs w:val="24"/>
        </w:rPr>
        <w:t>and</w:t>
      </w:r>
      <w:r w:rsidR="00244FCC" w:rsidRPr="00EA0BF8">
        <w:rPr>
          <w:rFonts w:ascii="Times New Roman" w:eastAsia="Times New Roman" w:hAnsi="Times New Roman" w:cs="Times New Roman"/>
          <w:sz w:val="24"/>
          <w:szCs w:val="24"/>
        </w:rPr>
        <w:t xml:space="preserve"> noted low enrollment </w:t>
      </w:r>
      <w:r w:rsidR="00244FCC">
        <w:rPr>
          <w:rFonts w:ascii="Times New Roman" w:eastAsia="Times New Roman" w:hAnsi="Times New Roman" w:cs="Times New Roman"/>
          <w:sz w:val="24"/>
          <w:szCs w:val="24"/>
        </w:rPr>
        <w:t>at the</w:t>
      </w:r>
      <w:r w:rsidR="00244FCC" w:rsidRPr="00EA0BF8">
        <w:rPr>
          <w:rFonts w:ascii="Times New Roman" w:eastAsia="Times New Roman" w:hAnsi="Times New Roman" w:cs="Times New Roman"/>
          <w:sz w:val="24"/>
          <w:szCs w:val="24"/>
        </w:rPr>
        <w:t xml:space="preserve"> secondary </w:t>
      </w:r>
      <w:r w:rsidR="00244FCC">
        <w:rPr>
          <w:rFonts w:ascii="Times New Roman" w:eastAsia="Times New Roman" w:hAnsi="Times New Roman" w:cs="Times New Roman"/>
          <w:sz w:val="24"/>
          <w:szCs w:val="24"/>
        </w:rPr>
        <w:t>level</w:t>
      </w:r>
      <w:r w:rsidR="00244FCC" w:rsidRPr="00EA0BF8">
        <w:rPr>
          <w:rFonts w:ascii="Times New Roman" w:eastAsia="Times New Roman" w:hAnsi="Times New Roman" w:cs="Times New Roman"/>
          <w:sz w:val="24"/>
          <w:szCs w:val="24"/>
        </w:rPr>
        <w:t xml:space="preserve">, citing </w:t>
      </w:r>
      <w:r w:rsidR="00244FCC">
        <w:rPr>
          <w:rFonts w:ascii="Times New Roman" w:eastAsia="Times New Roman" w:hAnsi="Times New Roman" w:cs="Times New Roman"/>
          <w:sz w:val="24"/>
          <w:szCs w:val="24"/>
        </w:rPr>
        <w:t>issues</w:t>
      </w:r>
      <w:r w:rsidR="00244FCC" w:rsidRPr="00EA0BF8">
        <w:rPr>
          <w:rFonts w:ascii="Times New Roman" w:eastAsia="Times New Roman" w:hAnsi="Times New Roman" w:cs="Times New Roman"/>
          <w:sz w:val="24"/>
          <w:szCs w:val="24"/>
        </w:rPr>
        <w:t xml:space="preserve"> like funding shortages and social resistance. These </w:t>
      </w:r>
      <w:r w:rsidR="00244FCC" w:rsidRPr="00EA0BF8">
        <w:rPr>
          <w:rFonts w:ascii="Times New Roman" w:eastAsia="Times New Roman" w:hAnsi="Times New Roman" w:cs="Times New Roman"/>
          <w:sz w:val="24"/>
          <w:szCs w:val="24"/>
        </w:rPr>
        <w:lastRenderedPageBreak/>
        <w:t xml:space="preserve">findings suggest that policy interventions need to address socio-cultural barriers to </w:t>
      </w:r>
      <w:r w:rsidR="00244FCC">
        <w:rPr>
          <w:rFonts w:ascii="Times New Roman" w:eastAsia="Times New Roman" w:hAnsi="Times New Roman" w:cs="Times New Roman"/>
          <w:sz w:val="24"/>
          <w:szCs w:val="24"/>
        </w:rPr>
        <w:t>make</w:t>
      </w:r>
      <w:r w:rsidR="00244FCC" w:rsidRPr="00EA0BF8">
        <w:rPr>
          <w:rFonts w:ascii="Times New Roman" w:eastAsia="Times New Roman" w:hAnsi="Times New Roman" w:cs="Times New Roman"/>
          <w:sz w:val="24"/>
          <w:szCs w:val="24"/>
        </w:rPr>
        <w:t xml:space="preserve"> girls' education more inclusive and accessible.</w:t>
      </w:r>
    </w:p>
    <w:p w14:paraId="13CE8255" w14:textId="77777777" w:rsidR="00244FCC" w:rsidRPr="00EA0BF8" w:rsidRDefault="00244FCC"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On the other hand, Bikorimana</w:t>
      </w:r>
      <w:r w:rsidR="008D57FD">
        <w:rPr>
          <w:rFonts w:ascii="Times New Roman" w:eastAsia="Times New Roman" w:hAnsi="Times New Roman" w:cs="Times New Roman"/>
          <w:sz w:val="24"/>
          <w:szCs w:val="24"/>
        </w:rPr>
        <w:t xml:space="preserve"> </w:t>
      </w:r>
      <w:r w:rsidR="008D57FD" w:rsidRPr="008D57FD">
        <w:rPr>
          <w:rFonts w:ascii="Times New Roman" w:eastAsia="Times New Roman" w:hAnsi="Times New Roman" w:cs="Times New Roman"/>
          <w:i/>
          <w:sz w:val="24"/>
          <w:szCs w:val="24"/>
        </w:rPr>
        <w:t>et al</w:t>
      </w:r>
      <w:r w:rsidR="008D57FD">
        <w:rPr>
          <w:rFonts w:ascii="Times New Roman" w:eastAsia="Times New Roman" w:hAnsi="Times New Roman" w:cs="Times New Roman"/>
          <w:sz w:val="24"/>
          <w:szCs w:val="24"/>
        </w:rPr>
        <w:t>.</w:t>
      </w:r>
      <w:r w:rsidRPr="00EA0BF8">
        <w:rPr>
          <w:rFonts w:ascii="Times New Roman" w:eastAsia="Times New Roman" w:hAnsi="Times New Roman" w:cs="Times New Roman"/>
          <w:sz w:val="24"/>
          <w:szCs w:val="24"/>
        </w:rPr>
        <w:t xml:space="preserve"> (2024) identified key socio-economic and cultural barriers such as early marriage, household duties, and gender-based discrimination in the Huye district, which significantly hinder girls' access </w:t>
      </w:r>
      <w:r>
        <w:rPr>
          <w:rFonts w:ascii="Times New Roman" w:eastAsia="Times New Roman" w:hAnsi="Times New Roman" w:cs="Times New Roman"/>
          <w:sz w:val="24"/>
          <w:szCs w:val="24"/>
        </w:rPr>
        <w:t xml:space="preserve">to education </w:t>
      </w:r>
      <w:r w:rsidRPr="00EA0BF8">
        <w:rPr>
          <w:rFonts w:ascii="Times New Roman" w:eastAsia="Times New Roman" w:hAnsi="Times New Roman" w:cs="Times New Roman"/>
          <w:sz w:val="24"/>
          <w:szCs w:val="24"/>
        </w:rPr>
        <w:t xml:space="preserve">compared to boys. </w:t>
      </w:r>
      <w:r w:rsidR="00016A46">
        <w:rPr>
          <w:rFonts w:ascii="Times New Roman" w:eastAsia="Calibri" w:hAnsi="Times New Roman" w:cs="Times New Roman"/>
          <w:sz w:val="24"/>
        </w:rPr>
        <w:t xml:space="preserve">Nyiransabimana and Jarbandhan (2024) </w:t>
      </w:r>
      <w:r w:rsidRPr="00EA0BF8">
        <w:rPr>
          <w:rFonts w:ascii="Times New Roman" w:eastAsia="Times New Roman" w:hAnsi="Times New Roman" w:cs="Times New Roman"/>
          <w:sz w:val="24"/>
          <w:szCs w:val="24"/>
        </w:rPr>
        <w:t xml:space="preserve">also highlighted financial </w:t>
      </w:r>
      <w:r>
        <w:rPr>
          <w:rFonts w:ascii="Times New Roman" w:eastAsia="Times New Roman" w:hAnsi="Times New Roman" w:cs="Times New Roman"/>
          <w:sz w:val="24"/>
          <w:szCs w:val="24"/>
        </w:rPr>
        <w:t>obstacles</w:t>
      </w:r>
      <w:r w:rsidRPr="00EA0BF8">
        <w:rPr>
          <w:rFonts w:ascii="Times New Roman" w:eastAsia="Times New Roman" w:hAnsi="Times New Roman" w:cs="Times New Roman"/>
          <w:sz w:val="24"/>
          <w:szCs w:val="24"/>
        </w:rPr>
        <w:t xml:space="preserve"> and cultural biases as major causes of early dropout rates among girls, particularly in day schools. Both studies underscore the importance of a comprehensive approach that combines policy implementation with </w:t>
      </w:r>
      <w:r>
        <w:rPr>
          <w:rFonts w:ascii="Times New Roman" w:eastAsia="Times New Roman" w:hAnsi="Times New Roman" w:cs="Times New Roman"/>
          <w:sz w:val="24"/>
          <w:szCs w:val="24"/>
        </w:rPr>
        <w:t>efforts to overcome</w:t>
      </w:r>
      <w:r w:rsidRPr="00EA0BF8">
        <w:rPr>
          <w:rFonts w:ascii="Times New Roman" w:eastAsia="Times New Roman" w:hAnsi="Times New Roman" w:cs="Times New Roman"/>
          <w:sz w:val="24"/>
          <w:szCs w:val="24"/>
        </w:rPr>
        <w:t xml:space="preserve"> cultural and socio-economic </w:t>
      </w:r>
      <w:r>
        <w:rPr>
          <w:rFonts w:ascii="Times New Roman" w:eastAsia="Times New Roman" w:hAnsi="Times New Roman" w:cs="Times New Roman"/>
          <w:sz w:val="24"/>
          <w:szCs w:val="24"/>
        </w:rPr>
        <w:t>obstacles</w:t>
      </w:r>
      <w:r w:rsidRPr="00EA0BF8">
        <w:rPr>
          <w:rFonts w:ascii="Times New Roman" w:eastAsia="Times New Roman" w:hAnsi="Times New Roman" w:cs="Times New Roman"/>
          <w:sz w:val="24"/>
          <w:szCs w:val="24"/>
        </w:rPr>
        <w:t xml:space="preserve"> to improve girls' educational outcomes in Rwanda. This trend indicates that despite policy support, targeted interventions are still needed to tackle deep-rooted societal issues to foster gender equality in education.</w:t>
      </w:r>
    </w:p>
    <w:p w14:paraId="746AA867" w14:textId="117A7B0B" w:rsidR="00EA0BF8" w:rsidRPr="005E0719" w:rsidRDefault="00EA0BF8" w:rsidP="00B732FE">
      <w:pPr>
        <w:spacing w:line="360" w:lineRule="auto"/>
        <w:jc w:val="both"/>
        <w:rPr>
          <w:rFonts w:ascii="Times New Roman" w:eastAsia="Times New Roman" w:hAnsi="Times New Roman" w:cs="Times New Roman"/>
          <w:b/>
          <w:sz w:val="24"/>
          <w:szCs w:val="24"/>
        </w:rPr>
      </w:pPr>
      <w:r w:rsidRPr="005E0719">
        <w:rPr>
          <w:rFonts w:ascii="Times New Roman" w:eastAsia="Times New Roman" w:hAnsi="Times New Roman" w:cs="Times New Roman"/>
          <w:b/>
          <w:sz w:val="24"/>
          <w:szCs w:val="24"/>
        </w:rPr>
        <w:t>Social Justice Theory</w:t>
      </w:r>
    </w:p>
    <w:p w14:paraId="3ACB7A18" w14:textId="71B7CC6D" w:rsidR="00B50423" w:rsidRDefault="00B50423"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The social justice </w:t>
      </w:r>
      <w:r>
        <w:rPr>
          <w:rFonts w:ascii="Times New Roman" w:eastAsia="Times New Roman" w:hAnsi="Times New Roman" w:cs="Times New Roman"/>
          <w:sz w:val="24"/>
          <w:szCs w:val="24"/>
        </w:rPr>
        <w:t xml:space="preserve">theory, </w:t>
      </w:r>
      <w:r w:rsidR="00775170">
        <w:rPr>
          <w:rFonts w:ascii="Times New Roman" w:eastAsia="Times New Roman" w:hAnsi="Times New Roman" w:cs="Times New Roman"/>
          <w:sz w:val="24"/>
          <w:szCs w:val="24"/>
        </w:rPr>
        <w:t>introduced by John Rawls (</w:t>
      </w:r>
      <w:r w:rsidRPr="00EA0BF8">
        <w:rPr>
          <w:rFonts w:ascii="Times New Roman" w:eastAsia="Times New Roman" w:hAnsi="Times New Roman" w:cs="Times New Roman"/>
          <w:sz w:val="24"/>
          <w:szCs w:val="24"/>
        </w:rPr>
        <w:t>1971</w:t>
      </w:r>
      <w:r w:rsidR="00775170">
        <w:rPr>
          <w:rFonts w:ascii="Times New Roman" w:eastAsia="Times New Roman" w:hAnsi="Times New Roman" w:cs="Times New Roman"/>
          <w:sz w:val="24"/>
          <w:szCs w:val="24"/>
        </w:rPr>
        <w:t>)</w:t>
      </w:r>
      <w:r w:rsidRPr="00EA0B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concerns itself with</w:t>
      </w:r>
      <w:r w:rsidRPr="00EA0BF8">
        <w:rPr>
          <w:rFonts w:ascii="Times New Roman" w:eastAsia="Times New Roman" w:hAnsi="Times New Roman" w:cs="Times New Roman"/>
          <w:sz w:val="24"/>
          <w:szCs w:val="24"/>
        </w:rPr>
        <w:t xml:space="preserve"> the fair and equitable distribution of resources and opportunities in society. In the context of education, this theory </w:t>
      </w:r>
      <w:r>
        <w:rPr>
          <w:rFonts w:ascii="Times New Roman" w:eastAsia="Times New Roman" w:hAnsi="Times New Roman" w:cs="Times New Roman"/>
          <w:sz w:val="24"/>
          <w:szCs w:val="24"/>
        </w:rPr>
        <w:t>builds on efforts for</w:t>
      </w:r>
      <w:r w:rsidRPr="00EA0BF8">
        <w:rPr>
          <w:rFonts w:ascii="Times New Roman" w:eastAsia="Times New Roman" w:hAnsi="Times New Roman" w:cs="Times New Roman"/>
          <w:sz w:val="24"/>
          <w:szCs w:val="24"/>
        </w:rPr>
        <w:t xml:space="preserve"> </w:t>
      </w:r>
      <w:r w:rsidRPr="00EA0BF8">
        <w:rPr>
          <w:rFonts w:ascii="Times New Roman" w:eastAsia="Times New Roman" w:hAnsi="Times New Roman" w:cs="Times New Roman"/>
          <w:sz w:val="24"/>
          <w:szCs w:val="24"/>
        </w:rPr>
        <w:lastRenderedPageBreak/>
        <w:t xml:space="preserve">access to education regardless of their socio-economic and environmental factors. Additionally, improving gender equality in education can include measures to prevent gender-based violence and harassment within schools, </w:t>
      </w:r>
      <w:r>
        <w:rPr>
          <w:rFonts w:ascii="Times New Roman" w:eastAsia="Times New Roman" w:hAnsi="Times New Roman" w:cs="Times New Roman"/>
          <w:sz w:val="24"/>
          <w:szCs w:val="24"/>
        </w:rPr>
        <w:t xml:space="preserve">to </w:t>
      </w:r>
      <w:r w:rsidRPr="00EA0BF8">
        <w:rPr>
          <w:rFonts w:ascii="Times New Roman" w:eastAsia="Times New Roman" w:hAnsi="Times New Roman" w:cs="Times New Roman"/>
          <w:sz w:val="24"/>
          <w:szCs w:val="24"/>
        </w:rPr>
        <w:t>ensur</w:t>
      </w:r>
      <w:r>
        <w:rPr>
          <w:rFonts w:ascii="Times New Roman" w:eastAsia="Times New Roman" w:hAnsi="Times New Roman" w:cs="Times New Roman"/>
          <w:sz w:val="24"/>
          <w:szCs w:val="24"/>
        </w:rPr>
        <w:t>e</w:t>
      </w:r>
      <w:r w:rsidRPr="00EA0BF8">
        <w:rPr>
          <w:rFonts w:ascii="Times New Roman" w:eastAsia="Times New Roman" w:hAnsi="Times New Roman" w:cs="Times New Roman"/>
          <w:sz w:val="24"/>
          <w:szCs w:val="24"/>
        </w:rPr>
        <w:t xml:space="preserve"> that girls feel safe and secure in their learning environments. </w:t>
      </w:r>
      <w:r>
        <w:rPr>
          <w:rFonts w:ascii="Times New Roman" w:eastAsia="Times New Roman" w:hAnsi="Times New Roman" w:cs="Times New Roman"/>
          <w:sz w:val="24"/>
          <w:szCs w:val="24"/>
        </w:rPr>
        <w:t xml:space="preserve">From a </w:t>
      </w:r>
      <w:r w:rsidRPr="00EA0BF8">
        <w:rPr>
          <w:rFonts w:ascii="Times New Roman" w:eastAsia="Times New Roman" w:hAnsi="Times New Roman" w:cs="Times New Roman"/>
          <w:sz w:val="24"/>
          <w:szCs w:val="24"/>
        </w:rPr>
        <w:t xml:space="preserve">Social </w:t>
      </w:r>
      <w:r>
        <w:rPr>
          <w:rFonts w:ascii="Times New Roman" w:eastAsia="Times New Roman" w:hAnsi="Times New Roman" w:cs="Times New Roman"/>
          <w:sz w:val="24"/>
          <w:szCs w:val="24"/>
        </w:rPr>
        <w:t>J</w:t>
      </w:r>
      <w:r w:rsidRPr="00EA0BF8">
        <w:rPr>
          <w:rFonts w:ascii="Times New Roman" w:eastAsia="Times New Roman" w:hAnsi="Times New Roman" w:cs="Times New Roman"/>
          <w:sz w:val="24"/>
          <w:szCs w:val="24"/>
        </w:rPr>
        <w:t xml:space="preserve">ustice </w:t>
      </w:r>
      <w:r>
        <w:rPr>
          <w:rFonts w:ascii="Times New Roman" w:eastAsia="Times New Roman" w:hAnsi="Times New Roman" w:cs="Times New Roman"/>
          <w:sz w:val="24"/>
          <w:szCs w:val="24"/>
        </w:rPr>
        <w:t xml:space="preserve">perspective, </w:t>
      </w:r>
      <w:r w:rsidRPr="00EA0BF8">
        <w:rPr>
          <w:rFonts w:ascii="Times New Roman" w:eastAsia="Times New Roman" w:hAnsi="Times New Roman" w:cs="Times New Roman"/>
          <w:sz w:val="24"/>
          <w:szCs w:val="24"/>
        </w:rPr>
        <w:t xml:space="preserve">education extends beyond academics, </w:t>
      </w:r>
      <w:r>
        <w:rPr>
          <w:rFonts w:ascii="Times New Roman" w:eastAsia="Times New Roman" w:hAnsi="Times New Roman" w:cs="Times New Roman"/>
          <w:sz w:val="24"/>
          <w:szCs w:val="24"/>
        </w:rPr>
        <w:t>as it also includes</w:t>
      </w:r>
      <w:r w:rsidRPr="00EA0BF8">
        <w:rPr>
          <w:rFonts w:ascii="Times New Roman" w:eastAsia="Times New Roman" w:hAnsi="Times New Roman" w:cs="Times New Roman"/>
          <w:sz w:val="24"/>
          <w:szCs w:val="24"/>
        </w:rPr>
        <w:t xml:space="preserve"> integrate</w:t>
      </w:r>
      <w:r>
        <w:rPr>
          <w:rFonts w:ascii="Times New Roman" w:eastAsia="Times New Roman" w:hAnsi="Times New Roman" w:cs="Times New Roman"/>
          <w:sz w:val="24"/>
          <w:szCs w:val="24"/>
        </w:rPr>
        <w:t>d</w:t>
      </w:r>
      <w:r w:rsidRPr="00EA0BF8">
        <w:rPr>
          <w:rFonts w:ascii="Times New Roman" w:eastAsia="Times New Roman" w:hAnsi="Times New Roman" w:cs="Times New Roman"/>
          <w:sz w:val="24"/>
          <w:szCs w:val="24"/>
        </w:rPr>
        <w:t xml:space="preserve"> support services such as counseling, health education, and mentorship program</w:t>
      </w:r>
      <w:r>
        <w:rPr>
          <w:rFonts w:ascii="Times New Roman" w:eastAsia="Times New Roman" w:hAnsi="Times New Roman" w:cs="Times New Roman"/>
          <w:sz w:val="24"/>
          <w:szCs w:val="24"/>
        </w:rPr>
        <w:t>me</w:t>
      </w:r>
      <w:r w:rsidRPr="00EA0BF8">
        <w:rPr>
          <w:rFonts w:ascii="Times New Roman" w:eastAsia="Times New Roman" w:hAnsi="Times New Roman" w:cs="Times New Roman"/>
          <w:sz w:val="24"/>
          <w:szCs w:val="24"/>
        </w:rPr>
        <w:t>s, all of which address the comprehensive needs of female students. These initiatives empower girls</w:t>
      </w:r>
      <w:r>
        <w:rPr>
          <w:rFonts w:ascii="Times New Roman" w:eastAsia="Times New Roman" w:hAnsi="Times New Roman" w:cs="Times New Roman"/>
          <w:sz w:val="24"/>
          <w:szCs w:val="24"/>
        </w:rPr>
        <w:t xml:space="preserve"> by</w:t>
      </w:r>
      <w:r w:rsidRPr="00EA0BF8">
        <w:rPr>
          <w:rFonts w:ascii="Times New Roman" w:eastAsia="Times New Roman" w:hAnsi="Times New Roman" w:cs="Times New Roman"/>
          <w:sz w:val="24"/>
          <w:szCs w:val="24"/>
        </w:rPr>
        <w:t xml:space="preserve"> offering them </w:t>
      </w:r>
      <w:r>
        <w:rPr>
          <w:rFonts w:ascii="Times New Roman" w:eastAsia="Times New Roman" w:hAnsi="Times New Roman" w:cs="Times New Roman"/>
          <w:sz w:val="24"/>
          <w:szCs w:val="24"/>
        </w:rPr>
        <w:t>both</w:t>
      </w:r>
      <w:r w:rsidRPr="00EA0BF8">
        <w:rPr>
          <w:rFonts w:ascii="Times New Roman" w:eastAsia="Times New Roman" w:hAnsi="Times New Roman" w:cs="Times New Roman"/>
          <w:sz w:val="24"/>
          <w:szCs w:val="24"/>
        </w:rPr>
        <w:t xml:space="preserve"> academic </w:t>
      </w:r>
      <w:r>
        <w:rPr>
          <w:rFonts w:ascii="Times New Roman" w:eastAsia="Times New Roman" w:hAnsi="Times New Roman" w:cs="Times New Roman"/>
          <w:sz w:val="24"/>
          <w:szCs w:val="24"/>
        </w:rPr>
        <w:t xml:space="preserve">and emotional </w:t>
      </w:r>
      <w:r w:rsidRPr="00EA0BF8">
        <w:rPr>
          <w:rFonts w:ascii="Times New Roman" w:eastAsia="Times New Roman" w:hAnsi="Times New Roman" w:cs="Times New Roman"/>
          <w:sz w:val="24"/>
          <w:szCs w:val="24"/>
        </w:rPr>
        <w:t>support. Social justice theory advocates for active collaboration among educators, policymakers, parents, and communities to create a supportive network that promote</w:t>
      </w:r>
      <w:r>
        <w:rPr>
          <w:rFonts w:ascii="Times New Roman" w:eastAsia="Times New Roman" w:hAnsi="Times New Roman" w:cs="Times New Roman"/>
          <w:sz w:val="24"/>
          <w:szCs w:val="24"/>
        </w:rPr>
        <w:t>s</w:t>
      </w:r>
      <w:r w:rsidRPr="00EA0BF8">
        <w:rPr>
          <w:rFonts w:ascii="Times New Roman" w:eastAsia="Times New Roman" w:hAnsi="Times New Roman" w:cs="Times New Roman"/>
          <w:sz w:val="24"/>
          <w:szCs w:val="24"/>
        </w:rPr>
        <w:t xml:space="preserve"> the well-being and success of marginalized social groups such as female students. This collective approach is essential for fostering an inclusive and equitable educational environment. Th</w:t>
      </w:r>
      <w:r>
        <w:rPr>
          <w:rFonts w:ascii="Times New Roman" w:eastAsia="Times New Roman" w:hAnsi="Times New Roman" w:cs="Times New Roman"/>
          <w:sz w:val="24"/>
          <w:szCs w:val="24"/>
        </w:rPr>
        <w:t>e</w:t>
      </w:r>
      <w:r w:rsidRPr="00EA0BF8">
        <w:rPr>
          <w:rFonts w:ascii="Times New Roman" w:eastAsia="Times New Roman" w:hAnsi="Times New Roman" w:cs="Times New Roman"/>
          <w:sz w:val="24"/>
          <w:szCs w:val="24"/>
        </w:rPr>
        <w:t xml:space="preserve"> approach can enhance advocacy efforts for girls’ education at local, national, and international levels.</w:t>
      </w:r>
    </w:p>
    <w:p w14:paraId="332A6061" w14:textId="77777777" w:rsidR="00B732FE" w:rsidRDefault="00B732FE" w:rsidP="00B732FE">
      <w:pPr>
        <w:spacing w:line="360" w:lineRule="auto"/>
        <w:jc w:val="both"/>
        <w:rPr>
          <w:rFonts w:ascii="Times New Roman" w:eastAsia="Times New Roman" w:hAnsi="Times New Roman" w:cs="Times New Roman"/>
          <w:sz w:val="24"/>
          <w:szCs w:val="24"/>
        </w:rPr>
      </w:pPr>
    </w:p>
    <w:p w14:paraId="2B17BC2B" w14:textId="22CF0ADF" w:rsidR="00974ABF" w:rsidRDefault="00974ABF" w:rsidP="00B732FE">
      <w:pPr>
        <w:spacing w:line="360" w:lineRule="auto"/>
        <w:jc w:val="both"/>
        <w:rPr>
          <w:rFonts w:ascii="Times New Roman" w:hAnsi="Times New Roman" w:cs="Times New Roman"/>
          <w:b/>
          <w:sz w:val="24"/>
          <w:szCs w:val="24"/>
        </w:rPr>
      </w:pPr>
      <w:r w:rsidRPr="00974ABF">
        <w:rPr>
          <w:rFonts w:ascii="Times New Roman" w:hAnsi="Times New Roman" w:cs="Times New Roman"/>
          <w:b/>
          <w:sz w:val="24"/>
          <w:szCs w:val="24"/>
        </w:rPr>
        <w:t>Conceptual Framework</w:t>
      </w:r>
    </w:p>
    <w:p w14:paraId="489A821B" w14:textId="3A22E599" w:rsidR="00974ABF" w:rsidRDefault="00F03B57" w:rsidP="00B732FE">
      <w:pPr>
        <w:spacing w:line="360" w:lineRule="auto"/>
        <w:jc w:val="both"/>
        <w:rPr>
          <w:rFonts w:ascii="Times New Roman" w:hAnsi="Times New Roman" w:cs="Times New Roman"/>
          <w:b/>
          <w:sz w:val="24"/>
          <w:szCs w:val="24"/>
        </w:rPr>
      </w:pPr>
      <w:r w:rsidRPr="00F03B57">
        <w:rPr>
          <w:rFonts w:ascii="Times New Roman" w:hAnsi="Times New Roman" w:cs="Times New Roman"/>
          <w:sz w:val="24"/>
          <w:szCs w:val="24"/>
        </w:rPr>
        <w:t xml:space="preserve">This study deals with the assessment of the relationship between </w:t>
      </w:r>
      <w:r>
        <w:rPr>
          <w:rFonts w:ascii="Times New Roman" w:hAnsi="Times New Roman" w:cs="Times New Roman"/>
          <w:sz w:val="24"/>
          <w:szCs w:val="24"/>
        </w:rPr>
        <w:t>gender equality</w:t>
      </w:r>
      <w:r w:rsidRPr="00F03B57">
        <w:rPr>
          <w:rFonts w:ascii="Times New Roman" w:hAnsi="Times New Roman" w:cs="Times New Roman"/>
          <w:sz w:val="24"/>
          <w:szCs w:val="24"/>
        </w:rPr>
        <w:t xml:space="preserve"> policy </w:t>
      </w:r>
      <w:r w:rsidRPr="00F03B57">
        <w:rPr>
          <w:rFonts w:ascii="Times New Roman" w:hAnsi="Times New Roman" w:cs="Times New Roman"/>
          <w:sz w:val="24"/>
          <w:szCs w:val="24"/>
        </w:rPr>
        <w:lastRenderedPageBreak/>
        <w:t xml:space="preserve">and girls’ </w:t>
      </w:r>
      <w:r>
        <w:rPr>
          <w:rFonts w:ascii="Times New Roman" w:hAnsi="Times New Roman" w:cs="Times New Roman"/>
          <w:sz w:val="24"/>
          <w:szCs w:val="24"/>
        </w:rPr>
        <w:t>enrollment rates</w:t>
      </w:r>
      <w:r w:rsidRPr="00F03B57">
        <w:rPr>
          <w:rFonts w:ascii="Times New Roman" w:hAnsi="Times New Roman" w:cs="Times New Roman"/>
          <w:sz w:val="24"/>
          <w:szCs w:val="24"/>
        </w:rPr>
        <w:t xml:space="preserve"> in public secondary schools. This shows the interrel</w:t>
      </w:r>
      <w:r w:rsidR="00FA3470">
        <w:rPr>
          <w:rFonts w:ascii="Times New Roman" w:hAnsi="Times New Roman" w:cs="Times New Roman"/>
          <w:sz w:val="24"/>
          <w:szCs w:val="24"/>
        </w:rPr>
        <w:t>ationship between the variables</w:t>
      </w:r>
      <w:r w:rsidRPr="00F03B57">
        <w:rPr>
          <w:rFonts w:ascii="Times New Roman" w:hAnsi="Times New Roman" w:cs="Times New Roman"/>
          <w:sz w:val="24"/>
          <w:szCs w:val="24"/>
        </w:rPr>
        <w:t xml:space="preserve">. Thus, this indicates how </w:t>
      </w:r>
      <w:r w:rsidR="00FA3470">
        <w:rPr>
          <w:rFonts w:ascii="Times New Roman" w:hAnsi="Times New Roman" w:cs="Times New Roman"/>
          <w:sz w:val="24"/>
          <w:szCs w:val="24"/>
        </w:rPr>
        <w:t>gender equality</w:t>
      </w:r>
      <w:r w:rsidR="00FA3470" w:rsidRPr="00F03B57">
        <w:rPr>
          <w:rFonts w:ascii="Times New Roman" w:hAnsi="Times New Roman" w:cs="Times New Roman"/>
          <w:sz w:val="24"/>
          <w:szCs w:val="24"/>
        </w:rPr>
        <w:t xml:space="preserve"> policy</w:t>
      </w:r>
      <w:r w:rsidR="00FA3470">
        <w:rPr>
          <w:rFonts w:ascii="Times New Roman" w:hAnsi="Times New Roman" w:cs="Times New Roman"/>
          <w:sz w:val="24"/>
          <w:szCs w:val="24"/>
        </w:rPr>
        <w:t xml:space="preserve"> </w:t>
      </w:r>
      <w:r>
        <w:rPr>
          <w:rFonts w:ascii="Times New Roman" w:hAnsi="Times New Roman" w:cs="Times New Roman"/>
          <w:sz w:val="24"/>
          <w:szCs w:val="24"/>
        </w:rPr>
        <w:t>as</w:t>
      </w:r>
      <w:r w:rsidR="00FA3470" w:rsidRPr="00FA3470">
        <w:rPr>
          <w:rFonts w:ascii="Times New Roman" w:hAnsi="Times New Roman" w:cs="Times New Roman"/>
          <w:sz w:val="24"/>
          <w:szCs w:val="24"/>
        </w:rPr>
        <w:t xml:space="preserve"> </w:t>
      </w:r>
      <w:r w:rsidR="00FA3470" w:rsidRPr="00F03B57">
        <w:rPr>
          <w:rFonts w:ascii="Times New Roman" w:hAnsi="Times New Roman" w:cs="Times New Roman"/>
          <w:sz w:val="24"/>
          <w:szCs w:val="24"/>
        </w:rPr>
        <w:t>independent variable</w:t>
      </w:r>
      <w:r>
        <w:rPr>
          <w:rFonts w:ascii="Times New Roman" w:hAnsi="Times New Roman" w:cs="Times New Roman"/>
          <w:sz w:val="24"/>
          <w:szCs w:val="24"/>
        </w:rPr>
        <w:t xml:space="preserve"> </w:t>
      </w:r>
      <w:r w:rsidRPr="00F03B57">
        <w:rPr>
          <w:rFonts w:ascii="Times New Roman" w:hAnsi="Times New Roman" w:cs="Times New Roman"/>
          <w:sz w:val="24"/>
          <w:szCs w:val="24"/>
        </w:rPr>
        <w:t xml:space="preserve">influence on </w:t>
      </w:r>
      <w:r w:rsidR="00FA3470" w:rsidRPr="00F03B57">
        <w:rPr>
          <w:rFonts w:ascii="Times New Roman" w:hAnsi="Times New Roman" w:cs="Times New Roman"/>
          <w:sz w:val="24"/>
          <w:szCs w:val="24"/>
        </w:rPr>
        <w:t xml:space="preserve">girls’ </w:t>
      </w:r>
      <w:r w:rsidR="00FA3470">
        <w:rPr>
          <w:rFonts w:ascii="Times New Roman" w:hAnsi="Times New Roman" w:cs="Times New Roman"/>
          <w:sz w:val="24"/>
          <w:szCs w:val="24"/>
        </w:rPr>
        <w:lastRenderedPageBreak/>
        <w:t>e</w:t>
      </w:r>
      <w:r w:rsidR="00FA3470" w:rsidRPr="00F03B57">
        <w:rPr>
          <w:rFonts w:ascii="Times New Roman" w:hAnsi="Times New Roman" w:cs="Times New Roman"/>
          <w:sz w:val="24"/>
          <w:szCs w:val="24"/>
        </w:rPr>
        <w:t>nrollment rate</w:t>
      </w:r>
      <w:r w:rsidR="00FA3470">
        <w:rPr>
          <w:rFonts w:ascii="Times New Roman" w:hAnsi="Times New Roman" w:cs="Times New Roman"/>
          <w:sz w:val="24"/>
          <w:szCs w:val="24"/>
        </w:rPr>
        <w:t>s</w:t>
      </w:r>
      <w:r w:rsidR="00FA3470" w:rsidRPr="00F03B57">
        <w:rPr>
          <w:rFonts w:ascii="Times New Roman" w:hAnsi="Times New Roman" w:cs="Times New Roman"/>
          <w:sz w:val="24"/>
          <w:szCs w:val="24"/>
        </w:rPr>
        <w:t xml:space="preserve"> </w:t>
      </w:r>
      <w:r w:rsidR="00FA3470">
        <w:rPr>
          <w:rFonts w:ascii="Times New Roman" w:hAnsi="Times New Roman" w:cs="Times New Roman"/>
          <w:sz w:val="24"/>
          <w:szCs w:val="24"/>
        </w:rPr>
        <w:t>as</w:t>
      </w:r>
      <w:r w:rsidR="00FA3470" w:rsidRPr="00F03B57">
        <w:rPr>
          <w:rFonts w:ascii="Times New Roman" w:hAnsi="Times New Roman" w:cs="Times New Roman"/>
          <w:sz w:val="24"/>
          <w:szCs w:val="24"/>
        </w:rPr>
        <w:t xml:space="preserve"> </w:t>
      </w:r>
      <w:r w:rsidRPr="00F03B57">
        <w:rPr>
          <w:rFonts w:ascii="Times New Roman" w:hAnsi="Times New Roman" w:cs="Times New Roman"/>
          <w:sz w:val="24"/>
          <w:szCs w:val="24"/>
        </w:rPr>
        <w:t>dependent variable</w:t>
      </w:r>
      <w:r>
        <w:rPr>
          <w:rFonts w:ascii="Times New Roman" w:hAnsi="Times New Roman" w:cs="Times New Roman"/>
          <w:sz w:val="24"/>
          <w:szCs w:val="24"/>
        </w:rPr>
        <w:t xml:space="preserve">. </w:t>
      </w:r>
      <w:r w:rsidRPr="00F03B57">
        <w:rPr>
          <w:rFonts w:ascii="Times New Roman" w:hAnsi="Times New Roman" w:cs="Times New Roman"/>
          <w:sz w:val="24"/>
          <w:szCs w:val="24"/>
        </w:rPr>
        <w:t xml:space="preserve">It is represented here in </w:t>
      </w:r>
      <w:r w:rsidR="00062E62">
        <w:rPr>
          <w:rFonts w:ascii="Times New Roman" w:hAnsi="Times New Roman" w:cs="Times New Roman"/>
          <w:sz w:val="24"/>
          <w:szCs w:val="24"/>
        </w:rPr>
        <w:t>F</w:t>
      </w:r>
      <w:r w:rsidRPr="00F03B57">
        <w:rPr>
          <w:rFonts w:ascii="Times New Roman" w:hAnsi="Times New Roman" w:cs="Times New Roman"/>
          <w:sz w:val="24"/>
          <w:szCs w:val="24"/>
        </w:rPr>
        <w:t xml:space="preserve">igure </w:t>
      </w:r>
      <w:r w:rsidR="00805E69">
        <w:rPr>
          <w:rFonts w:ascii="Times New Roman" w:hAnsi="Times New Roman" w:cs="Times New Roman"/>
          <w:sz w:val="24"/>
          <w:szCs w:val="24"/>
        </w:rPr>
        <w:t>1</w:t>
      </w:r>
      <w:r w:rsidRPr="00F03B57">
        <w:rPr>
          <w:rFonts w:ascii="Times New Roman" w:hAnsi="Times New Roman" w:cs="Times New Roman"/>
          <w:sz w:val="24"/>
          <w:szCs w:val="24"/>
        </w:rPr>
        <w:t xml:space="preserve">. Generally, it indicated how </w:t>
      </w:r>
      <w:r>
        <w:rPr>
          <w:rFonts w:ascii="Times New Roman" w:hAnsi="Times New Roman" w:cs="Times New Roman"/>
          <w:sz w:val="24"/>
          <w:szCs w:val="24"/>
        </w:rPr>
        <w:t>gender equality</w:t>
      </w:r>
      <w:r w:rsidRPr="00F03B57">
        <w:rPr>
          <w:rFonts w:ascii="Times New Roman" w:hAnsi="Times New Roman" w:cs="Times New Roman"/>
          <w:sz w:val="24"/>
          <w:szCs w:val="24"/>
        </w:rPr>
        <w:t xml:space="preserve"> policy contributes to girls’ </w:t>
      </w:r>
      <w:r>
        <w:rPr>
          <w:rFonts w:ascii="Times New Roman" w:hAnsi="Times New Roman" w:cs="Times New Roman"/>
          <w:sz w:val="24"/>
          <w:szCs w:val="24"/>
        </w:rPr>
        <w:t>enrollment rates</w:t>
      </w:r>
      <w:r w:rsidR="00062E62">
        <w:rPr>
          <w:rFonts w:ascii="Times New Roman" w:hAnsi="Times New Roman" w:cs="Times New Roman"/>
          <w:sz w:val="24"/>
          <w:szCs w:val="24"/>
        </w:rPr>
        <w:t>.</w:t>
      </w:r>
    </w:p>
    <w:p w14:paraId="63320C3C" w14:textId="77777777" w:rsidR="00B732FE" w:rsidRDefault="00B732FE" w:rsidP="00B732FE">
      <w:pPr>
        <w:spacing w:line="360" w:lineRule="auto"/>
        <w:jc w:val="both"/>
        <w:rPr>
          <w:rFonts w:ascii="Times New Roman" w:hAnsi="Times New Roman" w:cs="Times New Roman"/>
          <w:b/>
          <w:sz w:val="24"/>
          <w:szCs w:val="24"/>
        </w:rPr>
        <w:sectPr w:rsidR="00B732FE" w:rsidSect="00B732FE">
          <w:type w:val="continuous"/>
          <w:pgSz w:w="12240" w:h="15840"/>
          <w:pgMar w:top="1440" w:right="1440" w:bottom="1440" w:left="1440" w:header="720" w:footer="720" w:gutter="0"/>
          <w:cols w:num="2" w:space="720"/>
          <w:docGrid w:linePitch="360"/>
        </w:sectPr>
      </w:pPr>
    </w:p>
    <w:p w14:paraId="6A7E2065" w14:textId="220CE175" w:rsidR="00974ABF" w:rsidRPr="00974ABF" w:rsidRDefault="00062E62" w:rsidP="00B732FE">
      <w:pPr>
        <w:spacing w:line="360" w:lineRule="auto"/>
        <w:jc w:val="both"/>
        <w:rPr>
          <w:rFonts w:ascii="Times New Roman" w:hAnsi="Times New Roman" w:cs="Times New Roman"/>
          <w:b/>
          <w:sz w:val="24"/>
          <w:szCs w:val="24"/>
        </w:rPr>
      </w:pPr>
      <w:r w:rsidRPr="00062E62">
        <w:rPr>
          <w:rFonts w:ascii="Times New Roman" w:hAnsi="Times New Roman" w:cs="Times New Roman"/>
          <w:b/>
          <w:noProof/>
          <w:sz w:val="24"/>
          <w:szCs w:val="24"/>
        </w:rPr>
        <w:lastRenderedPageBreak/>
        <w:drawing>
          <wp:inline distT="0" distB="0" distL="0" distR="0" wp14:anchorId="7976F686" wp14:editId="63DC7EA5">
            <wp:extent cx="5607050" cy="208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7050" cy="2084070"/>
                    </a:xfrm>
                    <a:prstGeom prst="rect">
                      <a:avLst/>
                    </a:prstGeom>
                  </pic:spPr>
                </pic:pic>
              </a:graphicData>
            </a:graphic>
          </wp:inline>
        </w:drawing>
      </w:r>
    </w:p>
    <w:p w14:paraId="7BD7A6D8" w14:textId="77777777" w:rsidR="00B732FE" w:rsidRDefault="00B732FE" w:rsidP="00B732FE">
      <w:pPr>
        <w:spacing w:line="360" w:lineRule="auto"/>
        <w:jc w:val="both"/>
        <w:rPr>
          <w:rFonts w:ascii="Times New Roman" w:hAnsi="Times New Roman" w:cs="Times New Roman"/>
          <w:i/>
          <w:sz w:val="24"/>
          <w:szCs w:val="24"/>
        </w:rPr>
        <w:sectPr w:rsidR="00B732FE" w:rsidSect="003E2818">
          <w:type w:val="continuous"/>
          <w:pgSz w:w="12240" w:h="15840"/>
          <w:pgMar w:top="1440" w:right="1440" w:bottom="1440" w:left="1440" w:header="720" w:footer="720" w:gutter="0"/>
          <w:cols w:space="720"/>
          <w:docGrid w:linePitch="360"/>
        </w:sectPr>
      </w:pPr>
    </w:p>
    <w:p w14:paraId="03ADB3B0" w14:textId="120C459F" w:rsidR="00062E62" w:rsidRPr="00062E62" w:rsidRDefault="00062E62" w:rsidP="00B732FE">
      <w:pPr>
        <w:spacing w:line="360" w:lineRule="auto"/>
        <w:jc w:val="both"/>
        <w:rPr>
          <w:rFonts w:ascii="Times New Roman" w:hAnsi="Times New Roman" w:cs="Times New Roman"/>
          <w:b/>
          <w:sz w:val="24"/>
          <w:szCs w:val="24"/>
        </w:rPr>
      </w:pPr>
      <w:r w:rsidRPr="00C03CD1">
        <w:rPr>
          <w:rFonts w:ascii="Times New Roman" w:hAnsi="Times New Roman" w:cs="Times New Roman"/>
          <w:i/>
          <w:sz w:val="24"/>
          <w:szCs w:val="24"/>
        </w:rPr>
        <w:lastRenderedPageBreak/>
        <w:t>Figure 1</w:t>
      </w:r>
      <w:r>
        <w:rPr>
          <w:rFonts w:ascii="Times New Roman" w:hAnsi="Times New Roman" w:cs="Times New Roman"/>
          <w:b/>
          <w:sz w:val="24"/>
          <w:szCs w:val="24"/>
        </w:rPr>
        <w:t xml:space="preserve"> </w:t>
      </w:r>
      <w:r w:rsidRPr="00CA3B7D">
        <w:rPr>
          <w:rFonts w:ascii="Times New Roman" w:hAnsi="Times New Roman" w:cs="Times New Roman"/>
          <w:b/>
          <w:sz w:val="24"/>
          <w:szCs w:val="24"/>
        </w:rPr>
        <w:t>Gender Equality</w:t>
      </w:r>
      <w:r>
        <w:rPr>
          <w:rFonts w:ascii="Times New Roman" w:hAnsi="Times New Roman" w:cs="Times New Roman"/>
          <w:b/>
          <w:sz w:val="24"/>
          <w:szCs w:val="24"/>
        </w:rPr>
        <w:t xml:space="preserve"> Policy</w:t>
      </w:r>
      <w:r w:rsidRPr="00CA3B7D">
        <w:rPr>
          <w:rFonts w:ascii="Times New Roman" w:hAnsi="Times New Roman" w:cs="Times New Roman"/>
          <w:b/>
          <w:sz w:val="24"/>
          <w:szCs w:val="24"/>
        </w:rPr>
        <w:t xml:space="preserve"> On Girls’ Enrollment Rate</w:t>
      </w:r>
      <w:r>
        <w:rPr>
          <w:rFonts w:ascii="Times New Roman" w:hAnsi="Times New Roman" w:cs="Times New Roman"/>
          <w:b/>
          <w:sz w:val="24"/>
          <w:szCs w:val="24"/>
        </w:rPr>
        <w:t>s</w:t>
      </w:r>
    </w:p>
    <w:p w14:paraId="39D3171E" w14:textId="5B7E3DD9" w:rsidR="00CB684E" w:rsidRDefault="00335A9F" w:rsidP="00B732FE">
      <w:pPr>
        <w:spacing w:line="360" w:lineRule="auto"/>
        <w:contextualSpacing/>
        <w:jc w:val="both"/>
        <w:rPr>
          <w:rStyle w:val="fontstyle01"/>
          <w:rFonts w:ascii="Times New Roman" w:hAnsi="Times New Roman" w:cs="Times New Roman"/>
          <w:sz w:val="24"/>
          <w:szCs w:val="24"/>
        </w:rPr>
      </w:pPr>
      <w:r w:rsidRPr="006E3922">
        <w:rPr>
          <w:rStyle w:val="fontstyle01"/>
          <w:rFonts w:ascii="Times New Roman" w:hAnsi="Times New Roman" w:cs="Times New Roman"/>
          <w:sz w:val="24"/>
          <w:szCs w:val="24"/>
        </w:rPr>
        <w:t xml:space="preserve">The </w:t>
      </w:r>
      <w:r w:rsidR="00062E62">
        <w:rPr>
          <w:rStyle w:val="fontstyle01"/>
          <w:rFonts w:ascii="Times New Roman" w:hAnsi="Times New Roman" w:cs="Times New Roman"/>
          <w:sz w:val="24"/>
          <w:szCs w:val="24"/>
        </w:rPr>
        <w:t>F</w:t>
      </w:r>
      <w:r w:rsidRPr="006E3922">
        <w:rPr>
          <w:rStyle w:val="fontstyle01"/>
          <w:rFonts w:ascii="Times New Roman" w:hAnsi="Times New Roman" w:cs="Times New Roman"/>
          <w:sz w:val="24"/>
          <w:szCs w:val="24"/>
        </w:rPr>
        <w:t>ig</w:t>
      </w:r>
      <w:r w:rsidR="00062E62">
        <w:rPr>
          <w:rStyle w:val="fontstyle01"/>
          <w:rFonts w:ascii="Times New Roman" w:hAnsi="Times New Roman" w:cs="Times New Roman"/>
          <w:sz w:val="24"/>
          <w:szCs w:val="24"/>
        </w:rPr>
        <w:t xml:space="preserve">ure </w:t>
      </w:r>
      <w:r w:rsidRPr="006E3922">
        <w:rPr>
          <w:rStyle w:val="fontstyle01"/>
          <w:rFonts w:ascii="Times New Roman" w:hAnsi="Times New Roman" w:cs="Times New Roman"/>
          <w:sz w:val="24"/>
          <w:szCs w:val="24"/>
        </w:rPr>
        <w:t xml:space="preserve">1 shows the relationship between independent and dependent variables as well as intervening variables of the research problem. The independent variable is gender equality policy and dependent variable is </w:t>
      </w:r>
      <w:r w:rsidRPr="006E3922">
        <w:rPr>
          <w:rFonts w:ascii="Times New Roman" w:hAnsi="Times New Roman" w:cs="Times New Roman"/>
          <w:sz w:val="24"/>
          <w:szCs w:val="24"/>
        </w:rPr>
        <w:t xml:space="preserve">girls’ enrollment rates. The intervening variable shows how girls’ enrollment rates </w:t>
      </w:r>
      <w:r w:rsidRPr="006E3922">
        <w:rPr>
          <w:rFonts w:ascii="Times New Roman" w:hAnsi="Times New Roman" w:cs="Times New Roman"/>
          <w:sz w:val="24"/>
          <w:szCs w:val="24"/>
        </w:rPr>
        <w:lastRenderedPageBreak/>
        <w:t xml:space="preserve">increased when </w:t>
      </w:r>
      <w:r w:rsidRPr="006E3922">
        <w:rPr>
          <w:rStyle w:val="fontstyle01"/>
          <w:rFonts w:ascii="Times New Roman" w:hAnsi="Times New Roman" w:cs="Times New Roman"/>
          <w:sz w:val="24"/>
          <w:szCs w:val="24"/>
        </w:rPr>
        <w:t xml:space="preserve">gender equality policy </w:t>
      </w:r>
      <w:r w:rsidR="00B02BA3">
        <w:rPr>
          <w:rStyle w:val="fontstyle01"/>
          <w:rFonts w:ascii="Times New Roman" w:hAnsi="Times New Roman" w:cs="Times New Roman"/>
          <w:sz w:val="24"/>
          <w:szCs w:val="24"/>
        </w:rPr>
        <w:t xml:space="preserve">was </w:t>
      </w:r>
      <w:r w:rsidR="00B02BA3" w:rsidRPr="006E3922">
        <w:rPr>
          <w:rStyle w:val="fontstyle01"/>
          <w:rFonts w:ascii="Times New Roman" w:hAnsi="Times New Roman" w:cs="Times New Roman"/>
          <w:sz w:val="24"/>
          <w:szCs w:val="24"/>
        </w:rPr>
        <w:t xml:space="preserve">effectively </w:t>
      </w:r>
      <w:r w:rsidRPr="006E3922">
        <w:rPr>
          <w:rStyle w:val="fontstyle01"/>
          <w:rFonts w:ascii="Times New Roman" w:hAnsi="Times New Roman" w:cs="Times New Roman"/>
          <w:sz w:val="24"/>
          <w:szCs w:val="24"/>
        </w:rPr>
        <w:t>implem</w:t>
      </w:r>
      <w:r w:rsidR="006E3922" w:rsidRPr="006E3922">
        <w:rPr>
          <w:rStyle w:val="fontstyle01"/>
          <w:rFonts w:ascii="Times New Roman" w:hAnsi="Times New Roman" w:cs="Times New Roman"/>
          <w:sz w:val="24"/>
          <w:szCs w:val="24"/>
        </w:rPr>
        <w:t xml:space="preserve">ented. Generally, effective implementation of gender equality policy like gender sensitive language, equal access to services, involvement in decision making and equal treatment </w:t>
      </w:r>
      <w:r w:rsidR="00892C00">
        <w:rPr>
          <w:rStyle w:val="fontstyle01"/>
          <w:rFonts w:ascii="Times New Roman" w:hAnsi="Times New Roman" w:cs="Times New Roman"/>
          <w:sz w:val="24"/>
          <w:szCs w:val="24"/>
        </w:rPr>
        <w:t>lead</w:t>
      </w:r>
      <w:r w:rsidR="006E3922">
        <w:rPr>
          <w:rStyle w:val="fontstyle01"/>
          <w:rFonts w:ascii="Times New Roman" w:hAnsi="Times New Roman" w:cs="Times New Roman"/>
          <w:sz w:val="24"/>
          <w:szCs w:val="24"/>
        </w:rPr>
        <w:t xml:space="preserve"> to the increase of both gross enrollment rate and net enrollment rate. </w:t>
      </w:r>
    </w:p>
    <w:p w14:paraId="15178F18" w14:textId="43D9365A" w:rsidR="00317F14" w:rsidRDefault="00317F14" w:rsidP="00B732FE">
      <w:pPr>
        <w:spacing w:line="360" w:lineRule="auto"/>
        <w:contextualSpacing/>
        <w:jc w:val="both"/>
        <w:rPr>
          <w:rStyle w:val="fontstyle01"/>
          <w:rFonts w:ascii="Times New Roman" w:hAnsi="Times New Roman" w:cs="Times New Roman"/>
          <w:sz w:val="24"/>
          <w:szCs w:val="24"/>
        </w:rPr>
      </w:pPr>
    </w:p>
    <w:p w14:paraId="7F070218" w14:textId="4AE84608" w:rsidR="00317F14" w:rsidRDefault="00317F14" w:rsidP="00B732FE">
      <w:pPr>
        <w:spacing w:line="360" w:lineRule="auto"/>
        <w:contextualSpacing/>
        <w:jc w:val="both"/>
        <w:rPr>
          <w:rStyle w:val="fontstyle01"/>
          <w:rFonts w:ascii="Times New Roman" w:hAnsi="Times New Roman" w:cs="Times New Roman"/>
          <w:sz w:val="24"/>
          <w:szCs w:val="24"/>
        </w:rPr>
      </w:pPr>
    </w:p>
    <w:p w14:paraId="4BD38FBA" w14:textId="77777777" w:rsidR="00317F14" w:rsidRPr="006E3922" w:rsidRDefault="00317F14" w:rsidP="00B732FE">
      <w:pPr>
        <w:spacing w:line="360" w:lineRule="auto"/>
        <w:contextualSpacing/>
        <w:jc w:val="both"/>
        <w:rPr>
          <w:sz w:val="24"/>
          <w:szCs w:val="24"/>
        </w:rPr>
      </w:pPr>
    </w:p>
    <w:p w14:paraId="4E20BE16" w14:textId="77777777" w:rsidR="002B2DCB" w:rsidRDefault="002B2DCB" w:rsidP="00317F14">
      <w:pPr>
        <w:rPr>
          <w:rFonts w:ascii="Times New Roman" w:hAnsi="Times New Roman" w:cs="Times New Roman"/>
          <w:b/>
          <w:sz w:val="24"/>
          <w:szCs w:val="24"/>
        </w:rPr>
        <w:sectPr w:rsidR="002B2DCB" w:rsidSect="00B732FE">
          <w:type w:val="continuous"/>
          <w:pgSz w:w="12240" w:h="15840"/>
          <w:pgMar w:top="1440" w:right="1440" w:bottom="1440" w:left="1440" w:header="720" w:footer="720" w:gutter="0"/>
          <w:cols w:num="2" w:space="720"/>
          <w:docGrid w:linePitch="360"/>
        </w:sectPr>
      </w:pPr>
    </w:p>
    <w:p w14:paraId="2DB03216" w14:textId="77777777" w:rsidR="00317F14" w:rsidRPr="00317F14" w:rsidRDefault="00317F14" w:rsidP="00317F14">
      <w:pPr>
        <w:rPr>
          <w:rFonts w:ascii="Times New Roman" w:hAnsi="Times New Roman" w:cs="Times New Roman"/>
          <w:b/>
          <w:sz w:val="24"/>
          <w:szCs w:val="24"/>
        </w:rPr>
      </w:pPr>
      <w:r w:rsidRPr="00317F14">
        <w:rPr>
          <w:rFonts w:ascii="Times New Roman" w:hAnsi="Times New Roman" w:cs="Times New Roman"/>
          <w:b/>
          <w:sz w:val="24"/>
          <w:szCs w:val="24"/>
        </w:rPr>
        <w:lastRenderedPageBreak/>
        <w:t>3. RESEARCH METHODOLOGY</w:t>
      </w:r>
    </w:p>
    <w:p w14:paraId="7F8F66C4" w14:textId="77777777" w:rsidR="0038445E" w:rsidRDefault="0038445E" w:rsidP="002B2DCB">
      <w:pPr>
        <w:tabs>
          <w:tab w:val="left" w:pos="7425"/>
        </w:tabs>
        <w:spacing w:line="360" w:lineRule="auto"/>
        <w:jc w:val="both"/>
        <w:rPr>
          <w:rFonts w:ascii="Times New Roman" w:eastAsia="Calibri" w:hAnsi="Times New Roman" w:cs="Times New Roman"/>
          <w:sz w:val="24"/>
        </w:rPr>
        <w:sectPr w:rsidR="0038445E" w:rsidSect="002B2DCB">
          <w:type w:val="continuous"/>
          <w:pgSz w:w="12240" w:h="15840"/>
          <w:pgMar w:top="1440" w:right="1440" w:bottom="1440" w:left="1440" w:header="720" w:footer="720" w:gutter="0"/>
          <w:cols w:space="720"/>
          <w:docGrid w:linePitch="360"/>
        </w:sectPr>
      </w:pPr>
    </w:p>
    <w:p w14:paraId="5BE502C6" w14:textId="5B44AC0A" w:rsidR="002B2DCB" w:rsidRDefault="00B50423" w:rsidP="002B2DCB">
      <w:pPr>
        <w:tabs>
          <w:tab w:val="left" w:pos="7425"/>
        </w:tabs>
        <w:spacing w:line="360" w:lineRule="auto"/>
        <w:jc w:val="both"/>
        <w:rPr>
          <w:rFonts w:ascii="Times New Roman" w:eastAsia="Calibri" w:hAnsi="Times New Roman" w:cs="Times New Roman"/>
          <w:sz w:val="24"/>
        </w:rPr>
      </w:pPr>
      <w:r w:rsidRPr="00B732FE">
        <w:rPr>
          <w:rFonts w:ascii="Times New Roman" w:eastAsia="Calibri" w:hAnsi="Times New Roman" w:cs="Times New Roman"/>
          <w:sz w:val="24"/>
        </w:rPr>
        <w:lastRenderedPageBreak/>
        <w:t xml:space="preserve">This paper employed </w:t>
      </w:r>
      <w:r w:rsidR="00260F07" w:rsidRPr="00B732FE">
        <w:rPr>
          <w:rFonts w:ascii="Times New Roman" w:eastAsia="Calibri" w:hAnsi="Times New Roman" w:cs="Times New Roman"/>
          <w:sz w:val="24"/>
        </w:rPr>
        <w:t xml:space="preserve">quantitative research approach and descriptive research </w:t>
      </w:r>
      <w:r w:rsidRPr="00B732FE">
        <w:rPr>
          <w:rFonts w:ascii="Times New Roman" w:eastAsia="Calibri" w:hAnsi="Times New Roman" w:cs="Times New Roman"/>
          <w:sz w:val="24"/>
        </w:rPr>
        <w:t>design</w:t>
      </w:r>
      <w:r w:rsidR="00260F07" w:rsidRPr="00B732FE">
        <w:rPr>
          <w:rFonts w:ascii="Times New Roman" w:eastAsia="Calibri" w:hAnsi="Times New Roman" w:cs="Times New Roman"/>
          <w:sz w:val="24"/>
        </w:rPr>
        <w:t>.</w:t>
      </w:r>
      <w:r w:rsidRPr="00B732FE">
        <w:rPr>
          <w:rFonts w:ascii="Times New Roman" w:eastAsia="Calibri" w:hAnsi="Times New Roman" w:cs="Times New Roman"/>
          <w:sz w:val="24"/>
        </w:rPr>
        <w:t xml:space="preserve"> </w:t>
      </w:r>
      <w:r w:rsidR="00260F07" w:rsidRPr="00B732FE">
        <w:rPr>
          <w:rFonts w:ascii="Times New Roman" w:eastAsia="Calibri" w:hAnsi="Times New Roman" w:cs="Times New Roman"/>
          <w:sz w:val="24"/>
        </w:rPr>
        <w:t xml:space="preserve">The approach was selected due to </w:t>
      </w:r>
      <w:r w:rsidR="008931F7" w:rsidRPr="00B732FE">
        <w:rPr>
          <w:rFonts w:ascii="Times New Roman" w:eastAsia="Calibri" w:hAnsi="Times New Roman" w:cs="Times New Roman"/>
          <w:sz w:val="24"/>
        </w:rPr>
        <w:t>its</w:t>
      </w:r>
      <w:r w:rsidR="00260F07" w:rsidRPr="00B732FE">
        <w:rPr>
          <w:rFonts w:ascii="Times New Roman" w:eastAsia="Calibri" w:hAnsi="Times New Roman" w:cs="Times New Roman"/>
          <w:sz w:val="24"/>
        </w:rPr>
        <w:t xml:space="preserve"> strength</w:t>
      </w:r>
      <w:r w:rsidR="008931F7" w:rsidRPr="00B732FE">
        <w:rPr>
          <w:rFonts w:ascii="Times New Roman" w:eastAsia="Calibri" w:hAnsi="Times New Roman" w:cs="Times New Roman"/>
          <w:sz w:val="24"/>
        </w:rPr>
        <w:t>s</w:t>
      </w:r>
      <w:r w:rsidR="00260F07" w:rsidRPr="00B732FE">
        <w:rPr>
          <w:rFonts w:ascii="Times New Roman" w:eastAsia="Calibri" w:hAnsi="Times New Roman" w:cs="Times New Roman"/>
          <w:sz w:val="24"/>
        </w:rPr>
        <w:t xml:space="preserve"> in enabling the researcher to collect objective data that can be statistically analyzed to determine patterns</w:t>
      </w:r>
      <w:r w:rsidR="00260F07" w:rsidRPr="00B732FE">
        <w:rPr>
          <w:rFonts w:ascii="Times New Roman" w:hAnsi="Times New Roman" w:cs="Times New Roman"/>
          <w:sz w:val="24"/>
          <w:szCs w:val="24"/>
        </w:rPr>
        <w:t xml:space="preserve"> of </w:t>
      </w:r>
      <w:r w:rsidR="00260F07" w:rsidRPr="00B732FE">
        <w:rPr>
          <w:rFonts w:ascii="Times New Roman" w:eastAsia="Calibri" w:hAnsi="Times New Roman" w:cs="Times New Roman"/>
          <w:sz w:val="24"/>
          <w:szCs w:val="24"/>
        </w:rPr>
        <w:t>gender</w:t>
      </w:r>
      <w:r w:rsidR="00260F07" w:rsidRPr="00B732FE">
        <w:rPr>
          <w:rFonts w:ascii="Times New Roman" w:eastAsia="Calibri" w:hAnsi="Times New Roman" w:cs="Times New Roman"/>
          <w:sz w:val="24"/>
        </w:rPr>
        <w:t xml:space="preserve"> </w:t>
      </w:r>
      <w:r w:rsidR="00260F07" w:rsidRPr="00B732FE">
        <w:rPr>
          <w:rFonts w:ascii="Times New Roman" w:eastAsia="Calibri" w:hAnsi="Times New Roman" w:cs="Times New Roman"/>
          <w:sz w:val="24"/>
        </w:rPr>
        <w:lastRenderedPageBreak/>
        <w:t>equality</w:t>
      </w:r>
      <w:r w:rsidR="00021B16">
        <w:rPr>
          <w:rFonts w:ascii="Times New Roman" w:eastAsia="Calibri" w:hAnsi="Times New Roman" w:cs="Times New Roman"/>
          <w:sz w:val="24"/>
        </w:rPr>
        <w:t xml:space="preserve"> policy and girls' enrollment</w:t>
      </w:r>
      <w:r w:rsidR="00260F07" w:rsidRPr="00B732FE">
        <w:rPr>
          <w:rFonts w:ascii="Times New Roman" w:eastAsia="Calibri" w:hAnsi="Times New Roman" w:cs="Times New Roman"/>
          <w:sz w:val="24"/>
        </w:rPr>
        <w:t xml:space="preserve"> schools. </w:t>
      </w:r>
      <w:r w:rsidRPr="00B732FE">
        <w:rPr>
          <w:rFonts w:ascii="Times New Roman" w:eastAsia="Calibri" w:hAnsi="Times New Roman" w:cs="Times New Roman"/>
          <w:sz w:val="24"/>
        </w:rPr>
        <w:t xml:space="preserve">The design was chosen </w:t>
      </w:r>
      <w:r w:rsidR="008931F7" w:rsidRPr="00B732FE">
        <w:rPr>
          <w:rFonts w:ascii="Times New Roman" w:eastAsia="Calibri" w:hAnsi="Times New Roman" w:cs="Times New Roman"/>
          <w:sz w:val="24"/>
          <w:szCs w:val="24"/>
        </w:rPr>
        <w:t>because</w:t>
      </w:r>
      <w:r w:rsidR="008931F7" w:rsidRPr="00B732FE">
        <w:rPr>
          <w:rFonts w:ascii="Times New Roman" w:hAnsi="Times New Roman" w:cs="Times New Roman"/>
          <w:sz w:val="24"/>
          <w:szCs w:val="24"/>
        </w:rPr>
        <w:t xml:space="preserve"> it </w:t>
      </w:r>
      <w:r w:rsidR="008931F7" w:rsidRPr="00B732FE">
        <w:rPr>
          <w:rFonts w:ascii="Times New Roman" w:eastAsia="Calibri" w:hAnsi="Times New Roman" w:cs="Times New Roman"/>
          <w:sz w:val="24"/>
          <w:szCs w:val="24"/>
        </w:rPr>
        <w:t>helps in systematically</w:t>
      </w:r>
      <w:r w:rsidR="008931F7" w:rsidRPr="00B732FE">
        <w:rPr>
          <w:rFonts w:ascii="Times New Roman" w:eastAsia="Calibri" w:hAnsi="Times New Roman" w:cs="Times New Roman"/>
          <w:sz w:val="24"/>
        </w:rPr>
        <w:t xml:space="preserve"> describing the characteristics of a population, without manipulating any variables</w:t>
      </w:r>
      <w:r w:rsidR="008931F7">
        <w:rPr>
          <w:rFonts w:ascii="Times New Roman" w:eastAsia="Calibri" w:hAnsi="Times New Roman" w:cs="Times New Roman"/>
          <w:sz w:val="24"/>
        </w:rPr>
        <w:t xml:space="preserve"> and hence,</w:t>
      </w:r>
      <w:r w:rsidRPr="00EA0BF8">
        <w:rPr>
          <w:rFonts w:ascii="Times New Roman" w:eastAsia="Calibri" w:hAnsi="Times New Roman" w:cs="Times New Roman"/>
          <w:sz w:val="24"/>
        </w:rPr>
        <w:t xml:space="preserve"> examine the influence of gender equality on girls' enrollment rates in </w:t>
      </w:r>
      <w:r w:rsidRPr="00EA0BF8">
        <w:rPr>
          <w:rFonts w:ascii="Times New Roman" w:eastAsia="Calibri" w:hAnsi="Times New Roman" w:cs="Times New Roman"/>
          <w:sz w:val="24"/>
        </w:rPr>
        <w:lastRenderedPageBreak/>
        <w:t>public secondary schools</w:t>
      </w:r>
      <w:r w:rsidR="00021B16">
        <w:rPr>
          <w:rFonts w:ascii="Times New Roman" w:eastAsia="Calibri" w:hAnsi="Times New Roman" w:cs="Times New Roman"/>
          <w:sz w:val="24"/>
        </w:rPr>
        <w:t xml:space="preserve"> in Rwanda</w:t>
      </w:r>
      <w:r w:rsidRPr="00EA0BF8">
        <w:rPr>
          <w:rFonts w:ascii="Times New Roman" w:eastAsia="Calibri" w:hAnsi="Times New Roman" w:cs="Times New Roman"/>
          <w:sz w:val="24"/>
        </w:rPr>
        <w:t xml:space="preserve">. </w:t>
      </w:r>
      <w:r w:rsidR="003F4C04" w:rsidRPr="00EA0BF8">
        <w:rPr>
          <w:rFonts w:ascii="Times New Roman" w:eastAsia="Calibri" w:hAnsi="Times New Roman" w:cs="Times New Roman"/>
          <w:sz w:val="24"/>
        </w:rPr>
        <w:t xml:space="preserve">The </w:t>
      </w:r>
      <w:r w:rsidR="00021B16" w:rsidRPr="00021B16">
        <w:rPr>
          <w:rFonts w:ascii="Times New Roman" w:hAnsi="Times New Roman" w:cs="Times New Roman"/>
          <w:sz w:val="24"/>
          <w:szCs w:val="24"/>
        </w:rPr>
        <w:t>Solvin’s formula</w:t>
      </w:r>
      <w:r w:rsidR="00021B16" w:rsidRPr="00EA0BF8">
        <w:rPr>
          <w:rFonts w:ascii="Times New Roman" w:eastAsia="Calibri" w:hAnsi="Times New Roman" w:cs="Times New Roman"/>
          <w:sz w:val="24"/>
        </w:rPr>
        <w:t xml:space="preserve"> </w:t>
      </w:r>
      <w:r w:rsidR="003F4C04" w:rsidRPr="00EA0BF8">
        <w:rPr>
          <w:rFonts w:ascii="Times New Roman" w:eastAsia="Calibri" w:hAnsi="Times New Roman" w:cs="Times New Roman"/>
          <w:sz w:val="24"/>
        </w:rPr>
        <w:t xml:space="preserve">was used to get </w:t>
      </w:r>
      <w:r w:rsidR="003F4C04">
        <w:rPr>
          <w:rFonts w:ascii="Times New Roman" w:eastAsia="Calibri" w:hAnsi="Times New Roman" w:cs="Times New Roman"/>
          <w:sz w:val="24"/>
        </w:rPr>
        <w:t>a</w:t>
      </w:r>
      <w:r w:rsidR="003F4C04" w:rsidRPr="00EA0BF8">
        <w:rPr>
          <w:rFonts w:ascii="Times New Roman" w:eastAsia="Calibri" w:hAnsi="Times New Roman" w:cs="Times New Roman"/>
          <w:sz w:val="24"/>
        </w:rPr>
        <w:t xml:space="preserve"> manageable sample size</w:t>
      </w:r>
      <w:r w:rsidR="008931F7">
        <w:rPr>
          <w:rFonts w:ascii="Times New Roman" w:eastAsia="Calibri" w:hAnsi="Times New Roman" w:cs="Times New Roman"/>
          <w:sz w:val="24"/>
        </w:rPr>
        <w:t xml:space="preserve"> </w:t>
      </w:r>
      <w:r w:rsidR="008931F7" w:rsidRPr="00B732FE">
        <w:rPr>
          <w:rFonts w:ascii="Times New Roman" w:eastAsia="Calibri" w:hAnsi="Times New Roman" w:cs="Times New Roman"/>
          <w:sz w:val="24"/>
        </w:rPr>
        <w:t>of 260 respondents</w:t>
      </w:r>
      <w:r w:rsidR="003F4C04" w:rsidRPr="00B732FE">
        <w:rPr>
          <w:rFonts w:ascii="Times New Roman" w:eastAsia="Calibri" w:hAnsi="Times New Roman" w:cs="Times New Roman"/>
          <w:sz w:val="24"/>
        </w:rPr>
        <w:t>.</w:t>
      </w:r>
      <w:r w:rsidR="003F4C04" w:rsidRPr="00EA0BF8">
        <w:rPr>
          <w:rFonts w:ascii="Times New Roman" w:eastAsia="Calibri" w:hAnsi="Times New Roman" w:cs="Times New Roman"/>
          <w:sz w:val="24"/>
        </w:rPr>
        <w:t xml:space="preserve"> Questionnaire </w:t>
      </w:r>
      <w:r w:rsidR="008931F7">
        <w:rPr>
          <w:rFonts w:ascii="Times New Roman" w:eastAsia="Calibri" w:hAnsi="Times New Roman" w:cs="Times New Roman"/>
          <w:sz w:val="24"/>
        </w:rPr>
        <w:t>w</w:t>
      </w:r>
      <w:r w:rsidR="003F4C04">
        <w:rPr>
          <w:rFonts w:ascii="Times New Roman" w:eastAsia="Calibri" w:hAnsi="Times New Roman" w:cs="Times New Roman"/>
          <w:sz w:val="24"/>
        </w:rPr>
        <w:t>as the main</w:t>
      </w:r>
      <w:r w:rsidR="008931F7">
        <w:rPr>
          <w:rFonts w:ascii="Times New Roman" w:eastAsia="Calibri" w:hAnsi="Times New Roman" w:cs="Times New Roman"/>
          <w:sz w:val="24"/>
        </w:rPr>
        <w:t xml:space="preserve"> research instrument</w:t>
      </w:r>
      <w:r w:rsidR="003F4C04" w:rsidRPr="00EA0BF8">
        <w:rPr>
          <w:rFonts w:ascii="Times New Roman" w:eastAsia="Calibri" w:hAnsi="Times New Roman" w:cs="Times New Roman"/>
          <w:sz w:val="24"/>
        </w:rPr>
        <w:t xml:space="preserve"> </w:t>
      </w:r>
      <w:bookmarkStart w:id="0" w:name="_Hlk196582982"/>
      <w:r w:rsidR="002B2DCB">
        <w:rPr>
          <w:rFonts w:ascii="Times New Roman" w:eastAsia="Calibri" w:hAnsi="Times New Roman" w:cs="Times New Roman"/>
          <w:sz w:val="24"/>
        </w:rPr>
        <w:t>used in</w:t>
      </w:r>
      <w:r w:rsidR="002B2DCB" w:rsidRPr="00EA0BF8">
        <w:rPr>
          <w:rFonts w:ascii="Times New Roman" w:eastAsia="Calibri" w:hAnsi="Times New Roman" w:cs="Times New Roman"/>
          <w:sz w:val="24"/>
        </w:rPr>
        <w:t xml:space="preserve"> data collection</w:t>
      </w:r>
      <w:r w:rsidR="002B2DCB">
        <w:rPr>
          <w:rFonts w:ascii="Times New Roman" w:eastAsia="Calibri" w:hAnsi="Times New Roman" w:cs="Times New Roman"/>
          <w:sz w:val="24"/>
        </w:rPr>
        <w:t>.</w:t>
      </w:r>
    </w:p>
    <w:bookmarkEnd w:id="0"/>
    <w:p w14:paraId="63B40600" w14:textId="77777777" w:rsidR="00512B7C" w:rsidRDefault="00B02BA3" w:rsidP="00B732FE">
      <w:pPr>
        <w:spacing w:after="0" w:line="360" w:lineRule="auto"/>
        <w:jc w:val="both"/>
        <w:rPr>
          <w:rFonts w:ascii="Times New Roman" w:eastAsia="Times New Roman" w:hAnsi="Times New Roman" w:cs="Times New Roman"/>
          <w:b/>
          <w:sz w:val="24"/>
          <w:szCs w:val="24"/>
        </w:rPr>
      </w:pPr>
      <w:r w:rsidRPr="00B732FE">
        <w:rPr>
          <w:rFonts w:ascii="Times New Roman" w:eastAsia="Times New Roman" w:hAnsi="Times New Roman" w:cs="Times New Roman"/>
          <w:b/>
          <w:sz w:val="24"/>
          <w:szCs w:val="24"/>
        </w:rPr>
        <w:t>4. RESULTS</w:t>
      </w:r>
      <w:r>
        <w:rPr>
          <w:rFonts w:ascii="Times New Roman" w:eastAsia="Times New Roman" w:hAnsi="Times New Roman" w:cs="Times New Roman"/>
          <w:b/>
          <w:sz w:val="24"/>
          <w:szCs w:val="24"/>
        </w:rPr>
        <w:t xml:space="preserve"> </w:t>
      </w:r>
    </w:p>
    <w:p w14:paraId="0C572CDB" w14:textId="77777777" w:rsidR="00CB1C7F" w:rsidRDefault="00CB1C7F" w:rsidP="00996D90">
      <w:pPr>
        <w:spacing w:before="100" w:beforeAutospacing="1" w:after="100" w:afterAutospacing="1" w:line="360" w:lineRule="auto"/>
        <w:jc w:val="both"/>
        <w:rPr>
          <w:rStyle w:val="fontstyle01"/>
          <w:rFonts w:ascii="Times New Roman" w:hAnsi="Times New Roman" w:cs="Times New Roman"/>
          <w:sz w:val="24"/>
          <w:szCs w:val="24"/>
        </w:rPr>
      </w:pPr>
      <w:r w:rsidRPr="0078067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aim of this study was </w:t>
      </w:r>
      <w:r w:rsidRPr="00780677">
        <w:rPr>
          <w:rFonts w:ascii="Times New Roman" w:hAnsi="Times New Roman" w:cs="Times New Roman"/>
          <w:sz w:val="24"/>
          <w:szCs w:val="24"/>
        </w:rPr>
        <w:t xml:space="preserve">to evaluate the influence of gender equality on girls’ </w:t>
      </w:r>
      <w:r w:rsidRPr="00780677">
        <w:rPr>
          <w:rFonts w:ascii="Times New Roman" w:hAnsi="Times New Roman" w:cs="Times New Roman"/>
          <w:sz w:val="24"/>
          <w:szCs w:val="24"/>
        </w:rPr>
        <w:lastRenderedPageBreak/>
        <w:t>enrollment rate</w:t>
      </w:r>
      <w:r>
        <w:rPr>
          <w:rFonts w:ascii="Times New Roman" w:hAnsi="Times New Roman" w:cs="Times New Roman"/>
          <w:sz w:val="24"/>
          <w:szCs w:val="24"/>
        </w:rPr>
        <w:t>s</w:t>
      </w:r>
      <w:r w:rsidRPr="00780677">
        <w:rPr>
          <w:rFonts w:ascii="Times New Roman" w:hAnsi="Times New Roman" w:cs="Times New Roman"/>
          <w:sz w:val="24"/>
          <w:szCs w:val="24"/>
        </w:rPr>
        <w:t xml:space="preserve"> in public secondary</w:t>
      </w:r>
      <w:r>
        <w:rPr>
          <w:rFonts w:ascii="Times New Roman" w:hAnsi="Times New Roman" w:cs="Times New Roman"/>
          <w:sz w:val="24"/>
          <w:szCs w:val="24"/>
        </w:rPr>
        <w:t xml:space="preserve"> schools</w:t>
      </w:r>
      <w:r w:rsidRPr="00780677">
        <w:rPr>
          <w:rFonts w:ascii="Times New Roman" w:hAnsi="Times New Roman" w:cs="Times New Roman"/>
          <w:sz w:val="24"/>
          <w:szCs w:val="24"/>
        </w:rPr>
        <w:t>.</w:t>
      </w:r>
      <w:r w:rsidRPr="00D157E8">
        <w:rPr>
          <w:rStyle w:val="uv3um"/>
        </w:rPr>
        <w:t xml:space="preserve"> </w:t>
      </w:r>
      <w:r>
        <w:rPr>
          <w:rStyle w:val="fontstyle01"/>
          <w:rFonts w:ascii="Times New Roman" w:hAnsi="Times New Roman" w:cs="Times New Roman"/>
          <w:sz w:val="24"/>
          <w:szCs w:val="24"/>
        </w:rPr>
        <w:t xml:space="preserve">This section presents </w:t>
      </w:r>
      <w:r w:rsidRPr="00D157E8">
        <w:rPr>
          <w:rStyle w:val="fontstyle01"/>
          <w:rFonts w:ascii="Times New Roman" w:hAnsi="Times New Roman" w:cs="Times New Roman"/>
          <w:sz w:val="24"/>
          <w:szCs w:val="24"/>
        </w:rPr>
        <w:t>both descriptive and inferential statistic</w:t>
      </w:r>
      <w:r>
        <w:rPr>
          <w:rStyle w:val="fontstyle01"/>
          <w:rFonts w:ascii="Times New Roman" w:hAnsi="Times New Roman" w:cs="Times New Roman"/>
          <w:sz w:val="24"/>
          <w:szCs w:val="24"/>
        </w:rPr>
        <w:t xml:space="preserve">al analyses conducted in </w:t>
      </w:r>
      <w:r w:rsidRPr="00D157E8">
        <w:rPr>
          <w:rStyle w:val="fontstyle01"/>
          <w:rFonts w:ascii="Times New Roman" w:hAnsi="Times New Roman" w:cs="Times New Roman"/>
          <w:sz w:val="24"/>
          <w:szCs w:val="24"/>
        </w:rPr>
        <w:t>this study</w:t>
      </w:r>
      <w:r>
        <w:rPr>
          <w:rFonts w:ascii="Times New Roman" w:hAnsi="Times New Roman" w:cs="Times New Roman"/>
          <w:color w:val="000000"/>
          <w:sz w:val="24"/>
          <w:szCs w:val="24"/>
        </w:rPr>
        <w:t>.</w:t>
      </w:r>
    </w:p>
    <w:p w14:paraId="076094E5" w14:textId="388D00AC" w:rsidR="00CB1C7F" w:rsidRPr="008529BE" w:rsidRDefault="00CB1C7F" w:rsidP="00B732FE">
      <w:pPr>
        <w:spacing w:after="0" w:line="360" w:lineRule="auto"/>
        <w:jc w:val="both"/>
        <w:rPr>
          <w:rFonts w:ascii="Times New Roman" w:hAnsi="Times New Roman" w:cs="Times New Roman"/>
          <w:b/>
          <w:color w:val="000000"/>
          <w:sz w:val="24"/>
          <w:szCs w:val="24"/>
        </w:rPr>
      </w:pPr>
      <w:r w:rsidRPr="00091F54">
        <w:rPr>
          <w:rStyle w:val="fontstyle01"/>
          <w:rFonts w:ascii="Times New Roman" w:hAnsi="Times New Roman" w:cs="Times New Roman"/>
          <w:b/>
          <w:sz w:val="24"/>
          <w:szCs w:val="24"/>
        </w:rPr>
        <w:t>Descriptive Statistic</w:t>
      </w:r>
      <w:r>
        <w:rPr>
          <w:rStyle w:val="fontstyle01"/>
          <w:rFonts w:ascii="Times New Roman" w:hAnsi="Times New Roman" w:cs="Times New Roman"/>
          <w:b/>
          <w:sz w:val="24"/>
          <w:szCs w:val="24"/>
        </w:rPr>
        <w:t>al Analyses</w:t>
      </w:r>
    </w:p>
    <w:p w14:paraId="1F3CC5AC" w14:textId="77777777" w:rsidR="00754607" w:rsidRPr="00754607" w:rsidRDefault="005E0719" w:rsidP="00B732FE">
      <w:pPr>
        <w:spacing w:after="0" w:line="360" w:lineRule="auto"/>
        <w:jc w:val="both"/>
        <w:rPr>
          <w:rStyle w:val="fontstyle01"/>
          <w:rFonts w:ascii="Times New Roman" w:eastAsia="Times New Roman" w:hAnsi="Times New Roman" w:cs="Times New Roman"/>
          <w:color w:val="auto"/>
          <w:sz w:val="24"/>
          <w:szCs w:val="24"/>
        </w:rPr>
        <w:sectPr w:rsidR="00754607" w:rsidRPr="00754607" w:rsidSect="0038445E">
          <w:type w:val="continuous"/>
          <w:pgSz w:w="12240" w:h="15840"/>
          <w:pgMar w:top="1440" w:right="1440" w:bottom="1440" w:left="1440" w:header="720" w:footer="720" w:gutter="0"/>
          <w:cols w:num="2" w:space="720"/>
          <w:docGrid w:linePitch="360"/>
        </w:sectPr>
      </w:pPr>
      <w:r>
        <w:rPr>
          <w:rFonts w:ascii="Times New Roman" w:eastAsia="Times New Roman" w:hAnsi="Times New Roman" w:cs="Times New Roman"/>
          <w:sz w:val="24"/>
          <w:szCs w:val="24"/>
        </w:rPr>
        <w:t>Findings presented in T</w:t>
      </w:r>
      <w:r w:rsidR="0009093B">
        <w:rPr>
          <w:rFonts w:ascii="Times New Roman" w:eastAsia="Times New Roman" w:hAnsi="Times New Roman" w:cs="Times New Roman"/>
          <w:sz w:val="24"/>
          <w:szCs w:val="24"/>
        </w:rPr>
        <w:t xml:space="preserve">able </w:t>
      </w:r>
      <w:r w:rsidR="00CB1C7F">
        <w:rPr>
          <w:rFonts w:ascii="Times New Roman" w:eastAsia="Times New Roman" w:hAnsi="Times New Roman" w:cs="Times New Roman"/>
          <w:sz w:val="24"/>
          <w:szCs w:val="24"/>
        </w:rPr>
        <w:t>1</w:t>
      </w:r>
      <w:r w:rsidR="00754607">
        <w:rPr>
          <w:rFonts w:ascii="Times New Roman" w:eastAsia="Times New Roman" w:hAnsi="Times New Roman" w:cs="Times New Roman"/>
          <w:sz w:val="24"/>
          <w:szCs w:val="24"/>
        </w:rPr>
        <w:t xml:space="preserve"> shows the influence of gender equality on girls’ enrollment rate in secondary schools.</w:t>
      </w:r>
    </w:p>
    <w:p w14:paraId="63ACF41E" w14:textId="77777777" w:rsidR="0038445E" w:rsidRDefault="0038445E" w:rsidP="00B732FE">
      <w:pPr>
        <w:pStyle w:val="Caption"/>
        <w:spacing w:line="360" w:lineRule="auto"/>
        <w:rPr>
          <w:b w:val="0"/>
          <w:i/>
          <w:sz w:val="24"/>
          <w:szCs w:val="24"/>
        </w:rPr>
        <w:sectPr w:rsidR="0038445E" w:rsidSect="002F26F5">
          <w:type w:val="continuous"/>
          <w:pgSz w:w="12240" w:h="15840"/>
          <w:pgMar w:top="1440" w:right="1440" w:bottom="1440" w:left="1440" w:header="720" w:footer="720" w:gutter="0"/>
          <w:cols w:space="720"/>
          <w:docGrid w:linePitch="360"/>
        </w:sectPr>
      </w:pPr>
      <w:bookmarkStart w:id="1" w:name="_Toc186357843"/>
    </w:p>
    <w:p w14:paraId="1048CE83" w14:textId="145F94DD" w:rsidR="00512B7C" w:rsidRDefault="002D5EAF" w:rsidP="00B732FE">
      <w:pPr>
        <w:pStyle w:val="Caption"/>
        <w:spacing w:line="360" w:lineRule="auto"/>
        <w:rPr>
          <w:bCs w:val="0"/>
          <w:sz w:val="24"/>
          <w:szCs w:val="24"/>
        </w:rPr>
      </w:pPr>
      <w:r>
        <w:rPr>
          <w:b w:val="0"/>
          <w:i/>
          <w:sz w:val="24"/>
          <w:szCs w:val="24"/>
        </w:rPr>
        <w:lastRenderedPageBreak/>
        <w:t xml:space="preserve">Table </w:t>
      </w:r>
      <w:r w:rsidR="00CB1C7F">
        <w:rPr>
          <w:b w:val="0"/>
          <w:i/>
          <w:sz w:val="24"/>
          <w:szCs w:val="24"/>
        </w:rPr>
        <w:t>1</w:t>
      </w:r>
      <w:r w:rsidR="00B01EA1" w:rsidRPr="0085407D">
        <w:rPr>
          <w:bCs w:val="0"/>
          <w:kern w:val="2"/>
          <w:sz w:val="24"/>
          <w:szCs w:val="24"/>
          <w:lang w:eastAsia="sw-KE"/>
        </w:rPr>
        <w:t xml:space="preserve"> Perceptions</w:t>
      </w:r>
      <w:r w:rsidR="00512B7C" w:rsidRPr="002D0D07">
        <w:rPr>
          <w:bCs w:val="0"/>
          <w:kern w:val="2"/>
          <w:sz w:val="24"/>
          <w:szCs w:val="24"/>
          <w:lang w:eastAsia="sw-KE"/>
        </w:rPr>
        <w:t xml:space="preserve"> of Students on </w:t>
      </w:r>
      <w:r w:rsidR="00512B7C" w:rsidRPr="002D0D07">
        <w:rPr>
          <w:bCs w:val="0"/>
          <w:sz w:val="24"/>
          <w:szCs w:val="24"/>
        </w:rPr>
        <w:t>Gender Equality (N= 260)</w:t>
      </w:r>
      <w:bookmarkEnd w:id="1"/>
    </w:p>
    <w:tbl>
      <w:tblPr>
        <w:tblW w:w="10060" w:type="dxa"/>
        <w:tblBorders>
          <w:top w:val="single" w:sz="4" w:space="0" w:color="auto"/>
          <w:bottom w:val="single" w:sz="4" w:space="0" w:color="auto"/>
        </w:tblBorders>
        <w:tblLayout w:type="fixed"/>
        <w:tblLook w:val="04A0" w:firstRow="1" w:lastRow="0" w:firstColumn="1" w:lastColumn="0" w:noHBand="0" w:noVBand="1"/>
      </w:tblPr>
      <w:tblGrid>
        <w:gridCol w:w="562"/>
        <w:gridCol w:w="2268"/>
        <w:gridCol w:w="851"/>
        <w:gridCol w:w="850"/>
        <w:gridCol w:w="993"/>
        <w:gridCol w:w="992"/>
        <w:gridCol w:w="992"/>
        <w:gridCol w:w="709"/>
        <w:gridCol w:w="709"/>
        <w:gridCol w:w="1134"/>
      </w:tblGrid>
      <w:tr w:rsidR="00B01EA1" w:rsidRPr="00D769C5" w14:paraId="44737372" w14:textId="77777777" w:rsidTr="00D769C5">
        <w:tc>
          <w:tcPr>
            <w:tcW w:w="562" w:type="dxa"/>
            <w:tcBorders>
              <w:bottom w:val="single" w:sz="4" w:space="0" w:color="auto"/>
            </w:tcBorders>
          </w:tcPr>
          <w:p w14:paraId="542736E7"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S/N</w:t>
            </w:r>
          </w:p>
        </w:tc>
        <w:tc>
          <w:tcPr>
            <w:tcW w:w="2268" w:type="dxa"/>
            <w:tcBorders>
              <w:bottom w:val="single" w:sz="4" w:space="0" w:color="auto"/>
            </w:tcBorders>
            <w:shd w:val="clear" w:color="auto" w:fill="auto"/>
          </w:tcPr>
          <w:p w14:paraId="7F722869"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Statements</w:t>
            </w:r>
          </w:p>
        </w:tc>
        <w:tc>
          <w:tcPr>
            <w:tcW w:w="851" w:type="dxa"/>
            <w:tcBorders>
              <w:bottom w:val="single" w:sz="4" w:space="0" w:color="auto"/>
            </w:tcBorders>
            <w:shd w:val="clear" w:color="auto" w:fill="auto"/>
          </w:tcPr>
          <w:p w14:paraId="598544F2"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STD</w:t>
            </w:r>
          </w:p>
        </w:tc>
        <w:tc>
          <w:tcPr>
            <w:tcW w:w="850" w:type="dxa"/>
            <w:tcBorders>
              <w:bottom w:val="single" w:sz="4" w:space="0" w:color="auto"/>
            </w:tcBorders>
            <w:shd w:val="clear" w:color="auto" w:fill="auto"/>
          </w:tcPr>
          <w:p w14:paraId="68B2DB0B"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D</w:t>
            </w:r>
          </w:p>
        </w:tc>
        <w:tc>
          <w:tcPr>
            <w:tcW w:w="993" w:type="dxa"/>
            <w:tcBorders>
              <w:bottom w:val="single" w:sz="4" w:space="0" w:color="auto"/>
            </w:tcBorders>
            <w:shd w:val="clear" w:color="auto" w:fill="auto"/>
          </w:tcPr>
          <w:p w14:paraId="308A1AC0"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N</w:t>
            </w:r>
          </w:p>
        </w:tc>
        <w:tc>
          <w:tcPr>
            <w:tcW w:w="992" w:type="dxa"/>
            <w:tcBorders>
              <w:bottom w:val="single" w:sz="4" w:space="0" w:color="auto"/>
            </w:tcBorders>
            <w:shd w:val="clear" w:color="auto" w:fill="auto"/>
          </w:tcPr>
          <w:p w14:paraId="3D3104DA"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A</w:t>
            </w:r>
          </w:p>
        </w:tc>
        <w:tc>
          <w:tcPr>
            <w:tcW w:w="992" w:type="dxa"/>
            <w:tcBorders>
              <w:bottom w:val="single" w:sz="4" w:space="0" w:color="auto"/>
            </w:tcBorders>
            <w:shd w:val="clear" w:color="auto" w:fill="auto"/>
          </w:tcPr>
          <w:p w14:paraId="1C93F584"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SA</w:t>
            </w:r>
          </w:p>
        </w:tc>
        <w:tc>
          <w:tcPr>
            <w:tcW w:w="709" w:type="dxa"/>
            <w:tcBorders>
              <w:bottom w:val="single" w:sz="4" w:space="0" w:color="auto"/>
            </w:tcBorders>
            <w:shd w:val="clear" w:color="auto" w:fill="auto"/>
          </w:tcPr>
          <w:p w14:paraId="733E8604"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Mean</w:t>
            </w:r>
          </w:p>
        </w:tc>
        <w:tc>
          <w:tcPr>
            <w:tcW w:w="709" w:type="dxa"/>
            <w:tcBorders>
              <w:bottom w:val="single" w:sz="4" w:space="0" w:color="auto"/>
            </w:tcBorders>
            <w:shd w:val="clear" w:color="auto" w:fill="auto"/>
          </w:tcPr>
          <w:p w14:paraId="40A84914"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SD</w:t>
            </w:r>
          </w:p>
        </w:tc>
        <w:tc>
          <w:tcPr>
            <w:tcW w:w="1134" w:type="dxa"/>
            <w:tcBorders>
              <w:bottom w:val="single" w:sz="4" w:space="0" w:color="auto"/>
            </w:tcBorders>
            <w:shd w:val="clear" w:color="auto" w:fill="auto"/>
          </w:tcPr>
          <w:p w14:paraId="13086766"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Remarks</w:t>
            </w:r>
          </w:p>
        </w:tc>
      </w:tr>
      <w:tr w:rsidR="00B01EA1" w:rsidRPr="00D769C5" w14:paraId="65854E0C" w14:textId="77777777" w:rsidTr="00D769C5">
        <w:trPr>
          <w:trHeight w:val="661"/>
        </w:trPr>
        <w:tc>
          <w:tcPr>
            <w:tcW w:w="562" w:type="dxa"/>
            <w:tcBorders>
              <w:top w:val="single" w:sz="4" w:space="0" w:color="auto"/>
              <w:bottom w:val="nil"/>
            </w:tcBorders>
          </w:tcPr>
          <w:p w14:paraId="1C20A98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w:t>
            </w:r>
          </w:p>
        </w:tc>
        <w:tc>
          <w:tcPr>
            <w:tcW w:w="2268" w:type="dxa"/>
            <w:tcBorders>
              <w:top w:val="single" w:sz="4" w:space="0" w:color="auto"/>
              <w:bottom w:val="nil"/>
            </w:tcBorders>
            <w:shd w:val="clear" w:color="auto" w:fill="auto"/>
          </w:tcPr>
          <w:p w14:paraId="2C14034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Gender sensitive language is used in this school.</w:t>
            </w:r>
          </w:p>
        </w:tc>
        <w:tc>
          <w:tcPr>
            <w:tcW w:w="851" w:type="dxa"/>
            <w:tcBorders>
              <w:top w:val="single" w:sz="4" w:space="0" w:color="auto"/>
              <w:bottom w:val="nil"/>
            </w:tcBorders>
            <w:shd w:val="clear" w:color="auto" w:fill="auto"/>
          </w:tcPr>
          <w:p w14:paraId="16CE518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19</w:t>
            </w:r>
          </w:p>
          <w:p w14:paraId="04195067"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(7.3%)</w:t>
            </w:r>
          </w:p>
        </w:tc>
        <w:tc>
          <w:tcPr>
            <w:tcW w:w="850" w:type="dxa"/>
            <w:tcBorders>
              <w:top w:val="single" w:sz="4" w:space="0" w:color="auto"/>
              <w:bottom w:val="nil"/>
            </w:tcBorders>
            <w:shd w:val="clear" w:color="auto" w:fill="auto"/>
          </w:tcPr>
          <w:p w14:paraId="5A2E3C09"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7</w:t>
            </w:r>
          </w:p>
          <w:p w14:paraId="3AC1FD1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(2.7%)</w:t>
            </w:r>
          </w:p>
          <w:p w14:paraId="3F170A56" w14:textId="77777777" w:rsidR="00B01EA1" w:rsidRPr="00D769C5" w:rsidRDefault="00B01EA1" w:rsidP="00B732FE">
            <w:pPr>
              <w:spacing w:after="0" w:line="360" w:lineRule="auto"/>
              <w:jc w:val="both"/>
              <w:rPr>
                <w:rFonts w:ascii="Times New Roman" w:eastAsia="Calibri" w:hAnsi="Times New Roman" w:cs="Times New Roman"/>
                <w:sz w:val="20"/>
                <w:szCs w:val="20"/>
              </w:rPr>
            </w:pPr>
          </w:p>
        </w:tc>
        <w:tc>
          <w:tcPr>
            <w:tcW w:w="993" w:type="dxa"/>
            <w:tcBorders>
              <w:top w:val="single" w:sz="4" w:space="0" w:color="auto"/>
              <w:bottom w:val="nil"/>
            </w:tcBorders>
            <w:shd w:val="clear" w:color="auto" w:fill="auto"/>
          </w:tcPr>
          <w:p w14:paraId="71F45ACF"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15</w:t>
            </w:r>
          </w:p>
          <w:p w14:paraId="464CA1A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(5.8%)</w:t>
            </w:r>
          </w:p>
        </w:tc>
        <w:tc>
          <w:tcPr>
            <w:tcW w:w="992" w:type="dxa"/>
            <w:tcBorders>
              <w:top w:val="single" w:sz="4" w:space="0" w:color="auto"/>
              <w:bottom w:val="nil"/>
            </w:tcBorders>
            <w:shd w:val="clear" w:color="auto" w:fill="auto"/>
          </w:tcPr>
          <w:p w14:paraId="04E321A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102</w:t>
            </w:r>
          </w:p>
          <w:p w14:paraId="188F835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(39.2%)</w:t>
            </w:r>
          </w:p>
          <w:p w14:paraId="54ADD7B3" w14:textId="77777777" w:rsidR="00B01EA1" w:rsidRPr="00D769C5" w:rsidRDefault="00B01EA1" w:rsidP="00B732FE">
            <w:pPr>
              <w:spacing w:after="0" w:line="360" w:lineRule="auto"/>
              <w:jc w:val="center"/>
              <w:rPr>
                <w:rFonts w:ascii="Times New Roman" w:eastAsia="Calibri" w:hAnsi="Times New Roman" w:cs="Times New Roman"/>
                <w:sz w:val="20"/>
                <w:szCs w:val="20"/>
              </w:rPr>
            </w:pPr>
          </w:p>
        </w:tc>
        <w:tc>
          <w:tcPr>
            <w:tcW w:w="992" w:type="dxa"/>
            <w:tcBorders>
              <w:top w:val="single" w:sz="4" w:space="0" w:color="auto"/>
              <w:bottom w:val="nil"/>
            </w:tcBorders>
            <w:shd w:val="clear" w:color="auto" w:fill="auto"/>
          </w:tcPr>
          <w:p w14:paraId="2C38D1F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116</w:t>
            </w:r>
          </w:p>
          <w:p w14:paraId="1ADC6FDD"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(44.6%)</w:t>
            </w:r>
          </w:p>
        </w:tc>
        <w:tc>
          <w:tcPr>
            <w:tcW w:w="709" w:type="dxa"/>
            <w:tcBorders>
              <w:top w:val="single" w:sz="4" w:space="0" w:color="auto"/>
              <w:bottom w:val="nil"/>
            </w:tcBorders>
            <w:shd w:val="clear" w:color="auto" w:fill="auto"/>
            <w:vAlign w:val="center"/>
          </w:tcPr>
          <w:p w14:paraId="15BC376C"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4.12</w:t>
            </w:r>
          </w:p>
        </w:tc>
        <w:tc>
          <w:tcPr>
            <w:tcW w:w="709" w:type="dxa"/>
            <w:tcBorders>
              <w:top w:val="single" w:sz="4" w:space="0" w:color="auto"/>
              <w:bottom w:val="nil"/>
            </w:tcBorders>
            <w:shd w:val="clear" w:color="auto" w:fill="auto"/>
            <w:vAlign w:val="center"/>
          </w:tcPr>
          <w:p w14:paraId="70A6DE4F"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1.124</w:t>
            </w:r>
          </w:p>
        </w:tc>
        <w:tc>
          <w:tcPr>
            <w:tcW w:w="1134" w:type="dxa"/>
            <w:tcBorders>
              <w:top w:val="single" w:sz="4" w:space="0" w:color="auto"/>
              <w:bottom w:val="nil"/>
            </w:tcBorders>
            <w:shd w:val="clear" w:color="auto" w:fill="auto"/>
          </w:tcPr>
          <w:p w14:paraId="4CAB5FC1"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380E2F0E" w14:textId="77777777" w:rsidTr="00D769C5">
        <w:tc>
          <w:tcPr>
            <w:tcW w:w="562" w:type="dxa"/>
            <w:tcBorders>
              <w:top w:val="nil"/>
              <w:bottom w:val="nil"/>
            </w:tcBorders>
          </w:tcPr>
          <w:p w14:paraId="4610018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w:t>
            </w:r>
          </w:p>
        </w:tc>
        <w:tc>
          <w:tcPr>
            <w:tcW w:w="2268" w:type="dxa"/>
            <w:tcBorders>
              <w:top w:val="nil"/>
              <w:bottom w:val="nil"/>
            </w:tcBorders>
            <w:shd w:val="clear" w:color="auto" w:fill="auto"/>
          </w:tcPr>
          <w:p w14:paraId="6F171904"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My school satisfies the needs of female students’ participation</w:t>
            </w:r>
          </w:p>
        </w:tc>
        <w:tc>
          <w:tcPr>
            <w:tcW w:w="851" w:type="dxa"/>
            <w:tcBorders>
              <w:top w:val="nil"/>
              <w:bottom w:val="nil"/>
            </w:tcBorders>
            <w:shd w:val="clear" w:color="auto" w:fill="auto"/>
          </w:tcPr>
          <w:p w14:paraId="64279627"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3</w:t>
            </w:r>
          </w:p>
          <w:p w14:paraId="5DB83EFE"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tc>
        <w:tc>
          <w:tcPr>
            <w:tcW w:w="850" w:type="dxa"/>
            <w:tcBorders>
              <w:top w:val="nil"/>
              <w:bottom w:val="nil"/>
            </w:tcBorders>
            <w:shd w:val="clear" w:color="auto" w:fill="auto"/>
          </w:tcPr>
          <w:p w14:paraId="0055748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22</w:t>
            </w:r>
          </w:p>
          <w:p w14:paraId="6964729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(8.5%)</w:t>
            </w:r>
          </w:p>
          <w:p w14:paraId="4D8C6432" w14:textId="77777777" w:rsidR="00B01EA1" w:rsidRPr="00D769C5" w:rsidRDefault="00B01EA1" w:rsidP="00B732FE">
            <w:pPr>
              <w:spacing w:after="0" w:line="360" w:lineRule="auto"/>
              <w:jc w:val="center"/>
              <w:rPr>
                <w:rFonts w:ascii="Times New Roman" w:eastAsia="Calibri" w:hAnsi="Times New Roman" w:cs="Times New Roman"/>
                <w:sz w:val="20"/>
                <w:szCs w:val="20"/>
              </w:rPr>
            </w:pPr>
          </w:p>
        </w:tc>
        <w:tc>
          <w:tcPr>
            <w:tcW w:w="993" w:type="dxa"/>
            <w:tcBorders>
              <w:top w:val="nil"/>
              <w:bottom w:val="nil"/>
            </w:tcBorders>
            <w:shd w:val="clear" w:color="auto" w:fill="auto"/>
          </w:tcPr>
          <w:p w14:paraId="1DEC9E8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20</w:t>
            </w:r>
          </w:p>
          <w:p w14:paraId="198A0B5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(7.7%)</w:t>
            </w:r>
          </w:p>
        </w:tc>
        <w:tc>
          <w:tcPr>
            <w:tcW w:w="992" w:type="dxa"/>
            <w:tcBorders>
              <w:top w:val="nil"/>
              <w:bottom w:val="nil"/>
            </w:tcBorders>
            <w:shd w:val="clear" w:color="auto" w:fill="auto"/>
          </w:tcPr>
          <w:p w14:paraId="5FE0E257"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111</w:t>
            </w:r>
          </w:p>
          <w:p w14:paraId="5157FB1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(42.7%)</w:t>
            </w:r>
          </w:p>
        </w:tc>
        <w:tc>
          <w:tcPr>
            <w:tcW w:w="992" w:type="dxa"/>
            <w:tcBorders>
              <w:top w:val="nil"/>
              <w:bottom w:val="nil"/>
            </w:tcBorders>
            <w:shd w:val="clear" w:color="auto" w:fill="auto"/>
          </w:tcPr>
          <w:p w14:paraId="3749B41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103</w:t>
            </w:r>
          </w:p>
          <w:p w14:paraId="218EE2C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(39.6%)</w:t>
            </w:r>
          </w:p>
        </w:tc>
        <w:tc>
          <w:tcPr>
            <w:tcW w:w="709" w:type="dxa"/>
            <w:tcBorders>
              <w:top w:val="nil"/>
              <w:bottom w:val="nil"/>
            </w:tcBorders>
            <w:shd w:val="clear" w:color="auto" w:fill="auto"/>
            <w:vAlign w:val="center"/>
          </w:tcPr>
          <w:p w14:paraId="019E888C"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4.12</w:t>
            </w:r>
          </w:p>
        </w:tc>
        <w:tc>
          <w:tcPr>
            <w:tcW w:w="709" w:type="dxa"/>
            <w:tcBorders>
              <w:top w:val="nil"/>
              <w:bottom w:val="nil"/>
            </w:tcBorders>
            <w:shd w:val="clear" w:color="auto" w:fill="auto"/>
            <w:vAlign w:val="center"/>
          </w:tcPr>
          <w:p w14:paraId="39E90254"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.953</w:t>
            </w:r>
          </w:p>
        </w:tc>
        <w:tc>
          <w:tcPr>
            <w:tcW w:w="1134" w:type="dxa"/>
            <w:tcBorders>
              <w:top w:val="nil"/>
              <w:bottom w:val="nil"/>
            </w:tcBorders>
            <w:shd w:val="clear" w:color="auto" w:fill="auto"/>
          </w:tcPr>
          <w:p w14:paraId="3B0B3572"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33788F03" w14:textId="77777777" w:rsidTr="00D769C5">
        <w:tc>
          <w:tcPr>
            <w:tcW w:w="562" w:type="dxa"/>
            <w:tcBorders>
              <w:top w:val="nil"/>
              <w:bottom w:val="nil"/>
            </w:tcBorders>
          </w:tcPr>
          <w:p w14:paraId="1330015B"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3.</w:t>
            </w:r>
          </w:p>
        </w:tc>
        <w:tc>
          <w:tcPr>
            <w:tcW w:w="2268" w:type="dxa"/>
            <w:tcBorders>
              <w:top w:val="nil"/>
              <w:bottom w:val="nil"/>
            </w:tcBorders>
            <w:shd w:val="clear" w:color="auto" w:fill="auto"/>
          </w:tcPr>
          <w:p w14:paraId="33B0CEA9"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The leadership of this school provide equal access to services for both boys and girls. </w:t>
            </w:r>
          </w:p>
        </w:tc>
        <w:tc>
          <w:tcPr>
            <w:tcW w:w="851" w:type="dxa"/>
            <w:tcBorders>
              <w:top w:val="nil"/>
              <w:bottom w:val="nil"/>
            </w:tcBorders>
            <w:shd w:val="clear" w:color="auto" w:fill="auto"/>
          </w:tcPr>
          <w:p w14:paraId="20F4F1A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w:t>
            </w:r>
          </w:p>
          <w:p w14:paraId="6FE664DC"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(3.1%)</w:t>
            </w:r>
          </w:p>
        </w:tc>
        <w:tc>
          <w:tcPr>
            <w:tcW w:w="850" w:type="dxa"/>
            <w:tcBorders>
              <w:top w:val="nil"/>
              <w:bottom w:val="nil"/>
            </w:tcBorders>
            <w:shd w:val="clear" w:color="auto" w:fill="auto"/>
          </w:tcPr>
          <w:p w14:paraId="74B82EAD"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p w14:paraId="58E38C4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(4.6%)</w:t>
            </w:r>
          </w:p>
        </w:tc>
        <w:tc>
          <w:tcPr>
            <w:tcW w:w="993" w:type="dxa"/>
            <w:tcBorders>
              <w:top w:val="nil"/>
              <w:bottom w:val="nil"/>
            </w:tcBorders>
            <w:shd w:val="clear" w:color="auto" w:fill="auto"/>
          </w:tcPr>
          <w:p w14:paraId="2C8922C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w:t>
            </w:r>
          </w:p>
          <w:p w14:paraId="24084C3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(3.8%)</w:t>
            </w:r>
          </w:p>
        </w:tc>
        <w:tc>
          <w:tcPr>
            <w:tcW w:w="992" w:type="dxa"/>
            <w:tcBorders>
              <w:top w:val="nil"/>
              <w:bottom w:val="nil"/>
            </w:tcBorders>
            <w:shd w:val="clear" w:color="auto" w:fill="auto"/>
          </w:tcPr>
          <w:p w14:paraId="6D5FBF1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69</w:t>
            </w:r>
          </w:p>
          <w:p w14:paraId="0D333758"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(26.5%)</w:t>
            </w:r>
          </w:p>
        </w:tc>
        <w:tc>
          <w:tcPr>
            <w:tcW w:w="992" w:type="dxa"/>
            <w:tcBorders>
              <w:top w:val="nil"/>
              <w:bottom w:val="nil"/>
            </w:tcBorders>
            <w:shd w:val="clear" w:color="auto" w:fill="auto"/>
          </w:tcPr>
          <w:p w14:paraId="00DED7DB"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161</w:t>
            </w:r>
          </w:p>
          <w:p w14:paraId="000B987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(61.9%)</w:t>
            </w:r>
          </w:p>
        </w:tc>
        <w:tc>
          <w:tcPr>
            <w:tcW w:w="709" w:type="dxa"/>
            <w:tcBorders>
              <w:top w:val="nil"/>
              <w:bottom w:val="nil"/>
            </w:tcBorders>
            <w:shd w:val="clear" w:color="auto" w:fill="auto"/>
            <w:vAlign w:val="center"/>
          </w:tcPr>
          <w:p w14:paraId="57E4F801"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4.40</w:t>
            </w:r>
          </w:p>
        </w:tc>
        <w:tc>
          <w:tcPr>
            <w:tcW w:w="709" w:type="dxa"/>
            <w:tcBorders>
              <w:top w:val="nil"/>
              <w:bottom w:val="nil"/>
            </w:tcBorders>
            <w:shd w:val="clear" w:color="auto" w:fill="auto"/>
            <w:vAlign w:val="center"/>
          </w:tcPr>
          <w:p w14:paraId="060B1D7D"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.983</w:t>
            </w:r>
          </w:p>
        </w:tc>
        <w:tc>
          <w:tcPr>
            <w:tcW w:w="1134" w:type="dxa"/>
            <w:tcBorders>
              <w:top w:val="nil"/>
              <w:bottom w:val="nil"/>
            </w:tcBorders>
            <w:shd w:val="clear" w:color="auto" w:fill="auto"/>
          </w:tcPr>
          <w:p w14:paraId="7376E693"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Very High </w:t>
            </w:r>
          </w:p>
        </w:tc>
      </w:tr>
      <w:tr w:rsidR="00B01EA1" w:rsidRPr="00D769C5" w14:paraId="656144C1" w14:textId="77777777" w:rsidTr="00D769C5">
        <w:tc>
          <w:tcPr>
            <w:tcW w:w="562" w:type="dxa"/>
            <w:tcBorders>
              <w:top w:val="nil"/>
              <w:bottom w:val="nil"/>
            </w:tcBorders>
          </w:tcPr>
          <w:p w14:paraId="3313387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4.</w:t>
            </w:r>
          </w:p>
        </w:tc>
        <w:tc>
          <w:tcPr>
            <w:tcW w:w="2268" w:type="dxa"/>
            <w:tcBorders>
              <w:top w:val="nil"/>
              <w:bottom w:val="nil"/>
            </w:tcBorders>
            <w:shd w:val="clear" w:color="auto" w:fill="auto"/>
          </w:tcPr>
          <w:p w14:paraId="0368EC12"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Girls are involved in decision making in this school.</w:t>
            </w:r>
          </w:p>
        </w:tc>
        <w:tc>
          <w:tcPr>
            <w:tcW w:w="851" w:type="dxa"/>
            <w:tcBorders>
              <w:top w:val="nil"/>
              <w:bottom w:val="nil"/>
            </w:tcBorders>
            <w:shd w:val="clear" w:color="auto" w:fill="auto"/>
          </w:tcPr>
          <w:p w14:paraId="6B3517A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8</w:t>
            </w:r>
          </w:p>
          <w:p w14:paraId="6EDA16F8"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(3.1%)</w:t>
            </w:r>
          </w:p>
        </w:tc>
        <w:tc>
          <w:tcPr>
            <w:tcW w:w="850" w:type="dxa"/>
            <w:tcBorders>
              <w:top w:val="nil"/>
              <w:bottom w:val="nil"/>
            </w:tcBorders>
            <w:shd w:val="clear" w:color="auto" w:fill="auto"/>
          </w:tcPr>
          <w:p w14:paraId="3FB0211A"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24</w:t>
            </w:r>
          </w:p>
          <w:p w14:paraId="62F2C9C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(9.3%)</w:t>
            </w:r>
          </w:p>
        </w:tc>
        <w:tc>
          <w:tcPr>
            <w:tcW w:w="993" w:type="dxa"/>
            <w:tcBorders>
              <w:top w:val="nil"/>
              <w:bottom w:val="nil"/>
            </w:tcBorders>
            <w:shd w:val="clear" w:color="auto" w:fill="auto"/>
          </w:tcPr>
          <w:p w14:paraId="173376E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44</w:t>
            </w:r>
          </w:p>
          <w:p w14:paraId="2C65BB8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(17.0%)</w:t>
            </w:r>
          </w:p>
        </w:tc>
        <w:tc>
          <w:tcPr>
            <w:tcW w:w="992" w:type="dxa"/>
            <w:tcBorders>
              <w:top w:val="nil"/>
              <w:bottom w:val="nil"/>
            </w:tcBorders>
            <w:shd w:val="clear" w:color="auto" w:fill="auto"/>
          </w:tcPr>
          <w:p w14:paraId="55D7558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79</w:t>
            </w:r>
          </w:p>
          <w:p w14:paraId="40F8D3B7"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(30.5%)</w:t>
            </w:r>
          </w:p>
        </w:tc>
        <w:tc>
          <w:tcPr>
            <w:tcW w:w="992" w:type="dxa"/>
            <w:tcBorders>
              <w:top w:val="nil"/>
              <w:bottom w:val="nil"/>
            </w:tcBorders>
            <w:shd w:val="clear" w:color="auto" w:fill="auto"/>
          </w:tcPr>
          <w:p w14:paraId="24DEEBB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104</w:t>
            </w:r>
          </w:p>
          <w:p w14:paraId="1706D72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(40.2%)</w:t>
            </w:r>
          </w:p>
        </w:tc>
        <w:tc>
          <w:tcPr>
            <w:tcW w:w="709" w:type="dxa"/>
            <w:tcBorders>
              <w:top w:val="nil"/>
              <w:bottom w:val="nil"/>
            </w:tcBorders>
            <w:shd w:val="clear" w:color="auto" w:fill="auto"/>
            <w:vAlign w:val="center"/>
          </w:tcPr>
          <w:p w14:paraId="7C79BC8D"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3.95</w:t>
            </w:r>
          </w:p>
        </w:tc>
        <w:tc>
          <w:tcPr>
            <w:tcW w:w="709" w:type="dxa"/>
            <w:tcBorders>
              <w:top w:val="nil"/>
              <w:bottom w:val="nil"/>
            </w:tcBorders>
            <w:shd w:val="clear" w:color="auto" w:fill="auto"/>
            <w:vAlign w:val="center"/>
          </w:tcPr>
          <w:p w14:paraId="654359F1"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1.106</w:t>
            </w:r>
          </w:p>
        </w:tc>
        <w:tc>
          <w:tcPr>
            <w:tcW w:w="1134" w:type="dxa"/>
            <w:tcBorders>
              <w:top w:val="nil"/>
              <w:bottom w:val="nil"/>
            </w:tcBorders>
            <w:shd w:val="clear" w:color="auto" w:fill="auto"/>
          </w:tcPr>
          <w:p w14:paraId="63DE61F8"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22C1E1B9" w14:textId="77777777" w:rsidTr="00D769C5">
        <w:tc>
          <w:tcPr>
            <w:tcW w:w="562" w:type="dxa"/>
            <w:tcBorders>
              <w:top w:val="nil"/>
              <w:bottom w:val="nil"/>
            </w:tcBorders>
          </w:tcPr>
          <w:p w14:paraId="5F977BE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5.</w:t>
            </w:r>
          </w:p>
        </w:tc>
        <w:tc>
          <w:tcPr>
            <w:tcW w:w="2268" w:type="dxa"/>
            <w:tcBorders>
              <w:top w:val="nil"/>
              <w:bottom w:val="nil"/>
            </w:tcBorders>
            <w:shd w:val="clear" w:color="auto" w:fill="auto"/>
          </w:tcPr>
          <w:p w14:paraId="517913F3"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Community sensitization to education improves students’ participation in my school.</w:t>
            </w:r>
          </w:p>
        </w:tc>
        <w:tc>
          <w:tcPr>
            <w:tcW w:w="851" w:type="dxa"/>
            <w:tcBorders>
              <w:top w:val="nil"/>
              <w:bottom w:val="nil"/>
            </w:tcBorders>
            <w:shd w:val="clear" w:color="auto" w:fill="auto"/>
          </w:tcPr>
          <w:p w14:paraId="2CFF329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7</w:t>
            </w:r>
          </w:p>
          <w:p w14:paraId="554562A3"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(2.7%)</w:t>
            </w:r>
          </w:p>
        </w:tc>
        <w:tc>
          <w:tcPr>
            <w:tcW w:w="850" w:type="dxa"/>
            <w:tcBorders>
              <w:top w:val="nil"/>
              <w:bottom w:val="nil"/>
            </w:tcBorders>
            <w:shd w:val="clear" w:color="auto" w:fill="auto"/>
          </w:tcPr>
          <w:p w14:paraId="61E5EA7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15</w:t>
            </w:r>
          </w:p>
          <w:p w14:paraId="4C61D77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(5.8%)</w:t>
            </w:r>
          </w:p>
        </w:tc>
        <w:tc>
          <w:tcPr>
            <w:tcW w:w="993" w:type="dxa"/>
            <w:tcBorders>
              <w:top w:val="nil"/>
              <w:bottom w:val="nil"/>
            </w:tcBorders>
            <w:shd w:val="clear" w:color="auto" w:fill="auto"/>
          </w:tcPr>
          <w:p w14:paraId="6093B517"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50</w:t>
            </w:r>
          </w:p>
          <w:p w14:paraId="1D970A6D"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(19.2%)</w:t>
            </w:r>
          </w:p>
        </w:tc>
        <w:tc>
          <w:tcPr>
            <w:tcW w:w="992" w:type="dxa"/>
            <w:tcBorders>
              <w:top w:val="nil"/>
              <w:bottom w:val="nil"/>
            </w:tcBorders>
            <w:shd w:val="clear" w:color="auto" w:fill="auto"/>
          </w:tcPr>
          <w:p w14:paraId="4677AD9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100</w:t>
            </w:r>
          </w:p>
          <w:p w14:paraId="784C852D"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(38.5%)</w:t>
            </w:r>
          </w:p>
        </w:tc>
        <w:tc>
          <w:tcPr>
            <w:tcW w:w="992" w:type="dxa"/>
            <w:tcBorders>
              <w:top w:val="nil"/>
              <w:bottom w:val="nil"/>
            </w:tcBorders>
            <w:shd w:val="clear" w:color="auto" w:fill="auto"/>
          </w:tcPr>
          <w:p w14:paraId="2A9DF61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88</w:t>
            </w:r>
          </w:p>
          <w:p w14:paraId="08F611F2"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(33.8%)</w:t>
            </w:r>
          </w:p>
        </w:tc>
        <w:tc>
          <w:tcPr>
            <w:tcW w:w="709" w:type="dxa"/>
            <w:tcBorders>
              <w:top w:val="nil"/>
              <w:bottom w:val="nil"/>
            </w:tcBorders>
            <w:shd w:val="clear" w:color="auto" w:fill="auto"/>
            <w:vAlign w:val="center"/>
          </w:tcPr>
          <w:p w14:paraId="631B18A0"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3.95</w:t>
            </w:r>
          </w:p>
        </w:tc>
        <w:tc>
          <w:tcPr>
            <w:tcW w:w="709" w:type="dxa"/>
            <w:tcBorders>
              <w:top w:val="nil"/>
              <w:bottom w:val="nil"/>
            </w:tcBorders>
            <w:shd w:val="clear" w:color="auto" w:fill="auto"/>
            <w:vAlign w:val="center"/>
          </w:tcPr>
          <w:p w14:paraId="218C964E"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1.003</w:t>
            </w:r>
          </w:p>
        </w:tc>
        <w:tc>
          <w:tcPr>
            <w:tcW w:w="1134" w:type="dxa"/>
            <w:tcBorders>
              <w:top w:val="nil"/>
              <w:bottom w:val="nil"/>
            </w:tcBorders>
            <w:shd w:val="clear" w:color="auto" w:fill="auto"/>
          </w:tcPr>
          <w:p w14:paraId="296F028F"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2A63D0B5" w14:textId="77777777" w:rsidTr="00D769C5">
        <w:tc>
          <w:tcPr>
            <w:tcW w:w="562" w:type="dxa"/>
            <w:tcBorders>
              <w:top w:val="nil"/>
              <w:bottom w:val="nil"/>
            </w:tcBorders>
          </w:tcPr>
          <w:p w14:paraId="02FD2B69"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6.</w:t>
            </w:r>
          </w:p>
        </w:tc>
        <w:tc>
          <w:tcPr>
            <w:tcW w:w="2268" w:type="dxa"/>
            <w:tcBorders>
              <w:top w:val="nil"/>
              <w:bottom w:val="nil"/>
            </w:tcBorders>
            <w:shd w:val="clear" w:color="auto" w:fill="auto"/>
          </w:tcPr>
          <w:p w14:paraId="45770D4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Equal treatment increases girls’ hope about education</w:t>
            </w:r>
          </w:p>
        </w:tc>
        <w:tc>
          <w:tcPr>
            <w:tcW w:w="851" w:type="dxa"/>
            <w:tcBorders>
              <w:top w:val="nil"/>
              <w:bottom w:val="nil"/>
            </w:tcBorders>
            <w:shd w:val="clear" w:color="auto" w:fill="auto"/>
          </w:tcPr>
          <w:p w14:paraId="0344FDC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4</w:t>
            </w:r>
          </w:p>
          <w:p w14:paraId="08C80FB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(1.5%)</w:t>
            </w:r>
          </w:p>
        </w:tc>
        <w:tc>
          <w:tcPr>
            <w:tcW w:w="850" w:type="dxa"/>
            <w:tcBorders>
              <w:top w:val="nil"/>
              <w:bottom w:val="nil"/>
            </w:tcBorders>
            <w:shd w:val="clear" w:color="auto" w:fill="auto"/>
          </w:tcPr>
          <w:p w14:paraId="7E0E915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p w14:paraId="0FEB264C"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(4.6%)</w:t>
            </w:r>
          </w:p>
        </w:tc>
        <w:tc>
          <w:tcPr>
            <w:tcW w:w="993" w:type="dxa"/>
            <w:tcBorders>
              <w:top w:val="nil"/>
              <w:bottom w:val="nil"/>
            </w:tcBorders>
            <w:shd w:val="clear" w:color="auto" w:fill="auto"/>
          </w:tcPr>
          <w:p w14:paraId="4B28D87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w:t>
            </w:r>
          </w:p>
          <w:p w14:paraId="7906646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(3.1%)</w:t>
            </w:r>
          </w:p>
        </w:tc>
        <w:tc>
          <w:tcPr>
            <w:tcW w:w="992" w:type="dxa"/>
            <w:tcBorders>
              <w:top w:val="nil"/>
              <w:bottom w:val="nil"/>
            </w:tcBorders>
            <w:shd w:val="clear" w:color="auto" w:fill="auto"/>
          </w:tcPr>
          <w:p w14:paraId="05462B8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79</w:t>
            </w:r>
          </w:p>
          <w:p w14:paraId="7000430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(30.4%)</w:t>
            </w:r>
          </w:p>
        </w:tc>
        <w:tc>
          <w:tcPr>
            <w:tcW w:w="992" w:type="dxa"/>
            <w:tcBorders>
              <w:top w:val="nil"/>
              <w:bottom w:val="nil"/>
            </w:tcBorders>
            <w:shd w:val="clear" w:color="auto" w:fill="auto"/>
          </w:tcPr>
          <w:p w14:paraId="5518B98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157</w:t>
            </w:r>
          </w:p>
          <w:p w14:paraId="3092B3FB"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(60.4%)</w:t>
            </w:r>
          </w:p>
        </w:tc>
        <w:tc>
          <w:tcPr>
            <w:tcW w:w="709" w:type="dxa"/>
            <w:tcBorders>
              <w:top w:val="nil"/>
              <w:bottom w:val="nil"/>
            </w:tcBorders>
            <w:shd w:val="clear" w:color="auto" w:fill="auto"/>
            <w:vAlign w:val="center"/>
          </w:tcPr>
          <w:p w14:paraId="070F7DA7"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4.43</w:t>
            </w:r>
          </w:p>
        </w:tc>
        <w:tc>
          <w:tcPr>
            <w:tcW w:w="709" w:type="dxa"/>
            <w:tcBorders>
              <w:top w:val="nil"/>
              <w:bottom w:val="nil"/>
            </w:tcBorders>
            <w:shd w:val="clear" w:color="auto" w:fill="auto"/>
            <w:vAlign w:val="center"/>
          </w:tcPr>
          <w:p w14:paraId="78541E7F"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.879</w:t>
            </w:r>
          </w:p>
        </w:tc>
        <w:tc>
          <w:tcPr>
            <w:tcW w:w="1134" w:type="dxa"/>
            <w:tcBorders>
              <w:top w:val="nil"/>
              <w:bottom w:val="nil"/>
            </w:tcBorders>
            <w:shd w:val="clear" w:color="auto" w:fill="auto"/>
          </w:tcPr>
          <w:p w14:paraId="4E22DC22"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Very High </w:t>
            </w:r>
          </w:p>
        </w:tc>
      </w:tr>
      <w:tr w:rsidR="00B01EA1" w:rsidRPr="00D769C5" w14:paraId="3171CECE" w14:textId="77777777" w:rsidTr="00D769C5">
        <w:tc>
          <w:tcPr>
            <w:tcW w:w="562" w:type="dxa"/>
            <w:tcBorders>
              <w:top w:val="nil"/>
              <w:bottom w:val="nil"/>
            </w:tcBorders>
          </w:tcPr>
          <w:p w14:paraId="524A66C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7.</w:t>
            </w:r>
          </w:p>
        </w:tc>
        <w:tc>
          <w:tcPr>
            <w:tcW w:w="2268" w:type="dxa"/>
            <w:tcBorders>
              <w:top w:val="nil"/>
              <w:bottom w:val="nil"/>
            </w:tcBorders>
            <w:shd w:val="clear" w:color="auto" w:fill="auto"/>
          </w:tcPr>
          <w:p w14:paraId="0B54BA08"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Girls are involved in leadership of this school</w:t>
            </w:r>
          </w:p>
        </w:tc>
        <w:tc>
          <w:tcPr>
            <w:tcW w:w="851" w:type="dxa"/>
            <w:tcBorders>
              <w:top w:val="nil"/>
              <w:bottom w:val="nil"/>
            </w:tcBorders>
            <w:shd w:val="clear" w:color="auto" w:fill="auto"/>
          </w:tcPr>
          <w:p w14:paraId="4C71760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5</w:t>
            </w:r>
          </w:p>
          <w:p w14:paraId="37CAFD4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(1.9%)</w:t>
            </w:r>
          </w:p>
        </w:tc>
        <w:tc>
          <w:tcPr>
            <w:tcW w:w="850" w:type="dxa"/>
            <w:tcBorders>
              <w:top w:val="nil"/>
              <w:bottom w:val="nil"/>
            </w:tcBorders>
            <w:shd w:val="clear" w:color="auto" w:fill="auto"/>
          </w:tcPr>
          <w:p w14:paraId="0163993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p w14:paraId="64F96F3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(4.6%)</w:t>
            </w:r>
          </w:p>
        </w:tc>
        <w:tc>
          <w:tcPr>
            <w:tcW w:w="993" w:type="dxa"/>
            <w:tcBorders>
              <w:top w:val="nil"/>
              <w:bottom w:val="nil"/>
            </w:tcBorders>
            <w:shd w:val="clear" w:color="auto" w:fill="auto"/>
          </w:tcPr>
          <w:p w14:paraId="502CF044"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9</w:t>
            </w:r>
          </w:p>
          <w:p w14:paraId="670A5118"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(3.5%)</w:t>
            </w:r>
          </w:p>
        </w:tc>
        <w:tc>
          <w:tcPr>
            <w:tcW w:w="992" w:type="dxa"/>
            <w:tcBorders>
              <w:top w:val="nil"/>
              <w:bottom w:val="nil"/>
            </w:tcBorders>
            <w:shd w:val="clear" w:color="auto" w:fill="auto"/>
          </w:tcPr>
          <w:p w14:paraId="11D5F13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79</w:t>
            </w:r>
          </w:p>
          <w:p w14:paraId="5794A41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(29.2%)</w:t>
            </w:r>
          </w:p>
        </w:tc>
        <w:tc>
          <w:tcPr>
            <w:tcW w:w="992" w:type="dxa"/>
            <w:tcBorders>
              <w:top w:val="nil"/>
              <w:bottom w:val="nil"/>
            </w:tcBorders>
            <w:shd w:val="clear" w:color="auto" w:fill="auto"/>
          </w:tcPr>
          <w:p w14:paraId="7C684558"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158</w:t>
            </w:r>
          </w:p>
          <w:p w14:paraId="4739413F"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(60.8%)</w:t>
            </w:r>
          </w:p>
        </w:tc>
        <w:tc>
          <w:tcPr>
            <w:tcW w:w="709" w:type="dxa"/>
            <w:tcBorders>
              <w:top w:val="nil"/>
              <w:bottom w:val="nil"/>
            </w:tcBorders>
            <w:shd w:val="clear" w:color="auto" w:fill="auto"/>
            <w:vAlign w:val="center"/>
          </w:tcPr>
          <w:p w14:paraId="7A88E686"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4.42</w:t>
            </w:r>
          </w:p>
        </w:tc>
        <w:tc>
          <w:tcPr>
            <w:tcW w:w="709" w:type="dxa"/>
            <w:tcBorders>
              <w:top w:val="nil"/>
              <w:bottom w:val="nil"/>
            </w:tcBorders>
            <w:shd w:val="clear" w:color="auto" w:fill="auto"/>
            <w:vAlign w:val="center"/>
          </w:tcPr>
          <w:p w14:paraId="71009E4F"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.908</w:t>
            </w:r>
          </w:p>
        </w:tc>
        <w:tc>
          <w:tcPr>
            <w:tcW w:w="1134" w:type="dxa"/>
            <w:tcBorders>
              <w:top w:val="nil"/>
              <w:bottom w:val="nil"/>
            </w:tcBorders>
            <w:shd w:val="clear" w:color="auto" w:fill="auto"/>
          </w:tcPr>
          <w:p w14:paraId="3FC631D0"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Very High </w:t>
            </w:r>
          </w:p>
        </w:tc>
      </w:tr>
      <w:tr w:rsidR="00B01EA1" w:rsidRPr="00D769C5" w14:paraId="40A2114A" w14:textId="77777777" w:rsidTr="00D769C5">
        <w:trPr>
          <w:trHeight w:val="647"/>
        </w:trPr>
        <w:tc>
          <w:tcPr>
            <w:tcW w:w="562" w:type="dxa"/>
            <w:tcBorders>
              <w:top w:val="nil"/>
              <w:bottom w:val="single" w:sz="4" w:space="0" w:color="auto"/>
            </w:tcBorders>
          </w:tcPr>
          <w:p w14:paraId="7617914B"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8.</w:t>
            </w:r>
          </w:p>
        </w:tc>
        <w:tc>
          <w:tcPr>
            <w:tcW w:w="2268" w:type="dxa"/>
            <w:tcBorders>
              <w:top w:val="nil"/>
              <w:bottom w:val="single" w:sz="4" w:space="0" w:color="auto"/>
            </w:tcBorders>
            <w:shd w:val="clear" w:color="auto" w:fill="auto"/>
          </w:tcPr>
          <w:p w14:paraId="012DEFFF"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Both girls and boys are provided equal access</w:t>
            </w:r>
          </w:p>
        </w:tc>
        <w:tc>
          <w:tcPr>
            <w:tcW w:w="851" w:type="dxa"/>
            <w:tcBorders>
              <w:top w:val="nil"/>
              <w:bottom w:val="single" w:sz="4" w:space="0" w:color="auto"/>
            </w:tcBorders>
            <w:shd w:val="clear" w:color="auto" w:fill="auto"/>
          </w:tcPr>
          <w:p w14:paraId="5A5CC5F4"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w:t>
            </w:r>
          </w:p>
          <w:p w14:paraId="342303F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(3.8%)</w:t>
            </w:r>
          </w:p>
        </w:tc>
        <w:tc>
          <w:tcPr>
            <w:tcW w:w="850" w:type="dxa"/>
            <w:tcBorders>
              <w:top w:val="nil"/>
              <w:bottom w:val="single" w:sz="4" w:space="0" w:color="auto"/>
            </w:tcBorders>
            <w:shd w:val="clear" w:color="auto" w:fill="auto"/>
          </w:tcPr>
          <w:p w14:paraId="3E5B4C3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17</w:t>
            </w:r>
          </w:p>
          <w:p w14:paraId="4F87594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(6.5%)</w:t>
            </w:r>
          </w:p>
        </w:tc>
        <w:tc>
          <w:tcPr>
            <w:tcW w:w="993" w:type="dxa"/>
            <w:tcBorders>
              <w:top w:val="nil"/>
              <w:bottom w:val="single" w:sz="4" w:space="0" w:color="auto"/>
            </w:tcBorders>
            <w:shd w:val="clear" w:color="auto" w:fill="auto"/>
          </w:tcPr>
          <w:p w14:paraId="1679ED30"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9</w:t>
            </w:r>
          </w:p>
          <w:p w14:paraId="5E8D1AD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(3.5%)</w:t>
            </w:r>
          </w:p>
        </w:tc>
        <w:tc>
          <w:tcPr>
            <w:tcW w:w="992" w:type="dxa"/>
            <w:tcBorders>
              <w:top w:val="nil"/>
              <w:bottom w:val="single" w:sz="4" w:space="0" w:color="auto"/>
            </w:tcBorders>
            <w:shd w:val="clear" w:color="auto" w:fill="auto"/>
          </w:tcPr>
          <w:p w14:paraId="664B59C2"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77</w:t>
            </w:r>
          </w:p>
          <w:p w14:paraId="73BF556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(29.6%)</w:t>
            </w:r>
          </w:p>
        </w:tc>
        <w:tc>
          <w:tcPr>
            <w:tcW w:w="992" w:type="dxa"/>
            <w:tcBorders>
              <w:top w:val="nil"/>
              <w:bottom w:val="single" w:sz="4" w:space="0" w:color="auto"/>
            </w:tcBorders>
            <w:shd w:val="clear" w:color="auto" w:fill="auto"/>
          </w:tcPr>
          <w:p w14:paraId="0E3BEF7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147</w:t>
            </w:r>
          </w:p>
          <w:p w14:paraId="2C5D7D52"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(56.5%)</w:t>
            </w:r>
          </w:p>
        </w:tc>
        <w:tc>
          <w:tcPr>
            <w:tcW w:w="709" w:type="dxa"/>
            <w:tcBorders>
              <w:top w:val="nil"/>
              <w:bottom w:val="single" w:sz="4" w:space="0" w:color="auto"/>
            </w:tcBorders>
            <w:shd w:val="clear" w:color="auto" w:fill="auto"/>
            <w:vAlign w:val="center"/>
          </w:tcPr>
          <w:p w14:paraId="199D8045"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4.27</w:t>
            </w:r>
          </w:p>
        </w:tc>
        <w:tc>
          <w:tcPr>
            <w:tcW w:w="709" w:type="dxa"/>
            <w:tcBorders>
              <w:top w:val="nil"/>
              <w:bottom w:val="single" w:sz="4" w:space="0" w:color="auto"/>
            </w:tcBorders>
            <w:shd w:val="clear" w:color="auto" w:fill="auto"/>
            <w:vAlign w:val="center"/>
          </w:tcPr>
          <w:p w14:paraId="4A4E8380"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1.064</w:t>
            </w:r>
          </w:p>
        </w:tc>
        <w:tc>
          <w:tcPr>
            <w:tcW w:w="1134" w:type="dxa"/>
            <w:tcBorders>
              <w:top w:val="nil"/>
              <w:bottom w:val="single" w:sz="4" w:space="0" w:color="auto"/>
            </w:tcBorders>
            <w:shd w:val="clear" w:color="auto" w:fill="auto"/>
          </w:tcPr>
          <w:p w14:paraId="41179453"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High </w:t>
            </w:r>
          </w:p>
        </w:tc>
      </w:tr>
      <w:tr w:rsidR="00B01EA1" w:rsidRPr="00D769C5" w14:paraId="21C1CD06" w14:textId="77777777" w:rsidTr="00D769C5">
        <w:trPr>
          <w:trHeight w:val="368"/>
        </w:trPr>
        <w:tc>
          <w:tcPr>
            <w:tcW w:w="562" w:type="dxa"/>
            <w:tcBorders>
              <w:top w:val="single" w:sz="4" w:space="0" w:color="auto"/>
            </w:tcBorders>
          </w:tcPr>
          <w:p w14:paraId="247E1542" w14:textId="77777777" w:rsidR="00B01EA1" w:rsidRPr="00D769C5" w:rsidRDefault="00B01EA1" w:rsidP="00B732FE">
            <w:pPr>
              <w:spacing w:after="0" w:line="360" w:lineRule="auto"/>
              <w:jc w:val="both"/>
              <w:rPr>
                <w:rFonts w:ascii="Times New Roman" w:eastAsia="Calibri" w:hAnsi="Times New Roman" w:cs="Times New Roman"/>
                <w:b/>
                <w:sz w:val="24"/>
                <w:szCs w:val="24"/>
              </w:rPr>
            </w:pPr>
          </w:p>
        </w:tc>
        <w:tc>
          <w:tcPr>
            <w:tcW w:w="2268" w:type="dxa"/>
            <w:tcBorders>
              <w:top w:val="single" w:sz="4" w:space="0" w:color="auto"/>
            </w:tcBorders>
            <w:shd w:val="clear" w:color="auto" w:fill="auto"/>
          </w:tcPr>
          <w:p w14:paraId="1402427F" w14:textId="77777777" w:rsidR="00B01EA1" w:rsidRPr="00D769C5" w:rsidRDefault="00B01EA1" w:rsidP="00B732FE">
            <w:pPr>
              <w:spacing w:after="0" w:line="360" w:lineRule="auto"/>
              <w:jc w:val="both"/>
              <w:rPr>
                <w:rFonts w:ascii="Times New Roman" w:eastAsia="Calibri" w:hAnsi="Times New Roman" w:cs="Times New Roman"/>
                <w:b/>
                <w:sz w:val="24"/>
                <w:szCs w:val="24"/>
              </w:rPr>
            </w:pPr>
            <w:r w:rsidRPr="00D769C5">
              <w:rPr>
                <w:rFonts w:ascii="Times New Roman" w:eastAsia="Calibri" w:hAnsi="Times New Roman" w:cs="Times New Roman"/>
                <w:b/>
                <w:sz w:val="24"/>
                <w:szCs w:val="24"/>
              </w:rPr>
              <w:t xml:space="preserve">Grand Mean/SD                                                          </w:t>
            </w:r>
          </w:p>
        </w:tc>
        <w:tc>
          <w:tcPr>
            <w:tcW w:w="851" w:type="dxa"/>
            <w:tcBorders>
              <w:top w:val="single" w:sz="4" w:space="0" w:color="auto"/>
            </w:tcBorders>
            <w:shd w:val="clear" w:color="auto" w:fill="auto"/>
          </w:tcPr>
          <w:p w14:paraId="35BDBA7C"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850" w:type="dxa"/>
            <w:tcBorders>
              <w:top w:val="single" w:sz="4" w:space="0" w:color="auto"/>
            </w:tcBorders>
            <w:shd w:val="clear" w:color="auto" w:fill="auto"/>
          </w:tcPr>
          <w:p w14:paraId="4AA7F14D"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993" w:type="dxa"/>
            <w:tcBorders>
              <w:top w:val="single" w:sz="4" w:space="0" w:color="auto"/>
            </w:tcBorders>
            <w:shd w:val="clear" w:color="auto" w:fill="auto"/>
          </w:tcPr>
          <w:p w14:paraId="27E0F10A"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992" w:type="dxa"/>
            <w:tcBorders>
              <w:top w:val="single" w:sz="4" w:space="0" w:color="auto"/>
            </w:tcBorders>
            <w:shd w:val="clear" w:color="auto" w:fill="auto"/>
          </w:tcPr>
          <w:p w14:paraId="7B8BCCD8"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992" w:type="dxa"/>
            <w:tcBorders>
              <w:top w:val="single" w:sz="4" w:space="0" w:color="auto"/>
            </w:tcBorders>
            <w:shd w:val="clear" w:color="auto" w:fill="auto"/>
          </w:tcPr>
          <w:p w14:paraId="3D3E6DDC"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709" w:type="dxa"/>
            <w:tcBorders>
              <w:top w:val="single" w:sz="4" w:space="0" w:color="auto"/>
            </w:tcBorders>
            <w:shd w:val="clear" w:color="auto" w:fill="auto"/>
            <w:vAlign w:val="center"/>
          </w:tcPr>
          <w:p w14:paraId="1F096046" w14:textId="77777777" w:rsidR="00B01EA1" w:rsidRPr="00D769C5" w:rsidRDefault="00B01EA1" w:rsidP="00B732FE">
            <w:pPr>
              <w:spacing w:after="0" w:line="360" w:lineRule="auto"/>
              <w:jc w:val="right"/>
              <w:rPr>
                <w:rFonts w:ascii="Times New Roman" w:eastAsia="Times New Roman" w:hAnsi="Times New Roman" w:cs="Times New Roman"/>
                <w:b/>
                <w:color w:val="000000"/>
                <w:sz w:val="24"/>
                <w:szCs w:val="24"/>
              </w:rPr>
            </w:pPr>
            <w:r w:rsidRPr="00D769C5">
              <w:rPr>
                <w:rFonts w:ascii="Times New Roman" w:eastAsia="Times New Roman" w:hAnsi="Times New Roman" w:cs="Times New Roman"/>
                <w:b/>
                <w:color w:val="000000"/>
                <w:sz w:val="24"/>
                <w:szCs w:val="24"/>
              </w:rPr>
              <w:t>4.20</w:t>
            </w:r>
          </w:p>
        </w:tc>
        <w:tc>
          <w:tcPr>
            <w:tcW w:w="709" w:type="dxa"/>
            <w:tcBorders>
              <w:top w:val="single" w:sz="4" w:space="0" w:color="auto"/>
            </w:tcBorders>
            <w:shd w:val="clear" w:color="auto" w:fill="auto"/>
            <w:vAlign w:val="center"/>
          </w:tcPr>
          <w:p w14:paraId="45BF1E9E" w14:textId="77777777" w:rsidR="00B01EA1" w:rsidRPr="00D769C5" w:rsidRDefault="00B01EA1" w:rsidP="00B732FE">
            <w:pPr>
              <w:spacing w:after="0" w:line="360" w:lineRule="auto"/>
              <w:jc w:val="right"/>
              <w:rPr>
                <w:rFonts w:ascii="Times New Roman" w:eastAsia="Times New Roman" w:hAnsi="Times New Roman" w:cs="Times New Roman"/>
                <w:b/>
                <w:color w:val="000000"/>
                <w:sz w:val="24"/>
                <w:szCs w:val="24"/>
              </w:rPr>
            </w:pPr>
            <w:r w:rsidRPr="00D769C5">
              <w:rPr>
                <w:rFonts w:ascii="Times New Roman" w:eastAsia="Times New Roman" w:hAnsi="Times New Roman" w:cs="Times New Roman"/>
                <w:b/>
                <w:color w:val="000000"/>
                <w:sz w:val="24"/>
                <w:szCs w:val="24"/>
              </w:rPr>
              <w:t>1.00</w:t>
            </w:r>
          </w:p>
        </w:tc>
        <w:tc>
          <w:tcPr>
            <w:tcW w:w="1134" w:type="dxa"/>
            <w:tcBorders>
              <w:top w:val="single" w:sz="4" w:space="0" w:color="auto"/>
            </w:tcBorders>
            <w:shd w:val="clear" w:color="auto" w:fill="auto"/>
          </w:tcPr>
          <w:p w14:paraId="50066E49" w14:textId="77777777" w:rsidR="00B01EA1" w:rsidRPr="00D769C5" w:rsidRDefault="00B01EA1" w:rsidP="00B732FE">
            <w:pPr>
              <w:spacing w:line="360" w:lineRule="auto"/>
              <w:jc w:val="both"/>
              <w:rPr>
                <w:rFonts w:ascii="Times New Roman" w:eastAsia="Calibri" w:hAnsi="Times New Roman" w:cs="Times New Roman"/>
                <w:b/>
                <w:sz w:val="24"/>
                <w:szCs w:val="24"/>
              </w:rPr>
            </w:pPr>
          </w:p>
        </w:tc>
      </w:tr>
    </w:tbl>
    <w:p w14:paraId="22E3253D" w14:textId="77777777" w:rsidR="00B01EA1" w:rsidRPr="00B01EA1" w:rsidRDefault="00B01EA1" w:rsidP="00B732FE">
      <w:pPr>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Note: 1-1.8</w:t>
      </w:r>
      <w:r w:rsidRPr="00B01EA1">
        <w:rPr>
          <w:rFonts w:ascii="Times New Roman" w:eastAsia="Calibri" w:hAnsi="Times New Roman" w:cs="Times New Roman"/>
          <w:sz w:val="24"/>
          <w:szCs w:val="24"/>
        </w:rPr>
        <w:t>(Very Weak),</w:t>
      </w:r>
      <w:r w:rsidRPr="00B01EA1">
        <w:rPr>
          <w:rFonts w:ascii="Times New Roman" w:eastAsia="Calibri" w:hAnsi="Times New Roman" w:cs="Times New Roman"/>
          <w:b/>
          <w:sz w:val="24"/>
          <w:szCs w:val="24"/>
        </w:rPr>
        <w:t xml:space="preserve"> 1.9-2.6</w:t>
      </w:r>
      <w:r w:rsidRPr="00B01EA1">
        <w:rPr>
          <w:rFonts w:ascii="Times New Roman" w:eastAsia="Calibri" w:hAnsi="Times New Roman" w:cs="Times New Roman"/>
          <w:sz w:val="24"/>
          <w:szCs w:val="24"/>
        </w:rPr>
        <w:t>(Low),</w:t>
      </w:r>
      <w:r w:rsidRPr="00B01EA1">
        <w:rPr>
          <w:rFonts w:ascii="Times New Roman" w:eastAsia="Calibri" w:hAnsi="Times New Roman" w:cs="Times New Roman"/>
          <w:b/>
          <w:sz w:val="24"/>
          <w:szCs w:val="24"/>
        </w:rPr>
        <w:t xml:space="preserve"> 2.7-3.4</w:t>
      </w:r>
      <w:r w:rsidRPr="00B01EA1">
        <w:rPr>
          <w:rFonts w:ascii="Times New Roman" w:eastAsia="Calibri" w:hAnsi="Times New Roman" w:cs="Times New Roman"/>
          <w:sz w:val="24"/>
          <w:szCs w:val="24"/>
        </w:rPr>
        <w:t>(Average),</w:t>
      </w:r>
      <w:r w:rsidRPr="00B01EA1">
        <w:rPr>
          <w:rFonts w:ascii="Times New Roman" w:eastAsia="Calibri" w:hAnsi="Times New Roman" w:cs="Times New Roman"/>
          <w:b/>
          <w:sz w:val="24"/>
          <w:szCs w:val="24"/>
        </w:rPr>
        <w:t xml:space="preserve"> 3.5-4.2</w:t>
      </w:r>
      <w:r w:rsidRPr="00B01EA1">
        <w:rPr>
          <w:rFonts w:ascii="Times New Roman" w:eastAsia="Calibri" w:hAnsi="Times New Roman" w:cs="Times New Roman"/>
          <w:sz w:val="24"/>
          <w:szCs w:val="24"/>
        </w:rPr>
        <w:t>(High)</w:t>
      </w:r>
      <w:r w:rsidRPr="00B01EA1">
        <w:rPr>
          <w:rFonts w:ascii="Times New Roman" w:eastAsia="Calibri" w:hAnsi="Times New Roman" w:cs="Times New Roman"/>
          <w:b/>
          <w:sz w:val="24"/>
          <w:szCs w:val="24"/>
        </w:rPr>
        <w:t xml:space="preserve"> &amp; 4.3-5</w:t>
      </w:r>
      <w:r w:rsidRPr="00B01EA1">
        <w:rPr>
          <w:rFonts w:ascii="Times New Roman" w:eastAsia="Calibri" w:hAnsi="Times New Roman" w:cs="Times New Roman"/>
          <w:sz w:val="24"/>
          <w:szCs w:val="24"/>
        </w:rPr>
        <w:t xml:space="preserve">(Very High) (Nassar </w:t>
      </w:r>
      <w:r w:rsidR="001D3B83">
        <w:rPr>
          <w:rFonts w:ascii="Times New Roman" w:eastAsia="Calibri" w:hAnsi="Times New Roman" w:cs="Times New Roman"/>
          <w:i/>
          <w:sz w:val="24"/>
          <w:szCs w:val="24"/>
        </w:rPr>
        <w:t>et al.</w:t>
      </w:r>
      <w:r w:rsidRPr="00B01EA1">
        <w:rPr>
          <w:rFonts w:ascii="Times New Roman" w:eastAsia="Calibri" w:hAnsi="Times New Roman" w:cs="Times New Roman"/>
          <w:sz w:val="24"/>
          <w:szCs w:val="24"/>
        </w:rPr>
        <w:t xml:space="preserve"> 2021).</w:t>
      </w:r>
    </w:p>
    <w:p w14:paraId="7F1868A0" w14:textId="77777777" w:rsidR="00B01EA1" w:rsidRPr="00B01EA1" w:rsidRDefault="00B01EA1" w:rsidP="00B732FE">
      <w:pPr>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Key</w:t>
      </w:r>
      <w:r w:rsidRPr="00B01EA1">
        <w:rPr>
          <w:rFonts w:ascii="Times New Roman" w:eastAsia="Calibri" w:hAnsi="Times New Roman" w:cs="Times New Roman"/>
          <w:sz w:val="24"/>
          <w:szCs w:val="24"/>
        </w:rPr>
        <w:t>: 1 = Strongly Disagree, 2 =Disagree, 3 = Neutral, 4 =Agree, 5 = Strongly Agree.</w:t>
      </w:r>
    </w:p>
    <w:p w14:paraId="6672CFAA" w14:textId="77777777" w:rsidR="00B01EA1" w:rsidRPr="00B01EA1" w:rsidRDefault="00B01EA1" w:rsidP="00B732FE">
      <w:pPr>
        <w:tabs>
          <w:tab w:val="left" w:pos="3105"/>
        </w:tabs>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SD=</w:t>
      </w:r>
      <w:r w:rsidRPr="00B01EA1">
        <w:rPr>
          <w:rFonts w:ascii="Times New Roman" w:eastAsia="Calibri" w:hAnsi="Times New Roman" w:cs="Times New Roman"/>
          <w:sz w:val="24"/>
          <w:szCs w:val="24"/>
        </w:rPr>
        <w:t xml:space="preserve"> Standard Deviations.</w:t>
      </w:r>
      <w:r w:rsidRPr="00B01EA1">
        <w:rPr>
          <w:rFonts w:ascii="Times New Roman" w:eastAsia="Calibri" w:hAnsi="Times New Roman" w:cs="Times New Roman"/>
          <w:sz w:val="24"/>
          <w:szCs w:val="24"/>
        </w:rPr>
        <w:tab/>
      </w:r>
    </w:p>
    <w:p w14:paraId="5D958B3E" w14:textId="77777777" w:rsidR="00B01EA1" w:rsidRPr="00B01EA1" w:rsidRDefault="00B01EA1" w:rsidP="00B732FE">
      <w:pPr>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Source:</w:t>
      </w:r>
      <w:r w:rsidR="00A763FC">
        <w:rPr>
          <w:rFonts w:ascii="Times New Roman" w:eastAsia="Calibri" w:hAnsi="Times New Roman" w:cs="Times New Roman"/>
          <w:sz w:val="24"/>
          <w:szCs w:val="24"/>
        </w:rPr>
        <w:t xml:space="preserve"> Field Data (2024</w:t>
      </w:r>
      <w:r w:rsidRPr="00B01EA1">
        <w:rPr>
          <w:rFonts w:ascii="Times New Roman" w:eastAsia="Calibri" w:hAnsi="Times New Roman" w:cs="Times New Roman"/>
          <w:sz w:val="24"/>
          <w:szCs w:val="24"/>
        </w:rPr>
        <w:t>).</w:t>
      </w:r>
    </w:p>
    <w:p w14:paraId="4D0BA53C" w14:textId="77777777" w:rsidR="00554AEB" w:rsidRDefault="00554AEB" w:rsidP="00B732FE">
      <w:pPr>
        <w:spacing w:line="360" w:lineRule="auto"/>
        <w:jc w:val="both"/>
        <w:rPr>
          <w:rFonts w:ascii="Times New Roman" w:hAnsi="Times New Roman" w:cs="Times New Roman"/>
          <w:sz w:val="24"/>
          <w:szCs w:val="24"/>
        </w:rPr>
        <w:sectPr w:rsidR="00554AEB" w:rsidSect="002F26F5">
          <w:type w:val="continuous"/>
          <w:pgSz w:w="12240" w:h="15840"/>
          <w:pgMar w:top="1440" w:right="1440" w:bottom="1440" w:left="1440" w:header="720" w:footer="720" w:gutter="0"/>
          <w:cols w:space="720"/>
          <w:docGrid w:linePitch="360"/>
        </w:sectPr>
      </w:pPr>
    </w:p>
    <w:p w14:paraId="52CED539" w14:textId="77777777" w:rsidR="00CB1C7F" w:rsidRPr="00EA0BF8" w:rsidRDefault="00CB1C7F"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lastRenderedPageBreak/>
        <w:t xml:space="preserve">The findings of this study revealed a grand mean of 4.2 and a standard deviation of 1.00, indicating agreement with gender equality practices in public secondary schools. While most respondents </w:t>
      </w:r>
      <w:r>
        <w:rPr>
          <w:rFonts w:ascii="Times New Roman" w:hAnsi="Times New Roman" w:cs="Times New Roman"/>
          <w:sz w:val="24"/>
          <w:szCs w:val="24"/>
        </w:rPr>
        <w:t xml:space="preserve">were in </w:t>
      </w:r>
      <w:r w:rsidRPr="00EA0BF8">
        <w:rPr>
          <w:rFonts w:ascii="Times New Roman" w:hAnsi="Times New Roman" w:cs="Times New Roman"/>
          <w:sz w:val="24"/>
          <w:szCs w:val="24"/>
        </w:rPr>
        <w:t xml:space="preserve">support </w:t>
      </w:r>
      <w:r>
        <w:rPr>
          <w:rFonts w:ascii="Times New Roman" w:hAnsi="Times New Roman" w:cs="Times New Roman"/>
          <w:sz w:val="24"/>
          <w:szCs w:val="24"/>
        </w:rPr>
        <w:t xml:space="preserve">of </w:t>
      </w:r>
      <w:r w:rsidRPr="00EA0BF8">
        <w:rPr>
          <w:rFonts w:ascii="Times New Roman" w:hAnsi="Times New Roman" w:cs="Times New Roman"/>
          <w:sz w:val="24"/>
          <w:szCs w:val="24"/>
        </w:rPr>
        <w:t>th</w:t>
      </w:r>
      <w:r>
        <w:rPr>
          <w:rFonts w:ascii="Times New Roman" w:hAnsi="Times New Roman" w:cs="Times New Roman"/>
          <w:sz w:val="24"/>
          <w:szCs w:val="24"/>
        </w:rPr>
        <w:t>ese practices</w:t>
      </w:r>
      <w:r w:rsidRPr="00EA0BF8">
        <w:rPr>
          <w:rFonts w:ascii="Times New Roman" w:hAnsi="Times New Roman" w:cs="Times New Roman"/>
          <w:sz w:val="24"/>
          <w:szCs w:val="24"/>
        </w:rPr>
        <w:t xml:space="preserve">, individual statements reveal both strengths and areas for improvement. The first significant observation is that the leadership in these schools was perceived </w:t>
      </w:r>
      <w:r>
        <w:rPr>
          <w:rFonts w:ascii="Times New Roman" w:hAnsi="Times New Roman" w:cs="Times New Roman"/>
          <w:sz w:val="24"/>
          <w:szCs w:val="24"/>
        </w:rPr>
        <w:t>as</w:t>
      </w:r>
      <w:r w:rsidRPr="00EA0BF8">
        <w:rPr>
          <w:rFonts w:ascii="Times New Roman" w:hAnsi="Times New Roman" w:cs="Times New Roman"/>
          <w:sz w:val="24"/>
          <w:szCs w:val="24"/>
        </w:rPr>
        <w:t xml:space="preserve"> provid</w:t>
      </w:r>
      <w:r>
        <w:rPr>
          <w:rFonts w:ascii="Times New Roman" w:hAnsi="Times New Roman" w:cs="Times New Roman"/>
          <w:sz w:val="24"/>
          <w:szCs w:val="24"/>
        </w:rPr>
        <w:t>ing</w:t>
      </w:r>
      <w:r w:rsidRPr="00EA0BF8">
        <w:rPr>
          <w:rFonts w:ascii="Times New Roman" w:hAnsi="Times New Roman" w:cs="Times New Roman"/>
          <w:sz w:val="24"/>
          <w:szCs w:val="24"/>
        </w:rPr>
        <w:t xml:space="preserve"> equal access to services for both boys and girls, as indicated by a very high mean score of 4.40.</w:t>
      </w:r>
    </w:p>
    <w:p w14:paraId="63D6D128" w14:textId="77777777" w:rsidR="00CB1C7F" w:rsidRPr="00EA0BF8" w:rsidRDefault="00CB1C7F"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The findings suggest school leaders are committed to ensuring equal access to educational resources for all students. </w:t>
      </w:r>
      <w:r>
        <w:rPr>
          <w:rFonts w:ascii="Times New Roman" w:hAnsi="Times New Roman" w:cs="Times New Roman"/>
          <w:sz w:val="24"/>
          <w:szCs w:val="24"/>
        </w:rPr>
        <w:t>A</w:t>
      </w:r>
      <w:r w:rsidRPr="00EA0BF8">
        <w:rPr>
          <w:rFonts w:ascii="Times New Roman" w:hAnsi="Times New Roman" w:cs="Times New Roman"/>
          <w:sz w:val="24"/>
          <w:szCs w:val="24"/>
        </w:rPr>
        <w:t xml:space="preserve"> high mean score of 4.28 indicates </w:t>
      </w:r>
      <w:r>
        <w:rPr>
          <w:rFonts w:ascii="Times New Roman" w:hAnsi="Times New Roman" w:cs="Times New Roman"/>
          <w:sz w:val="24"/>
          <w:szCs w:val="24"/>
        </w:rPr>
        <w:t xml:space="preserve">significant </w:t>
      </w:r>
      <w:r w:rsidRPr="00EA0BF8">
        <w:rPr>
          <w:rFonts w:ascii="Times New Roman" w:hAnsi="Times New Roman" w:cs="Times New Roman"/>
          <w:sz w:val="24"/>
          <w:szCs w:val="24"/>
        </w:rPr>
        <w:t xml:space="preserve">efforts to eliminate gender barriers, promoting an inclusive, supportive learning environment for both genders. </w:t>
      </w:r>
      <w:r>
        <w:rPr>
          <w:rFonts w:ascii="Times New Roman" w:hAnsi="Times New Roman" w:cs="Times New Roman"/>
          <w:sz w:val="24"/>
          <w:szCs w:val="24"/>
        </w:rPr>
        <w:t>Furthermore, t</w:t>
      </w:r>
      <w:r w:rsidRPr="00EA0BF8">
        <w:rPr>
          <w:rFonts w:ascii="Times New Roman" w:hAnsi="Times New Roman" w:cs="Times New Roman"/>
          <w:sz w:val="24"/>
          <w:szCs w:val="24"/>
        </w:rPr>
        <w:t xml:space="preserve">he schools are positively perceived for involving girls in leadership roles, </w:t>
      </w:r>
      <w:r>
        <w:rPr>
          <w:rFonts w:ascii="Times New Roman" w:hAnsi="Times New Roman" w:cs="Times New Roman"/>
          <w:sz w:val="24"/>
          <w:szCs w:val="24"/>
        </w:rPr>
        <w:t xml:space="preserve">reflected </w:t>
      </w:r>
      <w:r>
        <w:rPr>
          <w:rFonts w:ascii="Times New Roman" w:hAnsi="Times New Roman" w:cs="Times New Roman"/>
          <w:sz w:val="24"/>
          <w:szCs w:val="24"/>
        </w:rPr>
        <w:lastRenderedPageBreak/>
        <w:t>by</w:t>
      </w:r>
      <w:r w:rsidRPr="00EA0BF8">
        <w:rPr>
          <w:rFonts w:ascii="Times New Roman" w:hAnsi="Times New Roman" w:cs="Times New Roman"/>
          <w:sz w:val="24"/>
          <w:szCs w:val="24"/>
        </w:rPr>
        <w:t xml:space="preserve"> a mean score of 4.42. </w:t>
      </w:r>
      <w:r>
        <w:rPr>
          <w:rFonts w:ascii="Times New Roman" w:hAnsi="Times New Roman" w:cs="Times New Roman"/>
          <w:sz w:val="24"/>
          <w:szCs w:val="24"/>
        </w:rPr>
        <w:t>The h</w:t>
      </w:r>
      <w:r w:rsidRPr="00EA0BF8">
        <w:rPr>
          <w:rFonts w:ascii="Times New Roman" w:hAnsi="Times New Roman" w:cs="Times New Roman"/>
          <w:sz w:val="24"/>
          <w:szCs w:val="24"/>
        </w:rPr>
        <w:t xml:space="preserve">igh scores </w:t>
      </w:r>
      <w:r>
        <w:rPr>
          <w:rFonts w:ascii="Times New Roman" w:hAnsi="Times New Roman" w:cs="Times New Roman"/>
          <w:sz w:val="24"/>
          <w:szCs w:val="24"/>
        </w:rPr>
        <w:t xml:space="preserve">of </w:t>
      </w:r>
      <w:r w:rsidRPr="00EA0BF8">
        <w:rPr>
          <w:rFonts w:ascii="Times New Roman" w:hAnsi="Times New Roman" w:cs="Times New Roman"/>
          <w:sz w:val="24"/>
          <w:szCs w:val="24"/>
        </w:rPr>
        <w:t xml:space="preserve">4.43 also </w:t>
      </w:r>
      <w:r>
        <w:rPr>
          <w:rFonts w:ascii="Times New Roman" w:hAnsi="Times New Roman" w:cs="Times New Roman"/>
          <w:sz w:val="24"/>
          <w:szCs w:val="24"/>
        </w:rPr>
        <w:t>indicate</w:t>
      </w:r>
      <w:r w:rsidRPr="00EA0BF8">
        <w:rPr>
          <w:rFonts w:ascii="Times New Roman" w:hAnsi="Times New Roman" w:cs="Times New Roman"/>
          <w:sz w:val="24"/>
          <w:szCs w:val="24"/>
        </w:rPr>
        <w:t xml:space="preserve"> that equal treatment </w:t>
      </w:r>
      <w:r>
        <w:rPr>
          <w:rFonts w:ascii="Times New Roman" w:hAnsi="Times New Roman" w:cs="Times New Roman"/>
          <w:sz w:val="24"/>
          <w:szCs w:val="24"/>
        </w:rPr>
        <w:t>enhances</w:t>
      </w:r>
      <w:r w:rsidRPr="00EA0BF8">
        <w:rPr>
          <w:rFonts w:ascii="Times New Roman" w:hAnsi="Times New Roman" w:cs="Times New Roman"/>
          <w:sz w:val="24"/>
          <w:szCs w:val="24"/>
        </w:rPr>
        <w:t xml:space="preserve"> girls’ confidence, motivation, and aspirations, enhancing their academic success and future leadership potential.</w:t>
      </w:r>
    </w:p>
    <w:p w14:paraId="4322E97C" w14:textId="77777777" w:rsidR="00CB1C7F" w:rsidRPr="00EA0BF8" w:rsidRDefault="00CB1C7F"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Even though</w:t>
      </w:r>
      <w:r w:rsidRPr="00EA0BF8">
        <w:rPr>
          <w:rFonts w:ascii="Times New Roman" w:hAnsi="Times New Roman" w:cs="Times New Roman"/>
          <w:sz w:val="24"/>
          <w:szCs w:val="24"/>
        </w:rPr>
        <w:t xml:space="preserve"> schools are perceived positively </w:t>
      </w:r>
      <w:r>
        <w:rPr>
          <w:rFonts w:ascii="Times New Roman" w:hAnsi="Times New Roman" w:cs="Times New Roman"/>
          <w:sz w:val="24"/>
          <w:szCs w:val="24"/>
        </w:rPr>
        <w:t>in terms of</w:t>
      </w:r>
      <w:r w:rsidRPr="00EA0BF8">
        <w:rPr>
          <w:rFonts w:ascii="Times New Roman" w:hAnsi="Times New Roman" w:cs="Times New Roman"/>
          <w:sz w:val="24"/>
          <w:szCs w:val="24"/>
        </w:rPr>
        <w:t xml:space="preserve"> </w:t>
      </w:r>
      <w:r>
        <w:rPr>
          <w:rFonts w:ascii="Times New Roman" w:hAnsi="Times New Roman" w:cs="Times New Roman"/>
          <w:sz w:val="24"/>
          <w:szCs w:val="24"/>
        </w:rPr>
        <w:t xml:space="preserve">their provision of </w:t>
      </w:r>
      <w:r w:rsidRPr="00EA0BF8">
        <w:rPr>
          <w:rFonts w:ascii="Times New Roman" w:hAnsi="Times New Roman" w:cs="Times New Roman"/>
          <w:sz w:val="24"/>
          <w:szCs w:val="24"/>
        </w:rPr>
        <w:t xml:space="preserve">equal access and leadership opportunities for girls, there is moderate satisfaction with the use of gender-sensitive language, </w:t>
      </w:r>
      <w:r>
        <w:rPr>
          <w:rFonts w:ascii="Times New Roman" w:hAnsi="Times New Roman" w:cs="Times New Roman"/>
          <w:sz w:val="24"/>
          <w:szCs w:val="24"/>
        </w:rPr>
        <w:t>receiving a mean score of</w:t>
      </w:r>
      <w:r w:rsidRPr="00EA0BF8">
        <w:rPr>
          <w:rFonts w:ascii="Times New Roman" w:hAnsi="Times New Roman" w:cs="Times New Roman"/>
          <w:sz w:val="24"/>
          <w:szCs w:val="24"/>
        </w:rPr>
        <w:t xml:space="preserve"> 4.12. This </w:t>
      </w:r>
      <w:r>
        <w:rPr>
          <w:rFonts w:ascii="Times New Roman" w:hAnsi="Times New Roman" w:cs="Times New Roman"/>
          <w:sz w:val="24"/>
          <w:szCs w:val="24"/>
        </w:rPr>
        <w:t>reveals</w:t>
      </w:r>
      <w:r w:rsidRPr="00EA0BF8">
        <w:rPr>
          <w:rFonts w:ascii="Times New Roman" w:hAnsi="Times New Roman" w:cs="Times New Roman"/>
          <w:sz w:val="24"/>
          <w:szCs w:val="24"/>
        </w:rPr>
        <w:t xml:space="preserve"> that language </w:t>
      </w:r>
      <w:r>
        <w:rPr>
          <w:rFonts w:ascii="Times New Roman" w:hAnsi="Times New Roman" w:cs="Times New Roman"/>
          <w:sz w:val="24"/>
          <w:szCs w:val="24"/>
        </w:rPr>
        <w:t xml:space="preserve">used </w:t>
      </w:r>
      <w:r w:rsidRPr="00EA0BF8">
        <w:rPr>
          <w:rFonts w:ascii="Times New Roman" w:hAnsi="Times New Roman" w:cs="Times New Roman"/>
          <w:sz w:val="24"/>
          <w:szCs w:val="24"/>
        </w:rPr>
        <w:t xml:space="preserve">may not </w:t>
      </w:r>
      <w:r>
        <w:rPr>
          <w:rFonts w:ascii="Times New Roman" w:hAnsi="Times New Roman" w:cs="Times New Roman"/>
          <w:sz w:val="24"/>
          <w:szCs w:val="24"/>
        </w:rPr>
        <w:t>invariably</w:t>
      </w:r>
      <w:r w:rsidRPr="00EA0BF8">
        <w:rPr>
          <w:rFonts w:ascii="Times New Roman" w:hAnsi="Times New Roman" w:cs="Times New Roman"/>
          <w:sz w:val="24"/>
          <w:szCs w:val="24"/>
        </w:rPr>
        <w:t xml:space="preserve"> reflect a commitment to gender equality</w:t>
      </w:r>
      <w:r>
        <w:rPr>
          <w:rFonts w:ascii="Times New Roman" w:hAnsi="Times New Roman" w:cs="Times New Roman"/>
          <w:sz w:val="24"/>
          <w:szCs w:val="24"/>
        </w:rPr>
        <w:t>. Such inconsistency can</w:t>
      </w:r>
      <w:r w:rsidRPr="00EA0BF8">
        <w:rPr>
          <w:rFonts w:ascii="Times New Roman" w:hAnsi="Times New Roman" w:cs="Times New Roman"/>
          <w:sz w:val="24"/>
          <w:szCs w:val="24"/>
        </w:rPr>
        <w:t xml:space="preserve"> potentially reinforc</w:t>
      </w:r>
      <w:r>
        <w:rPr>
          <w:rFonts w:ascii="Times New Roman" w:hAnsi="Times New Roman" w:cs="Times New Roman"/>
          <w:sz w:val="24"/>
          <w:szCs w:val="24"/>
        </w:rPr>
        <w:t>e</w:t>
      </w:r>
      <w:r w:rsidRPr="00EA0BF8">
        <w:rPr>
          <w:rFonts w:ascii="Times New Roman" w:hAnsi="Times New Roman" w:cs="Times New Roman"/>
          <w:sz w:val="24"/>
          <w:szCs w:val="24"/>
        </w:rPr>
        <w:t xml:space="preserve"> stereotypes and </w:t>
      </w:r>
      <w:r>
        <w:rPr>
          <w:rFonts w:ascii="Times New Roman" w:hAnsi="Times New Roman" w:cs="Times New Roman"/>
          <w:sz w:val="24"/>
          <w:szCs w:val="24"/>
        </w:rPr>
        <w:t xml:space="preserve">consequently </w:t>
      </w:r>
      <w:r w:rsidRPr="00EA0BF8">
        <w:rPr>
          <w:rFonts w:ascii="Times New Roman" w:hAnsi="Times New Roman" w:cs="Times New Roman"/>
          <w:sz w:val="24"/>
          <w:szCs w:val="24"/>
        </w:rPr>
        <w:t xml:space="preserve">limit girls' self-perception. Despite </w:t>
      </w:r>
      <w:r>
        <w:rPr>
          <w:rFonts w:ascii="Times New Roman" w:hAnsi="Times New Roman" w:cs="Times New Roman"/>
          <w:sz w:val="24"/>
          <w:szCs w:val="24"/>
        </w:rPr>
        <w:t xml:space="preserve">there being </w:t>
      </w:r>
      <w:r w:rsidRPr="00EA0BF8">
        <w:rPr>
          <w:rFonts w:ascii="Times New Roman" w:hAnsi="Times New Roman" w:cs="Times New Roman"/>
          <w:sz w:val="24"/>
          <w:szCs w:val="24"/>
        </w:rPr>
        <w:t xml:space="preserve">equal opportunities, language </w:t>
      </w:r>
      <w:r>
        <w:rPr>
          <w:rFonts w:ascii="Times New Roman" w:hAnsi="Times New Roman" w:cs="Times New Roman"/>
          <w:sz w:val="24"/>
          <w:szCs w:val="24"/>
        </w:rPr>
        <w:t xml:space="preserve">use </w:t>
      </w:r>
      <w:r w:rsidRPr="00EA0BF8">
        <w:rPr>
          <w:rFonts w:ascii="Times New Roman" w:hAnsi="Times New Roman" w:cs="Times New Roman"/>
          <w:sz w:val="24"/>
          <w:szCs w:val="24"/>
        </w:rPr>
        <w:t xml:space="preserve">can influence attitudes and </w:t>
      </w:r>
      <w:r>
        <w:rPr>
          <w:rFonts w:ascii="Times New Roman" w:hAnsi="Times New Roman" w:cs="Times New Roman"/>
          <w:sz w:val="24"/>
          <w:szCs w:val="24"/>
        </w:rPr>
        <w:t>negatively impact</w:t>
      </w:r>
      <w:r w:rsidRPr="00EA0BF8">
        <w:rPr>
          <w:rFonts w:ascii="Times New Roman" w:hAnsi="Times New Roman" w:cs="Times New Roman"/>
          <w:sz w:val="24"/>
          <w:szCs w:val="24"/>
        </w:rPr>
        <w:t xml:space="preserve"> girls' confidence, highlighting the need for improved gender-sensitive language to better support empowerment and equality in schools. The mean score of 4.12 indicates </w:t>
      </w:r>
      <w:r w:rsidRPr="00EA0BF8">
        <w:rPr>
          <w:rFonts w:ascii="Times New Roman" w:hAnsi="Times New Roman" w:cs="Times New Roman"/>
          <w:sz w:val="24"/>
          <w:szCs w:val="24"/>
        </w:rPr>
        <w:lastRenderedPageBreak/>
        <w:t xml:space="preserve">that </w:t>
      </w:r>
      <w:r>
        <w:rPr>
          <w:rFonts w:ascii="Times New Roman" w:hAnsi="Times New Roman" w:cs="Times New Roman"/>
          <w:sz w:val="24"/>
          <w:szCs w:val="24"/>
        </w:rPr>
        <w:t xml:space="preserve">still </w:t>
      </w:r>
      <w:r w:rsidRPr="00EA0BF8">
        <w:rPr>
          <w:rFonts w:ascii="Times New Roman" w:hAnsi="Times New Roman" w:cs="Times New Roman"/>
          <w:sz w:val="24"/>
          <w:szCs w:val="24"/>
        </w:rPr>
        <w:t xml:space="preserve">schools have room to improve in fully supporting female students' participation </w:t>
      </w:r>
      <w:r>
        <w:rPr>
          <w:rFonts w:ascii="Times New Roman" w:hAnsi="Times New Roman" w:cs="Times New Roman"/>
          <w:sz w:val="24"/>
          <w:szCs w:val="24"/>
        </w:rPr>
        <w:t xml:space="preserve">to address </w:t>
      </w:r>
      <w:r w:rsidRPr="00EA0BF8">
        <w:rPr>
          <w:rFonts w:ascii="Times New Roman" w:hAnsi="Times New Roman" w:cs="Times New Roman"/>
          <w:sz w:val="24"/>
          <w:szCs w:val="24"/>
        </w:rPr>
        <w:t xml:space="preserve">their specific needs </w:t>
      </w:r>
      <w:r>
        <w:rPr>
          <w:rFonts w:ascii="Times New Roman" w:hAnsi="Times New Roman" w:cs="Times New Roman"/>
          <w:sz w:val="24"/>
          <w:szCs w:val="24"/>
        </w:rPr>
        <w:t>to</w:t>
      </w:r>
      <w:r w:rsidRPr="00EA0BF8">
        <w:rPr>
          <w:rFonts w:ascii="Times New Roman" w:hAnsi="Times New Roman" w:cs="Times New Roman"/>
          <w:sz w:val="24"/>
          <w:szCs w:val="24"/>
        </w:rPr>
        <w:t xml:space="preserve"> foster an environment where all students can thrive.</w:t>
      </w:r>
    </w:p>
    <w:p w14:paraId="2D6420DA" w14:textId="77777777" w:rsidR="00554AEB" w:rsidRDefault="00EA0BF8" w:rsidP="00B732FE">
      <w:pPr>
        <w:spacing w:line="360" w:lineRule="auto"/>
        <w:jc w:val="both"/>
        <w:rPr>
          <w:rFonts w:ascii="Times New Roman" w:eastAsia="Times New Roman" w:hAnsi="Times New Roman" w:cs="Times New Roman"/>
          <w:color w:val="000000"/>
          <w:sz w:val="24"/>
          <w:szCs w:val="24"/>
        </w:rPr>
        <w:sectPr w:rsidR="00554AEB" w:rsidSect="00B732FE">
          <w:type w:val="continuous"/>
          <w:pgSz w:w="12240" w:h="15840"/>
          <w:pgMar w:top="1440" w:right="1440" w:bottom="1440" w:left="1440" w:header="720" w:footer="720" w:gutter="0"/>
          <w:cols w:num="2" w:space="720"/>
          <w:docGrid w:linePitch="360"/>
        </w:sectPr>
      </w:pPr>
      <w:r w:rsidRPr="00EA0BF8">
        <w:rPr>
          <w:rFonts w:ascii="Times New Roman" w:hAnsi="Times New Roman" w:cs="Times New Roman"/>
          <w:sz w:val="24"/>
          <w:szCs w:val="24"/>
        </w:rPr>
        <w:t xml:space="preserve">The involvement of girls in school decision-making received a moderate perception score of 3.95, indicating a gap in efforts to include them. Empowering girls through student councils, focus groups, mentorship, surveys, leadership training, and girl-focused initiatives can improve participation. Including girls in committees and fostering a supportive environment will ensure their voices are heard, leading to more inclusive policies and better consideration of their </w:t>
      </w:r>
      <w:r w:rsidRPr="00EA0BF8">
        <w:rPr>
          <w:rFonts w:ascii="Times New Roman" w:hAnsi="Times New Roman" w:cs="Times New Roman"/>
          <w:sz w:val="24"/>
          <w:szCs w:val="24"/>
        </w:rPr>
        <w:lastRenderedPageBreak/>
        <w:t xml:space="preserve">unique perspectives in decisions affecting their education and well-being. Community sensitization to education received a moderate perception score of 3.95, highlighting the need for increased engagement, especially in supporting girls’ education. </w:t>
      </w:r>
      <w:r w:rsidR="0009093B" w:rsidRPr="00EA0BF8">
        <w:rPr>
          <w:rFonts w:ascii="Times New Roman" w:hAnsi="Times New Roman" w:cs="Times New Roman"/>
          <w:sz w:val="24"/>
          <w:szCs w:val="24"/>
        </w:rPr>
        <w:t>To improve</w:t>
      </w:r>
      <w:r w:rsidR="0009093B">
        <w:rPr>
          <w:rFonts w:ascii="Times New Roman" w:hAnsi="Times New Roman" w:cs="Times New Roman"/>
          <w:sz w:val="24"/>
          <w:szCs w:val="24"/>
        </w:rPr>
        <w:t xml:space="preserve"> this</w:t>
      </w:r>
      <w:r w:rsidR="0009093B" w:rsidRPr="00EA0BF8">
        <w:rPr>
          <w:rFonts w:ascii="Times New Roman" w:hAnsi="Times New Roman" w:cs="Times New Roman"/>
          <w:sz w:val="24"/>
          <w:szCs w:val="24"/>
        </w:rPr>
        <w:t>, schools can organize awareness campaigns, community meetings, and collaborate with local leaders. Additionally, leadership program</w:t>
      </w:r>
      <w:r w:rsidR="0009093B">
        <w:rPr>
          <w:rFonts w:ascii="Times New Roman" w:hAnsi="Times New Roman" w:cs="Times New Roman"/>
          <w:sz w:val="24"/>
          <w:szCs w:val="24"/>
        </w:rPr>
        <w:t>me</w:t>
      </w:r>
      <w:r w:rsidR="0009093B" w:rsidRPr="00EA0BF8">
        <w:rPr>
          <w:rFonts w:ascii="Times New Roman" w:hAnsi="Times New Roman" w:cs="Times New Roman"/>
          <w:sz w:val="24"/>
          <w:szCs w:val="24"/>
        </w:rPr>
        <w:t>s for girls, workshops for parents, and showcasing success stories can raise awareness about the importance of supporting girls’ education. Strengthening partnerships and involving the community in school events will enhance the support network and encourage greater involvement in educational initiatives.</w:t>
      </w:r>
    </w:p>
    <w:p w14:paraId="754D06C3" w14:textId="77777777" w:rsidR="0009093B" w:rsidRDefault="0009093B" w:rsidP="00B732FE">
      <w:pPr>
        <w:spacing w:line="360" w:lineRule="auto"/>
        <w:jc w:val="both"/>
        <w:rPr>
          <w:rFonts w:ascii="Times New Roman" w:eastAsia="Times New Roman" w:hAnsi="Times New Roman" w:cs="Times New Roman"/>
          <w:color w:val="000000"/>
          <w:sz w:val="24"/>
          <w:szCs w:val="24"/>
        </w:rPr>
      </w:pPr>
      <w:bookmarkStart w:id="2" w:name="_Toc186357847"/>
      <w:r w:rsidRPr="00D32974">
        <w:rPr>
          <w:rFonts w:ascii="Times New Roman" w:eastAsia="Times New Roman" w:hAnsi="Times New Roman" w:cs="Times New Roman"/>
          <w:color w:val="000000"/>
          <w:sz w:val="24"/>
          <w:szCs w:val="24"/>
        </w:rPr>
        <w:lastRenderedPageBreak/>
        <w:t xml:space="preserve">In the review of the documents in school heads’ office, the data </w:t>
      </w:r>
      <w:r>
        <w:rPr>
          <w:rFonts w:ascii="Times New Roman" w:eastAsia="Times New Roman" w:hAnsi="Times New Roman" w:cs="Times New Roman"/>
          <w:color w:val="000000"/>
          <w:sz w:val="24"/>
          <w:szCs w:val="24"/>
        </w:rPr>
        <w:t>on the</w:t>
      </w:r>
      <w:r w:rsidRPr="00D32974">
        <w:rPr>
          <w:rFonts w:ascii="Times New Roman" w:eastAsia="Times New Roman" w:hAnsi="Times New Roman" w:cs="Times New Roman"/>
          <w:color w:val="000000"/>
          <w:sz w:val="24"/>
          <w:szCs w:val="24"/>
        </w:rPr>
        <w:t xml:space="preserve"> enrollm</w:t>
      </w:r>
      <w:r>
        <w:rPr>
          <w:rFonts w:ascii="Times New Roman" w:eastAsia="Times New Roman" w:hAnsi="Times New Roman" w:cs="Times New Roman"/>
          <w:color w:val="000000"/>
          <w:sz w:val="24"/>
          <w:szCs w:val="24"/>
        </w:rPr>
        <w:t>ent rates of students is as presented in Table 2</w:t>
      </w:r>
      <w:r w:rsidRPr="00D32974">
        <w:rPr>
          <w:rFonts w:ascii="Times New Roman" w:eastAsia="Times New Roman" w:hAnsi="Times New Roman" w:cs="Times New Roman"/>
          <w:color w:val="000000"/>
          <w:sz w:val="24"/>
          <w:szCs w:val="24"/>
        </w:rPr>
        <w:t xml:space="preserve">. </w:t>
      </w:r>
    </w:p>
    <w:bookmarkEnd w:id="2"/>
    <w:p w14:paraId="03A5C687" w14:textId="77777777" w:rsidR="00B732FE" w:rsidRDefault="00B732FE" w:rsidP="00B732FE">
      <w:pPr>
        <w:pStyle w:val="Caption"/>
        <w:spacing w:after="0" w:line="360" w:lineRule="auto"/>
        <w:rPr>
          <w:b w:val="0"/>
          <w:i/>
          <w:sz w:val="24"/>
          <w:szCs w:val="24"/>
        </w:rPr>
        <w:sectPr w:rsidR="00B732FE" w:rsidSect="00B732FE">
          <w:type w:val="continuous"/>
          <w:pgSz w:w="12240" w:h="15840"/>
          <w:pgMar w:top="1440" w:right="1440" w:bottom="1440" w:left="1440" w:header="720" w:footer="720" w:gutter="0"/>
          <w:cols w:num="2" w:space="720"/>
          <w:docGrid w:linePitch="360"/>
        </w:sectPr>
      </w:pPr>
    </w:p>
    <w:p w14:paraId="27095031" w14:textId="1B28B49E" w:rsidR="0087627D" w:rsidRPr="0087627D" w:rsidRDefault="0087627D" w:rsidP="00B732FE">
      <w:pPr>
        <w:pStyle w:val="Caption"/>
        <w:spacing w:after="0" w:line="360" w:lineRule="auto"/>
        <w:rPr>
          <w:bCs w:val="0"/>
          <w:sz w:val="24"/>
          <w:szCs w:val="24"/>
        </w:rPr>
      </w:pPr>
      <w:r w:rsidRPr="0087627D">
        <w:rPr>
          <w:b w:val="0"/>
          <w:i/>
          <w:sz w:val="24"/>
          <w:szCs w:val="24"/>
        </w:rPr>
        <w:lastRenderedPageBreak/>
        <w:t>Table 2</w:t>
      </w:r>
      <w:r w:rsidRPr="0087627D">
        <w:rPr>
          <w:sz w:val="24"/>
          <w:szCs w:val="24"/>
        </w:rPr>
        <w:t xml:space="preserve"> </w:t>
      </w:r>
      <w:r w:rsidRPr="0087627D">
        <w:rPr>
          <w:bCs w:val="0"/>
          <w:sz w:val="24"/>
          <w:szCs w:val="24"/>
        </w:rPr>
        <w:t>Students’ Enrollment Rates in Schools</w:t>
      </w:r>
    </w:p>
    <w:tbl>
      <w:tblPr>
        <w:tblW w:w="9334" w:type="dxa"/>
        <w:tblBorders>
          <w:bottom w:val="single" w:sz="4" w:space="0" w:color="auto"/>
        </w:tblBorders>
        <w:tblLayout w:type="fixed"/>
        <w:tblCellMar>
          <w:left w:w="0" w:type="dxa"/>
          <w:right w:w="0" w:type="dxa"/>
        </w:tblCellMar>
        <w:tblLook w:val="0000" w:firstRow="0" w:lastRow="0" w:firstColumn="0" w:lastColumn="0" w:noHBand="0" w:noVBand="0"/>
      </w:tblPr>
      <w:tblGrid>
        <w:gridCol w:w="2597"/>
        <w:gridCol w:w="1080"/>
        <w:gridCol w:w="1080"/>
        <w:gridCol w:w="1080"/>
        <w:gridCol w:w="1080"/>
        <w:gridCol w:w="1080"/>
        <w:gridCol w:w="1337"/>
      </w:tblGrid>
      <w:tr w:rsidR="0087627D" w:rsidRPr="0087627D" w14:paraId="08A26677" w14:textId="77777777" w:rsidTr="00974ABF">
        <w:trPr>
          <w:cantSplit/>
        </w:trPr>
        <w:tc>
          <w:tcPr>
            <w:tcW w:w="2597" w:type="dxa"/>
            <w:tcBorders>
              <w:top w:val="single" w:sz="4" w:space="0" w:color="auto"/>
              <w:bottom w:val="nil"/>
            </w:tcBorders>
            <w:shd w:val="clear" w:color="auto" w:fill="FFFFFF"/>
          </w:tcPr>
          <w:p w14:paraId="2B562A4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b/>
                <w:color w:val="000000"/>
              </w:rPr>
            </w:pPr>
            <w:r w:rsidRPr="0087627D">
              <w:rPr>
                <w:rFonts w:ascii="Times New Roman" w:eastAsia="Calibri" w:hAnsi="Times New Roman" w:cs="Times New Roman"/>
                <w:b/>
                <w:color w:val="000000"/>
              </w:rPr>
              <w:t xml:space="preserve">Students’ </w:t>
            </w:r>
            <w:r w:rsidRPr="0087627D">
              <w:rPr>
                <w:rFonts w:ascii="Times New Roman" w:hAnsi="Times New Roman" w:cs="Times New Roman"/>
                <w:b/>
                <w:bCs/>
              </w:rPr>
              <w:t>Enrollment</w:t>
            </w:r>
          </w:p>
        </w:tc>
        <w:tc>
          <w:tcPr>
            <w:tcW w:w="2160" w:type="dxa"/>
            <w:gridSpan w:val="2"/>
            <w:tcBorders>
              <w:top w:val="single" w:sz="4" w:space="0" w:color="auto"/>
              <w:bottom w:val="nil"/>
            </w:tcBorders>
            <w:shd w:val="clear" w:color="auto" w:fill="FFFFFF"/>
          </w:tcPr>
          <w:p w14:paraId="23A02A9A"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2020/2021</w:t>
            </w:r>
          </w:p>
        </w:tc>
        <w:tc>
          <w:tcPr>
            <w:tcW w:w="2160" w:type="dxa"/>
            <w:gridSpan w:val="2"/>
            <w:tcBorders>
              <w:top w:val="single" w:sz="4" w:space="0" w:color="auto"/>
              <w:bottom w:val="nil"/>
            </w:tcBorders>
            <w:shd w:val="clear" w:color="auto" w:fill="FFFFFF"/>
          </w:tcPr>
          <w:p w14:paraId="528F1CC0"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2021/2022</w:t>
            </w:r>
          </w:p>
        </w:tc>
        <w:tc>
          <w:tcPr>
            <w:tcW w:w="2417" w:type="dxa"/>
            <w:gridSpan w:val="2"/>
            <w:tcBorders>
              <w:top w:val="single" w:sz="4" w:space="0" w:color="auto"/>
              <w:bottom w:val="nil"/>
            </w:tcBorders>
            <w:shd w:val="clear" w:color="auto" w:fill="FFFFFF"/>
          </w:tcPr>
          <w:p w14:paraId="574EE48A"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b/>
                <w:color w:val="000000"/>
              </w:rPr>
            </w:pPr>
            <w:r w:rsidRPr="0087627D">
              <w:rPr>
                <w:rFonts w:ascii="Times New Roman" w:eastAsia="Calibri" w:hAnsi="Times New Roman" w:cs="Times New Roman"/>
                <w:b/>
                <w:color w:val="000000"/>
              </w:rPr>
              <w:t xml:space="preserve">    2022/2023</w:t>
            </w:r>
          </w:p>
        </w:tc>
      </w:tr>
      <w:tr w:rsidR="0087627D" w:rsidRPr="0087627D" w14:paraId="6B608D6C" w14:textId="77777777" w:rsidTr="00974ABF">
        <w:trPr>
          <w:cantSplit/>
        </w:trPr>
        <w:tc>
          <w:tcPr>
            <w:tcW w:w="2597" w:type="dxa"/>
            <w:tcBorders>
              <w:bottom w:val="single" w:sz="4" w:space="0" w:color="auto"/>
            </w:tcBorders>
            <w:shd w:val="clear" w:color="auto" w:fill="FFFFFF"/>
            <w:vAlign w:val="center"/>
          </w:tcPr>
          <w:p w14:paraId="59419F06"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b/>
                <w:color w:val="000000"/>
              </w:rPr>
            </w:pPr>
            <w:r w:rsidRPr="0087627D">
              <w:rPr>
                <w:rFonts w:ascii="Times New Roman" w:eastAsia="Calibri" w:hAnsi="Times New Roman" w:cs="Times New Roman"/>
                <w:b/>
                <w:color w:val="000000"/>
              </w:rPr>
              <w:t>Reviewed Documents</w:t>
            </w:r>
          </w:p>
        </w:tc>
        <w:tc>
          <w:tcPr>
            <w:tcW w:w="2160" w:type="dxa"/>
            <w:gridSpan w:val="2"/>
            <w:tcBorders>
              <w:bottom w:val="single" w:sz="4" w:space="0" w:color="auto"/>
            </w:tcBorders>
            <w:shd w:val="clear" w:color="auto" w:fill="FFFFFF"/>
          </w:tcPr>
          <w:p w14:paraId="457E8112"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45</w:t>
            </w:r>
          </w:p>
        </w:tc>
        <w:tc>
          <w:tcPr>
            <w:tcW w:w="2160" w:type="dxa"/>
            <w:gridSpan w:val="2"/>
            <w:tcBorders>
              <w:bottom w:val="single" w:sz="4" w:space="0" w:color="auto"/>
            </w:tcBorders>
            <w:shd w:val="clear" w:color="auto" w:fill="FFFFFF"/>
          </w:tcPr>
          <w:p w14:paraId="212A6BDA"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45</w:t>
            </w:r>
          </w:p>
        </w:tc>
        <w:tc>
          <w:tcPr>
            <w:tcW w:w="2417" w:type="dxa"/>
            <w:gridSpan w:val="2"/>
            <w:tcBorders>
              <w:bottom w:val="single" w:sz="4" w:space="0" w:color="auto"/>
            </w:tcBorders>
            <w:shd w:val="clear" w:color="auto" w:fill="FFFFFF"/>
          </w:tcPr>
          <w:p w14:paraId="73785BA4"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b/>
                <w:color w:val="000000"/>
              </w:rPr>
            </w:pPr>
            <w:r w:rsidRPr="0087627D">
              <w:rPr>
                <w:rFonts w:ascii="Times New Roman" w:eastAsia="Calibri" w:hAnsi="Times New Roman" w:cs="Times New Roman"/>
                <w:b/>
                <w:color w:val="000000"/>
              </w:rPr>
              <w:t xml:space="preserve">         45</w:t>
            </w:r>
          </w:p>
        </w:tc>
      </w:tr>
      <w:tr w:rsidR="0087627D" w:rsidRPr="0087627D" w14:paraId="08E06CBC" w14:textId="77777777" w:rsidTr="00974ABF">
        <w:trPr>
          <w:cantSplit/>
        </w:trPr>
        <w:tc>
          <w:tcPr>
            <w:tcW w:w="2597" w:type="dxa"/>
            <w:tcBorders>
              <w:top w:val="single" w:sz="4" w:space="0" w:color="auto"/>
            </w:tcBorders>
            <w:shd w:val="clear" w:color="auto" w:fill="FFFFFF"/>
            <w:vAlign w:val="center"/>
          </w:tcPr>
          <w:p w14:paraId="721E6955"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b/>
                <w:color w:val="000000"/>
              </w:rPr>
            </w:pPr>
            <w:r w:rsidRPr="0087627D">
              <w:rPr>
                <w:rFonts w:ascii="Times New Roman" w:eastAsia="Calibri" w:hAnsi="Times New Roman" w:cs="Times New Roman"/>
                <w:b/>
                <w:color w:val="000000"/>
              </w:rPr>
              <w:t>Gender</w:t>
            </w:r>
          </w:p>
        </w:tc>
        <w:tc>
          <w:tcPr>
            <w:tcW w:w="1080" w:type="dxa"/>
            <w:tcBorders>
              <w:top w:val="single" w:sz="4" w:space="0" w:color="auto"/>
            </w:tcBorders>
            <w:shd w:val="clear" w:color="auto" w:fill="FFFFFF"/>
          </w:tcPr>
          <w:p w14:paraId="13BBE0E3"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M</w:t>
            </w:r>
          </w:p>
        </w:tc>
        <w:tc>
          <w:tcPr>
            <w:tcW w:w="1080" w:type="dxa"/>
            <w:tcBorders>
              <w:top w:val="single" w:sz="4" w:space="0" w:color="auto"/>
            </w:tcBorders>
            <w:shd w:val="clear" w:color="auto" w:fill="FFFFFF"/>
          </w:tcPr>
          <w:p w14:paraId="29AF1372"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F</w:t>
            </w:r>
          </w:p>
        </w:tc>
        <w:tc>
          <w:tcPr>
            <w:tcW w:w="1080" w:type="dxa"/>
            <w:tcBorders>
              <w:top w:val="single" w:sz="4" w:space="0" w:color="auto"/>
            </w:tcBorders>
            <w:shd w:val="clear" w:color="auto" w:fill="FFFFFF"/>
          </w:tcPr>
          <w:p w14:paraId="3C89D1FC"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M</w:t>
            </w:r>
          </w:p>
        </w:tc>
        <w:tc>
          <w:tcPr>
            <w:tcW w:w="1080" w:type="dxa"/>
            <w:tcBorders>
              <w:top w:val="single" w:sz="4" w:space="0" w:color="auto"/>
            </w:tcBorders>
            <w:shd w:val="clear" w:color="auto" w:fill="FFFFFF"/>
          </w:tcPr>
          <w:p w14:paraId="0E4974A9"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F</w:t>
            </w:r>
          </w:p>
        </w:tc>
        <w:tc>
          <w:tcPr>
            <w:tcW w:w="1080" w:type="dxa"/>
            <w:tcBorders>
              <w:top w:val="single" w:sz="4" w:space="0" w:color="auto"/>
            </w:tcBorders>
            <w:shd w:val="clear" w:color="auto" w:fill="FFFFFF"/>
          </w:tcPr>
          <w:p w14:paraId="330D2F24"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color w:val="000000"/>
              </w:rPr>
            </w:pPr>
            <w:r w:rsidRPr="0087627D">
              <w:rPr>
                <w:rFonts w:ascii="Times New Roman" w:eastAsia="Calibri" w:hAnsi="Times New Roman" w:cs="Times New Roman"/>
                <w:color w:val="000000"/>
              </w:rPr>
              <w:t>M</w:t>
            </w:r>
          </w:p>
        </w:tc>
        <w:tc>
          <w:tcPr>
            <w:tcW w:w="1337" w:type="dxa"/>
            <w:tcBorders>
              <w:top w:val="single" w:sz="4" w:space="0" w:color="auto"/>
            </w:tcBorders>
            <w:shd w:val="clear" w:color="auto" w:fill="FFFFFF"/>
          </w:tcPr>
          <w:p w14:paraId="1BD65751"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color w:val="000000"/>
              </w:rPr>
            </w:pPr>
            <w:r w:rsidRPr="0087627D">
              <w:rPr>
                <w:rFonts w:ascii="Times New Roman" w:eastAsia="Calibri" w:hAnsi="Times New Roman" w:cs="Times New Roman"/>
                <w:color w:val="000000"/>
              </w:rPr>
              <w:t>F</w:t>
            </w:r>
          </w:p>
        </w:tc>
      </w:tr>
      <w:tr w:rsidR="0087627D" w:rsidRPr="0087627D" w14:paraId="64925EB9" w14:textId="77777777" w:rsidTr="00974ABF">
        <w:trPr>
          <w:cantSplit/>
          <w:trHeight w:val="361"/>
        </w:trPr>
        <w:tc>
          <w:tcPr>
            <w:tcW w:w="2597" w:type="dxa"/>
            <w:shd w:val="clear" w:color="auto" w:fill="FFFFFF"/>
            <w:vAlign w:val="center"/>
          </w:tcPr>
          <w:p w14:paraId="24B8258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 xml:space="preserve">Mean                                 </w:t>
            </w:r>
          </w:p>
        </w:tc>
        <w:tc>
          <w:tcPr>
            <w:tcW w:w="1080" w:type="dxa"/>
            <w:shd w:val="clear" w:color="auto" w:fill="FFFFFF"/>
          </w:tcPr>
          <w:p w14:paraId="4783FBCA"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104.0000</w:t>
            </w:r>
          </w:p>
        </w:tc>
        <w:tc>
          <w:tcPr>
            <w:tcW w:w="1080" w:type="dxa"/>
            <w:shd w:val="clear" w:color="auto" w:fill="FFFFFF"/>
          </w:tcPr>
          <w:p w14:paraId="2D5F4F1F"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97.7000</w:t>
            </w:r>
          </w:p>
        </w:tc>
        <w:tc>
          <w:tcPr>
            <w:tcW w:w="1080" w:type="dxa"/>
            <w:shd w:val="clear" w:color="auto" w:fill="FFFFFF"/>
          </w:tcPr>
          <w:p w14:paraId="3C6B30D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108.9000</w:t>
            </w:r>
          </w:p>
        </w:tc>
        <w:tc>
          <w:tcPr>
            <w:tcW w:w="1080" w:type="dxa"/>
            <w:shd w:val="clear" w:color="auto" w:fill="FFFFFF"/>
          </w:tcPr>
          <w:p w14:paraId="773D0350"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92.1000</w:t>
            </w:r>
          </w:p>
        </w:tc>
        <w:tc>
          <w:tcPr>
            <w:tcW w:w="1080" w:type="dxa"/>
            <w:shd w:val="clear" w:color="auto" w:fill="FFFFFF"/>
          </w:tcPr>
          <w:p w14:paraId="7AB50D25"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84.6667</w:t>
            </w:r>
          </w:p>
        </w:tc>
        <w:tc>
          <w:tcPr>
            <w:tcW w:w="1337" w:type="dxa"/>
            <w:shd w:val="clear" w:color="auto" w:fill="FFFFFF"/>
          </w:tcPr>
          <w:p w14:paraId="0EC632AA"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78.4000</w:t>
            </w:r>
          </w:p>
        </w:tc>
      </w:tr>
      <w:tr w:rsidR="0087627D" w:rsidRPr="0087627D" w14:paraId="43D404F1" w14:textId="77777777" w:rsidTr="00974ABF">
        <w:trPr>
          <w:cantSplit/>
          <w:trHeight w:val="497"/>
        </w:trPr>
        <w:tc>
          <w:tcPr>
            <w:tcW w:w="2597" w:type="dxa"/>
            <w:shd w:val="clear" w:color="auto" w:fill="FFFFFF"/>
            <w:vAlign w:val="center"/>
          </w:tcPr>
          <w:p w14:paraId="5E48DD89"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Std. Dev.</w:t>
            </w:r>
          </w:p>
        </w:tc>
        <w:tc>
          <w:tcPr>
            <w:tcW w:w="1080" w:type="dxa"/>
            <w:shd w:val="clear" w:color="auto" w:fill="FFFFFF"/>
          </w:tcPr>
          <w:p w14:paraId="2C67B40D"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35.44009</w:t>
            </w:r>
          </w:p>
        </w:tc>
        <w:tc>
          <w:tcPr>
            <w:tcW w:w="1080" w:type="dxa"/>
            <w:shd w:val="clear" w:color="auto" w:fill="FFFFFF"/>
          </w:tcPr>
          <w:p w14:paraId="2173240D"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34.05241</w:t>
            </w:r>
          </w:p>
        </w:tc>
        <w:tc>
          <w:tcPr>
            <w:tcW w:w="1080" w:type="dxa"/>
            <w:shd w:val="clear" w:color="auto" w:fill="FFFFFF"/>
          </w:tcPr>
          <w:p w14:paraId="593ACB95"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29.o6487</w:t>
            </w:r>
          </w:p>
        </w:tc>
        <w:tc>
          <w:tcPr>
            <w:tcW w:w="1080" w:type="dxa"/>
            <w:shd w:val="clear" w:color="auto" w:fill="FFFFFF"/>
          </w:tcPr>
          <w:p w14:paraId="3FA0EA32"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26.16380</w:t>
            </w:r>
          </w:p>
        </w:tc>
        <w:tc>
          <w:tcPr>
            <w:tcW w:w="1080" w:type="dxa"/>
            <w:shd w:val="clear" w:color="auto" w:fill="FFFFFF"/>
          </w:tcPr>
          <w:p w14:paraId="1B455C8E"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28.99138</w:t>
            </w:r>
          </w:p>
        </w:tc>
        <w:tc>
          <w:tcPr>
            <w:tcW w:w="1337" w:type="dxa"/>
            <w:shd w:val="clear" w:color="auto" w:fill="FFFFFF"/>
          </w:tcPr>
          <w:p w14:paraId="4EFC65A3"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20.36446</w:t>
            </w:r>
          </w:p>
        </w:tc>
      </w:tr>
      <w:tr w:rsidR="0087627D" w:rsidRPr="0087627D" w14:paraId="10AE2549" w14:textId="77777777" w:rsidTr="00974ABF">
        <w:trPr>
          <w:cantSplit/>
          <w:trHeight w:val="333"/>
        </w:trPr>
        <w:tc>
          <w:tcPr>
            <w:tcW w:w="2597" w:type="dxa"/>
            <w:shd w:val="clear" w:color="auto" w:fill="FFFFFF"/>
            <w:vAlign w:val="center"/>
          </w:tcPr>
          <w:p w14:paraId="37CE6C8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Min</w:t>
            </w:r>
          </w:p>
        </w:tc>
        <w:tc>
          <w:tcPr>
            <w:tcW w:w="1080" w:type="dxa"/>
            <w:shd w:val="clear" w:color="auto" w:fill="FFFFFF"/>
          </w:tcPr>
          <w:p w14:paraId="0525CB10"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59.00</w:t>
            </w:r>
          </w:p>
        </w:tc>
        <w:tc>
          <w:tcPr>
            <w:tcW w:w="1080" w:type="dxa"/>
            <w:shd w:val="clear" w:color="auto" w:fill="FFFFFF"/>
          </w:tcPr>
          <w:p w14:paraId="15EBE6C1"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45.00</w:t>
            </w:r>
          </w:p>
        </w:tc>
        <w:tc>
          <w:tcPr>
            <w:tcW w:w="1080" w:type="dxa"/>
            <w:shd w:val="clear" w:color="auto" w:fill="FFFFFF"/>
          </w:tcPr>
          <w:p w14:paraId="16002799"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62.00</w:t>
            </w:r>
          </w:p>
        </w:tc>
        <w:tc>
          <w:tcPr>
            <w:tcW w:w="1080" w:type="dxa"/>
            <w:shd w:val="clear" w:color="auto" w:fill="FFFFFF"/>
          </w:tcPr>
          <w:p w14:paraId="1EFBD5E0"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51.00</w:t>
            </w:r>
          </w:p>
        </w:tc>
        <w:tc>
          <w:tcPr>
            <w:tcW w:w="1080" w:type="dxa"/>
            <w:shd w:val="clear" w:color="auto" w:fill="FFFFFF"/>
          </w:tcPr>
          <w:p w14:paraId="3E48BC2E"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75.00</w:t>
            </w:r>
          </w:p>
        </w:tc>
        <w:tc>
          <w:tcPr>
            <w:tcW w:w="1337" w:type="dxa"/>
            <w:shd w:val="clear" w:color="auto" w:fill="FFFFFF"/>
          </w:tcPr>
          <w:p w14:paraId="07680755"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67.00</w:t>
            </w:r>
          </w:p>
          <w:p w14:paraId="3CEDFA75"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p>
        </w:tc>
      </w:tr>
      <w:tr w:rsidR="0087627D" w:rsidRPr="0087627D" w14:paraId="280422D0" w14:textId="77777777" w:rsidTr="00974ABF">
        <w:trPr>
          <w:cantSplit/>
        </w:trPr>
        <w:tc>
          <w:tcPr>
            <w:tcW w:w="2597" w:type="dxa"/>
            <w:shd w:val="clear" w:color="auto" w:fill="FFFFFF"/>
            <w:vAlign w:val="center"/>
          </w:tcPr>
          <w:p w14:paraId="03D91FA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Max</w:t>
            </w:r>
          </w:p>
        </w:tc>
        <w:tc>
          <w:tcPr>
            <w:tcW w:w="1080" w:type="dxa"/>
            <w:shd w:val="clear" w:color="auto" w:fill="FFFFFF"/>
          </w:tcPr>
          <w:p w14:paraId="3B9F79F2"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165.00</w:t>
            </w:r>
          </w:p>
        </w:tc>
        <w:tc>
          <w:tcPr>
            <w:tcW w:w="1080" w:type="dxa"/>
            <w:shd w:val="clear" w:color="auto" w:fill="FFFFFF"/>
          </w:tcPr>
          <w:p w14:paraId="7016088F"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146.00</w:t>
            </w:r>
          </w:p>
        </w:tc>
        <w:tc>
          <w:tcPr>
            <w:tcW w:w="1080" w:type="dxa"/>
            <w:shd w:val="clear" w:color="auto" w:fill="FFFFFF"/>
          </w:tcPr>
          <w:p w14:paraId="18535960"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156.00</w:t>
            </w:r>
          </w:p>
        </w:tc>
        <w:tc>
          <w:tcPr>
            <w:tcW w:w="1080" w:type="dxa"/>
            <w:shd w:val="clear" w:color="auto" w:fill="FFFFFF"/>
          </w:tcPr>
          <w:p w14:paraId="5098826E"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134.00</w:t>
            </w:r>
          </w:p>
        </w:tc>
        <w:tc>
          <w:tcPr>
            <w:tcW w:w="1080" w:type="dxa"/>
            <w:shd w:val="clear" w:color="auto" w:fill="FFFFFF"/>
          </w:tcPr>
          <w:p w14:paraId="05D0858A"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140.00</w:t>
            </w:r>
          </w:p>
        </w:tc>
        <w:tc>
          <w:tcPr>
            <w:tcW w:w="1337" w:type="dxa"/>
            <w:shd w:val="clear" w:color="auto" w:fill="FFFFFF"/>
          </w:tcPr>
          <w:p w14:paraId="2B9FAEDD"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132.00</w:t>
            </w:r>
          </w:p>
        </w:tc>
      </w:tr>
    </w:tbl>
    <w:p w14:paraId="41B846D3" w14:textId="77777777" w:rsidR="0087627D" w:rsidRDefault="0087627D" w:rsidP="00B732FE">
      <w:pPr>
        <w:spacing w:before="240" w:line="360" w:lineRule="auto"/>
        <w:rPr>
          <w:rFonts w:ascii="Times New Roman" w:eastAsia="Calibri" w:hAnsi="Times New Roman" w:cs="Times New Roman"/>
          <w:sz w:val="24"/>
          <w:szCs w:val="24"/>
        </w:rPr>
      </w:pPr>
      <w:r w:rsidRPr="0087627D">
        <w:rPr>
          <w:rFonts w:ascii="Times New Roman" w:eastAsia="Calibri" w:hAnsi="Times New Roman" w:cs="Times New Roman"/>
          <w:b/>
          <w:sz w:val="24"/>
          <w:szCs w:val="24"/>
        </w:rPr>
        <w:t>Source:</w:t>
      </w:r>
      <w:r w:rsidRPr="0087627D">
        <w:rPr>
          <w:rFonts w:ascii="Times New Roman" w:eastAsia="Calibri" w:hAnsi="Times New Roman" w:cs="Times New Roman"/>
          <w:sz w:val="24"/>
          <w:szCs w:val="24"/>
        </w:rPr>
        <w:t xml:space="preserve"> Field Data (2024).</w:t>
      </w:r>
    </w:p>
    <w:p w14:paraId="5581EE82" w14:textId="77777777" w:rsidR="00554AEB" w:rsidRDefault="00554AEB" w:rsidP="00B732FE">
      <w:pPr>
        <w:spacing w:before="240" w:line="360" w:lineRule="auto"/>
        <w:jc w:val="both"/>
        <w:rPr>
          <w:rFonts w:ascii="Times New Roman" w:hAnsi="Times New Roman" w:cs="Times New Roman"/>
          <w:sz w:val="24"/>
          <w:szCs w:val="24"/>
        </w:rPr>
        <w:sectPr w:rsidR="00554AEB" w:rsidSect="002F26F5">
          <w:type w:val="continuous"/>
          <w:pgSz w:w="12240" w:h="15840"/>
          <w:pgMar w:top="1440" w:right="1440" w:bottom="1440" w:left="1440" w:header="720" w:footer="720" w:gutter="0"/>
          <w:cols w:space="720"/>
          <w:docGrid w:linePitch="360"/>
        </w:sectPr>
      </w:pPr>
    </w:p>
    <w:p w14:paraId="74A7D39B" w14:textId="77777777" w:rsidR="00EA0BF8" w:rsidRPr="00EA0BF8" w:rsidRDefault="00EA0BF8" w:rsidP="00B732FE">
      <w:pPr>
        <w:spacing w:line="360" w:lineRule="auto"/>
        <w:jc w:val="both"/>
        <w:rPr>
          <w:rFonts w:ascii="Times New Roman" w:hAnsi="Times New Roman" w:cs="Times New Roman"/>
          <w:sz w:val="24"/>
          <w:szCs w:val="24"/>
        </w:rPr>
      </w:pPr>
      <w:bookmarkStart w:id="3" w:name="_Toc186357853"/>
      <w:r w:rsidRPr="00EA0BF8">
        <w:rPr>
          <w:rFonts w:ascii="Times New Roman" w:hAnsi="Times New Roman" w:cs="Times New Roman"/>
          <w:sz w:val="24"/>
          <w:szCs w:val="24"/>
        </w:rPr>
        <w:lastRenderedPageBreak/>
        <w:t xml:space="preserve">The enrollment data across three academic years revealed gender disparities in mean scores. In 2020/2021, male students had a significantly higher mean score (104.0) than females (97.7). This trend continued in 2021/2022 with males at 108.9 and females dropping to 92.1. By 2022/2023, both genders experienced declines, with males at 84.67 and females at 78.4. </w:t>
      </w:r>
      <w:r w:rsidR="0009093B" w:rsidRPr="00EA0BF8">
        <w:rPr>
          <w:rFonts w:ascii="Times New Roman" w:hAnsi="Times New Roman" w:cs="Times New Roman"/>
          <w:sz w:val="24"/>
          <w:szCs w:val="24"/>
        </w:rPr>
        <w:t xml:space="preserve">The gap in female enrollment was attributed to socio-cultural barriers, economic </w:t>
      </w:r>
      <w:r w:rsidR="0009093B">
        <w:rPr>
          <w:rFonts w:ascii="Times New Roman" w:hAnsi="Times New Roman" w:cs="Times New Roman"/>
          <w:sz w:val="24"/>
          <w:szCs w:val="24"/>
        </w:rPr>
        <w:t>obstacles</w:t>
      </w:r>
      <w:r w:rsidR="0009093B" w:rsidRPr="00EA0BF8">
        <w:rPr>
          <w:rFonts w:ascii="Times New Roman" w:hAnsi="Times New Roman" w:cs="Times New Roman"/>
          <w:sz w:val="24"/>
          <w:szCs w:val="24"/>
        </w:rPr>
        <w:t>, gender-insensitive language, and limited community engagement, all contributing to lower academic performance and retention for girls.</w:t>
      </w:r>
      <w:r w:rsidRPr="00EA0BF8">
        <w:rPr>
          <w:rFonts w:ascii="Times New Roman" w:hAnsi="Times New Roman" w:cs="Times New Roman"/>
          <w:sz w:val="24"/>
          <w:szCs w:val="24"/>
        </w:rPr>
        <w:t xml:space="preserve"> The mean scores show a consistent performance gap, with males generally outperforming females. The higher standard deviation in female performance suggests unequal access to resources or opportunities. This reflects ongoing gender inequality, impacting girls' education. The variability in enrollment data indicates inconsistent access </w:t>
      </w:r>
      <w:r w:rsidRPr="00EA0BF8">
        <w:rPr>
          <w:rFonts w:ascii="Times New Roman" w:hAnsi="Times New Roman" w:cs="Times New Roman"/>
          <w:sz w:val="24"/>
          <w:szCs w:val="24"/>
        </w:rPr>
        <w:lastRenderedPageBreak/>
        <w:t>to or suppo</w:t>
      </w:r>
      <w:r w:rsidR="00D12B8D">
        <w:rPr>
          <w:rFonts w:ascii="Times New Roman" w:hAnsi="Times New Roman" w:cs="Times New Roman"/>
          <w:sz w:val="24"/>
          <w:szCs w:val="24"/>
        </w:rPr>
        <w:t>rt for girls' education across D</w:t>
      </w:r>
      <w:r w:rsidRPr="00EA0BF8">
        <w:rPr>
          <w:rFonts w:ascii="Times New Roman" w:hAnsi="Times New Roman" w:cs="Times New Roman"/>
          <w:sz w:val="24"/>
          <w:szCs w:val="24"/>
        </w:rPr>
        <w:t>istricts, which may extend nationwide.</w:t>
      </w:r>
    </w:p>
    <w:p w14:paraId="656DCE1A" w14:textId="2B96A8F3" w:rsidR="0009093B" w:rsidRPr="00B87F57" w:rsidRDefault="0009093B" w:rsidP="00B732FE">
      <w:pPr>
        <w:spacing w:line="360" w:lineRule="auto"/>
        <w:jc w:val="both"/>
        <w:rPr>
          <w:rFonts w:ascii="Times New Roman" w:hAnsi="Times New Roman" w:cs="Times New Roman"/>
          <w:b/>
          <w:sz w:val="24"/>
          <w:szCs w:val="24"/>
        </w:rPr>
      </w:pPr>
      <w:r w:rsidRPr="00B87F57">
        <w:rPr>
          <w:rFonts w:ascii="Times New Roman" w:hAnsi="Times New Roman" w:cs="Times New Roman"/>
          <w:b/>
          <w:sz w:val="24"/>
          <w:szCs w:val="24"/>
        </w:rPr>
        <w:t>Inferential Statistical Analyses</w:t>
      </w:r>
    </w:p>
    <w:p w14:paraId="4088B1C2" w14:textId="77777777" w:rsidR="00EA0BF8" w:rsidRDefault="00EA0BF8"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Prior to running the regression analysis, it was interesting to conduct pairwise correlation analysis for more accurate determination of reliability. </w:t>
      </w:r>
      <w:r w:rsidR="0009093B" w:rsidRPr="00EA0BF8">
        <w:rPr>
          <w:rFonts w:ascii="Times New Roman" w:hAnsi="Times New Roman" w:cs="Times New Roman"/>
          <w:sz w:val="24"/>
          <w:szCs w:val="24"/>
        </w:rPr>
        <w:t xml:space="preserve">The analysis </w:t>
      </w:r>
      <w:r w:rsidR="0009093B">
        <w:rPr>
          <w:rFonts w:ascii="Times New Roman" w:hAnsi="Times New Roman" w:cs="Times New Roman"/>
          <w:sz w:val="24"/>
          <w:szCs w:val="24"/>
        </w:rPr>
        <w:t>aimed</w:t>
      </w:r>
      <w:r w:rsidR="0009093B" w:rsidRPr="00EA0BF8">
        <w:rPr>
          <w:rFonts w:ascii="Times New Roman" w:hAnsi="Times New Roman" w:cs="Times New Roman"/>
          <w:sz w:val="24"/>
          <w:szCs w:val="24"/>
        </w:rPr>
        <w:t xml:space="preserve"> at indicating</w:t>
      </w:r>
      <w:r w:rsidR="0009093B">
        <w:rPr>
          <w:rFonts w:ascii="Times New Roman" w:hAnsi="Times New Roman" w:cs="Times New Roman"/>
          <w:sz w:val="24"/>
          <w:szCs w:val="24"/>
        </w:rPr>
        <w:t>,</w:t>
      </w:r>
      <w:r w:rsidR="0009093B" w:rsidRPr="00EA0BF8">
        <w:rPr>
          <w:rFonts w:ascii="Times New Roman" w:hAnsi="Times New Roman" w:cs="Times New Roman"/>
          <w:sz w:val="24"/>
          <w:szCs w:val="24"/>
        </w:rPr>
        <w:t xml:space="preserve"> first</w:t>
      </w:r>
      <w:r w:rsidR="0009093B">
        <w:rPr>
          <w:rFonts w:ascii="Times New Roman" w:hAnsi="Times New Roman" w:cs="Times New Roman"/>
          <w:sz w:val="24"/>
          <w:szCs w:val="24"/>
        </w:rPr>
        <w:t>,</w:t>
      </w:r>
      <w:r w:rsidR="0009093B" w:rsidRPr="00EA0BF8">
        <w:rPr>
          <w:rFonts w:ascii="Times New Roman" w:hAnsi="Times New Roman" w:cs="Times New Roman"/>
          <w:sz w:val="24"/>
          <w:szCs w:val="24"/>
        </w:rPr>
        <w:t xml:space="preserve"> whether </w:t>
      </w:r>
      <w:r w:rsidR="0009093B">
        <w:rPr>
          <w:rFonts w:ascii="Times New Roman" w:hAnsi="Times New Roman" w:cs="Times New Roman"/>
          <w:sz w:val="24"/>
          <w:szCs w:val="24"/>
        </w:rPr>
        <w:t xml:space="preserve">or not the </w:t>
      </w:r>
      <w:r w:rsidR="0009093B" w:rsidRPr="00EA0BF8">
        <w:rPr>
          <w:rFonts w:ascii="Times New Roman" w:hAnsi="Times New Roman" w:cs="Times New Roman"/>
          <w:sz w:val="24"/>
          <w:szCs w:val="24"/>
        </w:rPr>
        <w:t xml:space="preserve">variables were correlated. The findings show that gender equality and girls’ enrollment have a positive and significant correlation at the coefficient </w:t>
      </w:r>
      <w:r w:rsidR="0009093B">
        <w:rPr>
          <w:rFonts w:ascii="Times New Roman" w:hAnsi="Times New Roman" w:cs="Times New Roman"/>
          <w:sz w:val="24"/>
          <w:szCs w:val="24"/>
        </w:rPr>
        <w:t xml:space="preserve">of </w:t>
      </w:r>
      <w:r w:rsidR="0009093B" w:rsidRPr="00EA0BF8">
        <w:rPr>
          <w:rFonts w:ascii="Times New Roman" w:hAnsi="Times New Roman" w:cs="Times New Roman"/>
          <w:sz w:val="24"/>
          <w:szCs w:val="24"/>
        </w:rPr>
        <w:t>r=0.418, p-value &lt; 0.05. The rule of thumb suggests that the item-to-total correlation (r) should exceed 0.03 and the correlation has to be significant</w:t>
      </w:r>
      <w:r w:rsidRPr="00EA0BF8">
        <w:rPr>
          <w:rFonts w:ascii="Times New Roman" w:hAnsi="Times New Roman" w:cs="Times New Roman"/>
          <w:sz w:val="24"/>
          <w:szCs w:val="24"/>
        </w:rPr>
        <w:t xml:space="preserve"> (Hair </w:t>
      </w:r>
      <w:r w:rsidR="001D3B83">
        <w:rPr>
          <w:rFonts w:ascii="Times New Roman" w:hAnsi="Times New Roman" w:cs="Times New Roman"/>
          <w:i/>
          <w:sz w:val="24"/>
          <w:szCs w:val="24"/>
        </w:rPr>
        <w:t>et al.</w:t>
      </w:r>
      <w:r w:rsidRPr="00EA0BF8">
        <w:rPr>
          <w:rFonts w:ascii="Times New Roman" w:hAnsi="Times New Roman" w:cs="Times New Roman"/>
          <w:sz w:val="24"/>
          <w:szCs w:val="24"/>
        </w:rPr>
        <w:t xml:space="preserve"> 2006). </w:t>
      </w:r>
      <w:r w:rsidR="0009093B" w:rsidRPr="00EA0BF8">
        <w:rPr>
          <w:rFonts w:ascii="Times New Roman" w:hAnsi="Times New Roman" w:cs="Times New Roman"/>
          <w:sz w:val="24"/>
          <w:szCs w:val="24"/>
        </w:rPr>
        <w:t>Therefore, the results across gender equality and girls’ enrollment rate</w:t>
      </w:r>
      <w:r w:rsidR="0009093B">
        <w:rPr>
          <w:rFonts w:ascii="Times New Roman" w:hAnsi="Times New Roman" w:cs="Times New Roman"/>
          <w:sz w:val="24"/>
          <w:szCs w:val="24"/>
        </w:rPr>
        <w:t>s</w:t>
      </w:r>
      <w:r w:rsidR="0009093B" w:rsidRPr="00EA0BF8">
        <w:rPr>
          <w:rFonts w:ascii="Times New Roman" w:hAnsi="Times New Roman" w:cs="Times New Roman"/>
          <w:sz w:val="24"/>
          <w:szCs w:val="24"/>
        </w:rPr>
        <w:t xml:space="preserve"> </w:t>
      </w:r>
      <w:r w:rsidR="0009093B">
        <w:rPr>
          <w:rFonts w:ascii="Times New Roman" w:hAnsi="Times New Roman" w:cs="Times New Roman"/>
          <w:sz w:val="24"/>
          <w:szCs w:val="24"/>
        </w:rPr>
        <w:t>had</w:t>
      </w:r>
      <w:r w:rsidR="0009093B" w:rsidRPr="00EA0BF8">
        <w:rPr>
          <w:rFonts w:ascii="Times New Roman" w:hAnsi="Times New Roman" w:cs="Times New Roman"/>
          <w:sz w:val="24"/>
          <w:szCs w:val="24"/>
        </w:rPr>
        <w:t xml:space="preserve"> a positive and significant relationship in public secondary schools in Rwanda.</w:t>
      </w:r>
      <w:r w:rsidR="0009093B">
        <w:rPr>
          <w:rFonts w:ascii="Times New Roman" w:hAnsi="Times New Roman" w:cs="Times New Roman"/>
          <w:sz w:val="24"/>
          <w:szCs w:val="24"/>
        </w:rPr>
        <w:t xml:space="preserve"> </w:t>
      </w:r>
      <w:r w:rsidRPr="00EA0BF8">
        <w:rPr>
          <w:rFonts w:ascii="Times New Roman" w:hAnsi="Times New Roman" w:cs="Times New Roman"/>
          <w:sz w:val="24"/>
          <w:szCs w:val="24"/>
        </w:rPr>
        <w:t>The same results are obtained with a parametric test (Table 3).</w:t>
      </w:r>
    </w:p>
    <w:p w14:paraId="52829A58" w14:textId="77777777" w:rsidR="00B732FE" w:rsidRDefault="00B732FE" w:rsidP="00B732FE">
      <w:pPr>
        <w:spacing w:line="360" w:lineRule="auto"/>
        <w:jc w:val="both"/>
        <w:rPr>
          <w:rFonts w:ascii="Times New Roman" w:eastAsia="Calibri" w:hAnsi="Times New Roman" w:cs="Times New Roman"/>
          <w:bCs/>
          <w:i/>
          <w:sz w:val="24"/>
          <w:szCs w:val="24"/>
        </w:rPr>
        <w:sectPr w:rsidR="00B732FE" w:rsidSect="00B732FE">
          <w:type w:val="continuous"/>
          <w:pgSz w:w="12240" w:h="15840"/>
          <w:pgMar w:top="1440" w:right="1440" w:bottom="1440" w:left="1440" w:header="720" w:footer="720" w:gutter="0"/>
          <w:cols w:num="2" w:space="720"/>
          <w:docGrid w:linePitch="360"/>
        </w:sectPr>
      </w:pPr>
    </w:p>
    <w:p w14:paraId="5718320C" w14:textId="09BDD435" w:rsidR="00F5775C" w:rsidRPr="00F232A8" w:rsidRDefault="00247A0B" w:rsidP="00B732FE">
      <w:pPr>
        <w:spacing w:line="360" w:lineRule="auto"/>
        <w:jc w:val="both"/>
        <w:rPr>
          <w:rFonts w:ascii="Times New Roman" w:eastAsia="Times New Roman" w:hAnsi="Times New Roman" w:cs="Times New Roman"/>
          <w:b/>
          <w:color w:val="000000"/>
          <w:sz w:val="24"/>
          <w:szCs w:val="24"/>
          <w:lang w:val="en-GB"/>
        </w:rPr>
      </w:pPr>
      <w:r>
        <w:rPr>
          <w:rFonts w:ascii="Times New Roman" w:eastAsia="Calibri" w:hAnsi="Times New Roman" w:cs="Times New Roman"/>
          <w:bCs/>
          <w:i/>
          <w:sz w:val="24"/>
          <w:szCs w:val="24"/>
        </w:rPr>
        <w:lastRenderedPageBreak/>
        <w:t>Table 3</w:t>
      </w:r>
      <w:r w:rsidR="00F5775C" w:rsidRPr="00A763FC">
        <w:rPr>
          <w:rFonts w:ascii="Times New Roman" w:eastAsia="Calibri" w:hAnsi="Times New Roman" w:cs="Times New Roman"/>
          <w:bCs/>
          <w:i/>
          <w:sz w:val="24"/>
          <w:szCs w:val="24"/>
        </w:rPr>
        <w:t>:</w:t>
      </w:r>
      <w:r w:rsidR="00F5775C" w:rsidRPr="00F5775C">
        <w:rPr>
          <w:rFonts w:ascii="Times New Roman" w:eastAsia="Calibri" w:hAnsi="Times New Roman" w:cs="Times New Roman"/>
          <w:b/>
          <w:bCs/>
          <w:sz w:val="24"/>
          <w:szCs w:val="24"/>
        </w:rPr>
        <w:t xml:space="preserve"> </w:t>
      </w:r>
      <w:r w:rsidR="00F5775C" w:rsidRPr="00F5775C">
        <w:rPr>
          <w:rFonts w:ascii="Times New Roman" w:eastAsia="Times New Roman" w:hAnsi="Times New Roman" w:cs="Times New Roman"/>
          <w:b/>
          <w:color w:val="000000"/>
          <w:sz w:val="24"/>
          <w:szCs w:val="24"/>
        </w:rPr>
        <w:t>Correlations</w:t>
      </w:r>
      <w:r w:rsidR="00F5775C" w:rsidRPr="00F5775C">
        <w:rPr>
          <w:rFonts w:ascii="Times New Roman" w:eastAsia="Times New Roman" w:hAnsi="Times New Roman" w:cs="Times New Roman"/>
          <w:b/>
          <w:color w:val="000000"/>
          <w:sz w:val="24"/>
          <w:szCs w:val="24"/>
          <w:lang w:val="en-GB"/>
        </w:rPr>
        <w:t xml:space="preserve"> (Non-parametric)</w:t>
      </w:r>
      <w:bookmarkEnd w:id="3"/>
      <w:r w:rsidR="00F232A8">
        <w:rPr>
          <w:rFonts w:ascii="Times New Roman" w:eastAsia="Times New Roman" w:hAnsi="Times New Roman" w:cs="Times New Roman"/>
          <w:b/>
          <w:color w:val="000000"/>
          <w:sz w:val="24"/>
          <w:szCs w:val="24"/>
          <w:lang w:val="en-GB"/>
        </w:rPr>
        <w:t xml:space="preserve"> </w:t>
      </w:r>
    </w:p>
    <w:tbl>
      <w:tblPr>
        <w:tblW w:w="5000" w:type="pct"/>
        <w:tblBorders>
          <w:bottom w:val="single" w:sz="4" w:space="0" w:color="auto"/>
        </w:tblBorders>
        <w:tblLook w:val="04A0" w:firstRow="1" w:lastRow="0" w:firstColumn="1" w:lastColumn="0" w:noHBand="0" w:noVBand="1"/>
      </w:tblPr>
      <w:tblGrid>
        <w:gridCol w:w="1925"/>
        <w:gridCol w:w="2935"/>
        <w:gridCol w:w="4500"/>
      </w:tblGrid>
      <w:tr w:rsidR="00F5775C" w:rsidRPr="00F5775C" w14:paraId="29EB3B14" w14:textId="77777777" w:rsidTr="00D169F8">
        <w:trPr>
          <w:trHeight w:val="319"/>
        </w:trPr>
        <w:tc>
          <w:tcPr>
            <w:tcW w:w="5000" w:type="pct"/>
            <w:gridSpan w:val="3"/>
            <w:tcBorders>
              <w:bottom w:val="single" w:sz="4" w:space="0" w:color="auto"/>
            </w:tcBorders>
            <w:shd w:val="clear" w:color="auto" w:fill="auto"/>
          </w:tcPr>
          <w:p w14:paraId="5644D6A4" w14:textId="77777777" w:rsidR="00F5775C" w:rsidRPr="00F5775C" w:rsidRDefault="00F5775C"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bCs/>
                <w:color w:val="000000"/>
                <w:sz w:val="24"/>
                <w:szCs w:val="24"/>
              </w:rPr>
              <w:t>Correlations</w:t>
            </w:r>
            <w:r w:rsidRPr="00F5775C">
              <w:rPr>
                <w:rFonts w:ascii="Times New Roman" w:eastAsia="Times New Roman" w:hAnsi="Times New Roman" w:cs="Times New Roman"/>
                <w:b/>
                <w:bCs/>
                <w:color w:val="000000"/>
                <w:sz w:val="24"/>
                <w:szCs w:val="24"/>
                <w:lang w:val="en-GB"/>
              </w:rPr>
              <w:t xml:space="preserve"> (non-parametric)</w:t>
            </w:r>
          </w:p>
        </w:tc>
      </w:tr>
      <w:tr w:rsidR="008C3BAA" w:rsidRPr="00F5775C" w14:paraId="0BFAA22D" w14:textId="77777777" w:rsidTr="00D169F8">
        <w:trPr>
          <w:trHeight w:val="319"/>
        </w:trPr>
        <w:tc>
          <w:tcPr>
            <w:tcW w:w="2596" w:type="pct"/>
            <w:gridSpan w:val="2"/>
            <w:tcBorders>
              <w:top w:val="single" w:sz="4" w:space="0" w:color="auto"/>
              <w:bottom w:val="single" w:sz="4" w:space="0" w:color="auto"/>
            </w:tcBorders>
            <w:shd w:val="clear" w:color="auto" w:fill="auto"/>
            <w:vAlign w:val="bottom"/>
            <w:hideMark/>
          </w:tcPr>
          <w:p w14:paraId="40463E84"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w:t>
            </w:r>
            <w:r w:rsidRPr="00F5775C">
              <w:rPr>
                <w:rFonts w:ascii="Times New Roman" w:eastAsia="Times New Roman" w:hAnsi="Times New Roman" w:cs="Times New Roman"/>
                <w:color w:val="000000"/>
                <w:sz w:val="24"/>
                <w:szCs w:val="24"/>
                <w:lang w:val="en-GB"/>
              </w:rPr>
              <w:t>Testing Variables</w:t>
            </w:r>
          </w:p>
        </w:tc>
        <w:tc>
          <w:tcPr>
            <w:tcW w:w="2404" w:type="pct"/>
            <w:tcBorders>
              <w:top w:val="single" w:sz="4" w:space="0" w:color="auto"/>
              <w:bottom w:val="single" w:sz="4" w:space="0" w:color="auto"/>
            </w:tcBorders>
            <w:shd w:val="clear" w:color="auto" w:fill="auto"/>
            <w:vAlign w:val="bottom"/>
            <w:hideMark/>
          </w:tcPr>
          <w:p w14:paraId="61D91608"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rPr>
              <w:t>Gender Equality</w:t>
            </w:r>
          </w:p>
          <w:p w14:paraId="602F2711"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p>
        </w:tc>
      </w:tr>
      <w:tr w:rsidR="008C3BAA" w:rsidRPr="00F5775C" w14:paraId="289DF677" w14:textId="77777777" w:rsidTr="00D169F8">
        <w:trPr>
          <w:trHeight w:val="319"/>
        </w:trPr>
        <w:tc>
          <w:tcPr>
            <w:tcW w:w="1028" w:type="pct"/>
            <w:vMerge w:val="restart"/>
            <w:tcBorders>
              <w:top w:val="single" w:sz="4" w:space="0" w:color="auto"/>
              <w:bottom w:val="nil"/>
            </w:tcBorders>
            <w:shd w:val="clear" w:color="auto" w:fill="auto"/>
            <w:hideMark/>
          </w:tcPr>
          <w:p w14:paraId="292C5A83" w14:textId="77777777" w:rsidR="008C3BAA" w:rsidRPr="00F5775C" w:rsidRDefault="008C3BAA" w:rsidP="00B732F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Gender Equality </w:t>
            </w:r>
          </w:p>
        </w:tc>
        <w:tc>
          <w:tcPr>
            <w:tcW w:w="1568" w:type="pct"/>
            <w:tcBorders>
              <w:top w:val="single" w:sz="4" w:space="0" w:color="auto"/>
              <w:bottom w:val="nil"/>
            </w:tcBorders>
            <w:shd w:val="clear" w:color="auto" w:fill="auto"/>
            <w:hideMark/>
          </w:tcPr>
          <w:p w14:paraId="259915FA"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Spearman's rho Correlation</w:t>
            </w:r>
          </w:p>
        </w:tc>
        <w:tc>
          <w:tcPr>
            <w:tcW w:w="2404" w:type="pct"/>
            <w:tcBorders>
              <w:top w:val="single" w:sz="4" w:space="0" w:color="auto"/>
              <w:bottom w:val="nil"/>
            </w:tcBorders>
            <w:shd w:val="clear" w:color="auto" w:fill="auto"/>
            <w:noWrap/>
            <w:vAlign w:val="center"/>
            <w:hideMark/>
          </w:tcPr>
          <w:p w14:paraId="7CECEF1C"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lang w:val="en-GB"/>
              </w:rPr>
              <w:t>0</w:t>
            </w:r>
            <w:r w:rsidRPr="00F5775C">
              <w:rPr>
                <w:rFonts w:ascii="Times New Roman" w:eastAsia="Times New Roman" w:hAnsi="Times New Roman" w:cs="Times New Roman"/>
                <w:b/>
                <w:color w:val="000000"/>
                <w:sz w:val="24"/>
                <w:szCs w:val="24"/>
              </w:rPr>
              <w:t>.418</w:t>
            </w:r>
            <w:r w:rsidRPr="00F5775C">
              <w:rPr>
                <w:rFonts w:ascii="Times New Roman" w:eastAsia="Times New Roman" w:hAnsi="Times New Roman" w:cs="Times New Roman"/>
                <w:b/>
                <w:color w:val="000000"/>
                <w:sz w:val="24"/>
                <w:szCs w:val="24"/>
                <w:vertAlign w:val="superscript"/>
              </w:rPr>
              <w:t>**</w:t>
            </w:r>
          </w:p>
        </w:tc>
      </w:tr>
      <w:tr w:rsidR="008C3BAA" w:rsidRPr="00F5775C" w14:paraId="1278E7A5" w14:textId="77777777" w:rsidTr="00D169F8">
        <w:trPr>
          <w:trHeight w:val="319"/>
        </w:trPr>
        <w:tc>
          <w:tcPr>
            <w:tcW w:w="1028" w:type="pct"/>
            <w:vMerge/>
            <w:tcBorders>
              <w:top w:val="nil"/>
            </w:tcBorders>
            <w:vAlign w:val="center"/>
            <w:hideMark/>
          </w:tcPr>
          <w:p w14:paraId="4F04FF48"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p>
        </w:tc>
        <w:tc>
          <w:tcPr>
            <w:tcW w:w="1568" w:type="pct"/>
            <w:tcBorders>
              <w:top w:val="nil"/>
              <w:bottom w:val="nil"/>
            </w:tcBorders>
            <w:shd w:val="clear" w:color="auto" w:fill="auto"/>
            <w:hideMark/>
          </w:tcPr>
          <w:p w14:paraId="0DC25503"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Sig. (2-tailed)</w:t>
            </w:r>
          </w:p>
        </w:tc>
        <w:tc>
          <w:tcPr>
            <w:tcW w:w="2404" w:type="pct"/>
            <w:tcBorders>
              <w:top w:val="nil"/>
              <w:bottom w:val="nil"/>
            </w:tcBorders>
            <w:shd w:val="clear" w:color="auto" w:fill="auto"/>
            <w:noWrap/>
            <w:vAlign w:val="center"/>
            <w:hideMark/>
          </w:tcPr>
          <w:p w14:paraId="7343FE1F" w14:textId="77777777" w:rsidR="008C3BAA" w:rsidRPr="00F5775C" w:rsidRDefault="008C3BAA" w:rsidP="00B732FE">
            <w:pPr>
              <w:spacing w:after="0" w:line="360" w:lineRule="auto"/>
              <w:jc w:val="center"/>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lang w:val="en-GB"/>
              </w:rPr>
              <w:t>0</w:t>
            </w:r>
            <w:r w:rsidRPr="00F5775C">
              <w:rPr>
                <w:rFonts w:ascii="Times New Roman" w:eastAsia="Times New Roman" w:hAnsi="Times New Roman" w:cs="Times New Roman"/>
                <w:color w:val="000000"/>
                <w:sz w:val="24"/>
                <w:szCs w:val="24"/>
              </w:rPr>
              <w:t>.000</w:t>
            </w:r>
          </w:p>
        </w:tc>
      </w:tr>
      <w:tr w:rsidR="00F5775C" w:rsidRPr="00F5775C" w14:paraId="255E2FE3" w14:textId="77777777" w:rsidTr="00D169F8">
        <w:trPr>
          <w:trHeight w:val="319"/>
        </w:trPr>
        <w:tc>
          <w:tcPr>
            <w:tcW w:w="5000" w:type="pct"/>
            <w:gridSpan w:val="3"/>
            <w:tcBorders>
              <w:bottom w:val="nil"/>
            </w:tcBorders>
            <w:vAlign w:val="center"/>
          </w:tcPr>
          <w:p w14:paraId="435B6C80"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lang w:val="en-GB"/>
              </w:rPr>
              <w:t>Total number of respondents</w:t>
            </w:r>
            <w:r w:rsidRPr="00F5775C">
              <w:rPr>
                <w:rFonts w:ascii="Times New Roman" w:eastAsia="Times New Roman" w:hAnsi="Times New Roman" w:cs="Times New Roman"/>
                <w:color w:val="000000"/>
                <w:sz w:val="24"/>
                <w:szCs w:val="24"/>
              </w:rPr>
              <w:t xml:space="preserve"> </w:t>
            </w:r>
            <w:r w:rsidRPr="00F5775C">
              <w:rPr>
                <w:rFonts w:ascii="Times New Roman" w:eastAsia="Times New Roman" w:hAnsi="Times New Roman" w:cs="Times New Roman"/>
                <w:color w:val="000000"/>
                <w:sz w:val="24"/>
                <w:szCs w:val="24"/>
                <w:lang w:val="en-GB"/>
              </w:rPr>
              <w:t>260</w:t>
            </w:r>
          </w:p>
        </w:tc>
      </w:tr>
      <w:tr w:rsidR="00F5775C" w:rsidRPr="00F5775C" w14:paraId="5C1E8408" w14:textId="77777777" w:rsidTr="00D169F8">
        <w:trPr>
          <w:trHeight w:val="319"/>
        </w:trPr>
        <w:tc>
          <w:tcPr>
            <w:tcW w:w="5000" w:type="pct"/>
            <w:gridSpan w:val="3"/>
            <w:tcBorders>
              <w:bottom w:val="nil"/>
            </w:tcBorders>
          </w:tcPr>
          <w:p w14:paraId="295FD296"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Correlation is significant at the 0.01 level (2-tailed).</w:t>
            </w:r>
          </w:p>
        </w:tc>
      </w:tr>
      <w:tr w:rsidR="00F5775C" w:rsidRPr="00F5775C" w14:paraId="5CA36EFD" w14:textId="77777777" w:rsidTr="00D169F8">
        <w:trPr>
          <w:trHeight w:val="319"/>
        </w:trPr>
        <w:tc>
          <w:tcPr>
            <w:tcW w:w="5000" w:type="pct"/>
            <w:gridSpan w:val="3"/>
            <w:tcBorders>
              <w:bottom w:val="single" w:sz="4" w:space="0" w:color="auto"/>
            </w:tcBorders>
          </w:tcPr>
          <w:p w14:paraId="19BC01F2"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lastRenderedPageBreak/>
              <w:t>*. Correlation is significant at the 0.05 level (2-tailed).</w:t>
            </w:r>
          </w:p>
        </w:tc>
      </w:tr>
    </w:tbl>
    <w:p w14:paraId="04E5C418" w14:textId="77777777" w:rsidR="000B692E" w:rsidRDefault="000B692E" w:rsidP="00B732FE">
      <w:pPr>
        <w:spacing w:line="360" w:lineRule="auto"/>
        <w:jc w:val="both"/>
        <w:rPr>
          <w:rFonts w:ascii="Times New Roman" w:eastAsia="Calibri" w:hAnsi="Times New Roman" w:cs="Times New Roman"/>
          <w:bCs/>
          <w:i/>
          <w:sz w:val="24"/>
          <w:szCs w:val="24"/>
        </w:rPr>
      </w:pPr>
      <w:bookmarkStart w:id="4" w:name="_Toc186357854"/>
    </w:p>
    <w:p w14:paraId="7DA07A92" w14:textId="62311AEF" w:rsidR="00F5775C" w:rsidRPr="00F5775C" w:rsidRDefault="00247A0B" w:rsidP="00B732FE">
      <w:pPr>
        <w:spacing w:line="360" w:lineRule="auto"/>
        <w:jc w:val="both"/>
        <w:rPr>
          <w:rFonts w:ascii="Times New Roman" w:eastAsia="Calibri" w:hAnsi="Times New Roman" w:cs="Times New Roman"/>
          <w:b/>
          <w:bCs/>
          <w:sz w:val="24"/>
          <w:szCs w:val="24"/>
          <w:lang w:val="en-GB"/>
        </w:rPr>
      </w:pPr>
      <w:r>
        <w:rPr>
          <w:rFonts w:ascii="Times New Roman" w:eastAsia="Calibri" w:hAnsi="Times New Roman" w:cs="Times New Roman"/>
          <w:bCs/>
          <w:i/>
          <w:sz w:val="24"/>
          <w:szCs w:val="24"/>
        </w:rPr>
        <w:t>Table 4</w:t>
      </w:r>
      <w:r w:rsidR="00F5775C" w:rsidRPr="00F5775C">
        <w:rPr>
          <w:rFonts w:ascii="Times New Roman" w:eastAsia="Calibri" w:hAnsi="Times New Roman" w:cs="Times New Roman"/>
          <w:b/>
          <w:bCs/>
          <w:sz w:val="24"/>
          <w:szCs w:val="24"/>
        </w:rPr>
        <w:t xml:space="preserve"> </w:t>
      </w:r>
      <w:r w:rsidR="00F5775C" w:rsidRPr="00F5775C">
        <w:rPr>
          <w:rFonts w:ascii="Times New Roman" w:eastAsia="Times New Roman" w:hAnsi="Times New Roman" w:cs="Times New Roman"/>
          <w:b/>
          <w:color w:val="000000"/>
          <w:sz w:val="24"/>
          <w:szCs w:val="24"/>
        </w:rPr>
        <w:t>Correlations</w:t>
      </w:r>
      <w:r w:rsidR="00F5775C" w:rsidRPr="00F5775C">
        <w:rPr>
          <w:rFonts w:ascii="Times New Roman" w:eastAsia="Times New Roman" w:hAnsi="Times New Roman" w:cs="Times New Roman"/>
          <w:b/>
          <w:color w:val="000000"/>
          <w:sz w:val="24"/>
          <w:szCs w:val="24"/>
          <w:lang w:val="en-GB"/>
        </w:rPr>
        <w:t xml:space="preserve"> (parametric)</w:t>
      </w:r>
      <w:bookmarkEnd w:id="4"/>
    </w:p>
    <w:tbl>
      <w:tblPr>
        <w:tblW w:w="5000" w:type="pct"/>
        <w:tblBorders>
          <w:bottom w:val="single" w:sz="4" w:space="0" w:color="auto"/>
        </w:tblBorders>
        <w:tblLook w:val="04A0" w:firstRow="1" w:lastRow="0" w:firstColumn="1" w:lastColumn="0" w:noHBand="0" w:noVBand="1"/>
      </w:tblPr>
      <w:tblGrid>
        <w:gridCol w:w="1924"/>
        <w:gridCol w:w="3117"/>
        <w:gridCol w:w="4319"/>
      </w:tblGrid>
      <w:tr w:rsidR="00F5775C" w:rsidRPr="00F5775C" w14:paraId="482B1868" w14:textId="77777777" w:rsidTr="00D169F8">
        <w:trPr>
          <w:trHeight w:val="319"/>
        </w:trPr>
        <w:tc>
          <w:tcPr>
            <w:tcW w:w="5000" w:type="pct"/>
            <w:gridSpan w:val="3"/>
            <w:tcBorders>
              <w:bottom w:val="single" w:sz="4" w:space="0" w:color="auto"/>
            </w:tcBorders>
            <w:shd w:val="clear" w:color="auto" w:fill="auto"/>
          </w:tcPr>
          <w:p w14:paraId="108B398A" w14:textId="77777777" w:rsidR="00F5775C" w:rsidRPr="00F5775C" w:rsidRDefault="00F5775C"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bCs/>
                <w:color w:val="000000"/>
                <w:sz w:val="24"/>
                <w:szCs w:val="24"/>
              </w:rPr>
              <w:t>Correlations</w:t>
            </w:r>
            <w:r w:rsidRPr="00F5775C">
              <w:rPr>
                <w:rFonts w:ascii="Times New Roman" w:eastAsia="Times New Roman" w:hAnsi="Times New Roman" w:cs="Times New Roman"/>
                <w:b/>
                <w:bCs/>
                <w:color w:val="000000"/>
                <w:sz w:val="24"/>
                <w:szCs w:val="24"/>
                <w:lang w:val="en-GB"/>
              </w:rPr>
              <w:t xml:space="preserve"> (parametric)</w:t>
            </w:r>
          </w:p>
        </w:tc>
      </w:tr>
      <w:tr w:rsidR="008C3BAA" w:rsidRPr="00F5775C" w14:paraId="422EB8EA" w14:textId="77777777" w:rsidTr="00D169F8">
        <w:trPr>
          <w:trHeight w:val="319"/>
        </w:trPr>
        <w:tc>
          <w:tcPr>
            <w:tcW w:w="2693" w:type="pct"/>
            <w:gridSpan w:val="2"/>
            <w:tcBorders>
              <w:top w:val="single" w:sz="4" w:space="0" w:color="auto"/>
              <w:bottom w:val="single" w:sz="4" w:space="0" w:color="auto"/>
            </w:tcBorders>
            <w:shd w:val="clear" w:color="auto" w:fill="auto"/>
            <w:vAlign w:val="bottom"/>
            <w:hideMark/>
          </w:tcPr>
          <w:p w14:paraId="38542D3E"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w:t>
            </w:r>
            <w:r w:rsidRPr="00F5775C">
              <w:rPr>
                <w:rFonts w:ascii="Times New Roman" w:eastAsia="Times New Roman" w:hAnsi="Times New Roman" w:cs="Times New Roman"/>
                <w:color w:val="000000"/>
                <w:sz w:val="24"/>
                <w:szCs w:val="24"/>
                <w:lang w:val="en-GB"/>
              </w:rPr>
              <w:t>Testing Variables</w:t>
            </w:r>
          </w:p>
        </w:tc>
        <w:tc>
          <w:tcPr>
            <w:tcW w:w="2307" w:type="pct"/>
            <w:tcBorders>
              <w:top w:val="single" w:sz="4" w:space="0" w:color="auto"/>
              <w:bottom w:val="single" w:sz="4" w:space="0" w:color="auto"/>
            </w:tcBorders>
            <w:shd w:val="clear" w:color="auto" w:fill="auto"/>
            <w:vAlign w:val="bottom"/>
            <w:hideMark/>
          </w:tcPr>
          <w:p w14:paraId="105866BD"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rPr>
              <w:t>Gender Equality</w:t>
            </w:r>
          </w:p>
          <w:p w14:paraId="2A6A1184"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p>
        </w:tc>
      </w:tr>
      <w:tr w:rsidR="008C3BAA" w:rsidRPr="00F5775C" w14:paraId="352927AF" w14:textId="77777777" w:rsidTr="00D169F8">
        <w:trPr>
          <w:trHeight w:val="319"/>
        </w:trPr>
        <w:tc>
          <w:tcPr>
            <w:tcW w:w="1028" w:type="pct"/>
            <w:vMerge w:val="restart"/>
            <w:tcBorders>
              <w:top w:val="single" w:sz="4" w:space="0" w:color="auto"/>
              <w:bottom w:val="nil"/>
            </w:tcBorders>
            <w:shd w:val="clear" w:color="auto" w:fill="auto"/>
            <w:hideMark/>
          </w:tcPr>
          <w:p w14:paraId="1578B92F" w14:textId="77777777" w:rsidR="008C3BAA" w:rsidRPr="00F5775C" w:rsidRDefault="008C3BAA" w:rsidP="00B732F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Gender Equality</w:t>
            </w:r>
            <w:r w:rsidRPr="00F5775C">
              <w:rPr>
                <w:rFonts w:ascii="Times New Roman" w:eastAsia="Times New Roman" w:hAnsi="Times New Roman" w:cs="Times New Roman"/>
                <w:b/>
                <w:color w:val="000000"/>
                <w:sz w:val="24"/>
                <w:szCs w:val="24"/>
              </w:rPr>
              <w:t xml:space="preserve"> </w:t>
            </w:r>
          </w:p>
        </w:tc>
        <w:tc>
          <w:tcPr>
            <w:tcW w:w="1665" w:type="pct"/>
            <w:tcBorders>
              <w:top w:val="single" w:sz="4" w:space="0" w:color="auto"/>
              <w:bottom w:val="nil"/>
            </w:tcBorders>
            <w:shd w:val="clear" w:color="auto" w:fill="auto"/>
            <w:hideMark/>
          </w:tcPr>
          <w:p w14:paraId="53650130"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Pearson Correlation</w:t>
            </w:r>
          </w:p>
        </w:tc>
        <w:tc>
          <w:tcPr>
            <w:tcW w:w="2307" w:type="pct"/>
            <w:tcBorders>
              <w:top w:val="single" w:sz="4" w:space="0" w:color="auto"/>
              <w:bottom w:val="nil"/>
            </w:tcBorders>
            <w:shd w:val="clear" w:color="auto" w:fill="auto"/>
            <w:noWrap/>
            <w:vAlign w:val="center"/>
            <w:hideMark/>
          </w:tcPr>
          <w:p w14:paraId="64EB625B"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rPr>
              <w:t>0.391</w:t>
            </w:r>
            <w:r w:rsidRPr="00F5775C">
              <w:rPr>
                <w:rFonts w:ascii="Times New Roman" w:eastAsia="Times New Roman" w:hAnsi="Times New Roman" w:cs="Times New Roman"/>
                <w:b/>
                <w:color w:val="000000"/>
                <w:sz w:val="24"/>
                <w:szCs w:val="24"/>
                <w:vertAlign w:val="superscript"/>
              </w:rPr>
              <w:t>**</w:t>
            </w:r>
          </w:p>
        </w:tc>
      </w:tr>
      <w:tr w:rsidR="008C3BAA" w:rsidRPr="00F5775C" w14:paraId="3B92FD20" w14:textId="77777777" w:rsidTr="00D169F8">
        <w:trPr>
          <w:trHeight w:val="319"/>
        </w:trPr>
        <w:tc>
          <w:tcPr>
            <w:tcW w:w="1028" w:type="pct"/>
            <w:vMerge/>
            <w:tcBorders>
              <w:bottom w:val="nil"/>
            </w:tcBorders>
            <w:vAlign w:val="center"/>
            <w:hideMark/>
          </w:tcPr>
          <w:p w14:paraId="06E42A43"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p>
        </w:tc>
        <w:tc>
          <w:tcPr>
            <w:tcW w:w="1665" w:type="pct"/>
            <w:tcBorders>
              <w:bottom w:val="nil"/>
            </w:tcBorders>
            <w:shd w:val="clear" w:color="auto" w:fill="auto"/>
            <w:hideMark/>
          </w:tcPr>
          <w:p w14:paraId="7A35FCF7"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Sig. (2-tailed)</w:t>
            </w:r>
          </w:p>
        </w:tc>
        <w:tc>
          <w:tcPr>
            <w:tcW w:w="2307" w:type="pct"/>
            <w:tcBorders>
              <w:bottom w:val="nil"/>
            </w:tcBorders>
            <w:shd w:val="clear" w:color="auto" w:fill="auto"/>
            <w:noWrap/>
            <w:vAlign w:val="center"/>
            <w:hideMark/>
          </w:tcPr>
          <w:p w14:paraId="04368B84" w14:textId="77777777" w:rsidR="008C3BAA" w:rsidRPr="00F5775C" w:rsidRDefault="008C3BAA" w:rsidP="00B732FE">
            <w:pPr>
              <w:spacing w:after="0" w:line="360" w:lineRule="auto"/>
              <w:jc w:val="center"/>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0.000</w:t>
            </w:r>
          </w:p>
        </w:tc>
      </w:tr>
      <w:tr w:rsidR="00F5775C" w:rsidRPr="00F5775C" w14:paraId="1F17474F" w14:textId="77777777" w:rsidTr="00D169F8">
        <w:trPr>
          <w:trHeight w:val="319"/>
        </w:trPr>
        <w:tc>
          <w:tcPr>
            <w:tcW w:w="5000" w:type="pct"/>
            <w:gridSpan w:val="3"/>
            <w:tcBorders>
              <w:bottom w:val="nil"/>
            </w:tcBorders>
            <w:vAlign w:val="center"/>
          </w:tcPr>
          <w:p w14:paraId="11059AFB"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lang w:val="en-GB"/>
              </w:rPr>
              <w:t xml:space="preserve">Total number of </w:t>
            </w:r>
            <w:r w:rsidR="00670A7B" w:rsidRPr="00F5775C">
              <w:rPr>
                <w:rFonts w:ascii="Times New Roman" w:eastAsia="Times New Roman" w:hAnsi="Times New Roman" w:cs="Times New Roman"/>
                <w:color w:val="000000"/>
                <w:sz w:val="24"/>
                <w:szCs w:val="24"/>
                <w:lang w:val="en-GB"/>
              </w:rPr>
              <w:t>respondents</w:t>
            </w:r>
            <w:r w:rsidR="00670A7B" w:rsidRPr="00F5775C">
              <w:rPr>
                <w:rFonts w:ascii="Times New Roman" w:eastAsia="Times New Roman" w:hAnsi="Times New Roman" w:cs="Times New Roman"/>
                <w:color w:val="000000"/>
                <w:sz w:val="24"/>
                <w:szCs w:val="24"/>
              </w:rPr>
              <w:t xml:space="preserve"> 260</w:t>
            </w:r>
          </w:p>
        </w:tc>
      </w:tr>
      <w:tr w:rsidR="00F5775C" w:rsidRPr="00F5775C" w14:paraId="29734DCA" w14:textId="77777777" w:rsidTr="00D169F8">
        <w:trPr>
          <w:trHeight w:val="319"/>
        </w:trPr>
        <w:tc>
          <w:tcPr>
            <w:tcW w:w="5000" w:type="pct"/>
            <w:gridSpan w:val="3"/>
            <w:tcBorders>
              <w:bottom w:val="single" w:sz="4" w:space="0" w:color="auto"/>
            </w:tcBorders>
          </w:tcPr>
          <w:p w14:paraId="5B17570C"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Correlation is significant at the 0.01 level (2-tailed).</w:t>
            </w:r>
          </w:p>
        </w:tc>
      </w:tr>
    </w:tbl>
    <w:p w14:paraId="477BFD79" w14:textId="77777777" w:rsidR="00000873" w:rsidRPr="00000873" w:rsidRDefault="00000873" w:rsidP="00B732FE">
      <w:pPr>
        <w:spacing w:line="360" w:lineRule="auto"/>
        <w:jc w:val="both"/>
        <w:rPr>
          <w:rFonts w:ascii="Times New Roman" w:eastAsia="Calibri" w:hAnsi="Times New Roman" w:cs="Times New Roman"/>
          <w:sz w:val="24"/>
        </w:rPr>
      </w:pPr>
    </w:p>
    <w:p w14:paraId="7AB7E28C" w14:textId="77777777" w:rsidR="00B312D5" w:rsidRDefault="00B312D5" w:rsidP="00B732FE">
      <w:pPr>
        <w:spacing w:line="360" w:lineRule="auto"/>
        <w:contextualSpacing/>
        <w:jc w:val="both"/>
        <w:rPr>
          <w:rFonts w:ascii="Times New Roman" w:hAnsi="Times New Roman" w:cs="Times New Roman"/>
          <w:sz w:val="24"/>
          <w:szCs w:val="24"/>
        </w:rPr>
        <w:sectPr w:rsidR="00B312D5" w:rsidSect="002F26F5">
          <w:type w:val="continuous"/>
          <w:pgSz w:w="12240" w:h="15840"/>
          <w:pgMar w:top="1440" w:right="1440" w:bottom="1440" w:left="1440" w:header="720" w:footer="720" w:gutter="0"/>
          <w:cols w:space="720"/>
          <w:docGrid w:linePitch="360"/>
        </w:sectPr>
      </w:pPr>
    </w:p>
    <w:p w14:paraId="7B7AFBA8" w14:textId="77777777" w:rsidR="002A501C" w:rsidRPr="00627AEC" w:rsidRDefault="0009093B" w:rsidP="00B732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Table 3 and 4</w:t>
      </w:r>
      <w:r w:rsidRPr="006F04B4">
        <w:rPr>
          <w:rFonts w:ascii="Times New Roman" w:hAnsi="Times New Roman" w:cs="Times New Roman"/>
          <w:sz w:val="24"/>
          <w:szCs w:val="24"/>
        </w:rPr>
        <w:t xml:space="preserve">, </w:t>
      </w:r>
      <w:r>
        <w:rPr>
          <w:rFonts w:ascii="Times New Roman" w:hAnsi="Times New Roman" w:cs="Times New Roman"/>
          <w:sz w:val="24"/>
          <w:szCs w:val="24"/>
        </w:rPr>
        <w:t>reveal that gender equali</w:t>
      </w:r>
      <w:r w:rsidRPr="006F04B4">
        <w:rPr>
          <w:rFonts w:ascii="Times New Roman" w:hAnsi="Times New Roman" w:cs="Times New Roman"/>
          <w:sz w:val="24"/>
          <w:szCs w:val="24"/>
        </w:rPr>
        <w:t>ty has a statistical significance weak posit</w:t>
      </w:r>
      <w:r>
        <w:rPr>
          <w:rFonts w:ascii="Times New Roman" w:hAnsi="Times New Roman" w:cs="Times New Roman"/>
          <w:sz w:val="24"/>
          <w:szCs w:val="24"/>
        </w:rPr>
        <w:t>ive correlation with the girls’ enrollment rate</w:t>
      </w:r>
      <w:r w:rsidRPr="006F04B4">
        <w:rPr>
          <w:rFonts w:ascii="Times New Roman" w:hAnsi="Times New Roman" w:cs="Times New Roman"/>
          <w:sz w:val="24"/>
          <w:szCs w:val="24"/>
        </w:rPr>
        <w:t xml:space="preserve"> in public secondary schools where </w:t>
      </w:r>
      <w:r w:rsidRPr="00557E85">
        <w:rPr>
          <w:rFonts w:ascii="Times New Roman" w:hAnsi="Times New Roman" w:cs="Times New Roman"/>
          <w:sz w:val="24"/>
          <w:szCs w:val="24"/>
        </w:rPr>
        <w:t xml:space="preserve">r = </w:t>
      </w:r>
      <w:r w:rsidRPr="00557E85">
        <w:rPr>
          <w:rFonts w:ascii="Times New Roman" w:eastAsia="Times New Roman" w:hAnsi="Times New Roman" w:cs="Times New Roman"/>
          <w:color w:val="000000"/>
          <w:sz w:val="24"/>
          <w:szCs w:val="24"/>
        </w:rPr>
        <w:t>.418 (0.391 para</w:t>
      </w:r>
      <w:r>
        <w:rPr>
          <w:rFonts w:ascii="Times New Roman" w:eastAsia="Times New Roman" w:hAnsi="Times New Roman" w:cs="Times New Roman"/>
          <w:color w:val="000000"/>
          <w:sz w:val="24"/>
          <w:szCs w:val="24"/>
        </w:rPr>
        <w:t>me</w:t>
      </w:r>
      <w:r w:rsidRPr="00557E85">
        <w:rPr>
          <w:rFonts w:ascii="Times New Roman" w:eastAsia="Times New Roman" w:hAnsi="Times New Roman" w:cs="Times New Roman"/>
          <w:color w:val="000000"/>
          <w:sz w:val="24"/>
          <w:szCs w:val="24"/>
        </w:rPr>
        <w:t>tric case)</w:t>
      </w:r>
      <w:r w:rsidRPr="00557E85">
        <w:rPr>
          <w:rFonts w:ascii="Times New Roman" w:eastAsia="Times New Roman" w:hAnsi="Times New Roman" w:cs="Times New Roman"/>
          <w:color w:val="000000"/>
          <w:sz w:val="24"/>
          <w:szCs w:val="24"/>
          <w:vertAlign w:val="superscript"/>
        </w:rPr>
        <w:t xml:space="preserve"> </w:t>
      </w:r>
      <w:r w:rsidRPr="00557E85">
        <w:rPr>
          <w:rFonts w:ascii="Times New Roman" w:hAnsi="Times New Roman" w:cs="Times New Roman"/>
          <w:sz w:val="24"/>
          <w:szCs w:val="24"/>
        </w:rPr>
        <w:t xml:space="preserve">with the P-value of </w:t>
      </w:r>
      <w:r w:rsidRPr="00557E85">
        <w:rPr>
          <w:rFonts w:ascii="Times New Roman" w:hAnsi="Times New Roman" w:cs="Times New Roman"/>
          <w:sz w:val="24"/>
          <w:szCs w:val="24"/>
        </w:rPr>
        <w:lastRenderedPageBreak/>
        <w:t>.</w:t>
      </w:r>
      <w:r w:rsidRPr="00557E85">
        <w:rPr>
          <w:rFonts w:ascii="Times New Roman" w:eastAsia="Times New Roman" w:hAnsi="Times New Roman" w:cs="Times New Roman"/>
          <w:color w:val="000000"/>
          <w:sz w:val="24"/>
          <w:szCs w:val="24"/>
        </w:rPr>
        <w:t>000</w:t>
      </w:r>
      <w:r>
        <w:rPr>
          <w:rFonts w:ascii="Times New Roman" w:hAnsi="Times New Roman" w:cs="Times New Roman"/>
          <w:sz w:val="24"/>
          <w:szCs w:val="24"/>
        </w:rPr>
        <w:t xml:space="preserve"> &lt; .05</w:t>
      </w:r>
      <w:r w:rsidR="00627AEC" w:rsidRPr="006F04B4">
        <w:rPr>
          <w:rFonts w:ascii="Times New Roman" w:hAnsi="Times New Roman" w:cs="Times New Roman"/>
          <w:sz w:val="24"/>
          <w:szCs w:val="24"/>
        </w:rPr>
        <w:t xml:space="preserve">. This </w:t>
      </w:r>
      <w:r w:rsidR="00627AEC">
        <w:rPr>
          <w:rFonts w:ascii="Times New Roman" w:hAnsi="Times New Roman" w:cs="Times New Roman"/>
          <w:sz w:val="24"/>
          <w:szCs w:val="24"/>
        </w:rPr>
        <w:t>shows that promoting gender equali</w:t>
      </w:r>
      <w:r w:rsidR="00627AEC" w:rsidRPr="006F04B4">
        <w:rPr>
          <w:rFonts w:ascii="Times New Roman" w:hAnsi="Times New Roman" w:cs="Times New Roman"/>
          <w:sz w:val="24"/>
          <w:szCs w:val="24"/>
        </w:rPr>
        <w:t xml:space="preserve">ty in public secondary schools plays a significant role in the promotion of girls’ </w:t>
      </w:r>
      <w:r w:rsidR="00627AEC">
        <w:rPr>
          <w:rFonts w:ascii="Times New Roman" w:hAnsi="Times New Roman" w:cs="Times New Roman"/>
          <w:sz w:val="24"/>
          <w:szCs w:val="24"/>
        </w:rPr>
        <w:t>enrollment rate</w:t>
      </w:r>
      <w:r w:rsidR="00627AEC" w:rsidRPr="006F04B4">
        <w:rPr>
          <w:rFonts w:ascii="Times New Roman" w:hAnsi="Times New Roman" w:cs="Times New Roman"/>
          <w:sz w:val="24"/>
          <w:szCs w:val="24"/>
        </w:rPr>
        <w:t xml:space="preserve"> in such schools.</w:t>
      </w:r>
    </w:p>
    <w:p w14:paraId="38156454" w14:textId="77777777" w:rsidR="00B312D5" w:rsidRDefault="00B312D5" w:rsidP="00B732FE">
      <w:pPr>
        <w:spacing w:line="360" w:lineRule="auto"/>
        <w:contextualSpacing/>
        <w:jc w:val="both"/>
        <w:rPr>
          <w:rFonts w:ascii="Times New Roman" w:eastAsia="Calibri" w:hAnsi="Times New Roman" w:cs="Times New Roman"/>
          <w:b/>
          <w:sz w:val="24"/>
          <w:szCs w:val="24"/>
        </w:rPr>
        <w:sectPr w:rsidR="00B312D5" w:rsidSect="00B732FE">
          <w:type w:val="continuous"/>
          <w:pgSz w:w="12240" w:h="15840"/>
          <w:pgMar w:top="1440" w:right="1440" w:bottom="1440" w:left="1440" w:header="720" w:footer="720" w:gutter="0"/>
          <w:cols w:num="2" w:space="720"/>
          <w:docGrid w:linePitch="360"/>
        </w:sectPr>
      </w:pPr>
    </w:p>
    <w:p w14:paraId="27B6AD94" w14:textId="77777777" w:rsidR="008C3BAA" w:rsidRDefault="008C3BAA" w:rsidP="00B732FE">
      <w:pPr>
        <w:spacing w:line="360" w:lineRule="auto"/>
        <w:contextualSpacing/>
        <w:jc w:val="both"/>
        <w:rPr>
          <w:rFonts w:ascii="Times New Roman" w:eastAsia="Calibri" w:hAnsi="Times New Roman" w:cs="Times New Roman"/>
          <w:b/>
          <w:sz w:val="24"/>
          <w:szCs w:val="24"/>
        </w:rPr>
      </w:pPr>
      <w:r w:rsidRPr="008C3BAA">
        <w:rPr>
          <w:rFonts w:ascii="Times New Roman" w:eastAsia="Calibri" w:hAnsi="Times New Roman" w:cs="Times New Roman"/>
          <w:b/>
          <w:sz w:val="24"/>
          <w:szCs w:val="24"/>
        </w:rPr>
        <w:lastRenderedPageBreak/>
        <w:t>Regression Analysis</w:t>
      </w:r>
    </w:p>
    <w:p w14:paraId="262DD00C" w14:textId="458A3A49" w:rsidR="008C3BAA" w:rsidRPr="008C3BAA" w:rsidRDefault="00247A0B" w:rsidP="00B732FE">
      <w:pPr>
        <w:spacing w:line="360" w:lineRule="auto"/>
        <w:jc w:val="both"/>
        <w:rPr>
          <w:rFonts w:ascii="Times New Roman" w:eastAsia="Calibri" w:hAnsi="Times New Roman" w:cs="Times New Roman"/>
          <w:b/>
          <w:bCs/>
          <w:sz w:val="20"/>
          <w:szCs w:val="20"/>
        </w:rPr>
      </w:pPr>
      <w:bookmarkStart w:id="5" w:name="_Toc186357855"/>
      <w:r>
        <w:rPr>
          <w:rFonts w:ascii="Times New Roman" w:eastAsia="Calibri" w:hAnsi="Times New Roman" w:cs="Times New Roman"/>
          <w:bCs/>
          <w:i/>
          <w:sz w:val="24"/>
          <w:szCs w:val="24"/>
        </w:rPr>
        <w:t>Table 5</w:t>
      </w:r>
      <w:r w:rsidR="008C3BAA" w:rsidRPr="008C3BAA">
        <w:rPr>
          <w:rFonts w:ascii="Times New Roman" w:eastAsia="Calibri" w:hAnsi="Times New Roman" w:cs="Times New Roman"/>
          <w:b/>
          <w:bCs/>
          <w:sz w:val="24"/>
          <w:szCs w:val="24"/>
        </w:rPr>
        <w:t xml:space="preserve"> Model Summary for Linear Regression Analysis</w:t>
      </w:r>
      <w:bookmarkEnd w:id="5"/>
    </w:p>
    <w:tbl>
      <w:tblPr>
        <w:tblW w:w="5000" w:type="pct"/>
        <w:tblCellMar>
          <w:left w:w="0" w:type="dxa"/>
          <w:right w:w="0" w:type="dxa"/>
        </w:tblCellMar>
        <w:tblLook w:val="0000" w:firstRow="0" w:lastRow="0" w:firstColumn="0" w:lastColumn="0" w:noHBand="0" w:noVBand="0"/>
      </w:tblPr>
      <w:tblGrid>
        <w:gridCol w:w="748"/>
        <w:gridCol w:w="788"/>
        <w:gridCol w:w="837"/>
        <w:gridCol w:w="1136"/>
        <w:gridCol w:w="1136"/>
        <w:gridCol w:w="1136"/>
        <w:gridCol w:w="861"/>
        <w:gridCol w:w="788"/>
        <w:gridCol w:w="790"/>
        <w:gridCol w:w="1140"/>
      </w:tblGrid>
      <w:tr w:rsidR="008C3BAA" w:rsidRPr="008C3BAA" w14:paraId="1687EBBD" w14:textId="77777777" w:rsidTr="00253C53">
        <w:trPr>
          <w:cantSplit/>
        </w:trPr>
        <w:tc>
          <w:tcPr>
            <w:tcW w:w="5000" w:type="pct"/>
            <w:gridSpan w:val="10"/>
            <w:tcBorders>
              <w:bottom w:val="single" w:sz="4" w:space="0" w:color="auto"/>
            </w:tcBorders>
            <w:shd w:val="clear" w:color="auto" w:fill="FFFFFF"/>
            <w:vAlign w:val="center"/>
          </w:tcPr>
          <w:p w14:paraId="46932890"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b/>
                <w:bCs/>
                <w:color w:val="000000"/>
                <w:sz w:val="24"/>
                <w:szCs w:val="24"/>
              </w:rPr>
              <w:t>Model Summary</w:t>
            </w:r>
            <w:r w:rsidRPr="008C3BAA">
              <w:rPr>
                <w:rFonts w:ascii="Times New Roman" w:eastAsia="Calibri" w:hAnsi="Times New Roman" w:cs="Times New Roman"/>
                <w:b/>
                <w:bCs/>
                <w:color w:val="000000"/>
                <w:sz w:val="24"/>
                <w:szCs w:val="24"/>
                <w:vertAlign w:val="superscript"/>
              </w:rPr>
              <w:t>b</w:t>
            </w:r>
          </w:p>
        </w:tc>
      </w:tr>
      <w:tr w:rsidR="008C3BAA" w:rsidRPr="008C3BAA" w14:paraId="37DEEC20" w14:textId="77777777" w:rsidTr="002A501C">
        <w:trPr>
          <w:cantSplit/>
        </w:trPr>
        <w:tc>
          <w:tcPr>
            <w:tcW w:w="399" w:type="pct"/>
            <w:vMerge w:val="restart"/>
            <w:tcBorders>
              <w:top w:val="single" w:sz="4" w:space="0" w:color="auto"/>
            </w:tcBorders>
            <w:shd w:val="clear" w:color="auto" w:fill="FFFFFF"/>
            <w:vAlign w:val="bottom"/>
          </w:tcPr>
          <w:p w14:paraId="776B79D0"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Model</w:t>
            </w:r>
          </w:p>
        </w:tc>
        <w:tc>
          <w:tcPr>
            <w:tcW w:w="421" w:type="pct"/>
            <w:vMerge w:val="restart"/>
            <w:tcBorders>
              <w:top w:val="single" w:sz="4" w:space="0" w:color="auto"/>
            </w:tcBorders>
            <w:shd w:val="clear" w:color="auto" w:fill="FFFFFF"/>
            <w:vAlign w:val="bottom"/>
          </w:tcPr>
          <w:p w14:paraId="712D1DB1"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R</w:t>
            </w:r>
          </w:p>
        </w:tc>
        <w:tc>
          <w:tcPr>
            <w:tcW w:w="447" w:type="pct"/>
            <w:vMerge w:val="restart"/>
            <w:tcBorders>
              <w:top w:val="single" w:sz="4" w:space="0" w:color="auto"/>
            </w:tcBorders>
            <w:shd w:val="clear" w:color="auto" w:fill="FFFFFF"/>
            <w:vAlign w:val="bottom"/>
          </w:tcPr>
          <w:p w14:paraId="6AD8F653"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R Square</w:t>
            </w:r>
          </w:p>
        </w:tc>
        <w:tc>
          <w:tcPr>
            <w:tcW w:w="607" w:type="pct"/>
            <w:vMerge w:val="restart"/>
            <w:tcBorders>
              <w:top w:val="single" w:sz="4" w:space="0" w:color="auto"/>
            </w:tcBorders>
            <w:shd w:val="clear" w:color="auto" w:fill="FFFFFF"/>
            <w:vAlign w:val="bottom"/>
          </w:tcPr>
          <w:p w14:paraId="206EC511"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Adjusted R Square</w:t>
            </w:r>
          </w:p>
        </w:tc>
        <w:tc>
          <w:tcPr>
            <w:tcW w:w="607" w:type="pct"/>
            <w:vMerge w:val="restart"/>
            <w:tcBorders>
              <w:top w:val="single" w:sz="4" w:space="0" w:color="auto"/>
            </w:tcBorders>
            <w:shd w:val="clear" w:color="auto" w:fill="FFFFFF"/>
            <w:vAlign w:val="bottom"/>
          </w:tcPr>
          <w:p w14:paraId="548ADAD7"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Std. Error of the Estimate</w:t>
            </w:r>
          </w:p>
        </w:tc>
        <w:tc>
          <w:tcPr>
            <w:tcW w:w="2518" w:type="pct"/>
            <w:gridSpan w:val="5"/>
            <w:tcBorders>
              <w:top w:val="single" w:sz="4" w:space="0" w:color="auto"/>
              <w:bottom w:val="single" w:sz="4" w:space="0" w:color="auto"/>
            </w:tcBorders>
            <w:shd w:val="clear" w:color="auto" w:fill="FFFFFF"/>
            <w:vAlign w:val="bottom"/>
          </w:tcPr>
          <w:p w14:paraId="6DFA56C0"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Change Statistics</w:t>
            </w:r>
          </w:p>
        </w:tc>
      </w:tr>
      <w:tr w:rsidR="008C3BAA" w:rsidRPr="008C3BAA" w14:paraId="736317BA" w14:textId="77777777" w:rsidTr="002A501C">
        <w:trPr>
          <w:cantSplit/>
        </w:trPr>
        <w:tc>
          <w:tcPr>
            <w:tcW w:w="399" w:type="pct"/>
            <w:vMerge/>
            <w:tcBorders>
              <w:top w:val="single" w:sz="4" w:space="0" w:color="auto"/>
            </w:tcBorders>
            <w:shd w:val="clear" w:color="auto" w:fill="FFFFFF"/>
            <w:vAlign w:val="bottom"/>
          </w:tcPr>
          <w:p w14:paraId="7E156282"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21" w:type="pct"/>
            <w:vMerge/>
            <w:tcBorders>
              <w:top w:val="single" w:sz="4" w:space="0" w:color="auto"/>
            </w:tcBorders>
            <w:shd w:val="clear" w:color="auto" w:fill="FFFFFF"/>
            <w:vAlign w:val="bottom"/>
          </w:tcPr>
          <w:p w14:paraId="15712218"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47" w:type="pct"/>
            <w:vMerge/>
            <w:tcBorders>
              <w:top w:val="single" w:sz="4" w:space="0" w:color="auto"/>
            </w:tcBorders>
            <w:shd w:val="clear" w:color="auto" w:fill="FFFFFF"/>
            <w:vAlign w:val="bottom"/>
          </w:tcPr>
          <w:p w14:paraId="3035B8C7"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07" w:type="pct"/>
            <w:vMerge/>
            <w:tcBorders>
              <w:top w:val="single" w:sz="4" w:space="0" w:color="auto"/>
            </w:tcBorders>
            <w:shd w:val="clear" w:color="auto" w:fill="FFFFFF"/>
            <w:vAlign w:val="bottom"/>
          </w:tcPr>
          <w:p w14:paraId="17FE7DC4"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07" w:type="pct"/>
            <w:vMerge/>
            <w:tcBorders>
              <w:top w:val="single" w:sz="4" w:space="0" w:color="auto"/>
            </w:tcBorders>
            <w:shd w:val="clear" w:color="auto" w:fill="FFFFFF"/>
            <w:vAlign w:val="bottom"/>
          </w:tcPr>
          <w:p w14:paraId="192B8905"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07" w:type="pct"/>
            <w:tcBorders>
              <w:top w:val="single" w:sz="4" w:space="0" w:color="auto"/>
            </w:tcBorders>
            <w:shd w:val="clear" w:color="auto" w:fill="FFFFFF"/>
            <w:vAlign w:val="bottom"/>
          </w:tcPr>
          <w:p w14:paraId="36343CDD"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R Square Change</w:t>
            </w:r>
          </w:p>
        </w:tc>
        <w:tc>
          <w:tcPr>
            <w:tcW w:w="460" w:type="pct"/>
            <w:tcBorders>
              <w:top w:val="single" w:sz="4" w:space="0" w:color="auto"/>
            </w:tcBorders>
            <w:shd w:val="clear" w:color="auto" w:fill="FFFFFF"/>
            <w:vAlign w:val="bottom"/>
          </w:tcPr>
          <w:p w14:paraId="0D0FBF08"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F Change</w:t>
            </w:r>
          </w:p>
        </w:tc>
        <w:tc>
          <w:tcPr>
            <w:tcW w:w="421" w:type="pct"/>
            <w:tcBorders>
              <w:top w:val="single" w:sz="4" w:space="0" w:color="auto"/>
            </w:tcBorders>
            <w:shd w:val="clear" w:color="auto" w:fill="FFFFFF"/>
            <w:vAlign w:val="bottom"/>
          </w:tcPr>
          <w:p w14:paraId="30205A18"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df1</w:t>
            </w:r>
          </w:p>
        </w:tc>
        <w:tc>
          <w:tcPr>
            <w:tcW w:w="422" w:type="pct"/>
            <w:tcBorders>
              <w:top w:val="single" w:sz="4" w:space="0" w:color="auto"/>
            </w:tcBorders>
            <w:shd w:val="clear" w:color="auto" w:fill="FFFFFF"/>
            <w:vAlign w:val="bottom"/>
          </w:tcPr>
          <w:p w14:paraId="642D096F"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df2</w:t>
            </w:r>
          </w:p>
        </w:tc>
        <w:tc>
          <w:tcPr>
            <w:tcW w:w="607" w:type="pct"/>
            <w:tcBorders>
              <w:top w:val="single" w:sz="4" w:space="0" w:color="auto"/>
            </w:tcBorders>
            <w:shd w:val="clear" w:color="auto" w:fill="FFFFFF"/>
            <w:vAlign w:val="bottom"/>
          </w:tcPr>
          <w:p w14:paraId="2ECFC270"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Sig. F Change</w:t>
            </w:r>
          </w:p>
        </w:tc>
      </w:tr>
      <w:tr w:rsidR="008C3BAA" w:rsidRPr="008C3BAA" w14:paraId="5AE522C9" w14:textId="77777777" w:rsidTr="00253C53">
        <w:trPr>
          <w:cantSplit/>
        </w:trPr>
        <w:tc>
          <w:tcPr>
            <w:tcW w:w="399" w:type="pct"/>
            <w:tcBorders>
              <w:bottom w:val="single" w:sz="4" w:space="0" w:color="auto"/>
            </w:tcBorders>
            <w:shd w:val="clear" w:color="auto" w:fill="FFFFFF"/>
          </w:tcPr>
          <w:p w14:paraId="3B9240FE"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1</w:t>
            </w:r>
          </w:p>
        </w:tc>
        <w:tc>
          <w:tcPr>
            <w:tcW w:w="421" w:type="pct"/>
            <w:tcBorders>
              <w:bottom w:val="single" w:sz="4" w:space="0" w:color="auto"/>
            </w:tcBorders>
            <w:shd w:val="clear" w:color="auto" w:fill="FFFFFF"/>
            <w:vAlign w:val="center"/>
          </w:tcPr>
          <w:p w14:paraId="74D42504" w14:textId="77777777" w:rsidR="008C3BAA" w:rsidRPr="008C3BAA" w:rsidRDefault="00AB3ED5"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.563</w:t>
            </w:r>
            <w:r w:rsidR="008C3BAA" w:rsidRPr="008C3BAA">
              <w:rPr>
                <w:rFonts w:ascii="Times New Roman" w:eastAsia="Calibri" w:hAnsi="Times New Roman" w:cs="Times New Roman"/>
                <w:color w:val="000000"/>
                <w:sz w:val="24"/>
                <w:szCs w:val="24"/>
                <w:vertAlign w:val="superscript"/>
              </w:rPr>
              <w:t>a</w:t>
            </w:r>
          </w:p>
        </w:tc>
        <w:tc>
          <w:tcPr>
            <w:tcW w:w="447" w:type="pct"/>
            <w:tcBorders>
              <w:bottom w:val="single" w:sz="4" w:space="0" w:color="auto"/>
            </w:tcBorders>
            <w:shd w:val="clear" w:color="auto" w:fill="FFFFFF"/>
            <w:vAlign w:val="center"/>
          </w:tcPr>
          <w:p w14:paraId="099CF501" w14:textId="77777777" w:rsidR="008C3BAA" w:rsidRPr="008C3BAA" w:rsidRDefault="00AB3ED5"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.343</w:t>
            </w:r>
          </w:p>
        </w:tc>
        <w:tc>
          <w:tcPr>
            <w:tcW w:w="607" w:type="pct"/>
            <w:tcBorders>
              <w:bottom w:val="single" w:sz="4" w:space="0" w:color="auto"/>
            </w:tcBorders>
            <w:shd w:val="clear" w:color="auto" w:fill="FFFFFF"/>
            <w:vAlign w:val="center"/>
          </w:tcPr>
          <w:p w14:paraId="656FE63A"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.213</w:t>
            </w:r>
          </w:p>
        </w:tc>
        <w:tc>
          <w:tcPr>
            <w:tcW w:w="607" w:type="pct"/>
            <w:tcBorders>
              <w:bottom w:val="single" w:sz="4" w:space="0" w:color="auto"/>
            </w:tcBorders>
            <w:shd w:val="clear" w:color="auto" w:fill="FFFFFF"/>
            <w:vAlign w:val="center"/>
          </w:tcPr>
          <w:p w14:paraId="10E0281F"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.49660</w:t>
            </w:r>
          </w:p>
        </w:tc>
        <w:tc>
          <w:tcPr>
            <w:tcW w:w="607" w:type="pct"/>
            <w:tcBorders>
              <w:bottom w:val="single" w:sz="4" w:space="0" w:color="auto"/>
            </w:tcBorders>
            <w:shd w:val="clear" w:color="auto" w:fill="FFFFFF"/>
            <w:vAlign w:val="center"/>
          </w:tcPr>
          <w:p w14:paraId="026FFA11"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.222</w:t>
            </w:r>
          </w:p>
        </w:tc>
        <w:tc>
          <w:tcPr>
            <w:tcW w:w="460" w:type="pct"/>
            <w:tcBorders>
              <w:bottom w:val="single" w:sz="4" w:space="0" w:color="auto"/>
            </w:tcBorders>
            <w:shd w:val="clear" w:color="auto" w:fill="FFFFFF"/>
            <w:vAlign w:val="center"/>
          </w:tcPr>
          <w:p w14:paraId="1CD9189F"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24.323</w:t>
            </w:r>
          </w:p>
        </w:tc>
        <w:tc>
          <w:tcPr>
            <w:tcW w:w="421" w:type="pct"/>
            <w:tcBorders>
              <w:bottom w:val="single" w:sz="4" w:space="0" w:color="auto"/>
            </w:tcBorders>
            <w:shd w:val="clear" w:color="auto" w:fill="FFFFFF"/>
            <w:vAlign w:val="center"/>
          </w:tcPr>
          <w:p w14:paraId="4F925950"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3</w:t>
            </w:r>
          </w:p>
        </w:tc>
        <w:tc>
          <w:tcPr>
            <w:tcW w:w="422" w:type="pct"/>
            <w:tcBorders>
              <w:bottom w:val="single" w:sz="4" w:space="0" w:color="auto"/>
            </w:tcBorders>
            <w:shd w:val="clear" w:color="auto" w:fill="FFFFFF"/>
            <w:vAlign w:val="center"/>
          </w:tcPr>
          <w:p w14:paraId="3C7942D5"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256</w:t>
            </w:r>
          </w:p>
        </w:tc>
        <w:tc>
          <w:tcPr>
            <w:tcW w:w="607" w:type="pct"/>
            <w:tcBorders>
              <w:bottom w:val="single" w:sz="4" w:space="0" w:color="auto"/>
            </w:tcBorders>
            <w:shd w:val="clear" w:color="auto" w:fill="FFFFFF"/>
            <w:vAlign w:val="center"/>
          </w:tcPr>
          <w:p w14:paraId="1305A705"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.000</w:t>
            </w:r>
          </w:p>
        </w:tc>
      </w:tr>
      <w:tr w:rsidR="008C3BAA" w:rsidRPr="008C3BAA" w14:paraId="448C8633" w14:textId="77777777" w:rsidTr="00253C53">
        <w:trPr>
          <w:cantSplit/>
        </w:trPr>
        <w:tc>
          <w:tcPr>
            <w:tcW w:w="5000" w:type="pct"/>
            <w:gridSpan w:val="10"/>
            <w:tcBorders>
              <w:top w:val="single" w:sz="4" w:space="0" w:color="auto"/>
            </w:tcBorders>
            <w:shd w:val="clear" w:color="auto" w:fill="FFFFFF"/>
          </w:tcPr>
          <w:p w14:paraId="23746D29"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B87F57">
              <w:rPr>
                <w:rFonts w:ascii="Times New Roman" w:eastAsia="Calibri" w:hAnsi="Times New Roman" w:cs="Times New Roman"/>
                <w:color w:val="000000"/>
                <w:sz w:val="24"/>
                <w:szCs w:val="24"/>
              </w:rPr>
              <w:t>a.</w:t>
            </w:r>
            <w:r w:rsidRPr="00B87F57">
              <w:rPr>
                <w:rFonts w:ascii="Times New Roman" w:eastAsia="Calibri" w:hAnsi="Times New Roman" w:cs="Times New Roman"/>
                <w:b/>
                <w:color w:val="000000"/>
                <w:sz w:val="24"/>
                <w:szCs w:val="24"/>
              </w:rPr>
              <w:t xml:space="preserve"> Predictors:</w:t>
            </w:r>
            <w:r>
              <w:rPr>
                <w:rFonts w:ascii="Times New Roman" w:eastAsia="Calibri" w:hAnsi="Times New Roman" w:cs="Times New Roman"/>
                <w:color w:val="000000"/>
                <w:sz w:val="24"/>
                <w:szCs w:val="24"/>
              </w:rPr>
              <w:t xml:space="preserve"> (Constant), Gender Equality</w:t>
            </w:r>
          </w:p>
        </w:tc>
      </w:tr>
      <w:tr w:rsidR="008C3BAA" w:rsidRPr="008C3BAA" w14:paraId="0924B112" w14:textId="77777777" w:rsidTr="00253C53">
        <w:trPr>
          <w:cantSplit/>
        </w:trPr>
        <w:tc>
          <w:tcPr>
            <w:tcW w:w="5000" w:type="pct"/>
            <w:gridSpan w:val="10"/>
            <w:shd w:val="clear" w:color="auto" w:fill="FFFFFF"/>
          </w:tcPr>
          <w:p w14:paraId="5E05373B"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B87F57">
              <w:rPr>
                <w:rFonts w:ascii="Times New Roman" w:eastAsia="Calibri" w:hAnsi="Times New Roman" w:cs="Times New Roman"/>
                <w:color w:val="000000"/>
                <w:sz w:val="24"/>
                <w:szCs w:val="24"/>
              </w:rPr>
              <w:t>b.</w:t>
            </w:r>
            <w:r w:rsidRPr="00B87F57">
              <w:rPr>
                <w:rFonts w:ascii="Times New Roman" w:eastAsia="Calibri" w:hAnsi="Times New Roman" w:cs="Times New Roman"/>
                <w:b/>
                <w:color w:val="000000"/>
                <w:sz w:val="24"/>
                <w:szCs w:val="24"/>
              </w:rPr>
              <w:t xml:space="preserve"> Dependent Variable</w:t>
            </w:r>
            <w:r>
              <w:rPr>
                <w:rFonts w:ascii="Times New Roman" w:eastAsia="Calibri" w:hAnsi="Times New Roman" w:cs="Times New Roman"/>
                <w:color w:val="000000"/>
                <w:sz w:val="24"/>
                <w:szCs w:val="24"/>
              </w:rPr>
              <w:t>: Girls Enrollment Rate</w:t>
            </w:r>
            <w:r w:rsidRPr="008C3BAA">
              <w:rPr>
                <w:rFonts w:ascii="Times New Roman" w:eastAsia="Calibri" w:hAnsi="Times New Roman" w:cs="Times New Roman"/>
                <w:color w:val="000000"/>
                <w:sz w:val="24"/>
                <w:szCs w:val="24"/>
              </w:rPr>
              <w:t xml:space="preserve"> </w:t>
            </w:r>
          </w:p>
        </w:tc>
      </w:tr>
    </w:tbl>
    <w:p w14:paraId="5FA9C2D3" w14:textId="77777777" w:rsidR="00B312D5" w:rsidRDefault="00B312D5" w:rsidP="00B732FE">
      <w:pPr>
        <w:autoSpaceDE w:val="0"/>
        <w:autoSpaceDN w:val="0"/>
        <w:adjustRightInd w:val="0"/>
        <w:spacing w:after="0" w:line="360" w:lineRule="auto"/>
        <w:jc w:val="both"/>
        <w:rPr>
          <w:rFonts w:ascii="Times New Roman" w:eastAsia="Calibri" w:hAnsi="Times New Roman" w:cs="Times New Roman"/>
          <w:sz w:val="24"/>
          <w:szCs w:val="24"/>
        </w:rPr>
        <w:sectPr w:rsidR="00B312D5" w:rsidSect="002F26F5">
          <w:type w:val="continuous"/>
          <w:pgSz w:w="12240" w:h="15840"/>
          <w:pgMar w:top="1440" w:right="1440" w:bottom="1440" w:left="1440" w:header="720" w:footer="720" w:gutter="0"/>
          <w:cols w:space="720"/>
          <w:docGrid w:linePitch="360"/>
        </w:sectPr>
      </w:pPr>
    </w:p>
    <w:p w14:paraId="0EA3F6D7" w14:textId="7F15DEDA" w:rsidR="00B312D5" w:rsidRPr="0051773E" w:rsidRDefault="00247A0B" w:rsidP="00B732FE">
      <w:pPr>
        <w:autoSpaceDE w:val="0"/>
        <w:autoSpaceDN w:val="0"/>
        <w:adjustRightInd w:val="0"/>
        <w:spacing w:after="0" w:line="360" w:lineRule="auto"/>
        <w:jc w:val="both"/>
        <w:rPr>
          <w:rFonts w:ascii="Times New Roman" w:eastAsia="Calibri" w:hAnsi="Times New Roman" w:cs="Times New Roman"/>
          <w:sz w:val="24"/>
        </w:rPr>
        <w:sectPr w:rsidR="00B312D5" w:rsidRPr="0051773E" w:rsidSect="00B732FE">
          <w:type w:val="continuous"/>
          <w:pgSz w:w="12240" w:h="15840"/>
          <w:pgMar w:top="1440" w:right="1440" w:bottom="1440" w:left="1440" w:header="720" w:footer="720" w:gutter="0"/>
          <w:cols w:num="2" w:space="720"/>
          <w:docGrid w:linePitch="360"/>
        </w:sectPr>
      </w:pPr>
      <w:r>
        <w:rPr>
          <w:rFonts w:ascii="Times New Roman" w:eastAsia="Calibri" w:hAnsi="Times New Roman" w:cs="Times New Roman"/>
          <w:sz w:val="24"/>
          <w:szCs w:val="24"/>
        </w:rPr>
        <w:lastRenderedPageBreak/>
        <w:t>Table 5</w:t>
      </w:r>
      <w:r w:rsidR="00AB3ED5" w:rsidRPr="004A23A3">
        <w:rPr>
          <w:rFonts w:ascii="Times New Roman" w:eastAsia="Calibri" w:hAnsi="Times New Roman" w:cs="Times New Roman"/>
          <w:b/>
          <w:sz w:val="24"/>
          <w:szCs w:val="24"/>
        </w:rPr>
        <w:t xml:space="preserve"> </w:t>
      </w:r>
      <w:r w:rsidR="00AB3ED5" w:rsidRPr="004A23A3">
        <w:rPr>
          <w:rFonts w:ascii="Times New Roman" w:eastAsia="Calibri" w:hAnsi="Times New Roman" w:cs="Times New Roman"/>
          <w:sz w:val="24"/>
          <w:szCs w:val="24"/>
        </w:rPr>
        <w:t>showed tha</w:t>
      </w:r>
      <w:r w:rsidR="00AB3ED5">
        <w:rPr>
          <w:rFonts w:ascii="Times New Roman" w:eastAsia="Calibri" w:hAnsi="Times New Roman" w:cs="Times New Roman"/>
          <w:sz w:val="24"/>
          <w:szCs w:val="24"/>
        </w:rPr>
        <w:t>t</w:t>
      </w:r>
      <w:r w:rsidR="00AB3ED5" w:rsidRPr="004A23A3">
        <w:rPr>
          <w:rFonts w:ascii="Times New Roman" w:eastAsia="Calibri" w:hAnsi="Times New Roman" w:cs="Times New Roman"/>
          <w:sz w:val="24"/>
          <w:szCs w:val="24"/>
        </w:rPr>
        <w:t xml:space="preserve"> there is a high positive degree of relationship between </w:t>
      </w:r>
      <w:r w:rsidR="00AB3ED5">
        <w:rPr>
          <w:rFonts w:ascii="Times New Roman" w:eastAsia="Calibri" w:hAnsi="Times New Roman" w:cs="Times New Roman"/>
          <w:sz w:val="24"/>
          <w:szCs w:val="24"/>
        </w:rPr>
        <w:t xml:space="preserve">gender equality </w:t>
      </w:r>
      <w:r w:rsidR="00AB3ED5" w:rsidRPr="004A23A3">
        <w:rPr>
          <w:rFonts w:ascii="Times New Roman" w:eastAsia="Calibri" w:hAnsi="Times New Roman" w:cs="Times New Roman"/>
          <w:sz w:val="24"/>
          <w:szCs w:val="24"/>
        </w:rPr>
        <w:t xml:space="preserve">and girls’ </w:t>
      </w:r>
      <w:r w:rsidR="00AB3ED5">
        <w:rPr>
          <w:rFonts w:ascii="Times New Roman" w:eastAsia="Calibri" w:hAnsi="Times New Roman" w:cs="Times New Roman"/>
          <w:sz w:val="24"/>
          <w:szCs w:val="24"/>
        </w:rPr>
        <w:t>enrollment rate</w:t>
      </w:r>
      <w:r w:rsidR="00AB3ED5" w:rsidRPr="004A23A3">
        <w:rPr>
          <w:rFonts w:ascii="Times New Roman" w:eastAsia="Calibri" w:hAnsi="Times New Roman" w:cs="Times New Roman"/>
          <w:sz w:val="24"/>
          <w:szCs w:val="24"/>
        </w:rPr>
        <w:t xml:space="preserve"> in public </w:t>
      </w:r>
      <w:r w:rsidR="00AB3ED5" w:rsidRPr="004A23A3">
        <w:rPr>
          <w:rFonts w:ascii="Times New Roman" w:eastAsia="Calibri" w:hAnsi="Times New Roman" w:cs="Times New Roman"/>
          <w:sz w:val="24"/>
          <w:szCs w:val="24"/>
        </w:rPr>
        <w:lastRenderedPageBreak/>
        <w:t>secondary schools in Rwanda. This</w:t>
      </w:r>
      <w:r w:rsidR="00AB3ED5">
        <w:rPr>
          <w:rFonts w:ascii="Times New Roman" w:eastAsia="Calibri" w:hAnsi="Times New Roman" w:cs="Times New Roman"/>
          <w:sz w:val="24"/>
          <w:szCs w:val="24"/>
        </w:rPr>
        <w:t xml:space="preserve"> was shown by r = 0.561</w:t>
      </w:r>
      <w:r w:rsidR="00AB3ED5" w:rsidRPr="004A23A3">
        <w:rPr>
          <w:rFonts w:ascii="Times New Roman" w:eastAsia="Calibri" w:hAnsi="Times New Roman" w:cs="Times New Roman"/>
          <w:sz w:val="24"/>
          <w:szCs w:val="24"/>
        </w:rPr>
        <w:t>.</w:t>
      </w:r>
      <w:r w:rsidR="00AB3ED5" w:rsidRPr="004A23A3">
        <w:rPr>
          <w:rFonts w:ascii="Times New Roman" w:eastAsia="Calibri" w:hAnsi="Times New Roman" w:cs="Times New Roman"/>
          <w:sz w:val="24"/>
        </w:rPr>
        <w:t xml:space="preserve"> </w:t>
      </w:r>
      <w:r w:rsidR="002A501C">
        <w:rPr>
          <w:rFonts w:ascii="Times New Roman" w:eastAsia="Calibri" w:hAnsi="Times New Roman" w:cs="Times New Roman"/>
          <w:sz w:val="24"/>
        </w:rPr>
        <w:t>Table 6</w:t>
      </w:r>
      <w:r w:rsidR="00AB3ED5" w:rsidRPr="004A23A3">
        <w:rPr>
          <w:rFonts w:ascii="Times New Roman" w:eastAsia="Calibri" w:hAnsi="Times New Roman" w:cs="Times New Roman"/>
          <w:sz w:val="24"/>
        </w:rPr>
        <w:t xml:space="preserve"> also indi</w:t>
      </w:r>
      <w:r w:rsidR="00AB3ED5">
        <w:rPr>
          <w:rFonts w:ascii="Times New Roman" w:eastAsia="Calibri" w:hAnsi="Times New Roman" w:cs="Times New Roman"/>
          <w:sz w:val="24"/>
        </w:rPr>
        <w:t>cates an R-square value of 0.343</w:t>
      </w:r>
      <w:r w:rsidR="00AB3ED5" w:rsidRPr="004A23A3">
        <w:rPr>
          <w:rFonts w:ascii="Times New Roman" w:eastAsia="Calibri" w:hAnsi="Times New Roman" w:cs="Times New Roman"/>
          <w:sz w:val="24"/>
        </w:rPr>
        <w:t xml:space="preserve">, meaning that an </w:t>
      </w:r>
      <w:r w:rsidR="00AB3ED5" w:rsidRPr="004A23A3">
        <w:rPr>
          <w:rFonts w:ascii="Times New Roman" w:eastAsia="Calibri" w:hAnsi="Times New Roman" w:cs="Times New Roman"/>
          <w:sz w:val="24"/>
        </w:rPr>
        <w:lastRenderedPageBreak/>
        <w:t xml:space="preserve">improvement in </w:t>
      </w:r>
      <w:r w:rsidR="00AB3ED5">
        <w:rPr>
          <w:rFonts w:ascii="Times New Roman" w:eastAsia="Calibri" w:hAnsi="Times New Roman" w:cs="Times New Roman"/>
          <w:sz w:val="24"/>
        </w:rPr>
        <w:t xml:space="preserve">gender equity leads to a 34.3 percent increase in </w:t>
      </w:r>
      <w:r w:rsidR="002409B8">
        <w:rPr>
          <w:rFonts w:ascii="Times New Roman" w:eastAsia="Calibri" w:hAnsi="Times New Roman" w:cs="Times New Roman"/>
          <w:sz w:val="24"/>
        </w:rPr>
        <w:t>girls’ enrollment</w:t>
      </w:r>
      <w:r w:rsidR="00AB3ED5">
        <w:rPr>
          <w:rFonts w:ascii="Times New Roman" w:eastAsia="Calibri" w:hAnsi="Times New Roman" w:cs="Times New Roman"/>
          <w:sz w:val="24"/>
        </w:rPr>
        <w:t xml:space="preserve"> rate</w:t>
      </w:r>
      <w:bookmarkStart w:id="6" w:name="_Toc186357856"/>
    </w:p>
    <w:p w14:paraId="6AB2ABB0" w14:textId="77777777" w:rsidR="002B2DCB" w:rsidRPr="002B2DCB" w:rsidRDefault="002B2DCB" w:rsidP="002B2DCB">
      <w:pPr>
        <w:sectPr w:rsidR="002B2DCB" w:rsidRPr="002B2DCB" w:rsidSect="003E2818">
          <w:type w:val="continuous"/>
          <w:pgSz w:w="12240" w:h="15840"/>
          <w:pgMar w:top="1440" w:right="1440" w:bottom="1440" w:left="1440" w:header="720" w:footer="720" w:gutter="0"/>
          <w:cols w:space="720"/>
          <w:docGrid w:linePitch="360"/>
        </w:sectPr>
      </w:pPr>
    </w:p>
    <w:p w14:paraId="434155F2" w14:textId="7767F86F" w:rsidR="008C3BAA" w:rsidRPr="00723090" w:rsidRDefault="00247A0B" w:rsidP="00B732FE">
      <w:pPr>
        <w:pStyle w:val="Caption"/>
        <w:spacing w:line="360" w:lineRule="auto"/>
        <w:rPr>
          <w:sz w:val="24"/>
          <w:szCs w:val="24"/>
        </w:rPr>
      </w:pPr>
      <w:r>
        <w:rPr>
          <w:b w:val="0"/>
          <w:i/>
          <w:sz w:val="24"/>
          <w:szCs w:val="24"/>
        </w:rPr>
        <w:lastRenderedPageBreak/>
        <w:t>Table 6</w:t>
      </w:r>
      <w:r w:rsidR="008C3BAA" w:rsidRPr="00C568CA">
        <w:rPr>
          <w:sz w:val="24"/>
          <w:szCs w:val="24"/>
        </w:rPr>
        <w:t xml:space="preserve"> Model</w:t>
      </w:r>
      <w:r w:rsidR="008C3BAA" w:rsidRPr="00723090">
        <w:rPr>
          <w:sz w:val="24"/>
          <w:szCs w:val="24"/>
        </w:rPr>
        <w:t xml:space="preserve"> ANOVA</w:t>
      </w:r>
      <w:bookmarkEnd w:id="6"/>
    </w:p>
    <w:p w14:paraId="3C8AF576" w14:textId="77777777" w:rsidR="003E2818" w:rsidRDefault="003E2818" w:rsidP="00B732FE">
      <w:pPr>
        <w:autoSpaceDE w:val="0"/>
        <w:autoSpaceDN w:val="0"/>
        <w:adjustRightInd w:val="0"/>
        <w:spacing w:after="0" w:line="360" w:lineRule="auto"/>
        <w:ind w:left="60" w:right="60"/>
        <w:jc w:val="center"/>
        <w:rPr>
          <w:rFonts w:ascii="Times New Roman" w:hAnsi="Times New Roman" w:cs="Times New Roman"/>
          <w:b/>
          <w:bCs/>
          <w:color w:val="000000"/>
          <w:sz w:val="24"/>
          <w:szCs w:val="24"/>
        </w:rPr>
        <w:sectPr w:rsidR="003E2818" w:rsidSect="003E2818">
          <w:type w:val="continuous"/>
          <w:pgSz w:w="12240" w:h="15840"/>
          <w:pgMar w:top="1440" w:right="1440" w:bottom="1440" w:left="1440" w:header="720" w:footer="720" w:gutter="0"/>
          <w:cols w:space="720"/>
          <w:docGrid w:linePitch="360"/>
        </w:sectPr>
      </w:pPr>
    </w:p>
    <w:tbl>
      <w:tblPr>
        <w:tblW w:w="9984" w:type="dxa"/>
        <w:tblLayout w:type="fixed"/>
        <w:tblCellMar>
          <w:left w:w="0" w:type="dxa"/>
          <w:right w:w="0" w:type="dxa"/>
        </w:tblCellMar>
        <w:tblLook w:val="0000" w:firstRow="0" w:lastRow="0" w:firstColumn="0" w:lastColumn="0" w:noHBand="0" w:noVBand="0"/>
      </w:tblPr>
      <w:tblGrid>
        <w:gridCol w:w="240"/>
        <w:gridCol w:w="496"/>
        <w:gridCol w:w="489"/>
        <w:gridCol w:w="757"/>
        <w:gridCol w:w="46"/>
        <w:gridCol w:w="714"/>
        <w:gridCol w:w="762"/>
        <w:gridCol w:w="276"/>
        <w:gridCol w:w="720"/>
        <w:gridCol w:w="34"/>
        <w:gridCol w:w="573"/>
        <w:gridCol w:w="708"/>
        <w:gridCol w:w="134"/>
        <w:gridCol w:w="574"/>
        <w:gridCol w:w="456"/>
        <w:gridCol w:w="162"/>
        <w:gridCol w:w="729"/>
        <w:gridCol w:w="139"/>
        <w:gridCol w:w="451"/>
        <w:gridCol w:w="900"/>
        <w:gridCol w:w="624"/>
      </w:tblGrid>
      <w:tr w:rsidR="008C3BAA" w:rsidRPr="002409B8" w14:paraId="69EEC4F7" w14:textId="77777777" w:rsidTr="008C3BAA">
        <w:trPr>
          <w:gridAfter w:val="3"/>
          <w:wAfter w:w="1975" w:type="dxa"/>
          <w:cantSplit/>
        </w:trPr>
        <w:tc>
          <w:tcPr>
            <w:tcW w:w="8009" w:type="dxa"/>
            <w:gridSpan w:val="18"/>
            <w:tcBorders>
              <w:bottom w:val="single" w:sz="4" w:space="0" w:color="auto"/>
            </w:tcBorders>
            <w:shd w:val="clear" w:color="auto" w:fill="FFFFFF"/>
            <w:vAlign w:val="center"/>
          </w:tcPr>
          <w:p w14:paraId="39F793D2"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b/>
                <w:bCs/>
                <w:color w:val="000000"/>
                <w:sz w:val="24"/>
                <w:szCs w:val="24"/>
              </w:rPr>
              <w:lastRenderedPageBreak/>
              <w:t>ANOVA</w:t>
            </w:r>
            <w:r w:rsidRPr="002409B8">
              <w:rPr>
                <w:rFonts w:ascii="Times New Roman" w:hAnsi="Times New Roman" w:cs="Times New Roman"/>
                <w:b/>
                <w:bCs/>
                <w:color w:val="000000"/>
                <w:sz w:val="24"/>
                <w:szCs w:val="24"/>
                <w:vertAlign w:val="superscript"/>
              </w:rPr>
              <w:t>a</w:t>
            </w:r>
          </w:p>
        </w:tc>
      </w:tr>
      <w:tr w:rsidR="008C3BAA" w:rsidRPr="002409B8" w14:paraId="62D345F6" w14:textId="77777777" w:rsidTr="008C3BAA">
        <w:trPr>
          <w:gridAfter w:val="3"/>
          <w:wAfter w:w="1975" w:type="dxa"/>
          <w:cantSplit/>
        </w:trPr>
        <w:tc>
          <w:tcPr>
            <w:tcW w:w="2028" w:type="dxa"/>
            <w:gridSpan w:val="5"/>
            <w:tcBorders>
              <w:top w:val="single" w:sz="4" w:space="0" w:color="auto"/>
              <w:bottom w:val="single" w:sz="4" w:space="0" w:color="auto"/>
            </w:tcBorders>
            <w:shd w:val="clear" w:color="auto" w:fill="FFFFFF"/>
            <w:vAlign w:val="bottom"/>
          </w:tcPr>
          <w:p w14:paraId="0807243B"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Model</w:t>
            </w:r>
          </w:p>
        </w:tc>
        <w:tc>
          <w:tcPr>
            <w:tcW w:w="1476" w:type="dxa"/>
            <w:gridSpan w:val="2"/>
            <w:tcBorders>
              <w:top w:val="single" w:sz="4" w:space="0" w:color="auto"/>
              <w:bottom w:val="single" w:sz="4" w:space="0" w:color="auto"/>
            </w:tcBorders>
            <w:shd w:val="clear" w:color="auto" w:fill="FFFFFF"/>
            <w:vAlign w:val="bottom"/>
          </w:tcPr>
          <w:p w14:paraId="15059F83"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Sum of Squares</w:t>
            </w:r>
          </w:p>
        </w:tc>
        <w:tc>
          <w:tcPr>
            <w:tcW w:w="1030" w:type="dxa"/>
            <w:gridSpan w:val="3"/>
            <w:tcBorders>
              <w:top w:val="single" w:sz="4" w:space="0" w:color="auto"/>
              <w:bottom w:val="single" w:sz="4" w:space="0" w:color="auto"/>
            </w:tcBorders>
            <w:shd w:val="clear" w:color="auto" w:fill="FFFFFF"/>
            <w:vAlign w:val="bottom"/>
          </w:tcPr>
          <w:p w14:paraId="13C52149"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Df</w:t>
            </w:r>
          </w:p>
        </w:tc>
        <w:tc>
          <w:tcPr>
            <w:tcW w:w="1415" w:type="dxa"/>
            <w:gridSpan w:val="3"/>
            <w:tcBorders>
              <w:top w:val="single" w:sz="4" w:space="0" w:color="auto"/>
              <w:bottom w:val="single" w:sz="4" w:space="0" w:color="auto"/>
            </w:tcBorders>
            <w:shd w:val="clear" w:color="auto" w:fill="FFFFFF"/>
            <w:vAlign w:val="bottom"/>
          </w:tcPr>
          <w:p w14:paraId="0C9AA5F2"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Mean Square</w:t>
            </w:r>
          </w:p>
        </w:tc>
        <w:tc>
          <w:tcPr>
            <w:tcW w:w="1030" w:type="dxa"/>
            <w:gridSpan w:val="2"/>
            <w:tcBorders>
              <w:top w:val="single" w:sz="4" w:space="0" w:color="auto"/>
              <w:bottom w:val="single" w:sz="4" w:space="0" w:color="auto"/>
            </w:tcBorders>
            <w:shd w:val="clear" w:color="auto" w:fill="FFFFFF"/>
            <w:vAlign w:val="bottom"/>
          </w:tcPr>
          <w:p w14:paraId="23DCDFC6"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F</w:t>
            </w:r>
          </w:p>
        </w:tc>
        <w:tc>
          <w:tcPr>
            <w:tcW w:w="1030" w:type="dxa"/>
            <w:gridSpan w:val="3"/>
            <w:tcBorders>
              <w:top w:val="single" w:sz="4" w:space="0" w:color="auto"/>
              <w:bottom w:val="single" w:sz="4" w:space="0" w:color="auto"/>
            </w:tcBorders>
            <w:shd w:val="clear" w:color="auto" w:fill="FFFFFF"/>
            <w:vAlign w:val="bottom"/>
          </w:tcPr>
          <w:p w14:paraId="6B8184DF"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Sig.</w:t>
            </w:r>
          </w:p>
        </w:tc>
      </w:tr>
      <w:tr w:rsidR="008C3BAA" w:rsidRPr="002409B8" w14:paraId="3E312491" w14:textId="77777777" w:rsidTr="008C3BAA">
        <w:trPr>
          <w:gridAfter w:val="3"/>
          <w:wAfter w:w="1975" w:type="dxa"/>
          <w:cantSplit/>
        </w:trPr>
        <w:tc>
          <w:tcPr>
            <w:tcW w:w="736" w:type="dxa"/>
            <w:gridSpan w:val="2"/>
            <w:vMerge w:val="restart"/>
            <w:tcBorders>
              <w:top w:val="single" w:sz="4" w:space="0" w:color="auto"/>
            </w:tcBorders>
            <w:shd w:val="clear" w:color="auto" w:fill="FFFFFF"/>
          </w:tcPr>
          <w:p w14:paraId="5E2FDE62"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1</w:t>
            </w:r>
          </w:p>
        </w:tc>
        <w:tc>
          <w:tcPr>
            <w:tcW w:w="1292" w:type="dxa"/>
            <w:gridSpan w:val="3"/>
            <w:tcBorders>
              <w:top w:val="single" w:sz="4" w:space="0" w:color="auto"/>
            </w:tcBorders>
            <w:shd w:val="clear" w:color="auto" w:fill="FFFFFF"/>
          </w:tcPr>
          <w:p w14:paraId="6D7344A5"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Regression</w:t>
            </w:r>
          </w:p>
        </w:tc>
        <w:tc>
          <w:tcPr>
            <w:tcW w:w="1476" w:type="dxa"/>
            <w:gridSpan w:val="2"/>
            <w:tcBorders>
              <w:top w:val="single" w:sz="4" w:space="0" w:color="auto"/>
            </w:tcBorders>
            <w:shd w:val="clear" w:color="auto" w:fill="FFFFFF"/>
            <w:vAlign w:val="center"/>
          </w:tcPr>
          <w:p w14:paraId="7A1D4F1F"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17.995</w:t>
            </w:r>
          </w:p>
        </w:tc>
        <w:tc>
          <w:tcPr>
            <w:tcW w:w="1030" w:type="dxa"/>
            <w:gridSpan w:val="3"/>
            <w:tcBorders>
              <w:top w:val="single" w:sz="4" w:space="0" w:color="auto"/>
            </w:tcBorders>
            <w:shd w:val="clear" w:color="auto" w:fill="FFFFFF"/>
            <w:vAlign w:val="center"/>
          </w:tcPr>
          <w:p w14:paraId="517148BA"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3</w:t>
            </w:r>
          </w:p>
        </w:tc>
        <w:tc>
          <w:tcPr>
            <w:tcW w:w="1415" w:type="dxa"/>
            <w:gridSpan w:val="3"/>
            <w:tcBorders>
              <w:top w:val="single" w:sz="4" w:space="0" w:color="auto"/>
            </w:tcBorders>
            <w:shd w:val="clear" w:color="auto" w:fill="FFFFFF"/>
            <w:vAlign w:val="center"/>
          </w:tcPr>
          <w:p w14:paraId="01FFFA24"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5.998</w:t>
            </w:r>
          </w:p>
        </w:tc>
        <w:tc>
          <w:tcPr>
            <w:tcW w:w="1030" w:type="dxa"/>
            <w:gridSpan w:val="2"/>
            <w:tcBorders>
              <w:top w:val="single" w:sz="4" w:space="0" w:color="auto"/>
            </w:tcBorders>
            <w:shd w:val="clear" w:color="auto" w:fill="FFFFFF"/>
            <w:vAlign w:val="center"/>
          </w:tcPr>
          <w:p w14:paraId="542BE023"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24.323</w:t>
            </w:r>
          </w:p>
        </w:tc>
        <w:tc>
          <w:tcPr>
            <w:tcW w:w="1030" w:type="dxa"/>
            <w:gridSpan w:val="3"/>
            <w:tcBorders>
              <w:top w:val="single" w:sz="4" w:space="0" w:color="auto"/>
            </w:tcBorders>
            <w:shd w:val="clear" w:color="auto" w:fill="FFFFFF"/>
            <w:vAlign w:val="center"/>
          </w:tcPr>
          <w:p w14:paraId="32428D3D"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.000</w:t>
            </w:r>
            <w:r w:rsidRPr="002409B8">
              <w:rPr>
                <w:rFonts w:ascii="Times New Roman" w:hAnsi="Times New Roman" w:cs="Times New Roman"/>
                <w:color w:val="000000"/>
                <w:sz w:val="24"/>
                <w:szCs w:val="24"/>
                <w:vertAlign w:val="superscript"/>
              </w:rPr>
              <w:t>b</w:t>
            </w:r>
          </w:p>
        </w:tc>
      </w:tr>
      <w:tr w:rsidR="008C3BAA" w:rsidRPr="002409B8" w14:paraId="0F87CC11" w14:textId="77777777" w:rsidTr="008C3BAA">
        <w:trPr>
          <w:gridAfter w:val="3"/>
          <w:wAfter w:w="1975" w:type="dxa"/>
          <w:cantSplit/>
        </w:trPr>
        <w:tc>
          <w:tcPr>
            <w:tcW w:w="736" w:type="dxa"/>
            <w:gridSpan w:val="2"/>
            <w:vMerge/>
            <w:shd w:val="clear" w:color="auto" w:fill="FFFFFF"/>
          </w:tcPr>
          <w:p w14:paraId="7E54AC7C" w14:textId="77777777" w:rsidR="008C3BAA" w:rsidRPr="002409B8" w:rsidRDefault="008C3BAA" w:rsidP="00B732FE">
            <w:pPr>
              <w:autoSpaceDE w:val="0"/>
              <w:autoSpaceDN w:val="0"/>
              <w:adjustRightInd w:val="0"/>
              <w:spacing w:after="0" w:line="360" w:lineRule="auto"/>
              <w:rPr>
                <w:rFonts w:ascii="Times New Roman" w:hAnsi="Times New Roman" w:cs="Times New Roman"/>
                <w:color w:val="000000"/>
                <w:sz w:val="24"/>
                <w:szCs w:val="24"/>
              </w:rPr>
            </w:pPr>
          </w:p>
        </w:tc>
        <w:tc>
          <w:tcPr>
            <w:tcW w:w="1292" w:type="dxa"/>
            <w:gridSpan w:val="3"/>
            <w:shd w:val="clear" w:color="auto" w:fill="FFFFFF"/>
          </w:tcPr>
          <w:p w14:paraId="1169FAC6"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Residual</w:t>
            </w:r>
          </w:p>
        </w:tc>
        <w:tc>
          <w:tcPr>
            <w:tcW w:w="1476" w:type="dxa"/>
            <w:gridSpan w:val="2"/>
            <w:shd w:val="clear" w:color="auto" w:fill="FFFFFF"/>
            <w:vAlign w:val="center"/>
          </w:tcPr>
          <w:p w14:paraId="29C63CCC"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63.132</w:t>
            </w:r>
          </w:p>
        </w:tc>
        <w:tc>
          <w:tcPr>
            <w:tcW w:w="1030" w:type="dxa"/>
            <w:gridSpan w:val="3"/>
            <w:shd w:val="clear" w:color="auto" w:fill="FFFFFF"/>
            <w:vAlign w:val="center"/>
          </w:tcPr>
          <w:p w14:paraId="351720CC"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256</w:t>
            </w:r>
          </w:p>
        </w:tc>
        <w:tc>
          <w:tcPr>
            <w:tcW w:w="1415" w:type="dxa"/>
            <w:gridSpan w:val="3"/>
            <w:shd w:val="clear" w:color="auto" w:fill="FFFFFF"/>
            <w:vAlign w:val="center"/>
          </w:tcPr>
          <w:p w14:paraId="5351FEE9"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.247</w:t>
            </w:r>
          </w:p>
        </w:tc>
        <w:tc>
          <w:tcPr>
            <w:tcW w:w="1030" w:type="dxa"/>
            <w:gridSpan w:val="2"/>
            <w:shd w:val="clear" w:color="auto" w:fill="FFFFFF"/>
            <w:vAlign w:val="center"/>
          </w:tcPr>
          <w:p w14:paraId="0BAD1175"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030" w:type="dxa"/>
            <w:gridSpan w:val="3"/>
            <w:shd w:val="clear" w:color="auto" w:fill="FFFFFF"/>
            <w:vAlign w:val="center"/>
          </w:tcPr>
          <w:p w14:paraId="09835CB2"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r>
      <w:tr w:rsidR="008C3BAA" w:rsidRPr="002409B8" w14:paraId="02D7A145" w14:textId="77777777" w:rsidTr="008C3BAA">
        <w:trPr>
          <w:gridAfter w:val="3"/>
          <w:wAfter w:w="1975" w:type="dxa"/>
          <w:cantSplit/>
        </w:trPr>
        <w:tc>
          <w:tcPr>
            <w:tcW w:w="736" w:type="dxa"/>
            <w:gridSpan w:val="2"/>
            <w:vMerge/>
            <w:tcBorders>
              <w:bottom w:val="single" w:sz="4" w:space="0" w:color="auto"/>
            </w:tcBorders>
            <w:shd w:val="clear" w:color="auto" w:fill="FFFFFF"/>
          </w:tcPr>
          <w:p w14:paraId="67AC72E1"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292" w:type="dxa"/>
            <w:gridSpan w:val="3"/>
            <w:tcBorders>
              <w:bottom w:val="single" w:sz="4" w:space="0" w:color="auto"/>
            </w:tcBorders>
            <w:shd w:val="clear" w:color="auto" w:fill="FFFFFF"/>
          </w:tcPr>
          <w:p w14:paraId="5DBFFF3F"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Total</w:t>
            </w:r>
          </w:p>
        </w:tc>
        <w:tc>
          <w:tcPr>
            <w:tcW w:w="1476" w:type="dxa"/>
            <w:gridSpan w:val="2"/>
            <w:tcBorders>
              <w:bottom w:val="single" w:sz="4" w:space="0" w:color="auto"/>
            </w:tcBorders>
            <w:shd w:val="clear" w:color="auto" w:fill="FFFFFF"/>
            <w:vAlign w:val="center"/>
          </w:tcPr>
          <w:p w14:paraId="29B0081A"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81.127</w:t>
            </w:r>
          </w:p>
        </w:tc>
        <w:tc>
          <w:tcPr>
            <w:tcW w:w="1030" w:type="dxa"/>
            <w:gridSpan w:val="3"/>
            <w:tcBorders>
              <w:bottom w:val="single" w:sz="4" w:space="0" w:color="auto"/>
            </w:tcBorders>
            <w:shd w:val="clear" w:color="auto" w:fill="FFFFFF"/>
            <w:vAlign w:val="center"/>
          </w:tcPr>
          <w:p w14:paraId="61339CB8"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259</w:t>
            </w:r>
          </w:p>
        </w:tc>
        <w:tc>
          <w:tcPr>
            <w:tcW w:w="1415" w:type="dxa"/>
            <w:gridSpan w:val="3"/>
            <w:tcBorders>
              <w:bottom w:val="single" w:sz="4" w:space="0" w:color="auto"/>
            </w:tcBorders>
            <w:shd w:val="clear" w:color="auto" w:fill="FFFFFF"/>
            <w:vAlign w:val="center"/>
          </w:tcPr>
          <w:p w14:paraId="14101F6E"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030" w:type="dxa"/>
            <w:gridSpan w:val="2"/>
            <w:tcBorders>
              <w:bottom w:val="single" w:sz="4" w:space="0" w:color="auto"/>
            </w:tcBorders>
            <w:shd w:val="clear" w:color="auto" w:fill="FFFFFF"/>
            <w:vAlign w:val="center"/>
          </w:tcPr>
          <w:p w14:paraId="4992779B"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030" w:type="dxa"/>
            <w:gridSpan w:val="3"/>
            <w:tcBorders>
              <w:bottom w:val="single" w:sz="4" w:space="0" w:color="auto"/>
            </w:tcBorders>
            <w:shd w:val="clear" w:color="auto" w:fill="FFFFFF"/>
            <w:vAlign w:val="center"/>
          </w:tcPr>
          <w:p w14:paraId="13035B70"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r>
      <w:tr w:rsidR="008C3BAA" w:rsidRPr="002409B8" w14:paraId="6C48D899" w14:textId="77777777" w:rsidTr="008C3BAA">
        <w:trPr>
          <w:gridAfter w:val="3"/>
          <w:wAfter w:w="1975" w:type="dxa"/>
          <w:cantSplit/>
        </w:trPr>
        <w:tc>
          <w:tcPr>
            <w:tcW w:w="8009" w:type="dxa"/>
            <w:gridSpan w:val="18"/>
            <w:tcBorders>
              <w:top w:val="single" w:sz="4" w:space="0" w:color="auto"/>
            </w:tcBorders>
            <w:shd w:val="clear" w:color="auto" w:fill="FFFFFF"/>
          </w:tcPr>
          <w:p w14:paraId="255295C8"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 xml:space="preserve">a. </w:t>
            </w:r>
            <w:r w:rsidRPr="00B87F57">
              <w:rPr>
                <w:rFonts w:ascii="Times New Roman" w:hAnsi="Times New Roman" w:cs="Times New Roman"/>
                <w:b/>
                <w:color w:val="000000"/>
                <w:sz w:val="24"/>
                <w:szCs w:val="24"/>
              </w:rPr>
              <w:t>Dependent Variable</w:t>
            </w:r>
            <w:r w:rsidRPr="002409B8">
              <w:rPr>
                <w:rFonts w:ascii="Times New Roman" w:hAnsi="Times New Roman" w:cs="Times New Roman"/>
                <w:color w:val="000000"/>
                <w:sz w:val="24"/>
                <w:szCs w:val="24"/>
              </w:rPr>
              <w:t>: Girls Enrollment Rate</w:t>
            </w:r>
          </w:p>
        </w:tc>
      </w:tr>
      <w:tr w:rsidR="008C3BAA" w:rsidRPr="002409B8" w14:paraId="611BB8DA" w14:textId="77777777" w:rsidTr="008C3BAA">
        <w:trPr>
          <w:gridAfter w:val="3"/>
          <w:wAfter w:w="1975" w:type="dxa"/>
          <w:cantSplit/>
        </w:trPr>
        <w:tc>
          <w:tcPr>
            <w:tcW w:w="8009" w:type="dxa"/>
            <w:gridSpan w:val="18"/>
            <w:shd w:val="clear" w:color="auto" w:fill="FFFFFF"/>
          </w:tcPr>
          <w:p w14:paraId="35F47877" w14:textId="77777777" w:rsidR="002409B8" w:rsidRDefault="008C3BAA" w:rsidP="00B732FE">
            <w:pPr>
              <w:autoSpaceDE w:val="0"/>
              <w:autoSpaceDN w:val="0"/>
              <w:adjustRightInd w:val="0"/>
              <w:spacing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 xml:space="preserve">b. </w:t>
            </w:r>
            <w:r w:rsidRPr="00B87F57">
              <w:rPr>
                <w:rFonts w:ascii="Times New Roman" w:hAnsi="Times New Roman" w:cs="Times New Roman"/>
                <w:b/>
                <w:color w:val="000000"/>
                <w:sz w:val="24"/>
                <w:szCs w:val="24"/>
              </w:rPr>
              <w:t>Predictors</w:t>
            </w:r>
            <w:r w:rsidRPr="002409B8">
              <w:rPr>
                <w:rFonts w:ascii="Times New Roman" w:hAnsi="Times New Roman" w:cs="Times New Roman"/>
                <w:color w:val="000000"/>
                <w:sz w:val="24"/>
                <w:szCs w:val="24"/>
              </w:rPr>
              <w:t>: (Constant), Gender Equality</w:t>
            </w:r>
          </w:p>
          <w:p w14:paraId="7EBE2EF0" w14:textId="77777777" w:rsidR="000B692E" w:rsidRPr="004F067B" w:rsidRDefault="00AE160C" w:rsidP="00B732FE">
            <w:pPr>
              <w:autoSpaceDE w:val="0"/>
              <w:autoSpaceDN w:val="0"/>
              <w:adjustRightInd w:val="0"/>
              <w:spacing w:line="360" w:lineRule="auto"/>
              <w:jc w:val="both"/>
              <w:rPr>
                <w:rFonts w:ascii="Times New Roman" w:hAnsi="Times New Roman" w:cs="Times New Roman"/>
                <w:sz w:val="24"/>
                <w:szCs w:val="24"/>
              </w:rPr>
            </w:pPr>
            <w:r w:rsidRPr="002409B8">
              <w:rPr>
                <w:rFonts w:ascii="Times New Roman" w:hAnsi="Times New Roman" w:cs="Times New Roman"/>
                <w:sz w:val="24"/>
                <w:szCs w:val="24"/>
              </w:rPr>
              <w:t xml:space="preserve">The results in the table </w:t>
            </w:r>
            <w:r>
              <w:rPr>
                <w:rFonts w:ascii="Times New Roman" w:hAnsi="Times New Roman" w:cs="Times New Roman"/>
                <w:sz w:val="24"/>
                <w:szCs w:val="24"/>
              </w:rPr>
              <w:t>6</w:t>
            </w:r>
            <w:r w:rsidRPr="00E24A50">
              <w:rPr>
                <w:rFonts w:ascii="Times New Roman" w:hAnsi="Times New Roman" w:cs="Times New Roman"/>
                <w:sz w:val="24"/>
                <w:szCs w:val="24"/>
              </w:rPr>
              <w:t xml:space="preserve"> </w:t>
            </w:r>
            <w:r w:rsidRPr="002409B8">
              <w:rPr>
                <w:rFonts w:ascii="Times New Roman" w:hAnsi="Times New Roman" w:cs="Times New Roman"/>
                <w:sz w:val="24"/>
                <w:szCs w:val="24"/>
              </w:rPr>
              <w:t xml:space="preserve">show the worth level with the P value of 000 &lt; .05 which is fewer than 0.05. </w:t>
            </w:r>
            <w:r>
              <w:rPr>
                <w:rFonts w:ascii="Times New Roman" w:hAnsi="Times New Roman" w:cs="Times New Roman"/>
                <w:sz w:val="24"/>
                <w:szCs w:val="24"/>
              </w:rPr>
              <w:t>These findings</w:t>
            </w:r>
            <w:r w:rsidRPr="002409B8">
              <w:rPr>
                <w:rFonts w:ascii="Times New Roman" w:hAnsi="Times New Roman" w:cs="Times New Roman"/>
                <w:sz w:val="24"/>
                <w:szCs w:val="24"/>
              </w:rPr>
              <w:t xml:space="preserve"> </w:t>
            </w:r>
            <w:r>
              <w:rPr>
                <w:rFonts w:ascii="Times New Roman" w:hAnsi="Times New Roman" w:cs="Times New Roman"/>
                <w:sz w:val="24"/>
                <w:szCs w:val="24"/>
              </w:rPr>
              <w:t>indicate</w:t>
            </w:r>
            <w:r w:rsidRPr="002409B8">
              <w:rPr>
                <w:rFonts w:ascii="Times New Roman" w:hAnsi="Times New Roman" w:cs="Times New Roman"/>
                <w:sz w:val="24"/>
                <w:szCs w:val="24"/>
              </w:rPr>
              <w:t xml:space="preserve"> that the impact of Gender equal</w:t>
            </w:r>
            <w:r>
              <w:rPr>
                <w:rFonts w:ascii="Times New Roman" w:hAnsi="Times New Roman" w:cs="Times New Roman"/>
                <w:sz w:val="24"/>
                <w:szCs w:val="24"/>
              </w:rPr>
              <w:t xml:space="preserve">ity </w:t>
            </w:r>
            <w:r w:rsidRPr="002409B8">
              <w:rPr>
                <w:rFonts w:ascii="Times New Roman" w:hAnsi="Times New Roman" w:cs="Times New Roman"/>
                <w:sz w:val="24"/>
                <w:szCs w:val="24"/>
              </w:rPr>
              <w:t xml:space="preserve">on </w:t>
            </w:r>
            <w:r>
              <w:rPr>
                <w:rFonts w:ascii="Times New Roman" w:hAnsi="Times New Roman" w:cs="Times New Roman"/>
                <w:sz w:val="24"/>
                <w:szCs w:val="24"/>
              </w:rPr>
              <w:t>girls’ enrollment</w:t>
            </w:r>
            <w:r w:rsidRPr="002409B8">
              <w:rPr>
                <w:rFonts w:ascii="Times New Roman" w:hAnsi="Times New Roman" w:cs="Times New Roman"/>
                <w:sz w:val="24"/>
                <w:szCs w:val="24"/>
              </w:rPr>
              <w:t xml:space="preserve"> is significant</w:t>
            </w:r>
            <w:r>
              <w:rPr>
                <w:rFonts w:ascii="Times New Roman" w:hAnsi="Times New Roman" w:cs="Times New Roman"/>
                <w:sz w:val="24"/>
                <w:szCs w:val="24"/>
              </w:rPr>
              <w:t>. Consequently, gender equality</w:t>
            </w:r>
            <w:r w:rsidRPr="002409B8">
              <w:rPr>
                <w:rFonts w:ascii="Times New Roman" w:hAnsi="Times New Roman" w:cs="Times New Roman"/>
                <w:sz w:val="24"/>
                <w:szCs w:val="24"/>
              </w:rPr>
              <w:t xml:space="preserve"> significantly inf</w:t>
            </w:r>
            <w:r>
              <w:rPr>
                <w:rFonts w:ascii="Times New Roman" w:hAnsi="Times New Roman" w:cs="Times New Roman"/>
                <w:sz w:val="24"/>
                <w:szCs w:val="24"/>
              </w:rPr>
              <w:t>luences girls’ enrollment rate</w:t>
            </w:r>
            <w:r w:rsidRPr="002409B8">
              <w:rPr>
                <w:rFonts w:ascii="Times New Roman" w:hAnsi="Times New Roman" w:cs="Times New Roman"/>
                <w:sz w:val="24"/>
                <w:szCs w:val="24"/>
              </w:rPr>
              <w:t xml:space="preserve"> in public secondary schools.</w:t>
            </w:r>
            <w:r>
              <w:rPr>
                <w:rFonts w:ascii="Times New Roman" w:hAnsi="Times New Roman" w:cs="Times New Roman"/>
                <w:sz w:val="24"/>
                <w:szCs w:val="24"/>
              </w:rPr>
              <w:t xml:space="preserve"> </w:t>
            </w:r>
          </w:p>
        </w:tc>
      </w:tr>
      <w:tr w:rsidR="008C3BAA" w:rsidRPr="002409B8" w14:paraId="6D35ADB9" w14:textId="77777777" w:rsidTr="008C3BAA">
        <w:trPr>
          <w:gridAfter w:val="3"/>
          <w:wAfter w:w="1975" w:type="dxa"/>
          <w:cantSplit/>
        </w:trPr>
        <w:tc>
          <w:tcPr>
            <w:tcW w:w="8009" w:type="dxa"/>
            <w:gridSpan w:val="18"/>
            <w:shd w:val="clear" w:color="auto" w:fill="FFFFFF"/>
          </w:tcPr>
          <w:p w14:paraId="7F8F7336" w14:textId="6B968CFA" w:rsidR="008C3BAA" w:rsidRPr="004F067B" w:rsidRDefault="00247A0B" w:rsidP="00B732FE">
            <w:pPr>
              <w:autoSpaceDE w:val="0"/>
              <w:autoSpaceDN w:val="0"/>
              <w:adjustRightInd w:val="0"/>
              <w:spacing w:after="0" w:line="360" w:lineRule="auto"/>
              <w:ind w:left="60" w:right="60"/>
              <w:jc w:val="both"/>
              <w:rPr>
                <w:rFonts w:ascii="Times New Roman" w:hAnsi="Times New Roman" w:cs="Times New Roman"/>
                <w:b/>
                <w:color w:val="000000"/>
                <w:sz w:val="24"/>
                <w:szCs w:val="24"/>
              </w:rPr>
            </w:pPr>
            <w:r>
              <w:rPr>
                <w:rFonts w:ascii="Times New Roman" w:hAnsi="Times New Roman" w:cs="Times New Roman"/>
                <w:i/>
                <w:sz w:val="24"/>
                <w:szCs w:val="24"/>
              </w:rPr>
              <w:t>Table 7</w:t>
            </w:r>
            <w:r w:rsidR="008C3BAA" w:rsidRPr="004F067B">
              <w:rPr>
                <w:rFonts w:ascii="Times New Roman" w:hAnsi="Times New Roman" w:cs="Times New Roman"/>
                <w:b/>
                <w:sz w:val="24"/>
                <w:szCs w:val="24"/>
              </w:rPr>
              <w:t xml:space="preserve"> Model Coeffi</w:t>
            </w:r>
            <w:r w:rsidR="006270C1" w:rsidRPr="004F067B">
              <w:rPr>
                <w:rFonts w:ascii="Times New Roman" w:hAnsi="Times New Roman" w:cs="Times New Roman"/>
                <w:b/>
                <w:sz w:val="24"/>
                <w:szCs w:val="24"/>
              </w:rPr>
              <w:t>cients of Gender Equality on Girls ‘Enrollment Rate</w:t>
            </w:r>
          </w:p>
          <w:p w14:paraId="3D43CDA9" w14:textId="25F6EBEA"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b/>
                <w:bCs/>
                <w:color w:val="000000"/>
                <w:sz w:val="24"/>
                <w:szCs w:val="24"/>
              </w:rPr>
              <w:t>Coefficients</w:t>
            </w:r>
            <w:r w:rsidRPr="002409B8">
              <w:rPr>
                <w:rFonts w:ascii="Times New Roman" w:hAnsi="Times New Roman" w:cs="Times New Roman"/>
                <w:b/>
                <w:bCs/>
                <w:color w:val="000000"/>
                <w:sz w:val="24"/>
                <w:szCs w:val="24"/>
                <w:vertAlign w:val="superscript"/>
              </w:rPr>
              <w:t>a</w:t>
            </w:r>
          </w:p>
        </w:tc>
      </w:tr>
      <w:tr w:rsidR="008C3BAA" w:rsidRPr="002409B8" w14:paraId="3900B68B"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1225" w:type="dxa"/>
            <w:gridSpan w:val="3"/>
            <w:vMerge w:val="restart"/>
            <w:tcBorders>
              <w:top w:val="single" w:sz="4" w:space="0" w:color="auto"/>
              <w:left w:val="nil"/>
              <w:bottom w:val="nil"/>
              <w:right w:val="nil"/>
            </w:tcBorders>
            <w:shd w:val="clear" w:color="auto" w:fill="FFFFFF"/>
            <w:vAlign w:val="bottom"/>
          </w:tcPr>
          <w:p w14:paraId="3F569089"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Model</w:t>
            </w:r>
          </w:p>
        </w:tc>
        <w:tc>
          <w:tcPr>
            <w:tcW w:w="1517" w:type="dxa"/>
            <w:gridSpan w:val="3"/>
            <w:tcBorders>
              <w:top w:val="single" w:sz="4" w:space="0" w:color="auto"/>
              <w:left w:val="nil"/>
              <w:bottom w:val="single" w:sz="4" w:space="0" w:color="auto"/>
              <w:right w:val="nil"/>
            </w:tcBorders>
            <w:shd w:val="clear" w:color="auto" w:fill="FFFFFF"/>
            <w:vAlign w:val="bottom"/>
          </w:tcPr>
          <w:p w14:paraId="76F3BB32"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Unstandardized Coefficients</w:t>
            </w:r>
          </w:p>
        </w:tc>
        <w:tc>
          <w:tcPr>
            <w:tcW w:w="1038" w:type="dxa"/>
            <w:gridSpan w:val="2"/>
            <w:tcBorders>
              <w:top w:val="single" w:sz="4" w:space="0" w:color="auto"/>
              <w:left w:val="nil"/>
              <w:bottom w:val="single" w:sz="4" w:space="0" w:color="auto"/>
              <w:right w:val="nil"/>
            </w:tcBorders>
            <w:shd w:val="clear" w:color="auto" w:fill="FFFFFF"/>
            <w:vAlign w:val="bottom"/>
          </w:tcPr>
          <w:p w14:paraId="7F616EC9"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Standardized Coefficients</w:t>
            </w:r>
          </w:p>
        </w:tc>
        <w:tc>
          <w:tcPr>
            <w:tcW w:w="720" w:type="dxa"/>
            <w:vMerge w:val="restart"/>
            <w:tcBorders>
              <w:top w:val="single" w:sz="4" w:space="0" w:color="auto"/>
              <w:left w:val="nil"/>
              <w:bottom w:val="single" w:sz="4" w:space="0" w:color="auto"/>
              <w:right w:val="nil"/>
            </w:tcBorders>
            <w:shd w:val="clear" w:color="auto" w:fill="FFFFFF"/>
            <w:vAlign w:val="bottom"/>
          </w:tcPr>
          <w:p w14:paraId="57E41E83"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T</w:t>
            </w:r>
          </w:p>
        </w:tc>
        <w:tc>
          <w:tcPr>
            <w:tcW w:w="607" w:type="dxa"/>
            <w:gridSpan w:val="2"/>
            <w:vMerge w:val="restart"/>
            <w:tcBorders>
              <w:top w:val="single" w:sz="4" w:space="0" w:color="auto"/>
              <w:left w:val="nil"/>
              <w:bottom w:val="single" w:sz="4" w:space="0" w:color="auto"/>
              <w:right w:val="nil"/>
            </w:tcBorders>
            <w:shd w:val="clear" w:color="auto" w:fill="FFFFFF"/>
            <w:vAlign w:val="bottom"/>
          </w:tcPr>
          <w:p w14:paraId="65736D6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Sig.</w:t>
            </w:r>
          </w:p>
        </w:tc>
        <w:tc>
          <w:tcPr>
            <w:tcW w:w="1416" w:type="dxa"/>
            <w:gridSpan w:val="3"/>
            <w:tcBorders>
              <w:top w:val="single" w:sz="4" w:space="0" w:color="auto"/>
              <w:left w:val="nil"/>
              <w:bottom w:val="single" w:sz="4" w:space="0" w:color="auto"/>
              <w:right w:val="nil"/>
            </w:tcBorders>
            <w:shd w:val="clear" w:color="auto" w:fill="FFFFFF"/>
            <w:vAlign w:val="bottom"/>
          </w:tcPr>
          <w:p w14:paraId="183975F2"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95.0% Confidence Interval for B</w:t>
            </w:r>
          </w:p>
        </w:tc>
        <w:tc>
          <w:tcPr>
            <w:tcW w:w="1937" w:type="dxa"/>
            <w:gridSpan w:val="5"/>
            <w:tcBorders>
              <w:top w:val="single" w:sz="4" w:space="0" w:color="auto"/>
              <w:left w:val="nil"/>
              <w:bottom w:val="single" w:sz="4" w:space="0" w:color="auto"/>
              <w:right w:val="nil"/>
            </w:tcBorders>
            <w:shd w:val="clear" w:color="auto" w:fill="FFFFFF"/>
            <w:vAlign w:val="bottom"/>
          </w:tcPr>
          <w:p w14:paraId="6F6E70BF"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Correlations</w:t>
            </w:r>
          </w:p>
        </w:tc>
        <w:tc>
          <w:tcPr>
            <w:tcW w:w="1524" w:type="dxa"/>
            <w:gridSpan w:val="2"/>
            <w:tcBorders>
              <w:top w:val="single" w:sz="4" w:space="0" w:color="auto"/>
              <w:left w:val="nil"/>
              <w:bottom w:val="single" w:sz="4" w:space="0" w:color="auto"/>
              <w:right w:val="nil"/>
            </w:tcBorders>
            <w:shd w:val="clear" w:color="auto" w:fill="FFFFFF"/>
            <w:vAlign w:val="bottom"/>
          </w:tcPr>
          <w:p w14:paraId="7AE83330"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Collinearity Statistics</w:t>
            </w:r>
          </w:p>
        </w:tc>
      </w:tr>
      <w:tr w:rsidR="008C3BAA" w:rsidRPr="002409B8" w14:paraId="3B48CDDB"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06"/>
        </w:trPr>
        <w:tc>
          <w:tcPr>
            <w:tcW w:w="1225" w:type="dxa"/>
            <w:gridSpan w:val="3"/>
            <w:vMerge/>
            <w:tcBorders>
              <w:top w:val="single" w:sz="4" w:space="0" w:color="auto"/>
              <w:left w:val="nil"/>
              <w:bottom w:val="nil"/>
              <w:right w:val="nil"/>
            </w:tcBorders>
            <w:shd w:val="clear" w:color="auto" w:fill="FFFFFF"/>
            <w:vAlign w:val="bottom"/>
          </w:tcPr>
          <w:p w14:paraId="6B67C0F2" w14:textId="77777777" w:rsidR="008C3BAA" w:rsidRPr="00E2388E" w:rsidRDefault="008C3BAA" w:rsidP="00B732FE">
            <w:pPr>
              <w:autoSpaceDE w:val="0"/>
              <w:autoSpaceDN w:val="0"/>
              <w:adjustRightInd w:val="0"/>
              <w:spacing w:after="0" w:line="360" w:lineRule="auto"/>
              <w:rPr>
                <w:rFonts w:ascii="Times New Roman" w:hAnsi="Times New Roman" w:cs="Times New Roman"/>
                <w:b/>
                <w:color w:val="000000"/>
                <w:sz w:val="20"/>
                <w:szCs w:val="20"/>
              </w:rPr>
            </w:pPr>
          </w:p>
        </w:tc>
        <w:tc>
          <w:tcPr>
            <w:tcW w:w="757" w:type="dxa"/>
            <w:tcBorders>
              <w:top w:val="single" w:sz="4" w:space="0" w:color="auto"/>
              <w:left w:val="nil"/>
              <w:bottom w:val="nil"/>
              <w:right w:val="nil"/>
            </w:tcBorders>
            <w:shd w:val="clear" w:color="auto" w:fill="FFFFFF"/>
            <w:vAlign w:val="bottom"/>
          </w:tcPr>
          <w:p w14:paraId="0661E493"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B</w:t>
            </w:r>
          </w:p>
        </w:tc>
        <w:tc>
          <w:tcPr>
            <w:tcW w:w="760" w:type="dxa"/>
            <w:gridSpan w:val="2"/>
            <w:tcBorders>
              <w:top w:val="single" w:sz="4" w:space="0" w:color="auto"/>
              <w:left w:val="nil"/>
              <w:bottom w:val="nil"/>
              <w:right w:val="nil"/>
            </w:tcBorders>
            <w:shd w:val="clear" w:color="auto" w:fill="FFFFFF"/>
            <w:vAlign w:val="bottom"/>
          </w:tcPr>
          <w:p w14:paraId="748A9B2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Std. Error</w:t>
            </w:r>
          </w:p>
        </w:tc>
        <w:tc>
          <w:tcPr>
            <w:tcW w:w="1038" w:type="dxa"/>
            <w:gridSpan w:val="2"/>
            <w:tcBorders>
              <w:top w:val="single" w:sz="4" w:space="0" w:color="auto"/>
              <w:left w:val="nil"/>
              <w:bottom w:val="nil"/>
              <w:right w:val="nil"/>
            </w:tcBorders>
            <w:shd w:val="clear" w:color="auto" w:fill="FFFFFF"/>
            <w:vAlign w:val="bottom"/>
          </w:tcPr>
          <w:p w14:paraId="046F8A34"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Beta</w:t>
            </w:r>
          </w:p>
        </w:tc>
        <w:tc>
          <w:tcPr>
            <w:tcW w:w="720" w:type="dxa"/>
            <w:vMerge/>
            <w:tcBorders>
              <w:top w:val="single" w:sz="4" w:space="0" w:color="auto"/>
              <w:left w:val="nil"/>
              <w:bottom w:val="nil"/>
              <w:right w:val="nil"/>
            </w:tcBorders>
            <w:shd w:val="clear" w:color="auto" w:fill="FFFFFF"/>
            <w:vAlign w:val="bottom"/>
          </w:tcPr>
          <w:p w14:paraId="4615AEC1" w14:textId="77777777" w:rsidR="008C3BAA" w:rsidRPr="00E2388E" w:rsidRDefault="008C3BAA" w:rsidP="00B732FE">
            <w:pPr>
              <w:autoSpaceDE w:val="0"/>
              <w:autoSpaceDN w:val="0"/>
              <w:adjustRightInd w:val="0"/>
              <w:spacing w:after="0" w:line="360" w:lineRule="auto"/>
              <w:rPr>
                <w:rFonts w:ascii="Times New Roman" w:hAnsi="Times New Roman" w:cs="Times New Roman"/>
                <w:b/>
                <w:color w:val="000000"/>
                <w:sz w:val="20"/>
                <w:szCs w:val="20"/>
              </w:rPr>
            </w:pPr>
          </w:p>
        </w:tc>
        <w:tc>
          <w:tcPr>
            <w:tcW w:w="607" w:type="dxa"/>
            <w:gridSpan w:val="2"/>
            <w:vMerge/>
            <w:tcBorders>
              <w:top w:val="single" w:sz="4" w:space="0" w:color="auto"/>
              <w:left w:val="nil"/>
              <w:bottom w:val="nil"/>
              <w:right w:val="nil"/>
            </w:tcBorders>
            <w:shd w:val="clear" w:color="auto" w:fill="FFFFFF"/>
            <w:vAlign w:val="bottom"/>
          </w:tcPr>
          <w:p w14:paraId="48DDEEFD" w14:textId="77777777" w:rsidR="008C3BAA" w:rsidRPr="00E2388E" w:rsidRDefault="008C3BAA" w:rsidP="00B732FE">
            <w:pPr>
              <w:autoSpaceDE w:val="0"/>
              <w:autoSpaceDN w:val="0"/>
              <w:adjustRightInd w:val="0"/>
              <w:spacing w:after="0" w:line="360" w:lineRule="auto"/>
              <w:rPr>
                <w:rFonts w:ascii="Times New Roman" w:hAnsi="Times New Roman" w:cs="Times New Roman"/>
                <w:b/>
                <w:color w:val="000000"/>
                <w:sz w:val="20"/>
                <w:szCs w:val="20"/>
              </w:rPr>
            </w:pPr>
          </w:p>
        </w:tc>
        <w:tc>
          <w:tcPr>
            <w:tcW w:w="708" w:type="dxa"/>
            <w:tcBorders>
              <w:top w:val="single" w:sz="4" w:space="0" w:color="auto"/>
              <w:left w:val="nil"/>
              <w:bottom w:val="nil"/>
              <w:right w:val="nil"/>
            </w:tcBorders>
            <w:shd w:val="clear" w:color="auto" w:fill="FFFFFF"/>
            <w:vAlign w:val="bottom"/>
          </w:tcPr>
          <w:p w14:paraId="052647B1"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Lower Bound</w:t>
            </w:r>
          </w:p>
        </w:tc>
        <w:tc>
          <w:tcPr>
            <w:tcW w:w="708" w:type="dxa"/>
            <w:gridSpan w:val="2"/>
            <w:tcBorders>
              <w:top w:val="single" w:sz="4" w:space="0" w:color="auto"/>
              <w:left w:val="nil"/>
              <w:bottom w:val="nil"/>
              <w:right w:val="nil"/>
            </w:tcBorders>
            <w:shd w:val="clear" w:color="auto" w:fill="FFFFFF"/>
            <w:vAlign w:val="bottom"/>
          </w:tcPr>
          <w:p w14:paraId="2898F45E"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Upper Bound</w:t>
            </w:r>
          </w:p>
        </w:tc>
        <w:tc>
          <w:tcPr>
            <w:tcW w:w="618" w:type="dxa"/>
            <w:gridSpan w:val="2"/>
            <w:tcBorders>
              <w:top w:val="single" w:sz="4" w:space="0" w:color="auto"/>
              <w:left w:val="nil"/>
              <w:bottom w:val="nil"/>
              <w:right w:val="nil"/>
            </w:tcBorders>
            <w:shd w:val="clear" w:color="auto" w:fill="FFFFFF"/>
            <w:vAlign w:val="bottom"/>
          </w:tcPr>
          <w:p w14:paraId="0EE3944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Zero-order</w:t>
            </w:r>
          </w:p>
        </w:tc>
        <w:tc>
          <w:tcPr>
            <w:tcW w:w="729" w:type="dxa"/>
            <w:tcBorders>
              <w:top w:val="single" w:sz="4" w:space="0" w:color="auto"/>
              <w:left w:val="nil"/>
              <w:bottom w:val="nil"/>
              <w:right w:val="nil"/>
            </w:tcBorders>
            <w:shd w:val="clear" w:color="auto" w:fill="FFFFFF"/>
            <w:vAlign w:val="bottom"/>
          </w:tcPr>
          <w:p w14:paraId="4BBCA210"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Partial</w:t>
            </w:r>
          </w:p>
        </w:tc>
        <w:tc>
          <w:tcPr>
            <w:tcW w:w="590" w:type="dxa"/>
            <w:gridSpan w:val="2"/>
            <w:tcBorders>
              <w:top w:val="single" w:sz="4" w:space="0" w:color="auto"/>
              <w:left w:val="nil"/>
              <w:bottom w:val="nil"/>
              <w:right w:val="nil"/>
            </w:tcBorders>
            <w:shd w:val="clear" w:color="auto" w:fill="FFFFFF"/>
            <w:vAlign w:val="bottom"/>
          </w:tcPr>
          <w:p w14:paraId="1EA22F15"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Part</w:t>
            </w:r>
          </w:p>
        </w:tc>
        <w:tc>
          <w:tcPr>
            <w:tcW w:w="900" w:type="dxa"/>
            <w:tcBorders>
              <w:top w:val="single" w:sz="4" w:space="0" w:color="auto"/>
              <w:left w:val="nil"/>
              <w:bottom w:val="nil"/>
              <w:right w:val="nil"/>
            </w:tcBorders>
            <w:shd w:val="clear" w:color="auto" w:fill="FFFFFF"/>
            <w:vAlign w:val="bottom"/>
          </w:tcPr>
          <w:p w14:paraId="4EF5085A"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Tolerance</w:t>
            </w:r>
          </w:p>
        </w:tc>
        <w:tc>
          <w:tcPr>
            <w:tcW w:w="624" w:type="dxa"/>
            <w:tcBorders>
              <w:top w:val="single" w:sz="4" w:space="0" w:color="auto"/>
              <w:left w:val="nil"/>
              <w:bottom w:val="nil"/>
              <w:right w:val="nil"/>
            </w:tcBorders>
            <w:shd w:val="clear" w:color="auto" w:fill="FFFFFF"/>
            <w:vAlign w:val="bottom"/>
          </w:tcPr>
          <w:p w14:paraId="294E48B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VIF</w:t>
            </w:r>
          </w:p>
        </w:tc>
      </w:tr>
      <w:tr w:rsidR="008C3BAA" w:rsidRPr="002409B8" w14:paraId="633405CA"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240" w:type="dxa"/>
            <w:vMerge w:val="restart"/>
            <w:tcBorders>
              <w:top w:val="nil"/>
              <w:left w:val="nil"/>
              <w:bottom w:val="nil"/>
              <w:right w:val="nil"/>
            </w:tcBorders>
            <w:shd w:val="clear" w:color="auto" w:fill="FFFFFF"/>
          </w:tcPr>
          <w:p w14:paraId="730E0C91"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color w:val="000000"/>
                <w:sz w:val="20"/>
                <w:szCs w:val="20"/>
              </w:rPr>
            </w:pPr>
            <w:bookmarkStart w:id="7" w:name="_Hlk170336179"/>
            <w:r w:rsidRPr="00E2388E">
              <w:rPr>
                <w:rFonts w:ascii="Times New Roman" w:hAnsi="Times New Roman" w:cs="Times New Roman"/>
                <w:color w:val="000000"/>
                <w:sz w:val="20"/>
                <w:szCs w:val="20"/>
              </w:rPr>
              <w:t>1</w:t>
            </w:r>
          </w:p>
        </w:tc>
        <w:tc>
          <w:tcPr>
            <w:tcW w:w="985" w:type="dxa"/>
            <w:gridSpan w:val="2"/>
            <w:tcBorders>
              <w:top w:val="nil"/>
              <w:left w:val="nil"/>
              <w:bottom w:val="nil"/>
              <w:right w:val="nil"/>
            </w:tcBorders>
            <w:shd w:val="clear" w:color="auto" w:fill="FFFFFF"/>
          </w:tcPr>
          <w:p w14:paraId="7D0517D9"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color w:val="000000"/>
                <w:sz w:val="20"/>
                <w:szCs w:val="20"/>
              </w:rPr>
            </w:pPr>
            <w:r w:rsidRPr="00E2388E">
              <w:rPr>
                <w:rFonts w:ascii="Times New Roman" w:hAnsi="Times New Roman" w:cs="Times New Roman"/>
                <w:color w:val="000000"/>
                <w:sz w:val="20"/>
                <w:szCs w:val="20"/>
              </w:rPr>
              <w:t>(Constant)</w:t>
            </w:r>
          </w:p>
        </w:tc>
        <w:tc>
          <w:tcPr>
            <w:tcW w:w="757" w:type="dxa"/>
            <w:tcBorders>
              <w:top w:val="nil"/>
              <w:left w:val="nil"/>
              <w:bottom w:val="nil"/>
              <w:right w:val="nil"/>
            </w:tcBorders>
            <w:shd w:val="clear" w:color="auto" w:fill="FFFFFF"/>
            <w:vAlign w:val="center"/>
          </w:tcPr>
          <w:p w14:paraId="4770E5BB"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1.229</w:t>
            </w:r>
          </w:p>
        </w:tc>
        <w:tc>
          <w:tcPr>
            <w:tcW w:w="760" w:type="dxa"/>
            <w:gridSpan w:val="2"/>
            <w:tcBorders>
              <w:top w:val="nil"/>
              <w:left w:val="nil"/>
              <w:bottom w:val="nil"/>
              <w:right w:val="nil"/>
            </w:tcBorders>
            <w:shd w:val="clear" w:color="auto" w:fill="FFFFFF"/>
            <w:vAlign w:val="center"/>
          </w:tcPr>
          <w:p w14:paraId="512A0130"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.316</w:t>
            </w:r>
          </w:p>
        </w:tc>
        <w:tc>
          <w:tcPr>
            <w:tcW w:w="1038" w:type="dxa"/>
            <w:gridSpan w:val="2"/>
            <w:tcBorders>
              <w:top w:val="nil"/>
              <w:left w:val="nil"/>
              <w:bottom w:val="nil"/>
              <w:right w:val="nil"/>
            </w:tcBorders>
            <w:shd w:val="clear" w:color="auto" w:fill="FFFFFF"/>
            <w:vAlign w:val="center"/>
          </w:tcPr>
          <w:p w14:paraId="537C6880"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720" w:type="dxa"/>
            <w:tcBorders>
              <w:top w:val="nil"/>
              <w:left w:val="nil"/>
              <w:bottom w:val="nil"/>
              <w:right w:val="nil"/>
            </w:tcBorders>
            <w:shd w:val="clear" w:color="auto" w:fill="FFFFFF"/>
            <w:vAlign w:val="center"/>
          </w:tcPr>
          <w:p w14:paraId="66C1DD13"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3.889</w:t>
            </w:r>
          </w:p>
        </w:tc>
        <w:tc>
          <w:tcPr>
            <w:tcW w:w="607" w:type="dxa"/>
            <w:gridSpan w:val="2"/>
            <w:tcBorders>
              <w:top w:val="nil"/>
              <w:left w:val="nil"/>
              <w:bottom w:val="nil"/>
              <w:right w:val="nil"/>
            </w:tcBorders>
            <w:shd w:val="clear" w:color="auto" w:fill="FFFFFF"/>
            <w:vAlign w:val="center"/>
          </w:tcPr>
          <w:p w14:paraId="364B154B"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.000</w:t>
            </w:r>
          </w:p>
        </w:tc>
        <w:tc>
          <w:tcPr>
            <w:tcW w:w="708" w:type="dxa"/>
            <w:tcBorders>
              <w:top w:val="nil"/>
              <w:left w:val="nil"/>
              <w:bottom w:val="nil"/>
              <w:right w:val="nil"/>
            </w:tcBorders>
            <w:shd w:val="clear" w:color="auto" w:fill="FFFFFF"/>
            <w:vAlign w:val="center"/>
          </w:tcPr>
          <w:p w14:paraId="797CAD98"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.607</w:t>
            </w:r>
          </w:p>
        </w:tc>
        <w:tc>
          <w:tcPr>
            <w:tcW w:w="708" w:type="dxa"/>
            <w:gridSpan w:val="2"/>
            <w:tcBorders>
              <w:top w:val="nil"/>
              <w:left w:val="nil"/>
              <w:bottom w:val="nil"/>
              <w:right w:val="nil"/>
            </w:tcBorders>
            <w:shd w:val="clear" w:color="auto" w:fill="FFFFFF"/>
            <w:vAlign w:val="center"/>
          </w:tcPr>
          <w:p w14:paraId="3F1C87C5"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1.852</w:t>
            </w:r>
          </w:p>
        </w:tc>
        <w:tc>
          <w:tcPr>
            <w:tcW w:w="618" w:type="dxa"/>
            <w:gridSpan w:val="2"/>
            <w:tcBorders>
              <w:top w:val="nil"/>
              <w:left w:val="nil"/>
              <w:bottom w:val="nil"/>
              <w:right w:val="nil"/>
            </w:tcBorders>
            <w:shd w:val="clear" w:color="auto" w:fill="FFFFFF"/>
            <w:vAlign w:val="center"/>
          </w:tcPr>
          <w:p w14:paraId="44916B9B"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729" w:type="dxa"/>
            <w:tcBorders>
              <w:top w:val="nil"/>
              <w:left w:val="nil"/>
              <w:bottom w:val="nil"/>
              <w:right w:val="nil"/>
            </w:tcBorders>
            <w:shd w:val="clear" w:color="auto" w:fill="FFFFFF"/>
            <w:vAlign w:val="center"/>
          </w:tcPr>
          <w:p w14:paraId="19D9E763"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590" w:type="dxa"/>
            <w:gridSpan w:val="2"/>
            <w:tcBorders>
              <w:top w:val="nil"/>
              <w:left w:val="nil"/>
              <w:bottom w:val="nil"/>
              <w:right w:val="nil"/>
            </w:tcBorders>
            <w:shd w:val="clear" w:color="auto" w:fill="FFFFFF"/>
            <w:vAlign w:val="center"/>
          </w:tcPr>
          <w:p w14:paraId="578E7EC8"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900" w:type="dxa"/>
            <w:tcBorders>
              <w:top w:val="nil"/>
              <w:left w:val="nil"/>
              <w:bottom w:val="nil"/>
              <w:right w:val="nil"/>
            </w:tcBorders>
            <w:shd w:val="clear" w:color="auto" w:fill="FFFFFF"/>
            <w:vAlign w:val="center"/>
          </w:tcPr>
          <w:p w14:paraId="10A292E1"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624" w:type="dxa"/>
            <w:tcBorders>
              <w:top w:val="nil"/>
              <w:left w:val="nil"/>
              <w:bottom w:val="nil"/>
              <w:right w:val="nil"/>
            </w:tcBorders>
            <w:shd w:val="clear" w:color="auto" w:fill="FFFFFF"/>
            <w:vAlign w:val="center"/>
          </w:tcPr>
          <w:p w14:paraId="47E97B82"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r>
      <w:tr w:rsidR="008C3BAA" w:rsidRPr="002409B8" w14:paraId="7EF6E33A"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240" w:type="dxa"/>
            <w:vMerge/>
            <w:tcBorders>
              <w:top w:val="nil"/>
              <w:left w:val="nil"/>
              <w:bottom w:val="single" w:sz="4" w:space="0" w:color="auto"/>
              <w:right w:val="nil"/>
            </w:tcBorders>
            <w:shd w:val="clear" w:color="auto" w:fill="FFFFFF"/>
          </w:tcPr>
          <w:p w14:paraId="5DCEEEDF"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985" w:type="dxa"/>
            <w:gridSpan w:val="2"/>
            <w:tcBorders>
              <w:top w:val="nil"/>
              <w:left w:val="nil"/>
              <w:bottom w:val="single" w:sz="4" w:space="0" w:color="auto"/>
              <w:right w:val="nil"/>
            </w:tcBorders>
            <w:shd w:val="clear" w:color="auto" w:fill="FFFFFF"/>
          </w:tcPr>
          <w:p w14:paraId="66AECEB4"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color w:val="000000"/>
                <w:sz w:val="20"/>
                <w:szCs w:val="20"/>
              </w:rPr>
            </w:pPr>
            <w:r w:rsidRPr="00E2388E">
              <w:rPr>
                <w:rFonts w:ascii="Times New Roman" w:hAnsi="Times New Roman" w:cs="Times New Roman"/>
                <w:color w:val="000000"/>
                <w:sz w:val="20"/>
                <w:szCs w:val="20"/>
              </w:rPr>
              <w:t xml:space="preserve">Gender Equality </w:t>
            </w:r>
          </w:p>
        </w:tc>
        <w:tc>
          <w:tcPr>
            <w:tcW w:w="757" w:type="dxa"/>
            <w:tcBorders>
              <w:top w:val="nil"/>
              <w:left w:val="nil"/>
              <w:bottom w:val="single" w:sz="4" w:space="0" w:color="auto"/>
              <w:right w:val="nil"/>
            </w:tcBorders>
            <w:shd w:val="clear" w:color="auto" w:fill="FFFFFF"/>
            <w:vAlign w:val="center"/>
          </w:tcPr>
          <w:p w14:paraId="5B3CCC98"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.267</w:t>
            </w:r>
          </w:p>
        </w:tc>
        <w:tc>
          <w:tcPr>
            <w:tcW w:w="760" w:type="dxa"/>
            <w:gridSpan w:val="2"/>
            <w:tcBorders>
              <w:top w:val="nil"/>
              <w:left w:val="nil"/>
              <w:bottom w:val="single" w:sz="4" w:space="0" w:color="auto"/>
              <w:right w:val="nil"/>
            </w:tcBorders>
            <w:shd w:val="clear" w:color="auto" w:fill="FFFFFF"/>
            <w:vAlign w:val="center"/>
          </w:tcPr>
          <w:p w14:paraId="4681D110"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.057</w:t>
            </w:r>
          </w:p>
        </w:tc>
        <w:tc>
          <w:tcPr>
            <w:tcW w:w="1038" w:type="dxa"/>
            <w:gridSpan w:val="2"/>
            <w:tcBorders>
              <w:top w:val="nil"/>
              <w:left w:val="nil"/>
              <w:bottom w:val="single" w:sz="4" w:space="0" w:color="auto"/>
              <w:right w:val="nil"/>
            </w:tcBorders>
            <w:shd w:val="clear" w:color="auto" w:fill="FFFFFF"/>
            <w:vAlign w:val="center"/>
          </w:tcPr>
          <w:p w14:paraId="7D3E3796"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E2388E">
              <w:rPr>
                <w:rFonts w:ascii="Times New Roman" w:hAnsi="Times New Roman" w:cs="Times New Roman"/>
                <w:color w:val="000000"/>
                <w:sz w:val="20"/>
                <w:szCs w:val="20"/>
              </w:rPr>
              <w:t>.280</w:t>
            </w:r>
          </w:p>
        </w:tc>
        <w:tc>
          <w:tcPr>
            <w:tcW w:w="720" w:type="dxa"/>
            <w:tcBorders>
              <w:top w:val="nil"/>
              <w:left w:val="nil"/>
              <w:bottom w:val="single" w:sz="4" w:space="0" w:color="auto"/>
              <w:right w:val="nil"/>
            </w:tcBorders>
            <w:shd w:val="clear" w:color="auto" w:fill="FFFFFF"/>
            <w:vAlign w:val="center"/>
          </w:tcPr>
          <w:p w14:paraId="56E78175"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4.649</w:t>
            </w:r>
          </w:p>
        </w:tc>
        <w:tc>
          <w:tcPr>
            <w:tcW w:w="607" w:type="dxa"/>
            <w:gridSpan w:val="2"/>
            <w:tcBorders>
              <w:top w:val="nil"/>
              <w:left w:val="nil"/>
              <w:bottom w:val="single" w:sz="4" w:space="0" w:color="auto"/>
              <w:right w:val="nil"/>
            </w:tcBorders>
            <w:shd w:val="clear" w:color="auto" w:fill="FFFFFF"/>
            <w:vAlign w:val="center"/>
          </w:tcPr>
          <w:p w14:paraId="0A5E4B09"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.000</w:t>
            </w:r>
          </w:p>
        </w:tc>
        <w:tc>
          <w:tcPr>
            <w:tcW w:w="708" w:type="dxa"/>
            <w:tcBorders>
              <w:top w:val="nil"/>
              <w:left w:val="nil"/>
              <w:bottom w:val="single" w:sz="4" w:space="0" w:color="auto"/>
              <w:right w:val="nil"/>
            </w:tcBorders>
            <w:shd w:val="clear" w:color="auto" w:fill="FFFFFF"/>
            <w:vAlign w:val="center"/>
          </w:tcPr>
          <w:p w14:paraId="5E715077"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.154</w:t>
            </w:r>
          </w:p>
        </w:tc>
        <w:tc>
          <w:tcPr>
            <w:tcW w:w="708" w:type="dxa"/>
            <w:gridSpan w:val="2"/>
            <w:tcBorders>
              <w:top w:val="nil"/>
              <w:left w:val="nil"/>
              <w:bottom w:val="single" w:sz="4" w:space="0" w:color="auto"/>
              <w:right w:val="nil"/>
            </w:tcBorders>
            <w:shd w:val="clear" w:color="auto" w:fill="FFFFFF"/>
            <w:vAlign w:val="center"/>
          </w:tcPr>
          <w:p w14:paraId="3C28C7E9"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.380</w:t>
            </w:r>
          </w:p>
        </w:tc>
        <w:tc>
          <w:tcPr>
            <w:tcW w:w="618" w:type="dxa"/>
            <w:gridSpan w:val="2"/>
            <w:tcBorders>
              <w:top w:val="nil"/>
              <w:left w:val="nil"/>
              <w:bottom w:val="single" w:sz="4" w:space="0" w:color="auto"/>
              <w:right w:val="nil"/>
            </w:tcBorders>
            <w:shd w:val="clear" w:color="auto" w:fill="FFFFFF"/>
            <w:vAlign w:val="center"/>
          </w:tcPr>
          <w:p w14:paraId="038A17F4"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.391</w:t>
            </w:r>
          </w:p>
        </w:tc>
        <w:tc>
          <w:tcPr>
            <w:tcW w:w="729" w:type="dxa"/>
            <w:tcBorders>
              <w:top w:val="nil"/>
              <w:left w:val="nil"/>
              <w:bottom w:val="single" w:sz="4" w:space="0" w:color="auto"/>
              <w:right w:val="nil"/>
            </w:tcBorders>
            <w:shd w:val="clear" w:color="auto" w:fill="FFFFFF"/>
            <w:vAlign w:val="center"/>
          </w:tcPr>
          <w:p w14:paraId="63C5AB1A"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.279</w:t>
            </w:r>
          </w:p>
        </w:tc>
        <w:tc>
          <w:tcPr>
            <w:tcW w:w="590" w:type="dxa"/>
            <w:gridSpan w:val="2"/>
            <w:tcBorders>
              <w:top w:val="nil"/>
              <w:left w:val="nil"/>
              <w:bottom w:val="single" w:sz="4" w:space="0" w:color="auto"/>
              <w:right w:val="nil"/>
            </w:tcBorders>
            <w:shd w:val="clear" w:color="auto" w:fill="FFFFFF"/>
            <w:vAlign w:val="center"/>
          </w:tcPr>
          <w:p w14:paraId="3141FEE1"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.256</w:t>
            </w:r>
          </w:p>
        </w:tc>
        <w:tc>
          <w:tcPr>
            <w:tcW w:w="900" w:type="dxa"/>
            <w:tcBorders>
              <w:top w:val="nil"/>
              <w:left w:val="nil"/>
              <w:bottom w:val="single" w:sz="4" w:space="0" w:color="auto"/>
              <w:right w:val="nil"/>
            </w:tcBorders>
            <w:shd w:val="clear" w:color="auto" w:fill="FFFFFF"/>
            <w:vAlign w:val="center"/>
          </w:tcPr>
          <w:p w14:paraId="4BDBCFEF"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.837</w:t>
            </w:r>
          </w:p>
        </w:tc>
        <w:tc>
          <w:tcPr>
            <w:tcW w:w="624" w:type="dxa"/>
            <w:tcBorders>
              <w:top w:val="nil"/>
              <w:left w:val="nil"/>
              <w:bottom w:val="single" w:sz="4" w:space="0" w:color="auto"/>
              <w:right w:val="nil"/>
            </w:tcBorders>
            <w:shd w:val="clear" w:color="auto" w:fill="FFFFFF"/>
            <w:vAlign w:val="center"/>
          </w:tcPr>
          <w:p w14:paraId="4AC4E7A1"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1.195</w:t>
            </w:r>
          </w:p>
        </w:tc>
      </w:tr>
      <w:bookmarkEnd w:id="7"/>
      <w:tr w:rsidR="008C3BAA" w:rsidRPr="002409B8" w14:paraId="7AF60B09" w14:textId="77777777" w:rsidTr="00C515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58"/>
        </w:trPr>
        <w:tc>
          <w:tcPr>
            <w:tcW w:w="9984" w:type="dxa"/>
            <w:gridSpan w:val="21"/>
            <w:tcBorders>
              <w:top w:val="single" w:sz="4" w:space="0" w:color="auto"/>
              <w:left w:val="nil"/>
              <w:bottom w:val="nil"/>
              <w:right w:val="nil"/>
            </w:tcBorders>
            <w:shd w:val="clear" w:color="auto" w:fill="FFFFFF"/>
          </w:tcPr>
          <w:p w14:paraId="60781CCF" w14:textId="77777777" w:rsidR="006270C1" w:rsidRPr="00B87F57" w:rsidRDefault="008C3BAA" w:rsidP="00B732FE">
            <w:pPr>
              <w:pStyle w:val="ListParagraph"/>
              <w:numPr>
                <w:ilvl w:val="0"/>
                <w:numId w:val="1"/>
              </w:numPr>
              <w:autoSpaceDE w:val="0"/>
              <w:autoSpaceDN w:val="0"/>
              <w:adjustRightInd w:val="0"/>
              <w:spacing w:after="0" w:line="360" w:lineRule="auto"/>
              <w:ind w:right="60"/>
              <w:rPr>
                <w:rFonts w:ascii="Times New Roman" w:hAnsi="Times New Roman" w:cs="Times New Roman"/>
                <w:color w:val="000000"/>
                <w:sz w:val="24"/>
                <w:szCs w:val="24"/>
              </w:rPr>
            </w:pPr>
            <w:r w:rsidRPr="00B87F57">
              <w:rPr>
                <w:rFonts w:ascii="Times New Roman" w:hAnsi="Times New Roman" w:cs="Times New Roman"/>
                <w:b/>
                <w:color w:val="000000"/>
                <w:sz w:val="24"/>
                <w:szCs w:val="24"/>
              </w:rPr>
              <w:t>Dependent Variable:</w:t>
            </w:r>
            <w:r w:rsidRPr="002409B8">
              <w:rPr>
                <w:rFonts w:ascii="Times New Roman" w:hAnsi="Times New Roman" w:cs="Times New Roman"/>
                <w:color w:val="000000"/>
                <w:sz w:val="24"/>
                <w:szCs w:val="24"/>
              </w:rPr>
              <w:t xml:space="preserve"> Girls Enrollment Rate </w:t>
            </w:r>
          </w:p>
        </w:tc>
      </w:tr>
    </w:tbl>
    <w:p w14:paraId="4C12504E" w14:textId="77777777" w:rsidR="00B312D5" w:rsidRPr="00247A0B" w:rsidRDefault="00B312D5" w:rsidP="00B732FE">
      <w:pPr>
        <w:spacing w:line="360" w:lineRule="auto"/>
        <w:rPr>
          <w:rFonts w:ascii="Times New Roman" w:eastAsia="Calibri" w:hAnsi="Times New Roman" w:cs="Times New Roman"/>
          <w:sz w:val="24"/>
          <w:szCs w:val="24"/>
        </w:rPr>
        <w:sectPr w:rsidR="00B312D5" w:rsidRPr="00247A0B" w:rsidSect="002F26F5">
          <w:type w:val="continuous"/>
          <w:pgSz w:w="12240" w:h="15840"/>
          <w:pgMar w:top="1440" w:right="1440" w:bottom="1440" w:left="1440" w:header="720" w:footer="720" w:gutter="0"/>
          <w:cols w:space="720"/>
          <w:docGrid w:linePitch="360"/>
        </w:sectPr>
      </w:pPr>
    </w:p>
    <w:p w14:paraId="759F99DF" w14:textId="77777777" w:rsidR="00AE160C" w:rsidRPr="00EA0BF8" w:rsidRDefault="00AE160C" w:rsidP="00B732FE">
      <w:pPr>
        <w:spacing w:after="0"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lastRenderedPageBreak/>
        <w:t>Table 7 pr</w:t>
      </w:r>
      <w:r>
        <w:rPr>
          <w:rFonts w:ascii="Times New Roman" w:eastAsia="Calibri" w:hAnsi="Times New Roman" w:cs="Times New Roman"/>
          <w:sz w:val="24"/>
          <w:szCs w:val="24"/>
        </w:rPr>
        <w:t>esents</w:t>
      </w:r>
      <w:r w:rsidRPr="00EA0BF8">
        <w:rPr>
          <w:rFonts w:ascii="Times New Roman" w:eastAsia="Calibri" w:hAnsi="Times New Roman" w:cs="Times New Roman"/>
          <w:sz w:val="24"/>
          <w:szCs w:val="24"/>
        </w:rPr>
        <w:t xml:space="preserve"> a comprehensive summary of the regression coefficients f</w:t>
      </w:r>
      <w:r>
        <w:rPr>
          <w:rFonts w:ascii="Times New Roman" w:eastAsia="Calibri" w:hAnsi="Times New Roman" w:cs="Times New Roman"/>
          <w:sz w:val="24"/>
          <w:szCs w:val="24"/>
        </w:rPr>
        <w:t>or</w:t>
      </w:r>
      <w:r w:rsidRPr="00EA0BF8">
        <w:rPr>
          <w:rFonts w:ascii="Times New Roman" w:eastAsia="Calibri" w:hAnsi="Times New Roman" w:cs="Times New Roman"/>
          <w:sz w:val="24"/>
          <w:szCs w:val="24"/>
        </w:rPr>
        <w:t xml:space="preserve"> the </w:t>
      </w:r>
      <w:r w:rsidRPr="00EA0BF8">
        <w:rPr>
          <w:rFonts w:ascii="Times New Roman" w:eastAsia="Calibri" w:hAnsi="Times New Roman" w:cs="Times New Roman"/>
          <w:sz w:val="24"/>
          <w:szCs w:val="24"/>
        </w:rPr>
        <w:lastRenderedPageBreak/>
        <w:t xml:space="preserve">computed variables </w:t>
      </w:r>
      <w:r>
        <w:rPr>
          <w:rFonts w:ascii="Times New Roman" w:eastAsia="Calibri" w:hAnsi="Times New Roman" w:cs="Times New Roman"/>
          <w:sz w:val="24"/>
          <w:szCs w:val="24"/>
        </w:rPr>
        <w:t>on</w:t>
      </w:r>
      <w:r w:rsidRPr="00EA0BF8">
        <w:rPr>
          <w:rFonts w:ascii="Times New Roman" w:eastAsia="Calibri" w:hAnsi="Times New Roman" w:cs="Times New Roman"/>
          <w:sz w:val="24"/>
          <w:szCs w:val="24"/>
        </w:rPr>
        <w:t xml:space="preserve"> gender equality. The findings </w:t>
      </w:r>
      <w:r>
        <w:rPr>
          <w:rFonts w:ascii="Times New Roman" w:eastAsia="Calibri" w:hAnsi="Times New Roman" w:cs="Times New Roman"/>
          <w:sz w:val="24"/>
          <w:szCs w:val="24"/>
        </w:rPr>
        <w:t>underscore</w:t>
      </w:r>
      <w:r w:rsidRPr="00EA0BF8">
        <w:rPr>
          <w:rFonts w:ascii="Times New Roman" w:eastAsia="Calibri" w:hAnsi="Times New Roman" w:cs="Times New Roman"/>
          <w:sz w:val="24"/>
          <w:szCs w:val="24"/>
        </w:rPr>
        <w:t xml:space="preserve"> the significant impact </w:t>
      </w:r>
      <w:r w:rsidRPr="00EA0BF8">
        <w:rPr>
          <w:rFonts w:ascii="Times New Roman" w:eastAsia="Calibri" w:hAnsi="Times New Roman" w:cs="Times New Roman"/>
          <w:sz w:val="24"/>
          <w:szCs w:val="24"/>
        </w:rPr>
        <w:lastRenderedPageBreak/>
        <w:t xml:space="preserve">that gender equality has on the enrollment rate of girls in public secondary schools. The analysis reveals a standard beta coefficient of 0.280, which is statistically significant </w:t>
      </w:r>
      <w:r>
        <w:rPr>
          <w:rFonts w:ascii="Times New Roman" w:eastAsia="Calibri" w:hAnsi="Times New Roman" w:cs="Times New Roman"/>
          <w:sz w:val="24"/>
          <w:szCs w:val="24"/>
        </w:rPr>
        <w:t>(P.</w:t>
      </w:r>
      <w:r w:rsidRPr="00EA0BF8">
        <w:rPr>
          <w:rFonts w:ascii="Times New Roman" w:eastAsia="Calibri" w:hAnsi="Times New Roman" w:cs="Times New Roman"/>
          <w:sz w:val="24"/>
          <w:szCs w:val="24"/>
        </w:rPr>
        <w:t xml:space="preserve"> 0.000</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This indicates a strong </w:t>
      </w:r>
      <w:r>
        <w:rPr>
          <w:rFonts w:ascii="Times New Roman" w:eastAsia="Calibri" w:hAnsi="Times New Roman" w:cs="Times New Roman"/>
          <w:sz w:val="24"/>
          <w:szCs w:val="24"/>
        </w:rPr>
        <w:t xml:space="preserve">positive </w:t>
      </w:r>
      <w:r w:rsidRPr="00EA0BF8">
        <w:rPr>
          <w:rFonts w:ascii="Times New Roman" w:eastAsia="Calibri" w:hAnsi="Times New Roman" w:cs="Times New Roman"/>
          <w:sz w:val="24"/>
          <w:szCs w:val="24"/>
        </w:rPr>
        <w:t xml:space="preserve">relationship between gender equality and girls' enrollment, </w:t>
      </w:r>
      <w:r>
        <w:rPr>
          <w:rFonts w:ascii="Times New Roman" w:eastAsia="Calibri" w:hAnsi="Times New Roman" w:cs="Times New Roman"/>
          <w:sz w:val="24"/>
          <w:szCs w:val="24"/>
        </w:rPr>
        <w:t>suggesting</w:t>
      </w:r>
      <w:r w:rsidRPr="00EA0BF8">
        <w:rPr>
          <w:rFonts w:ascii="Times New Roman" w:eastAsia="Calibri" w:hAnsi="Times New Roman" w:cs="Times New Roman"/>
          <w:sz w:val="24"/>
          <w:szCs w:val="24"/>
        </w:rPr>
        <w:t xml:space="preserve"> that for every one-unit improvement in gender equality, there is an increase of 0.280 units in the enrollment rate of girls in secondary schools in Kicukiro and Gicumbi districts, Rwanda.</w:t>
      </w:r>
    </w:p>
    <w:p w14:paraId="06DF028A" w14:textId="77777777" w:rsidR="00EA0BF8" w:rsidRPr="00B87F57" w:rsidRDefault="00EA0BF8" w:rsidP="00B732FE">
      <w:pPr>
        <w:spacing w:line="360" w:lineRule="auto"/>
        <w:jc w:val="both"/>
        <w:rPr>
          <w:rFonts w:ascii="Times New Roman" w:eastAsia="Calibri" w:hAnsi="Times New Roman" w:cs="Times New Roman"/>
          <w:b/>
          <w:sz w:val="24"/>
          <w:szCs w:val="24"/>
        </w:rPr>
      </w:pPr>
      <w:r w:rsidRPr="00B87F57">
        <w:rPr>
          <w:rFonts w:ascii="Times New Roman" w:eastAsia="Calibri" w:hAnsi="Times New Roman" w:cs="Times New Roman"/>
          <w:b/>
          <w:sz w:val="24"/>
          <w:szCs w:val="24"/>
        </w:rPr>
        <w:t>5.</w:t>
      </w:r>
      <w:r w:rsidRPr="00B87F57">
        <w:rPr>
          <w:rFonts w:ascii="Times New Roman" w:eastAsia="Calibri" w:hAnsi="Times New Roman" w:cs="Times New Roman"/>
          <w:b/>
          <w:sz w:val="24"/>
          <w:szCs w:val="24"/>
        </w:rPr>
        <w:tab/>
      </w:r>
      <w:r w:rsidR="00FA3C30" w:rsidRPr="00B87F57">
        <w:rPr>
          <w:rFonts w:ascii="Times New Roman" w:eastAsia="Calibri" w:hAnsi="Times New Roman" w:cs="Times New Roman"/>
          <w:b/>
          <w:sz w:val="24"/>
          <w:szCs w:val="24"/>
        </w:rPr>
        <w:t>DISCUSSION</w:t>
      </w:r>
    </w:p>
    <w:p w14:paraId="34712BCB" w14:textId="77777777" w:rsidR="00EA0BF8" w:rsidRPr="00EA0BF8" w:rsidRDefault="00EA0BF8"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The study focused on evaluating how gender equality influences girls' enrollment rates in selected public secondary schools, positing gender equality as a crucial predictor for educational policies regarding girls. </w:t>
      </w:r>
      <w:r w:rsidR="006C58F6" w:rsidRPr="00EA0BF8">
        <w:rPr>
          <w:rFonts w:ascii="Times New Roman" w:eastAsia="Calibri" w:hAnsi="Times New Roman" w:cs="Times New Roman"/>
          <w:sz w:val="24"/>
          <w:szCs w:val="24"/>
        </w:rPr>
        <w:t xml:space="preserve">It comprehensively examined eight critical aspects: the implementation of </w:t>
      </w:r>
      <w:r w:rsidR="006C58F6">
        <w:rPr>
          <w:rFonts w:ascii="Times New Roman" w:eastAsia="Calibri" w:hAnsi="Times New Roman" w:cs="Times New Roman"/>
          <w:sz w:val="24"/>
          <w:szCs w:val="24"/>
        </w:rPr>
        <w:t xml:space="preserve">the use of </w:t>
      </w:r>
      <w:r w:rsidR="006C58F6" w:rsidRPr="00EA0BF8">
        <w:rPr>
          <w:rFonts w:ascii="Times New Roman" w:eastAsia="Calibri" w:hAnsi="Times New Roman" w:cs="Times New Roman"/>
          <w:sz w:val="24"/>
          <w:szCs w:val="24"/>
        </w:rPr>
        <w:t>gender-sensitive language, the satisfaction of female students' participation needs, equal access to resources and services, involvement of girls in decision-making processes, community sensitization regarding education, enhancement of student participation, fostering hope among girls through equitable treatment, and active participation in school leadership.</w:t>
      </w:r>
    </w:p>
    <w:p w14:paraId="74A9E568" w14:textId="77777777" w:rsidR="006C58F6" w:rsidRPr="00EA0BF8" w:rsidRDefault="006C58F6"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Findings illustrate a general adoption of gender-sensitive language within schools, </w:t>
      </w:r>
      <w:r w:rsidRPr="00EA0BF8">
        <w:rPr>
          <w:rFonts w:ascii="Times New Roman" w:eastAsia="Calibri" w:hAnsi="Times New Roman" w:cs="Times New Roman"/>
          <w:sz w:val="24"/>
          <w:szCs w:val="24"/>
        </w:rPr>
        <w:lastRenderedPageBreak/>
        <w:t xml:space="preserve">leading to greater inclusivity. This aligns with Giralt (2024), who noted the </w:t>
      </w:r>
      <w:r>
        <w:rPr>
          <w:rFonts w:ascii="Times New Roman" w:eastAsia="Calibri" w:hAnsi="Times New Roman" w:cs="Times New Roman"/>
          <w:sz w:val="24"/>
          <w:szCs w:val="24"/>
        </w:rPr>
        <w:t>positive</w:t>
      </w:r>
      <w:r w:rsidRPr="00EA0BF8">
        <w:rPr>
          <w:rFonts w:ascii="Times New Roman" w:eastAsia="Calibri" w:hAnsi="Times New Roman" w:cs="Times New Roman"/>
          <w:sz w:val="24"/>
          <w:szCs w:val="24"/>
        </w:rPr>
        <w:t xml:space="preserve"> impacts of gender-sensitive communication </w:t>
      </w:r>
      <w:r>
        <w:rPr>
          <w:rFonts w:ascii="Times New Roman" w:eastAsia="Calibri" w:hAnsi="Times New Roman" w:cs="Times New Roman"/>
          <w:sz w:val="24"/>
          <w:szCs w:val="24"/>
        </w:rPr>
        <w:t>in cultivating</w:t>
      </w:r>
      <w:r w:rsidRPr="00EA0BF8">
        <w:rPr>
          <w:rFonts w:ascii="Times New Roman" w:eastAsia="Calibri" w:hAnsi="Times New Roman" w:cs="Times New Roman"/>
          <w:sz w:val="24"/>
          <w:szCs w:val="24"/>
        </w:rPr>
        <w:t xml:space="preserve"> an inclusive school culture. </w:t>
      </w:r>
      <w:r>
        <w:rPr>
          <w:rFonts w:ascii="Times New Roman" w:eastAsia="Calibri" w:hAnsi="Times New Roman" w:cs="Times New Roman"/>
          <w:sz w:val="24"/>
          <w:szCs w:val="24"/>
        </w:rPr>
        <w:t xml:space="preserve">Similarly, </w:t>
      </w:r>
      <w:r w:rsidR="0082339E">
        <w:rPr>
          <w:rFonts w:ascii="Times New Roman" w:eastAsia="Calibri" w:hAnsi="Times New Roman" w:cs="Times New Roman"/>
          <w:sz w:val="24"/>
          <w:szCs w:val="24"/>
        </w:rPr>
        <w:t>Johnson (2022</w:t>
      </w:r>
      <w:r w:rsidRPr="00EA0BF8">
        <w:rPr>
          <w:rFonts w:ascii="Times New Roman" w:eastAsia="Calibri" w:hAnsi="Times New Roman" w:cs="Times New Roman"/>
          <w:sz w:val="24"/>
          <w:szCs w:val="24"/>
        </w:rPr>
        <w:t>) emphasiz</w:t>
      </w:r>
      <w:r>
        <w:rPr>
          <w:rFonts w:ascii="Times New Roman" w:eastAsia="Calibri" w:hAnsi="Times New Roman" w:cs="Times New Roman"/>
          <w:sz w:val="24"/>
          <w:szCs w:val="24"/>
        </w:rPr>
        <w:t>es</w:t>
      </w:r>
      <w:r w:rsidRPr="00EA0BF8">
        <w:rPr>
          <w:rFonts w:ascii="Times New Roman" w:eastAsia="Calibri" w:hAnsi="Times New Roman" w:cs="Times New Roman"/>
          <w:sz w:val="24"/>
          <w:szCs w:val="24"/>
        </w:rPr>
        <w:t xml:space="preserve"> that effective communication enhances awareness of gender issues among students, cultivating a respectful environment. However, the study also identified inconsistencies in </w:t>
      </w:r>
      <w:r>
        <w:rPr>
          <w:rFonts w:ascii="Times New Roman" w:eastAsia="Calibri" w:hAnsi="Times New Roman" w:cs="Times New Roman"/>
          <w:sz w:val="24"/>
          <w:szCs w:val="24"/>
        </w:rPr>
        <w:t>using</w:t>
      </w:r>
      <w:r w:rsidRPr="00EA0B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Pr="00EA0BF8">
        <w:rPr>
          <w:rFonts w:ascii="Times New Roman" w:eastAsia="Calibri" w:hAnsi="Times New Roman" w:cs="Times New Roman"/>
          <w:sz w:val="24"/>
          <w:szCs w:val="24"/>
        </w:rPr>
        <w:t xml:space="preserve">gender-sensitive language, particularly in informal interactions. Such disparities highlight possible gaps between established policies and their real-world application, potentially due to inadequate educator training or insufficient institutional support, as suggested by </w:t>
      </w:r>
      <w:r w:rsidR="00C10172" w:rsidRPr="00C10172">
        <w:rPr>
          <w:rFonts w:ascii="Times New Roman" w:hAnsi="Times New Roman" w:cs="Times New Roman"/>
          <w:color w:val="222222"/>
          <w:sz w:val="24"/>
          <w:szCs w:val="24"/>
          <w:shd w:val="clear" w:color="auto" w:fill="FFFFFF"/>
        </w:rPr>
        <w:t>Niyonasenze</w:t>
      </w:r>
      <w:r w:rsidR="000C1820" w:rsidRPr="00C10172">
        <w:rPr>
          <w:rFonts w:ascii="Times New Roman" w:hAnsi="Times New Roman" w:cs="Times New Roman"/>
          <w:color w:val="222222"/>
          <w:sz w:val="24"/>
          <w:szCs w:val="24"/>
          <w:shd w:val="clear" w:color="auto" w:fill="FFFFFF"/>
        </w:rPr>
        <w:t xml:space="preserve"> </w:t>
      </w:r>
      <w:r w:rsidR="001D3B83" w:rsidRPr="00C10172">
        <w:rPr>
          <w:rFonts w:ascii="Times New Roman" w:hAnsi="Times New Roman" w:cs="Times New Roman"/>
          <w:i/>
          <w:color w:val="222222"/>
          <w:sz w:val="24"/>
          <w:szCs w:val="24"/>
          <w:shd w:val="clear" w:color="auto" w:fill="FFFFFF"/>
        </w:rPr>
        <w:t>et al.</w:t>
      </w:r>
      <w:r w:rsidR="00C10172">
        <w:rPr>
          <w:rFonts w:ascii="Times New Roman" w:hAnsi="Times New Roman" w:cs="Times New Roman"/>
          <w:color w:val="222222"/>
          <w:sz w:val="24"/>
          <w:szCs w:val="24"/>
          <w:shd w:val="clear" w:color="auto" w:fill="FFFFFF"/>
        </w:rPr>
        <w:t xml:space="preserve"> (2024</w:t>
      </w:r>
      <w:r w:rsidR="000C1820" w:rsidRPr="00C10172">
        <w:rPr>
          <w:rFonts w:ascii="Times New Roman" w:hAnsi="Times New Roman" w:cs="Times New Roman"/>
          <w:color w:val="222222"/>
          <w:sz w:val="24"/>
          <w:szCs w:val="24"/>
          <w:shd w:val="clear" w:color="auto" w:fill="FFFFFF"/>
        </w:rPr>
        <w:t>).</w:t>
      </w:r>
      <w:r w:rsidR="000C1820" w:rsidRPr="00AC0F9E">
        <w:rPr>
          <w:rFonts w:ascii="Times New Roman" w:hAnsi="Times New Roman" w:cs="Times New Roman"/>
          <w:color w:val="222222"/>
          <w:sz w:val="24"/>
          <w:szCs w:val="24"/>
          <w:shd w:val="clear" w:color="auto" w:fill="FFFFFF"/>
        </w:rPr>
        <w:t xml:space="preserve"> </w:t>
      </w:r>
    </w:p>
    <w:p w14:paraId="34D2BEBE" w14:textId="09AB48B0" w:rsidR="00EA0BF8" w:rsidRPr="00EA0BF8" w:rsidRDefault="00EA0BF8"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Regarding female student participation, the results indicate that while schools generally aim to support involvement, discrepancies exist. Wanjiru (2023) noted similar trends, suggesting a broader need for comprehensive support systems, including mentorship and health education. Uwineza </w:t>
      </w:r>
      <w:r w:rsidR="001D3B83">
        <w:rPr>
          <w:rFonts w:ascii="Times New Roman" w:eastAsia="Calibri" w:hAnsi="Times New Roman" w:cs="Times New Roman"/>
          <w:i/>
          <w:sz w:val="24"/>
          <w:szCs w:val="24"/>
        </w:rPr>
        <w:t>et al.</w:t>
      </w:r>
      <w:r w:rsidRPr="00EA0BF8">
        <w:rPr>
          <w:rFonts w:ascii="Times New Roman" w:eastAsia="Calibri" w:hAnsi="Times New Roman" w:cs="Times New Roman"/>
          <w:sz w:val="24"/>
          <w:szCs w:val="24"/>
        </w:rPr>
        <w:t xml:space="preserve"> (2018) added that inclusive decision-making processes are essential for achieving better engagement outcomes for female students. The findings further confirm a strong perception of equal access to services, necessary for effective school leadership and gender equality. </w:t>
      </w:r>
      <w:r w:rsidR="0082339E" w:rsidRPr="00AC0F9E">
        <w:rPr>
          <w:rFonts w:ascii="Times New Roman" w:hAnsi="Times New Roman" w:cs="Times New Roman"/>
          <w:color w:val="222222"/>
          <w:sz w:val="24"/>
          <w:szCs w:val="24"/>
          <w:shd w:val="clear" w:color="auto" w:fill="FFFFFF"/>
        </w:rPr>
        <w:t>Thomson</w:t>
      </w:r>
      <w:r w:rsidR="0082339E">
        <w:rPr>
          <w:rFonts w:ascii="Times New Roman" w:hAnsi="Times New Roman" w:cs="Times New Roman"/>
          <w:color w:val="222222"/>
          <w:sz w:val="24"/>
          <w:szCs w:val="24"/>
          <w:shd w:val="clear" w:color="auto" w:fill="FFFFFF"/>
        </w:rPr>
        <w:t xml:space="preserve"> </w:t>
      </w:r>
      <w:r w:rsidR="0082339E" w:rsidRPr="0082339E">
        <w:rPr>
          <w:rFonts w:ascii="Times New Roman" w:hAnsi="Times New Roman" w:cs="Times New Roman"/>
          <w:i/>
          <w:color w:val="222222"/>
          <w:sz w:val="24"/>
          <w:szCs w:val="24"/>
          <w:shd w:val="clear" w:color="auto" w:fill="FFFFFF"/>
        </w:rPr>
        <w:t>et al.</w:t>
      </w:r>
      <w:r w:rsidR="0082339E">
        <w:rPr>
          <w:rFonts w:ascii="Times New Roman" w:eastAsia="Calibri" w:hAnsi="Times New Roman" w:cs="Times New Roman"/>
          <w:sz w:val="24"/>
          <w:szCs w:val="24"/>
        </w:rPr>
        <w:t xml:space="preserve"> (2022</w:t>
      </w:r>
      <w:r w:rsidR="006C58F6" w:rsidRPr="00EA0BF8">
        <w:rPr>
          <w:rFonts w:ascii="Times New Roman" w:eastAsia="Calibri" w:hAnsi="Times New Roman" w:cs="Times New Roman"/>
          <w:sz w:val="24"/>
          <w:szCs w:val="24"/>
        </w:rPr>
        <w:t xml:space="preserve">) </w:t>
      </w:r>
      <w:r w:rsidR="006C58F6" w:rsidRPr="00EA0BF8">
        <w:rPr>
          <w:rFonts w:ascii="Times New Roman" w:eastAsia="Calibri" w:hAnsi="Times New Roman" w:cs="Times New Roman"/>
          <w:sz w:val="24"/>
          <w:szCs w:val="24"/>
        </w:rPr>
        <w:lastRenderedPageBreak/>
        <w:t>supports this notion, recognizing that well-implemented policies promote equal access to resources and academic support</w:t>
      </w:r>
      <w:r w:rsidR="006C58F6">
        <w:rPr>
          <w:rFonts w:ascii="Times New Roman" w:eastAsia="Calibri" w:hAnsi="Times New Roman" w:cs="Times New Roman"/>
          <w:sz w:val="24"/>
          <w:szCs w:val="24"/>
        </w:rPr>
        <w:t xml:space="preserve"> which</w:t>
      </w:r>
      <w:r w:rsidR="006C58F6" w:rsidRPr="00EA0BF8">
        <w:rPr>
          <w:rFonts w:ascii="Times New Roman" w:eastAsia="Calibri" w:hAnsi="Times New Roman" w:cs="Times New Roman"/>
          <w:sz w:val="24"/>
          <w:szCs w:val="24"/>
        </w:rPr>
        <w:t xml:space="preserve"> reinforc</w:t>
      </w:r>
      <w:r w:rsidR="006C58F6">
        <w:rPr>
          <w:rFonts w:ascii="Times New Roman" w:eastAsia="Calibri" w:hAnsi="Times New Roman" w:cs="Times New Roman"/>
          <w:sz w:val="24"/>
          <w:szCs w:val="24"/>
        </w:rPr>
        <w:t>e</w:t>
      </w:r>
      <w:r w:rsidR="006C58F6" w:rsidRPr="00EA0BF8">
        <w:rPr>
          <w:rFonts w:ascii="Times New Roman" w:eastAsia="Calibri" w:hAnsi="Times New Roman" w:cs="Times New Roman"/>
          <w:sz w:val="24"/>
          <w:szCs w:val="24"/>
        </w:rPr>
        <w:t xml:space="preserve"> the positive learning environment for all genders, as emphasized by </w:t>
      </w:r>
      <w:r w:rsidR="00776C2C">
        <w:rPr>
          <w:rFonts w:ascii="Times New Roman" w:hAnsi="Times New Roman" w:cs="Times New Roman"/>
          <w:color w:val="222222"/>
          <w:sz w:val="24"/>
          <w:szCs w:val="24"/>
          <w:shd w:val="clear" w:color="auto" w:fill="FFFFFF"/>
        </w:rPr>
        <w:t xml:space="preserve">Lee </w:t>
      </w:r>
      <w:r w:rsidR="00DB5DF8">
        <w:rPr>
          <w:rFonts w:ascii="Times New Roman" w:hAnsi="Times New Roman" w:cs="Times New Roman"/>
          <w:color w:val="222222"/>
          <w:sz w:val="24"/>
          <w:szCs w:val="24"/>
          <w:shd w:val="clear" w:color="auto" w:fill="FFFFFF"/>
        </w:rPr>
        <w:t>and Chang (2021).</w:t>
      </w:r>
    </w:p>
    <w:p w14:paraId="13EC5186" w14:textId="77777777" w:rsidR="00366470" w:rsidRPr="00EA0BF8" w:rsidRDefault="006C58F6"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Despite </w:t>
      </w:r>
      <w:r>
        <w:rPr>
          <w:rFonts w:ascii="Times New Roman" w:eastAsia="Calibri" w:hAnsi="Times New Roman" w:cs="Times New Roman"/>
          <w:sz w:val="24"/>
          <w:szCs w:val="24"/>
        </w:rPr>
        <w:t>general</w:t>
      </w:r>
      <w:r w:rsidRPr="00EA0BF8">
        <w:rPr>
          <w:rFonts w:ascii="Times New Roman" w:eastAsia="Calibri" w:hAnsi="Times New Roman" w:cs="Times New Roman"/>
          <w:sz w:val="24"/>
          <w:szCs w:val="24"/>
        </w:rPr>
        <w:t xml:space="preserve"> agreement on equal access to resources, challenges persist</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Doğan</w:t>
      </w:r>
      <w:r w:rsidR="00EA0BF8" w:rsidRPr="00EA0BF8">
        <w:rPr>
          <w:rFonts w:ascii="Times New Roman" w:eastAsia="Calibri" w:hAnsi="Times New Roman" w:cs="Times New Roman"/>
          <w:sz w:val="24"/>
          <w:szCs w:val="24"/>
        </w:rPr>
        <w:t xml:space="preserve"> </w:t>
      </w:r>
      <w:r w:rsidR="008D57FD">
        <w:rPr>
          <w:rFonts w:ascii="Times New Roman" w:eastAsia="Calibri" w:hAnsi="Times New Roman" w:cs="Times New Roman"/>
          <w:i/>
          <w:sz w:val="24"/>
          <w:szCs w:val="24"/>
        </w:rPr>
        <w:t xml:space="preserve">et al. </w:t>
      </w:r>
      <w:r w:rsidR="00EA0BF8" w:rsidRPr="00EA0BF8">
        <w:rPr>
          <w:rFonts w:ascii="Times New Roman" w:eastAsia="Calibri" w:hAnsi="Times New Roman" w:cs="Times New Roman"/>
          <w:sz w:val="24"/>
          <w:szCs w:val="24"/>
        </w:rPr>
        <w:t xml:space="preserve">(2021) </w:t>
      </w:r>
      <w:r w:rsidR="00366470" w:rsidRPr="00EA0BF8">
        <w:rPr>
          <w:rFonts w:ascii="Times New Roman" w:eastAsia="Calibri" w:hAnsi="Times New Roman" w:cs="Times New Roman"/>
          <w:sz w:val="24"/>
          <w:szCs w:val="24"/>
        </w:rPr>
        <w:t>not</w:t>
      </w:r>
      <w:r w:rsidR="00366470">
        <w:rPr>
          <w:rFonts w:ascii="Times New Roman" w:eastAsia="Calibri" w:hAnsi="Times New Roman" w:cs="Times New Roman"/>
          <w:sz w:val="24"/>
          <w:szCs w:val="24"/>
        </w:rPr>
        <w:t>e</w:t>
      </w:r>
      <w:r w:rsidR="00366470" w:rsidRPr="00EA0BF8">
        <w:rPr>
          <w:rFonts w:ascii="Times New Roman" w:eastAsia="Calibri" w:hAnsi="Times New Roman" w:cs="Times New Roman"/>
          <w:sz w:val="24"/>
          <w:szCs w:val="24"/>
        </w:rPr>
        <w:t xml:space="preserve"> that subtle inequalities continue to affect the educational experience. Continuous feedback and regular assessments, highlighted by </w:t>
      </w:r>
      <w:r w:rsidR="00F3484A" w:rsidRPr="006C3650">
        <w:rPr>
          <w:rFonts w:ascii="Times New Roman" w:hAnsi="Times New Roman" w:cs="Times New Roman"/>
          <w:sz w:val="24"/>
          <w:szCs w:val="24"/>
          <w:shd w:val="clear" w:color="auto" w:fill="FFFFFF"/>
        </w:rPr>
        <w:t xml:space="preserve">Bergstrom and Özler </w:t>
      </w:r>
      <w:r w:rsidR="00776C2C">
        <w:rPr>
          <w:rFonts w:ascii="Times New Roman" w:eastAsia="Calibri" w:hAnsi="Times New Roman" w:cs="Times New Roman"/>
          <w:sz w:val="24"/>
          <w:szCs w:val="24"/>
        </w:rPr>
        <w:t>(2023</w:t>
      </w:r>
      <w:r w:rsidR="00366470" w:rsidRPr="006C3650">
        <w:rPr>
          <w:rFonts w:ascii="Times New Roman" w:eastAsia="Calibri" w:hAnsi="Times New Roman" w:cs="Times New Roman"/>
          <w:sz w:val="24"/>
          <w:szCs w:val="24"/>
        </w:rPr>
        <w:t xml:space="preserve">), </w:t>
      </w:r>
      <w:r w:rsidR="00366470" w:rsidRPr="00EA0BF8">
        <w:rPr>
          <w:rFonts w:ascii="Times New Roman" w:eastAsia="Calibri" w:hAnsi="Times New Roman" w:cs="Times New Roman"/>
          <w:sz w:val="24"/>
          <w:szCs w:val="24"/>
        </w:rPr>
        <w:t xml:space="preserve">are crucial </w:t>
      </w:r>
      <w:r w:rsidR="00366470">
        <w:rPr>
          <w:rFonts w:ascii="Times New Roman" w:eastAsia="Calibri" w:hAnsi="Times New Roman" w:cs="Times New Roman"/>
          <w:sz w:val="24"/>
          <w:szCs w:val="24"/>
        </w:rPr>
        <w:t>for</w:t>
      </w:r>
      <w:r w:rsidR="00366470" w:rsidRPr="00EA0BF8">
        <w:rPr>
          <w:rFonts w:ascii="Times New Roman" w:eastAsia="Calibri" w:hAnsi="Times New Roman" w:cs="Times New Roman"/>
          <w:sz w:val="24"/>
          <w:szCs w:val="24"/>
        </w:rPr>
        <w:t xml:space="preserve"> gaug</w:t>
      </w:r>
      <w:r w:rsidR="00366470">
        <w:rPr>
          <w:rFonts w:ascii="Times New Roman" w:eastAsia="Calibri" w:hAnsi="Times New Roman" w:cs="Times New Roman"/>
          <w:sz w:val="24"/>
          <w:szCs w:val="24"/>
        </w:rPr>
        <w:t>ing</w:t>
      </w:r>
      <w:r w:rsidR="00366470" w:rsidRPr="00EA0BF8">
        <w:rPr>
          <w:rFonts w:ascii="Times New Roman" w:eastAsia="Calibri" w:hAnsi="Times New Roman" w:cs="Times New Roman"/>
          <w:sz w:val="24"/>
          <w:szCs w:val="24"/>
        </w:rPr>
        <w:t xml:space="preserve"> the efficiency of gender equality policies and ensur</w:t>
      </w:r>
      <w:r w:rsidR="00366470">
        <w:rPr>
          <w:rFonts w:ascii="Times New Roman" w:eastAsia="Calibri" w:hAnsi="Times New Roman" w:cs="Times New Roman"/>
          <w:sz w:val="24"/>
          <w:szCs w:val="24"/>
        </w:rPr>
        <w:t>ing that</w:t>
      </w:r>
      <w:r w:rsidR="00366470" w:rsidRPr="00EA0BF8">
        <w:rPr>
          <w:rFonts w:ascii="Times New Roman" w:eastAsia="Calibri" w:hAnsi="Times New Roman" w:cs="Times New Roman"/>
          <w:sz w:val="24"/>
          <w:szCs w:val="24"/>
        </w:rPr>
        <w:t xml:space="preserve"> they </w:t>
      </w:r>
      <w:r w:rsidR="00366470">
        <w:rPr>
          <w:rFonts w:ascii="Times New Roman" w:eastAsia="Calibri" w:hAnsi="Times New Roman" w:cs="Times New Roman"/>
          <w:sz w:val="24"/>
          <w:szCs w:val="24"/>
        </w:rPr>
        <w:t>yield</w:t>
      </w:r>
      <w:r w:rsidR="00366470" w:rsidRPr="00EA0BF8">
        <w:rPr>
          <w:rFonts w:ascii="Times New Roman" w:eastAsia="Calibri" w:hAnsi="Times New Roman" w:cs="Times New Roman"/>
          <w:sz w:val="24"/>
          <w:szCs w:val="24"/>
        </w:rPr>
        <w:t xml:space="preserve"> real benefits for students.</w:t>
      </w:r>
    </w:p>
    <w:p w14:paraId="6C0034A1"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The study also assessed girls' involvement in decision-making within school governance. While their participation</w:t>
      </w:r>
      <w:r>
        <w:rPr>
          <w:rFonts w:ascii="Times New Roman" w:eastAsia="Calibri" w:hAnsi="Times New Roman" w:cs="Times New Roman"/>
          <w:sz w:val="24"/>
          <w:szCs w:val="24"/>
        </w:rPr>
        <w:t xml:space="preserve"> was moderately acknowledged</w:t>
      </w:r>
      <w:r w:rsidRPr="00EA0BF8">
        <w:rPr>
          <w:rFonts w:ascii="Times New Roman" w:eastAsia="Calibri" w:hAnsi="Times New Roman" w:cs="Times New Roman"/>
          <w:sz w:val="24"/>
          <w:szCs w:val="24"/>
        </w:rPr>
        <w:t>, the results indicated significant limitations, likely stemming from entrenched traditional gender roles and stereotypes.</w:t>
      </w:r>
      <w:r>
        <w:rPr>
          <w:rFonts w:ascii="Times New Roman" w:eastAsia="Calibri" w:hAnsi="Times New Roman" w:cs="Times New Roman"/>
          <w:sz w:val="24"/>
          <w:szCs w:val="24"/>
        </w:rPr>
        <w:t xml:space="preserve"> </w:t>
      </w:r>
      <w:r w:rsidR="00EA0BF8" w:rsidRPr="00EA0BF8">
        <w:rPr>
          <w:rFonts w:ascii="Times New Roman" w:eastAsia="Calibri" w:hAnsi="Times New Roman" w:cs="Times New Roman"/>
          <w:sz w:val="24"/>
          <w:szCs w:val="24"/>
        </w:rPr>
        <w:t xml:space="preserve">Irakoze </w:t>
      </w:r>
      <w:r w:rsidR="00EA0BF8" w:rsidRPr="00366470">
        <w:rPr>
          <w:rFonts w:ascii="Times New Roman" w:eastAsia="Calibri" w:hAnsi="Times New Roman" w:cs="Times New Roman"/>
          <w:i/>
          <w:sz w:val="24"/>
          <w:szCs w:val="24"/>
        </w:rPr>
        <w:t>et al</w:t>
      </w:r>
      <w:r w:rsidR="00EA0BF8" w:rsidRPr="00EA0BF8">
        <w:rPr>
          <w:rFonts w:ascii="Times New Roman" w:eastAsia="Calibri" w:hAnsi="Times New Roman" w:cs="Times New Roman"/>
          <w:sz w:val="24"/>
          <w:szCs w:val="24"/>
        </w:rPr>
        <w:t xml:space="preserve">. (2021) noted that schools’ initiatives to empower girls in decision-making may not be fully effective. </w:t>
      </w:r>
      <w:r w:rsidRPr="00EA0BF8">
        <w:rPr>
          <w:rFonts w:ascii="Times New Roman" w:eastAsia="Calibri" w:hAnsi="Times New Roman" w:cs="Times New Roman"/>
          <w:sz w:val="24"/>
          <w:szCs w:val="24"/>
        </w:rPr>
        <w:t>The results suggest that sustained efforts are required to create enabling environments where girls' contributions are genuinely valued</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a sentiment echoed by</w:t>
      </w:r>
      <w:r w:rsidR="00113A16" w:rsidRPr="00113A16">
        <w:rPr>
          <w:rFonts w:ascii="Times New Roman" w:hAnsi="Times New Roman" w:cs="Times New Roman"/>
          <w:color w:val="00B0F0"/>
          <w:sz w:val="24"/>
          <w:szCs w:val="24"/>
          <w:shd w:val="clear" w:color="auto" w:fill="FFFFFF"/>
        </w:rPr>
        <w:t xml:space="preserve"> </w:t>
      </w:r>
      <w:r w:rsidR="00113A16" w:rsidRPr="00113A16">
        <w:rPr>
          <w:rFonts w:ascii="Times New Roman" w:hAnsi="Times New Roman" w:cs="Times New Roman"/>
          <w:sz w:val="24"/>
          <w:szCs w:val="24"/>
          <w:shd w:val="clear" w:color="auto" w:fill="FFFFFF"/>
        </w:rPr>
        <w:t xml:space="preserve">Otieno </w:t>
      </w:r>
      <w:r w:rsidR="00113A16" w:rsidRPr="006C3650">
        <w:rPr>
          <w:rFonts w:ascii="Times New Roman" w:hAnsi="Times New Roman" w:cs="Times New Roman"/>
          <w:i/>
          <w:sz w:val="24"/>
          <w:szCs w:val="24"/>
          <w:shd w:val="clear" w:color="auto" w:fill="FFFFFF"/>
        </w:rPr>
        <w:t>et al.</w:t>
      </w:r>
      <w:r w:rsidR="00113A16" w:rsidRPr="00113A16">
        <w:rPr>
          <w:rFonts w:ascii="Times New Roman" w:hAnsi="Times New Roman" w:cs="Times New Roman"/>
          <w:sz w:val="24"/>
          <w:szCs w:val="24"/>
          <w:shd w:val="clear" w:color="auto" w:fill="FFFFFF"/>
        </w:rPr>
        <w:t xml:space="preserve"> </w:t>
      </w:r>
      <w:r w:rsidR="00113A16" w:rsidRPr="00113A16">
        <w:rPr>
          <w:rFonts w:ascii="Times New Roman" w:hAnsi="Times New Roman" w:cs="Times New Roman"/>
          <w:sz w:val="24"/>
          <w:szCs w:val="24"/>
          <w:shd w:val="clear" w:color="auto" w:fill="FFFFFF"/>
        </w:rPr>
        <w:lastRenderedPageBreak/>
        <w:t xml:space="preserve">(2024), </w:t>
      </w:r>
      <w:r w:rsidRPr="00EA0BF8">
        <w:rPr>
          <w:rFonts w:ascii="Times New Roman" w:eastAsia="Calibri" w:hAnsi="Times New Roman" w:cs="Times New Roman"/>
          <w:sz w:val="24"/>
          <w:szCs w:val="24"/>
        </w:rPr>
        <w:t>who emphasize the importance of female role models in leadership.</w:t>
      </w:r>
    </w:p>
    <w:p w14:paraId="5EEFF21B"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Community involvement plays a critical role in enhancing girls' educational participation. Although community sensitization is recognized as vital, its perceived effectiveness remains moderate. Moyi (2020) emphasize</w:t>
      </w:r>
      <w:r>
        <w:rPr>
          <w:rFonts w:ascii="Times New Roman" w:eastAsia="Calibri" w:hAnsi="Times New Roman" w:cs="Times New Roman"/>
          <w:sz w:val="24"/>
          <w:szCs w:val="24"/>
        </w:rPr>
        <w:t>s</w:t>
      </w:r>
      <w:r w:rsidRPr="00EA0BF8">
        <w:rPr>
          <w:rFonts w:ascii="Times New Roman" w:eastAsia="Calibri" w:hAnsi="Times New Roman" w:cs="Times New Roman"/>
          <w:sz w:val="24"/>
          <w:szCs w:val="24"/>
        </w:rPr>
        <w:t xml:space="preserve"> the need for robust community engagement strategies that foster understanding and commitment to educational initiatives, thereby supporting girls' involvement in governance.  </w:t>
      </w:r>
      <w:r>
        <w:rPr>
          <w:rFonts w:ascii="Times New Roman" w:eastAsia="Calibri" w:hAnsi="Times New Roman" w:cs="Times New Roman"/>
          <w:sz w:val="24"/>
          <w:szCs w:val="24"/>
        </w:rPr>
        <w:t>Q</w:t>
      </w:r>
      <w:r w:rsidRPr="00EA0BF8">
        <w:rPr>
          <w:rFonts w:ascii="Times New Roman" w:eastAsia="Calibri" w:hAnsi="Times New Roman" w:cs="Times New Roman"/>
          <w:sz w:val="24"/>
          <w:szCs w:val="24"/>
        </w:rPr>
        <w:t>ualitative data suggest that insufficient strategies and adverse socio-economic conditions may hinder effective community sensitization.</w:t>
      </w:r>
    </w:p>
    <w:p w14:paraId="3627EC1F"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The study </w:t>
      </w:r>
      <w:r>
        <w:rPr>
          <w:rFonts w:ascii="Times New Roman" w:eastAsia="Calibri" w:hAnsi="Times New Roman" w:cs="Times New Roman"/>
          <w:sz w:val="24"/>
          <w:szCs w:val="24"/>
        </w:rPr>
        <w:t xml:space="preserve">further indicated </w:t>
      </w:r>
      <w:r w:rsidRPr="00EA0BF8">
        <w:rPr>
          <w:rFonts w:ascii="Times New Roman" w:eastAsia="Calibri" w:hAnsi="Times New Roman" w:cs="Times New Roman"/>
          <w:sz w:val="24"/>
          <w:szCs w:val="24"/>
        </w:rPr>
        <w:t xml:space="preserve">that equal treatment within schools significantly boosts girls’ optimism about their educational futures. A high mean score reflected the consensus that fairness and equal opportunities in schools enhance girls' confidence and aspirations, ultimately </w:t>
      </w:r>
      <w:r>
        <w:rPr>
          <w:rFonts w:ascii="Times New Roman" w:eastAsia="Calibri" w:hAnsi="Times New Roman" w:cs="Times New Roman"/>
          <w:sz w:val="24"/>
          <w:szCs w:val="24"/>
        </w:rPr>
        <w:t>resulting into</w:t>
      </w:r>
      <w:r w:rsidRPr="00EA0BF8">
        <w:rPr>
          <w:rFonts w:ascii="Times New Roman" w:eastAsia="Calibri" w:hAnsi="Times New Roman" w:cs="Times New Roman"/>
          <w:sz w:val="24"/>
          <w:szCs w:val="24"/>
        </w:rPr>
        <w:t xml:space="preserve"> </w:t>
      </w:r>
      <w:r>
        <w:rPr>
          <w:rFonts w:ascii="Times New Roman" w:eastAsia="Calibri" w:hAnsi="Times New Roman" w:cs="Times New Roman"/>
          <w:sz w:val="24"/>
          <w:szCs w:val="24"/>
        </w:rPr>
        <w:t>more</w:t>
      </w:r>
      <w:r w:rsidRPr="00EA0BF8">
        <w:rPr>
          <w:rFonts w:ascii="Times New Roman" w:eastAsia="Calibri" w:hAnsi="Times New Roman" w:cs="Times New Roman"/>
          <w:sz w:val="24"/>
          <w:szCs w:val="24"/>
        </w:rPr>
        <w:t xml:space="preserve"> academic engagement, as noted by the United Nations (2019). This </w:t>
      </w:r>
      <w:r>
        <w:rPr>
          <w:rFonts w:ascii="Times New Roman" w:eastAsia="Calibri" w:hAnsi="Times New Roman" w:cs="Times New Roman"/>
          <w:sz w:val="24"/>
          <w:szCs w:val="24"/>
        </w:rPr>
        <w:t xml:space="preserve">finding </w:t>
      </w:r>
      <w:r w:rsidRPr="00EA0BF8">
        <w:rPr>
          <w:rFonts w:ascii="Times New Roman" w:eastAsia="Calibri" w:hAnsi="Times New Roman" w:cs="Times New Roman"/>
          <w:sz w:val="24"/>
          <w:szCs w:val="24"/>
        </w:rPr>
        <w:t xml:space="preserve">align with </w:t>
      </w:r>
      <w:r>
        <w:rPr>
          <w:rFonts w:ascii="Times New Roman" w:eastAsia="Calibri" w:hAnsi="Times New Roman" w:cs="Times New Roman"/>
          <w:sz w:val="24"/>
          <w:szCs w:val="24"/>
        </w:rPr>
        <w:t>those</w:t>
      </w:r>
      <w:r w:rsidRPr="00EA0BF8">
        <w:rPr>
          <w:rFonts w:ascii="Times New Roman" w:eastAsia="Calibri" w:hAnsi="Times New Roman" w:cs="Times New Roman"/>
          <w:sz w:val="24"/>
          <w:szCs w:val="24"/>
        </w:rPr>
        <w:t xml:space="preserve"> by </w:t>
      </w:r>
      <w:r w:rsidR="00113A16">
        <w:rPr>
          <w:rFonts w:ascii="Times New Roman" w:hAnsi="Times New Roman" w:cs="Times New Roman"/>
          <w:sz w:val="24"/>
          <w:szCs w:val="24"/>
          <w:shd w:val="clear" w:color="auto" w:fill="FFFFFF"/>
        </w:rPr>
        <w:t>Raymond</w:t>
      </w:r>
      <w:r w:rsidR="00113A16" w:rsidRPr="00113A16">
        <w:rPr>
          <w:rFonts w:ascii="Times New Roman" w:hAnsi="Times New Roman" w:cs="Times New Roman"/>
          <w:sz w:val="24"/>
          <w:szCs w:val="24"/>
          <w:shd w:val="clear" w:color="auto" w:fill="FFFFFF"/>
        </w:rPr>
        <w:t xml:space="preserve"> (2020</w:t>
      </w:r>
      <w:r w:rsidR="00113A16">
        <w:rPr>
          <w:rFonts w:ascii="Times New Roman" w:hAnsi="Times New Roman" w:cs="Times New Roman"/>
          <w:sz w:val="24"/>
          <w:szCs w:val="24"/>
          <w:shd w:val="clear" w:color="auto" w:fill="FFFFFF"/>
        </w:rPr>
        <w:t xml:space="preserve">), </w:t>
      </w:r>
      <w:r w:rsidRPr="00EA0BF8">
        <w:rPr>
          <w:rFonts w:ascii="Times New Roman" w:eastAsia="Calibri" w:hAnsi="Times New Roman" w:cs="Times New Roman"/>
          <w:sz w:val="24"/>
          <w:szCs w:val="24"/>
        </w:rPr>
        <w:t xml:space="preserve">reinforcing the critical role </w:t>
      </w:r>
      <w:r>
        <w:rPr>
          <w:rFonts w:ascii="Times New Roman" w:eastAsia="Calibri" w:hAnsi="Times New Roman" w:cs="Times New Roman"/>
          <w:sz w:val="24"/>
          <w:szCs w:val="24"/>
        </w:rPr>
        <w:t>that</w:t>
      </w:r>
      <w:r w:rsidRPr="00EA0BF8">
        <w:rPr>
          <w:rFonts w:ascii="Times New Roman" w:eastAsia="Calibri" w:hAnsi="Times New Roman" w:cs="Times New Roman"/>
          <w:sz w:val="24"/>
          <w:szCs w:val="24"/>
        </w:rPr>
        <w:t xml:space="preserve"> gender equality </w:t>
      </w:r>
      <w:r>
        <w:rPr>
          <w:rFonts w:ascii="Times New Roman" w:eastAsia="Calibri" w:hAnsi="Times New Roman" w:cs="Times New Roman"/>
          <w:sz w:val="24"/>
          <w:szCs w:val="24"/>
        </w:rPr>
        <w:t xml:space="preserve">plays </w:t>
      </w:r>
      <w:r w:rsidRPr="00EA0BF8">
        <w:rPr>
          <w:rFonts w:ascii="Times New Roman" w:eastAsia="Calibri" w:hAnsi="Times New Roman" w:cs="Times New Roman"/>
          <w:sz w:val="24"/>
          <w:szCs w:val="24"/>
        </w:rPr>
        <w:t xml:space="preserve">in empowering girls </w:t>
      </w:r>
      <w:r>
        <w:rPr>
          <w:rFonts w:ascii="Times New Roman" w:eastAsia="Calibri" w:hAnsi="Times New Roman" w:cs="Times New Roman"/>
          <w:sz w:val="24"/>
          <w:szCs w:val="24"/>
        </w:rPr>
        <w:t xml:space="preserve">to </w:t>
      </w:r>
      <w:r w:rsidRPr="00EA0BF8">
        <w:rPr>
          <w:rFonts w:ascii="Times New Roman" w:eastAsia="Calibri" w:hAnsi="Times New Roman" w:cs="Times New Roman"/>
          <w:sz w:val="24"/>
          <w:szCs w:val="24"/>
        </w:rPr>
        <w:t>pursu</w:t>
      </w:r>
      <w:r>
        <w:rPr>
          <w:rFonts w:ascii="Times New Roman" w:eastAsia="Calibri" w:hAnsi="Times New Roman" w:cs="Times New Roman"/>
          <w:sz w:val="24"/>
          <w:szCs w:val="24"/>
        </w:rPr>
        <w:t>e</w:t>
      </w:r>
      <w:r w:rsidRPr="00EA0BF8">
        <w:rPr>
          <w:rFonts w:ascii="Times New Roman" w:eastAsia="Calibri" w:hAnsi="Times New Roman" w:cs="Times New Roman"/>
          <w:sz w:val="24"/>
          <w:szCs w:val="24"/>
        </w:rPr>
        <w:t xml:space="preserve"> their educational goals.</w:t>
      </w:r>
    </w:p>
    <w:p w14:paraId="349A33D5"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Additionally, there was strong support for the </w:t>
      </w:r>
      <w:r>
        <w:rPr>
          <w:rFonts w:ascii="Times New Roman" w:eastAsia="Calibri" w:hAnsi="Times New Roman" w:cs="Times New Roman"/>
          <w:sz w:val="24"/>
          <w:szCs w:val="24"/>
        </w:rPr>
        <w:t>position</w:t>
      </w:r>
      <w:r w:rsidRPr="00EA0BF8">
        <w:rPr>
          <w:rFonts w:ascii="Times New Roman" w:eastAsia="Calibri" w:hAnsi="Times New Roman" w:cs="Times New Roman"/>
          <w:sz w:val="24"/>
          <w:szCs w:val="24"/>
        </w:rPr>
        <w:t xml:space="preserve"> that girls should </w:t>
      </w:r>
      <w:r>
        <w:rPr>
          <w:rFonts w:ascii="Times New Roman" w:eastAsia="Calibri" w:hAnsi="Times New Roman" w:cs="Times New Roman"/>
          <w:sz w:val="24"/>
          <w:szCs w:val="24"/>
        </w:rPr>
        <w:t>hold</w:t>
      </w:r>
      <w:r w:rsidRPr="00EA0BF8">
        <w:rPr>
          <w:rFonts w:ascii="Times New Roman" w:eastAsia="Calibri" w:hAnsi="Times New Roman" w:cs="Times New Roman"/>
          <w:sz w:val="24"/>
          <w:szCs w:val="24"/>
        </w:rPr>
        <w:t xml:space="preserve"> significant </w:t>
      </w:r>
      <w:r w:rsidRPr="00EA0BF8">
        <w:rPr>
          <w:rFonts w:ascii="Times New Roman" w:eastAsia="Calibri" w:hAnsi="Times New Roman" w:cs="Times New Roman"/>
          <w:sz w:val="24"/>
          <w:szCs w:val="24"/>
        </w:rPr>
        <w:lastRenderedPageBreak/>
        <w:t>leadership positions in schools</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w:t>
      </w:r>
      <w:r>
        <w:rPr>
          <w:rFonts w:ascii="Times New Roman" w:eastAsia="Calibri" w:hAnsi="Times New Roman" w:cs="Times New Roman"/>
          <w:sz w:val="24"/>
          <w:szCs w:val="24"/>
        </w:rPr>
        <w:t>This</w:t>
      </w:r>
      <w:r w:rsidRPr="00EA0BF8">
        <w:rPr>
          <w:rFonts w:ascii="Times New Roman" w:eastAsia="Calibri" w:hAnsi="Times New Roman" w:cs="Times New Roman"/>
          <w:sz w:val="24"/>
          <w:szCs w:val="24"/>
        </w:rPr>
        <w:t xml:space="preserve"> is critical for </w:t>
      </w:r>
      <w:r>
        <w:rPr>
          <w:rFonts w:ascii="Times New Roman" w:eastAsia="Calibri" w:hAnsi="Times New Roman" w:cs="Times New Roman"/>
          <w:sz w:val="24"/>
          <w:szCs w:val="24"/>
        </w:rPr>
        <w:t xml:space="preserve">both </w:t>
      </w:r>
      <w:r w:rsidRPr="00EA0BF8">
        <w:rPr>
          <w:rFonts w:ascii="Times New Roman" w:eastAsia="Calibri" w:hAnsi="Times New Roman" w:cs="Times New Roman"/>
          <w:sz w:val="24"/>
          <w:szCs w:val="24"/>
        </w:rPr>
        <w:t xml:space="preserve">personal development </w:t>
      </w:r>
      <w:r>
        <w:rPr>
          <w:rFonts w:ascii="Times New Roman" w:eastAsia="Calibri" w:hAnsi="Times New Roman" w:cs="Times New Roman"/>
          <w:sz w:val="24"/>
          <w:szCs w:val="24"/>
        </w:rPr>
        <w:t>as well as</w:t>
      </w:r>
      <w:r w:rsidRPr="00EA0BF8">
        <w:rPr>
          <w:rFonts w:ascii="Times New Roman" w:eastAsia="Calibri" w:hAnsi="Times New Roman" w:cs="Times New Roman"/>
          <w:sz w:val="24"/>
          <w:szCs w:val="24"/>
        </w:rPr>
        <w:t xml:space="preserve"> an exemplar for peers. </w:t>
      </w:r>
      <w:r w:rsidR="00924086">
        <w:rPr>
          <w:rFonts w:ascii="Times New Roman" w:hAnsi="Times New Roman" w:cs="Times New Roman"/>
          <w:color w:val="222222"/>
          <w:sz w:val="24"/>
          <w:szCs w:val="24"/>
          <w:shd w:val="clear" w:color="auto" w:fill="FFFFFF"/>
        </w:rPr>
        <w:t xml:space="preserve">Tibbetts and </w:t>
      </w:r>
      <w:r w:rsidR="008445B0">
        <w:rPr>
          <w:rFonts w:ascii="Times New Roman" w:hAnsi="Times New Roman" w:cs="Times New Roman"/>
          <w:color w:val="222222"/>
          <w:sz w:val="24"/>
          <w:szCs w:val="24"/>
          <w:shd w:val="clear" w:color="auto" w:fill="FFFFFF"/>
        </w:rPr>
        <w:t>Smith (2023),</w:t>
      </w:r>
      <w:r w:rsidR="008445B0" w:rsidRPr="008445B0">
        <w:rPr>
          <w:rFonts w:ascii="Times New Roman" w:hAnsi="Times New Roman" w:cs="Times New Roman"/>
          <w:color w:val="222222"/>
          <w:sz w:val="24"/>
          <w:szCs w:val="24"/>
          <w:shd w:val="clear" w:color="auto" w:fill="FFFFFF"/>
        </w:rPr>
        <w:t xml:space="preserve"> </w:t>
      </w:r>
      <w:r w:rsidRPr="00EA0BF8">
        <w:rPr>
          <w:rFonts w:ascii="Times New Roman" w:eastAsia="Calibri" w:hAnsi="Times New Roman" w:cs="Times New Roman"/>
          <w:sz w:val="24"/>
          <w:szCs w:val="24"/>
        </w:rPr>
        <w:t>argue that mentorship program</w:t>
      </w:r>
      <w:r>
        <w:rPr>
          <w:rFonts w:ascii="Times New Roman" w:eastAsia="Calibri" w:hAnsi="Times New Roman" w:cs="Times New Roman"/>
          <w:sz w:val="24"/>
          <w:szCs w:val="24"/>
        </w:rPr>
        <w:t>me</w:t>
      </w:r>
      <w:r w:rsidRPr="00EA0BF8">
        <w:rPr>
          <w:rFonts w:ascii="Times New Roman" w:eastAsia="Calibri" w:hAnsi="Times New Roman" w:cs="Times New Roman"/>
          <w:sz w:val="24"/>
          <w:szCs w:val="24"/>
        </w:rPr>
        <w:t xml:space="preserve">s and targeted training </w:t>
      </w:r>
      <w:r>
        <w:rPr>
          <w:rFonts w:ascii="Times New Roman" w:eastAsia="Calibri" w:hAnsi="Times New Roman" w:cs="Times New Roman"/>
          <w:sz w:val="24"/>
          <w:szCs w:val="24"/>
        </w:rPr>
        <w:t>help</w:t>
      </w:r>
      <w:r w:rsidRPr="00EA0BF8">
        <w:rPr>
          <w:rFonts w:ascii="Times New Roman" w:eastAsia="Calibri" w:hAnsi="Times New Roman" w:cs="Times New Roman"/>
          <w:sz w:val="24"/>
          <w:szCs w:val="24"/>
        </w:rPr>
        <w:t xml:space="preserve"> to break gender barriers and foster equality in leadership roles.</w:t>
      </w:r>
    </w:p>
    <w:p w14:paraId="1AC352AA" w14:textId="77777777" w:rsidR="00EA0BF8" w:rsidRPr="00EA0BF8" w:rsidRDefault="007A1F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However, the study also outlined a performance gap, with male students consistently outperforming their female counterparts over three years</w:t>
      </w:r>
      <w:r>
        <w:rPr>
          <w:rFonts w:ascii="Times New Roman" w:eastAsia="Calibri" w:hAnsi="Times New Roman" w:cs="Times New Roman"/>
          <w:sz w:val="24"/>
          <w:szCs w:val="24"/>
        </w:rPr>
        <w:t xml:space="preserve"> which is an </w:t>
      </w:r>
      <w:r w:rsidRPr="00EA0BF8">
        <w:rPr>
          <w:rFonts w:ascii="Times New Roman" w:eastAsia="Calibri" w:hAnsi="Times New Roman" w:cs="Times New Roman"/>
          <w:sz w:val="24"/>
          <w:szCs w:val="24"/>
        </w:rPr>
        <w:t>indicati</w:t>
      </w:r>
      <w:r>
        <w:rPr>
          <w:rFonts w:ascii="Times New Roman" w:eastAsia="Calibri" w:hAnsi="Times New Roman" w:cs="Times New Roman"/>
          <w:sz w:val="24"/>
          <w:szCs w:val="24"/>
        </w:rPr>
        <w:t>on</w:t>
      </w:r>
      <w:r w:rsidRPr="00EA0BF8">
        <w:rPr>
          <w:rFonts w:ascii="Times New Roman" w:eastAsia="Calibri" w:hAnsi="Times New Roman" w:cs="Times New Roman"/>
          <w:sz w:val="24"/>
          <w:szCs w:val="24"/>
        </w:rPr>
        <w:t xml:space="preserve"> of ongoing gender disparities in education. Contributing factors include socio-cultural norms that favo</w:t>
      </w:r>
      <w:r>
        <w:rPr>
          <w:rFonts w:ascii="Times New Roman" w:eastAsia="Calibri" w:hAnsi="Times New Roman" w:cs="Times New Roman"/>
          <w:sz w:val="24"/>
          <w:szCs w:val="24"/>
        </w:rPr>
        <w:t>u</w:t>
      </w:r>
      <w:r w:rsidRPr="00EA0BF8">
        <w:rPr>
          <w:rFonts w:ascii="Times New Roman" w:eastAsia="Calibri" w:hAnsi="Times New Roman" w:cs="Times New Roman"/>
          <w:sz w:val="24"/>
          <w:szCs w:val="24"/>
        </w:rPr>
        <w:t xml:space="preserve">r boys’ education and barriers such as early marriage, which </w:t>
      </w:r>
      <w:r>
        <w:rPr>
          <w:rFonts w:ascii="Times New Roman" w:eastAsia="Calibri" w:hAnsi="Times New Roman" w:cs="Times New Roman"/>
          <w:sz w:val="24"/>
          <w:szCs w:val="24"/>
        </w:rPr>
        <w:t>hinder</w:t>
      </w:r>
      <w:r w:rsidRPr="00EA0BF8">
        <w:rPr>
          <w:rFonts w:ascii="Times New Roman" w:eastAsia="Calibri" w:hAnsi="Times New Roman" w:cs="Times New Roman"/>
          <w:sz w:val="24"/>
          <w:szCs w:val="24"/>
        </w:rPr>
        <w:t xml:space="preserve"> girls’ school attendance. Addressing these underlying issues is crucial for achieving equitable educational access for girls, as stressed by </w:t>
      </w:r>
      <w:r w:rsidR="008D57FD">
        <w:rPr>
          <w:rFonts w:ascii="Times New Roman" w:hAnsi="Times New Roman" w:cs="Times New Roman"/>
          <w:color w:val="222222"/>
          <w:sz w:val="24"/>
          <w:szCs w:val="24"/>
          <w:shd w:val="clear" w:color="auto" w:fill="FFFFFF"/>
        </w:rPr>
        <w:t xml:space="preserve">Bergstrom </w:t>
      </w:r>
      <w:r w:rsidR="006C3650">
        <w:rPr>
          <w:rFonts w:ascii="Times New Roman" w:hAnsi="Times New Roman" w:cs="Times New Roman"/>
          <w:color w:val="222222"/>
          <w:sz w:val="24"/>
          <w:szCs w:val="24"/>
          <w:shd w:val="clear" w:color="auto" w:fill="FFFFFF"/>
        </w:rPr>
        <w:t xml:space="preserve">and </w:t>
      </w:r>
      <w:r w:rsidR="008D57FD">
        <w:rPr>
          <w:rFonts w:ascii="Times New Roman" w:hAnsi="Times New Roman" w:cs="Times New Roman"/>
          <w:color w:val="222222"/>
          <w:sz w:val="24"/>
          <w:szCs w:val="24"/>
          <w:shd w:val="clear" w:color="auto" w:fill="FFFFFF"/>
        </w:rPr>
        <w:t>Özler (2023).</w:t>
      </w:r>
    </w:p>
    <w:p w14:paraId="524706E5" w14:textId="77777777" w:rsidR="00940ACE" w:rsidRPr="00EA0BF8" w:rsidRDefault="00940A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Inequitable language use in schools emerges as a notable hindrance to gender equality, adversely </w:t>
      </w:r>
      <w:r>
        <w:rPr>
          <w:rFonts w:ascii="Times New Roman" w:eastAsia="Calibri" w:hAnsi="Times New Roman" w:cs="Times New Roman"/>
          <w:sz w:val="24"/>
          <w:szCs w:val="24"/>
        </w:rPr>
        <w:t>impacting</w:t>
      </w:r>
      <w:r w:rsidRPr="00EA0BF8">
        <w:rPr>
          <w:rFonts w:ascii="Times New Roman" w:eastAsia="Calibri" w:hAnsi="Times New Roman" w:cs="Times New Roman"/>
          <w:sz w:val="24"/>
          <w:szCs w:val="24"/>
        </w:rPr>
        <w:t xml:space="preserve"> girls’ self-esteem and academic </w:t>
      </w:r>
      <w:r>
        <w:rPr>
          <w:rFonts w:ascii="Times New Roman" w:eastAsia="Calibri" w:hAnsi="Times New Roman" w:cs="Times New Roman"/>
          <w:sz w:val="24"/>
          <w:szCs w:val="24"/>
        </w:rPr>
        <w:t>engagement</w:t>
      </w:r>
      <w:r w:rsidRPr="00EA0BF8">
        <w:rPr>
          <w:rFonts w:ascii="Times New Roman" w:eastAsia="Calibri" w:hAnsi="Times New Roman" w:cs="Times New Roman"/>
          <w:sz w:val="24"/>
          <w:szCs w:val="24"/>
        </w:rPr>
        <w:t xml:space="preserve">.  Gender-sensitive language </w:t>
      </w:r>
      <w:r>
        <w:rPr>
          <w:rFonts w:ascii="Times New Roman" w:eastAsia="Calibri" w:hAnsi="Times New Roman" w:cs="Times New Roman"/>
          <w:sz w:val="24"/>
          <w:szCs w:val="24"/>
        </w:rPr>
        <w:t>is</w:t>
      </w:r>
      <w:r w:rsidRPr="00EA0BF8">
        <w:rPr>
          <w:rFonts w:ascii="Times New Roman" w:eastAsia="Calibri" w:hAnsi="Times New Roman" w:cs="Times New Roman"/>
          <w:sz w:val="24"/>
          <w:szCs w:val="24"/>
        </w:rPr>
        <w:t xml:space="preserve"> fundamental in cultivating inclusivity and empowering all students. Educators must be </w:t>
      </w:r>
      <w:r>
        <w:rPr>
          <w:rFonts w:ascii="Times New Roman" w:eastAsia="Calibri" w:hAnsi="Times New Roman" w:cs="Times New Roman"/>
          <w:sz w:val="24"/>
          <w:szCs w:val="24"/>
        </w:rPr>
        <w:t>trained</w:t>
      </w:r>
      <w:r w:rsidRPr="00EA0BF8">
        <w:rPr>
          <w:rFonts w:ascii="Times New Roman" w:eastAsia="Calibri" w:hAnsi="Times New Roman" w:cs="Times New Roman"/>
          <w:sz w:val="24"/>
          <w:szCs w:val="24"/>
        </w:rPr>
        <w:t xml:space="preserve"> on the </w:t>
      </w:r>
      <w:r>
        <w:rPr>
          <w:rFonts w:ascii="Times New Roman" w:eastAsia="Calibri" w:hAnsi="Times New Roman" w:cs="Times New Roman"/>
          <w:sz w:val="24"/>
          <w:szCs w:val="24"/>
        </w:rPr>
        <w:t>consequences</w:t>
      </w:r>
      <w:r w:rsidRPr="00EA0BF8">
        <w:rPr>
          <w:rFonts w:ascii="Times New Roman" w:eastAsia="Calibri" w:hAnsi="Times New Roman" w:cs="Times New Roman"/>
          <w:sz w:val="24"/>
          <w:szCs w:val="24"/>
        </w:rPr>
        <w:t xml:space="preserve"> of their language </w:t>
      </w:r>
      <w:r>
        <w:rPr>
          <w:rFonts w:ascii="Times New Roman" w:eastAsia="Calibri" w:hAnsi="Times New Roman" w:cs="Times New Roman"/>
          <w:sz w:val="24"/>
          <w:szCs w:val="24"/>
        </w:rPr>
        <w:t xml:space="preserve">use </w:t>
      </w:r>
      <w:r w:rsidRPr="00EA0BF8">
        <w:rPr>
          <w:rFonts w:ascii="Times New Roman" w:eastAsia="Calibri" w:hAnsi="Times New Roman" w:cs="Times New Roman"/>
          <w:sz w:val="24"/>
          <w:szCs w:val="24"/>
        </w:rPr>
        <w:t>to foster an inc</w:t>
      </w:r>
      <w:r w:rsidR="00924086">
        <w:rPr>
          <w:rFonts w:ascii="Times New Roman" w:eastAsia="Calibri" w:hAnsi="Times New Roman" w:cs="Times New Roman"/>
          <w:sz w:val="24"/>
          <w:szCs w:val="24"/>
        </w:rPr>
        <w:t>lusive env</w:t>
      </w:r>
      <w:r w:rsidR="007E12D5">
        <w:rPr>
          <w:rFonts w:ascii="Times New Roman" w:eastAsia="Calibri" w:hAnsi="Times New Roman" w:cs="Times New Roman"/>
          <w:sz w:val="24"/>
          <w:szCs w:val="24"/>
        </w:rPr>
        <w:t>ironment through reinforcement</w:t>
      </w:r>
      <w:r w:rsidR="00161455" w:rsidRPr="00161455">
        <w:rPr>
          <w:rFonts w:ascii="Times New Roman" w:eastAsia="Calibri" w:hAnsi="Times New Roman" w:cs="Times New Roman"/>
          <w:sz w:val="24"/>
          <w:szCs w:val="24"/>
        </w:rPr>
        <w:t xml:space="preserve"> </w:t>
      </w:r>
      <w:r w:rsidR="00161455">
        <w:rPr>
          <w:rFonts w:ascii="Times New Roman" w:eastAsia="Calibri" w:hAnsi="Times New Roman" w:cs="Times New Roman"/>
          <w:sz w:val="24"/>
          <w:szCs w:val="24"/>
        </w:rPr>
        <w:t>(</w:t>
      </w:r>
      <w:r w:rsidR="00161455">
        <w:rPr>
          <w:rFonts w:ascii="Times New Roman" w:hAnsi="Times New Roman" w:cs="Times New Roman"/>
          <w:color w:val="222222"/>
          <w:sz w:val="24"/>
          <w:szCs w:val="24"/>
          <w:shd w:val="clear" w:color="auto" w:fill="FFFFFF"/>
        </w:rPr>
        <w:t xml:space="preserve">Tibbetts </w:t>
      </w:r>
      <w:r w:rsidR="00161455" w:rsidRPr="00C460AB">
        <w:rPr>
          <w:rFonts w:ascii="Times New Roman" w:hAnsi="Times New Roman" w:cs="Times New Roman"/>
          <w:color w:val="222222"/>
          <w:sz w:val="24"/>
          <w:szCs w:val="24"/>
          <w:shd w:val="clear" w:color="auto" w:fill="FFFFFF"/>
        </w:rPr>
        <w:t>&amp;</w:t>
      </w:r>
      <w:r w:rsidR="00161455">
        <w:rPr>
          <w:rFonts w:ascii="Times New Roman" w:hAnsi="Times New Roman" w:cs="Times New Roman"/>
          <w:color w:val="222222"/>
          <w:sz w:val="24"/>
          <w:szCs w:val="24"/>
          <w:shd w:val="clear" w:color="auto" w:fill="FFFFFF"/>
        </w:rPr>
        <w:t xml:space="preserve"> Smith, 2023).</w:t>
      </w:r>
    </w:p>
    <w:p w14:paraId="245BD2EE" w14:textId="7F22604B" w:rsidR="00B732FE" w:rsidRPr="00EA0BF8" w:rsidRDefault="00940A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lastRenderedPageBreak/>
        <w:t>Qualitative insights from parental focus groups affirm the significance of gender equality in improving girls’ enrollmen</w:t>
      </w:r>
      <w:r w:rsidR="0082339E">
        <w:rPr>
          <w:rFonts w:ascii="Times New Roman" w:eastAsia="Calibri" w:hAnsi="Times New Roman" w:cs="Times New Roman"/>
          <w:sz w:val="24"/>
          <w:szCs w:val="24"/>
        </w:rPr>
        <w:t>t rates, echoing Johnson's (2022</w:t>
      </w:r>
      <w:r w:rsidRPr="00EA0BF8">
        <w:rPr>
          <w:rFonts w:ascii="Times New Roman" w:eastAsia="Calibri" w:hAnsi="Times New Roman" w:cs="Times New Roman"/>
          <w:sz w:val="24"/>
          <w:szCs w:val="24"/>
        </w:rPr>
        <w:t xml:space="preserve">) findings </w:t>
      </w:r>
      <w:r>
        <w:rPr>
          <w:rFonts w:ascii="Times New Roman" w:eastAsia="Calibri" w:hAnsi="Times New Roman" w:cs="Times New Roman"/>
          <w:sz w:val="24"/>
          <w:szCs w:val="24"/>
        </w:rPr>
        <w:t>that</w:t>
      </w:r>
      <w:r w:rsidRPr="00EA0BF8">
        <w:rPr>
          <w:rFonts w:ascii="Times New Roman" w:eastAsia="Calibri" w:hAnsi="Times New Roman" w:cs="Times New Roman"/>
          <w:sz w:val="24"/>
          <w:szCs w:val="24"/>
        </w:rPr>
        <w:t xml:space="preserve"> equal opportunities and rights </w:t>
      </w:r>
      <w:r>
        <w:rPr>
          <w:rFonts w:ascii="Times New Roman" w:eastAsia="Calibri" w:hAnsi="Times New Roman" w:cs="Times New Roman"/>
          <w:sz w:val="24"/>
          <w:szCs w:val="24"/>
        </w:rPr>
        <w:t>are</w:t>
      </w:r>
      <w:r w:rsidRPr="00EA0BF8">
        <w:rPr>
          <w:rFonts w:ascii="Times New Roman" w:eastAsia="Calibri" w:hAnsi="Times New Roman" w:cs="Times New Roman"/>
          <w:sz w:val="24"/>
          <w:szCs w:val="24"/>
        </w:rPr>
        <w:t xml:space="preserve"> vital for increasing educational access. Parents </w:t>
      </w:r>
      <w:r>
        <w:rPr>
          <w:rFonts w:ascii="Times New Roman" w:eastAsia="Calibri" w:hAnsi="Times New Roman" w:cs="Times New Roman"/>
          <w:sz w:val="24"/>
          <w:szCs w:val="24"/>
        </w:rPr>
        <w:t>stressed</w:t>
      </w:r>
      <w:r w:rsidRPr="00EA0BF8">
        <w:rPr>
          <w:rFonts w:ascii="Times New Roman" w:eastAsia="Calibri" w:hAnsi="Times New Roman" w:cs="Times New Roman"/>
          <w:sz w:val="24"/>
          <w:szCs w:val="24"/>
        </w:rPr>
        <w:t xml:space="preserve"> that</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beyond eliminating legal obstacles, </w:t>
      </w:r>
      <w:r>
        <w:rPr>
          <w:rFonts w:ascii="Times New Roman" w:eastAsia="Calibri" w:hAnsi="Times New Roman" w:cs="Times New Roman"/>
          <w:sz w:val="24"/>
          <w:szCs w:val="24"/>
        </w:rPr>
        <w:t xml:space="preserve">it is essential to </w:t>
      </w:r>
      <w:r w:rsidRPr="00EA0BF8">
        <w:rPr>
          <w:rFonts w:ascii="Times New Roman" w:eastAsia="Calibri" w:hAnsi="Times New Roman" w:cs="Times New Roman"/>
          <w:sz w:val="24"/>
          <w:szCs w:val="24"/>
        </w:rPr>
        <w:t>creat</w:t>
      </w:r>
      <w:r>
        <w:rPr>
          <w:rFonts w:ascii="Times New Roman" w:eastAsia="Calibri" w:hAnsi="Times New Roman" w:cs="Times New Roman"/>
          <w:sz w:val="24"/>
          <w:szCs w:val="24"/>
        </w:rPr>
        <w:t>e</w:t>
      </w:r>
      <w:r w:rsidRPr="00EA0BF8">
        <w:rPr>
          <w:rFonts w:ascii="Times New Roman" w:eastAsia="Calibri" w:hAnsi="Times New Roman" w:cs="Times New Roman"/>
          <w:sz w:val="24"/>
          <w:szCs w:val="24"/>
        </w:rPr>
        <w:t xml:space="preserve"> environments </w:t>
      </w:r>
      <w:r>
        <w:rPr>
          <w:rFonts w:ascii="Times New Roman" w:eastAsia="Calibri" w:hAnsi="Times New Roman" w:cs="Times New Roman"/>
          <w:sz w:val="24"/>
          <w:szCs w:val="24"/>
        </w:rPr>
        <w:t xml:space="preserve">which </w:t>
      </w:r>
      <w:r w:rsidRPr="00EA0BF8">
        <w:rPr>
          <w:rFonts w:ascii="Times New Roman" w:eastAsia="Calibri" w:hAnsi="Times New Roman" w:cs="Times New Roman"/>
          <w:sz w:val="24"/>
          <w:szCs w:val="24"/>
        </w:rPr>
        <w:t xml:space="preserve">empower girls to pursue education. They </w:t>
      </w:r>
      <w:r>
        <w:rPr>
          <w:rFonts w:ascii="Times New Roman" w:eastAsia="Calibri" w:hAnsi="Times New Roman" w:cs="Times New Roman"/>
          <w:sz w:val="24"/>
          <w:szCs w:val="24"/>
        </w:rPr>
        <w:t>underscored</w:t>
      </w:r>
      <w:r w:rsidRPr="00EA0BF8">
        <w:rPr>
          <w:rFonts w:ascii="Times New Roman" w:eastAsia="Calibri" w:hAnsi="Times New Roman" w:cs="Times New Roman"/>
          <w:sz w:val="24"/>
          <w:szCs w:val="24"/>
        </w:rPr>
        <w:t xml:space="preserve"> the importance of safe school facilities and adequate resources to attract girls </w:t>
      </w:r>
      <w:r>
        <w:rPr>
          <w:rFonts w:ascii="Times New Roman" w:eastAsia="Calibri" w:hAnsi="Times New Roman" w:cs="Times New Roman"/>
          <w:sz w:val="24"/>
          <w:szCs w:val="24"/>
        </w:rPr>
        <w:t>in</w:t>
      </w:r>
      <w:r w:rsidRPr="00EA0BF8">
        <w:rPr>
          <w:rFonts w:ascii="Times New Roman" w:eastAsia="Calibri" w:hAnsi="Times New Roman" w:cs="Times New Roman"/>
          <w:sz w:val="24"/>
          <w:szCs w:val="24"/>
        </w:rPr>
        <w:t xml:space="preserve"> education, aligning with </w:t>
      </w:r>
      <w:r w:rsidR="005D2D54">
        <w:rPr>
          <w:rFonts w:ascii="Times New Roman" w:eastAsia="Times New Roman" w:hAnsi="Times New Roman" w:cs="Times New Roman"/>
          <w:sz w:val="24"/>
          <w:szCs w:val="24"/>
        </w:rPr>
        <w:t xml:space="preserve">Niyonzima and Bayu </w:t>
      </w:r>
      <w:r w:rsidR="00EA0BF8" w:rsidRPr="00EA0BF8">
        <w:rPr>
          <w:rFonts w:ascii="Times New Roman" w:eastAsia="Calibri" w:hAnsi="Times New Roman" w:cs="Times New Roman"/>
          <w:sz w:val="24"/>
          <w:szCs w:val="24"/>
        </w:rPr>
        <w:t>(2023) on the interconnected nature of gender equality, access, and infrastructure for successful enrollment.</w:t>
      </w:r>
    </w:p>
    <w:p w14:paraId="7D546A21" w14:textId="0B1030C7" w:rsidR="00EA0BF8" w:rsidRPr="00B87F57" w:rsidRDefault="00EA0BF8" w:rsidP="00B732FE">
      <w:pPr>
        <w:spacing w:line="360" w:lineRule="auto"/>
        <w:jc w:val="both"/>
        <w:rPr>
          <w:rFonts w:ascii="Times New Roman" w:eastAsia="Calibri" w:hAnsi="Times New Roman" w:cs="Times New Roman"/>
          <w:b/>
          <w:sz w:val="24"/>
          <w:szCs w:val="24"/>
        </w:rPr>
      </w:pPr>
      <w:r w:rsidRPr="00B87F57">
        <w:rPr>
          <w:rFonts w:ascii="Times New Roman" w:eastAsia="Calibri" w:hAnsi="Times New Roman" w:cs="Times New Roman"/>
          <w:b/>
          <w:sz w:val="24"/>
          <w:szCs w:val="24"/>
        </w:rPr>
        <w:t>Theoretical and Practical Implications</w:t>
      </w:r>
    </w:p>
    <w:p w14:paraId="2A786A27" w14:textId="77777777" w:rsidR="00940ACE" w:rsidRPr="00EA0BF8" w:rsidRDefault="00940A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Based on research findings and conclusions of the study, the following recommendations for action were made. First, </w:t>
      </w:r>
      <w:r>
        <w:rPr>
          <w:rFonts w:ascii="Times New Roman" w:eastAsia="Calibri" w:hAnsi="Times New Roman" w:cs="Times New Roman"/>
          <w:sz w:val="24"/>
          <w:szCs w:val="24"/>
        </w:rPr>
        <w:t xml:space="preserve">the Ministry of Education </w:t>
      </w:r>
      <w:r w:rsidRPr="00EA0BF8">
        <w:rPr>
          <w:rFonts w:ascii="Times New Roman" w:eastAsia="Calibri" w:hAnsi="Times New Roman" w:cs="Times New Roman"/>
          <w:sz w:val="24"/>
          <w:szCs w:val="24"/>
        </w:rPr>
        <w:t>should prioritize enhancing gender-sensitive language and practices in schools. This includes providing gender sensitivity training for teachers and staff, ensuring inclusive communication, and fostering an environment that supports all students. Strengthening these efforts will create more equitable educational experiences for everyone.</w:t>
      </w:r>
    </w:p>
    <w:p w14:paraId="688D1EE0" w14:textId="77777777" w:rsidR="00940ACE" w:rsidRPr="00C5158E" w:rsidRDefault="00940ACE" w:rsidP="00B732FE">
      <w:pPr>
        <w:spacing w:line="360" w:lineRule="auto"/>
        <w:jc w:val="both"/>
        <w:rPr>
          <w:rFonts w:ascii="Times New Roman" w:hAnsi="Times New Roman" w:cs="Times New Roman"/>
          <w:sz w:val="24"/>
          <w:szCs w:val="24"/>
        </w:rPr>
      </w:pPr>
      <w:r w:rsidRPr="00EA0BF8">
        <w:rPr>
          <w:rFonts w:ascii="Times New Roman" w:eastAsia="Calibri" w:hAnsi="Times New Roman" w:cs="Times New Roman"/>
          <w:sz w:val="24"/>
          <w:szCs w:val="24"/>
        </w:rPr>
        <w:lastRenderedPageBreak/>
        <w:t xml:space="preserve">Secondly, policymakers should focus on expanding </w:t>
      </w:r>
      <w:r>
        <w:rPr>
          <w:rFonts w:ascii="Times New Roman" w:eastAsia="Calibri" w:hAnsi="Times New Roman" w:cs="Times New Roman"/>
          <w:sz w:val="24"/>
          <w:szCs w:val="24"/>
        </w:rPr>
        <w:t xml:space="preserve">horizons of access to </w:t>
      </w:r>
      <w:r w:rsidRPr="00EA0BF8">
        <w:rPr>
          <w:rFonts w:ascii="Times New Roman" w:eastAsia="Calibri" w:hAnsi="Times New Roman" w:cs="Times New Roman"/>
          <w:sz w:val="24"/>
          <w:szCs w:val="24"/>
        </w:rPr>
        <w:t>affordable education for low-income female students. Providing financial support, scholarships, and targeted resources will empower these students, promot</w:t>
      </w:r>
      <w:r>
        <w:rPr>
          <w:rFonts w:ascii="Times New Roman" w:eastAsia="Calibri" w:hAnsi="Times New Roman" w:cs="Times New Roman"/>
          <w:sz w:val="24"/>
          <w:szCs w:val="24"/>
        </w:rPr>
        <w:t>e</w:t>
      </w:r>
      <w:r w:rsidRPr="00EA0BF8">
        <w:rPr>
          <w:rFonts w:ascii="Times New Roman" w:eastAsia="Calibri" w:hAnsi="Times New Roman" w:cs="Times New Roman"/>
          <w:sz w:val="24"/>
          <w:szCs w:val="24"/>
        </w:rPr>
        <w:t xml:space="preserve"> gender equality and access to education, which positively impacts communities and economies. Therefore, prioritizing gender-sensitive practices and expanding affordable education</w:t>
      </w:r>
      <w:r>
        <w:rPr>
          <w:rFonts w:ascii="Times New Roman" w:eastAsia="Calibri" w:hAnsi="Times New Roman" w:cs="Times New Roman"/>
          <w:sz w:val="24"/>
          <w:szCs w:val="24"/>
        </w:rPr>
        <w:t xml:space="preserve"> opportunities</w:t>
      </w:r>
      <w:r w:rsidRPr="00EA0BF8">
        <w:rPr>
          <w:rFonts w:ascii="Times New Roman" w:eastAsia="Calibri" w:hAnsi="Times New Roman" w:cs="Times New Roman"/>
          <w:sz w:val="24"/>
          <w:szCs w:val="24"/>
        </w:rPr>
        <w:t xml:space="preserve"> for low-income female students will foster equality, empowerment, and societal progress.</w:t>
      </w:r>
    </w:p>
    <w:p w14:paraId="08E666DF" w14:textId="77777777" w:rsidR="00EA0BF8" w:rsidRPr="00EA0BF8" w:rsidRDefault="00EA0BF8" w:rsidP="00B732FE">
      <w:pPr>
        <w:spacing w:line="360" w:lineRule="auto"/>
        <w:jc w:val="both"/>
        <w:rPr>
          <w:rFonts w:ascii="Times New Roman" w:eastAsia="Calibri" w:hAnsi="Times New Roman" w:cs="Times New Roman"/>
          <w:b/>
          <w:sz w:val="24"/>
          <w:szCs w:val="24"/>
        </w:rPr>
      </w:pPr>
      <w:r w:rsidRPr="00EA0BF8">
        <w:rPr>
          <w:rFonts w:ascii="Times New Roman" w:eastAsia="Calibri" w:hAnsi="Times New Roman" w:cs="Times New Roman"/>
          <w:b/>
          <w:sz w:val="24"/>
          <w:szCs w:val="24"/>
        </w:rPr>
        <w:t xml:space="preserve">6. </w:t>
      </w:r>
      <w:r w:rsidR="00FA3C30" w:rsidRPr="00B732FE">
        <w:rPr>
          <w:rFonts w:ascii="Times New Roman" w:eastAsia="Calibri" w:hAnsi="Times New Roman" w:cs="Times New Roman"/>
          <w:b/>
          <w:sz w:val="24"/>
          <w:szCs w:val="24"/>
        </w:rPr>
        <w:t>CONCLUSIONS</w:t>
      </w:r>
    </w:p>
    <w:p w14:paraId="0A053748" w14:textId="4B05C4F0" w:rsidR="00EA0BF8" w:rsidRDefault="00EA0BF8" w:rsidP="00B732FE">
      <w:pPr>
        <w:spacing w:line="360" w:lineRule="auto"/>
        <w:jc w:val="both"/>
        <w:rPr>
          <w:rFonts w:ascii="Times New Roman" w:eastAsia="Calibri" w:hAnsi="Times New Roman" w:cs="Times New Roman"/>
          <w:bCs/>
          <w:sz w:val="24"/>
          <w:szCs w:val="24"/>
        </w:rPr>
      </w:pPr>
      <w:r w:rsidRPr="00EA0BF8">
        <w:rPr>
          <w:rFonts w:ascii="Times New Roman" w:eastAsia="Calibri" w:hAnsi="Times New Roman" w:cs="Times New Roman"/>
          <w:bCs/>
          <w:sz w:val="24"/>
          <w:szCs w:val="24"/>
        </w:rPr>
        <w:t>The study reveals a generally positive perception of gender equality policy a</w:t>
      </w:r>
      <w:bookmarkStart w:id="8" w:name="_GoBack"/>
      <w:bookmarkEnd w:id="8"/>
      <w:r w:rsidRPr="00EA0BF8">
        <w:rPr>
          <w:rFonts w:ascii="Times New Roman" w:eastAsia="Calibri" w:hAnsi="Times New Roman" w:cs="Times New Roman"/>
          <w:bCs/>
          <w:sz w:val="24"/>
          <w:szCs w:val="24"/>
        </w:rPr>
        <w:t xml:space="preserve">nd female students' participation in public secondary schools in Rwanda. Respondents acknowledge the supportive educational environment, with strong approval of the schools' efforts to meet the needs of female students, although improvements are needed. The perception of equal access to services and the involvement of girls in school leadership reflect the schools’ commitment to gender equality. </w:t>
      </w:r>
      <w:r w:rsidR="00940ACE" w:rsidRPr="00EA0BF8">
        <w:rPr>
          <w:rFonts w:ascii="Times New Roman" w:eastAsia="Calibri" w:hAnsi="Times New Roman" w:cs="Times New Roman"/>
          <w:bCs/>
          <w:sz w:val="24"/>
          <w:szCs w:val="24"/>
        </w:rPr>
        <w:t xml:space="preserve">However, areas such as the involvement of girls in decision-making, the use of gender-sensitive language, and community sensitization show moderate satisfaction, suggesting </w:t>
      </w:r>
      <w:r w:rsidR="00940ACE">
        <w:rPr>
          <w:rFonts w:ascii="Times New Roman" w:eastAsia="Calibri" w:hAnsi="Times New Roman" w:cs="Times New Roman"/>
          <w:bCs/>
          <w:sz w:val="24"/>
          <w:szCs w:val="24"/>
        </w:rPr>
        <w:t xml:space="preserve">that </w:t>
      </w:r>
      <w:r w:rsidR="00940ACE" w:rsidRPr="00EA0BF8">
        <w:rPr>
          <w:rFonts w:ascii="Times New Roman" w:eastAsia="Calibri" w:hAnsi="Times New Roman" w:cs="Times New Roman"/>
          <w:bCs/>
          <w:sz w:val="24"/>
          <w:szCs w:val="24"/>
        </w:rPr>
        <w:t xml:space="preserve">these are key </w:t>
      </w:r>
      <w:r w:rsidR="00940ACE" w:rsidRPr="00EA0BF8">
        <w:rPr>
          <w:rFonts w:ascii="Times New Roman" w:eastAsia="Calibri" w:hAnsi="Times New Roman" w:cs="Times New Roman"/>
          <w:bCs/>
          <w:sz w:val="24"/>
          <w:szCs w:val="24"/>
        </w:rPr>
        <w:lastRenderedPageBreak/>
        <w:t xml:space="preserve">areas for further development. Overall, while progress is evident, continued efforts are necessary to fully enhance gender equality, </w:t>
      </w:r>
      <w:r w:rsidR="00940ACE">
        <w:rPr>
          <w:rFonts w:ascii="Times New Roman" w:eastAsia="Calibri" w:hAnsi="Times New Roman" w:cs="Times New Roman"/>
          <w:bCs/>
          <w:sz w:val="24"/>
          <w:szCs w:val="24"/>
        </w:rPr>
        <w:t>leading</w:t>
      </w:r>
      <w:r w:rsidR="00940ACE" w:rsidRPr="00EA0BF8">
        <w:rPr>
          <w:rFonts w:ascii="Times New Roman" w:eastAsia="Calibri" w:hAnsi="Times New Roman" w:cs="Times New Roman"/>
          <w:bCs/>
          <w:sz w:val="24"/>
          <w:szCs w:val="24"/>
        </w:rPr>
        <w:t xml:space="preserve"> to a high girls’ enrollment rate in these schools.</w:t>
      </w:r>
      <w:r w:rsidR="005D4211" w:rsidRPr="005D4211">
        <w:t xml:space="preserve"> </w:t>
      </w:r>
      <w:r w:rsidR="005D4211" w:rsidRPr="005D4211">
        <w:rPr>
          <w:rFonts w:ascii="Times New Roman" w:eastAsia="Calibri" w:hAnsi="Times New Roman" w:cs="Times New Roman"/>
          <w:bCs/>
          <w:sz w:val="24"/>
          <w:szCs w:val="24"/>
        </w:rPr>
        <w:t xml:space="preserve">The findings of the study should practically contribute to addressing the issues of gender inequality in public secondary schools </w:t>
      </w:r>
      <w:r w:rsidR="005D4211">
        <w:rPr>
          <w:rFonts w:ascii="Times New Roman" w:eastAsia="Calibri" w:hAnsi="Times New Roman" w:cs="Times New Roman"/>
          <w:bCs/>
          <w:sz w:val="24"/>
          <w:szCs w:val="24"/>
        </w:rPr>
        <w:t>in</w:t>
      </w:r>
      <w:r w:rsidR="005D4211" w:rsidRPr="005D4211">
        <w:rPr>
          <w:rFonts w:ascii="Times New Roman" w:eastAsia="Calibri" w:hAnsi="Times New Roman" w:cs="Times New Roman"/>
          <w:bCs/>
          <w:sz w:val="24"/>
          <w:szCs w:val="24"/>
        </w:rPr>
        <w:t xml:space="preserve"> Rwanda. It also provides insights to the Ministry of Education of Rwanda, policymakers, and school authorities to enhance the awareness of gender issues</w:t>
      </w:r>
      <w:r w:rsidR="005D4211">
        <w:rPr>
          <w:rFonts w:ascii="Times New Roman" w:eastAsia="Calibri" w:hAnsi="Times New Roman" w:cs="Times New Roman"/>
          <w:bCs/>
          <w:sz w:val="24"/>
          <w:szCs w:val="24"/>
        </w:rPr>
        <w:t xml:space="preserve"> among students, to cultivate a </w:t>
      </w:r>
      <w:r w:rsidR="005D4211" w:rsidRPr="005D4211">
        <w:rPr>
          <w:rFonts w:ascii="Times New Roman" w:eastAsia="Calibri" w:hAnsi="Times New Roman" w:cs="Times New Roman"/>
          <w:bCs/>
          <w:sz w:val="24"/>
          <w:szCs w:val="24"/>
        </w:rPr>
        <w:t>respectful and positive learning environment.</w:t>
      </w:r>
    </w:p>
    <w:p w14:paraId="0DDF5831" w14:textId="6F7FD06A" w:rsidR="00317F14" w:rsidRPr="00317F14" w:rsidRDefault="00317F14" w:rsidP="00317F14">
      <w:pPr>
        <w:jc w:val="both"/>
        <w:rPr>
          <w:rFonts w:ascii="Times New Roman" w:hAnsi="Times New Roman" w:cs="Times New Roman"/>
          <w:b/>
          <w:sz w:val="24"/>
          <w:szCs w:val="24"/>
        </w:rPr>
      </w:pPr>
      <w:r w:rsidRPr="00317F14">
        <w:rPr>
          <w:rFonts w:ascii="Times New Roman" w:hAnsi="Times New Roman" w:cs="Times New Roman"/>
          <w:b/>
          <w:sz w:val="24"/>
          <w:szCs w:val="24"/>
        </w:rPr>
        <w:t>DISCLAMER</w:t>
      </w:r>
      <w:r w:rsidR="00554F17">
        <w:rPr>
          <w:rFonts w:ascii="Times New Roman" w:hAnsi="Times New Roman" w:cs="Times New Roman"/>
          <w:b/>
          <w:sz w:val="24"/>
          <w:szCs w:val="24"/>
        </w:rPr>
        <w:t xml:space="preserve"> </w:t>
      </w:r>
      <w:r w:rsidRPr="00317F14">
        <w:rPr>
          <w:rFonts w:ascii="Times New Roman" w:hAnsi="Times New Roman" w:cs="Times New Roman"/>
          <w:b/>
          <w:sz w:val="24"/>
          <w:szCs w:val="24"/>
        </w:rPr>
        <w:t xml:space="preserve">(ARTIFICIAL INTELLIGENCE)   </w:t>
      </w:r>
    </w:p>
    <w:p w14:paraId="2F9B5446" w14:textId="77777777" w:rsidR="00C1459B" w:rsidRDefault="00C1459B"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A210DA">
        <w:rPr>
          <w:rFonts w:ascii="Times New Roman" w:hAnsi="Times New Roman" w:cs="Times New Roman"/>
          <w:sz w:val="24"/>
          <w:szCs w:val="24"/>
        </w:rPr>
        <w:t xml:space="preserve"> declare that no generative artificial intelligence technologies, including Large Language Models like ChatGPT or tools like COPILOT, were used in writing or editing this manuscript. All content is a result of personal knowledge, skills, and efforts. This commitment underscores the integrity and authenticity of the work, ensuring that all ideas and expressions stem solely from human creativity without automated assistance.</w:t>
      </w:r>
    </w:p>
    <w:p w14:paraId="74FCDF3D" w14:textId="77777777" w:rsidR="00C1459B" w:rsidRPr="00C5158E" w:rsidRDefault="00C1459B" w:rsidP="00B732FE">
      <w:pPr>
        <w:spacing w:line="360" w:lineRule="auto"/>
        <w:jc w:val="both"/>
        <w:rPr>
          <w:rStyle w:val="fontstyle21"/>
          <w:rFonts w:ascii="Times New Roman" w:hAnsi="Times New Roman" w:cs="Times New Roman"/>
          <w:b/>
          <w:color w:val="auto"/>
        </w:rPr>
      </w:pPr>
      <w:r w:rsidRPr="00237CDC">
        <w:rPr>
          <w:rStyle w:val="fontstyle21"/>
          <w:rFonts w:ascii="Times New Roman" w:hAnsi="Times New Roman" w:cs="Times New Roman"/>
          <w:b/>
          <w:sz w:val="24"/>
          <w:szCs w:val="24"/>
        </w:rPr>
        <w:t>COMPETING INTERESTS</w:t>
      </w:r>
    </w:p>
    <w:p w14:paraId="240D10E3" w14:textId="77777777" w:rsidR="00C1459B" w:rsidRDefault="00C1459B" w:rsidP="00B732FE">
      <w:pPr>
        <w:spacing w:line="360" w:lineRule="auto"/>
        <w:jc w:val="both"/>
        <w:rPr>
          <w:rFonts w:ascii="Times New Roman" w:hAnsi="Times New Roman" w:cs="Times New Roman"/>
          <w:sz w:val="24"/>
          <w:szCs w:val="24"/>
        </w:rPr>
      </w:pPr>
      <w:r w:rsidRPr="00237CDC">
        <w:rPr>
          <w:rFonts w:ascii="Times New Roman" w:hAnsi="Times New Roman" w:cs="Times New Roman"/>
          <w:sz w:val="24"/>
          <w:szCs w:val="24"/>
        </w:rPr>
        <w:t>I have declared that no competing interests exist</w:t>
      </w:r>
      <w:r>
        <w:rPr>
          <w:rFonts w:ascii="Times New Roman" w:hAnsi="Times New Roman" w:cs="Times New Roman"/>
          <w:sz w:val="24"/>
          <w:szCs w:val="24"/>
        </w:rPr>
        <w:t>.</w:t>
      </w:r>
    </w:p>
    <w:p w14:paraId="79202C76" w14:textId="77777777" w:rsidR="00C72E0F" w:rsidRDefault="00C72E0F" w:rsidP="00B732FE">
      <w:pPr>
        <w:spacing w:line="360" w:lineRule="auto"/>
        <w:jc w:val="both"/>
        <w:rPr>
          <w:rFonts w:ascii="Times New Roman" w:hAnsi="Times New Roman" w:cs="Times New Roman"/>
          <w:sz w:val="24"/>
          <w:szCs w:val="24"/>
        </w:rPr>
      </w:pPr>
    </w:p>
    <w:p w14:paraId="1C0B3087" w14:textId="11714386" w:rsidR="00C72E0F" w:rsidRPr="00C72E0F" w:rsidRDefault="00C72E0F" w:rsidP="00C72E0F">
      <w:pPr>
        <w:spacing w:line="360" w:lineRule="auto"/>
        <w:rPr>
          <w:rFonts w:ascii="Times New Roman" w:hAnsi="Times New Roman" w:cs="Times New Roman"/>
          <w:sz w:val="24"/>
          <w:szCs w:val="24"/>
        </w:rPr>
      </w:pPr>
      <w:r w:rsidRPr="00C72E0F">
        <w:rPr>
          <w:rFonts w:ascii="Times New Roman" w:hAnsi="Times New Roman" w:cs="Times New Roman"/>
          <w:b/>
          <w:bCs/>
          <w:sz w:val="24"/>
          <w:szCs w:val="24"/>
        </w:rPr>
        <w:t>COMPETING INTERESTS</w:t>
      </w:r>
      <w:r>
        <w:rPr>
          <w:rFonts w:ascii="Times New Roman" w:hAnsi="Times New Roman" w:cs="Times New Roman"/>
          <w:b/>
          <w:bCs/>
          <w:sz w:val="24"/>
          <w:szCs w:val="24"/>
        </w:rPr>
        <w:t xml:space="preserve"> </w:t>
      </w:r>
      <w:r w:rsidRPr="00C72E0F">
        <w:rPr>
          <w:rFonts w:ascii="Times New Roman" w:hAnsi="Times New Roman" w:cs="Times New Roman"/>
          <w:b/>
          <w:bCs/>
          <w:sz w:val="24"/>
          <w:szCs w:val="24"/>
        </w:rPr>
        <w:t>DISCLAIMER</w:t>
      </w:r>
      <w:r w:rsidRPr="00C72E0F">
        <w:rPr>
          <w:rFonts w:ascii="Times New Roman" w:hAnsi="Times New Roman" w:cs="Times New Roman"/>
          <w:sz w:val="24"/>
          <w:szCs w:val="24"/>
        </w:rPr>
        <w:t>:</w:t>
      </w:r>
    </w:p>
    <w:p w14:paraId="302497C6" w14:textId="74516F99" w:rsidR="00C72E0F" w:rsidRPr="00C1459B" w:rsidRDefault="00C72E0F" w:rsidP="00C72E0F">
      <w:pPr>
        <w:spacing w:line="360" w:lineRule="auto"/>
        <w:jc w:val="both"/>
        <w:rPr>
          <w:rFonts w:ascii="Times New Roman" w:hAnsi="Times New Roman" w:cs="Times New Roman"/>
          <w:sz w:val="24"/>
          <w:szCs w:val="24"/>
        </w:rPr>
      </w:pPr>
      <w:r w:rsidRPr="00C72E0F">
        <w:rPr>
          <w:rFonts w:ascii="Times New Roman" w:hAnsi="Times New Roman" w:cs="Times New Roman"/>
          <w:sz w:val="24"/>
          <w:szCs w:val="24"/>
        </w:rPr>
        <w:t>Authors have declared that they have no known competing financial interests OR non-</w:t>
      </w:r>
      <w:r w:rsidRPr="00C72E0F">
        <w:rPr>
          <w:rFonts w:ascii="Times New Roman" w:hAnsi="Times New Roman" w:cs="Times New Roman"/>
          <w:sz w:val="24"/>
          <w:szCs w:val="24"/>
        </w:rPr>
        <w:lastRenderedPageBreak/>
        <w:t>financial interests OR personal relationships that could have appeared to influence the work reported in this paper.</w:t>
      </w:r>
    </w:p>
    <w:p w14:paraId="7343E221" w14:textId="77777777" w:rsidR="002B2DCB" w:rsidRDefault="002B2DCB" w:rsidP="00B732FE">
      <w:pPr>
        <w:spacing w:line="360" w:lineRule="auto"/>
        <w:jc w:val="both"/>
        <w:rPr>
          <w:rFonts w:ascii="Times New Roman" w:hAnsi="Times New Roman" w:cs="Times New Roman"/>
          <w:b/>
          <w:sz w:val="24"/>
          <w:szCs w:val="24"/>
          <w:shd w:val="clear" w:color="auto" w:fill="FFFFFF"/>
        </w:rPr>
      </w:pPr>
    </w:p>
    <w:p w14:paraId="4C519118" w14:textId="77777777" w:rsidR="002B2DCB" w:rsidRDefault="002B2DCB" w:rsidP="00B732FE">
      <w:pPr>
        <w:spacing w:line="360" w:lineRule="auto"/>
        <w:jc w:val="both"/>
        <w:rPr>
          <w:rFonts w:ascii="Times New Roman" w:hAnsi="Times New Roman" w:cs="Times New Roman"/>
          <w:b/>
          <w:sz w:val="24"/>
          <w:szCs w:val="24"/>
          <w:shd w:val="clear" w:color="auto" w:fill="FFFFFF"/>
        </w:rPr>
        <w:sectPr w:rsidR="002B2DCB" w:rsidSect="00B732FE">
          <w:type w:val="continuous"/>
          <w:pgSz w:w="12240" w:h="15840"/>
          <w:pgMar w:top="1440" w:right="1440" w:bottom="1440" w:left="1440" w:header="720" w:footer="720" w:gutter="0"/>
          <w:cols w:num="2" w:space="720"/>
          <w:docGrid w:linePitch="360"/>
        </w:sectPr>
      </w:pPr>
    </w:p>
    <w:p w14:paraId="244D9355" w14:textId="3C8C73D1" w:rsidR="006C3650" w:rsidRPr="001B759A" w:rsidRDefault="00FA3C30" w:rsidP="00B732FE">
      <w:pPr>
        <w:spacing w:line="360" w:lineRule="auto"/>
        <w:jc w:val="both"/>
        <w:rPr>
          <w:rFonts w:ascii="Arial" w:hAnsi="Arial" w:cs="Arial"/>
          <w:sz w:val="20"/>
          <w:szCs w:val="20"/>
          <w:shd w:val="clear" w:color="auto" w:fill="FFFFFF"/>
        </w:rPr>
        <w:sectPr w:rsidR="006C3650" w:rsidRPr="001B759A" w:rsidSect="00CB1009">
          <w:type w:val="continuous"/>
          <w:pgSz w:w="12240" w:h="15840"/>
          <w:pgMar w:top="1440" w:right="1440" w:bottom="1440" w:left="1440" w:header="720" w:footer="720" w:gutter="0"/>
          <w:cols w:num="2" w:space="720"/>
          <w:docGrid w:linePitch="360"/>
        </w:sectPr>
      </w:pPr>
      <w:r>
        <w:rPr>
          <w:rFonts w:ascii="Times New Roman" w:hAnsi="Times New Roman" w:cs="Times New Roman"/>
          <w:b/>
          <w:sz w:val="24"/>
          <w:szCs w:val="24"/>
          <w:shd w:val="clear" w:color="auto" w:fill="FFFFFF"/>
        </w:rPr>
        <w:lastRenderedPageBreak/>
        <w:t xml:space="preserve">7. </w:t>
      </w:r>
      <w:r w:rsidRPr="00B732FE">
        <w:rPr>
          <w:rFonts w:ascii="Times New Roman" w:hAnsi="Times New Roman" w:cs="Times New Roman"/>
          <w:b/>
          <w:sz w:val="24"/>
          <w:szCs w:val="24"/>
          <w:shd w:val="clear" w:color="auto" w:fill="FFFFFF"/>
        </w:rPr>
        <w:t>REFERENCES</w:t>
      </w:r>
      <w:r w:rsidRPr="000B692E">
        <w:rPr>
          <w:rFonts w:ascii="Arial" w:hAnsi="Arial" w:cs="Arial"/>
          <w:sz w:val="20"/>
          <w:szCs w:val="20"/>
          <w:shd w:val="clear" w:color="auto" w:fill="FFFFFF"/>
        </w:rPr>
        <w:t xml:space="preserve"> </w:t>
      </w:r>
    </w:p>
    <w:p w14:paraId="4F19E691" w14:textId="77777777" w:rsidR="00C565BD" w:rsidRPr="00956583" w:rsidRDefault="00956583" w:rsidP="00B732FE">
      <w:pPr>
        <w:spacing w:line="360" w:lineRule="auto"/>
        <w:jc w:val="both"/>
        <w:rPr>
          <w:rFonts w:ascii="Times New Roman" w:hAnsi="Times New Roman" w:cs="Times New Roman"/>
          <w:color w:val="222222"/>
          <w:sz w:val="24"/>
          <w:szCs w:val="24"/>
          <w:shd w:val="clear" w:color="auto" w:fill="FFFFFF"/>
        </w:rPr>
      </w:pPr>
      <w:r w:rsidRPr="00956583">
        <w:rPr>
          <w:rFonts w:ascii="Times New Roman" w:hAnsi="Times New Roman" w:cs="Times New Roman"/>
          <w:color w:val="222222"/>
          <w:sz w:val="24"/>
          <w:szCs w:val="24"/>
          <w:shd w:val="clear" w:color="auto" w:fill="FFFFFF"/>
        </w:rPr>
        <w:lastRenderedPageBreak/>
        <w:t xml:space="preserve">Bergstrom, K., &amp; Özler, B. (2023). Improving the well-being of adolescent girls </w:t>
      </w:r>
      <w:r w:rsidRPr="00956583">
        <w:rPr>
          <w:rFonts w:ascii="Times New Roman" w:hAnsi="Times New Roman" w:cs="Times New Roman"/>
          <w:color w:val="222222"/>
          <w:sz w:val="24"/>
          <w:szCs w:val="24"/>
          <w:shd w:val="clear" w:color="auto" w:fill="FFFFFF"/>
        </w:rPr>
        <w:lastRenderedPageBreak/>
        <w:t>in developing countries. </w:t>
      </w:r>
      <w:r w:rsidRPr="00956583">
        <w:rPr>
          <w:rFonts w:ascii="Times New Roman" w:hAnsi="Times New Roman" w:cs="Times New Roman"/>
          <w:i/>
          <w:iCs/>
          <w:color w:val="222222"/>
          <w:sz w:val="24"/>
          <w:szCs w:val="24"/>
          <w:shd w:val="clear" w:color="auto" w:fill="FFFFFF"/>
        </w:rPr>
        <w:t>The World Bank Research Observer</w:t>
      </w:r>
      <w:r w:rsidRPr="00956583">
        <w:rPr>
          <w:rFonts w:ascii="Times New Roman" w:hAnsi="Times New Roman" w:cs="Times New Roman"/>
          <w:color w:val="222222"/>
          <w:sz w:val="24"/>
          <w:szCs w:val="24"/>
          <w:shd w:val="clear" w:color="auto" w:fill="FFFFFF"/>
        </w:rPr>
        <w:t>, </w:t>
      </w:r>
      <w:r w:rsidRPr="00956583">
        <w:rPr>
          <w:rFonts w:ascii="Times New Roman" w:hAnsi="Times New Roman" w:cs="Times New Roman"/>
          <w:i/>
          <w:iCs/>
          <w:color w:val="222222"/>
          <w:sz w:val="24"/>
          <w:szCs w:val="24"/>
          <w:shd w:val="clear" w:color="auto" w:fill="FFFFFF"/>
        </w:rPr>
        <w:t>38</w:t>
      </w:r>
      <w:r w:rsidRPr="00956583">
        <w:rPr>
          <w:rFonts w:ascii="Times New Roman" w:hAnsi="Times New Roman" w:cs="Times New Roman"/>
          <w:color w:val="222222"/>
          <w:sz w:val="24"/>
          <w:szCs w:val="24"/>
          <w:shd w:val="clear" w:color="auto" w:fill="FFFFFF"/>
        </w:rPr>
        <w:t>(2), 179-212.</w:t>
      </w:r>
    </w:p>
    <w:p w14:paraId="2FAF157B" w14:textId="77777777" w:rsidR="00956583" w:rsidRPr="00A8584A" w:rsidRDefault="00956583" w:rsidP="00B732FE">
      <w:pPr>
        <w:spacing w:line="360" w:lineRule="auto"/>
        <w:jc w:val="both"/>
        <w:rPr>
          <w:rFonts w:ascii="Arial" w:hAnsi="Arial" w:cs="Arial"/>
          <w:color w:val="222222"/>
          <w:sz w:val="20"/>
          <w:szCs w:val="20"/>
          <w:shd w:val="clear" w:color="auto" w:fill="FFFFFF"/>
        </w:rPr>
        <w:sectPr w:rsidR="00956583" w:rsidRPr="00A8584A" w:rsidSect="00CB1009">
          <w:type w:val="continuous"/>
          <w:pgSz w:w="12240" w:h="15840"/>
          <w:pgMar w:top="1440" w:right="1440" w:bottom="1440" w:left="1440" w:header="720" w:footer="720" w:gutter="0"/>
          <w:cols w:num="2" w:space="720"/>
          <w:docGrid w:linePitch="360"/>
        </w:sectPr>
      </w:pPr>
    </w:p>
    <w:p w14:paraId="6AD7CA20" w14:textId="77777777" w:rsidR="0087627D" w:rsidRPr="002906ED" w:rsidRDefault="0087627D" w:rsidP="00B732FE">
      <w:pPr>
        <w:spacing w:line="360" w:lineRule="auto"/>
        <w:jc w:val="both"/>
        <w:rPr>
          <w:rFonts w:ascii="Times New Roman" w:eastAsia="Calibri" w:hAnsi="Times New Roman" w:cs="Times New Roman"/>
          <w:color w:val="00B0F0"/>
          <w:sz w:val="24"/>
          <w:szCs w:val="24"/>
        </w:rPr>
      </w:pPr>
      <w:r w:rsidRPr="002906ED">
        <w:rPr>
          <w:rFonts w:ascii="Times New Roman" w:hAnsi="Times New Roman" w:cs="Times New Roman"/>
          <w:color w:val="222222"/>
          <w:sz w:val="24"/>
          <w:szCs w:val="24"/>
          <w:shd w:val="clear" w:color="auto" w:fill="FFFFFF"/>
        </w:rPr>
        <w:lastRenderedPageBreak/>
        <w:t xml:space="preserve">Bikorimana, G., Bimenyimana, P., Esther, N., Bahizi, M., Safari, K., &amp; Joseph, H. (2024). Effect </w:t>
      </w:r>
      <w:r>
        <w:rPr>
          <w:rFonts w:ascii="Times New Roman" w:hAnsi="Times New Roman" w:cs="Times New Roman"/>
          <w:color w:val="222222"/>
          <w:sz w:val="24"/>
          <w:szCs w:val="24"/>
          <w:shd w:val="clear" w:color="auto" w:fill="FFFFFF"/>
        </w:rPr>
        <w:tab/>
      </w:r>
      <w:r w:rsidRPr="002906ED">
        <w:rPr>
          <w:rFonts w:ascii="Times New Roman" w:hAnsi="Times New Roman" w:cs="Times New Roman"/>
          <w:color w:val="222222"/>
          <w:sz w:val="24"/>
          <w:szCs w:val="24"/>
          <w:shd w:val="clear" w:color="auto" w:fill="FFFFFF"/>
        </w:rPr>
        <w:t>of gender based-violence on the social well-being of women in Rwanda. Case study of</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2906ED">
        <w:rPr>
          <w:rFonts w:ascii="Times New Roman" w:hAnsi="Times New Roman" w:cs="Times New Roman"/>
          <w:color w:val="222222"/>
          <w:sz w:val="24"/>
          <w:szCs w:val="24"/>
          <w:shd w:val="clear" w:color="auto" w:fill="FFFFFF"/>
        </w:rPr>
        <w:t xml:space="preserve"> Ngoma sector, Huye District. </w:t>
      </w:r>
      <w:r w:rsidRPr="002906ED">
        <w:rPr>
          <w:rFonts w:ascii="Times New Roman" w:hAnsi="Times New Roman" w:cs="Times New Roman"/>
          <w:i/>
          <w:iCs/>
          <w:color w:val="222222"/>
          <w:sz w:val="24"/>
          <w:szCs w:val="24"/>
          <w:shd w:val="clear" w:color="auto" w:fill="FFFFFF"/>
        </w:rPr>
        <w:t>Journal of Policy and Development Studies</w:t>
      </w:r>
      <w:r w:rsidRPr="002906ED">
        <w:rPr>
          <w:rFonts w:ascii="Times New Roman" w:hAnsi="Times New Roman" w:cs="Times New Roman"/>
          <w:color w:val="222222"/>
          <w:sz w:val="24"/>
          <w:szCs w:val="24"/>
          <w:shd w:val="clear" w:color="auto" w:fill="FFFFFF"/>
        </w:rPr>
        <w:t>, </w:t>
      </w:r>
      <w:r w:rsidRPr="002906ED">
        <w:rPr>
          <w:rFonts w:ascii="Times New Roman" w:hAnsi="Times New Roman" w:cs="Times New Roman"/>
          <w:i/>
          <w:iCs/>
          <w:color w:val="222222"/>
          <w:sz w:val="24"/>
          <w:szCs w:val="24"/>
          <w:shd w:val="clear" w:color="auto" w:fill="FFFFFF"/>
        </w:rPr>
        <w:t>16</w:t>
      </w:r>
      <w:r w:rsidRPr="002906ED">
        <w:rPr>
          <w:rFonts w:ascii="Times New Roman" w:hAnsi="Times New Roman" w:cs="Times New Roman"/>
          <w:color w:val="222222"/>
          <w:sz w:val="24"/>
          <w:szCs w:val="24"/>
          <w:shd w:val="clear" w:color="auto" w:fill="FFFFFF"/>
        </w:rPr>
        <w:t>(2), 192-203.</w:t>
      </w:r>
    </w:p>
    <w:p w14:paraId="73722189" w14:textId="072BF58C" w:rsidR="0087627D" w:rsidRDefault="0087627D" w:rsidP="00B732FE">
      <w:pPr>
        <w:spacing w:line="360" w:lineRule="auto"/>
        <w:contextualSpacing/>
        <w:jc w:val="both"/>
        <w:rPr>
          <w:rFonts w:ascii="Times New Roman" w:hAnsi="Times New Roman" w:cs="Times New Roman"/>
          <w:color w:val="222222"/>
          <w:sz w:val="24"/>
          <w:szCs w:val="24"/>
          <w:shd w:val="clear" w:color="auto" w:fill="FFFFFF"/>
        </w:rPr>
      </w:pPr>
      <w:r w:rsidRPr="002F2A92">
        <w:rPr>
          <w:rFonts w:ascii="Times New Roman" w:hAnsi="Times New Roman" w:cs="Times New Roman"/>
          <w:color w:val="222222"/>
          <w:sz w:val="24"/>
          <w:szCs w:val="24"/>
          <w:shd w:val="clear" w:color="auto" w:fill="FFFFFF"/>
        </w:rPr>
        <w:t xml:space="preserve">Doğan, N., &amp; Kirikkaleli, D. (2021). Does gender equality in education matter for environmental </w:t>
      </w:r>
      <w:r>
        <w:rPr>
          <w:rFonts w:ascii="Times New Roman" w:hAnsi="Times New Roman" w:cs="Times New Roman"/>
          <w:color w:val="222222"/>
          <w:sz w:val="24"/>
          <w:szCs w:val="24"/>
          <w:shd w:val="clear" w:color="auto" w:fill="FFFFFF"/>
        </w:rPr>
        <w:tab/>
      </w:r>
      <w:r w:rsidRPr="002F2A92">
        <w:rPr>
          <w:rFonts w:ascii="Times New Roman" w:hAnsi="Times New Roman" w:cs="Times New Roman"/>
          <w:color w:val="222222"/>
          <w:sz w:val="24"/>
          <w:szCs w:val="24"/>
          <w:shd w:val="clear" w:color="auto" w:fill="FFFFFF"/>
        </w:rPr>
        <w:t>sustainability in sub-Saharan Africa? </w:t>
      </w:r>
      <w:r w:rsidRPr="002F2A92">
        <w:rPr>
          <w:rFonts w:ascii="Times New Roman" w:hAnsi="Times New Roman" w:cs="Times New Roman"/>
          <w:i/>
          <w:iCs/>
          <w:color w:val="222222"/>
          <w:sz w:val="24"/>
          <w:szCs w:val="24"/>
          <w:shd w:val="clear" w:color="auto" w:fill="FFFFFF"/>
        </w:rPr>
        <w:t xml:space="preserve">Environmental Science and Pollution </w:t>
      </w:r>
      <w:r>
        <w:rPr>
          <w:rFonts w:ascii="Times New Roman" w:hAnsi="Times New Roman" w:cs="Times New Roman"/>
          <w:i/>
          <w:iCs/>
          <w:color w:val="222222"/>
          <w:sz w:val="24"/>
          <w:szCs w:val="24"/>
          <w:shd w:val="clear" w:color="auto" w:fill="FFFFFF"/>
        </w:rPr>
        <w:tab/>
      </w:r>
      <w:r w:rsidRPr="002F2A92">
        <w:rPr>
          <w:rFonts w:ascii="Times New Roman" w:hAnsi="Times New Roman" w:cs="Times New Roman"/>
          <w:i/>
          <w:iCs/>
          <w:color w:val="222222"/>
          <w:sz w:val="24"/>
          <w:szCs w:val="24"/>
          <w:shd w:val="clear" w:color="auto" w:fill="FFFFFF"/>
        </w:rPr>
        <w:t>Research</w:t>
      </w:r>
      <w:r w:rsidRPr="002F2A92">
        <w:rPr>
          <w:rFonts w:ascii="Times New Roman" w:hAnsi="Times New Roman" w:cs="Times New Roman"/>
          <w:color w:val="222222"/>
          <w:sz w:val="24"/>
          <w:szCs w:val="24"/>
          <w:shd w:val="clear" w:color="auto" w:fill="FFFFFF"/>
        </w:rPr>
        <w:t>, </w:t>
      </w:r>
      <w:r w:rsidRPr="002F2A92">
        <w:rPr>
          <w:rFonts w:ascii="Times New Roman" w:hAnsi="Times New Roman" w:cs="Times New Roman"/>
          <w:i/>
          <w:iCs/>
          <w:color w:val="222222"/>
          <w:sz w:val="24"/>
          <w:szCs w:val="24"/>
          <w:shd w:val="clear" w:color="auto" w:fill="FFFFFF"/>
        </w:rPr>
        <w:t>28</w:t>
      </w:r>
      <w:r w:rsidRPr="002F2A92">
        <w:rPr>
          <w:rFonts w:ascii="Times New Roman" w:hAnsi="Times New Roman" w:cs="Times New Roman"/>
          <w:color w:val="222222"/>
          <w:sz w:val="24"/>
          <w:szCs w:val="24"/>
          <w:shd w:val="clear" w:color="auto" w:fill="FFFFFF"/>
        </w:rPr>
        <w:t>(29), 39853-39865.</w:t>
      </w:r>
    </w:p>
    <w:p w14:paraId="7C7D84F8" w14:textId="013E5FAB" w:rsidR="0087627D" w:rsidRPr="00F93829" w:rsidRDefault="0087627D" w:rsidP="00B732FE">
      <w:pPr>
        <w:spacing w:line="360" w:lineRule="auto"/>
        <w:contextualSpacing/>
        <w:jc w:val="both"/>
        <w:rPr>
          <w:rFonts w:ascii="Times New Roman" w:hAnsi="Times New Roman" w:cs="Times New Roman"/>
          <w:color w:val="222222"/>
          <w:sz w:val="24"/>
          <w:szCs w:val="24"/>
          <w:shd w:val="clear" w:color="auto" w:fill="FFFFFF"/>
        </w:rPr>
      </w:pPr>
      <w:r w:rsidRPr="00F93829">
        <w:rPr>
          <w:rFonts w:ascii="Times New Roman" w:hAnsi="Times New Roman" w:cs="Times New Roman"/>
          <w:color w:val="222222"/>
          <w:sz w:val="24"/>
          <w:szCs w:val="24"/>
          <w:shd w:val="clear" w:color="auto" w:fill="FFFFFF"/>
        </w:rPr>
        <w:t xml:space="preserve">Giralt, L. (2024). A </w:t>
      </w:r>
      <w:r w:rsidR="00FA3C30">
        <w:rPr>
          <w:rFonts w:ascii="Times New Roman" w:hAnsi="Times New Roman" w:cs="Times New Roman"/>
          <w:i/>
          <w:color w:val="222222"/>
          <w:sz w:val="24"/>
          <w:szCs w:val="24"/>
          <w:shd w:val="clear" w:color="auto" w:fill="FFFFFF"/>
        </w:rPr>
        <w:t>c</w:t>
      </w:r>
      <w:r w:rsidRPr="007D521A">
        <w:rPr>
          <w:rFonts w:ascii="Times New Roman" w:hAnsi="Times New Roman" w:cs="Times New Roman"/>
          <w:i/>
          <w:color w:val="222222"/>
          <w:sz w:val="24"/>
          <w:szCs w:val="24"/>
          <w:shd w:val="clear" w:color="auto" w:fill="FFFFFF"/>
        </w:rPr>
        <w:t xml:space="preserve">omprehensive </w:t>
      </w:r>
      <w:r w:rsidR="00FA3C30">
        <w:rPr>
          <w:rFonts w:ascii="Times New Roman" w:hAnsi="Times New Roman" w:cs="Times New Roman"/>
          <w:i/>
          <w:color w:val="222222"/>
          <w:sz w:val="24"/>
          <w:szCs w:val="24"/>
          <w:shd w:val="clear" w:color="auto" w:fill="FFFFFF"/>
        </w:rPr>
        <w:t>a</w:t>
      </w:r>
      <w:r w:rsidRPr="007D521A">
        <w:rPr>
          <w:rFonts w:ascii="Times New Roman" w:hAnsi="Times New Roman" w:cs="Times New Roman"/>
          <w:i/>
          <w:color w:val="222222"/>
          <w:sz w:val="24"/>
          <w:szCs w:val="24"/>
          <w:shd w:val="clear" w:color="auto" w:fill="FFFFFF"/>
        </w:rPr>
        <w:t xml:space="preserve">nalysis of the European Union’s </w:t>
      </w:r>
      <w:r w:rsidR="00FA3C30">
        <w:rPr>
          <w:rFonts w:ascii="Times New Roman" w:hAnsi="Times New Roman" w:cs="Times New Roman"/>
          <w:i/>
          <w:color w:val="222222"/>
          <w:sz w:val="24"/>
          <w:szCs w:val="24"/>
          <w:shd w:val="clear" w:color="auto" w:fill="FFFFFF"/>
        </w:rPr>
        <w:t>i</w:t>
      </w:r>
      <w:r w:rsidRPr="007D521A">
        <w:rPr>
          <w:rFonts w:ascii="Times New Roman" w:hAnsi="Times New Roman" w:cs="Times New Roman"/>
          <w:i/>
          <w:color w:val="222222"/>
          <w:sz w:val="24"/>
          <w:szCs w:val="24"/>
          <w:shd w:val="clear" w:color="auto" w:fill="FFFFFF"/>
        </w:rPr>
        <w:t xml:space="preserve">ntegration of the </w:t>
      </w:r>
      <w:r w:rsidR="00FA3C30">
        <w:rPr>
          <w:rFonts w:ascii="Times New Roman" w:hAnsi="Times New Roman" w:cs="Times New Roman"/>
          <w:i/>
          <w:color w:val="222222"/>
          <w:sz w:val="24"/>
          <w:szCs w:val="24"/>
          <w:shd w:val="clear" w:color="auto" w:fill="FFFFFF"/>
        </w:rPr>
        <w:t>r</w:t>
      </w:r>
      <w:r w:rsidRPr="007D521A">
        <w:rPr>
          <w:rFonts w:ascii="Times New Roman" w:hAnsi="Times New Roman" w:cs="Times New Roman"/>
          <w:i/>
          <w:color w:val="222222"/>
          <w:sz w:val="24"/>
          <w:szCs w:val="24"/>
          <w:shd w:val="clear" w:color="auto" w:fill="FFFFFF"/>
        </w:rPr>
        <w:t xml:space="preserve">ight </w:t>
      </w:r>
      <w:r w:rsidR="00FA3C30">
        <w:rPr>
          <w:rFonts w:ascii="Times New Roman" w:hAnsi="Times New Roman" w:cs="Times New Roman"/>
          <w:i/>
          <w:color w:val="222222"/>
          <w:sz w:val="24"/>
          <w:szCs w:val="24"/>
          <w:shd w:val="clear" w:color="auto" w:fill="FFFFFF"/>
        </w:rPr>
        <w:tab/>
      </w:r>
      <w:r w:rsidRPr="007D521A">
        <w:rPr>
          <w:rFonts w:ascii="Times New Roman" w:hAnsi="Times New Roman" w:cs="Times New Roman"/>
          <w:i/>
          <w:color w:val="222222"/>
          <w:sz w:val="24"/>
          <w:szCs w:val="24"/>
          <w:shd w:val="clear" w:color="auto" w:fill="FFFFFF"/>
        </w:rPr>
        <w:t xml:space="preserve">to </w:t>
      </w:r>
      <w:r w:rsidR="00FA3C30">
        <w:rPr>
          <w:rFonts w:ascii="Times New Roman" w:hAnsi="Times New Roman" w:cs="Times New Roman"/>
          <w:i/>
          <w:color w:val="222222"/>
          <w:sz w:val="24"/>
          <w:szCs w:val="24"/>
          <w:shd w:val="clear" w:color="auto" w:fill="FFFFFF"/>
        </w:rPr>
        <w:t>d</w:t>
      </w:r>
      <w:r w:rsidRPr="007D521A">
        <w:rPr>
          <w:rFonts w:ascii="Times New Roman" w:hAnsi="Times New Roman" w:cs="Times New Roman"/>
          <w:i/>
          <w:color w:val="222222"/>
          <w:sz w:val="24"/>
          <w:szCs w:val="24"/>
          <w:shd w:val="clear" w:color="auto" w:fill="FFFFFF"/>
        </w:rPr>
        <w:t>evelopment and the Sustainable Development Goals</w:t>
      </w:r>
      <w:r w:rsidRPr="00F93829">
        <w:rPr>
          <w:rFonts w:ascii="Times New Roman" w:hAnsi="Times New Roman" w:cs="Times New Roman"/>
          <w:color w:val="222222"/>
          <w:sz w:val="24"/>
          <w:szCs w:val="24"/>
          <w:shd w:val="clear" w:color="auto" w:fill="FFFFFF"/>
        </w:rPr>
        <w:t xml:space="preserve">: EU Development: From Policy </w:t>
      </w:r>
      <w:r w:rsidR="00FA3C30">
        <w:rPr>
          <w:rFonts w:ascii="Times New Roman" w:hAnsi="Times New Roman" w:cs="Times New Roman"/>
          <w:color w:val="222222"/>
          <w:sz w:val="24"/>
          <w:szCs w:val="24"/>
          <w:shd w:val="clear" w:color="auto" w:fill="FFFFFF"/>
        </w:rPr>
        <w:tab/>
      </w:r>
      <w:r w:rsidRPr="00F93829">
        <w:rPr>
          <w:rFonts w:ascii="Times New Roman" w:hAnsi="Times New Roman" w:cs="Times New Roman"/>
          <w:color w:val="222222"/>
          <w:sz w:val="24"/>
          <w:szCs w:val="24"/>
          <w:shd w:val="clear" w:color="auto" w:fill="FFFFFF"/>
        </w:rPr>
        <w:t>to Practice.</w:t>
      </w:r>
    </w:p>
    <w:p w14:paraId="76631633" w14:textId="77777777" w:rsidR="0087627D" w:rsidRPr="006C3650" w:rsidRDefault="0087627D" w:rsidP="00B732FE">
      <w:pPr>
        <w:spacing w:line="360" w:lineRule="auto"/>
        <w:jc w:val="both"/>
        <w:rPr>
          <w:rFonts w:ascii="Times New Roman" w:hAnsi="Times New Roman" w:cs="Times New Roman"/>
          <w:sz w:val="24"/>
          <w:szCs w:val="24"/>
        </w:rPr>
      </w:pPr>
      <w:r w:rsidRPr="006C3650">
        <w:rPr>
          <w:rFonts w:ascii="Times New Roman" w:hAnsi="Times New Roman" w:cs="Times New Roman"/>
          <w:sz w:val="24"/>
          <w:szCs w:val="24"/>
          <w:shd w:val="clear" w:color="auto" w:fill="FFFFFF"/>
        </w:rPr>
        <w:t xml:space="preserve">Hair, E., Halle, T., Terry-Humen, E., Lavelle, B., &amp; Calkins, J. (2006). Children's school readiness </w:t>
      </w:r>
      <w:r>
        <w:rPr>
          <w:rFonts w:ascii="Times New Roman" w:hAnsi="Times New Roman" w:cs="Times New Roman"/>
          <w:sz w:val="24"/>
          <w:szCs w:val="24"/>
          <w:shd w:val="clear" w:color="auto" w:fill="FFFFFF"/>
        </w:rPr>
        <w:tab/>
      </w:r>
      <w:r w:rsidRPr="006C3650">
        <w:rPr>
          <w:rFonts w:ascii="Times New Roman" w:hAnsi="Times New Roman" w:cs="Times New Roman"/>
          <w:sz w:val="24"/>
          <w:szCs w:val="24"/>
          <w:shd w:val="clear" w:color="auto" w:fill="FFFFFF"/>
        </w:rPr>
        <w:t xml:space="preserve">in the ECLS-K: Predictions to </w:t>
      </w:r>
      <w:r w:rsidRPr="006C3650">
        <w:rPr>
          <w:rFonts w:ascii="Times New Roman" w:hAnsi="Times New Roman" w:cs="Times New Roman"/>
          <w:sz w:val="24"/>
          <w:szCs w:val="24"/>
          <w:shd w:val="clear" w:color="auto" w:fill="FFFFFF"/>
        </w:rPr>
        <w:lastRenderedPageBreak/>
        <w:t>academic, health, and social outcomes in first grade. </w:t>
      </w:r>
      <w:r w:rsidRPr="006C3650">
        <w:rPr>
          <w:rFonts w:ascii="Times New Roman" w:hAnsi="Times New Roman" w:cs="Times New Roman"/>
          <w:i/>
          <w:iCs/>
          <w:sz w:val="24"/>
          <w:szCs w:val="24"/>
          <w:shd w:val="clear" w:color="auto" w:fill="FFFFFF"/>
        </w:rPr>
        <w:t>Early</w:t>
      </w:r>
      <w:r>
        <w:rPr>
          <w:rFonts w:ascii="Times New Roman" w:hAnsi="Times New Roman" w:cs="Times New Roman"/>
          <w:i/>
          <w:iCs/>
          <w:sz w:val="24"/>
          <w:szCs w:val="24"/>
          <w:shd w:val="clear" w:color="auto" w:fill="FFFFFF"/>
        </w:rPr>
        <w:tab/>
      </w:r>
      <w:r>
        <w:rPr>
          <w:rFonts w:ascii="Times New Roman" w:hAnsi="Times New Roman" w:cs="Times New Roman"/>
          <w:i/>
          <w:iCs/>
          <w:sz w:val="24"/>
          <w:szCs w:val="24"/>
          <w:shd w:val="clear" w:color="auto" w:fill="FFFFFF"/>
        </w:rPr>
        <w:tab/>
      </w:r>
      <w:r w:rsidRPr="006C3650">
        <w:rPr>
          <w:rFonts w:ascii="Times New Roman" w:hAnsi="Times New Roman" w:cs="Times New Roman"/>
          <w:i/>
          <w:iCs/>
          <w:sz w:val="24"/>
          <w:szCs w:val="24"/>
          <w:shd w:val="clear" w:color="auto" w:fill="FFFFFF"/>
        </w:rPr>
        <w:t xml:space="preserve"> Childhood Research Quarterly</w:t>
      </w:r>
      <w:r w:rsidRPr="006C3650">
        <w:rPr>
          <w:rFonts w:ascii="Times New Roman" w:hAnsi="Times New Roman" w:cs="Times New Roman"/>
          <w:sz w:val="24"/>
          <w:szCs w:val="24"/>
          <w:shd w:val="clear" w:color="auto" w:fill="FFFFFF"/>
        </w:rPr>
        <w:t>, </w:t>
      </w:r>
      <w:r w:rsidRPr="006C3650">
        <w:rPr>
          <w:rFonts w:ascii="Times New Roman" w:hAnsi="Times New Roman" w:cs="Times New Roman"/>
          <w:i/>
          <w:iCs/>
          <w:sz w:val="24"/>
          <w:szCs w:val="24"/>
          <w:shd w:val="clear" w:color="auto" w:fill="FFFFFF"/>
        </w:rPr>
        <w:t>21</w:t>
      </w:r>
      <w:r w:rsidRPr="006C3650">
        <w:rPr>
          <w:rFonts w:ascii="Times New Roman" w:hAnsi="Times New Roman" w:cs="Times New Roman"/>
          <w:sz w:val="24"/>
          <w:szCs w:val="24"/>
          <w:shd w:val="clear" w:color="auto" w:fill="FFFFFF"/>
        </w:rPr>
        <w:t>(4), 431-454.</w:t>
      </w:r>
    </w:p>
    <w:p w14:paraId="5257A953" w14:textId="77777777" w:rsidR="0087627D" w:rsidRPr="002F2A92" w:rsidRDefault="0087627D" w:rsidP="00B732FE">
      <w:pPr>
        <w:spacing w:line="360" w:lineRule="auto"/>
        <w:jc w:val="both"/>
        <w:rPr>
          <w:rFonts w:ascii="Times New Roman" w:eastAsia="Calibri" w:hAnsi="Times New Roman" w:cs="Times New Roman"/>
          <w:sz w:val="24"/>
          <w:szCs w:val="24"/>
        </w:rPr>
      </w:pPr>
      <w:r w:rsidRPr="002F2A92">
        <w:rPr>
          <w:rFonts w:ascii="Times New Roman" w:hAnsi="Times New Roman" w:cs="Times New Roman"/>
          <w:color w:val="222222"/>
          <w:sz w:val="24"/>
          <w:szCs w:val="24"/>
          <w:shd w:val="clear" w:color="auto" w:fill="FFFFFF"/>
        </w:rPr>
        <w:t xml:space="preserve">Irakoze, E., Gakuba, E., &amp; Karegeya, C. (2021). Effect of gender perspective towards performance </w:t>
      </w:r>
      <w:r>
        <w:rPr>
          <w:rFonts w:ascii="Times New Roman" w:hAnsi="Times New Roman" w:cs="Times New Roman"/>
          <w:color w:val="222222"/>
          <w:sz w:val="24"/>
          <w:szCs w:val="24"/>
          <w:shd w:val="clear" w:color="auto" w:fill="FFFFFF"/>
        </w:rPr>
        <w:tab/>
      </w:r>
      <w:r w:rsidRPr="002F2A92">
        <w:rPr>
          <w:rFonts w:ascii="Times New Roman" w:hAnsi="Times New Roman" w:cs="Times New Roman"/>
          <w:color w:val="222222"/>
          <w:sz w:val="24"/>
          <w:szCs w:val="24"/>
          <w:shd w:val="clear" w:color="auto" w:fill="FFFFFF"/>
        </w:rPr>
        <w:t xml:space="preserve">of chemistry education in secondary schools: Case study of three selected schools of </w:t>
      </w:r>
      <w:r>
        <w:rPr>
          <w:rFonts w:ascii="Times New Roman" w:hAnsi="Times New Roman" w:cs="Times New Roman"/>
          <w:color w:val="222222"/>
          <w:sz w:val="24"/>
          <w:szCs w:val="24"/>
          <w:shd w:val="clear" w:color="auto" w:fill="FFFFFF"/>
        </w:rPr>
        <w:tab/>
      </w:r>
      <w:r w:rsidRPr="002F2A92">
        <w:rPr>
          <w:rFonts w:ascii="Times New Roman" w:hAnsi="Times New Roman" w:cs="Times New Roman"/>
          <w:color w:val="222222"/>
          <w:sz w:val="24"/>
          <w:szCs w:val="24"/>
          <w:shd w:val="clear" w:color="auto" w:fill="FFFFFF"/>
        </w:rPr>
        <w:t>Gicumbi District in North-East of Rwanda. </w:t>
      </w:r>
      <w:r w:rsidRPr="002F2A92">
        <w:rPr>
          <w:rFonts w:ascii="Times New Roman" w:hAnsi="Times New Roman" w:cs="Times New Roman"/>
          <w:i/>
          <w:iCs/>
          <w:color w:val="222222"/>
          <w:sz w:val="24"/>
          <w:szCs w:val="24"/>
          <w:shd w:val="clear" w:color="auto" w:fill="FFFFFF"/>
        </w:rPr>
        <w:t xml:space="preserve">Journal of Research Innovation and </w:t>
      </w:r>
      <w:r>
        <w:rPr>
          <w:rFonts w:ascii="Times New Roman" w:hAnsi="Times New Roman" w:cs="Times New Roman"/>
          <w:i/>
          <w:iCs/>
          <w:color w:val="222222"/>
          <w:sz w:val="24"/>
          <w:szCs w:val="24"/>
          <w:shd w:val="clear" w:color="auto" w:fill="FFFFFF"/>
        </w:rPr>
        <w:tab/>
      </w:r>
      <w:r w:rsidRPr="002F2A92">
        <w:rPr>
          <w:rFonts w:ascii="Times New Roman" w:hAnsi="Times New Roman" w:cs="Times New Roman"/>
          <w:i/>
          <w:iCs/>
          <w:color w:val="222222"/>
          <w:sz w:val="24"/>
          <w:szCs w:val="24"/>
          <w:shd w:val="clear" w:color="auto" w:fill="FFFFFF"/>
        </w:rPr>
        <w:t>Implications in Education</w:t>
      </w:r>
      <w:r w:rsidRPr="002F2A92">
        <w:rPr>
          <w:rFonts w:ascii="Times New Roman" w:hAnsi="Times New Roman" w:cs="Times New Roman"/>
          <w:color w:val="222222"/>
          <w:sz w:val="24"/>
          <w:szCs w:val="24"/>
          <w:shd w:val="clear" w:color="auto" w:fill="FFFFFF"/>
        </w:rPr>
        <w:t>, </w:t>
      </w:r>
      <w:r w:rsidRPr="002F2A92">
        <w:rPr>
          <w:rFonts w:ascii="Times New Roman" w:hAnsi="Times New Roman" w:cs="Times New Roman"/>
          <w:i/>
          <w:iCs/>
          <w:color w:val="222222"/>
          <w:sz w:val="24"/>
          <w:szCs w:val="24"/>
          <w:shd w:val="clear" w:color="auto" w:fill="FFFFFF"/>
        </w:rPr>
        <w:t>5</w:t>
      </w:r>
      <w:r w:rsidRPr="002F2A92">
        <w:rPr>
          <w:rFonts w:ascii="Times New Roman" w:hAnsi="Times New Roman" w:cs="Times New Roman"/>
          <w:color w:val="222222"/>
          <w:sz w:val="24"/>
          <w:szCs w:val="24"/>
          <w:shd w:val="clear" w:color="auto" w:fill="FFFFFF"/>
        </w:rPr>
        <w:t>(3), 15-25.</w:t>
      </w:r>
    </w:p>
    <w:p w14:paraId="0807A64E" w14:textId="77777777" w:rsidR="0087627D" w:rsidRPr="005D2D54" w:rsidRDefault="0087627D" w:rsidP="00B732FE">
      <w:pPr>
        <w:spacing w:line="360" w:lineRule="auto"/>
        <w:jc w:val="both"/>
        <w:rPr>
          <w:rFonts w:ascii="Times New Roman" w:eastAsia="Calibri" w:hAnsi="Times New Roman" w:cs="Times New Roman"/>
          <w:sz w:val="24"/>
          <w:szCs w:val="24"/>
        </w:rPr>
      </w:pPr>
      <w:r w:rsidRPr="005D2D54">
        <w:rPr>
          <w:rFonts w:ascii="Times New Roman" w:hAnsi="Times New Roman" w:cs="Times New Roman"/>
          <w:color w:val="222222"/>
          <w:sz w:val="24"/>
          <w:szCs w:val="24"/>
          <w:shd w:val="clear" w:color="auto" w:fill="FFFFFF"/>
        </w:rPr>
        <w:t>Johnson, J. A. (2022). </w:t>
      </w:r>
      <w:r w:rsidRPr="005D2D54">
        <w:rPr>
          <w:rFonts w:ascii="Times New Roman" w:hAnsi="Times New Roman" w:cs="Times New Roman"/>
          <w:i/>
          <w:iCs/>
          <w:color w:val="222222"/>
          <w:sz w:val="24"/>
          <w:szCs w:val="24"/>
          <w:shd w:val="clear" w:color="auto" w:fill="FFFFFF"/>
        </w:rPr>
        <w:t>The role of the principal in promoting positive teacher-student relationships</w:t>
      </w:r>
      <w:r>
        <w:rPr>
          <w:rFonts w:ascii="Times New Roman" w:hAnsi="Times New Roman" w:cs="Times New Roman"/>
          <w:i/>
          <w:iCs/>
          <w:color w:val="222222"/>
          <w:sz w:val="24"/>
          <w:szCs w:val="24"/>
          <w:shd w:val="clear" w:color="auto" w:fill="FFFFFF"/>
        </w:rPr>
        <w:tab/>
      </w:r>
      <w:r w:rsidRPr="005D2D54">
        <w:rPr>
          <w:rFonts w:ascii="Times New Roman" w:hAnsi="Times New Roman" w:cs="Times New Roman"/>
          <w:i/>
          <w:iCs/>
          <w:color w:val="222222"/>
          <w:sz w:val="24"/>
          <w:szCs w:val="24"/>
          <w:shd w:val="clear" w:color="auto" w:fill="FFFFFF"/>
        </w:rPr>
        <w:t xml:space="preserve"> as a component of a positive school climate</w:t>
      </w:r>
      <w:r w:rsidRPr="005D2D54">
        <w:rPr>
          <w:rFonts w:ascii="Times New Roman" w:hAnsi="Times New Roman" w:cs="Times New Roman"/>
          <w:color w:val="222222"/>
          <w:sz w:val="24"/>
          <w:szCs w:val="24"/>
          <w:shd w:val="clear" w:color="auto" w:fill="FFFFFF"/>
        </w:rPr>
        <w:t>. The George Washington University.</w:t>
      </w:r>
      <w:r w:rsidRPr="005D2D54">
        <w:rPr>
          <w:rFonts w:ascii="Times New Roman" w:eastAsia="Calibri" w:hAnsi="Times New Roman" w:cs="Times New Roman"/>
          <w:sz w:val="24"/>
          <w:szCs w:val="24"/>
        </w:rPr>
        <w:t xml:space="preserve"> </w:t>
      </w:r>
    </w:p>
    <w:p w14:paraId="2883A6F3" w14:textId="77777777" w:rsidR="0087627D" w:rsidRPr="00C02E37" w:rsidRDefault="0087627D" w:rsidP="00B732FE">
      <w:pPr>
        <w:spacing w:line="360" w:lineRule="auto"/>
        <w:jc w:val="both"/>
        <w:rPr>
          <w:rFonts w:ascii="Times New Roman" w:eastAsia="Calibri" w:hAnsi="Times New Roman" w:cs="Times New Roman"/>
          <w:i/>
          <w:sz w:val="24"/>
          <w:szCs w:val="24"/>
        </w:rPr>
      </w:pPr>
      <w:r w:rsidRPr="00C02E37">
        <w:rPr>
          <w:rFonts w:ascii="Times New Roman" w:hAnsi="Times New Roman" w:cs="Times New Roman"/>
          <w:color w:val="222222"/>
          <w:sz w:val="24"/>
          <w:szCs w:val="24"/>
          <w:shd w:val="clear" w:color="auto" w:fill="FFFFFF"/>
        </w:rPr>
        <w:t xml:space="preserve">Lee, L., &amp; Chang, H. Y. (2021). Music technology as a means for fostering young children’s social </w:t>
      </w:r>
      <w:r>
        <w:rPr>
          <w:rFonts w:ascii="Times New Roman" w:hAnsi="Times New Roman" w:cs="Times New Roman"/>
          <w:color w:val="222222"/>
          <w:sz w:val="24"/>
          <w:szCs w:val="24"/>
          <w:shd w:val="clear" w:color="auto" w:fill="FFFFFF"/>
        </w:rPr>
        <w:tab/>
      </w:r>
      <w:r w:rsidRPr="00C02E37">
        <w:rPr>
          <w:rFonts w:ascii="Times New Roman" w:hAnsi="Times New Roman" w:cs="Times New Roman"/>
          <w:color w:val="222222"/>
          <w:sz w:val="24"/>
          <w:szCs w:val="24"/>
          <w:shd w:val="clear" w:color="auto" w:fill="FFFFFF"/>
        </w:rPr>
        <w:t xml:space="preserve">interactions in an </w:t>
      </w:r>
      <w:r w:rsidRPr="00C02E37">
        <w:rPr>
          <w:rFonts w:ascii="Times New Roman" w:hAnsi="Times New Roman" w:cs="Times New Roman"/>
          <w:color w:val="222222"/>
          <w:sz w:val="24"/>
          <w:szCs w:val="24"/>
          <w:shd w:val="clear" w:color="auto" w:fill="FFFFFF"/>
        </w:rPr>
        <w:lastRenderedPageBreak/>
        <w:t>inclusive class. </w:t>
      </w:r>
      <w:r w:rsidRPr="00C02E37">
        <w:rPr>
          <w:rFonts w:ascii="Times New Roman" w:hAnsi="Times New Roman" w:cs="Times New Roman"/>
          <w:i/>
          <w:iCs/>
          <w:color w:val="222222"/>
          <w:sz w:val="24"/>
          <w:szCs w:val="24"/>
          <w:shd w:val="clear" w:color="auto" w:fill="FFFFFF"/>
        </w:rPr>
        <w:t>Applied System Innovation</w:t>
      </w:r>
      <w:r w:rsidRPr="00C02E37">
        <w:rPr>
          <w:rFonts w:ascii="Times New Roman" w:hAnsi="Times New Roman" w:cs="Times New Roman"/>
          <w:color w:val="222222"/>
          <w:sz w:val="24"/>
          <w:szCs w:val="24"/>
          <w:shd w:val="clear" w:color="auto" w:fill="FFFFFF"/>
        </w:rPr>
        <w:t>, </w:t>
      </w:r>
      <w:r w:rsidRPr="00C02E37">
        <w:rPr>
          <w:rFonts w:ascii="Times New Roman" w:hAnsi="Times New Roman" w:cs="Times New Roman"/>
          <w:i/>
          <w:iCs/>
          <w:color w:val="222222"/>
          <w:sz w:val="24"/>
          <w:szCs w:val="24"/>
          <w:shd w:val="clear" w:color="auto" w:fill="FFFFFF"/>
        </w:rPr>
        <w:t>4</w:t>
      </w:r>
      <w:r w:rsidRPr="00C02E37">
        <w:rPr>
          <w:rFonts w:ascii="Times New Roman" w:hAnsi="Times New Roman" w:cs="Times New Roman"/>
          <w:color w:val="222222"/>
          <w:sz w:val="24"/>
          <w:szCs w:val="24"/>
          <w:shd w:val="clear" w:color="auto" w:fill="FFFFFF"/>
        </w:rPr>
        <w:t>(4), 93.</w:t>
      </w:r>
    </w:p>
    <w:p w14:paraId="5DA87CFC" w14:textId="77777777" w:rsidR="0087627D" w:rsidRPr="000C1820" w:rsidRDefault="0087627D" w:rsidP="00B732FE">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MINEDUC (2019</w:t>
      </w:r>
      <w:r w:rsidRPr="000C1820">
        <w:rPr>
          <w:rFonts w:ascii="Times New Roman" w:eastAsia="Calibri" w:hAnsi="Times New Roman" w:cs="Times New Roman"/>
          <w:sz w:val="24"/>
          <w:szCs w:val="24"/>
        </w:rPr>
        <w:t xml:space="preserve">). </w:t>
      </w:r>
      <w:r w:rsidRPr="000C1820">
        <w:rPr>
          <w:rFonts w:ascii="Times New Roman" w:eastAsia="Calibri" w:hAnsi="Times New Roman" w:cs="Times New Roman"/>
          <w:i/>
          <w:sz w:val="24"/>
          <w:szCs w:val="24"/>
        </w:rPr>
        <w:t xml:space="preserve">Quality Standards in Education for Nursery, Primary, and Secondary schools </w:t>
      </w:r>
      <w:r>
        <w:rPr>
          <w:rFonts w:ascii="Times New Roman" w:eastAsia="Calibri" w:hAnsi="Times New Roman" w:cs="Times New Roman"/>
          <w:i/>
          <w:sz w:val="24"/>
          <w:szCs w:val="24"/>
        </w:rPr>
        <w:tab/>
      </w:r>
      <w:r w:rsidRPr="000C1820">
        <w:rPr>
          <w:rFonts w:ascii="Times New Roman" w:eastAsia="Calibri" w:hAnsi="Times New Roman" w:cs="Times New Roman"/>
          <w:i/>
          <w:sz w:val="24"/>
          <w:szCs w:val="24"/>
        </w:rPr>
        <w:t>in Rwanda, Kigali.</w:t>
      </w:r>
    </w:p>
    <w:p w14:paraId="6839E86A" w14:textId="77777777" w:rsidR="00F53B08" w:rsidRDefault="00956583" w:rsidP="00B732FE">
      <w:pPr>
        <w:spacing w:line="360" w:lineRule="auto"/>
        <w:contextualSpacing/>
        <w:jc w:val="both"/>
        <w:rPr>
          <w:rFonts w:ascii="Times New Roman" w:eastAsia="Calibri" w:hAnsi="Times New Roman" w:cs="Times New Roman"/>
          <w:sz w:val="24"/>
          <w:szCs w:val="24"/>
        </w:rPr>
      </w:pPr>
      <w:r w:rsidRPr="00956583">
        <w:rPr>
          <w:rFonts w:ascii="Times New Roman" w:eastAsia="Calibri" w:hAnsi="Times New Roman" w:cs="Times New Roman"/>
          <w:sz w:val="24"/>
          <w:szCs w:val="24"/>
        </w:rPr>
        <w:t>Moyi, P. (2020). Barriers to gender equality in education in sub-Saharan Africa: Cultural values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56583">
        <w:rPr>
          <w:rFonts w:ascii="Times New Roman" w:eastAsia="Calibri" w:hAnsi="Times New Roman" w:cs="Times New Roman"/>
          <w:sz w:val="24"/>
          <w:szCs w:val="24"/>
        </w:rPr>
        <w:t xml:space="preserve"> and socio-economic factors. </w:t>
      </w:r>
      <w:r w:rsidRPr="00956583">
        <w:rPr>
          <w:rFonts w:ascii="Times New Roman" w:eastAsia="Calibri" w:hAnsi="Times New Roman" w:cs="Times New Roman"/>
          <w:i/>
          <w:sz w:val="24"/>
          <w:szCs w:val="24"/>
        </w:rPr>
        <w:t>Journal of Education and Development</w:t>
      </w:r>
      <w:r w:rsidRPr="00956583">
        <w:rPr>
          <w:rFonts w:ascii="Times New Roman" w:eastAsia="Calibri" w:hAnsi="Times New Roman" w:cs="Times New Roman"/>
          <w:sz w:val="24"/>
          <w:szCs w:val="24"/>
        </w:rPr>
        <w:t>, 45(3), 215-230.</w:t>
      </w:r>
    </w:p>
    <w:p w14:paraId="23CFBF0B" w14:textId="2C67B727" w:rsidR="00956583" w:rsidRPr="00D63851" w:rsidRDefault="00D63851" w:rsidP="00D63851">
      <w:pPr>
        <w:spacing w:line="360" w:lineRule="auto"/>
        <w:contextualSpacing/>
        <w:jc w:val="both"/>
        <w:rPr>
          <w:rFonts w:ascii="Times New Roman" w:eastAsia="Calibri" w:hAnsi="Times New Roman" w:cs="Times New Roman"/>
          <w:sz w:val="24"/>
        </w:rPr>
      </w:pPr>
      <w:r w:rsidRPr="00D63851">
        <w:rPr>
          <w:rFonts w:ascii="Times New Roman" w:eastAsia="Calibri" w:hAnsi="Times New Roman" w:cs="Times New Roman"/>
          <w:color w:val="222222"/>
          <w:sz w:val="24"/>
          <w:szCs w:val="24"/>
          <w:shd w:val="clear" w:color="auto" w:fill="FFFFFF"/>
        </w:rPr>
        <w:t>Nassar, R., Mastrogiacomo, J. P., Bateman-Hemphill, W., McCracken, C., MacDonald, C. G.,</w:t>
      </w:r>
      <w:r w:rsidRPr="00D63851">
        <w:rPr>
          <w:rFonts w:ascii="Times New Roman" w:eastAsia="Calibri" w:hAnsi="Times New Roman" w:cs="Times New Roman"/>
          <w:color w:val="222222"/>
          <w:sz w:val="24"/>
          <w:szCs w:val="24"/>
          <w:shd w:val="clear" w:color="auto" w:fill="FFFFFF"/>
        </w:rPr>
        <w:tab/>
        <w:t xml:space="preserve">Hill, T.&amp; Crisp, D. (2021). Advances in quantifying power plant CO2 emissions with </w:t>
      </w:r>
      <w:r w:rsidRPr="00D63851">
        <w:rPr>
          <w:rFonts w:ascii="Times New Roman" w:eastAsia="Calibri" w:hAnsi="Times New Roman" w:cs="Times New Roman"/>
          <w:color w:val="222222"/>
          <w:sz w:val="24"/>
          <w:szCs w:val="24"/>
          <w:shd w:val="clear" w:color="auto" w:fill="FFFFFF"/>
        </w:rPr>
        <w:tab/>
        <w:t>OCO-2. </w:t>
      </w:r>
      <w:r w:rsidRPr="00D63851">
        <w:rPr>
          <w:rFonts w:ascii="Times New Roman" w:eastAsia="Calibri" w:hAnsi="Times New Roman" w:cs="Times New Roman"/>
          <w:i/>
          <w:iCs/>
          <w:color w:val="222222"/>
          <w:sz w:val="24"/>
          <w:szCs w:val="24"/>
          <w:shd w:val="clear" w:color="auto" w:fill="FFFFFF"/>
        </w:rPr>
        <w:t>Remote Sensing of Environment</w:t>
      </w:r>
      <w:r w:rsidRPr="00D63851">
        <w:rPr>
          <w:rFonts w:ascii="Times New Roman" w:eastAsia="Calibri" w:hAnsi="Times New Roman" w:cs="Times New Roman"/>
          <w:color w:val="222222"/>
          <w:sz w:val="24"/>
          <w:szCs w:val="24"/>
          <w:shd w:val="clear" w:color="auto" w:fill="FFFFFF"/>
        </w:rPr>
        <w:t>, </w:t>
      </w:r>
      <w:r w:rsidRPr="00D63851">
        <w:rPr>
          <w:rFonts w:ascii="Times New Roman" w:eastAsia="Calibri" w:hAnsi="Times New Roman" w:cs="Times New Roman"/>
          <w:i/>
          <w:iCs/>
          <w:color w:val="222222"/>
          <w:sz w:val="24"/>
          <w:szCs w:val="24"/>
          <w:shd w:val="clear" w:color="auto" w:fill="FFFFFF"/>
        </w:rPr>
        <w:t>264</w:t>
      </w:r>
      <w:r w:rsidRPr="00D63851">
        <w:rPr>
          <w:rFonts w:ascii="Times New Roman" w:eastAsia="Calibri" w:hAnsi="Times New Roman" w:cs="Times New Roman"/>
          <w:color w:val="222222"/>
          <w:sz w:val="24"/>
          <w:szCs w:val="24"/>
          <w:shd w:val="clear" w:color="auto" w:fill="FFFFFF"/>
        </w:rPr>
        <w:t>, 112579.</w:t>
      </w:r>
      <w:r w:rsidR="0025695A" w:rsidRPr="00D63851">
        <w:rPr>
          <w:rFonts w:ascii="Times New Roman" w:eastAsia="Calibri" w:hAnsi="Times New Roman" w:cs="Times New Roman"/>
          <w:sz w:val="24"/>
          <w:szCs w:val="24"/>
        </w:rPr>
        <w:tab/>
      </w:r>
    </w:p>
    <w:p w14:paraId="73E0C742" w14:textId="50E8D805" w:rsidR="0087627D" w:rsidRDefault="0087627D" w:rsidP="00B732FE">
      <w:pPr>
        <w:spacing w:line="360" w:lineRule="auto"/>
        <w:contextualSpacing/>
        <w:jc w:val="both"/>
        <w:rPr>
          <w:rFonts w:ascii="Times New Roman" w:hAnsi="Times New Roman" w:cs="Times New Roman"/>
          <w:color w:val="222222"/>
          <w:sz w:val="24"/>
          <w:szCs w:val="24"/>
          <w:shd w:val="clear" w:color="auto" w:fill="FFFFFF"/>
        </w:rPr>
      </w:pPr>
      <w:r w:rsidRPr="00C10172">
        <w:rPr>
          <w:rFonts w:ascii="Times New Roman" w:hAnsi="Times New Roman" w:cs="Times New Roman"/>
          <w:color w:val="222222"/>
          <w:sz w:val="24"/>
          <w:szCs w:val="24"/>
          <w:shd w:val="clear" w:color="auto" w:fill="FFFFFF"/>
        </w:rPr>
        <w:t xml:space="preserve">Niyonasenze, S., Nzabalirwa, W., &amp; Nizeyimana, G. (2024). Building trainer competencies and </w:t>
      </w:r>
      <w:r>
        <w:rPr>
          <w:rFonts w:ascii="Times New Roman" w:hAnsi="Times New Roman" w:cs="Times New Roman"/>
          <w:color w:val="222222"/>
          <w:sz w:val="24"/>
          <w:szCs w:val="24"/>
          <w:shd w:val="clear" w:color="auto" w:fill="FFFFFF"/>
        </w:rPr>
        <w:tab/>
      </w:r>
      <w:r w:rsidRPr="00C10172">
        <w:rPr>
          <w:rFonts w:ascii="Times New Roman" w:hAnsi="Times New Roman" w:cs="Times New Roman"/>
          <w:color w:val="222222"/>
          <w:sz w:val="24"/>
          <w:szCs w:val="24"/>
          <w:shd w:val="clear" w:color="auto" w:fill="FFFFFF"/>
        </w:rPr>
        <w:t xml:space="preserve">skills for quality training delivery in </w:t>
      </w:r>
      <w:r w:rsidR="00FA3C30">
        <w:rPr>
          <w:rFonts w:ascii="Times New Roman" w:hAnsi="Times New Roman" w:cs="Times New Roman"/>
          <w:color w:val="222222"/>
          <w:sz w:val="24"/>
          <w:szCs w:val="24"/>
          <w:shd w:val="clear" w:color="auto" w:fill="FFFFFF"/>
        </w:rPr>
        <w:t>TVET</w:t>
      </w:r>
      <w:r w:rsidRPr="00C10172">
        <w:rPr>
          <w:rFonts w:ascii="Times New Roman" w:hAnsi="Times New Roman" w:cs="Times New Roman"/>
          <w:color w:val="222222"/>
          <w:sz w:val="24"/>
          <w:szCs w:val="24"/>
          <w:shd w:val="clear" w:color="auto" w:fill="FFFFFF"/>
        </w:rPr>
        <w:t xml:space="preserve"> schools, Rwanda. </w:t>
      </w:r>
      <w:r w:rsidRPr="00C10172">
        <w:rPr>
          <w:rFonts w:ascii="Times New Roman" w:hAnsi="Times New Roman" w:cs="Times New Roman"/>
          <w:i/>
          <w:iCs/>
          <w:color w:val="222222"/>
          <w:sz w:val="24"/>
          <w:szCs w:val="24"/>
          <w:shd w:val="clear" w:color="auto" w:fill="FFFFFF"/>
        </w:rPr>
        <w:t xml:space="preserve">Advances in Physical </w:t>
      </w:r>
      <w:r>
        <w:rPr>
          <w:rFonts w:ascii="Times New Roman" w:hAnsi="Times New Roman" w:cs="Times New Roman"/>
          <w:i/>
          <w:iCs/>
          <w:color w:val="222222"/>
          <w:sz w:val="24"/>
          <w:szCs w:val="24"/>
          <w:shd w:val="clear" w:color="auto" w:fill="FFFFFF"/>
        </w:rPr>
        <w:tab/>
      </w:r>
      <w:r w:rsidRPr="00C10172">
        <w:rPr>
          <w:rFonts w:ascii="Times New Roman" w:hAnsi="Times New Roman" w:cs="Times New Roman"/>
          <w:i/>
          <w:iCs/>
          <w:color w:val="222222"/>
          <w:sz w:val="24"/>
          <w:szCs w:val="24"/>
          <w:shd w:val="clear" w:color="auto" w:fill="FFFFFF"/>
        </w:rPr>
        <w:t>Education</w:t>
      </w:r>
      <w:r w:rsidRPr="00C10172">
        <w:rPr>
          <w:rFonts w:ascii="Times New Roman" w:hAnsi="Times New Roman" w:cs="Times New Roman"/>
          <w:color w:val="222222"/>
          <w:sz w:val="24"/>
          <w:szCs w:val="24"/>
          <w:shd w:val="clear" w:color="auto" w:fill="FFFFFF"/>
        </w:rPr>
        <w:t>, </w:t>
      </w:r>
      <w:r w:rsidRPr="00C10172">
        <w:rPr>
          <w:rFonts w:ascii="Times New Roman" w:hAnsi="Times New Roman" w:cs="Times New Roman"/>
          <w:i/>
          <w:iCs/>
          <w:color w:val="222222"/>
          <w:sz w:val="24"/>
          <w:szCs w:val="24"/>
          <w:shd w:val="clear" w:color="auto" w:fill="FFFFFF"/>
        </w:rPr>
        <w:t>14</w:t>
      </w:r>
      <w:r w:rsidRPr="00C10172">
        <w:rPr>
          <w:rFonts w:ascii="Times New Roman" w:hAnsi="Times New Roman" w:cs="Times New Roman"/>
          <w:color w:val="222222"/>
          <w:sz w:val="24"/>
          <w:szCs w:val="24"/>
          <w:shd w:val="clear" w:color="auto" w:fill="FFFFFF"/>
        </w:rPr>
        <w:t>(3), 94-118.</w:t>
      </w:r>
    </w:p>
    <w:p w14:paraId="11492D02" w14:textId="77777777" w:rsidR="00956583" w:rsidRPr="0025695A" w:rsidRDefault="0025695A" w:rsidP="00B732FE">
      <w:pPr>
        <w:spacing w:line="360" w:lineRule="auto"/>
        <w:jc w:val="both"/>
        <w:rPr>
          <w:rFonts w:ascii="Times New Roman" w:hAnsi="Times New Roman" w:cs="Times New Roman"/>
          <w:color w:val="222222"/>
          <w:sz w:val="24"/>
          <w:szCs w:val="24"/>
          <w:shd w:val="clear" w:color="auto" w:fill="FFFFFF"/>
        </w:rPr>
      </w:pPr>
      <w:r w:rsidRPr="00956583">
        <w:rPr>
          <w:rFonts w:ascii="Times New Roman" w:eastAsia="Calibri" w:hAnsi="Times New Roman" w:cs="Times New Roman"/>
          <w:sz w:val="24"/>
          <w:szCs w:val="24"/>
        </w:rPr>
        <w:t xml:space="preserve">Niyonzima, E., &amp; Bayu, E. K. (2023). </w:t>
      </w:r>
      <w:r w:rsidR="0087627D" w:rsidRPr="00C02E37">
        <w:rPr>
          <w:rFonts w:ascii="Times New Roman" w:hAnsi="Times New Roman" w:cs="Times New Roman"/>
          <w:color w:val="222222"/>
          <w:sz w:val="24"/>
          <w:szCs w:val="24"/>
          <w:shd w:val="clear" w:color="auto" w:fill="FFFFFF"/>
        </w:rPr>
        <w:t xml:space="preserve">Assessing </w:t>
      </w:r>
      <w:r w:rsidR="0087627D">
        <w:rPr>
          <w:rFonts w:ascii="Times New Roman" w:hAnsi="Times New Roman" w:cs="Times New Roman"/>
          <w:color w:val="222222"/>
          <w:sz w:val="24"/>
          <w:szCs w:val="24"/>
          <w:shd w:val="clear" w:color="auto" w:fill="FFFFFF"/>
        </w:rPr>
        <w:t>the contributions of R</w:t>
      </w:r>
      <w:r w:rsidR="0087627D" w:rsidRPr="00C02E37">
        <w:rPr>
          <w:rFonts w:ascii="Times New Roman" w:hAnsi="Times New Roman" w:cs="Times New Roman"/>
          <w:color w:val="222222"/>
          <w:sz w:val="24"/>
          <w:szCs w:val="24"/>
          <w:shd w:val="clear" w:color="auto" w:fill="FFFFFF"/>
        </w:rPr>
        <w:t xml:space="preserve">wanda gender equality </w:t>
      </w:r>
      <w:r>
        <w:rPr>
          <w:rFonts w:ascii="Times New Roman" w:hAnsi="Times New Roman" w:cs="Times New Roman"/>
          <w:color w:val="222222"/>
          <w:sz w:val="24"/>
          <w:szCs w:val="24"/>
          <w:shd w:val="clear" w:color="auto" w:fill="FFFFFF"/>
        </w:rPr>
        <w:tab/>
      </w:r>
      <w:r w:rsidR="0087627D" w:rsidRPr="00C02E37">
        <w:rPr>
          <w:rFonts w:ascii="Times New Roman" w:hAnsi="Times New Roman" w:cs="Times New Roman"/>
          <w:color w:val="222222"/>
          <w:sz w:val="24"/>
          <w:szCs w:val="24"/>
          <w:shd w:val="clear" w:color="auto" w:fill="FFFFFF"/>
        </w:rPr>
        <w:t xml:space="preserve">policies to </w:t>
      </w:r>
      <w:r w:rsidR="0087627D">
        <w:rPr>
          <w:rFonts w:ascii="Times New Roman" w:hAnsi="Times New Roman" w:cs="Times New Roman"/>
          <w:color w:val="222222"/>
          <w:sz w:val="24"/>
          <w:szCs w:val="24"/>
          <w:shd w:val="clear" w:color="auto" w:fill="FFFFFF"/>
        </w:rPr>
        <w:tab/>
      </w:r>
      <w:r w:rsidR="0087627D" w:rsidRPr="00C02E37">
        <w:rPr>
          <w:rFonts w:ascii="Times New Roman" w:hAnsi="Times New Roman" w:cs="Times New Roman"/>
          <w:color w:val="222222"/>
          <w:sz w:val="24"/>
          <w:szCs w:val="24"/>
          <w:shd w:val="clear" w:color="auto" w:fill="FFFFFF"/>
        </w:rPr>
        <w:t>the women empowerment in Rwanda. </w:t>
      </w:r>
      <w:r w:rsidR="0087627D" w:rsidRPr="00C02E37">
        <w:rPr>
          <w:rFonts w:ascii="Times New Roman" w:hAnsi="Times New Roman" w:cs="Times New Roman"/>
          <w:i/>
          <w:iCs/>
          <w:color w:val="222222"/>
          <w:sz w:val="24"/>
          <w:szCs w:val="24"/>
          <w:shd w:val="clear" w:color="auto" w:fill="FFFFFF"/>
        </w:rPr>
        <w:t xml:space="preserve">American Journal of Development </w:t>
      </w:r>
      <w:r>
        <w:rPr>
          <w:rFonts w:ascii="Times New Roman" w:hAnsi="Times New Roman" w:cs="Times New Roman"/>
          <w:i/>
          <w:iCs/>
          <w:color w:val="222222"/>
          <w:sz w:val="24"/>
          <w:szCs w:val="24"/>
          <w:shd w:val="clear" w:color="auto" w:fill="FFFFFF"/>
        </w:rPr>
        <w:tab/>
      </w:r>
      <w:r w:rsidR="0087627D" w:rsidRPr="00C02E37">
        <w:rPr>
          <w:rFonts w:ascii="Times New Roman" w:hAnsi="Times New Roman" w:cs="Times New Roman"/>
          <w:i/>
          <w:iCs/>
          <w:color w:val="222222"/>
          <w:sz w:val="24"/>
          <w:szCs w:val="24"/>
          <w:shd w:val="clear" w:color="auto" w:fill="FFFFFF"/>
        </w:rPr>
        <w:t>Studies</w:t>
      </w:r>
      <w:r w:rsidR="0087627D" w:rsidRPr="00C02E37">
        <w:rPr>
          <w:rFonts w:ascii="Times New Roman" w:hAnsi="Times New Roman" w:cs="Times New Roman"/>
          <w:color w:val="222222"/>
          <w:sz w:val="24"/>
          <w:szCs w:val="24"/>
          <w:shd w:val="clear" w:color="auto" w:fill="FFFFFF"/>
        </w:rPr>
        <w:t>, </w:t>
      </w:r>
      <w:r w:rsidR="0087627D" w:rsidRPr="00C02E37">
        <w:rPr>
          <w:rFonts w:ascii="Times New Roman" w:hAnsi="Times New Roman" w:cs="Times New Roman"/>
          <w:i/>
          <w:iCs/>
          <w:color w:val="222222"/>
          <w:sz w:val="24"/>
          <w:szCs w:val="24"/>
          <w:shd w:val="clear" w:color="auto" w:fill="FFFFFF"/>
        </w:rPr>
        <w:t>1</w:t>
      </w:r>
      <w:r w:rsidR="0087627D" w:rsidRPr="00C02E37">
        <w:rPr>
          <w:rFonts w:ascii="Times New Roman" w:hAnsi="Times New Roman" w:cs="Times New Roman"/>
          <w:color w:val="222222"/>
          <w:sz w:val="24"/>
          <w:szCs w:val="24"/>
          <w:shd w:val="clear" w:color="auto" w:fill="FFFFFF"/>
        </w:rPr>
        <w:t>(2), 27-37.</w:t>
      </w:r>
    </w:p>
    <w:p w14:paraId="3F506D49" w14:textId="77777777" w:rsidR="0087627D" w:rsidRDefault="0087627D" w:rsidP="00B732FE">
      <w:pPr>
        <w:spacing w:line="360" w:lineRule="auto"/>
        <w:contextualSpacing/>
        <w:jc w:val="both"/>
        <w:rPr>
          <w:rFonts w:ascii="Times New Roman" w:eastAsia="Calibri" w:hAnsi="Times New Roman" w:cs="Times New Roman"/>
          <w:sz w:val="24"/>
        </w:rPr>
      </w:pPr>
      <w:r w:rsidRPr="00C10172">
        <w:rPr>
          <w:rFonts w:ascii="Times New Roman" w:eastAsia="Calibri" w:hAnsi="Times New Roman" w:cs="Times New Roman"/>
          <w:sz w:val="24"/>
        </w:rPr>
        <w:t xml:space="preserve">Nyiransabimana, V., &amp; Jarbandhan, D. (2024). </w:t>
      </w:r>
      <w:r w:rsidRPr="00016A46">
        <w:rPr>
          <w:rFonts w:ascii="Times New Roman" w:eastAsia="Calibri" w:hAnsi="Times New Roman" w:cs="Times New Roman"/>
          <w:sz w:val="24"/>
        </w:rPr>
        <w:t xml:space="preserve">Key socio-economic and cultural </w:t>
      </w:r>
      <w:r w:rsidRPr="00016A46">
        <w:rPr>
          <w:rFonts w:ascii="Times New Roman" w:eastAsia="Calibri" w:hAnsi="Times New Roman" w:cs="Times New Roman"/>
          <w:sz w:val="24"/>
        </w:rPr>
        <w:lastRenderedPageBreak/>
        <w:t xml:space="preserve">determinants </w:t>
      </w:r>
      <w:r>
        <w:rPr>
          <w:rFonts w:ascii="Times New Roman" w:eastAsia="Calibri" w:hAnsi="Times New Roman" w:cs="Times New Roman"/>
          <w:sz w:val="24"/>
        </w:rPr>
        <w:tab/>
      </w:r>
      <w:r w:rsidRPr="00016A46">
        <w:rPr>
          <w:rFonts w:ascii="Times New Roman" w:eastAsia="Calibri" w:hAnsi="Times New Roman" w:cs="Times New Roman"/>
          <w:sz w:val="24"/>
        </w:rPr>
        <w:t xml:space="preserve">influencing gender inequality in education in developing countries with reference to the </w:t>
      </w:r>
      <w:r>
        <w:rPr>
          <w:rFonts w:ascii="Times New Roman" w:eastAsia="Calibri" w:hAnsi="Times New Roman" w:cs="Times New Roman"/>
          <w:sz w:val="24"/>
        </w:rPr>
        <w:tab/>
      </w:r>
      <w:r w:rsidRPr="00016A46">
        <w:rPr>
          <w:rFonts w:ascii="Times New Roman" w:eastAsia="Calibri" w:hAnsi="Times New Roman" w:cs="Times New Roman"/>
          <w:sz w:val="24"/>
        </w:rPr>
        <w:t>case of Rwanda</w:t>
      </w:r>
      <w:r w:rsidRPr="00C10172">
        <w:rPr>
          <w:rFonts w:ascii="Times New Roman" w:eastAsia="Calibri" w:hAnsi="Times New Roman" w:cs="Times New Roman"/>
          <w:sz w:val="24"/>
        </w:rPr>
        <w:t xml:space="preserve">. </w:t>
      </w:r>
      <w:r w:rsidRPr="00016A46">
        <w:rPr>
          <w:rFonts w:ascii="Times New Roman" w:hAnsi="Times New Roman" w:cs="Times New Roman"/>
          <w:i/>
          <w:iCs/>
          <w:color w:val="222222"/>
          <w:sz w:val="24"/>
          <w:szCs w:val="24"/>
          <w:shd w:val="clear" w:color="auto" w:fill="FFFFFF"/>
        </w:rPr>
        <w:t>Administratio Publica</w:t>
      </w:r>
      <w:r w:rsidRPr="00016A46">
        <w:rPr>
          <w:rFonts w:ascii="Times New Roman" w:hAnsi="Times New Roman" w:cs="Times New Roman"/>
          <w:color w:val="222222"/>
          <w:sz w:val="24"/>
          <w:szCs w:val="24"/>
          <w:shd w:val="clear" w:color="auto" w:fill="FFFFFF"/>
        </w:rPr>
        <w:t>, </w:t>
      </w:r>
      <w:r w:rsidRPr="00016A46">
        <w:rPr>
          <w:rFonts w:ascii="Times New Roman" w:hAnsi="Times New Roman" w:cs="Times New Roman"/>
          <w:i/>
          <w:iCs/>
          <w:color w:val="222222"/>
          <w:sz w:val="24"/>
          <w:szCs w:val="24"/>
          <w:shd w:val="clear" w:color="auto" w:fill="FFFFFF"/>
        </w:rPr>
        <w:t>32</w:t>
      </w:r>
      <w:r w:rsidRPr="00016A46">
        <w:rPr>
          <w:rFonts w:ascii="Times New Roman" w:hAnsi="Times New Roman" w:cs="Times New Roman"/>
          <w:color w:val="222222"/>
          <w:sz w:val="24"/>
          <w:szCs w:val="24"/>
          <w:shd w:val="clear" w:color="auto" w:fill="FFFFFF"/>
        </w:rPr>
        <w:t>(1), 174-204</w:t>
      </w:r>
      <w:r>
        <w:rPr>
          <w:rFonts w:ascii="Arial" w:hAnsi="Arial" w:cs="Arial"/>
          <w:color w:val="222222"/>
          <w:sz w:val="20"/>
          <w:szCs w:val="20"/>
          <w:shd w:val="clear" w:color="auto" w:fill="FFFFFF"/>
        </w:rPr>
        <w:t>.</w:t>
      </w:r>
    </w:p>
    <w:p w14:paraId="0B7D4EE8" w14:textId="77777777" w:rsidR="0087627D" w:rsidRPr="00113A16" w:rsidRDefault="0087627D" w:rsidP="00B732FE">
      <w:pPr>
        <w:spacing w:line="360" w:lineRule="auto"/>
        <w:jc w:val="both"/>
        <w:rPr>
          <w:rFonts w:ascii="Times New Roman" w:eastAsia="Calibri" w:hAnsi="Times New Roman" w:cs="Times New Roman"/>
          <w:sz w:val="24"/>
          <w:szCs w:val="24"/>
        </w:rPr>
      </w:pPr>
      <w:r w:rsidRPr="00113A16">
        <w:rPr>
          <w:rFonts w:ascii="Times New Roman" w:hAnsi="Times New Roman" w:cs="Times New Roman"/>
          <w:sz w:val="24"/>
          <w:szCs w:val="24"/>
          <w:shd w:val="clear" w:color="auto" w:fill="FFFFFF"/>
        </w:rPr>
        <w:t>Otieno, A., Mwangi, D.</w:t>
      </w:r>
      <w:r>
        <w:rPr>
          <w:rFonts w:ascii="Times New Roman" w:hAnsi="Times New Roman" w:cs="Times New Roman"/>
          <w:sz w:val="24"/>
          <w:szCs w:val="24"/>
          <w:shd w:val="clear" w:color="auto" w:fill="FFFFFF"/>
        </w:rPr>
        <w:t>, &amp; Kariuki, P. (2024). Gender equality in education: Progress and barriers</w:t>
      </w:r>
      <w:r>
        <w:rPr>
          <w:rFonts w:ascii="Times New Roman" w:hAnsi="Times New Roman" w:cs="Times New Roman"/>
          <w:sz w:val="24"/>
          <w:szCs w:val="24"/>
          <w:shd w:val="clear" w:color="auto" w:fill="FFFFFF"/>
        </w:rPr>
        <w:tab/>
        <w:t xml:space="preserve"> in secondary school e</w:t>
      </w:r>
      <w:r w:rsidRPr="00113A16">
        <w:rPr>
          <w:rFonts w:ascii="Times New Roman" w:hAnsi="Times New Roman" w:cs="Times New Roman"/>
          <w:sz w:val="24"/>
          <w:szCs w:val="24"/>
          <w:shd w:val="clear" w:color="auto" w:fill="FFFFFF"/>
        </w:rPr>
        <w:t>nrollment. </w:t>
      </w:r>
      <w:r w:rsidRPr="00113A16">
        <w:rPr>
          <w:rFonts w:ascii="Times New Roman" w:hAnsi="Times New Roman" w:cs="Times New Roman"/>
          <w:i/>
          <w:iCs/>
          <w:sz w:val="24"/>
          <w:szCs w:val="24"/>
          <w:shd w:val="clear" w:color="auto" w:fill="FFFFFF"/>
        </w:rPr>
        <w:t>International Journal of Educational Development</w:t>
      </w:r>
      <w:r w:rsidRPr="00113A16">
        <w:rPr>
          <w:rFonts w:ascii="Times New Roman" w:hAnsi="Times New Roman" w:cs="Times New Roman"/>
          <w:sz w:val="24"/>
          <w:szCs w:val="24"/>
          <w:shd w:val="clear" w:color="auto" w:fill="FFFFFF"/>
        </w:rPr>
        <w:t>, </w:t>
      </w:r>
      <w:r w:rsidRPr="00113A16">
        <w:rPr>
          <w:rFonts w:ascii="Times New Roman" w:hAnsi="Times New Roman" w:cs="Times New Roman"/>
          <w:i/>
          <w:iCs/>
          <w:sz w:val="24"/>
          <w:szCs w:val="24"/>
          <w:shd w:val="clear" w:color="auto" w:fill="FFFFFF"/>
        </w:rPr>
        <w:t>1</w:t>
      </w:r>
      <w:r w:rsidRPr="00113A16">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ab/>
      </w:r>
      <w:r w:rsidRPr="00113A16">
        <w:rPr>
          <w:rFonts w:ascii="Times New Roman" w:hAnsi="Times New Roman" w:cs="Times New Roman"/>
          <w:sz w:val="24"/>
          <w:szCs w:val="24"/>
          <w:shd w:val="clear" w:color="auto" w:fill="FFFFFF"/>
        </w:rPr>
        <w:t>26-30.</w:t>
      </w:r>
    </w:p>
    <w:p w14:paraId="6148D566" w14:textId="77777777" w:rsidR="0087627D" w:rsidRPr="00CC3772" w:rsidRDefault="0087627D" w:rsidP="00B732FE">
      <w:pPr>
        <w:spacing w:line="360" w:lineRule="auto"/>
        <w:contextualSpacing/>
        <w:jc w:val="both"/>
        <w:rPr>
          <w:rFonts w:ascii="Times New Roman" w:eastAsia="Calibri" w:hAnsi="Times New Roman" w:cs="Times New Roman"/>
          <w:sz w:val="24"/>
          <w:szCs w:val="24"/>
        </w:rPr>
      </w:pPr>
      <w:r w:rsidRPr="00CC3772">
        <w:rPr>
          <w:rFonts w:ascii="Times New Roman" w:hAnsi="Times New Roman" w:cs="Times New Roman"/>
          <w:color w:val="222222"/>
          <w:sz w:val="24"/>
          <w:szCs w:val="24"/>
          <w:shd w:val="clear" w:color="auto" w:fill="FFFFFF"/>
        </w:rPr>
        <w:t>Rawls, J. (1971). An egalitarian theory of justice. </w:t>
      </w:r>
      <w:r w:rsidRPr="00CC3772">
        <w:rPr>
          <w:rFonts w:ascii="Times New Roman" w:hAnsi="Times New Roman" w:cs="Times New Roman"/>
          <w:i/>
          <w:iCs/>
          <w:color w:val="222222"/>
          <w:sz w:val="24"/>
          <w:szCs w:val="24"/>
          <w:shd w:val="clear" w:color="auto" w:fill="FFFFFF"/>
        </w:rPr>
        <w:t xml:space="preserve">Philosophical Ethics: An Introduction to Moral </w:t>
      </w:r>
      <w:r>
        <w:rPr>
          <w:rFonts w:ascii="Times New Roman" w:hAnsi="Times New Roman" w:cs="Times New Roman"/>
          <w:i/>
          <w:iCs/>
          <w:color w:val="222222"/>
          <w:sz w:val="24"/>
          <w:szCs w:val="24"/>
          <w:shd w:val="clear" w:color="auto" w:fill="FFFFFF"/>
        </w:rPr>
        <w:tab/>
      </w:r>
      <w:r w:rsidRPr="00CC3772">
        <w:rPr>
          <w:rFonts w:ascii="Times New Roman" w:hAnsi="Times New Roman" w:cs="Times New Roman"/>
          <w:i/>
          <w:iCs/>
          <w:color w:val="222222"/>
          <w:sz w:val="24"/>
          <w:szCs w:val="24"/>
          <w:shd w:val="clear" w:color="auto" w:fill="FFFFFF"/>
        </w:rPr>
        <w:t>Philosophy</w:t>
      </w:r>
      <w:r w:rsidRPr="00CC3772">
        <w:rPr>
          <w:rFonts w:ascii="Times New Roman" w:hAnsi="Times New Roman" w:cs="Times New Roman"/>
          <w:color w:val="222222"/>
          <w:sz w:val="24"/>
          <w:szCs w:val="24"/>
          <w:shd w:val="clear" w:color="auto" w:fill="FFFFFF"/>
        </w:rPr>
        <w:t>, 365-370.</w:t>
      </w:r>
    </w:p>
    <w:p w14:paraId="422F8FF5" w14:textId="77777777" w:rsidR="0087627D" w:rsidRPr="00735451" w:rsidRDefault="0087627D" w:rsidP="00B732FE">
      <w:pPr>
        <w:spacing w:line="360" w:lineRule="auto"/>
        <w:jc w:val="both"/>
        <w:rPr>
          <w:rFonts w:ascii="Times New Roman" w:eastAsia="Calibri" w:hAnsi="Times New Roman" w:cs="Times New Roman"/>
          <w:sz w:val="24"/>
          <w:szCs w:val="24"/>
        </w:rPr>
      </w:pPr>
      <w:r w:rsidRPr="00735451">
        <w:rPr>
          <w:rFonts w:ascii="Times New Roman" w:hAnsi="Times New Roman" w:cs="Times New Roman"/>
          <w:sz w:val="24"/>
          <w:szCs w:val="24"/>
          <w:shd w:val="clear" w:color="auto" w:fill="FFFFFF"/>
        </w:rPr>
        <w:t>Raymond, A. (2020). </w:t>
      </w:r>
      <w:r w:rsidRPr="00735451">
        <w:rPr>
          <w:rFonts w:ascii="Times New Roman" w:hAnsi="Times New Roman" w:cs="Times New Roman"/>
          <w:i/>
          <w:iCs/>
          <w:sz w:val="24"/>
          <w:szCs w:val="24"/>
          <w:shd w:val="clear" w:color="auto" w:fill="FFFFFF"/>
        </w:rPr>
        <w:t xml:space="preserve">Girls' education in pastoral communities: An Ethnographic Study of </w:t>
      </w:r>
      <w:r>
        <w:rPr>
          <w:rFonts w:ascii="Times New Roman" w:hAnsi="Times New Roman" w:cs="Times New Roman"/>
          <w:i/>
          <w:iCs/>
          <w:sz w:val="24"/>
          <w:szCs w:val="24"/>
          <w:shd w:val="clear" w:color="auto" w:fill="FFFFFF"/>
        </w:rPr>
        <w:tab/>
      </w:r>
      <w:r w:rsidRPr="00735451">
        <w:rPr>
          <w:rFonts w:ascii="Times New Roman" w:hAnsi="Times New Roman" w:cs="Times New Roman"/>
          <w:i/>
          <w:iCs/>
          <w:sz w:val="24"/>
          <w:szCs w:val="24"/>
          <w:shd w:val="clear" w:color="auto" w:fill="FFFFFF"/>
        </w:rPr>
        <w:t>Monduli District, Tanzania. Research Report</w:t>
      </w:r>
      <w:r w:rsidRPr="00735451">
        <w:rPr>
          <w:rFonts w:ascii="Times New Roman" w:hAnsi="Times New Roman" w:cs="Times New Roman"/>
          <w:sz w:val="24"/>
          <w:szCs w:val="24"/>
          <w:shd w:val="clear" w:color="auto" w:fill="FFFFFF"/>
        </w:rPr>
        <w:t xml:space="preserve">. CfBT Education Trust. 60 Queens Road, </w:t>
      </w:r>
      <w:r>
        <w:rPr>
          <w:rFonts w:ascii="Times New Roman" w:hAnsi="Times New Roman" w:cs="Times New Roman"/>
          <w:sz w:val="24"/>
          <w:szCs w:val="24"/>
          <w:shd w:val="clear" w:color="auto" w:fill="FFFFFF"/>
        </w:rPr>
        <w:tab/>
      </w:r>
      <w:r w:rsidRPr="00735451">
        <w:rPr>
          <w:rFonts w:ascii="Times New Roman" w:hAnsi="Times New Roman" w:cs="Times New Roman"/>
          <w:sz w:val="24"/>
          <w:szCs w:val="24"/>
          <w:shd w:val="clear" w:color="auto" w:fill="FFFFFF"/>
        </w:rPr>
        <w:t>Reading, RG1 4BS, England.</w:t>
      </w:r>
    </w:p>
    <w:p w14:paraId="35B2850B" w14:textId="77777777" w:rsidR="0087627D" w:rsidRPr="00AC0F9E" w:rsidRDefault="0087627D" w:rsidP="00B732FE">
      <w:pPr>
        <w:spacing w:line="360" w:lineRule="auto"/>
        <w:jc w:val="both"/>
        <w:rPr>
          <w:rFonts w:ascii="Times New Roman" w:eastAsia="Calibri" w:hAnsi="Times New Roman" w:cs="Times New Roman"/>
          <w:sz w:val="24"/>
          <w:szCs w:val="24"/>
        </w:rPr>
      </w:pPr>
      <w:r w:rsidRPr="00AC0F9E">
        <w:rPr>
          <w:rFonts w:ascii="Times New Roman" w:hAnsi="Times New Roman" w:cs="Times New Roman"/>
          <w:color w:val="222222"/>
          <w:sz w:val="24"/>
          <w:szCs w:val="24"/>
          <w:shd w:val="clear" w:color="auto" w:fill="FFFFFF"/>
        </w:rPr>
        <w:t xml:space="preserve">Thomson, A., Palmén, R., Reidl, S., Barnard, S., Beranek, S., Dainty, A. R. J., &amp; Hassan, T. M. </w:t>
      </w:r>
      <w:r>
        <w:rPr>
          <w:rFonts w:ascii="Times New Roman" w:hAnsi="Times New Roman" w:cs="Times New Roman"/>
          <w:color w:val="222222"/>
          <w:sz w:val="24"/>
          <w:szCs w:val="24"/>
          <w:shd w:val="clear" w:color="auto" w:fill="FFFFFF"/>
        </w:rPr>
        <w:tab/>
      </w:r>
      <w:r w:rsidRPr="00AC0F9E">
        <w:rPr>
          <w:rFonts w:ascii="Times New Roman" w:hAnsi="Times New Roman" w:cs="Times New Roman"/>
          <w:color w:val="222222"/>
          <w:sz w:val="24"/>
          <w:szCs w:val="24"/>
          <w:shd w:val="clear" w:color="auto" w:fill="FFFFFF"/>
        </w:rPr>
        <w:t xml:space="preserve">(2022). Fostering collaborative approaches to gender equality interventions in higher </w:t>
      </w:r>
      <w:r>
        <w:rPr>
          <w:rFonts w:ascii="Times New Roman" w:hAnsi="Times New Roman" w:cs="Times New Roman"/>
          <w:color w:val="222222"/>
          <w:sz w:val="24"/>
          <w:szCs w:val="24"/>
          <w:shd w:val="clear" w:color="auto" w:fill="FFFFFF"/>
        </w:rPr>
        <w:tab/>
      </w:r>
      <w:r w:rsidRPr="00AC0F9E">
        <w:rPr>
          <w:rFonts w:ascii="Times New Roman" w:hAnsi="Times New Roman" w:cs="Times New Roman"/>
          <w:color w:val="222222"/>
          <w:sz w:val="24"/>
          <w:szCs w:val="24"/>
          <w:shd w:val="clear" w:color="auto" w:fill="FFFFFF"/>
        </w:rPr>
        <w:t xml:space="preserve">education and research: the case of transnational and multi-institutional communities of </w:t>
      </w:r>
      <w:r>
        <w:rPr>
          <w:rFonts w:ascii="Times New Roman" w:hAnsi="Times New Roman" w:cs="Times New Roman"/>
          <w:color w:val="222222"/>
          <w:sz w:val="24"/>
          <w:szCs w:val="24"/>
          <w:shd w:val="clear" w:color="auto" w:fill="FFFFFF"/>
        </w:rPr>
        <w:tab/>
      </w:r>
      <w:r w:rsidRPr="00AC0F9E">
        <w:rPr>
          <w:rFonts w:ascii="Times New Roman" w:hAnsi="Times New Roman" w:cs="Times New Roman"/>
          <w:color w:val="222222"/>
          <w:sz w:val="24"/>
          <w:szCs w:val="24"/>
          <w:shd w:val="clear" w:color="auto" w:fill="FFFFFF"/>
        </w:rPr>
        <w:t>practice. </w:t>
      </w:r>
      <w:r w:rsidRPr="00AC0F9E">
        <w:rPr>
          <w:rFonts w:ascii="Times New Roman" w:hAnsi="Times New Roman" w:cs="Times New Roman"/>
          <w:i/>
          <w:iCs/>
          <w:color w:val="222222"/>
          <w:sz w:val="24"/>
          <w:szCs w:val="24"/>
          <w:shd w:val="clear" w:color="auto" w:fill="FFFFFF"/>
        </w:rPr>
        <w:t>Journal of Gender Studies</w:t>
      </w:r>
      <w:r w:rsidRPr="00AC0F9E">
        <w:rPr>
          <w:rFonts w:ascii="Times New Roman" w:hAnsi="Times New Roman" w:cs="Times New Roman"/>
          <w:color w:val="222222"/>
          <w:sz w:val="24"/>
          <w:szCs w:val="24"/>
          <w:shd w:val="clear" w:color="auto" w:fill="FFFFFF"/>
        </w:rPr>
        <w:t>, </w:t>
      </w:r>
      <w:r w:rsidRPr="00AC0F9E">
        <w:rPr>
          <w:rFonts w:ascii="Times New Roman" w:hAnsi="Times New Roman" w:cs="Times New Roman"/>
          <w:i/>
          <w:iCs/>
          <w:color w:val="222222"/>
          <w:sz w:val="24"/>
          <w:szCs w:val="24"/>
          <w:shd w:val="clear" w:color="auto" w:fill="FFFFFF"/>
        </w:rPr>
        <w:t>31</w:t>
      </w:r>
      <w:r w:rsidRPr="00AC0F9E">
        <w:rPr>
          <w:rFonts w:ascii="Times New Roman" w:hAnsi="Times New Roman" w:cs="Times New Roman"/>
          <w:color w:val="222222"/>
          <w:sz w:val="24"/>
          <w:szCs w:val="24"/>
          <w:shd w:val="clear" w:color="auto" w:fill="FFFFFF"/>
        </w:rPr>
        <w:t>(1), 36-54.</w:t>
      </w:r>
    </w:p>
    <w:p w14:paraId="1CA6C513" w14:textId="77777777" w:rsidR="0087627D" w:rsidRPr="008445B0" w:rsidRDefault="0087627D" w:rsidP="00B732FE">
      <w:pPr>
        <w:spacing w:line="360" w:lineRule="auto"/>
        <w:jc w:val="both"/>
        <w:rPr>
          <w:rFonts w:ascii="Times New Roman" w:hAnsi="Times New Roman" w:cs="Times New Roman"/>
          <w:color w:val="222222"/>
          <w:sz w:val="24"/>
          <w:szCs w:val="24"/>
          <w:shd w:val="clear" w:color="auto" w:fill="FFFFFF"/>
        </w:rPr>
      </w:pPr>
      <w:r w:rsidRPr="008445B0">
        <w:rPr>
          <w:rFonts w:ascii="Times New Roman" w:hAnsi="Times New Roman" w:cs="Times New Roman"/>
          <w:color w:val="222222"/>
          <w:sz w:val="24"/>
          <w:szCs w:val="24"/>
          <w:shd w:val="clear" w:color="auto" w:fill="FFFFFF"/>
        </w:rPr>
        <w:t>Tibbetts, E., &amp; Smith</w:t>
      </w:r>
      <w:r w:rsidRPr="000367DA">
        <w:rPr>
          <w:rFonts w:ascii="Times New Roman" w:hAnsi="Times New Roman" w:cs="Times New Roman"/>
          <w:color w:val="222222"/>
          <w:sz w:val="24"/>
          <w:szCs w:val="24"/>
          <w:shd w:val="clear" w:color="auto" w:fill="FFFFFF"/>
        </w:rPr>
        <w:t xml:space="preserve"> </w:t>
      </w:r>
      <w:r w:rsidRPr="008445B0">
        <w:rPr>
          <w:rFonts w:ascii="Times New Roman" w:hAnsi="Times New Roman" w:cs="Times New Roman"/>
          <w:color w:val="222222"/>
          <w:sz w:val="24"/>
          <w:szCs w:val="24"/>
          <w:shd w:val="clear" w:color="auto" w:fill="FFFFFF"/>
        </w:rPr>
        <w:t xml:space="preserve">Parks, K. (2023). Beyond “a good fit”: Examining effective mentorship for </w:t>
      </w:r>
      <w:r>
        <w:rPr>
          <w:rFonts w:ascii="Times New Roman" w:hAnsi="Times New Roman" w:cs="Times New Roman"/>
          <w:color w:val="222222"/>
          <w:sz w:val="24"/>
          <w:szCs w:val="24"/>
          <w:shd w:val="clear" w:color="auto" w:fill="FFFFFF"/>
        </w:rPr>
        <w:tab/>
      </w:r>
      <w:r w:rsidRPr="008445B0">
        <w:rPr>
          <w:rFonts w:ascii="Times New Roman" w:hAnsi="Times New Roman" w:cs="Times New Roman"/>
          <w:color w:val="222222"/>
          <w:sz w:val="24"/>
          <w:szCs w:val="24"/>
          <w:shd w:val="clear" w:color="auto" w:fill="FFFFFF"/>
        </w:rPr>
        <w:t>BIPOC practitioners in a predominantly white profession. </w:t>
      </w:r>
      <w:r w:rsidRPr="008445B0">
        <w:rPr>
          <w:rFonts w:ascii="Times New Roman" w:hAnsi="Times New Roman" w:cs="Times New Roman"/>
          <w:i/>
          <w:iCs/>
          <w:color w:val="222222"/>
          <w:sz w:val="24"/>
          <w:szCs w:val="24"/>
          <w:shd w:val="clear" w:color="auto" w:fill="FFFFFF"/>
        </w:rPr>
        <w:t xml:space="preserve">Journal </w:t>
      </w:r>
      <w:r w:rsidRPr="008445B0">
        <w:rPr>
          <w:rFonts w:ascii="Times New Roman" w:hAnsi="Times New Roman" w:cs="Times New Roman"/>
          <w:i/>
          <w:iCs/>
          <w:color w:val="222222"/>
          <w:sz w:val="24"/>
          <w:szCs w:val="24"/>
          <w:shd w:val="clear" w:color="auto" w:fill="FFFFFF"/>
        </w:rPr>
        <w:lastRenderedPageBreak/>
        <w:t xml:space="preserve">of Applied Sport </w:t>
      </w:r>
      <w:r>
        <w:rPr>
          <w:rFonts w:ascii="Times New Roman" w:hAnsi="Times New Roman" w:cs="Times New Roman"/>
          <w:i/>
          <w:iCs/>
          <w:color w:val="222222"/>
          <w:sz w:val="24"/>
          <w:szCs w:val="24"/>
          <w:shd w:val="clear" w:color="auto" w:fill="FFFFFF"/>
        </w:rPr>
        <w:tab/>
      </w:r>
      <w:r w:rsidRPr="008445B0">
        <w:rPr>
          <w:rFonts w:ascii="Times New Roman" w:hAnsi="Times New Roman" w:cs="Times New Roman"/>
          <w:i/>
          <w:iCs/>
          <w:color w:val="222222"/>
          <w:sz w:val="24"/>
          <w:szCs w:val="24"/>
          <w:shd w:val="clear" w:color="auto" w:fill="FFFFFF"/>
        </w:rPr>
        <w:t>Psychology</w:t>
      </w:r>
      <w:r w:rsidRPr="008445B0">
        <w:rPr>
          <w:rFonts w:ascii="Times New Roman" w:hAnsi="Times New Roman" w:cs="Times New Roman"/>
          <w:color w:val="222222"/>
          <w:sz w:val="24"/>
          <w:szCs w:val="24"/>
          <w:shd w:val="clear" w:color="auto" w:fill="FFFFFF"/>
        </w:rPr>
        <w:t>, </w:t>
      </w:r>
      <w:r w:rsidRPr="008445B0">
        <w:rPr>
          <w:rFonts w:ascii="Times New Roman" w:hAnsi="Times New Roman" w:cs="Times New Roman"/>
          <w:i/>
          <w:iCs/>
          <w:color w:val="222222"/>
          <w:sz w:val="24"/>
          <w:szCs w:val="24"/>
          <w:shd w:val="clear" w:color="auto" w:fill="FFFFFF"/>
        </w:rPr>
        <w:t>35</w:t>
      </w:r>
      <w:r w:rsidRPr="008445B0">
        <w:rPr>
          <w:rFonts w:ascii="Times New Roman" w:hAnsi="Times New Roman" w:cs="Times New Roman"/>
          <w:color w:val="222222"/>
          <w:sz w:val="24"/>
          <w:szCs w:val="24"/>
          <w:shd w:val="clear" w:color="auto" w:fill="FFFFFF"/>
        </w:rPr>
        <w:t>(1), 46-62.</w:t>
      </w:r>
    </w:p>
    <w:p w14:paraId="44E327B8" w14:textId="77777777" w:rsidR="0087627D" w:rsidRDefault="0087627D" w:rsidP="00B732FE">
      <w:pPr>
        <w:spacing w:line="360" w:lineRule="auto"/>
        <w:ind w:right="68"/>
        <w:jc w:val="both"/>
        <w:rPr>
          <w:rFonts w:ascii="Times New Roman" w:eastAsia="Calibri" w:hAnsi="Times New Roman" w:cs="Times New Roman"/>
          <w:sz w:val="24"/>
          <w:szCs w:val="24"/>
        </w:rPr>
      </w:pPr>
      <w:r w:rsidRPr="00C460AB">
        <w:rPr>
          <w:rFonts w:ascii="Times New Roman" w:eastAsia="Calibri" w:hAnsi="Times New Roman" w:cs="Times New Roman"/>
          <w:sz w:val="24"/>
          <w:szCs w:val="24"/>
        </w:rPr>
        <w:t xml:space="preserve">Tupper, J. (2020). The gendering of citizenship in social studies curriculum. </w:t>
      </w:r>
      <w:r w:rsidRPr="00C460AB">
        <w:rPr>
          <w:rFonts w:ascii="Times New Roman" w:eastAsia="Calibri" w:hAnsi="Times New Roman" w:cs="Times New Roman"/>
          <w:i/>
          <w:sz w:val="24"/>
          <w:szCs w:val="24"/>
        </w:rPr>
        <w:t xml:space="preserve">Canadian Journal of </w:t>
      </w:r>
      <w:r>
        <w:rPr>
          <w:rFonts w:ascii="Times New Roman" w:eastAsia="Calibri" w:hAnsi="Times New Roman" w:cs="Times New Roman"/>
          <w:i/>
          <w:sz w:val="24"/>
          <w:szCs w:val="24"/>
        </w:rPr>
        <w:tab/>
      </w:r>
      <w:r w:rsidRPr="00C460AB">
        <w:rPr>
          <w:rFonts w:ascii="Times New Roman" w:eastAsia="Calibri" w:hAnsi="Times New Roman" w:cs="Times New Roman"/>
          <w:i/>
          <w:sz w:val="24"/>
          <w:szCs w:val="24"/>
        </w:rPr>
        <w:t>Social Studies, 36(3</w:t>
      </w:r>
      <w:r w:rsidRPr="00C460AB">
        <w:rPr>
          <w:rFonts w:ascii="Times New Roman" w:eastAsia="Calibri" w:hAnsi="Times New Roman" w:cs="Times New Roman"/>
          <w:sz w:val="24"/>
          <w:szCs w:val="24"/>
        </w:rPr>
        <w:t>). Retrieved from www.quasar.ualberta.ca/css, on August 19, 2018.</w:t>
      </w:r>
    </w:p>
    <w:p w14:paraId="59779210" w14:textId="77777777" w:rsidR="0087627D" w:rsidRPr="003C2B88" w:rsidRDefault="0087627D" w:rsidP="00B732FE">
      <w:pPr>
        <w:spacing w:line="360" w:lineRule="auto"/>
        <w:jc w:val="both"/>
        <w:rPr>
          <w:rFonts w:ascii="Times New Roman" w:hAnsi="Times New Roman" w:cs="Times New Roman"/>
          <w:color w:val="222222"/>
          <w:sz w:val="24"/>
          <w:szCs w:val="24"/>
          <w:shd w:val="clear" w:color="auto" w:fill="FFFFFF"/>
        </w:rPr>
      </w:pPr>
      <w:r w:rsidRPr="00BE6F26">
        <w:rPr>
          <w:rFonts w:ascii="Times New Roman" w:hAnsi="Times New Roman" w:cs="Times New Roman"/>
          <w:color w:val="222222"/>
          <w:sz w:val="24"/>
          <w:szCs w:val="24"/>
          <w:shd w:val="clear" w:color="auto" w:fill="FFFFFF"/>
        </w:rPr>
        <w:t xml:space="preserve">Tuyishime,J., &amp; Andala, H. O.  (2021). The relationship between female girls’ education policies </w:t>
      </w:r>
      <w:r w:rsidRPr="00BE6F26">
        <w:rPr>
          <w:rFonts w:ascii="Times New Roman" w:hAnsi="Times New Roman" w:cs="Times New Roman"/>
          <w:color w:val="222222"/>
          <w:sz w:val="24"/>
          <w:szCs w:val="24"/>
          <w:shd w:val="clear" w:color="auto" w:fill="FFFFFF"/>
        </w:rPr>
        <w:tab/>
        <w:t>and academic performance of female students in Rwanda. </w:t>
      </w:r>
      <w:r w:rsidRPr="00BE6F26">
        <w:rPr>
          <w:rFonts w:ascii="Times New Roman" w:hAnsi="Times New Roman" w:cs="Times New Roman"/>
          <w:i/>
          <w:iCs/>
          <w:color w:val="222222"/>
          <w:sz w:val="24"/>
          <w:szCs w:val="24"/>
          <w:shd w:val="clear" w:color="auto" w:fill="FFFFFF"/>
        </w:rPr>
        <w:t>Journal of Education</w:t>
      </w:r>
      <w:r w:rsidRPr="00BE6F26">
        <w:rPr>
          <w:rFonts w:ascii="Times New Roman" w:hAnsi="Times New Roman" w:cs="Times New Roman"/>
          <w:color w:val="222222"/>
          <w:sz w:val="24"/>
          <w:szCs w:val="24"/>
          <w:shd w:val="clear" w:color="auto" w:fill="FFFFFF"/>
        </w:rPr>
        <w:t>, </w:t>
      </w:r>
      <w:r w:rsidRPr="00BE6F26">
        <w:rPr>
          <w:rFonts w:ascii="Times New Roman" w:hAnsi="Times New Roman" w:cs="Times New Roman"/>
          <w:i/>
          <w:iCs/>
          <w:color w:val="222222"/>
          <w:sz w:val="24"/>
          <w:szCs w:val="24"/>
          <w:shd w:val="clear" w:color="auto" w:fill="FFFFFF"/>
        </w:rPr>
        <w:t>4</w:t>
      </w:r>
      <w:r w:rsidRPr="00BE6F26">
        <w:rPr>
          <w:rFonts w:ascii="Times New Roman" w:hAnsi="Times New Roman" w:cs="Times New Roman"/>
          <w:color w:val="222222"/>
          <w:sz w:val="24"/>
          <w:szCs w:val="24"/>
          <w:shd w:val="clear" w:color="auto" w:fill="FFFFFF"/>
        </w:rPr>
        <w:t>(6), 62-</w:t>
      </w:r>
      <w:r w:rsidRPr="00BE6F26">
        <w:rPr>
          <w:rFonts w:ascii="Times New Roman" w:hAnsi="Times New Roman" w:cs="Times New Roman"/>
          <w:color w:val="222222"/>
          <w:sz w:val="24"/>
          <w:szCs w:val="24"/>
          <w:shd w:val="clear" w:color="auto" w:fill="FFFFFF"/>
        </w:rPr>
        <w:tab/>
        <w:t>81.</w:t>
      </w:r>
    </w:p>
    <w:p w14:paraId="5B2B4FF2" w14:textId="77777777" w:rsidR="0087627D" w:rsidRPr="00FE2CAF" w:rsidRDefault="0087627D" w:rsidP="00B732FE">
      <w:pPr>
        <w:spacing w:line="360" w:lineRule="auto"/>
        <w:ind w:right="68"/>
        <w:jc w:val="both"/>
        <w:rPr>
          <w:rFonts w:ascii="Times New Roman" w:eastAsia="Calibri" w:hAnsi="Times New Roman" w:cs="Times New Roman"/>
          <w:i/>
          <w:sz w:val="24"/>
          <w:szCs w:val="24"/>
          <w:u w:val="single"/>
        </w:rPr>
      </w:pPr>
      <w:r>
        <w:rPr>
          <w:rFonts w:ascii="Times New Roman" w:eastAsia="Calibri" w:hAnsi="Times New Roman" w:cs="Times New Roman"/>
          <w:sz w:val="24"/>
          <w:szCs w:val="24"/>
        </w:rPr>
        <w:t xml:space="preserve">UNESCO </w:t>
      </w:r>
      <w:r w:rsidRPr="00FE2CAF">
        <w:rPr>
          <w:rFonts w:ascii="Times New Roman" w:eastAsia="Calibri" w:hAnsi="Times New Roman" w:cs="Times New Roman"/>
          <w:sz w:val="24"/>
          <w:szCs w:val="24"/>
        </w:rPr>
        <w:t xml:space="preserve">(2018). UNESCO Institute for statistics database. </w:t>
      </w:r>
      <w:r w:rsidRPr="00FE2CAF">
        <w:rPr>
          <w:rFonts w:ascii="Times New Roman" w:eastAsia="Calibri" w:hAnsi="Times New Roman" w:cs="Times New Roman"/>
          <w:i/>
          <w:sz w:val="24"/>
          <w:szCs w:val="24"/>
        </w:rPr>
        <w:t xml:space="preserve">UNESCO Institute for Statistics </w:t>
      </w:r>
      <w:r>
        <w:rPr>
          <w:rFonts w:ascii="Times New Roman" w:eastAsia="Calibri" w:hAnsi="Times New Roman" w:cs="Times New Roman"/>
          <w:i/>
          <w:sz w:val="24"/>
          <w:szCs w:val="24"/>
        </w:rPr>
        <w:tab/>
      </w:r>
      <w:r w:rsidRPr="00FE2CAF">
        <w:rPr>
          <w:rFonts w:ascii="Times New Roman" w:eastAsia="Calibri" w:hAnsi="Times New Roman" w:cs="Times New Roman"/>
          <w:i/>
          <w:sz w:val="24"/>
          <w:szCs w:val="24"/>
        </w:rPr>
        <w:t xml:space="preserve">Montreal. </w:t>
      </w:r>
      <w:hyperlink r:id="rId15" w:history="1">
        <w:r w:rsidRPr="00FE2CAF">
          <w:rPr>
            <w:rFonts w:ascii="Times New Roman" w:eastAsia="Calibri" w:hAnsi="Times New Roman" w:cs="Times New Roman"/>
            <w:i/>
            <w:color w:val="0563C1"/>
            <w:sz w:val="24"/>
            <w:szCs w:val="24"/>
            <w:u w:val="single"/>
          </w:rPr>
          <w:t>Http://data.uis.Unesco.org/</w:t>
        </w:r>
      </w:hyperlink>
    </w:p>
    <w:p w14:paraId="27A6D27A" w14:textId="77777777" w:rsidR="0087627D" w:rsidRDefault="0087627D"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UNICEF (2019</w:t>
      </w:r>
      <w:r w:rsidRPr="00FE2CAF">
        <w:rPr>
          <w:rFonts w:ascii="Times New Roman" w:hAnsi="Times New Roman" w:cs="Times New Roman"/>
          <w:sz w:val="24"/>
          <w:szCs w:val="24"/>
        </w:rPr>
        <w:t xml:space="preserve">), “What is Female Genital Mutilation.” </w:t>
      </w:r>
    </w:p>
    <w:p w14:paraId="45E56AD0" w14:textId="1EDDB4A8" w:rsidR="0087627D" w:rsidRPr="00C460AB" w:rsidRDefault="0087627D" w:rsidP="00B732FE">
      <w:pPr>
        <w:spacing w:line="360" w:lineRule="auto"/>
        <w:jc w:val="both"/>
        <w:rPr>
          <w:rFonts w:ascii="Times New Roman" w:eastAsia="Calibri" w:hAnsi="Times New Roman" w:cs="Times New Roman"/>
          <w:i/>
          <w:color w:val="00B0F0"/>
          <w:sz w:val="24"/>
          <w:szCs w:val="24"/>
        </w:rPr>
      </w:pPr>
      <w:r>
        <w:rPr>
          <w:rFonts w:ascii="Times New Roman" w:hAnsi="Times New Roman" w:cs="Times New Roman"/>
          <w:sz w:val="24"/>
          <w:szCs w:val="24"/>
        </w:rPr>
        <w:t>United Nations,</w:t>
      </w:r>
      <w:r w:rsidRPr="00C460AB">
        <w:rPr>
          <w:rFonts w:ascii="Times New Roman" w:hAnsi="Times New Roman" w:cs="Times New Roman"/>
          <w:color w:val="222222"/>
          <w:sz w:val="24"/>
          <w:szCs w:val="24"/>
          <w:shd w:val="clear" w:color="auto" w:fill="FFFFFF"/>
        </w:rPr>
        <w:t xml:space="preserve"> (2019). </w:t>
      </w:r>
      <w:r w:rsidRPr="00C460AB">
        <w:rPr>
          <w:rFonts w:ascii="Times New Roman" w:hAnsi="Times New Roman" w:cs="Times New Roman"/>
          <w:i/>
          <w:iCs/>
          <w:color w:val="222222"/>
          <w:sz w:val="24"/>
          <w:szCs w:val="24"/>
          <w:shd w:val="clear" w:color="auto" w:fill="FFFFFF"/>
        </w:rPr>
        <w:t xml:space="preserve">Government Survey 2012: E-Government for the People. United Nations </w:t>
      </w:r>
      <w:r>
        <w:rPr>
          <w:rFonts w:ascii="Times New Roman" w:hAnsi="Times New Roman" w:cs="Times New Roman"/>
          <w:i/>
          <w:iCs/>
          <w:color w:val="222222"/>
          <w:sz w:val="24"/>
          <w:szCs w:val="24"/>
          <w:shd w:val="clear" w:color="auto" w:fill="FFFFFF"/>
        </w:rPr>
        <w:tab/>
      </w:r>
      <w:r w:rsidRPr="00C460AB">
        <w:rPr>
          <w:rFonts w:ascii="Times New Roman" w:hAnsi="Times New Roman" w:cs="Times New Roman"/>
          <w:i/>
          <w:iCs/>
          <w:color w:val="222222"/>
          <w:sz w:val="24"/>
          <w:szCs w:val="24"/>
          <w:shd w:val="clear" w:color="auto" w:fill="FFFFFF"/>
        </w:rPr>
        <w:t>(UN</w:t>
      </w:r>
      <w:r w:rsidR="00260F07" w:rsidRPr="00C460AB">
        <w:rPr>
          <w:rFonts w:ascii="Times New Roman" w:hAnsi="Times New Roman" w:cs="Times New Roman"/>
          <w:i/>
          <w:iCs/>
          <w:color w:val="222222"/>
          <w:sz w:val="24"/>
          <w:szCs w:val="24"/>
          <w:shd w:val="clear" w:color="auto" w:fill="FFFFFF"/>
        </w:rPr>
        <w:t>) (</w:t>
      </w:r>
      <w:r w:rsidRPr="00C460AB">
        <w:rPr>
          <w:rFonts w:ascii="Times New Roman" w:hAnsi="Times New Roman" w:cs="Times New Roman"/>
          <w:i/>
          <w:iCs/>
          <w:color w:val="222222"/>
          <w:sz w:val="24"/>
          <w:szCs w:val="24"/>
          <w:shd w:val="clear" w:color="auto" w:fill="FFFFFF"/>
        </w:rPr>
        <w:t>2012)</w:t>
      </w:r>
      <w:r w:rsidRPr="00C460AB">
        <w:rPr>
          <w:rFonts w:ascii="Times New Roman" w:hAnsi="Times New Roman" w:cs="Times New Roman"/>
          <w:color w:val="222222"/>
          <w:sz w:val="24"/>
          <w:szCs w:val="24"/>
          <w:shd w:val="clear" w:color="auto" w:fill="FFFFFF"/>
        </w:rPr>
        <w:t>.</w:t>
      </w:r>
    </w:p>
    <w:p w14:paraId="0D3F74E6" w14:textId="77777777" w:rsidR="0087627D" w:rsidRPr="00C460AB" w:rsidRDefault="0087627D" w:rsidP="00B732FE">
      <w:pPr>
        <w:spacing w:line="360" w:lineRule="auto"/>
        <w:jc w:val="both"/>
        <w:rPr>
          <w:rFonts w:ascii="Times New Roman" w:eastAsia="Calibri" w:hAnsi="Times New Roman" w:cs="Times New Roman"/>
          <w:color w:val="00B0F0"/>
          <w:sz w:val="24"/>
          <w:szCs w:val="24"/>
          <w:shd w:val="clear" w:color="auto" w:fill="FFFFFF"/>
        </w:rPr>
      </w:pPr>
      <w:r w:rsidRPr="00C460AB">
        <w:rPr>
          <w:rFonts w:ascii="Times New Roman" w:hAnsi="Times New Roman" w:cs="Times New Roman"/>
          <w:color w:val="222222"/>
          <w:sz w:val="24"/>
          <w:szCs w:val="24"/>
          <w:shd w:val="clear" w:color="auto" w:fill="FFFFFF"/>
        </w:rPr>
        <w:t xml:space="preserve">Uwineza, I., Rubagiza, J., Hakizimana, T., &amp; Uwamahoro, J. (2018). Gender attitudes and </w:t>
      </w:r>
      <w:r>
        <w:rPr>
          <w:rFonts w:ascii="Times New Roman" w:hAnsi="Times New Roman" w:cs="Times New Roman"/>
          <w:color w:val="222222"/>
          <w:sz w:val="24"/>
          <w:szCs w:val="24"/>
          <w:shd w:val="clear" w:color="auto" w:fill="FFFFFF"/>
        </w:rPr>
        <w:tab/>
      </w:r>
      <w:r w:rsidRPr="00C460AB">
        <w:rPr>
          <w:rFonts w:ascii="Times New Roman" w:hAnsi="Times New Roman" w:cs="Times New Roman"/>
          <w:color w:val="222222"/>
          <w:sz w:val="24"/>
          <w:szCs w:val="24"/>
          <w:shd w:val="clear" w:color="auto" w:fill="FFFFFF"/>
        </w:rPr>
        <w:t xml:space="preserve">perceptions towards mathematics performance and enrolment in Rwandan secondary </w:t>
      </w:r>
      <w:r>
        <w:rPr>
          <w:rFonts w:ascii="Times New Roman" w:hAnsi="Times New Roman" w:cs="Times New Roman"/>
          <w:color w:val="222222"/>
          <w:sz w:val="24"/>
          <w:szCs w:val="24"/>
          <w:shd w:val="clear" w:color="auto" w:fill="FFFFFF"/>
        </w:rPr>
        <w:tab/>
      </w:r>
      <w:r w:rsidRPr="00C460AB">
        <w:rPr>
          <w:rFonts w:ascii="Times New Roman" w:hAnsi="Times New Roman" w:cs="Times New Roman"/>
          <w:color w:val="222222"/>
          <w:sz w:val="24"/>
          <w:szCs w:val="24"/>
          <w:shd w:val="clear" w:color="auto" w:fill="FFFFFF"/>
        </w:rPr>
        <w:t>schools. </w:t>
      </w:r>
      <w:r w:rsidRPr="00C460AB">
        <w:rPr>
          <w:rFonts w:ascii="Times New Roman" w:hAnsi="Times New Roman" w:cs="Times New Roman"/>
          <w:i/>
          <w:iCs/>
          <w:color w:val="222222"/>
          <w:sz w:val="24"/>
          <w:szCs w:val="24"/>
          <w:shd w:val="clear" w:color="auto" w:fill="FFFFFF"/>
        </w:rPr>
        <w:t>Rwandan Journal of Education</w:t>
      </w:r>
      <w:r w:rsidRPr="00C460AB">
        <w:rPr>
          <w:rFonts w:ascii="Times New Roman" w:hAnsi="Times New Roman" w:cs="Times New Roman"/>
          <w:color w:val="222222"/>
          <w:sz w:val="24"/>
          <w:szCs w:val="24"/>
          <w:shd w:val="clear" w:color="auto" w:fill="FFFFFF"/>
        </w:rPr>
        <w:t>, </w:t>
      </w:r>
      <w:r w:rsidRPr="00C460AB">
        <w:rPr>
          <w:rFonts w:ascii="Times New Roman" w:hAnsi="Times New Roman" w:cs="Times New Roman"/>
          <w:i/>
          <w:iCs/>
          <w:color w:val="222222"/>
          <w:sz w:val="24"/>
          <w:szCs w:val="24"/>
          <w:shd w:val="clear" w:color="auto" w:fill="FFFFFF"/>
        </w:rPr>
        <w:t>4</w:t>
      </w:r>
      <w:r w:rsidRPr="00C460AB">
        <w:rPr>
          <w:rFonts w:ascii="Times New Roman" w:hAnsi="Times New Roman" w:cs="Times New Roman"/>
          <w:color w:val="222222"/>
          <w:sz w:val="24"/>
          <w:szCs w:val="24"/>
          <w:shd w:val="clear" w:color="auto" w:fill="FFFFFF"/>
        </w:rPr>
        <w:t>(2), 44-56.</w:t>
      </w:r>
    </w:p>
    <w:p w14:paraId="56744C08" w14:textId="77777777" w:rsidR="0025695A" w:rsidRPr="0025695A" w:rsidRDefault="0025695A" w:rsidP="00B732FE">
      <w:pPr>
        <w:spacing w:line="360" w:lineRule="auto"/>
        <w:contextualSpacing/>
        <w:jc w:val="both"/>
        <w:rPr>
          <w:rFonts w:ascii="Times New Roman" w:eastAsia="Calibri" w:hAnsi="Times New Roman" w:cs="Times New Roman"/>
          <w:sz w:val="24"/>
        </w:rPr>
      </w:pPr>
      <w:r w:rsidRPr="0025695A">
        <w:rPr>
          <w:rFonts w:ascii="Times New Roman" w:eastAsia="Calibri" w:hAnsi="Times New Roman" w:cs="Times New Roman"/>
          <w:sz w:val="24"/>
        </w:rPr>
        <w:t xml:space="preserve">Wanjiru, G. (2023). Community attitudes and their impact on girls’ education in Kenya: A focus </w:t>
      </w:r>
      <w:r>
        <w:rPr>
          <w:rFonts w:ascii="Times New Roman" w:eastAsia="Calibri" w:hAnsi="Times New Roman" w:cs="Times New Roman"/>
          <w:sz w:val="24"/>
        </w:rPr>
        <w:tab/>
      </w:r>
      <w:r w:rsidRPr="0025695A">
        <w:rPr>
          <w:rFonts w:ascii="Times New Roman" w:eastAsia="Calibri" w:hAnsi="Times New Roman" w:cs="Times New Roman"/>
          <w:sz w:val="24"/>
        </w:rPr>
        <w:t xml:space="preserve">on pastoralist communities. </w:t>
      </w:r>
      <w:r w:rsidRPr="0025695A">
        <w:rPr>
          <w:rFonts w:ascii="Times New Roman" w:eastAsia="Calibri" w:hAnsi="Times New Roman" w:cs="Times New Roman"/>
          <w:i/>
          <w:sz w:val="24"/>
        </w:rPr>
        <w:t>Journal of African Education Research</w:t>
      </w:r>
      <w:r w:rsidRPr="0025695A">
        <w:rPr>
          <w:rFonts w:ascii="Times New Roman" w:eastAsia="Calibri" w:hAnsi="Times New Roman" w:cs="Times New Roman"/>
          <w:sz w:val="24"/>
        </w:rPr>
        <w:t>, 8(1), 20-35.</w:t>
      </w:r>
    </w:p>
    <w:p w14:paraId="70382BB2" w14:textId="77777777" w:rsidR="002B2DCB" w:rsidRDefault="002B2DCB" w:rsidP="00B732FE">
      <w:pPr>
        <w:spacing w:line="360" w:lineRule="auto"/>
        <w:jc w:val="both"/>
        <w:rPr>
          <w:rFonts w:ascii="Times New Roman" w:eastAsia="Calibri" w:hAnsi="Times New Roman" w:cs="Times New Roman"/>
          <w:sz w:val="24"/>
        </w:rPr>
        <w:sectPr w:rsidR="002B2DCB" w:rsidSect="00CB1009">
          <w:type w:val="continuous"/>
          <w:pgSz w:w="12240" w:h="15840"/>
          <w:pgMar w:top="1440" w:right="1440" w:bottom="1440" w:left="1440" w:header="720" w:footer="720" w:gutter="0"/>
          <w:cols w:num="2" w:space="720"/>
          <w:docGrid w:linePitch="360"/>
        </w:sectPr>
      </w:pPr>
    </w:p>
    <w:p w14:paraId="4695BCC0" w14:textId="77777777" w:rsidR="00CC3772" w:rsidRDefault="00CC3772" w:rsidP="00B732FE">
      <w:pPr>
        <w:spacing w:line="360" w:lineRule="auto"/>
        <w:jc w:val="both"/>
        <w:rPr>
          <w:rFonts w:ascii="Times New Roman" w:eastAsia="Calibri" w:hAnsi="Times New Roman" w:cs="Times New Roman"/>
          <w:sz w:val="24"/>
        </w:rPr>
      </w:pPr>
    </w:p>
    <w:sectPr w:rsidR="00CC3772" w:rsidSect="00CB100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5F72" w14:textId="77777777" w:rsidR="000924B4" w:rsidRDefault="000924B4">
      <w:pPr>
        <w:spacing w:after="0" w:line="240" w:lineRule="auto"/>
      </w:pPr>
      <w:r>
        <w:separator/>
      </w:r>
    </w:p>
  </w:endnote>
  <w:endnote w:type="continuationSeparator" w:id="0">
    <w:p w14:paraId="2DDD4A28" w14:textId="77777777" w:rsidR="000924B4" w:rsidRDefault="0009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76D9" w14:textId="77777777" w:rsidR="00D16444" w:rsidRDefault="00D164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0E5C" w14:textId="77777777" w:rsidR="00D16444" w:rsidRDefault="00D164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D17C" w14:textId="77777777" w:rsidR="00D16444" w:rsidRDefault="00D164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89873" w14:textId="77777777" w:rsidR="000924B4" w:rsidRDefault="000924B4">
      <w:pPr>
        <w:spacing w:after="0" w:line="240" w:lineRule="auto"/>
      </w:pPr>
      <w:r>
        <w:separator/>
      </w:r>
    </w:p>
  </w:footnote>
  <w:footnote w:type="continuationSeparator" w:id="0">
    <w:p w14:paraId="5DEE6CA2" w14:textId="77777777" w:rsidR="000924B4" w:rsidRDefault="0009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AB568" w14:textId="3EE37321" w:rsidR="00D16444" w:rsidRDefault="000924B4">
    <w:pPr>
      <w:pStyle w:val="Header"/>
    </w:pPr>
    <w:r>
      <w:rPr>
        <w:noProof/>
      </w:rPr>
      <w:pict w14:anchorId="54F10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7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B3F5" w14:textId="2CF1FAB0" w:rsidR="00D16444" w:rsidRDefault="000924B4">
    <w:pPr>
      <w:pStyle w:val="Header"/>
    </w:pPr>
    <w:r>
      <w:rPr>
        <w:noProof/>
      </w:rPr>
      <w:pict w14:anchorId="7D547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7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3B7C" w14:textId="3B4B6856" w:rsidR="00D16444" w:rsidRDefault="000924B4">
    <w:pPr>
      <w:pStyle w:val="Header"/>
    </w:pPr>
    <w:r>
      <w:rPr>
        <w:noProof/>
      </w:rPr>
      <w:pict w14:anchorId="78ADB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7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E0202"/>
    <w:multiLevelType w:val="hybridMultilevel"/>
    <w:tmpl w:val="4FF4A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92EAE"/>
    <w:multiLevelType w:val="hybridMultilevel"/>
    <w:tmpl w:val="2DB6F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2592E"/>
    <w:multiLevelType w:val="hybridMultilevel"/>
    <w:tmpl w:val="6E4E13BA"/>
    <w:lvl w:ilvl="0" w:tplc="2E5E506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54922A33"/>
    <w:multiLevelType w:val="hybridMultilevel"/>
    <w:tmpl w:val="8F42800A"/>
    <w:lvl w:ilvl="0" w:tplc="D2A21F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6F00879"/>
    <w:multiLevelType w:val="hybridMultilevel"/>
    <w:tmpl w:val="6CD21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84"/>
    <w:rsid w:val="00000873"/>
    <w:rsid w:val="00016A46"/>
    <w:rsid w:val="00021B16"/>
    <w:rsid w:val="000241FD"/>
    <w:rsid w:val="0003170E"/>
    <w:rsid w:val="00031A57"/>
    <w:rsid w:val="000367DA"/>
    <w:rsid w:val="00036A54"/>
    <w:rsid w:val="0005600A"/>
    <w:rsid w:val="00056045"/>
    <w:rsid w:val="00062E62"/>
    <w:rsid w:val="00073767"/>
    <w:rsid w:val="00076144"/>
    <w:rsid w:val="0007679F"/>
    <w:rsid w:val="00077E2A"/>
    <w:rsid w:val="0008361E"/>
    <w:rsid w:val="0009093B"/>
    <w:rsid w:val="00091F54"/>
    <w:rsid w:val="000924B4"/>
    <w:rsid w:val="00094B2A"/>
    <w:rsid w:val="00097929"/>
    <w:rsid w:val="000A2CA5"/>
    <w:rsid w:val="000B0212"/>
    <w:rsid w:val="000B692E"/>
    <w:rsid w:val="000C1820"/>
    <w:rsid w:val="000D05B1"/>
    <w:rsid w:val="000D63BC"/>
    <w:rsid w:val="000F3B8C"/>
    <w:rsid w:val="000F5127"/>
    <w:rsid w:val="000F51AB"/>
    <w:rsid w:val="00102D88"/>
    <w:rsid w:val="00113540"/>
    <w:rsid w:val="00113A16"/>
    <w:rsid w:val="001168E7"/>
    <w:rsid w:val="00123FA9"/>
    <w:rsid w:val="0013222B"/>
    <w:rsid w:val="00151DDC"/>
    <w:rsid w:val="00161455"/>
    <w:rsid w:val="00164298"/>
    <w:rsid w:val="00167E6D"/>
    <w:rsid w:val="00171D0A"/>
    <w:rsid w:val="0018490A"/>
    <w:rsid w:val="00185E04"/>
    <w:rsid w:val="00194B2F"/>
    <w:rsid w:val="001A0F8C"/>
    <w:rsid w:val="001A3EB1"/>
    <w:rsid w:val="001B399D"/>
    <w:rsid w:val="001B759A"/>
    <w:rsid w:val="001D084D"/>
    <w:rsid w:val="001D3B83"/>
    <w:rsid w:val="001E75ED"/>
    <w:rsid w:val="002049C6"/>
    <w:rsid w:val="0020596F"/>
    <w:rsid w:val="00215D28"/>
    <w:rsid w:val="00236101"/>
    <w:rsid w:val="00236F13"/>
    <w:rsid w:val="00237CDC"/>
    <w:rsid w:val="002409B8"/>
    <w:rsid w:val="00241F0F"/>
    <w:rsid w:val="002435AD"/>
    <w:rsid w:val="00244FCC"/>
    <w:rsid w:val="00247A0B"/>
    <w:rsid w:val="00253C53"/>
    <w:rsid w:val="0025695A"/>
    <w:rsid w:val="00257369"/>
    <w:rsid w:val="00260F07"/>
    <w:rsid w:val="002667E0"/>
    <w:rsid w:val="002707E3"/>
    <w:rsid w:val="002863E8"/>
    <w:rsid w:val="002906ED"/>
    <w:rsid w:val="002A300F"/>
    <w:rsid w:val="002A3BB2"/>
    <w:rsid w:val="002A501C"/>
    <w:rsid w:val="002B2DCB"/>
    <w:rsid w:val="002C3F10"/>
    <w:rsid w:val="002C64F2"/>
    <w:rsid w:val="002D030D"/>
    <w:rsid w:val="002D3056"/>
    <w:rsid w:val="002D3EC6"/>
    <w:rsid w:val="002D5A9C"/>
    <w:rsid w:val="002D5E43"/>
    <w:rsid w:val="002D5EAF"/>
    <w:rsid w:val="002D77EC"/>
    <w:rsid w:val="002F08DD"/>
    <w:rsid w:val="002F26F5"/>
    <w:rsid w:val="002F2A92"/>
    <w:rsid w:val="00303CBC"/>
    <w:rsid w:val="00313300"/>
    <w:rsid w:val="00317F14"/>
    <w:rsid w:val="003226D8"/>
    <w:rsid w:val="0032342D"/>
    <w:rsid w:val="00323E83"/>
    <w:rsid w:val="0033022B"/>
    <w:rsid w:val="00332DA0"/>
    <w:rsid w:val="0033496B"/>
    <w:rsid w:val="00335A9F"/>
    <w:rsid w:val="00342837"/>
    <w:rsid w:val="003512BC"/>
    <w:rsid w:val="00366470"/>
    <w:rsid w:val="00367AF1"/>
    <w:rsid w:val="00376A28"/>
    <w:rsid w:val="003803A5"/>
    <w:rsid w:val="0038445E"/>
    <w:rsid w:val="003A3BE1"/>
    <w:rsid w:val="003A7582"/>
    <w:rsid w:val="003B6B3F"/>
    <w:rsid w:val="003E1684"/>
    <w:rsid w:val="003E25F1"/>
    <w:rsid w:val="003E2818"/>
    <w:rsid w:val="003F4C04"/>
    <w:rsid w:val="003F529C"/>
    <w:rsid w:val="004001CD"/>
    <w:rsid w:val="0040102D"/>
    <w:rsid w:val="0041089F"/>
    <w:rsid w:val="004113B6"/>
    <w:rsid w:val="004206A8"/>
    <w:rsid w:val="00427C9C"/>
    <w:rsid w:val="00435EFE"/>
    <w:rsid w:val="004416A3"/>
    <w:rsid w:val="00455EE8"/>
    <w:rsid w:val="0045735C"/>
    <w:rsid w:val="00463215"/>
    <w:rsid w:val="004762A5"/>
    <w:rsid w:val="004942BA"/>
    <w:rsid w:val="004944ED"/>
    <w:rsid w:val="00495F45"/>
    <w:rsid w:val="004C1F08"/>
    <w:rsid w:val="004D1670"/>
    <w:rsid w:val="004D3EA8"/>
    <w:rsid w:val="004D7463"/>
    <w:rsid w:val="004F067B"/>
    <w:rsid w:val="004F3F7F"/>
    <w:rsid w:val="004F61DB"/>
    <w:rsid w:val="00512B7C"/>
    <w:rsid w:val="0051581A"/>
    <w:rsid w:val="00517206"/>
    <w:rsid w:val="0051773E"/>
    <w:rsid w:val="00535ABE"/>
    <w:rsid w:val="00543885"/>
    <w:rsid w:val="0054779E"/>
    <w:rsid w:val="00554AEB"/>
    <w:rsid w:val="00554F17"/>
    <w:rsid w:val="005572CF"/>
    <w:rsid w:val="00557E85"/>
    <w:rsid w:val="00562695"/>
    <w:rsid w:val="005A6322"/>
    <w:rsid w:val="005B001C"/>
    <w:rsid w:val="005C0E41"/>
    <w:rsid w:val="005C4807"/>
    <w:rsid w:val="005D0BAF"/>
    <w:rsid w:val="005D2D54"/>
    <w:rsid w:val="005D4211"/>
    <w:rsid w:val="005E0719"/>
    <w:rsid w:val="005F3224"/>
    <w:rsid w:val="00605EB4"/>
    <w:rsid w:val="00606ADE"/>
    <w:rsid w:val="0060769A"/>
    <w:rsid w:val="00610CF3"/>
    <w:rsid w:val="0061243E"/>
    <w:rsid w:val="0062614D"/>
    <w:rsid w:val="006270C1"/>
    <w:rsid w:val="00627AEC"/>
    <w:rsid w:val="006303F3"/>
    <w:rsid w:val="006473F7"/>
    <w:rsid w:val="0064752A"/>
    <w:rsid w:val="006540B1"/>
    <w:rsid w:val="006622C7"/>
    <w:rsid w:val="00665524"/>
    <w:rsid w:val="00670A7B"/>
    <w:rsid w:val="00683036"/>
    <w:rsid w:val="006832E5"/>
    <w:rsid w:val="006849A4"/>
    <w:rsid w:val="00690E99"/>
    <w:rsid w:val="006928D5"/>
    <w:rsid w:val="006A3709"/>
    <w:rsid w:val="006A383B"/>
    <w:rsid w:val="006A3B37"/>
    <w:rsid w:val="006A58BB"/>
    <w:rsid w:val="006B265E"/>
    <w:rsid w:val="006B2CF9"/>
    <w:rsid w:val="006B3259"/>
    <w:rsid w:val="006B3546"/>
    <w:rsid w:val="006C3650"/>
    <w:rsid w:val="006C4C92"/>
    <w:rsid w:val="006C58F6"/>
    <w:rsid w:val="006D2300"/>
    <w:rsid w:val="006D34DF"/>
    <w:rsid w:val="006E3922"/>
    <w:rsid w:val="006F577C"/>
    <w:rsid w:val="006F58B9"/>
    <w:rsid w:val="006F784D"/>
    <w:rsid w:val="00707689"/>
    <w:rsid w:val="00717118"/>
    <w:rsid w:val="00735451"/>
    <w:rsid w:val="0073594F"/>
    <w:rsid w:val="007474EA"/>
    <w:rsid w:val="00753629"/>
    <w:rsid w:val="00754607"/>
    <w:rsid w:val="00765889"/>
    <w:rsid w:val="00770738"/>
    <w:rsid w:val="00775170"/>
    <w:rsid w:val="00776BDA"/>
    <w:rsid w:val="00776C2C"/>
    <w:rsid w:val="00780677"/>
    <w:rsid w:val="00782A00"/>
    <w:rsid w:val="00796C1A"/>
    <w:rsid w:val="007A1FCE"/>
    <w:rsid w:val="007D521A"/>
    <w:rsid w:val="007E12D5"/>
    <w:rsid w:val="007E32B6"/>
    <w:rsid w:val="00803B04"/>
    <w:rsid w:val="00805E69"/>
    <w:rsid w:val="008070FC"/>
    <w:rsid w:val="00817196"/>
    <w:rsid w:val="00820F6A"/>
    <w:rsid w:val="0082339E"/>
    <w:rsid w:val="008445B0"/>
    <w:rsid w:val="008529BE"/>
    <w:rsid w:val="00854E70"/>
    <w:rsid w:val="00856834"/>
    <w:rsid w:val="00856869"/>
    <w:rsid w:val="00861291"/>
    <w:rsid w:val="008628EB"/>
    <w:rsid w:val="008731D0"/>
    <w:rsid w:val="0087627D"/>
    <w:rsid w:val="00892C00"/>
    <w:rsid w:val="008931F7"/>
    <w:rsid w:val="008A11A8"/>
    <w:rsid w:val="008A5B30"/>
    <w:rsid w:val="008B0752"/>
    <w:rsid w:val="008B6387"/>
    <w:rsid w:val="008C319B"/>
    <w:rsid w:val="008C3BAA"/>
    <w:rsid w:val="008D42BE"/>
    <w:rsid w:val="008D57FD"/>
    <w:rsid w:val="008E7777"/>
    <w:rsid w:val="008F17B6"/>
    <w:rsid w:val="00903D5E"/>
    <w:rsid w:val="00921816"/>
    <w:rsid w:val="00921820"/>
    <w:rsid w:val="00924086"/>
    <w:rsid w:val="00930F44"/>
    <w:rsid w:val="00935368"/>
    <w:rsid w:val="00940ACE"/>
    <w:rsid w:val="009434A3"/>
    <w:rsid w:val="00944CF0"/>
    <w:rsid w:val="00946C97"/>
    <w:rsid w:val="00956583"/>
    <w:rsid w:val="0095663E"/>
    <w:rsid w:val="00962FBE"/>
    <w:rsid w:val="00965439"/>
    <w:rsid w:val="00967C40"/>
    <w:rsid w:val="00973109"/>
    <w:rsid w:val="00974ABF"/>
    <w:rsid w:val="00975CC7"/>
    <w:rsid w:val="00976DD2"/>
    <w:rsid w:val="00980295"/>
    <w:rsid w:val="0098032B"/>
    <w:rsid w:val="0098240A"/>
    <w:rsid w:val="009874CF"/>
    <w:rsid w:val="00987AF1"/>
    <w:rsid w:val="00994912"/>
    <w:rsid w:val="00996D90"/>
    <w:rsid w:val="009C43A5"/>
    <w:rsid w:val="009D2793"/>
    <w:rsid w:val="009E67F2"/>
    <w:rsid w:val="00A210DA"/>
    <w:rsid w:val="00A21C44"/>
    <w:rsid w:val="00A2295E"/>
    <w:rsid w:val="00A23B48"/>
    <w:rsid w:val="00A2404A"/>
    <w:rsid w:val="00A35123"/>
    <w:rsid w:val="00A47F40"/>
    <w:rsid w:val="00A55BDB"/>
    <w:rsid w:val="00A726B4"/>
    <w:rsid w:val="00A73ABB"/>
    <w:rsid w:val="00A7400C"/>
    <w:rsid w:val="00A763FC"/>
    <w:rsid w:val="00A8584A"/>
    <w:rsid w:val="00A91A28"/>
    <w:rsid w:val="00A9476A"/>
    <w:rsid w:val="00A95607"/>
    <w:rsid w:val="00AB3ED5"/>
    <w:rsid w:val="00AB7095"/>
    <w:rsid w:val="00AC0F9E"/>
    <w:rsid w:val="00AD500F"/>
    <w:rsid w:val="00AD59D6"/>
    <w:rsid w:val="00AD66EE"/>
    <w:rsid w:val="00AE160C"/>
    <w:rsid w:val="00AE50F1"/>
    <w:rsid w:val="00AF38DB"/>
    <w:rsid w:val="00B00B72"/>
    <w:rsid w:val="00B01EA1"/>
    <w:rsid w:val="00B02BA3"/>
    <w:rsid w:val="00B04BFA"/>
    <w:rsid w:val="00B10F73"/>
    <w:rsid w:val="00B10F76"/>
    <w:rsid w:val="00B21CAC"/>
    <w:rsid w:val="00B238D1"/>
    <w:rsid w:val="00B23E34"/>
    <w:rsid w:val="00B312D5"/>
    <w:rsid w:val="00B33B4C"/>
    <w:rsid w:val="00B34ED8"/>
    <w:rsid w:val="00B40361"/>
    <w:rsid w:val="00B422EA"/>
    <w:rsid w:val="00B50423"/>
    <w:rsid w:val="00B558A3"/>
    <w:rsid w:val="00B66050"/>
    <w:rsid w:val="00B732FE"/>
    <w:rsid w:val="00B7571B"/>
    <w:rsid w:val="00B87F57"/>
    <w:rsid w:val="00B91A89"/>
    <w:rsid w:val="00BB72E3"/>
    <w:rsid w:val="00BC02F3"/>
    <w:rsid w:val="00BD3637"/>
    <w:rsid w:val="00BD6D70"/>
    <w:rsid w:val="00BE13BD"/>
    <w:rsid w:val="00C02E37"/>
    <w:rsid w:val="00C10172"/>
    <w:rsid w:val="00C1459B"/>
    <w:rsid w:val="00C311E5"/>
    <w:rsid w:val="00C460AB"/>
    <w:rsid w:val="00C464C3"/>
    <w:rsid w:val="00C50D25"/>
    <w:rsid w:val="00C5158E"/>
    <w:rsid w:val="00C52BDA"/>
    <w:rsid w:val="00C565BD"/>
    <w:rsid w:val="00C6605B"/>
    <w:rsid w:val="00C72E0F"/>
    <w:rsid w:val="00C82EFB"/>
    <w:rsid w:val="00C95775"/>
    <w:rsid w:val="00CA3B7D"/>
    <w:rsid w:val="00CA4BA7"/>
    <w:rsid w:val="00CB1009"/>
    <w:rsid w:val="00CB1C7F"/>
    <w:rsid w:val="00CB684E"/>
    <w:rsid w:val="00CB6EA4"/>
    <w:rsid w:val="00CC3772"/>
    <w:rsid w:val="00CD6296"/>
    <w:rsid w:val="00CE7197"/>
    <w:rsid w:val="00CF325F"/>
    <w:rsid w:val="00CF5434"/>
    <w:rsid w:val="00D12B8D"/>
    <w:rsid w:val="00D157E8"/>
    <w:rsid w:val="00D16444"/>
    <w:rsid w:val="00D169F8"/>
    <w:rsid w:val="00D32974"/>
    <w:rsid w:val="00D359E1"/>
    <w:rsid w:val="00D40EC6"/>
    <w:rsid w:val="00D418E5"/>
    <w:rsid w:val="00D42B9F"/>
    <w:rsid w:val="00D60834"/>
    <w:rsid w:val="00D62B84"/>
    <w:rsid w:val="00D6328B"/>
    <w:rsid w:val="00D63851"/>
    <w:rsid w:val="00D65D16"/>
    <w:rsid w:val="00D769C5"/>
    <w:rsid w:val="00D861EC"/>
    <w:rsid w:val="00DA4C84"/>
    <w:rsid w:val="00DB5DF8"/>
    <w:rsid w:val="00DB71BF"/>
    <w:rsid w:val="00DC3709"/>
    <w:rsid w:val="00DC481C"/>
    <w:rsid w:val="00DC56D2"/>
    <w:rsid w:val="00DC68FD"/>
    <w:rsid w:val="00DC7B35"/>
    <w:rsid w:val="00DE1E1E"/>
    <w:rsid w:val="00DE4ACC"/>
    <w:rsid w:val="00DF0B38"/>
    <w:rsid w:val="00DF2882"/>
    <w:rsid w:val="00E02900"/>
    <w:rsid w:val="00E06DEF"/>
    <w:rsid w:val="00E12C04"/>
    <w:rsid w:val="00E214F5"/>
    <w:rsid w:val="00E2388E"/>
    <w:rsid w:val="00E23C9F"/>
    <w:rsid w:val="00E24A50"/>
    <w:rsid w:val="00E35D26"/>
    <w:rsid w:val="00E81201"/>
    <w:rsid w:val="00E826FE"/>
    <w:rsid w:val="00E93E55"/>
    <w:rsid w:val="00E95C06"/>
    <w:rsid w:val="00E96AB8"/>
    <w:rsid w:val="00EA0BF8"/>
    <w:rsid w:val="00EA5C6A"/>
    <w:rsid w:val="00EC233C"/>
    <w:rsid w:val="00EC6690"/>
    <w:rsid w:val="00EE0980"/>
    <w:rsid w:val="00EE5A3D"/>
    <w:rsid w:val="00EF7994"/>
    <w:rsid w:val="00F03979"/>
    <w:rsid w:val="00F03B57"/>
    <w:rsid w:val="00F16B9D"/>
    <w:rsid w:val="00F224BE"/>
    <w:rsid w:val="00F232A8"/>
    <w:rsid w:val="00F308AD"/>
    <w:rsid w:val="00F3484A"/>
    <w:rsid w:val="00F37710"/>
    <w:rsid w:val="00F53B08"/>
    <w:rsid w:val="00F5775C"/>
    <w:rsid w:val="00F611C7"/>
    <w:rsid w:val="00F63BB3"/>
    <w:rsid w:val="00F65159"/>
    <w:rsid w:val="00F71FF5"/>
    <w:rsid w:val="00F93829"/>
    <w:rsid w:val="00FA3470"/>
    <w:rsid w:val="00FA3C30"/>
    <w:rsid w:val="00FB5755"/>
    <w:rsid w:val="00FC503E"/>
    <w:rsid w:val="00FE2CAF"/>
    <w:rsid w:val="00FE60C8"/>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8D91F2"/>
  <w15:chartTrackingRefBased/>
  <w15:docId w15:val="{8A9E9EE4-E986-41BE-B9FD-7A69D364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562695"/>
  </w:style>
  <w:style w:type="paragraph" w:styleId="Caption">
    <w:name w:val="caption"/>
    <w:basedOn w:val="Normal"/>
    <w:next w:val="Normal"/>
    <w:qFormat/>
    <w:rsid w:val="00512B7C"/>
    <w:pPr>
      <w:jc w:val="both"/>
    </w:pPr>
    <w:rPr>
      <w:rFonts w:ascii="Times New Roman" w:eastAsia="Calibri" w:hAnsi="Times New Roman" w:cs="Times New Roman"/>
      <w:b/>
      <w:bCs/>
      <w:sz w:val="20"/>
      <w:szCs w:val="20"/>
    </w:rPr>
  </w:style>
  <w:style w:type="paragraph" w:styleId="NormalWeb">
    <w:name w:val="Normal (Web)"/>
    <w:basedOn w:val="Normal"/>
    <w:uiPriority w:val="99"/>
    <w:unhideWhenUsed/>
    <w:rsid w:val="00796C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70C1"/>
    <w:pPr>
      <w:ind w:left="720"/>
      <w:contextualSpacing/>
    </w:pPr>
  </w:style>
  <w:style w:type="character" w:styleId="Hyperlink">
    <w:name w:val="Hyperlink"/>
    <w:uiPriority w:val="99"/>
    <w:unhideWhenUsed/>
    <w:rsid w:val="001168E7"/>
    <w:rPr>
      <w:color w:val="0563C1"/>
      <w:u w:val="single"/>
    </w:rPr>
  </w:style>
  <w:style w:type="character" w:customStyle="1" w:styleId="fontstyle01">
    <w:name w:val="fontstyle01"/>
    <w:basedOn w:val="DefaultParagraphFont"/>
    <w:rsid w:val="00D157E8"/>
    <w:rPr>
      <w:rFonts w:ascii="ArialMT" w:hAnsi="ArialMT" w:hint="default"/>
      <w:b w:val="0"/>
      <w:bCs w:val="0"/>
      <w:i w:val="0"/>
      <w:iCs w:val="0"/>
      <w:color w:val="000000"/>
      <w:sz w:val="20"/>
      <w:szCs w:val="20"/>
    </w:rPr>
  </w:style>
  <w:style w:type="character" w:customStyle="1" w:styleId="fontstyle21">
    <w:name w:val="fontstyle21"/>
    <w:basedOn w:val="DefaultParagraphFont"/>
    <w:rsid w:val="00B66050"/>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B2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34"/>
  </w:style>
  <w:style w:type="paragraph" w:styleId="Footer">
    <w:name w:val="footer"/>
    <w:basedOn w:val="Normal"/>
    <w:link w:val="FooterChar"/>
    <w:uiPriority w:val="99"/>
    <w:unhideWhenUsed/>
    <w:rsid w:val="00B2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34"/>
  </w:style>
  <w:style w:type="character" w:styleId="CommentReference">
    <w:name w:val="annotation reference"/>
    <w:basedOn w:val="DefaultParagraphFont"/>
    <w:uiPriority w:val="99"/>
    <w:semiHidden/>
    <w:unhideWhenUsed/>
    <w:rsid w:val="00B02BA3"/>
    <w:rPr>
      <w:sz w:val="16"/>
      <w:szCs w:val="16"/>
    </w:rPr>
  </w:style>
  <w:style w:type="paragraph" w:styleId="CommentText">
    <w:name w:val="annotation text"/>
    <w:basedOn w:val="Normal"/>
    <w:link w:val="CommentTextChar"/>
    <w:uiPriority w:val="99"/>
    <w:semiHidden/>
    <w:unhideWhenUsed/>
    <w:rsid w:val="00B02BA3"/>
    <w:pPr>
      <w:spacing w:line="240" w:lineRule="auto"/>
    </w:pPr>
    <w:rPr>
      <w:sz w:val="20"/>
      <w:szCs w:val="20"/>
    </w:rPr>
  </w:style>
  <w:style w:type="character" w:customStyle="1" w:styleId="CommentTextChar">
    <w:name w:val="Comment Text Char"/>
    <w:basedOn w:val="DefaultParagraphFont"/>
    <w:link w:val="CommentText"/>
    <w:uiPriority w:val="99"/>
    <w:semiHidden/>
    <w:rsid w:val="00B02BA3"/>
    <w:rPr>
      <w:sz w:val="20"/>
      <w:szCs w:val="20"/>
    </w:rPr>
  </w:style>
  <w:style w:type="paragraph" w:styleId="CommentSubject">
    <w:name w:val="annotation subject"/>
    <w:basedOn w:val="CommentText"/>
    <w:next w:val="CommentText"/>
    <w:link w:val="CommentSubjectChar"/>
    <w:uiPriority w:val="99"/>
    <w:semiHidden/>
    <w:unhideWhenUsed/>
    <w:rsid w:val="00B02BA3"/>
    <w:rPr>
      <w:b/>
      <w:bCs/>
    </w:rPr>
  </w:style>
  <w:style w:type="character" w:customStyle="1" w:styleId="CommentSubjectChar">
    <w:name w:val="Comment Subject Char"/>
    <w:basedOn w:val="CommentTextChar"/>
    <w:link w:val="CommentSubject"/>
    <w:uiPriority w:val="99"/>
    <w:semiHidden/>
    <w:rsid w:val="00B02BA3"/>
    <w:rPr>
      <w:b/>
      <w:bCs/>
      <w:sz w:val="20"/>
      <w:szCs w:val="20"/>
    </w:rPr>
  </w:style>
  <w:style w:type="paragraph" w:styleId="BalloonText">
    <w:name w:val="Balloon Text"/>
    <w:basedOn w:val="Normal"/>
    <w:link w:val="BalloonTextChar"/>
    <w:uiPriority w:val="99"/>
    <w:semiHidden/>
    <w:unhideWhenUsed/>
    <w:rsid w:val="00B0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A3"/>
    <w:rPr>
      <w:rFonts w:ascii="Segoe UI" w:hAnsi="Segoe UI" w:cs="Segoe UI"/>
      <w:sz w:val="18"/>
      <w:szCs w:val="18"/>
    </w:rPr>
  </w:style>
  <w:style w:type="character" w:customStyle="1" w:styleId="UnresolvedMention">
    <w:name w:val="Unresolved Mention"/>
    <w:basedOn w:val="DefaultParagraphFont"/>
    <w:uiPriority w:val="99"/>
    <w:semiHidden/>
    <w:unhideWhenUsed/>
    <w:rsid w:val="008C3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555">
      <w:bodyDiv w:val="1"/>
      <w:marLeft w:val="0"/>
      <w:marRight w:val="0"/>
      <w:marTop w:val="0"/>
      <w:marBottom w:val="0"/>
      <w:divBdr>
        <w:top w:val="none" w:sz="0" w:space="0" w:color="auto"/>
        <w:left w:val="none" w:sz="0" w:space="0" w:color="auto"/>
        <w:bottom w:val="none" w:sz="0" w:space="0" w:color="auto"/>
        <w:right w:val="none" w:sz="0" w:space="0" w:color="auto"/>
      </w:divBdr>
      <w:divsChild>
        <w:div w:id="1150243716">
          <w:marLeft w:val="0"/>
          <w:marRight w:val="0"/>
          <w:marTop w:val="0"/>
          <w:marBottom w:val="0"/>
          <w:divBdr>
            <w:top w:val="none" w:sz="0" w:space="0" w:color="auto"/>
            <w:left w:val="none" w:sz="0" w:space="0" w:color="auto"/>
            <w:bottom w:val="none" w:sz="0" w:space="0" w:color="auto"/>
            <w:right w:val="none" w:sz="0" w:space="0" w:color="auto"/>
          </w:divBdr>
          <w:divsChild>
            <w:div w:id="1936281861">
              <w:marLeft w:val="0"/>
              <w:marRight w:val="0"/>
              <w:marTop w:val="0"/>
              <w:marBottom w:val="0"/>
              <w:divBdr>
                <w:top w:val="none" w:sz="0" w:space="0" w:color="auto"/>
                <w:left w:val="none" w:sz="0" w:space="0" w:color="auto"/>
                <w:bottom w:val="none" w:sz="0" w:space="0" w:color="auto"/>
                <w:right w:val="none" w:sz="0" w:space="0" w:color="auto"/>
              </w:divBdr>
              <w:divsChild>
                <w:div w:id="787699297">
                  <w:marLeft w:val="0"/>
                  <w:marRight w:val="0"/>
                  <w:marTop w:val="0"/>
                  <w:marBottom w:val="0"/>
                  <w:divBdr>
                    <w:top w:val="none" w:sz="0" w:space="0" w:color="auto"/>
                    <w:left w:val="none" w:sz="0" w:space="0" w:color="auto"/>
                    <w:bottom w:val="none" w:sz="0" w:space="0" w:color="auto"/>
                    <w:right w:val="none" w:sz="0" w:space="0" w:color="auto"/>
                  </w:divBdr>
                  <w:divsChild>
                    <w:div w:id="306937306">
                      <w:marLeft w:val="0"/>
                      <w:marRight w:val="0"/>
                      <w:marTop w:val="0"/>
                      <w:marBottom w:val="0"/>
                      <w:divBdr>
                        <w:top w:val="none" w:sz="0" w:space="0" w:color="auto"/>
                        <w:left w:val="none" w:sz="0" w:space="0" w:color="auto"/>
                        <w:bottom w:val="none" w:sz="0" w:space="0" w:color="auto"/>
                        <w:right w:val="none" w:sz="0" w:space="0" w:color="auto"/>
                      </w:divBdr>
                      <w:divsChild>
                        <w:div w:id="1575361718">
                          <w:marLeft w:val="0"/>
                          <w:marRight w:val="0"/>
                          <w:marTop w:val="0"/>
                          <w:marBottom w:val="0"/>
                          <w:divBdr>
                            <w:top w:val="none" w:sz="0" w:space="0" w:color="auto"/>
                            <w:left w:val="none" w:sz="0" w:space="0" w:color="auto"/>
                            <w:bottom w:val="none" w:sz="0" w:space="0" w:color="auto"/>
                            <w:right w:val="none" w:sz="0" w:space="0" w:color="auto"/>
                          </w:divBdr>
                          <w:divsChild>
                            <w:div w:id="1981380312">
                              <w:marLeft w:val="0"/>
                              <w:marRight w:val="0"/>
                              <w:marTop w:val="0"/>
                              <w:marBottom w:val="0"/>
                              <w:divBdr>
                                <w:top w:val="none" w:sz="0" w:space="0" w:color="auto"/>
                                <w:left w:val="none" w:sz="0" w:space="0" w:color="auto"/>
                                <w:bottom w:val="none" w:sz="0" w:space="0" w:color="auto"/>
                                <w:right w:val="none" w:sz="0" w:space="0" w:color="auto"/>
                              </w:divBdr>
                              <w:divsChild>
                                <w:div w:id="437214488">
                                  <w:marLeft w:val="0"/>
                                  <w:marRight w:val="0"/>
                                  <w:marTop w:val="0"/>
                                  <w:marBottom w:val="0"/>
                                  <w:divBdr>
                                    <w:top w:val="none" w:sz="0" w:space="0" w:color="auto"/>
                                    <w:left w:val="none" w:sz="0" w:space="0" w:color="auto"/>
                                    <w:bottom w:val="none" w:sz="0" w:space="0" w:color="auto"/>
                                    <w:right w:val="none" w:sz="0" w:space="0" w:color="auto"/>
                                  </w:divBdr>
                                  <w:divsChild>
                                    <w:div w:id="501508694">
                                      <w:marLeft w:val="0"/>
                                      <w:marRight w:val="0"/>
                                      <w:marTop w:val="0"/>
                                      <w:marBottom w:val="0"/>
                                      <w:divBdr>
                                        <w:top w:val="none" w:sz="0" w:space="0" w:color="auto"/>
                                        <w:left w:val="none" w:sz="0" w:space="0" w:color="auto"/>
                                        <w:bottom w:val="none" w:sz="0" w:space="0" w:color="auto"/>
                                        <w:right w:val="none" w:sz="0" w:space="0" w:color="auto"/>
                                      </w:divBdr>
                                      <w:divsChild>
                                        <w:div w:id="467213218">
                                          <w:marLeft w:val="0"/>
                                          <w:marRight w:val="0"/>
                                          <w:marTop w:val="0"/>
                                          <w:marBottom w:val="0"/>
                                          <w:divBdr>
                                            <w:top w:val="none" w:sz="0" w:space="0" w:color="auto"/>
                                            <w:left w:val="none" w:sz="0" w:space="0" w:color="auto"/>
                                            <w:bottom w:val="none" w:sz="0" w:space="0" w:color="auto"/>
                                            <w:right w:val="none" w:sz="0" w:space="0" w:color="auto"/>
                                          </w:divBdr>
                                          <w:divsChild>
                                            <w:div w:id="462117985">
                                              <w:marLeft w:val="0"/>
                                              <w:marRight w:val="0"/>
                                              <w:marTop w:val="0"/>
                                              <w:marBottom w:val="0"/>
                                              <w:divBdr>
                                                <w:top w:val="none" w:sz="0" w:space="0" w:color="auto"/>
                                                <w:left w:val="none" w:sz="0" w:space="0" w:color="auto"/>
                                                <w:bottom w:val="none" w:sz="0" w:space="0" w:color="auto"/>
                                                <w:right w:val="none" w:sz="0" w:space="0" w:color="auto"/>
                                              </w:divBdr>
                                              <w:divsChild>
                                                <w:div w:id="1885172061">
                                                  <w:marLeft w:val="0"/>
                                                  <w:marRight w:val="0"/>
                                                  <w:marTop w:val="0"/>
                                                  <w:marBottom w:val="0"/>
                                                  <w:divBdr>
                                                    <w:top w:val="none" w:sz="0" w:space="0" w:color="auto"/>
                                                    <w:left w:val="none" w:sz="0" w:space="0" w:color="auto"/>
                                                    <w:bottom w:val="none" w:sz="0" w:space="0" w:color="auto"/>
                                                    <w:right w:val="none" w:sz="0" w:space="0" w:color="auto"/>
                                                  </w:divBdr>
                                                  <w:divsChild>
                                                    <w:div w:id="874541831">
                                                      <w:marLeft w:val="0"/>
                                                      <w:marRight w:val="0"/>
                                                      <w:marTop w:val="0"/>
                                                      <w:marBottom w:val="0"/>
                                                      <w:divBdr>
                                                        <w:top w:val="none" w:sz="0" w:space="0" w:color="auto"/>
                                                        <w:left w:val="none" w:sz="0" w:space="0" w:color="auto"/>
                                                        <w:bottom w:val="none" w:sz="0" w:space="0" w:color="auto"/>
                                                        <w:right w:val="none" w:sz="0" w:space="0" w:color="auto"/>
                                                      </w:divBdr>
                                                      <w:divsChild>
                                                        <w:div w:id="3055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69031">
      <w:bodyDiv w:val="1"/>
      <w:marLeft w:val="0"/>
      <w:marRight w:val="0"/>
      <w:marTop w:val="0"/>
      <w:marBottom w:val="0"/>
      <w:divBdr>
        <w:top w:val="none" w:sz="0" w:space="0" w:color="auto"/>
        <w:left w:val="none" w:sz="0" w:space="0" w:color="auto"/>
        <w:bottom w:val="none" w:sz="0" w:space="0" w:color="auto"/>
        <w:right w:val="none" w:sz="0" w:space="0" w:color="auto"/>
      </w:divBdr>
    </w:div>
    <w:div w:id="237055582">
      <w:bodyDiv w:val="1"/>
      <w:marLeft w:val="0"/>
      <w:marRight w:val="0"/>
      <w:marTop w:val="0"/>
      <w:marBottom w:val="0"/>
      <w:divBdr>
        <w:top w:val="none" w:sz="0" w:space="0" w:color="auto"/>
        <w:left w:val="none" w:sz="0" w:space="0" w:color="auto"/>
        <w:bottom w:val="none" w:sz="0" w:space="0" w:color="auto"/>
        <w:right w:val="none" w:sz="0" w:space="0" w:color="auto"/>
      </w:divBdr>
      <w:divsChild>
        <w:div w:id="296450470">
          <w:marLeft w:val="0"/>
          <w:marRight w:val="0"/>
          <w:marTop w:val="0"/>
          <w:marBottom w:val="0"/>
          <w:divBdr>
            <w:top w:val="none" w:sz="0" w:space="0" w:color="auto"/>
            <w:left w:val="none" w:sz="0" w:space="0" w:color="auto"/>
            <w:bottom w:val="none" w:sz="0" w:space="0" w:color="auto"/>
            <w:right w:val="none" w:sz="0" w:space="0" w:color="auto"/>
          </w:divBdr>
          <w:divsChild>
            <w:div w:id="1290279154">
              <w:marLeft w:val="0"/>
              <w:marRight w:val="0"/>
              <w:marTop w:val="0"/>
              <w:marBottom w:val="0"/>
              <w:divBdr>
                <w:top w:val="none" w:sz="0" w:space="0" w:color="auto"/>
                <w:left w:val="none" w:sz="0" w:space="0" w:color="auto"/>
                <w:bottom w:val="none" w:sz="0" w:space="0" w:color="auto"/>
                <w:right w:val="none" w:sz="0" w:space="0" w:color="auto"/>
              </w:divBdr>
              <w:divsChild>
                <w:div w:id="1766266503">
                  <w:marLeft w:val="0"/>
                  <w:marRight w:val="0"/>
                  <w:marTop w:val="0"/>
                  <w:marBottom w:val="0"/>
                  <w:divBdr>
                    <w:top w:val="none" w:sz="0" w:space="0" w:color="auto"/>
                    <w:left w:val="none" w:sz="0" w:space="0" w:color="auto"/>
                    <w:bottom w:val="none" w:sz="0" w:space="0" w:color="auto"/>
                    <w:right w:val="none" w:sz="0" w:space="0" w:color="auto"/>
                  </w:divBdr>
                  <w:divsChild>
                    <w:div w:id="1201016125">
                      <w:marLeft w:val="0"/>
                      <w:marRight w:val="0"/>
                      <w:marTop w:val="0"/>
                      <w:marBottom w:val="0"/>
                      <w:divBdr>
                        <w:top w:val="none" w:sz="0" w:space="0" w:color="auto"/>
                        <w:left w:val="none" w:sz="0" w:space="0" w:color="auto"/>
                        <w:bottom w:val="none" w:sz="0" w:space="0" w:color="auto"/>
                        <w:right w:val="none" w:sz="0" w:space="0" w:color="auto"/>
                      </w:divBdr>
                      <w:divsChild>
                        <w:div w:id="809638218">
                          <w:marLeft w:val="0"/>
                          <w:marRight w:val="0"/>
                          <w:marTop w:val="0"/>
                          <w:marBottom w:val="0"/>
                          <w:divBdr>
                            <w:top w:val="none" w:sz="0" w:space="0" w:color="auto"/>
                            <w:left w:val="none" w:sz="0" w:space="0" w:color="auto"/>
                            <w:bottom w:val="none" w:sz="0" w:space="0" w:color="auto"/>
                            <w:right w:val="none" w:sz="0" w:space="0" w:color="auto"/>
                          </w:divBdr>
                          <w:divsChild>
                            <w:div w:id="1202592441">
                              <w:marLeft w:val="0"/>
                              <w:marRight w:val="0"/>
                              <w:marTop w:val="0"/>
                              <w:marBottom w:val="0"/>
                              <w:divBdr>
                                <w:top w:val="none" w:sz="0" w:space="0" w:color="auto"/>
                                <w:left w:val="none" w:sz="0" w:space="0" w:color="auto"/>
                                <w:bottom w:val="none" w:sz="0" w:space="0" w:color="auto"/>
                                <w:right w:val="none" w:sz="0" w:space="0" w:color="auto"/>
                              </w:divBdr>
                              <w:divsChild>
                                <w:div w:id="2013336222">
                                  <w:marLeft w:val="0"/>
                                  <w:marRight w:val="0"/>
                                  <w:marTop w:val="0"/>
                                  <w:marBottom w:val="0"/>
                                  <w:divBdr>
                                    <w:top w:val="none" w:sz="0" w:space="0" w:color="auto"/>
                                    <w:left w:val="none" w:sz="0" w:space="0" w:color="auto"/>
                                    <w:bottom w:val="none" w:sz="0" w:space="0" w:color="auto"/>
                                    <w:right w:val="none" w:sz="0" w:space="0" w:color="auto"/>
                                  </w:divBdr>
                                  <w:divsChild>
                                    <w:div w:id="448551839">
                                      <w:marLeft w:val="0"/>
                                      <w:marRight w:val="0"/>
                                      <w:marTop w:val="0"/>
                                      <w:marBottom w:val="0"/>
                                      <w:divBdr>
                                        <w:top w:val="none" w:sz="0" w:space="0" w:color="auto"/>
                                        <w:left w:val="none" w:sz="0" w:space="0" w:color="auto"/>
                                        <w:bottom w:val="none" w:sz="0" w:space="0" w:color="auto"/>
                                        <w:right w:val="none" w:sz="0" w:space="0" w:color="auto"/>
                                      </w:divBdr>
                                      <w:divsChild>
                                        <w:div w:id="1241020218">
                                          <w:marLeft w:val="0"/>
                                          <w:marRight w:val="0"/>
                                          <w:marTop w:val="0"/>
                                          <w:marBottom w:val="0"/>
                                          <w:divBdr>
                                            <w:top w:val="none" w:sz="0" w:space="0" w:color="auto"/>
                                            <w:left w:val="none" w:sz="0" w:space="0" w:color="auto"/>
                                            <w:bottom w:val="none" w:sz="0" w:space="0" w:color="auto"/>
                                            <w:right w:val="none" w:sz="0" w:space="0" w:color="auto"/>
                                          </w:divBdr>
                                          <w:divsChild>
                                            <w:div w:id="1680622188">
                                              <w:marLeft w:val="0"/>
                                              <w:marRight w:val="0"/>
                                              <w:marTop w:val="0"/>
                                              <w:marBottom w:val="0"/>
                                              <w:divBdr>
                                                <w:top w:val="none" w:sz="0" w:space="0" w:color="auto"/>
                                                <w:left w:val="none" w:sz="0" w:space="0" w:color="auto"/>
                                                <w:bottom w:val="none" w:sz="0" w:space="0" w:color="auto"/>
                                                <w:right w:val="none" w:sz="0" w:space="0" w:color="auto"/>
                                              </w:divBdr>
                                              <w:divsChild>
                                                <w:div w:id="1706518374">
                                                  <w:marLeft w:val="0"/>
                                                  <w:marRight w:val="0"/>
                                                  <w:marTop w:val="0"/>
                                                  <w:marBottom w:val="0"/>
                                                  <w:divBdr>
                                                    <w:top w:val="none" w:sz="0" w:space="0" w:color="auto"/>
                                                    <w:left w:val="none" w:sz="0" w:space="0" w:color="auto"/>
                                                    <w:bottom w:val="none" w:sz="0" w:space="0" w:color="auto"/>
                                                    <w:right w:val="none" w:sz="0" w:space="0" w:color="auto"/>
                                                  </w:divBdr>
                                                  <w:divsChild>
                                                    <w:div w:id="999230067">
                                                      <w:marLeft w:val="0"/>
                                                      <w:marRight w:val="0"/>
                                                      <w:marTop w:val="0"/>
                                                      <w:marBottom w:val="0"/>
                                                      <w:divBdr>
                                                        <w:top w:val="none" w:sz="0" w:space="0" w:color="auto"/>
                                                        <w:left w:val="none" w:sz="0" w:space="0" w:color="auto"/>
                                                        <w:bottom w:val="none" w:sz="0" w:space="0" w:color="auto"/>
                                                        <w:right w:val="none" w:sz="0" w:space="0" w:color="auto"/>
                                                      </w:divBdr>
                                                      <w:divsChild>
                                                        <w:div w:id="20210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264333">
      <w:bodyDiv w:val="1"/>
      <w:marLeft w:val="0"/>
      <w:marRight w:val="0"/>
      <w:marTop w:val="0"/>
      <w:marBottom w:val="0"/>
      <w:divBdr>
        <w:top w:val="none" w:sz="0" w:space="0" w:color="auto"/>
        <w:left w:val="none" w:sz="0" w:space="0" w:color="auto"/>
        <w:bottom w:val="none" w:sz="0" w:space="0" w:color="auto"/>
        <w:right w:val="none" w:sz="0" w:space="0" w:color="auto"/>
      </w:divBdr>
      <w:divsChild>
        <w:div w:id="374044991">
          <w:marLeft w:val="0"/>
          <w:marRight w:val="0"/>
          <w:marTop w:val="0"/>
          <w:marBottom w:val="0"/>
          <w:divBdr>
            <w:top w:val="none" w:sz="0" w:space="0" w:color="auto"/>
            <w:left w:val="none" w:sz="0" w:space="0" w:color="auto"/>
            <w:bottom w:val="none" w:sz="0" w:space="0" w:color="auto"/>
            <w:right w:val="none" w:sz="0" w:space="0" w:color="auto"/>
          </w:divBdr>
          <w:divsChild>
            <w:div w:id="458691813">
              <w:marLeft w:val="0"/>
              <w:marRight w:val="0"/>
              <w:marTop w:val="0"/>
              <w:marBottom w:val="0"/>
              <w:divBdr>
                <w:top w:val="none" w:sz="0" w:space="0" w:color="auto"/>
                <w:left w:val="none" w:sz="0" w:space="0" w:color="auto"/>
                <w:bottom w:val="none" w:sz="0" w:space="0" w:color="auto"/>
                <w:right w:val="none" w:sz="0" w:space="0" w:color="auto"/>
              </w:divBdr>
              <w:divsChild>
                <w:div w:id="618536689">
                  <w:marLeft w:val="0"/>
                  <w:marRight w:val="0"/>
                  <w:marTop w:val="0"/>
                  <w:marBottom w:val="0"/>
                  <w:divBdr>
                    <w:top w:val="none" w:sz="0" w:space="0" w:color="auto"/>
                    <w:left w:val="none" w:sz="0" w:space="0" w:color="auto"/>
                    <w:bottom w:val="none" w:sz="0" w:space="0" w:color="auto"/>
                    <w:right w:val="none" w:sz="0" w:space="0" w:color="auto"/>
                  </w:divBdr>
                  <w:divsChild>
                    <w:div w:id="1792818758">
                      <w:marLeft w:val="0"/>
                      <w:marRight w:val="0"/>
                      <w:marTop w:val="0"/>
                      <w:marBottom w:val="0"/>
                      <w:divBdr>
                        <w:top w:val="none" w:sz="0" w:space="0" w:color="auto"/>
                        <w:left w:val="none" w:sz="0" w:space="0" w:color="auto"/>
                        <w:bottom w:val="none" w:sz="0" w:space="0" w:color="auto"/>
                        <w:right w:val="none" w:sz="0" w:space="0" w:color="auto"/>
                      </w:divBdr>
                      <w:divsChild>
                        <w:div w:id="67961892">
                          <w:marLeft w:val="0"/>
                          <w:marRight w:val="0"/>
                          <w:marTop w:val="0"/>
                          <w:marBottom w:val="0"/>
                          <w:divBdr>
                            <w:top w:val="none" w:sz="0" w:space="0" w:color="auto"/>
                            <w:left w:val="none" w:sz="0" w:space="0" w:color="auto"/>
                            <w:bottom w:val="none" w:sz="0" w:space="0" w:color="auto"/>
                            <w:right w:val="none" w:sz="0" w:space="0" w:color="auto"/>
                          </w:divBdr>
                          <w:divsChild>
                            <w:div w:id="16159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681595">
      <w:bodyDiv w:val="1"/>
      <w:marLeft w:val="0"/>
      <w:marRight w:val="0"/>
      <w:marTop w:val="0"/>
      <w:marBottom w:val="0"/>
      <w:divBdr>
        <w:top w:val="none" w:sz="0" w:space="0" w:color="auto"/>
        <w:left w:val="none" w:sz="0" w:space="0" w:color="auto"/>
        <w:bottom w:val="none" w:sz="0" w:space="0" w:color="auto"/>
        <w:right w:val="none" w:sz="0" w:space="0" w:color="auto"/>
      </w:divBdr>
    </w:div>
    <w:div w:id="881600102">
      <w:bodyDiv w:val="1"/>
      <w:marLeft w:val="0"/>
      <w:marRight w:val="0"/>
      <w:marTop w:val="0"/>
      <w:marBottom w:val="0"/>
      <w:divBdr>
        <w:top w:val="none" w:sz="0" w:space="0" w:color="auto"/>
        <w:left w:val="none" w:sz="0" w:space="0" w:color="auto"/>
        <w:bottom w:val="none" w:sz="0" w:space="0" w:color="auto"/>
        <w:right w:val="none" w:sz="0" w:space="0" w:color="auto"/>
      </w:divBdr>
      <w:divsChild>
        <w:div w:id="1793204036">
          <w:marLeft w:val="0"/>
          <w:marRight w:val="0"/>
          <w:marTop w:val="0"/>
          <w:marBottom w:val="0"/>
          <w:divBdr>
            <w:top w:val="none" w:sz="0" w:space="0" w:color="auto"/>
            <w:left w:val="none" w:sz="0" w:space="0" w:color="auto"/>
            <w:bottom w:val="none" w:sz="0" w:space="0" w:color="auto"/>
            <w:right w:val="none" w:sz="0" w:space="0" w:color="auto"/>
          </w:divBdr>
          <w:divsChild>
            <w:div w:id="1240403051">
              <w:marLeft w:val="0"/>
              <w:marRight w:val="0"/>
              <w:marTop w:val="0"/>
              <w:marBottom w:val="0"/>
              <w:divBdr>
                <w:top w:val="none" w:sz="0" w:space="0" w:color="auto"/>
                <w:left w:val="none" w:sz="0" w:space="0" w:color="auto"/>
                <w:bottom w:val="none" w:sz="0" w:space="0" w:color="auto"/>
                <w:right w:val="none" w:sz="0" w:space="0" w:color="auto"/>
              </w:divBdr>
              <w:divsChild>
                <w:div w:id="1647005640">
                  <w:marLeft w:val="0"/>
                  <w:marRight w:val="0"/>
                  <w:marTop w:val="0"/>
                  <w:marBottom w:val="0"/>
                  <w:divBdr>
                    <w:top w:val="none" w:sz="0" w:space="0" w:color="auto"/>
                    <w:left w:val="none" w:sz="0" w:space="0" w:color="auto"/>
                    <w:bottom w:val="none" w:sz="0" w:space="0" w:color="auto"/>
                    <w:right w:val="none" w:sz="0" w:space="0" w:color="auto"/>
                  </w:divBdr>
                  <w:divsChild>
                    <w:div w:id="396166871">
                      <w:marLeft w:val="0"/>
                      <w:marRight w:val="0"/>
                      <w:marTop w:val="0"/>
                      <w:marBottom w:val="0"/>
                      <w:divBdr>
                        <w:top w:val="none" w:sz="0" w:space="0" w:color="auto"/>
                        <w:left w:val="none" w:sz="0" w:space="0" w:color="auto"/>
                        <w:bottom w:val="none" w:sz="0" w:space="0" w:color="auto"/>
                        <w:right w:val="none" w:sz="0" w:space="0" w:color="auto"/>
                      </w:divBdr>
                      <w:divsChild>
                        <w:div w:id="237641787">
                          <w:marLeft w:val="0"/>
                          <w:marRight w:val="0"/>
                          <w:marTop w:val="0"/>
                          <w:marBottom w:val="0"/>
                          <w:divBdr>
                            <w:top w:val="none" w:sz="0" w:space="0" w:color="auto"/>
                            <w:left w:val="none" w:sz="0" w:space="0" w:color="auto"/>
                            <w:bottom w:val="none" w:sz="0" w:space="0" w:color="auto"/>
                            <w:right w:val="none" w:sz="0" w:space="0" w:color="auto"/>
                          </w:divBdr>
                          <w:divsChild>
                            <w:div w:id="156651496">
                              <w:marLeft w:val="0"/>
                              <w:marRight w:val="0"/>
                              <w:marTop w:val="0"/>
                              <w:marBottom w:val="0"/>
                              <w:divBdr>
                                <w:top w:val="none" w:sz="0" w:space="0" w:color="auto"/>
                                <w:left w:val="none" w:sz="0" w:space="0" w:color="auto"/>
                                <w:bottom w:val="none" w:sz="0" w:space="0" w:color="auto"/>
                                <w:right w:val="none" w:sz="0" w:space="0" w:color="auto"/>
                              </w:divBdr>
                              <w:divsChild>
                                <w:div w:id="783040510">
                                  <w:marLeft w:val="0"/>
                                  <w:marRight w:val="0"/>
                                  <w:marTop w:val="0"/>
                                  <w:marBottom w:val="0"/>
                                  <w:divBdr>
                                    <w:top w:val="none" w:sz="0" w:space="0" w:color="auto"/>
                                    <w:left w:val="none" w:sz="0" w:space="0" w:color="auto"/>
                                    <w:bottom w:val="none" w:sz="0" w:space="0" w:color="auto"/>
                                    <w:right w:val="none" w:sz="0" w:space="0" w:color="auto"/>
                                  </w:divBdr>
                                  <w:divsChild>
                                    <w:div w:id="1780679955">
                                      <w:marLeft w:val="0"/>
                                      <w:marRight w:val="0"/>
                                      <w:marTop w:val="0"/>
                                      <w:marBottom w:val="0"/>
                                      <w:divBdr>
                                        <w:top w:val="none" w:sz="0" w:space="0" w:color="auto"/>
                                        <w:left w:val="none" w:sz="0" w:space="0" w:color="auto"/>
                                        <w:bottom w:val="none" w:sz="0" w:space="0" w:color="auto"/>
                                        <w:right w:val="none" w:sz="0" w:space="0" w:color="auto"/>
                                      </w:divBdr>
                                      <w:divsChild>
                                        <w:div w:id="1627390795">
                                          <w:marLeft w:val="0"/>
                                          <w:marRight w:val="0"/>
                                          <w:marTop w:val="0"/>
                                          <w:marBottom w:val="0"/>
                                          <w:divBdr>
                                            <w:top w:val="none" w:sz="0" w:space="0" w:color="auto"/>
                                            <w:left w:val="none" w:sz="0" w:space="0" w:color="auto"/>
                                            <w:bottom w:val="none" w:sz="0" w:space="0" w:color="auto"/>
                                            <w:right w:val="none" w:sz="0" w:space="0" w:color="auto"/>
                                          </w:divBdr>
                                          <w:divsChild>
                                            <w:div w:id="945843744">
                                              <w:marLeft w:val="0"/>
                                              <w:marRight w:val="0"/>
                                              <w:marTop w:val="0"/>
                                              <w:marBottom w:val="0"/>
                                              <w:divBdr>
                                                <w:top w:val="none" w:sz="0" w:space="0" w:color="auto"/>
                                                <w:left w:val="none" w:sz="0" w:space="0" w:color="auto"/>
                                                <w:bottom w:val="none" w:sz="0" w:space="0" w:color="auto"/>
                                                <w:right w:val="none" w:sz="0" w:space="0" w:color="auto"/>
                                              </w:divBdr>
                                              <w:divsChild>
                                                <w:div w:id="631712142">
                                                  <w:marLeft w:val="0"/>
                                                  <w:marRight w:val="0"/>
                                                  <w:marTop w:val="0"/>
                                                  <w:marBottom w:val="0"/>
                                                  <w:divBdr>
                                                    <w:top w:val="none" w:sz="0" w:space="0" w:color="auto"/>
                                                    <w:left w:val="none" w:sz="0" w:space="0" w:color="auto"/>
                                                    <w:bottom w:val="none" w:sz="0" w:space="0" w:color="auto"/>
                                                    <w:right w:val="none" w:sz="0" w:space="0" w:color="auto"/>
                                                  </w:divBdr>
                                                  <w:divsChild>
                                                    <w:div w:id="709459567">
                                                      <w:marLeft w:val="0"/>
                                                      <w:marRight w:val="0"/>
                                                      <w:marTop w:val="0"/>
                                                      <w:marBottom w:val="0"/>
                                                      <w:divBdr>
                                                        <w:top w:val="none" w:sz="0" w:space="0" w:color="auto"/>
                                                        <w:left w:val="none" w:sz="0" w:space="0" w:color="auto"/>
                                                        <w:bottom w:val="none" w:sz="0" w:space="0" w:color="auto"/>
                                                        <w:right w:val="none" w:sz="0" w:space="0" w:color="auto"/>
                                                      </w:divBdr>
                                                      <w:divsChild>
                                                        <w:div w:id="16798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611355">
          <w:marLeft w:val="0"/>
          <w:marRight w:val="0"/>
          <w:marTop w:val="0"/>
          <w:marBottom w:val="0"/>
          <w:divBdr>
            <w:top w:val="none" w:sz="0" w:space="0" w:color="auto"/>
            <w:left w:val="none" w:sz="0" w:space="0" w:color="auto"/>
            <w:bottom w:val="none" w:sz="0" w:space="0" w:color="auto"/>
            <w:right w:val="none" w:sz="0" w:space="0" w:color="auto"/>
          </w:divBdr>
          <w:divsChild>
            <w:div w:id="301006947">
              <w:marLeft w:val="0"/>
              <w:marRight w:val="0"/>
              <w:marTop w:val="0"/>
              <w:marBottom w:val="0"/>
              <w:divBdr>
                <w:top w:val="none" w:sz="0" w:space="0" w:color="auto"/>
                <w:left w:val="none" w:sz="0" w:space="0" w:color="auto"/>
                <w:bottom w:val="none" w:sz="0" w:space="0" w:color="auto"/>
                <w:right w:val="none" w:sz="0" w:space="0" w:color="auto"/>
              </w:divBdr>
              <w:divsChild>
                <w:div w:id="669021953">
                  <w:marLeft w:val="0"/>
                  <w:marRight w:val="0"/>
                  <w:marTop w:val="0"/>
                  <w:marBottom w:val="0"/>
                  <w:divBdr>
                    <w:top w:val="none" w:sz="0" w:space="0" w:color="auto"/>
                    <w:left w:val="none" w:sz="0" w:space="0" w:color="auto"/>
                    <w:bottom w:val="none" w:sz="0" w:space="0" w:color="auto"/>
                    <w:right w:val="none" w:sz="0" w:space="0" w:color="auto"/>
                  </w:divBdr>
                  <w:divsChild>
                    <w:div w:id="53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244">
      <w:bodyDiv w:val="1"/>
      <w:marLeft w:val="0"/>
      <w:marRight w:val="0"/>
      <w:marTop w:val="0"/>
      <w:marBottom w:val="0"/>
      <w:divBdr>
        <w:top w:val="none" w:sz="0" w:space="0" w:color="auto"/>
        <w:left w:val="none" w:sz="0" w:space="0" w:color="auto"/>
        <w:bottom w:val="none" w:sz="0" w:space="0" w:color="auto"/>
        <w:right w:val="none" w:sz="0" w:space="0" w:color="auto"/>
      </w:divBdr>
      <w:divsChild>
        <w:div w:id="1798572341">
          <w:marLeft w:val="0"/>
          <w:marRight w:val="0"/>
          <w:marTop w:val="0"/>
          <w:marBottom w:val="0"/>
          <w:divBdr>
            <w:top w:val="none" w:sz="0" w:space="0" w:color="auto"/>
            <w:left w:val="none" w:sz="0" w:space="0" w:color="auto"/>
            <w:bottom w:val="none" w:sz="0" w:space="0" w:color="auto"/>
            <w:right w:val="none" w:sz="0" w:space="0" w:color="auto"/>
          </w:divBdr>
          <w:divsChild>
            <w:div w:id="1326780316">
              <w:marLeft w:val="0"/>
              <w:marRight w:val="0"/>
              <w:marTop w:val="0"/>
              <w:marBottom w:val="0"/>
              <w:divBdr>
                <w:top w:val="none" w:sz="0" w:space="0" w:color="auto"/>
                <w:left w:val="none" w:sz="0" w:space="0" w:color="auto"/>
                <w:bottom w:val="none" w:sz="0" w:space="0" w:color="auto"/>
                <w:right w:val="none" w:sz="0" w:space="0" w:color="auto"/>
              </w:divBdr>
              <w:divsChild>
                <w:div w:id="657462816">
                  <w:marLeft w:val="0"/>
                  <w:marRight w:val="0"/>
                  <w:marTop w:val="0"/>
                  <w:marBottom w:val="0"/>
                  <w:divBdr>
                    <w:top w:val="none" w:sz="0" w:space="0" w:color="auto"/>
                    <w:left w:val="none" w:sz="0" w:space="0" w:color="auto"/>
                    <w:bottom w:val="none" w:sz="0" w:space="0" w:color="auto"/>
                    <w:right w:val="none" w:sz="0" w:space="0" w:color="auto"/>
                  </w:divBdr>
                  <w:divsChild>
                    <w:div w:id="942300237">
                      <w:marLeft w:val="0"/>
                      <w:marRight w:val="0"/>
                      <w:marTop w:val="0"/>
                      <w:marBottom w:val="0"/>
                      <w:divBdr>
                        <w:top w:val="none" w:sz="0" w:space="0" w:color="auto"/>
                        <w:left w:val="none" w:sz="0" w:space="0" w:color="auto"/>
                        <w:bottom w:val="none" w:sz="0" w:space="0" w:color="auto"/>
                        <w:right w:val="none" w:sz="0" w:space="0" w:color="auto"/>
                      </w:divBdr>
                      <w:divsChild>
                        <w:div w:id="410926896">
                          <w:marLeft w:val="0"/>
                          <w:marRight w:val="0"/>
                          <w:marTop w:val="0"/>
                          <w:marBottom w:val="0"/>
                          <w:divBdr>
                            <w:top w:val="none" w:sz="0" w:space="0" w:color="auto"/>
                            <w:left w:val="none" w:sz="0" w:space="0" w:color="auto"/>
                            <w:bottom w:val="none" w:sz="0" w:space="0" w:color="auto"/>
                            <w:right w:val="none" w:sz="0" w:space="0" w:color="auto"/>
                          </w:divBdr>
                          <w:divsChild>
                            <w:div w:id="1438330460">
                              <w:marLeft w:val="0"/>
                              <w:marRight w:val="0"/>
                              <w:marTop w:val="0"/>
                              <w:marBottom w:val="0"/>
                              <w:divBdr>
                                <w:top w:val="none" w:sz="0" w:space="0" w:color="auto"/>
                                <w:left w:val="none" w:sz="0" w:space="0" w:color="auto"/>
                                <w:bottom w:val="none" w:sz="0" w:space="0" w:color="auto"/>
                                <w:right w:val="none" w:sz="0" w:space="0" w:color="auto"/>
                              </w:divBdr>
                              <w:divsChild>
                                <w:div w:id="669017367">
                                  <w:marLeft w:val="0"/>
                                  <w:marRight w:val="0"/>
                                  <w:marTop w:val="0"/>
                                  <w:marBottom w:val="0"/>
                                  <w:divBdr>
                                    <w:top w:val="none" w:sz="0" w:space="0" w:color="auto"/>
                                    <w:left w:val="none" w:sz="0" w:space="0" w:color="auto"/>
                                    <w:bottom w:val="none" w:sz="0" w:space="0" w:color="auto"/>
                                    <w:right w:val="none" w:sz="0" w:space="0" w:color="auto"/>
                                  </w:divBdr>
                                  <w:divsChild>
                                    <w:div w:id="1989744666">
                                      <w:marLeft w:val="0"/>
                                      <w:marRight w:val="0"/>
                                      <w:marTop w:val="0"/>
                                      <w:marBottom w:val="0"/>
                                      <w:divBdr>
                                        <w:top w:val="none" w:sz="0" w:space="0" w:color="auto"/>
                                        <w:left w:val="none" w:sz="0" w:space="0" w:color="auto"/>
                                        <w:bottom w:val="none" w:sz="0" w:space="0" w:color="auto"/>
                                        <w:right w:val="none" w:sz="0" w:space="0" w:color="auto"/>
                                      </w:divBdr>
                                      <w:divsChild>
                                        <w:div w:id="1175611809">
                                          <w:marLeft w:val="0"/>
                                          <w:marRight w:val="0"/>
                                          <w:marTop w:val="0"/>
                                          <w:marBottom w:val="0"/>
                                          <w:divBdr>
                                            <w:top w:val="none" w:sz="0" w:space="0" w:color="auto"/>
                                            <w:left w:val="none" w:sz="0" w:space="0" w:color="auto"/>
                                            <w:bottom w:val="none" w:sz="0" w:space="0" w:color="auto"/>
                                            <w:right w:val="none" w:sz="0" w:space="0" w:color="auto"/>
                                          </w:divBdr>
                                          <w:divsChild>
                                            <w:div w:id="1570070243">
                                              <w:marLeft w:val="0"/>
                                              <w:marRight w:val="0"/>
                                              <w:marTop w:val="0"/>
                                              <w:marBottom w:val="0"/>
                                              <w:divBdr>
                                                <w:top w:val="none" w:sz="0" w:space="0" w:color="auto"/>
                                                <w:left w:val="none" w:sz="0" w:space="0" w:color="auto"/>
                                                <w:bottom w:val="none" w:sz="0" w:space="0" w:color="auto"/>
                                                <w:right w:val="none" w:sz="0" w:space="0" w:color="auto"/>
                                              </w:divBdr>
                                              <w:divsChild>
                                                <w:div w:id="1202983616">
                                                  <w:marLeft w:val="0"/>
                                                  <w:marRight w:val="0"/>
                                                  <w:marTop w:val="0"/>
                                                  <w:marBottom w:val="0"/>
                                                  <w:divBdr>
                                                    <w:top w:val="none" w:sz="0" w:space="0" w:color="auto"/>
                                                    <w:left w:val="none" w:sz="0" w:space="0" w:color="auto"/>
                                                    <w:bottom w:val="none" w:sz="0" w:space="0" w:color="auto"/>
                                                    <w:right w:val="none" w:sz="0" w:space="0" w:color="auto"/>
                                                  </w:divBdr>
                                                  <w:divsChild>
                                                    <w:div w:id="576862631">
                                                      <w:marLeft w:val="0"/>
                                                      <w:marRight w:val="0"/>
                                                      <w:marTop w:val="0"/>
                                                      <w:marBottom w:val="0"/>
                                                      <w:divBdr>
                                                        <w:top w:val="none" w:sz="0" w:space="0" w:color="auto"/>
                                                        <w:left w:val="none" w:sz="0" w:space="0" w:color="auto"/>
                                                        <w:bottom w:val="none" w:sz="0" w:space="0" w:color="auto"/>
                                                        <w:right w:val="none" w:sz="0" w:space="0" w:color="auto"/>
                                                      </w:divBdr>
                                                      <w:divsChild>
                                                        <w:div w:id="2698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021879">
      <w:bodyDiv w:val="1"/>
      <w:marLeft w:val="0"/>
      <w:marRight w:val="0"/>
      <w:marTop w:val="0"/>
      <w:marBottom w:val="0"/>
      <w:divBdr>
        <w:top w:val="none" w:sz="0" w:space="0" w:color="auto"/>
        <w:left w:val="none" w:sz="0" w:space="0" w:color="auto"/>
        <w:bottom w:val="none" w:sz="0" w:space="0" w:color="auto"/>
        <w:right w:val="none" w:sz="0" w:space="0" w:color="auto"/>
      </w:divBdr>
      <w:divsChild>
        <w:div w:id="1612516191">
          <w:marLeft w:val="0"/>
          <w:marRight w:val="0"/>
          <w:marTop w:val="0"/>
          <w:marBottom w:val="0"/>
          <w:divBdr>
            <w:top w:val="none" w:sz="0" w:space="0" w:color="auto"/>
            <w:left w:val="none" w:sz="0" w:space="0" w:color="auto"/>
            <w:bottom w:val="none" w:sz="0" w:space="0" w:color="auto"/>
            <w:right w:val="none" w:sz="0" w:space="0" w:color="auto"/>
          </w:divBdr>
          <w:divsChild>
            <w:div w:id="117839456">
              <w:marLeft w:val="0"/>
              <w:marRight w:val="0"/>
              <w:marTop w:val="0"/>
              <w:marBottom w:val="0"/>
              <w:divBdr>
                <w:top w:val="none" w:sz="0" w:space="0" w:color="auto"/>
                <w:left w:val="none" w:sz="0" w:space="0" w:color="auto"/>
                <w:bottom w:val="none" w:sz="0" w:space="0" w:color="auto"/>
                <w:right w:val="none" w:sz="0" w:space="0" w:color="auto"/>
              </w:divBdr>
              <w:divsChild>
                <w:div w:id="1742829773">
                  <w:marLeft w:val="0"/>
                  <w:marRight w:val="0"/>
                  <w:marTop w:val="0"/>
                  <w:marBottom w:val="0"/>
                  <w:divBdr>
                    <w:top w:val="none" w:sz="0" w:space="0" w:color="auto"/>
                    <w:left w:val="none" w:sz="0" w:space="0" w:color="auto"/>
                    <w:bottom w:val="none" w:sz="0" w:space="0" w:color="auto"/>
                    <w:right w:val="none" w:sz="0" w:space="0" w:color="auto"/>
                  </w:divBdr>
                  <w:divsChild>
                    <w:div w:id="1068071810">
                      <w:marLeft w:val="0"/>
                      <w:marRight w:val="0"/>
                      <w:marTop w:val="0"/>
                      <w:marBottom w:val="0"/>
                      <w:divBdr>
                        <w:top w:val="none" w:sz="0" w:space="0" w:color="auto"/>
                        <w:left w:val="none" w:sz="0" w:space="0" w:color="auto"/>
                        <w:bottom w:val="none" w:sz="0" w:space="0" w:color="auto"/>
                        <w:right w:val="none" w:sz="0" w:space="0" w:color="auto"/>
                      </w:divBdr>
                      <w:divsChild>
                        <w:div w:id="54402839">
                          <w:marLeft w:val="0"/>
                          <w:marRight w:val="0"/>
                          <w:marTop w:val="0"/>
                          <w:marBottom w:val="0"/>
                          <w:divBdr>
                            <w:top w:val="none" w:sz="0" w:space="0" w:color="auto"/>
                            <w:left w:val="none" w:sz="0" w:space="0" w:color="auto"/>
                            <w:bottom w:val="none" w:sz="0" w:space="0" w:color="auto"/>
                            <w:right w:val="none" w:sz="0" w:space="0" w:color="auto"/>
                          </w:divBdr>
                          <w:divsChild>
                            <w:div w:id="344334011">
                              <w:marLeft w:val="0"/>
                              <w:marRight w:val="0"/>
                              <w:marTop w:val="0"/>
                              <w:marBottom w:val="0"/>
                              <w:divBdr>
                                <w:top w:val="none" w:sz="0" w:space="0" w:color="auto"/>
                                <w:left w:val="none" w:sz="0" w:space="0" w:color="auto"/>
                                <w:bottom w:val="none" w:sz="0" w:space="0" w:color="auto"/>
                                <w:right w:val="none" w:sz="0" w:space="0" w:color="auto"/>
                              </w:divBdr>
                              <w:divsChild>
                                <w:div w:id="1547184772">
                                  <w:marLeft w:val="0"/>
                                  <w:marRight w:val="0"/>
                                  <w:marTop w:val="0"/>
                                  <w:marBottom w:val="0"/>
                                  <w:divBdr>
                                    <w:top w:val="none" w:sz="0" w:space="0" w:color="auto"/>
                                    <w:left w:val="none" w:sz="0" w:space="0" w:color="auto"/>
                                    <w:bottom w:val="none" w:sz="0" w:space="0" w:color="auto"/>
                                    <w:right w:val="none" w:sz="0" w:space="0" w:color="auto"/>
                                  </w:divBdr>
                                  <w:divsChild>
                                    <w:div w:id="368454912">
                                      <w:marLeft w:val="0"/>
                                      <w:marRight w:val="0"/>
                                      <w:marTop w:val="0"/>
                                      <w:marBottom w:val="0"/>
                                      <w:divBdr>
                                        <w:top w:val="none" w:sz="0" w:space="0" w:color="auto"/>
                                        <w:left w:val="none" w:sz="0" w:space="0" w:color="auto"/>
                                        <w:bottom w:val="none" w:sz="0" w:space="0" w:color="auto"/>
                                        <w:right w:val="none" w:sz="0" w:space="0" w:color="auto"/>
                                      </w:divBdr>
                                      <w:divsChild>
                                        <w:div w:id="806052144">
                                          <w:marLeft w:val="0"/>
                                          <w:marRight w:val="0"/>
                                          <w:marTop w:val="0"/>
                                          <w:marBottom w:val="0"/>
                                          <w:divBdr>
                                            <w:top w:val="none" w:sz="0" w:space="0" w:color="auto"/>
                                            <w:left w:val="none" w:sz="0" w:space="0" w:color="auto"/>
                                            <w:bottom w:val="none" w:sz="0" w:space="0" w:color="auto"/>
                                            <w:right w:val="none" w:sz="0" w:space="0" w:color="auto"/>
                                          </w:divBdr>
                                          <w:divsChild>
                                            <w:div w:id="596788240">
                                              <w:marLeft w:val="0"/>
                                              <w:marRight w:val="0"/>
                                              <w:marTop w:val="0"/>
                                              <w:marBottom w:val="0"/>
                                              <w:divBdr>
                                                <w:top w:val="none" w:sz="0" w:space="0" w:color="auto"/>
                                                <w:left w:val="none" w:sz="0" w:space="0" w:color="auto"/>
                                                <w:bottom w:val="none" w:sz="0" w:space="0" w:color="auto"/>
                                                <w:right w:val="none" w:sz="0" w:space="0" w:color="auto"/>
                                              </w:divBdr>
                                              <w:divsChild>
                                                <w:div w:id="919294849">
                                                  <w:marLeft w:val="0"/>
                                                  <w:marRight w:val="0"/>
                                                  <w:marTop w:val="0"/>
                                                  <w:marBottom w:val="0"/>
                                                  <w:divBdr>
                                                    <w:top w:val="none" w:sz="0" w:space="0" w:color="auto"/>
                                                    <w:left w:val="none" w:sz="0" w:space="0" w:color="auto"/>
                                                    <w:bottom w:val="none" w:sz="0" w:space="0" w:color="auto"/>
                                                    <w:right w:val="none" w:sz="0" w:space="0" w:color="auto"/>
                                                  </w:divBdr>
                                                  <w:divsChild>
                                                    <w:div w:id="1080830987">
                                                      <w:marLeft w:val="0"/>
                                                      <w:marRight w:val="0"/>
                                                      <w:marTop w:val="0"/>
                                                      <w:marBottom w:val="0"/>
                                                      <w:divBdr>
                                                        <w:top w:val="none" w:sz="0" w:space="0" w:color="auto"/>
                                                        <w:left w:val="none" w:sz="0" w:space="0" w:color="auto"/>
                                                        <w:bottom w:val="none" w:sz="0" w:space="0" w:color="auto"/>
                                                        <w:right w:val="none" w:sz="0" w:space="0" w:color="auto"/>
                                                      </w:divBdr>
                                                      <w:divsChild>
                                                        <w:div w:id="6515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451202">
      <w:bodyDiv w:val="1"/>
      <w:marLeft w:val="0"/>
      <w:marRight w:val="0"/>
      <w:marTop w:val="0"/>
      <w:marBottom w:val="0"/>
      <w:divBdr>
        <w:top w:val="none" w:sz="0" w:space="0" w:color="auto"/>
        <w:left w:val="none" w:sz="0" w:space="0" w:color="auto"/>
        <w:bottom w:val="none" w:sz="0" w:space="0" w:color="auto"/>
        <w:right w:val="none" w:sz="0" w:space="0" w:color="auto"/>
      </w:divBdr>
    </w:div>
    <w:div w:id="1942446301">
      <w:bodyDiv w:val="1"/>
      <w:marLeft w:val="0"/>
      <w:marRight w:val="0"/>
      <w:marTop w:val="0"/>
      <w:marBottom w:val="0"/>
      <w:divBdr>
        <w:top w:val="none" w:sz="0" w:space="0" w:color="auto"/>
        <w:left w:val="none" w:sz="0" w:space="0" w:color="auto"/>
        <w:bottom w:val="none" w:sz="0" w:space="0" w:color="auto"/>
        <w:right w:val="none" w:sz="0" w:space="0" w:color="auto"/>
      </w:divBdr>
      <w:divsChild>
        <w:div w:id="174735861">
          <w:marLeft w:val="0"/>
          <w:marRight w:val="0"/>
          <w:marTop w:val="0"/>
          <w:marBottom w:val="0"/>
          <w:divBdr>
            <w:top w:val="none" w:sz="0" w:space="0" w:color="auto"/>
            <w:left w:val="none" w:sz="0" w:space="0" w:color="auto"/>
            <w:bottom w:val="none" w:sz="0" w:space="0" w:color="auto"/>
            <w:right w:val="none" w:sz="0" w:space="0" w:color="auto"/>
          </w:divBdr>
          <w:divsChild>
            <w:div w:id="2118064787">
              <w:marLeft w:val="0"/>
              <w:marRight w:val="0"/>
              <w:marTop w:val="0"/>
              <w:marBottom w:val="0"/>
              <w:divBdr>
                <w:top w:val="none" w:sz="0" w:space="0" w:color="auto"/>
                <w:left w:val="none" w:sz="0" w:space="0" w:color="auto"/>
                <w:bottom w:val="none" w:sz="0" w:space="0" w:color="auto"/>
                <w:right w:val="none" w:sz="0" w:space="0" w:color="auto"/>
              </w:divBdr>
              <w:divsChild>
                <w:div w:id="824509173">
                  <w:marLeft w:val="0"/>
                  <w:marRight w:val="0"/>
                  <w:marTop w:val="0"/>
                  <w:marBottom w:val="0"/>
                  <w:divBdr>
                    <w:top w:val="none" w:sz="0" w:space="0" w:color="auto"/>
                    <w:left w:val="none" w:sz="0" w:space="0" w:color="auto"/>
                    <w:bottom w:val="none" w:sz="0" w:space="0" w:color="auto"/>
                    <w:right w:val="none" w:sz="0" w:space="0" w:color="auto"/>
                  </w:divBdr>
                  <w:divsChild>
                    <w:div w:id="1471286624">
                      <w:marLeft w:val="0"/>
                      <w:marRight w:val="0"/>
                      <w:marTop w:val="0"/>
                      <w:marBottom w:val="0"/>
                      <w:divBdr>
                        <w:top w:val="none" w:sz="0" w:space="0" w:color="auto"/>
                        <w:left w:val="none" w:sz="0" w:space="0" w:color="auto"/>
                        <w:bottom w:val="none" w:sz="0" w:space="0" w:color="auto"/>
                        <w:right w:val="none" w:sz="0" w:space="0" w:color="auto"/>
                      </w:divBdr>
                      <w:divsChild>
                        <w:div w:id="768500108">
                          <w:marLeft w:val="0"/>
                          <w:marRight w:val="0"/>
                          <w:marTop w:val="0"/>
                          <w:marBottom w:val="0"/>
                          <w:divBdr>
                            <w:top w:val="none" w:sz="0" w:space="0" w:color="auto"/>
                            <w:left w:val="none" w:sz="0" w:space="0" w:color="auto"/>
                            <w:bottom w:val="none" w:sz="0" w:space="0" w:color="auto"/>
                            <w:right w:val="none" w:sz="0" w:space="0" w:color="auto"/>
                          </w:divBdr>
                          <w:divsChild>
                            <w:div w:id="267544257">
                              <w:marLeft w:val="0"/>
                              <w:marRight w:val="0"/>
                              <w:marTop w:val="0"/>
                              <w:marBottom w:val="0"/>
                              <w:divBdr>
                                <w:top w:val="none" w:sz="0" w:space="0" w:color="auto"/>
                                <w:left w:val="none" w:sz="0" w:space="0" w:color="auto"/>
                                <w:bottom w:val="none" w:sz="0" w:space="0" w:color="auto"/>
                                <w:right w:val="none" w:sz="0" w:space="0" w:color="auto"/>
                              </w:divBdr>
                              <w:divsChild>
                                <w:div w:id="1973631861">
                                  <w:marLeft w:val="0"/>
                                  <w:marRight w:val="0"/>
                                  <w:marTop w:val="0"/>
                                  <w:marBottom w:val="0"/>
                                  <w:divBdr>
                                    <w:top w:val="none" w:sz="0" w:space="0" w:color="auto"/>
                                    <w:left w:val="none" w:sz="0" w:space="0" w:color="auto"/>
                                    <w:bottom w:val="none" w:sz="0" w:space="0" w:color="auto"/>
                                    <w:right w:val="none" w:sz="0" w:space="0" w:color="auto"/>
                                  </w:divBdr>
                                  <w:divsChild>
                                    <w:div w:id="1993868161">
                                      <w:marLeft w:val="0"/>
                                      <w:marRight w:val="0"/>
                                      <w:marTop w:val="0"/>
                                      <w:marBottom w:val="0"/>
                                      <w:divBdr>
                                        <w:top w:val="none" w:sz="0" w:space="0" w:color="auto"/>
                                        <w:left w:val="none" w:sz="0" w:space="0" w:color="auto"/>
                                        <w:bottom w:val="none" w:sz="0" w:space="0" w:color="auto"/>
                                        <w:right w:val="none" w:sz="0" w:space="0" w:color="auto"/>
                                      </w:divBdr>
                                      <w:divsChild>
                                        <w:div w:id="689835689">
                                          <w:marLeft w:val="0"/>
                                          <w:marRight w:val="0"/>
                                          <w:marTop w:val="0"/>
                                          <w:marBottom w:val="0"/>
                                          <w:divBdr>
                                            <w:top w:val="none" w:sz="0" w:space="0" w:color="auto"/>
                                            <w:left w:val="none" w:sz="0" w:space="0" w:color="auto"/>
                                            <w:bottom w:val="none" w:sz="0" w:space="0" w:color="auto"/>
                                            <w:right w:val="none" w:sz="0" w:space="0" w:color="auto"/>
                                          </w:divBdr>
                                          <w:divsChild>
                                            <w:div w:id="1954625264">
                                              <w:marLeft w:val="0"/>
                                              <w:marRight w:val="0"/>
                                              <w:marTop w:val="0"/>
                                              <w:marBottom w:val="0"/>
                                              <w:divBdr>
                                                <w:top w:val="none" w:sz="0" w:space="0" w:color="auto"/>
                                                <w:left w:val="none" w:sz="0" w:space="0" w:color="auto"/>
                                                <w:bottom w:val="none" w:sz="0" w:space="0" w:color="auto"/>
                                                <w:right w:val="none" w:sz="0" w:space="0" w:color="auto"/>
                                              </w:divBdr>
                                              <w:divsChild>
                                                <w:div w:id="158010322">
                                                  <w:marLeft w:val="0"/>
                                                  <w:marRight w:val="0"/>
                                                  <w:marTop w:val="0"/>
                                                  <w:marBottom w:val="0"/>
                                                  <w:divBdr>
                                                    <w:top w:val="none" w:sz="0" w:space="0" w:color="auto"/>
                                                    <w:left w:val="none" w:sz="0" w:space="0" w:color="auto"/>
                                                    <w:bottom w:val="none" w:sz="0" w:space="0" w:color="auto"/>
                                                    <w:right w:val="none" w:sz="0" w:space="0" w:color="auto"/>
                                                  </w:divBdr>
                                                  <w:divsChild>
                                                    <w:div w:id="1956019502">
                                                      <w:marLeft w:val="0"/>
                                                      <w:marRight w:val="0"/>
                                                      <w:marTop w:val="0"/>
                                                      <w:marBottom w:val="0"/>
                                                      <w:divBdr>
                                                        <w:top w:val="none" w:sz="0" w:space="0" w:color="auto"/>
                                                        <w:left w:val="none" w:sz="0" w:space="0" w:color="auto"/>
                                                        <w:bottom w:val="none" w:sz="0" w:space="0" w:color="auto"/>
                                                        <w:right w:val="none" w:sz="0" w:space="0" w:color="auto"/>
                                                      </w:divBdr>
                                                      <w:divsChild>
                                                        <w:div w:id="15092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ata.uis.Unesco.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D5D9-2798-4D6F-8368-5A87FF56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5322</Words>
  <Characters>31084</Characters>
  <Application>Microsoft Office Word</Application>
  <DocSecurity>0</DocSecurity>
  <Lines>403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2025-04-29T19:38:00Z</dcterms:created>
  <dcterms:modified xsi:type="dcterms:W3CDTF">2025-04-29T20:04:00Z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7103bcf2de204e2141ca34fda55efaaea5f27cfe66f82546b9c18ad713706bd5</vt:lpwstr>
  </property>
</Properties>
</file>