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BAA179" w14:textId="359DC0B8" w:rsidR="00F95BD6" w:rsidRPr="009476D9" w:rsidRDefault="00A8394D" w:rsidP="00AE5C2A">
      <w:pPr>
        <w:jc w:val="center"/>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Evaluating Soil Properties for Sustainable Agriculture: Insights from the </w:t>
      </w:r>
      <w:proofErr w:type="spellStart"/>
      <w:r w:rsidRPr="009476D9">
        <w:rPr>
          <w:rFonts w:ascii="Times New Roman" w:hAnsi="Times New Roman" w:cs="Times New Roman"/>
          <w:b/>
          <w:color w:val="000000" w:themeColor="text1"/>
          <w:sz w:val="24"/>
          <w:szCs w:val="24"/>
        </w:rPr>
        <w:t>Afram</w:t>
      </w:r>
      <w:proofErr w:type="spellEnd"/>
      <w:r w:rsidRPr="009476D9">
        <w:rPr>
          <w:rFonts w:ascii="Times New Roman" w:hAnsi="Times New Roman" w:cs="Times New Roman"/>
          <w:b/>
          <w:color w:val="000000" w:themeColor="text1"/>
          <w:sz w:val="24"/>
          <w:szCs w:val="24"/>
        </w:rPr>
        <w:t xml:space="preserve"> Plains, Ghana</w:t>
      </w:r>
    </w:p>
    <w:p w14:paraId="2226BA9A" w14:textId="77777777" w:rsidR="00AE5C2A" w:rsidRPr="009476D9" w:rsidRDefault="00AE5C2A" w:rsidP="00766CFD">
      <w:pPr>
        <w:jc w:val="both"/>
        <w:rPr>
          <w:rFonts w:ascii="Times New Roman" w:hAnsi="Times New Roman" w:cs="Times New Roman"/>
          <w:b/>
          <w:color w:val="000000" w:themeColor="text1"/>
          <w:sz w:val="24"/>
          <w:szCs w:val="24"/>
        </w:rPr>
      </w:pPr>
    </w:p>
    <w:p w14:paraId="75917AC1" w14:textId="32091992" w:rsidR="00036902" w:rsidRPr="009476D9" w:rsidRDefault="00036902" w:rsidP="00766CFD">
      <w:pPr>
        <w:jc w:val="both"/>
        <w:rPr>
          <w:rFonts w:ascii="Times New Roman" w:hAnsi="Times New Roman" w:cs="Times New Roman"/>
          <w:b/>
          <w:color w:val="000000" w:themeColor="text1"/>
          <w:sz w:val="24"/>
          <w:szCs w:val="24"/>
          <w:lang w:val="en-GB"/>
        </w:rPr>
      </w:pPr>
      <w:r w:rsidRPr="009476D9">
        <w:rPr>
          <w:rFonts w:ascii="Times New Roman" w:hAnsi="Times New Roman" w:cs="Times New Roman"/>
          <w:b/>
          <w:color w:val="000000" w:themeColor="text1"/>
          <w:sz w:val="24"/>
          <w:szCs w:val="24"/>
        </w:rPr>
        <w:t>Abstract</w:t>
      </w:r>
    </w:p>
    <w:p w14:paraId="715C7664" w14:textId="77777777" w:rsidR="002D4E8C" w:rsidRPr="009476D9" w:rsidRDefault="002D4E8C" w:rsidP="00ED7544">
      <w:pPr>
        <w:jc w:val="both"/>
        <w:rPr>
          <w:rFonts w:ascii="Times New Roman" w:hAnsi="Times New Roman" w:cs="Times New Roman"/>
          <w:b/>
          <w:bCs/>
          <w:color w:val="000000" w:themeColor="text1"/>
          <w:sz w:val="24"/>
          <w:szCs w:val="24"/>
        </w:rPr>
      </w:pPr>
      <w:r w:rsidRPr="009476D9">
        <w:rPr>
          <w:rFonts w:ascii="Times New Roman" w:hAnsi="Times New Roman" w:cs="Times New Roman"/>
          <w:color w:val="000000" w:themeColor="text1"/>
          <w:sz w:val="24"/>
          <w:szCs w:val="24"/>
        </w:rPr>
        <w:t xml:space="preserve">Soil health is crucial for agricultural productivity and ecosystem stability. </w:t>
      </w:r>
      <w:r w:rsidRPr="009476D9">
        <w:rPr>
          <w:rFonts w:ascii="Times New Roman" w:hAnsi="Times New Roman" w:cs="Times New Roman"/>
          <w:b/>
          <w:bCs/>
          <w:color w:val="000000" w:themeColor="text1"/>
          <w:sz w:val="24"/>
          <w:szCs w:val="24"/>
        </w:rPr>
        <w:t xml:space="preserve">The </w:t>
      </w:r>
      <w:proofErr w:type="spellStart"/>
      <w:r w:rsidRPr="009476D9">
        <w:rPr>
          <w:rFonts w:ascii="Times New Roman" w:hAnsi="Times New Roman" w:cs="Times New Roman"/>
          <w:b/>
          <w:bCs/>
          <w:color w:val="000000" w:themeColor="text1"/>
          <w:sz w:val="24"/>
          <w:szCs w:val="24"/>
        </w:rPr>
        <w:t>Afram</w:t>
      </w:r>
      <w:proofErr w:type="spellEnd"/>
      <w:r w:rsidRPr="009476D9">
        <w:rPr>
          <w:rFonts w:ascii="Times New Roman" w:hAnsi="Times New Roman" w:cs="Times New Roman"/>
          <w:b/>
          <w:bCs/>
          <w:color w:val="000000" w:themeColor="text1"/>
          <w:sz w:val="24"/>
          <w:szCs w:val="24"/>
        </w:rPr>
        <w:t xml:space="preserve"> Plains region of Ghana, a major food basket,</w:t>
      </w:r>
      <w:r w:rsidRPr="009476D9">
        <w:rPr>
          <w:rFonts w:ascii="Times New Roman" w:hAnsi="Times New Roman" w:cs="Times New Roman"/>
          <w:color w:val="000000" w:themeColor="text1"/>
          <w:sz w:val="24"/>
          <w:szCs w:val="24"/>
        </w:rPr>
        <w:t xml:space="preserve"> has faced challenges such as declining soil fertility and increasing compaction. This study evaluates the physical, chemical, and biological properties of the soil in the </w:t>
      </w:r>
      <w:proofErr w:type="spellStart"/>
      <w:r w:rsidRPr="009476D9">
        <w:rPr>
          <w:rFonts w:ascii="Times New Roman" w:hAnsi="Times New Roman" w:cs="Times New Roman"/>
          <w:color w:val="000000" w:themeColor="text1"/>
          <w:sz w:val="24"/>
          <w:szCs w:val="24"/>
        </w:rPr>
        <w:t>Afram</w:t>
      </w:r>
      <w:proofErr w:type="spellEnd"/>
      <w:r w:rsidRPr="009476D9">
        <w:rPr>
          <w:rFonts w:ascii="Times New Roman" w:hAnsi="Times New Roman" w:cs="Times New Roman"/>
          <w:color w:val="000000" w:themeColor="text1"/>
          <w:sz w:val="24"/>
          <w:szCs w:val="24"/>
        </w:rPr>
        <w:t xml:space="preserve"> Plains to guide sustainable land management practices. By analyzing soil texture, bulk density, porosity, pH, organic matter, and nutrient levels, the study provides insights into soil health and offers recommendations for enhancing fertility and agricultural yield. This study utilized a quantitative, descriptive, and analytical research design to assess soil properties. A stratified random sampling technique was employed to collect 30 composite soil samples from two depths (0–15 cm and 15–30 cm) during the dry season to minimize moisture interference. Standard laboratory procedures were followed: soil texture was determined using the hydrometer method, bulk density by the core method, and porosity calculated. Soil pH was measured with a digital meter, organic matter via Walkley-Black, and nutrients analyzed using total </w:t>
      </w:r>
      <w:proofErr w:type="spellStart"/>
      <w:r w:rsidRPr="009476D9">
        <w:rPr>
          <w:rFonts w:ascii="Times New Roman" w:hAnsi="Times New Roman" w:cs="Times New Roman"/>
          <w:color w:val="000000" w:themeColor="text1"/>
          <w:sz w:val="24"/>
          <w:szCs w:val="24"/>
        </w:rPr>
        <w:t>Kjeldahl</w:t>
      </w:r>
      <w:proofErr w:type="spellEnd"/>
      <w:r w:rsidRPr="009476D9">
        <w:rPr>
          <w:rFonts w:ascii="Times New Roman" w:hAnsi="Times New Roman" w:cs="Times New Roman"/>
          <w:color w:val="000000" w:themeColor="text1"/>
          <w:sz w:val="24"/>
          <w:szCs w:val="24"/>
        </w:rPr>
        <w:t xml:space="preserve"> nitrogen, Bray-1 phosphorus, and potassium with a flame photometer. </w:t>
      </w:r>
      <w:r w:rsidRPr="009476D9">
        <w:rPr>
          <w:rFonts w:ascii="Times New Roman" w:hAnsi="Times New Roman" w:cs="Times New Roman"/>
          <w:b/>
          <w:bCs/>
          <w:color w:val="000000" w:themeColor="text1"/>
          <w:sz w:val="24"/>
          <w:szCs w:val="24"/>
        </w:rPr>
        <w:t>Key findings showed topsoil sand content at 64.3%, bulk density increasing from 1.25 to 1.32 g/cm³, porosity reducing from 47.2% to 45.1%, pH declining from 6.3 to 6.1, organic matter low at 2.4% (topsoil) and 2.1% (subsoil), nitrogen at 0.15%, phosphorus at 9.2 mg/kg, and potassium at 125 mg/kg.</w:t>
      </w:r>
      <w:r w:rsidRPr="009476D9">
        <w:rPr>
          <w:rFonts w:ascii="Times New Roman" w:hAnsi="Times New Roman" w:cs="Times New Roman"/>
          <w:color w:val="000000" w:themeColor="text1"/>
          <w:sz w:val="24"/>
          <w:szCs w:val="24"/>
        </w:rPr>
        <w:t xml:space="preserve"> Organic matter positively correlated with nutrients (+1.00), bulk density negatively with porosity (–1.00). In all, it was deduced the soil has moderate fertility. </w:t>
      </w:r>
      <w:r w:rsidRPr="009476D9">
        <w:rPr>
          <w:rFonts w:ascii="Times New Roman" w:hAnsi="Times New Roman" w:cs="Times New Roman"/>
          <w:b/>
          <w:bCs/>
          <w:color w:val="000000" w:themeColor="text1"/>
          <w:sz w:val="24"/>
          <w:szCs w:val="24"/>
        </w:rPr>
        <w:t>It is recommended to apply organic amendments such as compost and fresh manure, practice minimum tillage, and adopt crop rotation to sustain soil health and improve agricultural productivity.</w:t>
      </w:r>
      <w:r w:rsidRPr="009476D9">
        <w:rPr>
          <w:rFonts w:ascii="Times New Roman" w:hAnsi="Times New Roman" w:cs="Times New Roman"/>
          <w:color w:val="000000" w:themeColor="text1"/>
          <w:sz w:val="24"/>
          <w:szCs w:val="24"/>
        </w:rPr>
        <w:t xml:space="preserve"> </w:t>
      </w:r>
      <w:r w:rsidRPr="009476D9">
        <w:rPr>
          <w:rFonts w:ascii="Times New Roman" w:hAnsi="Times New Roman" w:cs="Times New Roman"/>
          <w:b/>
          <w:bCs/>
          <w:color w:val="000000" w:themeColor="text1"/>
          <w:sz w:val="24"/>
          <w:szCs w:val="24"/>
        </w:rPr>
        <w:t>This study highlights the critical role of soil property management in ensuring food security and combating land degradation in Ghana and similar agro-ecological zones globally.</w:t>
      </w:r>
    </w:p>
    <w:p w14:paraId="75886895" w14:textId="47319CC3" w:rsidR="00AE5C2A" w:rsidRPr="009476D9" w:rsidRDefault="00ED7544" w:rsidP="00E86FA5">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Keyw</w:t>
      </w:r>
      <w:r w:rsidR="001A4841" w:rsidRPr="009476D9">
        <w:rPr>
          <w:rFonts w:ascii="Times New Roman" w:hAnsi="Times New Roman" w:cs="Times New Roman"/>
          <w:b/>
          <w:color w:val="000000" w:themeColor="text1"/>
          <w:sz w:val="24"/>
          <w:szCs w:val="24"/>
        </w:rPr>
        <w:t>ords</w:t>
      </w:r>
      <w:r w:rsidR="008A631F" w:rsidRPr="009476D9">
        <w:rPr>
          <w:rFonts w:ascii="Times New Roman" w:hAnsi="Times New Roman" w:cs="Times New Roman"/>
          <w:b/>
          <w:color w:val="000000" w:themeColor="text1"/>
          <w:sz w:val="24"/>
          <w:szCs w:val="24"/>
        </w:rPr>
        <w:t xml:space="preserve">: </w:t>
      </w:r>
      <w:proofErr w:type="spellStart"/>
      <w:r w:rsidR="00F447DD" w:rsidRPr="009476D9">
        <w:rPr>
          <w:rFonts w:ascii="Times New Roman" w:hAnsi="Times New Roman" w:cs="Times New Roman"/>
          <w:iCs/>
          <w:color w:val="000000" w:themeColor="text1"/>
          <w:sz w:val="24"/>
          <w:szCs w:val="24"/>
        </w:rPr>
        <w:t>Afram</w:t>
      </w:r>
      <w:proofErr w:type="spellEnd"/>
      <w:r w:rsidR="00F447DD" w:rsidRPr="009476D9">
        <w:rPr>
          <w:rFonts w:ascii="Times New Roman" w:hAnsi="Times New Roman" w:cs="Times New Roman"/>
          <w:iCs/>
          <w:color w:val="000000" w:themeColor="text1"/>
          <w:sz w:val="24"/>
          <w:szCs w:val="24"/>
        </w:rPr>
        <w:t xml:space="preserve"> Plains</w:t>
      </w:r>
      <w:r w:rsidR="00B52EBE" w:rsidRPr="009476D9">
        <w:rPr>
          <w:rFonts w:ascii="Times New Roman" w:hAnsi="Times New Roman" w:cs="Times New Roman"/>
          <w:iCs/>
          <w:color w:val="000000" w:themeColor="text1"/>
          <w:sz w:val="24"/>
          <w:szCs w:val="24"/>
        </w:rPr>
        <w:t xml:space="preserve"> Ghana</w:t>
      </w:r>
      <w:r w:rsidR="00F447DD" w:rsidRPr="009476D9">
        <w:rPr>
          <w:rFonts w:ascii="Times New Roman" w:hAnsi="Times New Roman" w:cs="Times New Roman"/>
          <w:iCs/>
          <w:color w:val="000000" w:themeColor="text1"/>
          <w:sz w:val="24"/>
          <w:szCs w:val="24"/>
        </w:rPr>
        <w:t xml:space="preserve">; Agricultural Productivity; Laboratory Analysis; Soil Properties; Soil Quality; Soil Conservation </w:t>
      </w:r>
    </w:p>
    <w:p w14:paraId="49D89F98" w14:textId="77777777" w:rsidR="00AE5C2A" w:rsidRPr="009476D9" w:rsidRDefault="00AE5C2A" w:rsidP="00E86FA5">
      <w:pPr>
        <w:jc w:val="both"/>
        <w:rPr>
          <w:rFonts w:ascii="Times New Roman" w:hAnsi="Times New Roman" w:cs="Times New Roman"/>
          <w:b/>
          <w:color w:val="000000" w:themeColor="text1"/>
          <w:sz w:val="24"/>
          <w:szCs w:val="24"/>
        </w:rPr>
      </w:pPr>
    </w:p>
    <w:p w14:paraId="3681540F" w14:textId="77777777" w:rsidR="00CE4AAA" w:rsidRPr="009476D9" w:rsidRDefault="00CE4AAA" w:rsidP="00E86FA5">
      <w:pPr>
        <w:jc w:val="both"/>
        <w:rPr>
          <w:rFonts w:ascii="Times New Roman" w:hAnsi="Times New Roman" w:cs="Times New Roman"/>
          <w:b/>
          <w:color w:val="000000" w:themeColor="text1"/>
          <w:sz w:val="24"/>
          <w:szCs w:val="24"/>
        </w:rPr>
      </w:pPr>
    </w:p>
    <w:p w14:paraId="4E729BC5" w14:textId="0D21196A" w:rsidR="00E86FA5" w:rsidRPr="009476D9" w:rsidRDefault="00A52B2F" w:rsidP="00E86FA5">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1.0 </w:t>
      </w:r>
      <w:r w:rsidR="00E86FA5" w:rsidRPr="009476D9">
        <w:rPr>
          <w:rFonts w:ascii="Times New Roman" w:hAnsi="Times New Roman" w:cs="Times New Roman"/>
          <w:b/>
          <w:color w:val="000000" w:themeColor="text1"/>
          <w:sz w:val="24"/>
          <w:szCs w:val="24"/>
        </w:rPr>
        <w:t xml:space="preserve">Introduction </w:t>
      </w:r>
    </w:p>
    <w:p w14:paraId="65083D99" w14:textId="77777777" w:rsidR="00270B57"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If we dig deeper the </w:t>
      </w:r>
      <w:r w:rsidR="008E2DB5" w:rsidRPr="009476D9">
        <w:rPr>
          <w:rFonts w:ascii="Times New Roman" w:hAnsi="Times New Roman" w:cs="Times New Roman"/>
          <w:color w:val="000000" w:themeColor="text1"/>
          <w:sz w:val="24"/>
          <w:szCs w:val="24"/>
        </w:rPr>
        <w:t>ground,</w:t>
      </w:r>
      <w:r w:rsidRPr="009476D9">
        <w:rPr>
          <w:rFonts w:ascii="Times New Roman" w:hAnsi="Times New Roman" w:cs="Times New Roman"/>
          <w:color w:val="000000" w:themeColor="text1"/>
          <w:sz w:val="24"/>
          <w:szCs w:val="24"/>
        </w:rPr>
        <w:t xml:space="preserve"> we come to a realization that there is subsoil, not merely a somatic surface, but a vitality, witness and beauty that helped in shaping man-made cultures and sheltered every form of life; an agriculturally artistic mosaic floor of earth and man. </w:t>
      </w:r>
      <w:proofErr w:type="spellStart"/>
      <w:r w:rsidR="0053052B" w:rsidRPr="009476D9">
        <w:rPr>
          <w:rFonts w:ascii="Times New Roman" w:hAnsi="Times New Roman" w:cs="Times New Roman"/>
          <w:bCs/>
          <w:color w:val="000000" w:themeColor="text1"/>
          <w:sz w:val="24"/>
          <w:szCs w:val="24"/>
        </w:rPr>
        <w:t>Griffioen</w:t>
      </w:r>
      <w:proofErr w:type="spellEnd"/>
      <w:r w:rsidR="0053052B" w:rsidRPr="009476D9">
        <w:rPr>
          <w:rFonts w:ascii="Times New Roman" w:hAnsi="Times New Roman" w:cs="Times New Roman"/>
          <w:color w:val="000000" w:themeColor="text1"/>
          <w:sz w:val="24"/>
          <w:szCs w:val="24"/>
        </w:rPr>
        <w:t xml:space="preserve"> </w:t>
      </w:r>
      <w:r w:rsidRPr="009476D9">
        <w:rPr>
          <w:rFonts w:ascii="Times New Roman" w:hAnsi="Times New Roman" w:cs="Times New Roman"/>
          <w:color w:val="000000" w:themeColor="text1"/>
          <w:sz w:val="24"/>
          <w:szCs w:val="24"/>
        </w:rPr>
        <w:t xml:space="preserve">once exploded, “The nation that destroys it soil destroys itself” </w:t>
      </w:r>
      <w:r w:rsidR="0053052B" w:rsidRPr="009476D9">
        <w:rPr>
          <w:rFonts w:ascii="Times New Roman" w:hAnsi="Times New Roman" w:cs="Times New Roman"/>
          <w:color w:val="000000" w:themeColor="text1"/>
          <w:sz w:val="24"/>
          <w:szCs w:val="24"/>
        </w:rPr>
        <w:t>(</w:t>
      </w:r>
      <w:proofErr w:type="spellStart"/>
      <w:r w:rsidR="0053052B" w:rsidRPr="009476D9">
        <w:rPr>
          <w:rFonts w:ascii="Times New Roman" w:hAnsi="Times New Roman" w:cs="Times New Roman"/>
          <w:bCs/>
          <w:color w:val="000000" w:themeColor="text1"/>
          <w:sz w:val="24"/>
          <w:szCs w:val="24"/>
        </w:rPr>
        <w:t>Griffioen</w:t>
      </w:r>
      <w:proofErr w:type="spellEnd"/>
      <w:r w:rsidR="0053052B" w:rsidRPr="009476D9">
        <w:rPr>
          <w:rFonts w:ascii="Times New Roman" w:hAnsi="Times New Roman" w:cs="Times New Roman"/>
          <w:bCs/>
          <w:color w:val="000000" w:themeColor="text1"/>
          <w:sz w:val="24"/>
          <w:szCs w:val="24"/>
        </w:rPr>
        <w:t>, 2016</w:t>
      </w:r>
      <w:r w:rsidR="0053052B" w:rsidRPr="009476D9">
        <w:rPr>
          <w:rFonts w:ascii="Times New Roman" w:hAnsi="Times New Roman" w:cs="Times New Roman"/>
          <w:color w:val="000000" w:themeColor="text1"/>
          <w:sz w:val="24"/>
          <w:szCs w:val="24"/>
        </w:rPr>
        <w:t>)</w:t>
      </w:r>
      <w:r w:rsidRPr="009476D9">
        <w:rPr>
          <w:rFonts w:ascii="Times New Roman" w:hAnsi="Times New Roman" w:cs="Times New Roman"/>
          <w:color w:val="000000" w:themeColor="text1"/>
          <w:sz w:val="24"/>
          <w:szCs w:val="24"/>
        </w:rPr>
        <w:t xml:space="preserve">. Similar sentiment reverberates across the world, letting everyone know how important the earth is to sustainability of life. It is used for crops growth media and often referred to as the water storage organ as well as the nutrient reservoir. However, it is a very important factor, and perhaps due to the blindness of its presence, it has remained unnoticed by most scholars </w:t>
      </w:r>
      <w:r w:rsidR="00270B57" w:rsidRPr="009476D9">
        <w:rPr>
          <w:rFonts w:ascii="Times New Roman" w:hAnsi="Times New Roman" w:cs="Times New Roman"/>
          <w:color w:val="000000" w:themeColor="text1"/>
          <w:sz w:val="24"/>
          <w:szCs w:val="24"/>
        </w:rPr>
        <w:t>(</w:t>
      </w:r>
      <w:proofErr w:type="spellStart"/>
      <w:r w:rsidR="00270B57" w:rsidRPr="009476D9">
        <w:rPr>
          <w:rFonts w:ascii="Times New Roman" w:hAnsi="Times New Roman" w:cs="Times New Roman"/>
          <w:bCs/>
          <w:color w:val="000000" w:themeColor="text1"/>
          <w:sz w:val="24"/>
          <w:szCs w:val="24"/>
        </w:rPr>
        <w:t>Karthika</w:t>
      </w:r>
      <w:proofErr w:type="spellEnd"/>
      <w:r w:rsidR="00270B57" w:rsidRPr="009476D9">
        <w:rPr>
          <w:rFonts w:ascii="Times New Roman" w:hAnsi="Times New Roman" w:cs="Times New Roman"/>
          <w:bCs/>
          <w:color w:val="000000" w:themeColor="text1"/>
          <w:sz w:val="24"/>
          <w:szCs w:val="24"/>
        </w:rPr>
        <w:t>, Rashmi, &amp; Parvathi, 2018</w:t>
      </w:r>
      <w:r w:rsidR="00270B57" w:rsidRPr="009476D9">
        <w:rPr>
          <w:rFonts w:ascii="Times New Roman" w:hAnsi="Times New Roman" w:cs="Times New Roman"/>
          <w:color w:val="000000" w:themeColor="text1"/>
          <w:sz w:val="24"/>
          <w:szCs w:val="24"/>
        </w:rPr>
        <w:t>)</w:t>
      </w:r>
    </w:p>
    <w:p w14:paraId="17152268" w14:textId="2AFD7025"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In the different parts of the globe, the professional practice of soils has also identified their multiple and diverse layers of weathering, activities and minerals. Such layers have been very well explained by laboratory soil testing that has given some leads into them, which is helpful as from policy formation to the improvement of the farming technology and methods along with sustainable land use (</w:t>
      </w:r>
      <w:proofErr w:type="spellStart"/>
      <w:r w:rsidR="008A557D" w:rsidRPr="009476D9">
        <w:rPr>
          <w:rFonts w:ascii="Times New Roman" w:hAnsi="Times New Roman" w:cs="Times New Roman"/>
          <w:bCs/>
          <w:color w:val="000000" w:themeColor="text1"/>
          <w:sz w:val="24"/>
          <w:szCs w:val="24"/>
        </w:rPr>
        <w:t>Totsche</w:t>
      </w:r>
      <w:proofErr w:type="spellEnd"/>
      <w:r w:rsidR="008A557D" w:rsidRPr="009476D9">
        <w:rPr>
          <w:rFonts w:ascii="Times New Roman" w:hAnsi="Times New Roman" w:cs="Times New Roman"/>
          <w:bCs/>
          <w:color w:val="000000" w:themeColor="text1"/>
          <w:sz w:val="24"/>
          <w:szCs w:val="24"/>
        </w:rPr>
        <w:t xml:space="preserve"> et al., 2018</w:t>
      </w:r>
      <w:r w:rsidR="008A557D" w:rsidRPr="009476D9">
        <w:rPr>
          <w:rFonts w:ascii="Times New Roman" w:hAnsi="Times New Roman" w:cs="Times New Roman"/>
          <w:color w:val="000000" w:themeColor="text1"/>
          <w:sz w:val="24"/>
          <w:szCs w:val="24"/>
        </w:rPr>
        <w:t>)</w:t>
      </w:r>
      <w:r w:rsidRPr="009476D9">
        <w:rPr>
          <w:rFonts w:ascii="Times New Roman" w:hAnsi="Times New Roman" w:cs="Times New Roman"/>
          <w:color w:val="000000" w:themeColor="text1"/>
          <w:sz w:val="24"/>
          <w:szCs w:val="24"/>
        </w:rPr>
        <w:t>. Novelties in molecular soil science have enhanced a call to protect this critical input because more than a third of the world’s soil today is in moderate to severe state of degradation as a result of human action (FAO, 2022).</w:t>
      </w:r>
    </w:p>
    <w:p w14:paraId="03726C76" w14:textId="495D7B7E" w:rsidR="0065139C" w:rsidRPr="009476D9" w:rsidRDefault="00ED7544"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Much as Africa’s soils possess the potential to support the ever-growing population, they are not barren of some hitch. Major challenges include nutrient depletion, land erosion, and poor </w:t>
      </w:r>
      <w:r w:rsidR="0065139C" w:rsidRPr="009476D9">
        <w:rPr>
          <w:rFonts w:ascii="Times New Roman" w:hAnsi="Times New Roman" w:cs="Times New Roman"/>
          <w:color w:val="000000" w:themeColor="text1"/>
          <w:sz w:val="24"/>
          <w:szCs w:val="24"/>
        </w:rPr>
        <w:t xml:space="preserve">water holding capacity; consequently, aeration takes a central stage (Lal, 2015). The Afram Plains region in particular of Ghana is a rhetoric to this huge fight. This area was historically identified as being suitable for agriculture, and therefore its soils are its strength, as well as its weakness. The plains as indicated by the type of soil which comprises of sandy loams and clay are soaked with aggressive farming, </w:t>
      </w:r>
      <w:proofErr w:type="spellStart"/>
      <w:r w:rsidR="0065139C" w:rsidRPr="009476D9">
        <w:rPr>
          <w:rFonts w:ascii="Times New Roman" w:hAnsi="Times New Roman" w:cs="Times New Roman"/>
          <w:color w:val="000000" w:themeColor="text1"/>
          <w:sz w:val="24"/>
          <w:szCs w:val="24"/>
        </w:rPr>
        <w:t>rashed</w:t>
      </w:r>
      <w:proofErr w:type="spellEnd"/>
      <w:r w:rsidR="0065139C" w:rsidRPr="009476D9">
        <w:rPr>
          <w:rFonts w:ascii="Times New Roman" w:hAnsi="Times New Roman" w:cs="Times New Roman"/>
          <w:color w:val="000000" w:themeColor="text1"/>
          <w:sz w:val="24"/>
          <w:szCs w:val="24"/>
        </w:rPr>
        <w:t xml:space="preserve"> up grazing and climate change sensitiveness </w:t>
      </w:r>
      <w:r w:rsidR="007308CC" w:rsidRPr="009476D9">
        <w:rPr>
          <w:rFonts w:ascii="Times New Roman" w:hAnsi="Times New Roman" w:cs="Times New Roman"/>
          <w:color w:val="000000" w:themeColor="text1"/>
          <w:sz w:val="24"/>
          <w:szCs w:val="24"/>
        </w:rPr>
        <w:t>(</w:t>
      </w:r>
      <w:r w:rsidR="007308CC" w:rsidRPr="009476D9">
        <w:rPr>
          <w:rFonts w:ascii="Times New Roman" w:hAnsi="Times New Roman" w:cs="Times New Roman"/>
          <w:bCs/>
          <w:color w:val="000000" w:themeColor="text1"/>
          <w:sz w:val="24"/>
          <w:szCs w:val="24"/>
        </w:rPr>
        <w:t>Sharma &amp; Kumar, 2023</w:t>
      </w:r>
      <w:r w:rsidR="007308CC" w:rsidRPr="009476D9">
        <w:rPr>
          <w:rFonts w:ascii="Times New Roman" w:hAnsi="Times New Roman" w:cs="Times New Roman"/>
          <w:color w:val="000000" w:themeColor="text1"/>
          <w:sz w:val="24"/>
          <w:szCs w:val="24"/>
        </w:rPr>
        <w:t>)</w:t>
      </w:r>
      <w:r w:rsidR="0065139C" w:rsidRPr="009476D9">
        <w:rPr>
          <w:rFonts w:ascii="Times New Roman" w:hAnsi="Times New Roman" w:cs="Times New Roman"/>
          <w:color w:val="000000" w:themeColor="text1"/>
          <w:sz w:val="24"/>
          <w:szCs w:val="24"/>
        </w:rPr>
        <w:t>.</w:t>
      </w:r>
    </w:p>
    <w:p w14:paraId="3A50C6FF" w14:textId="4DB79A17"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But, to the greatest surprise, soil is not only an APF, but it is one of the most significant historical records of the Earth. They show how ecosystems have evolved and how a river has meandered, and what man has done to the land </w:t>
      </w:r>
      <w:r w:rsidR="00E41A85" w:rsidRPr="009476D9">
        <w:rPr>
          <w:rFonts w:ascii="Times New Roman" w:hAnsi="Times New Roman" w:cs="Times New Roman"/>
          <w:color w:val="000000" w:themeColor="text1"/>
          <w:sz w:val="24"/>
          <w:szCs w:val="24"/>
        </w:rPr>
        <w:t>(</w:t>
      </w:r>
      <w:proofErr w:type="spellStart"/>
      <w:r w:rsidR="00E41A85" w:rsidRPr="009476D9">
        <w:rPr>
          <w:rFonts w:ascii="Times New Roman" w:hAnsi="Times New Roman" w:cs="Times New Roman"/>
          <w:bCs/>
          <w:color w:val="000000" w:themeColor="text1"/>
          <w:sz w:val="24"/>
          <w:szCs w:val="24"/>
        </w:rPr>
        <w:t>Kuzyakov</w:t>
      </w:r>
      <w:proofErr w:type="spellEnd"/>
      <w:r w:rsidR="00E41A85" w:rsidRPr="009476D9">
        <w:rPr>
          <w:rFonts w:ascii="Times New Roman" w:hAnsi="Times New Roman" w:cs="Times New Roman"/>
          <w:bCs/>
          <w:color w:val="000000" w:themeColor="text1"/>
          <w:sz w:val="24"/>
          <w:szCs w:val="24"/>
        </w:rPr>
        <w:t xml:space="preserve"> &amp; </w:t>
      </w:r>
      <w:proofErr w:type="spellStart"/>
      <w:r w:rsidR="00E41A85" w:rsidRPr="009476D9">
        <w:rPr>
          <w:rFonts w:ascii="Times New Roman" w:hAnsi="Times New Roman" w:cs="Times New Roman"/>
          <w:bCs/>
          <w:color w:val="000000" w:themeColor="text1"/>
          <w:sz w:val="24"/>
          <w:szCs w:val="24"/>
        </w:rPr>
        <w:t>Zamanian</w:t>
      </w:r>
      <w:proofErr w:type="spellEnd"/>
      <w:r w:rsidR="00E41A85" w:rsidRPr="009476D9">
        <w:rPr>
          <w:rFonts w:ascii="Times New Roman" w:hAnsi="Times New Roman" w:cs="Times New Roman"/>
          <w:bCs/>
          <w:color w:val="000000" w:themeColor="text1"/>
          <w:sz w:val="24"/>
          <w:szCs w:val="24"/>
        </w:rPr>
        <w:t>, 2019</w:t>
      </w:r>
      <w:r w:rsidR="00E41A85" w:rsidRPr="009476D9">
        <w:rPr>
          <w:rFonts w:ascii="Times New Roman" w:hAnsi="Times New Roman" w:cs="Times New Roman"/>
          <w:color w:val="000000" w:themeColor="text1"/>
          <w:sz w:val="24"/>
          <w:szCs w:val="24"/>
        </w:rPr>
        <w:t>)</w:t>
      </w:r>
      <w:r w:rsidRPr="009476D9">
        <w:rPr>
          <w:rFonts w:ascii="Times New Roman" w:hAnsi="Times New Roman" w:cs="Times New Roman"/>
          <w:color w:val="000000" w:themeColor="text1"/>
          <w:sz w:val="24"/>
          <w:szCs w:val="24"/>
        </w:rPr>
        <w:t xml:space="preserve">. Hence, the laboratory tests, which are suggested in the second dimension of soil diagnostics, offer an analysis for the stories and physical and chemical qualities of the soil. These analyses contribute to unravelling the kind of dynamics of the soil and the environment which surrounds it also to explaining how and when the </w:t>
      </w:r>
      <w:r w:rsidR="00D91273" w:rsidRPr="009476D9">
        <w:rPr>
          <w:rFonts w:ascii="Times New Roman" w:hAnsi="Times New Roman" w:cs="Times New Roman"/>
          <w:color w:val="000000" w:themeColor="text1"/>
          <w:sz w:val="24"/>
          <w:szCs w:val="24"/>
        </w:rPr>
        <w:t>degraded</w:t>
      </w:r>
      <w:r w:rsidRPr="009476D9">
        <w:rPr>
          <w:rFonts w:ascii="Times New Roman" w:hAnsi="Times New Roman" w:cs="Times New Roman"/>
          <w:color w:val="000000" w:themeColor="text1"/>
          <w:sz w:val="24"/>
          <w:szCs w:val="24"/>
        </w:rPr>
        <w:t xml:space="preserve"> part of the earths’ surface can be restored as well as how the soil ought to be governed </w:t>
      </w:r>
      <w:r w:rsidR="00625370" w:rsidRPr="009476D9">
        <w:rPr>
          <w:rFonts w:ascii="Times New Roman" w:hAnsi="Times New Roman" w:cs="Times New Roman"/>
          <w:color w:val="000000" w:themeColor="text1"/>
          <w:sz w:val="24"/>
          <w:szCs w:val="24"/>
        </w:rPr>
        <w:t>(</w:t>
      </w:r>
      <w:proofErr w:type="spellStart"/>
      <w:r w:rsidR="00625370" w:rsidRPr="009476D9">
        <w:rPr>
          <w:rFonts w:ascii="Times New Roman" w:hAnsi="Times New Roman" w:cs="Times New Roman"/>
          <w:bCs/>
          <w:color w:val="000000" w:themeColor="text1"/>
          <w:sz w:val="24"/>
          <w:szCs w:val="24"/>
        </w:rPr>
        <w:t>Kuzyakov</w:t>
      </w:r>
      <w:proofErr w:type="spellEnd"/>
      <w:r w:rsidR="00625370" w:rsidRPr="009476D9">
        <w:rPr>
          <w:rFonts w:ascii="Times New Roman" w:hAnsi="Times New Roman" w:cs="Times New Roman"/>
          <w:bCs/>
          <w:color w:val="000000" w:themeColor="text1"/>
          <w:sz w:val="24"/>
          <w:szCs w:val="24"/>
        </w:rPr>
        <w:t xml:space="preserve"> &amp; </w:t>
      </w:r>
      <w:proofErr w:type="spellStart"/>
      <w:r w:rsidR="00625370" w:rsidRPr="009476D9">
        <w:rPr>
          <w:rFonts w:ascii="Times New Roman" w:hAnsi="Times New Roman" w:cs="Times New Roman"/>
          <w:bCs/>
          <w:color w:val="000000" w:themeColor="text1"/>
          <w:sz w:val="24"/>
          <w:szCs w:val="24"/>
        </w:rPr>
        <w:t>Zamanian</w:t>
      </w:r>
      <w:proofErr w:type="spellEnd"/>
      <w:r w:rsidR="00625370" w:rsidRPr="009476D9">
        <w:rPr>
          <w:rFonts w:ascii="Times New Roman" w:hAnsi="Times New Roman" w:cs="Times New Roman"/>
          <w:bCs/>
          <w:color w:val="000000" w:themeColor="text1"/>
          <w:sz w:val="24"/>
          <w:szCs w:val="24"/>
        </w:rPr>
        <w:t>, 2019</w:t>
      </w:r>
      <w:r w:rsidR="00625370" w:rsidRPr="009476D9">
        <w:rPr>
          <w:rFonts w:ascii="Times New Roman" w:hAnsi="Times New Roman" w:cs="Times New Roman"/>
          <w:color w:val="000000" w:themeColor="text1"/>
          <w:sz w:val="24"/>
          <w:szCs w:val="24"/>
        </w:rPr>
        <w:t>).</w:t>
      </w:r>
    </w:p>
    <w:p w14:paraId="763442E8" w14:textId="7E9CB19B"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Soil identification is very important in the Afram Plains area especially considering the fact that farming is one of the major economic activities in this region where the soils are very central towards the activity. The characteristic condition of the soil regarding its physical, chemical and biological attributes determines crop yields, water regimes and management, and production landscapes’ carrying capacity today</w:t>
      </w:r>
      <w:r w:rsidR="00625370" w:rsidRPr="009476D9">
        <w:rPr>
          <w:rFonts w:ascii="Times New Roman" w:hAnsi="Times New Roman" w:cs="Times New Roman"/>
          <w:color w:val="000000" w:themeColor="text1"/>
          <w:sz w:val="24"/>
          <w:szCs w:val="24"/>
        </w:rPr>
        <w:t xml:space="preserve"> </w:t>
      </w:r>
      <w:r w:rsidR="00625370" w:rsidRPr="009476D9">
        <w:rPr>
          <w:rFonts w:ascii="Times New Roman" w:hAnsi="Times New Roman" w:cs="Times New Roman"/>
          <w:color w:val="000000" w:themeColor="text1"/>
        </w:rPr>
        <w:t>(</w:t>
      </w:r>
      <w:r w:rsidR="00625370" w:rsidRPr="009476D9">
        <w:rPr>
          <w:rStyle w:val="Strong"/>
          <w:rFonts w:ascii="Times New Roman" w:hAnsi="Times New Roman" w:cs="Times New Roman"/>
          <w:b w:val="0"/>
          <w:color w:val="000000" w:themeColor="text1"/>
        </w:rPr>
        <w:t>Eugenio et al., 2024</w:t>
      </w:r>
      <w:r w:rsidR="00625370" w:rsidRPr="009476D9">
        <w:rPr>
          <w:rFonts w:ascii="Times New Roman" w:hAnsi="Times New Roman" w:cs="Times New Roman"/>
          <w:b/>
          <w:color w:val="000000" w:themeColor="text1"/>
        </w:rPr>
        <w:t>)</w:t>
      </w:r>
      <w:r w:rsidRPr="009476D9">
        <w:rPr>
          <w:rFonts w:ascii="Times New Roman" w:hAnsi="Times New Roman" w:cs="Times New Roman"/>
          <w:b/>
          <w:color w:val="000000" w:themeColor="text1"/>
          <w:sz w:val="24"/>
          <w:szCs w:val="24"/>
        </w:rPr>
        <w:t xml:space="preserve">. </w:t>
      </w:r>
      <w:r w:rsidRPr="009476D9">
        <w:rPr>
          <w:rFonts w:ascii="Times New Roman" w:hAnsi="Times New Roman" w:cs="Times New Roman"/>
          <w:color w:val="000000" w:themeColor="text1"/>
          <w:sz w:val="24"/>
          <w:szCs w:val="24"/>
        </w:rPr>
        <w:t>In other words, farmers here depend on the capacity of the ground of holding a particular crop, this capacity being determined by the nutrient and water holding capacity of the ground which is again affected by activity of man as well as changes in physical conditions. These are crucial findings because it would be very difficult to get equally clear-cut data on these soils without laboratory analyses, the information necessary to assess their rational use and conservation.</w:t>
      </w:r>
    </w:p>
    <w:p w14:paraId="32176675" w14:textId="5B58F9A7"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This paper presents a study of the soils of the Afram Plains with regard to laboratory evaluation of the physical and chemical properties of the soils. As a result, its approach is entirely technical and does not warrant external human interference or intervention. Its purpose is to help explain how these soils may be best </w:t>
      </w:r>
      <w:r w:rsidR="00F14F17" w:rsidRPr="009476D9">
        <w:rPr>
          <w:rFonts w:ascii="Times New Roman" w:hAnsi="Times New Roman" w:cs="Times New Roman"/>
          <w:color w:val="000000" w:themeColor="text1"/>
          <w:sz w:val="24"/>
          <w:szCs w:val="24"/>
        </w:rPr>
        <w:t>utilized</w:t>
      </w:r>
      <w:r w:rsidRPr="009476D9">
        <w:rPr>
          <w:rFonts w:ascii="Times New Roman" w:hAnsi="Times New Roman" w:cs="Times New Roman"/>
          <w:color w:val="000000" w:themeColor="text1"/>
          <w:sz w:val="24"/>
          <w:szCs w:val="24"/>
        </w:rPr>
        <w:t xml:space="preserve"> for the goal of increasing agricultural cropping levels without detriment to the health of the soils. Since soil degradation is fast becoming a major threat to world food security, this work could not have come at any better time and enriches the conservation of soil and sustainable land management debate as </w:t>
      </w:r>
      <w:r w:rsidR="00B24696" w:rsidRPr="009476D9">
        <w:rPr>
          <w:rFonts w:ascii="Times New Roman" w:hAnsi="Times New Roman" w:cs="Times New Roman"/>
          <w:color w:val="000000" w:themeColor="text1"/>
          <w:sz w:val="24"/>
          <w:szCs w:val="24"/>
        </w:rPr>
        <w:t xml:space="preserve">classified by Montgomery based on discussions from </w:t>
      </w:r>
      <w:r w:rsidR="00C22B04" w:rsidRPr="009476D9">
        <w:rPr>
          <w:rFonts w:ascii="Times New Roman" w:hAnsi="Times New Roman" w:cs="Times New Roman"/>
          <w:color w:val="000000" w:themeColor="text1"/>
          <w:sz w:val="24"/>
          <w:szCs w:val="24"/>
        </w:rPr>
        <w:t>(</w:t>
      </w:r>
      <w:proofErr w:type="spellStart"/>
      <w:r w:rsidR="00C22B04" w:rsidRPr="009476D9">
        <w:rPr>
          <w:rFonts w:ascii="Times New Roman" w:hAnsi="Times New Roman" w:cs="Times New Roman"/>
          <w:bCs/>
          <w:color w:val="000000" w:themeColor="text1"/>
          <w:sz w:val="24"/>
          <w:szCs w:val="24"/>
        </w:rPr>
        <w:t>Aninakwah</w:t>
      </w:r>
      <w:proofErr w:type="spellEnd"/>
      <w:r w:rsidR="00C22B04" w:rsidRPr="009476D9">
        <w:rPr>
          <w:rFonts w:ascii="Times New Roman" w:hAnsi="Times New Roman" w:cs="Times New Roman"/>
          <w:bCs/>
          <w:color w:val="000000" w:themeColor="text1"/>
          <w:sz w:val="24"/>
          <w:szCs w:val="24"/>
        </w:rPr>
        <w:t xml:space="preserve">, </w:t>
      </w:r>
      <w:proofErr w:type="spellStart"/>
      <w:r w:rsidR="00C22B04" w:rsidRPr="009476D9">
        <w:rPr>
          <w:rFonts w:ascii="Times New Roman" w:hAnsi="Times New Roman" w:cs="Times New Roman"/>
          <w:bCs/>
          <w:color w:val="000000" w:themeColor="text1"/>
          <w:sz w:val="24"/>
          <w:szCs w:val="24"/>
        </w:rPr>
        <w:t>Aninakwah</w:t>
      </w:r>
      <w:proofErr w:type="spellEnd"/>
      <w:r w:rsidR="00C22B04" w:rsidRPr="009476D9">
        <w:rPr>
          <w:rFonts w:ascii="Times New Roman" w:hAnsi="Times New Roman" w:cs="Times New Roman"/>
          <w:bCs/>
          <w:color w:val="000000" w:themeColor="text1"/>
          <w:sz w:val="24"/>
          <w:szCs w:val="24"/>
        </w:rPr>
        <w:t>, and Okyere, (2025</w:t>
      </w:r>
      <w:r w:rsidR="00C22B04" w:rsidRPr="009476D9">
        <w:rPr>
          <w:rFonts w:ascii="Times New Roman" w:hAnsi="Times New Roman" w:cs="Times New Roman"/>
          <w:color w:val="000000" w:themeColor="text1"/>
          <w:sz w:val="24"/>
          <w:szCs w:val="24"/>
        </w:rPr>
        <w:t>).</w:t>
      </w:r>
    </w:p>
    <w:p w14:paraId="7A0A5896" w14:textId="116FA537" w:rsidR="00835AB9" w:rsidRPr="009476D9" w:rsidRDefault="00085EA7" w:rsidP="0065139C">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2.0 </w:t>
      </w:r>
      <w:r w:rsidR="00835AB9" w:rsidRPr="009476D9">
        <w:rPr>
          <w:rFonts w:ascii="Times New Roman" w:hAnsi="Times New Roman" w:cs="Times New Roman"/>
          <w:b/>
          <w:color w:val="000000" w:themeColor="text1"/>
          <w:sz w:val="24"/>
          <w:szCs w:val="24"/>
        </w:rPr>
        <w:t xml:space="preserve">Review of Related Literature </w:t>
      </w:r>
    </w:p>
    <w:p w14:paraId="7CFAAF2F" w14:textId="77DFA9C1" w:rsidR="00ED7544" w:rsidRPr="009476D9" w:rsidRDefault="00ED7544" w:rsidP="00ED7544">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Theoretical Review</w:t>
      </w:r>
    </w:p>
    <w:p w14:paraId="3064C91B" w14:textId="79C707CD"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In support of this work, advocative theoretical perspective is Pedogenic Theory which analyses the factors influencing the formation and the nature of the earth’s natural veneer. This theory wa</w:t>
      </w:r>
      <w:r w:rsidR="00922471" w:rsidRPr="009476D9">
        <w:rPr>
          <w:rFonts w:ascii="Times New Roman" w:hAnsi="Times New Roman" w:cs="Times New Roman"/>
          <w:color w:val="000000" w:themeColor="text1"/>
          <w:sz w:val="24"/>
          <w:szCs w:val="24"/>
        </w:rPr>
        <w:t>s described in book ‘Jenny (1958</w:t>
      </w:r>
      <w:r w:rsidRPr="009476D9">
        <w:rPr>
          <w:rFonts w:ascii="Times New Roman" w:hAnsi="Times New Roman" w:cs="Times New Roman"/>
          <w:color w:val="000000" w:themeColor="text1"/>
          <w:sz w:val="24"/>
          <w:szCs w:val="24"/>
        </w:rPr>
        <w:t xml:space="preserve">)’ and modern investigators have elaborated these factors into five factors including parent material, climate, organisms, topography and time depressing nutritive value and physical </w:t>
      </w:r>
      <w:r w:rsidR="005855D3" w:rsidRPr="009476D9">
        <w:rPr>
          <w:rFonts w:ascii="Times New Roman" w:hAnsi="Times New Roman" w:cs="Times New Roman"/>
          <w:color w:val="000000" w:themeColor="text1"/>
          <w:sz w:val="24"/>
          <w:szCs w:val="24"/>
        </w:rPr>
        <w:t>behavior</w:t>
      </w:r>
      <w:r w:rsidRPr="009476D9">
        <w:rPr>
          <w:rFonts w:ascii="Times New Roman" w:hAnsi="Times New Roman" w:cs="Times New Roman"/>
          <w:color w:val="000000" w:themeColor="text1"/>
          <w:sz w:val="24"/>
          <w:szCs w:val="24"/>
        </w:rPr>
        <w:t xml:space="preserve"> of soils. In the current papers, this theory has been useful in guiding proper assessment of the current and prospective state of soils under specific environmental conditions as discovered by Lal, 2020.</w:t>
      </w:r>
    </w:p>
    <w:p w14:paraId="4E890E1A" w14:textId="77777777"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In applying Pedogenic Theory to the Afram Plains, new knowledge emerges on how properties of soil relate to genesis of the properties in the context of the theory. For example, the variability of the loamy and clayey soil types to the sandy loam type show how these factors: The ways that surround the area have a semi-humid climate and forms an alluvial ‘parent’ material of the region. This study is also quantitative in nature hence fits into the theory by using weightage of laboratory result in considering such forces as Shear strength hence applying the theoretical concept of the forces acting on the soil.</w:t>
      </w:r>
    </w:p>
    <w:p w14:paraId="4619BAB8" w14:textId="7AEEC94B" w:rsidR="00ED7544" w:rsidRPr="009476D9" w:rsidRDefault="00ED7544" w:rsidP="0065139C">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Soil Quality and Degradation</w:t>
      </w:r>
    </w:p>
    <w:p w14:paraId="1284CB49" w14:textId="77777777" w:rsidR="000167B6"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Functions indicated above and described functions imply that soil is a good nutrient capital, water distributor and carbon that supports life in natural world. In the global scale, there is growing worry in the quality of soils; according to FAO; one third of the world’s soil is being eroded, compacted and depleted of nutrients (FAO, 2021). Classical approaches to assess and quantify these problems have been done under laboratory conditions by taking combined measurements of properties of soil in terms of its factual characteristics of the physical kind like bulk density and void ratio and chemical kind as the Ph and nutrient status </w:t>
      </w:r>
      <w:r w:rsidR="000167B6" w:rsidRPr="009476D9">
        <w:rPr>
          <w:rFonts w:ascii="Times New Roman" w:hAnsi="Times New Roman" w:cs="Times New Roman"/>
          <w:color w:val="000000" w:themeColor="text1"/>
          <w:sz w:val="24"/>
          <w:szCs w:val="24"/>
        </w:rPr>
        <w:t>(FAO, 2021)</w:t>
      </w:r>
    </w:p>
    <w:p w14:paraId="25D16125" w14:textId="77777777" w:rsidR="007E29DA"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For instance in Africa one of the barriers to achievement of sustainable agriculture production is through soil degradation. Current studies indicate that over fifty percent of African soil has nutrient limits that lower their production capacity to achieve high yield </w:t>
      </w:r>
      <w:r w:rsidR="007E29DA" w:rsidRPr="009476D9">
        <w:rPr>
          <w:rFonts w:ascii="Times New Roman" w:hAnsi="Times New Roman" w:cs="Times New Roman"/>
          <w:color w:val="000000" w:themeColor="text1"/>
          <w:sz w:val="24"/>
          <w:szCs w:val="24"/>
        </w:rPr>
        <w:t xml:space="preserve">(Raimi, Adeleke, &amp; </w:t>
      </w:r>
      <w:proofErr w:type="spellStart"/>
      <w:r w:rsidR="007E29DA" w:rsidRPr="009476D9">
        <w:rPr>
          <w:rFonts w:ascii="Times New Roman" w:hAnsi="Times New Roman" w:cs="Times New Roman"/>
          <w:color w:val="000000" w:themeColor="text1"/>
          <w:sz w:val="24"/>
          <w:szCs w:val="24"/>
        </w:rPr>
        <w:t>Roopnarain</w:t>
      </w:r>
      <w:proofErr w:type="spellEnd"/>
      <w:r w:rsidR="007E29DA" w:rsidRPr="009476D9">
        <w:rPr>
          <w:rFonts w:ascii="Times New Roman" w:hAnsi="Times New Roman" w:cs="Times New Roman"/>
          <w:color w:val="000000" w:themeColor="text1"/>
          <w:sz w:val="24"/>
          <w:szCs w:val="24"/>
        </w:rPr>
        <w:t>, 2017).</w:t>
      </w:r>
    </w:p>
    <w:p w14:paraId="15F4B8EF" w14:textId="5D2AF68B" w:rsidR="006B2984"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The technologies applied in carrying out the tests and determining the fertility of the soils have on the other improved in the continent in determination of quantity of fertilizers and soil conditioners. Such analyses are even more important for production areas that have different types of soils which are not well controlled under general recommendations th</w:t>
      </w:r>
      <w:r w:rsidR="000D6AB4" w:rsidRPr="009476D9">
        <w:rPr>
          <w:rFonts w:ascii="Times New Roman" w:hAnsi="Times New Roman" w:cs="Times New Roman"/>
          <w:color w:val="000000" w:themeColor="text1"/>
          <w:sz w:val="24"/>
          <w:szCs w:val="24"/>
        </w:rPr>
        <w:t xml:space="preserve">at do not consider local soils (Otieno, </w:t>
      </w:r>
      <w:proofErr w:type="spellStart"/>
      <w:r w:rsidR="000D6AB4" w:rsidRPr="009476D9">
        <w:rPr>
          <w:rFonts w:ascii="Times New Roman" w:hAnsi="Times New Roman" w:cs="Times New Roman"/>
          <w:color w:val="000000" w:themeColor="text1"/>
          <w:sz w:val="24"/>
          <w:szCs w:val="24"/>
        </w:rPr>
        <w:t>Kiboi</w:t>
      </w:r>
      <w:proofErr w:type="spellEnd"/>
      <w:r w:rsidR="000D6AB4" w:rsidRPr="009476D9">
        <w:rPr>
          <w:rFonts w:ascii="Times New Roman" w:hAnsi="Times New Roman" w:cs="Times New Roman"/>
          <w:color w:val="000000" w:themeColor="text1"/>
          <w:sz w:val="24"/>
          <w:szCs w:val="24"/>
        </w:rPr>
        <w:t xml:space="preserve">, Gian, </w:t>
      </w:r>
      <w:proofErr w:type="spellStart"/>
      <w:r w:rsidR="000D6AB4" w:rsidRPr="009476D9">
        <w:rPr>
          <w:rFonts w:ascii="Times New Roman" w:hAnsi="Times New Roman" w:cs="Times New Roman"/>
          <w:color w:val="000000" w:themeColor="text1"/>
          <w:sz w:val="24"/>
          <w:szCs w:val="24"/>
        </w:rPr>
        <w:t>Muriuki</w:t>
      </w:r>
      <w:proofErr w:type="spellEnd"/>
      <w:r w:rsidR="000D6AB4" w:rsidRPr="009476D9">
        <w:rPr>
          <w:rFonts w:ascii="Times New Roman" w:hAnsi="Times New Roman" w:cs="Times New Roman"/>
          <w:color w:val="000000" w:themeColor="text1"/>
          <w:sz w:val="24"/>
          <w:szCs w:val="24"/>
        </w:rPr>
        <w:t xml:space="preserve">, </w:t>
      </w:r>
      <w:proofErr w:type="spellStart"/>
      <w:r w:rsidR="000D6AB4" w:rsidRPr="009476D9">
        <w:rPr>
          <w:rFonts w:ascii="Times New Roman" w:hAnsi="Times New Roman" w:cs="Times New Roman"/>
          <w:color w:val="000000" w:themeColor="text1"/>
          <w:sz w:val="24"/>
          <w:szCs w:val="24"/>
        </w:rPr>
        <w:t>Musafiri</w:t>
      </w:r>
      <w:proofErr w:type="spellEnd"/>
      <w:r w:rsidR="000D6AB4" w:rsidRPr="009476D9">
        <w:rPr>
          <w:rFonts w:ascii="Times New Roman" w:hAnsi="Times New Roman" w:cs="Times New Roman"/>
          <w:color w:val="000000" w:themeColor="text1"/>
          <w:sz w:val="24"/>
          <w:szCs w:val="24"/>
        </w:rPr>
        <w:t xml:space="preserve">, &amp; </w:t>
      </w:r>
      <w:proofErr w:type="spellStart"/>
      <w:r w:rsidR="000D6AB4" w:rsidRPr="009476D9">
        <w:rPr>
          <w:rFonts w:ascii="Times New Roman" w:hAnsi="Times New Roman" w:cs="Times New Roman"/>
          <w:color w:val="000000" w:themeColor="text1"/>
          <w:sz w:val="24"/>
          <w:szCs w:val="24"/>
        </w:rPr>
        <w:t>Ngetich</w:t>
      </w:r>
      <w:proofErr w:type="spellEnd"/>
      <w:r w:rsidR="000D6AB4" w:rsidRPr="009476D9">
        <w:rPr>
          <w:rFonts w:ascii="Times New Roman" w:hAnsi="Times New Roman" w:cs="Times New Roman"/>
          <w:color w:val="000000" w:themeColor="text1"/>
          <w:sz w:val="24"/>
          <w:szCs w:val="24"/>
        </w:rPr>
        <w:t>, 2021)</w:t>
      </w:r>
    </w:p>
    <w:p w14:paraId="73E6AC69" w14:textId="5AAC1028" w:rsidR="00ED7544" w:rsidRPr="009476D9" w:rsidRDefault="00ED7544" w:rsidP="0065139C">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Soil Characteristics in Afram Plains</w:t>
      </w:r>
    </w:p>
    <w:p w14:paraId="1A222239" w14:textId="77777777" w:rsidR="00E43759"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The role of commercial agriculture in the farming-based country has the quality of its soil determined by ecology. Among all the emergent savanna agricultural zones the plains of Afram would be of considerable value mainly because of the availability of large area for agricultural purposes. However, the Shore Stabilization and Shore Protection through Planting research shows such problems such as erosion, water holding capacity and poor soil fertility following the application of wrong farming practices </w:t>
      </w:r>
      <w:r w:rsidR="005602FD" w:rsidRPr="009476D9">
        <w:rPr>
          <w:rFonts w:ascii="Times New Roman" w:hAnsi="Times New Roman" w:cs="Times New Roman"/>
          <w:color w:val="000000" w:themeColor="text1"/>
          <w:sz w:val="24"/>
          <w:szCs w:val="24"/>
        </w:rPr>
        <w:t>(</w:t>
      </w:r>
      <w:proofErr w:type="spellStart"/>
      <w:r w:rsidR="005602FD" w:rsidRPr="009476D9">
        <w:rPr>
          <w:rFonts w:ascii="Times New Roman" w:hAnsi="Times New Roman" w:cs="Times New Roman"/>
          <w:color w:val="000000" w:themeColor="text1"/>
          <w:sz w:val="24"/>
          <w:szCs w:val="24"/>
        </w:rPr>
        <w:t>Koné</w:t>
      </w:r>
      <w:proofErr w:type="spellEnd"/>
      <w:r w:rsidR="005602FD" w:rsidRPr="009476D9">
        <w:rPr>
          <w:rFonts w:ascii="Times New Roman" w:hAnsi="Times New Roman" w:cs="Times New Roman"/>
          <w:color w:val="000000" w:themeColor="text1"/>
          <w:sz w:val="24"/>
          <w:szCs w:val="24"/>
        </w:rPr>
        <w:t xml:space="preserve"> et al., 2022)</w:t>
      </w:r>
      <w:r w:rsidRPr="009476D9">
        <w:rPr>
          <w:rFonts w:ascii="Times New Roman" w:hAnsi="Times New Roman" w:cs="Times New Roman"/>
          <w:color w:val="000000" w:themeColor="text1"/>
          <w:sz w:val="24"/>
          <w:szCs w:val="24"/>
        </w:rPr>
        <w:t xml:space="preserve">. Research has been carried out an these soils and as observed there are some uneven features including the texture, supply of nutrients as well as the organic matter and therefore needs some form of management </w:t>
      </w:r>
      <w:r w:rsidR="00E43759" w:rsidRPr="009476D9">
        <w:rPr>
          <w:rFonts w:ascii="Times New Roman" w:hAnsi="Times New Roman" w:cs="Times New Roman"/>
          <w:color w:val="000000" w:themeColor="text1"/>
          <w:sz w:val="24"/>
          <w:szCs w:val="24"/>
        </w:rPr>
        <w:t>(Benin et al., 2013).</w:t>
      </w:r>
    </w:p>
    <w:p w14:paraId="39039DA3" w14:textId="53FC890A"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Depending on their functionality, soil can be described by its physical features such as texture, structure and permeability. A quality that can be seen as favorable in the Plains is low bulk density in the Afram Plains soil increases root penetration, but, on the other hand, results in low water holding capacity </w:t>
      </w:r>
      <w:r w:rsidR="00E43759" w:rsidRPr="009476D9">
        <w:rPr>
          <w:rFonts w:ascii="Times New Roman" w:hAnsi="Times New Roman" w:cs="Times New Roman"/>
          <w:color w:val="000000" w:themeColor="text1"/>
          <w:sz w:val="24"/>
          <w:szCs w:val="24"/>
        </w:rPr>
        <w:t>(</w:t>
      </w:r>
      <w:proofErr w:type="spellStart"/>
      <w:r w:rsidR="00E43759" w:rsidRPr="009476D9">
        <w:rPr>
          <w:rFonts w:ascii="Times New Roman" w:hAnsi="Times New Roman" w:cs="Times New Roman"/>
          <w:color w:val="000000" w:themeColor="text1"/>
          <w:sz w:val="24"/>
          <w:szCs w:val="24"/>
        </w:rPr>
        <w:t>Koné</w:t>
      </w:r>
      <w:proofErr w:type="spellEnd"/>
      <w:r w:rsidR="00E43759" w:rsidRPr="009476D9">
        <w:rPr>
          <w:rFonts w:ascii="Times New Roman" w:hAnsi="Times New Roman" w:cs="Times New Roman"/>
          <w:color w:val="000000" w:themeColor="text1"/>
          <w:sz w:val="24"/>
          <w:szCs w:val="24"/>
        </w:rPr>
        <w:t xml:space="preserve"> et al., 2022)</w:t>
      </w:r>
      <w:r w:rsidRPr="009476D9">
        <w:rPr>
          <w:rFonts w:ascii="Times New Roman" w:hAnsi="Times New Roman" w:cs="Times New Roman"/>
          <w:color w:val="000000" w:themeColor="text1"/>
          <w:sz w:val="24"/>
          <w:szCs w:val="24"/>
        </w:rPr>
        <w:t xml:space="preserve">. That is why productivity of the soil depends on </w:t>
      </w:r>
      <w:proofErr w:type="spellStart"/>
      <w:r w:rsidR="00E43759" w:rsidRPr="009476D9">
        <w:rPr>
          <w:rFonts w:ascii="Times New Roman" w:hAnsi="Times New Roman" w:cs="Times New Roman"/>
          <w:color w:val="000000" w:themeColor="text1"/>
          <w:sz w:val="24"/>
          <w:szCs w:val="24"/>
        </w:rPr>
        <w:t>it’s</w:t>
      </w:r>
      <w:proofErr w:type="spellEnd"/>
      <w:r w:rsidR="00E43759" w:rsidRPr="009476D9">
        <w:rPr>
          <w:rFonts w:ascii="Times New Roman" w:hAnsi="Times New Roman" w:cs="Times New Roman"/>
          <w:color w:val="000000" w:themeColor="text1"/>
          <w:sz w:val="24"/>
          <w:szCs w:val="24"/>
        </w:rPr>
        <w:t xml:space="preserve"> </w:t>
      </w:r>
      <w:proofErr w:type="spellStart"/>
      <w:proofErr w:type="gramStart"/>
      <w:r w:rsidR="00E43759" w:rsidRPr="009476D9">
        <w:rPr>
          <w:rFonts w:ascii="Times New Roman" w:hAnsi="Times New Roman" w:cs="Times New Roman"/>
          <w:color w:val="000000" w:themeColor="text1"/>
          <w:sz w:val="24"/>
          <w:szCs w:val="24"/>
        </w:rPr>
        <w:t>a.</w:t>
      </w:r>
      <w:r w:rsidRPr="009476D9">
        <w:rPr>
          <w:rFonts w:ascii="Times New Roman" w:hAnsi="Times New Roman" w:cs="Times New Roman"/>
          <w:color w:val="000000" w:themeColor="text1"/>
          <w:sz w:val="24"/>
          <w:szCs w:val="24"/>
        </w:rPr>
        <w:t>cidity</w:t>
      </w:r>
      <w:proofErr w:type="spellEnd"/>
      <w:proofErr w:type="gramEnd"/>
      <w:r w:rsidRPr="009476D9">
        <w:rPr>
          <w:rFonts w:ascii="Times New Roman" w:hAnsi="Times New Roman" w:cs="Times New Roman"/>
          <w:color w:val="000000" w:themeColor="text1"/>
          <w:sz w:val="24"/>
          <w:szCs w:val="24"/>
        </w:rPr>
        <w:t>, alkalinity, or pH and cation exchange capacity (CEC). Surveys done in the recent past in the region reveal that majority of the soils are slightly acidic and this determines nutrient status and microbial degradation. Serological statements corroborate settings to such characteristics and have played a central role for farmers and policymaker in determining what to do.</w:t>
      </w:r>
    </w:p>
    <w:p w14:paraId="7847A087" w14:textId="5AC352C0" w:rsidR="00ED7544" w:rsidRPr="009476D9" w:rsidRDefault="00ED7544" w:rsidP="0065139C">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Water Retention and Soil Management</w:t>
      </w:r>
    </w:p>
    <w:p w14:paraId="07A68782" w14:textId="10628014" w:rsidR="0065139C"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Water retention and permeability are also other properties that determine of how these soils of Afram Plain are productive. These properties not only define how water is available to the crops, but also, explains how crops are vulnerable to factors such as erosion and nutrient leaching. As observed from the compacted soil tests, typical clayey soils within the study area have low water retention but </w:t>
      </w:r>
      <w:r w:rsidR="00D91273" w:rsidRPr="009476D9">
        <w:rPr>
          <w:rFonts w:ascii="Times New Roman" w:hAnsi="Times New Roman" w:cs="Times New Roman"/>
          <w:color w:val="000000" w:themeColor="text1"/>
          <w:sz w:val="24"/>
          <w:szCs w:val="24"/>
        </w:rPr>
        <w:t>high-water</w:t>
      </w:r>
      <w:r w:rsidRPr="009476D9">
        <w:rPr>
          <w:rFonts w:ascii="Times New Roman" w:hAnsi="Times New Roman" w:cs="Times New Roman"/>
          <w:color w:val="000000" w:themeColor="text1"/>
          <w:sz w:val="24"/>
          <w:szCs w:val="24"/>
        </w:rPr>
        <w:t xml:space="preserve"> drainage as confirmed from the laboratory testing via soil moisture test and hydraulic conductivity test. The latter has better internal drain characteristics, but the water- and nutrient-holding capacity is reduced, which supports pract</w:t>
      </w:r>
      <w:r w:rsidR="00E43759" w:rsidRPr="009476D9">
        <w:rPr>
          <w:rFonts w:ascii="Times New Roman" w:hAnsi="Times New Roman" w:cs="Times New Roman"/>
          <w:color w:val="000000" w:themeColor="text1"/>
          <w:sz w:val="24"/>
          <w:szCs w:val="24"/>
        </w:rPr>
        <w:t>icable targeted soil management (</w:t>
      </w:r>
      <w:proofErr w:type="spellStart"/>
      <w:r w:rsidR="00E43759" w:rsidRPr="009476D9">
        <w:rPr>
          <w:rFonts w:ascii="Times New Roman" w:hAnsi="Times New Roman" w:cs="Times New Roman"/>
          <w:color w:val="000000" w:themeColor="text1"/>
          <w:sz w:val="24"/>
          <w:szCs w:val="24"/>
        </w:rPr>
        <w:t>Yidana</w:t>
      </w:r>
      <w:proofErr w:type="spellEnd"/>
      <w:r w:rsidR="00E43759" w:rsidRPr="009476D9">
        <w:rPr>
          <w:rFonts w:ascii="Times New Roman" w:hAnsi="Times New Roman" w:cs="Times New Roman"/>
          <w:color w:val="000000" w:themeColor="text1"/>
          <w:sz w:val="24"/>
          <w:szCs w:val="24"/>
        </w:rPr>
        <w:t xml:space="preserve">, </w:t>
      </w:r>
      <w:proofErr w:type="spellStart"/>
      <w:r w:rsidR="00E43759" w:rsidRPr="009476D9">
        <w:rPr>
          <w:rFonts w:ascii="Times New Roman" w:hAnsi="Times New Roman" w:cs="Times New Roman"/>
          <w:color w:val="000000" w:themeColor="text1"/>
          <w:sz w:val="24"/>
          <w:szCs w:val="24"/>
        </w:rPr>
        <w:t>Ophori</w:t>
      </w:r>
      <w:proofErr w:type="spellEnd"/>
      <w:r w:rsidR="00E43759" w:rsidRPr="009476D9">
        <w:rPr>
          <w:rFonts w:ascii="Times New Roman" w:hAnsi="Times New Roman" w:cs="Times New Roman"/>
          <w:color w:val="000000" w:themeColor="text1"/>
          <w:sz w:val="24"/>
          <w:szCs w:val="24"/>
        </w:rPr>
        <w:t xml:space="preserve">, &amp; </w:t>
      </w:r>
      <w:proofErr w:type="spellStart"/>
      <w:r w:rsidR="00E43759" w:rsidRPr="009476D9">
        <w:rPr>
          <w:rFonts w:ascii="Times New Roman" w:hAnsi="Times New Roman" w:cs="Times New Roman"/>
          <w:color w:val="000000" w:themeColor="text1"/>
          <w:sz w:val="24"/>
          <w:szCs w:val="24"/>
        </w:rPr>
        <w:t>Banoeng-Yakubo</w:t>
      </w:r>
      <w:proofErr w:type="spellEnd"/>
      <w:r w:rsidR="00E43759" w:rsidRPr="009476D9">
        <w:rPr>
          <w:rFonts w:ascii="Times New Roman" w:hAnsi="Times New Roman" w:cs="Times New Roman"/>
          <w:color w:val="000000" w:themeColor="text1"/>
          <w:sz w:val="24"/>
          <w:szCs w:val="24"/>
        </w:rPr>
        <w:t>, 2008)</w:t>
      </w:r>
    </w:p>
    <w:p w14:paraId="7D826360" w14:textId="72E94098" w:rsidR="00AE5C2A" w:rsidRPr="009476D9" w:rsidRDefault="0065139C" w:rsidP="0065139C">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From this literature, the identification of the physical and chemical characteristics of the soils in Afram Plains requires laboratory data. This work thus employs and integrates the Pedogenic Theory as the </w:t>
      </w:r>
      <w:proofErr w:type="spellStart"/>
      <w:r w:rsidRPr="009476D9">
        <w:rPr>
          <w:rFonts w:ascii="Times New Roman" w:hAnsi="Times New Roman" w:cs="Times New Roman"/>
          <w:color w:val="000000" w:themeColor="text1"/>
          <w:sz w:val="24"/>
          <w:szCs w:val="24"/>
        </w:rPr>
        <w:t>organising</w:t>
      </w:r>
      <w:proofErr w:type="spellEnd"/>
      <w:r w:rsidRPr="009476D9">
        <w:rPr>
          <w:rFonts w:ascii="Times New Roman" w:hAnsi="Times New Roman" w:cs="Times New Roman"/>
          <w:color w:val="000000" w:themeColor="text1"/>
          <w:sz w:val="24"/>
          <w:szCs w:val="24"/>
        </w:rPr>
        <w:t xml:space="preserve"> framework by which the knowledge on formation of the soils interrelates with the understanding of management of the same. It can also make a contribution to the </w:t>
      </w:r>
      <w:r w:rsidR="00D91273" w:rsidRPr="009476D9">
        <w:rPr>
          <w:rFonts w:ascii="Times New Roman" w:hAnsi="Times New Roman" w:cs="Times New Roman"/>
          <w:color w:val="000000" w:themeColor="text1"/>
          <w:sz w:val="24"/>
          <w:szCs w:val="24"/>
        </w:rPr>
        <w:t>utilization</w:t>
      </w:r>
      <w:r w:rsidRPr="009476D9">
        <w:rPr>
          <w:rFonts w:ascii="Times New Roman" w:hAnsi="Times New Roman" w:cs="Times New Roman"/>
          <w:color w:val="000000" w:themeColor="text1"/>
          <w:sz w:val="24"/>
          <w:szCs w:val="24"/>
        </w:rPr>
        <w:t xml:space="preserve"> of the global and especially the continental efforts on the prevention of further soil degradation and the better and improved use of the land resources for sustainable agriculture besides the positive impacts which the improvements of the health of the soil in Ghana bring regarding agriculture productivity.</w:t>
      </w:r>
    </w:p>
    <w:p w14:paraId="3CCEDBA8" w14:textId="2F02A678" w:rsidR="00A70686" w:rsidRPr="009476D9" w:rsidRDefault="00A70686" w:rsidP="0065139C">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Conceptual Framework</w:t>
      </w:r>
    </w:p>
    <w:p w14:paraId="19A84E07" w14:textId="507CFADE" w:rsidR="00A70686" w:rsidRPr="009476D9" w:rsidRDefault="005D5F51" w:rsidP="0065139C">
      <w:pPr>
        <w:jc w:val="both"/>
        <w:rPr>
          <w:rFonts w:ascii="Times New Roman" w:hAnsi="Times New Roman" w:cs="Times New Roman"/>
          <w:b/>
          <w:bCs/>
          <w:color w:val="000000" w:themeColor="text1"/>
          <w:sz w:val="24"/>
          <w:szCs w:val="24"/>
        </w:rPr>
      </w:pPr>
      <w:r w:rsidRPr="009476D9">
        <w:rPr>
          <w:noProof/>
          <w:color w:val="000000" w:themeColor="text1"/>
        </w:rPr>
        <w:drawing>
          <wp:inline distT="0" distB="0" distL="0" distR="0" wp14:anchorId="77579016" wp14:editId="60D4C1CD">
            <wp:extent cx="5731510" cy="5731510"/>
            <wp:effectExtent l="0" t="0" r="2540" b="2540"/>
            <wp:docPr id="980230377" name="Picture 1" descr="Gener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ted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463D1391" w14:textId="55757AD2" w:rsidR="00781D62" w:rsidRPr="009476D9" w:rsidRDefault="00781D62" w:rsidP="00781D62">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 xml:space="preserve">Figure 1: Conceptual Framework </w:t>
      </w:r>
    </w:p>
    <w:p w14:paraId="3024881B" w14:textId="77777777" w:rsidR="00781D62" w:rsidRPr="009476D9" w:rsidRDefault="00781D62" w:rsidP="00781D62">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Source: Author’s Construct, (2024)</w:t>
      </w:r>
    </w:p>
    <w:p w14:paraId="73880FB4" w14:textId="77777777" w:rsidR="007A40FD" w:rsidRPr="009476D9" w:rsidRDefault="007A40FD" w:rsidP="0065139C">
      <w:pPr>
        <w:jc w:val="both"/>
        <w:rPr>
          <w:rFonts w:ascii="Times New Roman" w:hAnsi="Times New Roman" w:cs="Times New Roman"/>
          <w:color w:val="000000" w:themeColor="text1"/>
          <w:sz w:val="24"/>
          <w:szCs w:val="24"/>
        </w:rPr>
      </w:pPr>
    </w:p>
    <w:p w14:paraId="0BE78D4E" w14:textId="77777777" w:rsidR="005D5F51" w:rsidRPr="009476D9" w:rsidRDefault="005D5F51" w:rsidP="0065139C">
      <w:pPr>
        <w:jc w:val="both"/>
        <w:rPr>
          <w:rFonts w:ascii="Times New Roman" w:hAnsi="Times New Roman" w:cs="Times New Roman"/>
          <w:b/>
          <w:color w:val="000000" w:themeColor="text1"/>
          <w:sz w:val="24"/>
          <w:szCs w:val="24"/>
        </w:rPr>
      </w:pPr>
    </w:p>
    <w:p w14:paraId="10B7A834" w14:textId="77777777" w:rsidR="005D5F51" w:rsidRPr="009476D9" w:rsidRDefault="005D5F51" w:rsidP="0065139C">
      <w:pPr>
        <w:jc w:val="both"/>
        <w:rPr>
          <w:rFonts w:ascii="Times New Roman" w:hAnsi="Times New Roman" w:cs="Times New Roman"/>
          <w:b/>
          <w:color w:val="000000" w:themeColor="text1"/>
          <w:sz w:val="24"/>
          <w:szCs w:val="24"/>
        </w:rPr>
      </w:pPr>
    </w:p>
    <w:p w14:paraId="0C394D4A" w14:textId="77777777" w:rsidR="005D5F51" w:rsidRPr="009476D9" w:rsidRDefault="005D5F51" w:rsidP="0065139C">
      <w:pPr>
        <w:jc w:val="both"/>
        <w:rPr>
          <w:rFonts w:ascii="Times New Roman" w:hAnsi="Times New Roman" w:cs="Times New Roman"/>
          <w:b/>
          <w:color w:val="000000" w:themeColor="text1"/>
          <w:sz w:val="24"/>
          <w:szCs w:val="24"/>
        </w:rPr>
      </w:pPr>
    </w:p>
    <w:p w14:paraId="53FBF8D1" w14:textId="77777777" w:rsidR="005D5F51" w:rsidRPr="009476D9" w:rsidRDefault="005D5F51" w:rsidP="0065139C">
      <w:pPr>
        <w:jc w:val="both"/>
        <w:rPr>
          <w:rFonts w:ascii="Times New Roman" w:hAnsi="Times New Roman" w:cs="Times New Roman"/>
          <w:b/>
          <w:color w:val="000000" w:themeColor="text1"/>
          <w:sz w:val="24"/>
          <w:szCs w:val="24"/>
        </w:rPr>
      </w:pPr>
    </w:p>
    <w:p w14:paraId="0AD2A1DB" w14:textId="77777777" w:rsidR="005D5F51" w:rsidRPr="009476D9" w:rsidRDefault="005D5F51" w:rsidP="0065139C">
      <w:pPr>
        <w:jc w:val="both"/>
        <w:rPr>
          <w:rFonts w:ascii="Times New Roman" w:hAnsi="Times New Roman" w:cs="Times New Roman"/>
          <w:b/>
          <w:color w:val="000000" w:themeColor="text1"/>
          <w:sz w:val="24"/>
          <w:szCs w:val="24"/>
        </w:rPr>
      </w:pPr>
    </w:p>
    <w:p w14:paraId="52C8CFE0" w14:textId="77777777" w:rsidR="005D5F51" w:rsidRPr="009476D9" w:rsidRDefault="005D5F51" w:rsidP="0065139C">
      <w:pPr>
        <w:jc w:val="both"/>
        <w:rPr>
          <w:rFonts w:ascii="Times New Roman" w:hAnsi="Times New Roman" w:cs="Times New Roman"/>
          <w:b/>
          <w:color w:val="000000" w:themeColor="text1"/>
          <w:sz w:val="24"/>
          <w:szCs w:val="24"/>
        </w:rPr>
      </w:pPr>
    </w:p>
    <w:p w14:paraId="47D6DF90" w14:textId="228E93CC" w:rsidR="00F45F2E" w:rsidRPr="009476D9" w:rsidRDefault="00085EA7" w:rsidP="0065139C">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3.0 </w:t>
      </w:r>
      <w:r w:rsidR="00F45F2E" w:rsidRPr="009476D9">
        <w:rPr>
          <w:rFonts w:ascii="Times New Roman" w:hAnsi="Times New Roman" w:cs="Times New Roman"/>
          <w:b/>
          <w:color w:val="000000" w:themeColor="text1"/>
          <w:sz w:val="24"/>
          <w:szCs w:val="24"/>
        </w:rPr>
        <w:t xml:space="preserve">Materials and Methods </w:t>
      </w:r>
    </w:p>
    <w:p w14:paraId="0F68F2F1" w14:textId="77777777" w:rsidR="00F45F2E" w:rsidRPr="009476D9" w:rsidRDefault="00F45F2E"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Study Area</w:t>
      </w:r>
    </w:p>
    <w:p w14:paraId="6F73A5DB" w14:textId="77777777" w:rsidR="0091171D" w:rsidRPr="009476D9" w:rsidRDefault="0091171D" w:rsidP="0091171D">
      <w:pPr>
        <w:jc w:val="both"/>
        <w:rPr>
          <w:rFonts w:ascii="Times New Roman" w:hAnsi="Times New Roman" w:cs="Times New Roman"/>
          <w:color w:val="000000" w:themeColor="text1"/>
          <w:sz w:val="24"/>
          <w:szCs w:val="24"/>
        </w:rPr>
      </w:pPr>
      <w:r w:rsidRPr="009476D9">
        <w:rPr>
          <w:rFonts w:ascii="Times New Roman" w:eastAsia="Calibri" w:hAnsi="Times New Roman" w:cs="Times New Roman"/>
          <w:noProof/>
          <w:color w:val="000000" w:themeColor="text1"/>
          <w:kern w:val="2"/>
          <w:sz w:val="24"/>
          <w:szCs w:val="24"/>
          <w14:ligatures w14:val="standardContextual"/>
        </w:rPr>
        <w:drawing>
          <wp:inline distT="0" distB="0" distL="0" distR="0" wp14:anchorId="65A75531" wp14:editId="1209D963">
            <wp:extent cx="5800725" cy="3823335"/>
            <wp:effectExtent l="0" t="0" r="952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33845" cy="3845165"/>
                    </a:xfrm>
                    <a:prstGeom prst="rect">
                      <a:avLst/>
                    </a:prstGeom>
                    <a:noFill/>
                    <a:ln>
                      <a:noFill/>
                    </a:ln>
                  </pic:spPr>
                </pic:pic>
              </a:graphicData>
            </a:graphic>
          </wp:inline>
        </w:drawing>
      </w:r>
    </w:p>
    <w:p w14:paraId="42AEAC82" w14:textId="391E9311" w:rsidR="0091171D" w:rsidRPr="009476D9" w:rsidRDefault="0091171D" w:rsidP="0091171D">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Figure</w:t>
      </w:r>
      <w:r w:rsidR="00B105B1" w:rsidRPr="009476D9">
        <w:rPr>
          <w:rFonts w:ascii="Times New Roman" w:hAnsi="Times New Roman" w:cs="Times New Roman"/>
          <w:b/>
          <w:bCs/>
          <w:color w:val="000000" w:themeColor="text1"/>
          <w:sz w:val="24"/>
          <w:szCs w:val="24"/>
        </w:rPr>
        <w:t xml:space="preserve"> 2</w:t>
      </w:r>
      <w:r w:rsidRPr="009476D9">
        <w:rPr>
          <w:rFonts w:ascii="Times New Roman" w:hAnsi="Times New Roman" w:cs="Times New Roman"/>
          <w:b/>
          <w:bCs/>
          <w:color w:val="000000" w:themeColor="text1"/>
          <w:sz w:val="24"/>
          <w:szCs w:val="24"/>
        </w:rPr>
        <w:t>: Study Area in Regional and District Context</w:t>
      </w:r>
    </w:p>
    <w:p w14:paraId="1E7D77F2" w14:textId="7436C44C" w:rsidR="0091171D" w:rsidRPr="009476D9" w:rsidRDefault="0091171D" w:rsidP="00F45F2E">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Source: Author’s Construct, (2024)</w:t>
      </w:r>
    </w:p>
    <w:p w14:paraId="6124D34A" w14:textId="5B3F2F1C" w:rsidR="00BE22A3" w:rsidRPr="009476D9" w:rsidRDefault="00BE22A3"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The Afram Plains lies within latitude 6°40′N and 7°10′N and longitude 0°30’W and 1°05’W in the southern part of Ghana and is an important agricultural area covering about 3, 559 square kilometers (Industrial Faith City, n.d.; Wikipedia, n.d.). They comprise sandy loams and clays, developed from alluvial genesis originating from the semi – humid climate and the Afram River. Due to changes in the river’s flood cycles, the soils are also dynamic and variable and ideal for growing different crops such as maize, yam and cassava. Situated at a relatively low altitude of between 60 and 120m, the area carries out abundant agriculture that in terms of employment, occupies approximately 80 per cent of the population of the region. This makes the Afram Plains very important in the food production in Ghana. Due to its well-entrenched geographical position, various types of soil and its key position in agriculture, the state has been chosen as the study area to provide a </w:t>
      </w:r>
      <w:r w:rsidR="00D91273" w:rsidRPr="009476D9">
        <w:rPr>
          <w:rFonts w:ascii="Times New Roman" w:hAnsi="Times New Roman" w:cs="Times New Roman"/>
          <w:color w:val="000000" w:themeColor="text1"/>
          <w:sz w:val="24"/>
          <w:szCs w:val="24"/>
        </w:rPr>
        <w:t>one-of-a-kind</w:t>
      </w:r>
      <w:r w:rsidRPr="009476D9">
        <w:rPr>
          <w:rFonts w:ascii="Times New Roman" w:hAnsi="Times New Roman" w:cs="Times New Roman"/>
          <w:color w:val="000000" w:themeColor="text1"/>
          <w:sz w:val="24"/>
          <w:szCs w:val="24"/>
        </w:rPr>
        <w:t xml:space="preserve"> chance to study the properties of the soil in the context of sustainable land management and higher productivity as per the 2012 Population and housing Census</w:t>
      </w:r>
      <w:r w:rsidR="00D91273" w:rsidRPr="009476D9">
        <w:rPr>
          <w:rFonts w:ascii="Times New Roman" w:hAnsi="Times New Roman" w:cs="Times New Roman"/>
          <w:color w:val="000000" w:themeColor="text1"/>
          <w:sz w:val="24"/>
          <w:szCs w:val="24"/>
        </w:rPr>
        <w:t>.</w:t>
      </w:r>
    </w:p>
    <w:p w14:paraId="08A1BA27" w14:textId="77777777" w:rsidR="00D91273" w:rsidRPr="009476D9" w:rsidRDefault="00D91273" w:rsidP="00D91273">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Research Design</w:t>
      </w:r>
    </w:p>
    <w:p w14:paraId="6387760A" w14:textId="32D57D63" w:rsidR="00D91273" w:rsidRPr="009476D9" w:rsidRDefault="00D91273" w:rsidP="00F45F2E">
      <w:pPr>
        <w:jc w:val="both"/>
        <w:rPr>
          <w:rFonts w:ascii="Times New Roman" w:hAnsi="Times New Roman" w:cs="Times New Roman"/>
          <w:bCs/>
          <w:color w:val="000000" w:themeColor="text1"/>
          <w:sz w:val="24"/>
          <w:szCs w:val="24"/>
        </w:rPr>
      </w:pPr>
      <w:r w:rsidRPr="009476D9">
        <w:rPr>
          <w:rFonts w:ascii="Times New Roman" w:hAnsi="Times New Roman" w:cs="Times New Roman"/>
          <w:bCs/>
          <w:color w:val="000000" w:themeColor="text1"/>
          <w:sz w:val="24"/>
          <w:szCs w:val="24"/>
        </w:rPr>
        <w:t>This research therefore used a quantitative research design, which was descriptive and analytical in nature in order to assess the properties and quality of the soil in the Afram Plains region. This design allowed for the elaboration of exhaustive characterization of physical, chemical and biological qualities in the soil: major parameters, which characterize soil quality. The research consisted of laboratory analyses that were deemed essential for the logic and accuracy in the studies.</w:t>
      </w:r>
    </w:p>
    <w:p w14:paraId="5FF09846" w14:textId="2C053672" w:rsidR="00F45F2E" w:rsidRPr="009476D9" w:rsidRDefault="00356B59"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Sampling Procedure and Soil </w:t>
      </w:r>
      <w:r w:rsidR="00E61D3B" w:rsidRPr="009476D9">
        <w:rPr>
          <w:rFonts w:ascii="Times New Roman" w:hAnsi="Times New Roman" w:cs="Times New Roman"/>
          <w:b/>
          <w:color w:val="000000" w:themeColor="text1"/>
          <w:sz w:val="24"/>
          <w:szCs w:val="24"/>
        </w:rPr>
        <w:t xml:space="preserve">sample </w:t>
      </w:r>
      <w:r w:rsidRPr="009476D9">
        <w:rPr>
          <w:rFonts w:ascii="Times New Roman" w:hAnsi="Times New Roman" w:cs="Times New Roman"/>
          <w:b/>
          <w:color w:val="000000" w:themeColor="text1"/>
          <w:sz w:val="24"/>
          <w:szCs w:val="24"/>
        </w:rPr>
        <w:t>Collection</w:t>
      </w:r>
    </w:p>
    <w:p w14:paraId="53F8E3F6" w14:textId="056A65B1" w:rsidR="00BE22A3" w:rsidRPr="009476D9" w:rsidRDefault="00BE22A3" w:rsidP="00BE22A3">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Systematic soil samples were collected starring on LUT, kind of soil, and distance from or to the Afram River. In order to achieve the </w:t>
      </w:r>
      <w:r w:rsidR="00D91273" w:rsidRPr="009476D9">
        <w:rPr>
          <w:rFonts w:ascii="Times New Roman" w:hAnsi="Times New Roman" w:cs="Times New Roman"/>
          <w:color w:val="000000" w:themeColor="text1"/>
          <w:sz w:val="24"/>
          <w:szCs w:val="24"/>
        </w:rPr>
        <w:t>objectives,</w:t>
      </w:r>
      <w:r w:rsidRPr="009476D9">
        <w:rPr>
          <w:rFonts w:ascii="Times New Roman" w:hAnsi="Times New Roman" w:cs="Times New Roman"/>
          <w:color w:val="000000" w:themeColor="text1"/>
          <w:sz w:val="24"/>
          <w:szCs w:val="24"/>
        </w:rPr>
        <w:t xml:space="preserve"> use of stratified random sampling technique was done and 30 sampling point were determined to maximize coverage. Sampling was done during the dry season so that moisture interference would not influence analyses because moisture in the soil can distort weight and chemical analysis </w:t>
      </w:r>
      <w:r w:rsidR="006C4F5B" w:rsidRPr="009476D9">
        <w:rPr>
          <w:rFonts w:ascii="Times New Roman" w:hAnsi="Times New Roman" w:cs="Times New Roman"/>
          <w:color w:val="000000" w:themeColor="text1"/>
          <w:sz w:val="24"/>
          <w:szCs w:val="24"/>
        </w:rPr>
        <w:t>(Grandin, 2024).</w:t>
      </w:r>
    </w:p>
    <w:p w14:paraId="5DCBFDA8" w14:textId="53903A50" w:rsidR="0096122B" w:rsidRPr="009476D9" w:rsidRDefault="0096122B" w:rsidP="00BE22A3">
      <w:pPr>
        <w:jc w:val="both"/>
        <w:rPr>
          <w:rFonts w:ascii="Times New Roman" w:hAnsi="Times New Roman" w:cs="Times New Roman"/>
          <w:color w:val="000000" w:themeColor="text1"/>
          <w:sz w:val="24"/>
          <w:szCs w:val="24"/>
        </w:rPr>
      </w:pPr>
      <w:r w:rsidRPr="009476D9">
        <w:rPr>
          <w:rFonts w:ascii="Times New Roman" w:hAnsi="Times New Roman" w:cs="Times New Roman"/>
          <w:bCs/>
          <w:color w:val="000000" w:themeColor="text1"/>
          <w:sz w:val="24"/>
          <w:szCs w:val="24"/>
        </w:rPr>
        <w:t>At each sampling point, soil samples were collected at two depths: 0–15 cm (topsoil) and 15–30 cm (subsoil). These depths were chosen because the top 15 cm is where most crop roots grow and organic matter accumulates, while the 15–30 cm layer shows how nutrients and compaction affect deeper soil health—key for understanding water retention and long-term fertility.</w:t>
      </w:r>
    </w:p>
    <w:p w14:paraId="6B23D855" w14:textId="77777777" w:rsidR="00BE22A3" w:rsidRPr="009476D9" w:rsidRDefault="00BE22A3" w:rsidP="00BE22A3">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At each sampling point, soil samples were collected at two depths: Top soil is defined as 0 to 15 cm and sub soil is defined as 15-30 cm. Three sub samples were taken from each of the depth intervals using a soil auger and these sub samples were combined in order to give us composite samples. The above composite samples were then placed within sterile polyethylene bags and transported under appropriate environmental conditions to an accredited laboratory for analysis. This has been in consideration with standard procedures of soil sampling for representation and accuracy (FAO, 2021).</w:t>
      </w:r>
    </w:p>
    <w:p w14:paraId="49DF6A98" w14:textId="592F31EF" w:rsidR="00F45F2E" w:rsidRPr="009476D9" w:rsidRDefault="00F45F2E" w:rsidP="00BE22A3">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Laboratory Analyses</w:t>
      </w:r>
    </w:p>
    <w:p w14:paraId="1B092981" w14:textId="77777777" w:rsidR="00F45F2E" w:rsidRPr="009476D9" w:rsidRDefault="00F45F2E"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Procedures which are considered standard were held when conducting the investigation of soil samples for their physical, chemical and biological characteristics. For the analysis of soil texture, the hydrometer method was employed to categorize the soil into sand, silt and clay sizes. Porosity of the developed compaction and aeration was estimated mathematically with bulk density measured using the core method. pH was determined using a calibrated digital pH meter, while the level of organic matter, as a reflection of the levels of organic carbon, was determined qualitatively using the Walkley-Black method.</w:t>
      </w:r>
    </w:p>
    <w:p w14:paraId="4989FD00" w14:textId="77777777" w:rsidR="00F45F2E" w:rsidRPr="009476D9" w:rsidRDefault="00F45F2E"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Nutrient content was assessed through specific methods: by constructing what was referred to as the total Kjeldahl nitrogen (N), phosphorus (P) using Bray-1 method and potassium (K) with flame photometer. The capability of the soil to hold additional nutrient cations was assessed by measuring the CEC. Moreover, EC, aggregate stability, intrinsic source microbial biomass carbon using fumigation extraction technique was also measured in order to have integrated measure of the quality of the soil samples. During the data analyses, attention was a</w:t>
      </w:r>
      <w:r w:rsidR="00CA3EEA" w:rsidRPr="009476D9">
        <w:rPr>
          <w:rFonts w:ascii="Times New Roman" w:hAnsi="Times New Roman" w:cs="Times New Roman"/>
          <w:color w:val="000000" w:themeColor="text1"/>
          <w:sz w:val="24"/>
          <w:szCs w:val="24"/>
        </w:rPr>
        <w:t>lso paid to the effect of the</w:t>
      </w:r>
      <w:r w:rsidRPr="009476D9">
        <w:rPr>
          <w:rFonts w:ascii="Times New Roman" w:hAnsi="Times New Roman" w:cs="Times New Roman"/>
          <w:color w:val="000000" w:themeColor="text1"/>
          <w:sz w:val="24"/>
          <w:szCs w:val="24"/>
        </w:rPr>
        <w:t xml:space="preserve"> Afram River in determination of impacts on the soil salinity and nutrient distribution.</w:t>
      </w:r>
    </w:p>
    <w:p w14:paraId="4DBBB93F" w14:textId="77777777" w:rsidR="00F45F2E" w:rsidRPr="009476D9" w:rsidRDefault="00F45F2E"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Quality Control Measures</w:t>
      </w:r>
    </w:p>
    <w:p w14:paraId="35BE9455" w14:textId="77777777" w:rsidR="00F45F2E" w:rsidRPr="009476D9" w:rsidRDefault="00F45F2E"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Reliability was also committed by putting in place measures of quality control. All the instruments used in the analysis were standardized prior to use, while all tests were performed using samples in duplicate at least. The standard reference material was run in each batch to ensure the accuracy of the output generated was above average. All the procedures involved in the laboratory were standard to meet the ISO certified standards.</w:t>
      </w:r>
    </w:p>
    <w:p w14:paraId="54CAAB78" w14:textId="77777777" w:rsidR="00F45F2E" w:rsidRPr="009476D9" w:rsidRDefault="00F45F2E"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Data Analysis and Processing</w:t>
      </w:r>
    </w:p>
    <w:p w14:paraId="32DA0BF3" w14:textId="486C2D5C" w:rsidR="00B105B1" w:rsidRPr="009476D9" w:rsidRDefault="00F45F2E"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The type of analysis used were descriptive and inferential statistical analyses. Quantitative data collected on soil properties and quality characteristics were analyzed descriptively; results being presented in tabular and graphical forms. </w:t>
      </w:r>
      <w:r w:rsidR="00B105B1" w:rsidRPr="009476D9">
        <w:rPr>
          <w:rFonts w:ascii="Times New Roman" w:hAnsi="Times New Roman" w:cs="Times New Roman"/>
          <w:color w:val="000000" w:themeColor="text1"/>
          <w:sz w:val="24"/>
          <w:szCs w:val="24"/>
        </w:rPr>
        <w:t>Pearsons’s</w:t>
      </w:r>
      <w:r w:rsidRPr="009476D9">
        <w:rPr>
          <w:rFonts w:ascii="Times New Roman" w:hAnsi="Times New Roman" w:cs="Times New Roman"/>
          <w:color w:val="000000" w:themeColor="text1"/>
          <w:sz w:val="24"/>
          <w:szCs w:val="24"/>
        </w:rPr>
        <w:t xml:space="preserve"> correlation coefficient test was used to compare physical, chemical and biological parameters and means were compared using one way analysis of variance to determine the extent of variation between the selected sampling points and the distances from the Afram River. The integration of the factors created a Soil Quality Index (SQI), which provides an overall evaluation of the quality of soil in the </w:t>
      </w:r>
      <w:proofErr w:type="spellStart"/>
      <w:r w:rsidRPr="009476D9">
        <w:rPr>
          <w:rFonts w:ascii="Times New Roman" w:hAnsi="Times New Roman" w:cs="Times New Roman"/>
          <w:color w:val="000000" w:themeColor="text1"/>
          <w:sz w:val="24"/>
          <w:szCs w:val="24"/>
        </w:rPr>
        <w:t>Afram</w:t>
      </w:r>
      <w:proofErr w:type="spellEnd"/>
      <w:r w:rsidRPr="009476D9">
        <w:rPr>
          <w:rFonts w:ascii="Times New Roman" w:hAnsi="Times New Roman" w:cs="Times New Roman"/>
          <w:color w:val="000000" w:themeColor="text1"/>
          <w:sz w:val="24"/>
          <w:szCs w:val="24"/>
        </w:rPr>
        <w:t xml:space="preserve"> Plains.</w:t>
      </w:r>
    </w:p>
    <w:p w14:paraId="2205B1F6" w14:textId="77777777" w:rsidR="009476D9" w:rsidRPr="009476D9" w:rsidRDefault="009476D9" w:rsidP="009476D9">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Ethical Considerations</w:t>
      </w:r>
    </w:p>
    <w:p w14:paraId="79150EFD" w14:textId="4F88EC01" w:rsidR="009476D9" w:rsidRPr="009476D9" w:rsidRDefault="009476D9" w:rsidP="009476D9">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Issues of ethical nature were incorporated throughout the study planning and conduct. The study required permission and sample permission from the authorities and stakeholders in the </w:t>
      </w:r>
      <w:proofErr w:type="spellStart"/>
      <w:r w:rsidRPr="009476D9">
        <w:rPr>
          <w:rFonts w:ascii="Times New Roman" w:hAnsi="Times New Roman" w:cs="Times New Roman"/>
          <w:color w:val="000000" w:themeColor="text1"/>
          <w:sz w:val="24"/>
          <w:szCs w:val="24"/>
        </w:rPr>
        <w:t>Afram</w:t>
      </w:r>
      <w:proofErr w:type="spellEnd"/>
      <w:r w:rsidRPr="009476D9">
        <w:rPr>
          <w:rFonts w:ascii="Times New Roman" w:hAnsi="Times New Roman" w:cs="Times New Roman"/>
          <w:color w:val="000000" w:themeColor="text1"/>
          <w:sz w:val="24"/>
          <w:szCs w:val="24"/>
        </w:rPr>
        <w:t xml:space="preserve"> Plains hence the permission was sought and granted. The actions during sampling conformed to environmental conservation within the land and thus had a minimal interference with the status quo. Precautionary measures were applied to minimize adequacy or exhaustion of soil type samples in the sampling areas. In addition, all laboratory procedures were done according to the international standards provided by ISO certification for safety and environmental policies. The data handling also followed a rigorous guideline of ethics despite it not being the focus of the </w:t>
      </w:r>
      <w:proofErr w:type="spellStart"/>
      <w:proofErr w:type="gramStart"/>
      <w:r w:rsidRPr="009476D9">
        <w:rPr>
          <w:rFonts w:ascii="Times New Roman" w:hAnsi="Times New Roman" w:cs="Times New Roman"/>
          <w:color w:val="000000" w:themeColor="text1"/>
          <w:sz w:val="24"/>
          <w:szCs w:val="24"/>
        </w:rPr>
        <w:t>study.To</w:t>
      </w:r>
      <w:proofErr w:type="spellEnd"/>
      <w:proofErr w:type="gramEnd"/>
      <w:r w:rsidRPr="009476D9">
        <w:rPr>
          <w:rFonts w:ascii="Times New Roman" w:hAnsi="Times New Roman" w:cs="Times New Roman"/>
          <w:color w:val="000000" w:themeColor="text1"/>
          <w:sz w:val="24"/>
          <w:szCs w:val="24"/>
        </w:rPr>
        <w:t xml:space="preserve"> maintain ethical standards in the conduct of this study, ethical precautions were conducted as stated in the Declaration of Helsinki.</w:t>
      </w:r>
    </w:p>
    <w:p w14:paraId="1B4C7D26" w14:textId="77777777" w:rsidR="009476D9" w:rsidRPr="009476D9" w:rsidRDefault="009476D9" w:rsidP="00F45F2E">
      <w:pPr>
        <w:jc w:val="both"/>
        <w:rPr>
          <w:rFonts w:ascii="Times New Roman" w:hAnsi="Times New Roman" w:cs="Times New Roman"/>
          <w:color w:val="000000" w:themeColor="text1"/>
          <w:sz w:val="24"/>
          <w:szCs w:val="24"/>
        </w:rPr>
      </w:pPr>
    </w:p>
    <w:p w14:paraId="54D1CF84" w14:textId="7CF98F40" w:rsidR="0009364C" w:rsidRPr="009476D9" w:rsidRDefault="00085EA7"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4.0 </w:t>
      </w:r>
      <w:r w:rsidR="0009364C" w:rsidRPr="009476D9">
        <w:rPr>
          <w:rFonts w:ascii="Times New Roman" w:hAnsi="Times New Roman" w:cs="Times New Roman"/>
          <w:b/>
          <w:color w:val="000000" w:themeColor="text1"/>
          <w:sz w:val="24"/>
          <w:szCs w:val="24"/>
        </w:rPr>
        <w:t xml:space="preserve">Results </w:t>
      </w:r>
      <w:r w:rsidR="00FD3F4F" w:rsidRPr="009476D9">
        <w:rPr>
          <w:rFonts w:ascii="Times New Roman" w:hAnsi="Times New Roman" w:cs="Times New Roman"/>
          <w:b/>
          <w:color w:val="000000" w:themeColor="text1"/>
          <w:sz w:val="24"/>
          <w:szCs w:val="24"/>
        </w:rPr>
        <w:t xml:space="preserve">and Discussions </w:t>
      </w:r>
    </w:p>
    <w:p w14:paraId="115D702C" w14:textId="77777777" w:rsidR="0091171D" w:rsidRPr="009476D9" w:rsidRDefault="0091171D" w:rsidP="0091171D">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Table 1: Summary of Soil Sampling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0"/>
        <w:gridCol w:w="1728"/>
        <w:gridCol w:w="1827"/>
        <w:gridCol w:w="1321"/>
      </w:tblGrid>
      <w:tr w:rsidR="009476D9" w:rsidRPr="009476D9" w14:paraId="211DEF9F" w14:textId="77777777" w:rsidTr="001035AF">
        <w:tc>
          <w:tcPr>
            <w:tcW w:w="0" w:type="auto"/>
            <w:tcBorders>
              <w:top w:val="single" w:sz="4" w:space="0" w:color="auto"/>
              <w:bottom w:val="single" w:sz="4" w:space="0" w:color="auto"/>
            </w:tcBorders>
            <w:hideMark/>
          </w:tcPr>
          <w:p w14:paraId="48A50CB2" w14:textId="77777777" w:rsidR="00A70686" w:rsidRPr="009476D9" w:rsidRDefault="00A70686" w:rsidP="001035AF">
            <w:pPr>
              <w:spacing w:after="160"/>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Property</w:t>
            </w:r>
          </w:p>
        </w:tc>
        <w:tc>
          <w:tcPr>
            <w:tcW w:w="0" w:type="auto"/>
            <w:tcBorders>
              <w:top w:val="single" w:sz="4" w:space="0" w:color="auto"/>
              <w:bottom w:val="single" w:sz="4" w:space="0" w:color="auto"/>
            </w:tcBorders>
            <w:hideMark/>
          </w:tcPr>
          <w:p w14:paraId="7EE4D1CA" w14:textId="77777777" w:rsidR="00A70686" w:rsidRPr="009476D9" w:rsidRDefault="00A70686" w:rsidP="001035AF">
            <w:pPr>
              <w:spacing w:after="160"/>
              <w:jc w:val="center"/>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Depth (0–15 cm)</w:t>
            </w:r>
          </w:p>
        </w:tc>
        <w:tc>
          <w:tcPr>
            <w:tcW w:w="0" w:type="auto"/>
            <w:tcBorders>
              <w:top w:val="single" w:sz="4" w:space="0" w:color="auto"/>
              <w:bottom w:val="single" w:sz="4" w:space="0" w:color="auto"/>
            </w:tcBorders>
            <w:hideMark/>
          </w:tcPr>
          <w:p w14:paraId="2B513D60" w14:textId="77777777" w:rsidR="00A70686" w:rsidRPr="009476D9" w:rsidRDefault="00A70686" w:rsidP="001035AF">
            <w:pPr>
              <w:spacing w:after="160"/>
              <w:jc w:val="center"/>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Depth (15–30 cm)</w:t>
            </w:r>
          </w:p>
        </w:tc>
        <w:tc>
          <w:tcPr>
            <w:tcW w:w="0" w:type="auto"/>
            <w:tcBorders>
              <w:top w:val="single" w:sz="4" w:space="0" w:color="auto"/>
              <w:bottom w:val="single" w:sz="4" w:space="0" w:color="auto"/>
            </w:tcBorders>
            <w:hideMark/>
          </w:tcPr>
          <w:p w14:paraId="66AC639D" w14:textId="77777777" w:rsidR="00A70686" w:rsidRPr="009476D9" w:rsidRDefault="00A70686" w:rsidP="001035AF">
            <w:pPr>
              <w:spacing w:after="160"/>
              <w:jc w:val="center"/>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Mean ± SD</w:t>
            </w:r>
          </w:p>
        </w:tc>
      </w:tr>
      <w:tr w:rsidR="009476D9" w:rsidRPr="009476D9" w14:paraId="1A254529" w14:textId="77777777" w:rsidTr="001035AF">
        <w:tc>
          <w:tcPr>
            <w:tcW w:w="0" w:type="auto"/>
            <w:tcBorders>
              <w:top w:val="single" w:sz="4" w:space="0" w:color="auto"/>
            </w:tcBorders>
            <w:hideMark/>
          </w:tcPr>
          <w:p w14:paraId="147E6A93"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Texture (Sand %)</w:t>
            </w:r>
          </w:p>
        </w:tc>
        <w:tc>
          <w:tcPr>
            <w:tcW w:w="0" w:type="auto"/>
            <w:tcBorders>
              <w:top w:val="single" w:sz="4" w:space="0" w:color="auto"/>
            </w:tcBorders>
            <w:hideMark/>
          </w:tcPr>
          <w:p w14:paraId="50CB4BA3"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64.3 ± 2.1</w:t>
            </w:r>
          </w:p>
        </w:tc>
        <w:tc>
          <w:tcPr>
            <w:tcW w:w="0" w:type="auto"/>
            <w:tcBorders>
              <w:top w:val="single" w:sz="4" w:space="0" w:color="auto"/>
            </w:tcBorders>
            <w:hideMark/>
          </w:tcPr>
          <w:p w14:paraId="22219BEF"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58.7 ± 3.2</w:t>
            </w:r>
          </w:p>
        </w:tc>
        <w:tc>
          <w:tcPr>
            <w:tcW w:w="0" w:type="auto"/>
            <w:tcBorders>
              <w:top w:val="single" w:sz="4" w:space="0" w:color="auto"/>
            </w:tcBorders>
            <w:hideMark/>
          </w:tcPr>
          <w:p w14:paraId="7E67F2FE"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61.5 ± 3.0</w:t>
            </w:r>
          </w:p>
        </w:tc>
      </w:tr>
      <w:tr w:rsidR="009476D9" w:rsidRPr="009476D9" w14:paraId="555F5777" w14:textId="77777777" w:rsidTr="001035AF">
        <w:tc>
          <w:tcPr>
            <w:tcW w:w="0" w:type="auto"/>
            <w:hideMark/>
          </w:tcPr>
          <w:p w14:paraId="22DAE9D2"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Texture (Silt %)</w:t>
            </w:r>
          </w:p>
        </w:tc>
        <w:tc>
          <w:tcPr>
            <w:tcW w:w="0" w:type="auto"/>
            <w:hideMark/>
          </w:tcPr>
          <w:p w14:paraId="4348F26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20.5 ± 1.5</w:t>
            </w:r>
          </w:p>
        </w:tc>
        <w:tc>
          <w:tcPr>
            <w:tcW w:w="0" w:type="auto"/>
            <w:hideMark/>
          </w:tcPr>
          <w:p w14:paraId="608866CE"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24.8 ± 2.0</w:t>
            </w:r>
          </w:p>
        </w:tc>
        <w:tc>
          <w:tcPr>
            <w:tcW w:w="0" w:type="auto"/>
            <w:hideMark/>
          </w:tcPr>
          <w:p w14:paraId="6BDCE3AB"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22.7 ± 1.8</w:t>
            </w:r>
          </w:p>
        </w:tc>
      </w:tr>
      <w:tr w:rsidR="009476D9" w:rsidRPr="009476D9" w14:paraId="602ED323" w14:textId="77777777" w:rsidTr="001035AF">
        <w:tc>
          <w:tcPr>
            <w:tcW w:w="0" w:type="auto"/>
            <w:hideMark/>
          </w:tcPr>
          <w:p w14:paraId="45AB6352"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Texture (Clay %)</w:t>
            </w:r>
          </w:p>
        </w:tc>
        <w:tc>
          <w:tcPr>
            <w:tcW w:w="0" w:type="auto"/>
            <w:hideMark/>
          </w:tcPr>
          <w:p w14:paraId="5B0E1AA0"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15.2 ± 1.8</w:t>
            </w:r>
          </w:p>
        </w:tc>
        <w:tc>
          <w:tcPr>
            <w:tcW w:w="0" w:type="auto"/>
            <w:hideMark/>
          </w:tcPr>
          <w:p w14:paraId="47206429"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16.5 ± 2.3</w:t>
            </w:r>
          </w:p>
        </w:tc>
        <w:tc>
          <w:tcPr>
            <w:tcW w:w="0" w:type="auto"/>
            <w:hideMark/>
          </w:tcPr>
          <w:p w14:paraId="40AF5249"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15.9 ± 2.0</w:t>
            </w:r>
          </w:p>
        </w:tc>
      </w:tr>
      <w:tr w:rsidR="009476D9" w:rsidRPr="009476D9" w14:paraId="02975A14" w14:textId="77777777" w:rsidTr="001035AF">
        <w:tc>
          <w:tcPr>
            <w:tcW w:w="0" w:type="auto"/>
            <w:hideMark/>
          </w:tcPr>
          <w:p w14:paraId="7F66D80D"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Bulk Density (g/cm³)</w:t>
            </w:r>
          </w:p>
        </w:tc>
        <w:tc>
          <w:tcPr>
            <w:tcW w:w="0" w:type="auto"/>
            <w:hideMark/>
          </w:tcPr>
          <w:p w14:paraId="277B71F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1.25 ± 0.05</w:t>
            </w:r>
          </w:p>
        </w:tc>
        <w:tc>
          <w:tcPr>
            <w:tcW w:w="0" w:type="auto"/>
            <w:hideMark/>
          </w:tcPr>
          <w:p w14:paraId="45D00BB0"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1.32 ± 0.07</w:t>
            </w:r>
          </w:p>
        </w:tc>
        <w:tc>
          <w:tcPr>
            <w:tcW w:w="0" w:type="auto"/>
            <w:hideMark/>
          </w:tcPr>
          <w:p w14:paraId="595D3B8C"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1.29 ± 0.06</w:t>
            </w:r>
          </w:p>
        </w:tc>
      </w:tr>
      <w:tr w:rsidR="009476D9" w:rsidRPr="009476D9" w14:paraId="5713098E" w14:textId="77777777" w:rsidTr="001035AF">
        <w:tc>
          <w:tcPr>
            <w:tcW w:w="0" w:type="auto"/>
            <w:hideMark/>
          </w:tcPr>
          <w:p w14:paraId="036766FE"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Porosity (%)</w:t>
            </w:r>
          </w:p>
        </w:tc>
        <w:tc>
          <w:tcPr>
            <w:tcW w:w="0" w:type="auto"/>
            <w:hideMark/>
          </w:tcPr>
          <w:p w14:paraId="30E6DAD2"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47.2 ± 1.5</w:t>
            </w:r>
          </w:p>
        </w:tc>
        <w:tc>
          <w:tcPr>
            <w:tcW w:w="0" w:type="auto"/>
            <w:hideMark/>
          </w:tcPr>
          <w:p w14:paraId="23656BC5"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45.1 ± 1.7</w:t>
            </w:r>
          </w:p>
        </w:tc>
        <w:tc>
          <w:tcPr>
            <w:tcW w:w="0" w:type="auto"/>
            <w:hideMark/>
          </w:tcPr>
          <w:p w14:paraId="04E425B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46.2 ± 1.6</w:t>
            </w:r>
          </w:p>
        </w:tc>
      </w:tr>
      <w:tr w:rsidR="009476D9" w:rsidRPr="009476D9" w14:paraId="60A3BBDD" w14:textId="77777777" w:rsidTr="001035AF">
        <w:tc>
          <w:tcPr>
            <w:tcW w:w="0" w:type="auto"/>
            <w:hideMark/>
          </w:tcPr>
          <w:p w14:paraId="106278C9"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pH (H₂O)</w:t>
            </w:r>
          </w:p>
        </w:tc>
        <w:tc>
          <w:tcPr>
            <w:tcW w:w="0" w:type="auto"/>
            <w:hideMark/>
          </w:tcPr>
          <w:p w14:paraId="2CC07596"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6.3 ± 0.2</w:t>
            </w:r>
          </w:p>
        </w:tc>
        <w:tc>
          <w:tcPr>
            <w:tcW w:w="0" w:type="auto"/>
            <w:hideMark/>
          </w:tcPr>
          <w:p w14:paraId="6E6BC8AA"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6.1 ± 0.3</w:t>
            </w:r>
          </w:p>
        </w:tc>
        <w:tc>
          <w:tcPr>
            <w:tcW w:w="0" w:type="auto"/>
            <w:hideMark/>
          </w:tcPr>
          <w:p w14:paraId="37FE256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6.2 ± 0.3</w:t>
            </w:r>
          </w:p>
        </w:tc>
      </w:tr>
      <w:tr w:rsidR="009476D9" w:rsidRPr="009476D9" w14:paraId="55CCA7C2" w14:textId="77777777" w:rsidTr="001035AF">
        <w:tc>
          <w:tcPr>
            <w:tcW w:w="0" w:type="auto"/>
            <w:hideMark/>
          </w:tcPr>
          <w:p w14:paraId="046AE8A0"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Organic Matter (%)</w:t>
            </w:r>
          </w:p>
        </w:tc>
        <w:tc>
          <w:tcPr>
            <w:tcW w:w="0" w:type="auto"/>
            <w:hideMark/>
          </w:tcPr>
          <w:p w14:paraId="146B05B7"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2.4 ± 0.3</w:t>
            </w:r>
          </w:p>
        </w:tc>
        <w:tc>
          <w:tcPr>
            <w:tcW w:w="0" w:type="auto"/>
            <w:hideMark/>
          </w:tcPr>
          <w:p w14:paraId="68C6EACF"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2.1 ± 0.4</w:t>
            </w:r>
          </w:p>
        </w:tc>
        <w:tc>
          <w:tcPr>
            <w:tcW w:w="0" w:type="auto"/>
            <w:hideMark/>
          </w:tcPr>
          <w:p w14:paraId="322B034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2.25 ± 0.35</w:t>
            </w:r>
          </w:p>
        </w:tc>
      </w:tr>
      <w:tr w:rsidR="009476D9" w:rsidRPr="009476D9" w14:paraId="1932F553" w14:textId="77777777" w:rsidTr="001035AF">
        <w:tc>
          <w:tcPr>
            <w:tcW w:w="0" w:type="auto"/>
            <w:hideMark/>
          </w:tcPr>
          <w:p w14:paraId="274C9D76"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Cation Exchange Capacity (CEC) (</w:t>
            </w:r>
            <w:proofErr w:type="spellStart"/>
            <w:r w:rsidRPr="009476D9">
              <w:rPr>
                <w:rFonts w:ascii="Times New Roman" w:hAnsi="Times New Roman" w:cs="Times New Roman"/>
                <w:b/>
                <w:bCs/>
                <w:color w:val="000000" w:themeColor="text1"/>
                <w:sz w:val="24"/>
                <w:szCs w:val="24"/>
              </w:rPr>
              <w:t>cmol</w:t>
            </w:r>
            <w:proofErr w:type="spellEnd"/>
            <w:r w:rsidRPr="009476D9">
              <w:rPr>
                <w:rFonts w:ascii="Times New Roman" w:hAnsi="Times New Roman" w:cs="Times New Roman"/>
                <w:b/>
                <w:bCs/>
                <w:color w:val="000000" w:themeColor="text1"/>
                <w:sz w:val="24"/>
                <w:szCs w:val="24"/>
              </w:rPr>
              <w:t>/kg)</w:t>
            </w:r>
          </w:p>
        </w:tc>
        <w:tc>
          <w:tcPr>
            <w:tcW w:w="0" w:type="auto"/>
            <w:hideMark/>
          </w:tcPr>
          <w:p w14:paraId="4141857E"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14.8 ± 0.7</w:t>
            </w:r>
          </w:p>
        </w:tc>
        <w:tc>
          <w:tcPr>
            <w:tcW w:w="0" w:type="auto"/>
            <w:hideMark/>
          </w:tcPr>
          <w:p w14:paraId="09AB1382"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13.9 ± 0.8</w:t>
            </w:r>
          </w:p>
        </w:tc>
        <w:tc>
          <w:tcPr>
            <w:tcW w:w="0" w:type="auto"/>
            <w:hideMark/>
          </w:tcPr>
          <w:p w14:paraId="031828D0"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14.35 ± 0.75</w:t>
            </w:r>
          </w:p>
        </w:tc>
      </w:tr>
      <w:tr w:rsidR="009476D9" w:rsidRPr="009476D9" w14:paraId="213F6D5A" w14:textId="77777777" w:rsidTr="001035AF">
        <w:tc>
          <w:tcPr>
            <w:tcW w:w="0" w:type="auto"/>
            <w:hideMark/>
          </w:tcPr>
          <w:p w14:paraId="52FA42D3"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Nitrogen (N) (%)</w:t>
            </w:r>
          </w:p>
        </w:tc>
        <w:tc>
          <w:tcPr>
            <w:tcW w:w="0" w:type="auto"/>
            <w:hideMark/>
          </w:tcPr>
          <w:p w14:paraId="65E2720A"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0.15 ± 0.02</w:t>
            </w:r>
          </w:p>
        </w:tc>
        <w:tc>
          <w:tcPr>
            <w:tcW w:w="0" w:type="auto"/>
            <w:hideMark/>
          </w:tcPr>
          <w:p w14:paraId="3B3DDE39"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0.12 ± 0.02</w:t>
            </w:r>
          </w:p>
        </w:tc>
        <w:tc>
          <w:tcPr>
            <w:tcW w:w="0" w:type="auto"/>
            <w:hideMark/>
          </w:tcPr>
          <w:p w14:paraId="4F82FC75"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0.135 ± 0.02</w:t>
            </w:r>
          </w:p>
        </w:tc>
      </w:tr>
      <w:tr w:rsidR="009476D9" w:rsidRPr="009476D9" w14:paraId="03340764" w14:textId="77777777" w:rsidTr="001035AF">
        <w:tc>
          <w:tcPr>
            <w:tcW w:w="0" w:type="auto"/>
            <w:hideMark/>
          </w:tcPr>
          <w:p w14:paraId="1952EA4B"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Phosphorus (P) (mg/kg)</w:t>
            </w:r>
          </w:p>
        </w:tc>
        <w:tc>
          <w:tcPr>
            <w:tcW w:w="0" w:type="auto"/>
            <w:hideMark/>
          </w:tcPr>
          <w:p w14:paraId="1CF2F57F"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9.2 ± 1.1</w:t>
            </w:r>
          </w:p>
        </w:tc>
        <w:tc>
          <w:tcPr>
            <w:tcW w:w="0" w:type="auto"/>
            <w:hideMark/>
          </w:tcPr>
          <w:p w14:paraId="2FC0D01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7.8 ± 1.3</w:t>
            </w:r>
          </w:p>
        </w:tc>
        <w:tc>
          <w:tcPr>
            <w:tcW w:w="0" w:type="auto"/>
            <w:hideMark/>
          </w:tcPr>
          <w:p w14:paraId="12FC0316"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8.5 ± 1.2</w:t>
            </w:r>
          </w:p>
        </w:tc>
      </w:tr>
      <w:tr w:rsidR="009476D9" w:rsidRPr="009476D9" w14:paraId="57C2CF78" w14:textId="77777777" w:rsidTr="001035AF">
        <w:tc>
          <w:tcPr>
            <w:tcW w:w="0" w:type="auto"/>
            <w:tcBorders>
              <w:bottom w:val="single" w:sz="4" w:space="0" w:color="auto"/>
            </w:tcBorders>
            <w:hideMark/>
          </w:tcPr>
          <w:p w14:paraId="7E0C31CF" w14:textId="77777777" w:rsidR="00A70686" w:rsidRPr="009476D9" w:rsidRDefault="00A70686" w:rsidP="001035AF">
            <w:pPr>
              <w:spacing w:after="160"/>
              <w:jc w:val="both"/>
              <w:rPr>
                <w:rFonts w:ascii="Times New Roman" w:hAnsi="Times New Roman" w:cs="Times New Roman"/>
                <w:b/>
                <w:color w:val="000000" w:themeColor="text1"/>
                <w:sz w:val="24"/>
                <w:szCs w:val="24"/>
              </w:rPr>
            </w:pPr>
            <w:r w:rsidRPr="009476D9">
              <w:rPr>
                <w:rFonts w:ascii="Times New Roman" w:hAnsi="Times New Roman" w:cs="Times New Roman"/>
                <w:b/>
                <w:bCs/>
                <w:color w:val="000000" w:themeColor="text1"/>
                <w:sz w:val="24"/>
                <w:szCs w:val="24"/>
              </w:rPr>
              <w:t>Potassium (K) (mg/kg)</w:t>
            </w:r>
          </w:p>
        </w:tc>
        <w:tc>
          <w:tcPr>
            <w:tcW w:w="0" w:type="auto"/>
            <w:tcBorders>
              <w:bottom w:val="single" w:sz="4" w:space="0" w:color="auto"/>
            </w:tcBorders>
            <w:hideMark/>
          </w:tcPr>
          <w:p w14:paraId="34DFD208"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125 ± 10</w:t>
            </w:r>
          </w:p>
        </w:tc>
        <w:tc>
          <w:tcPr>
            <w:tcW w:w="0" w:type="auto"/>
            <w:tcBorders>
              <w:bottom w:val="single" w:sz="4" w:space="0" w:color="auto"/>
            </w:tcBorders>
            <w:hideMark/>
          </w:tcPr>
          <w:p w14:paraId="098942D1"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110 ± 12</w:t>
            </w:r>
          </w:p>
        </w:tc>
        <w:tc>
          <w:tcPr>
            <w:tcW w:w="0" w:type="auto"/>
            <w:tcBorders>
              <w:bottom w:val="single" w:sz="4" w:space="0" w:color="auto"/>
            </w:tcBorders>
            <w:hideMark/>
          </w:tcPr>
          <w:p w14:paraId="71D51175" w14:textId="77777777" w:rsidR="00A70686" w:rsidRPr="009476D9" w:rsidRDefault="00A70686" w:rsidP="001035AF">
            <w:pPr>
              <w:spacing w:after="160"/>
              <w:jc w:val="center"/>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117.5 ± 11.0</w:t>
            </w:r>
          </w:p>
        </w:tc>
      </w:tr>
    </w:tbl>
    <w:p w14:paraId="57C0F28F" w14:textId="50D4CAEE" w:rsidR="0091171D" w:rsidRPr="009476D9" w:rsidRDefault="0091171D" w:rsidP="00F45F2E">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Source: Field Survey, (2024)</w:t>
      </w:r>
    </w:p>
    <w:p w14:paraId="480BC927" w14:textId="0F52402F" w:rsidR="00F45F2E" w:rsidRPr="009476D9" w:rsidRDefault="00680DBB" w:rsidP="00F45F2E">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Soil physical, chemical, and nutrient characteristics are established in the present study based on soil sampling in 0–15 cm and 15–30 cm in the Afram Plains of Ghana. The sand content in the topsoil and subsoil was 64. 3 ± 2.1 and 58.7 ± 3.2 % respectively, while averaging 61. 5 ± 3. 0 % by the hydrometer method. Likewise, the size grouping of silt component ranged from 20.5 ± 1.5% to 24.8± 2.0%, as a mean value 22.7 ± 1.8% while the average of the clay component was erratically estimated to be 15.2 ± 1.8% to 16.5 ± 2.3%. Bulk density from the topsoil was 1.25 ± 0.05g/cm³ and from the subsoil was 1.32 ± 0.07 g/cm³ Core index calculation yielded a mean of 1.29 ± 0.06 g/cm³. Porosity derived by the bulk density reduced slightly from the initial 47.2 ± 1.5% to final 45.1 ± 1.7%, with an overall average of 46.2 ± 1.6%. The pH of the soils was slightly acidic; the 3 replicates of topsoil included pH of 6.3 ± 0.2 while the three replicates of subsoil pH ranged between 6.1 ± 0.3 with an average of 6.2 ± 0.3 using a digital pH meter. Organic matter content by Walkley-Black method reduced from 2.4 ± 0.3 per cent in top soil to 2.1 ± 0.4 per cent in sub soil with average 2.25 ± 0.35 per cent. Soil Fertility as assessed by Cation Exchange Capacity (CEC) was further established to have an average value of 14.35 ± 0.75cmol/kg according to standard procedures. Available nitrogen evaluated by the Kjeldahl method reduced from 0.15 ± 0.02% for the upper layer to 0.12 ± 0.02 for the lower layer and equal to 0.135 ± 0.02% on average. Phosphor according to method Bray 1 varied from 9.2 ±1.1 mg/Kg do 7.8 ± 1.3 mg/Kg and was an average 8.5 ± 1.2 mg/Kg. Plants were analyzed for potassium levels employing flame photometry; the amounts were as follows: top soil 125 ± 10; sub soil 110 ± 12; mean 117.5 ± 11.0 mg/kg. These results emphasize differences in the dependency of soil features on depth, which explains their impact on soil quality and agricultural suitability.</w:t>
      </w:r>
    </w:p>
    <w:p w14:paraId="0730CA58" w14:textId="77777777" w:rsidR="0009364C" w:rsidRPr="009476D9" w:rsidRDefault="00476FF9"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The Properties of Soils in the Afram Plains</w:t>
      </w:r>
    </w:p>
    <w:p w14:paraId="70B600D7" w14:textId="77777777" w:rsidR="00A36898" w:rsidRPr="009476D9" w:rsidRDefault="00A36898" w:rsidP="00A36898">
      <w:pPr>
        <w:jc w:val="both"/>
        <w:rPr>
          <w:rFonts w:ascii="Times New Roman" w:hAnsi="Times New Roman" w:cs="Times New Roman"/>
          <w:color w:val="000000" w:themeColor="text1"/>
          <w:sz w:val="24"/>
          <w:szCs w:val="24"/>
        </w:rPr>
      </w:pPr>
      <w:r w:rsidRPr="009476D9">
        <w:rPr>
          <w:rFonts w:ascii="Times New Roman" w:hAnsi="Times New Roman" w:cs="Times New Roman"/>
          <w:noProof/>
          <w:color w:val="000000" w:themeColor="text1"/>
          <w:sz w:val="24"/>
          <w:szCs w:val="24"/>
        </w:rPr>
        <w:drawing>
          <wp:inline distT="0" distB="0" distL="0" distR="0" wp14:anchorId="7928DCF7" wp14:editId="2FB1D868">
            <wp:extent cx="5731510" cy="39052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il_properties_afram_plain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905250"/>
                    </a:xfrm>
                    <a:prstGeom prst="rect">
                      <a:avLst/>
                    </a:prstGeom>
                  </pic:spPr>
                </pic:pic>
              </a:graphicData>
            </a:graphic>
          </wp:inline>
        </w:drawing>
      </w:r>
    </w:p>
    <w:p w14:paraId="114B1EE9" w14:textId="176F3E68" w:rsidR="00A36898" w:rsidRPr="009476D9" w:rsidRDefault="00A36898" w:rsidP="00A36898">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 xml:space="preserve">Figure </w:t>
      </w:r>
      <w:r w:rsidR="00B105B1" w:rsidRPr="009476D9">
        <w:rPr>
          <w:rFonts w:ascii="Times New Roman" w:hAnsi="Times New Roman" w:cs="Times New Roman"/>
          <w:b/>
          <w:bCs/>
          <w:color w:val="000000" w:themeColor="text1"/>
          <w:sz w:val="24"/>
          <w:szCs w:val="24"/>
        </w:rPr>
        <w:t>3</w:t>
      </w:r>
      <w:r w:rsidRPr="009476D9">
        <w:rPr>
          <w:rFonts w:ascii="Times New Roman" w:hAnsi="Times New Roman" w:cs="Times New Roman"/>
          <w:b/>
          <w:bCs/>
          <w:color w:val="000000" w:themeColor="text1"/>
          <w:sz w:val="24"/>
          <w:szCs w:val="24"/>
        </w:rPr>
        <w:t xml:space="preserve">: Soil Properties and Implications for soil health </w:t>
      </w:r>
    </w:p>
    <w:p w14:paraId="28872A83" w14:textId="7EB53F40" w:rsidR="004F60F6" w:rsidRPr="009476D9" w:rsidRDefault="00A36898" w:rsidP="00F45F2E">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Source: </w:t>
      </w:r>
      <w:r w:rsidR="00B105B1" w:rsidRPr="009476D9">
        <w:rPr>
          <w:rFonts w:ascii="Times New Roman" w:hAnsi="Times New Roman" w:cs="Times New Roman"/>
          <w:b/>
          <w:color w:val="000000" w:themeColor="text1"/>
          <w:sz w:val="24"/>
          <w:szCs w:val="24"/>
        </w:rPr>
        <w:t>Field survey</w:t>
      </w:r>
      <w:r w:rsidRPr="009476D9">
        <w:rPr>
          <w:rFonts w:ascii="Times New Roman" w:hAnsi="Times New Roman" w:cs="Times New Roman"/>
          <w:b/>
          <w:color w:val="000000" w:themeColor="text1"/>
          <w:sz w:val="24"/>
          <w:szCs w:val="24"/>
        </w:rPr>
        <w:t xml:space="preserve"> (2024)</w:t>
      </w:r>
    </w:p>
    <w:p w14:paraId="75CF3808" w14:textId="77777777" w:rsidR="00F45F2E" w:rsidRPr="009476D9" w:rsidRDefault="00F45F2E" w:rsidP="00E86FA5">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Knowledge of some basic parameters of soil like its texture, bulk density, porosity etc., is necessary while evaluating the capability of soils for agricultural production and for ecological uses. These properties define the physical structure of soil and control such important processes as movement of water and nutrients, root penetration, and they are essential for reasonable management of land resources. </w:t>
      </w:r>
    </w:p>
    <w:p w14:paraId="168CB19D" w14:textId="77777777" w:rsidR="006E1AD4" w:rsidRPr="009476D9" w:rsidRDefault="006E1AD4" w:rsidP="006E1AD4">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The soil properties of the Afram Plains have been extensively characterized, focusing on physical and chemical attributes across two depth ranges: 0–15 cm and 15–30 cm. These findings include trends of immense relevant value that offer direction on the status of our soils and how we can manage them.</w:t>
      </w:r>
    </w:p>
    <w:p w14:paraId="2E867F7F" w14:textId="1EE2FF95" w:rsidR="006E1AD4" w:rsidRPr="009476D9" w:rsidRDefault="006E1AD4" w:rsidP="006E1AD4">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First, the results from the set of features derived from the texture analysis shows that the sandy fraction of the soil is dominant. There is sand content at the following depths, 0–15 cm the sand content is 64</w:t>
      </w:r>
      <w:r w:rsidR="00A50FF1" w:rsidRPr="009476D9">
        <w:rPr>
          <w:rFonts w:ascii="Times New Roman" w:hAnsi="Times New Roman" w:cs="Times New Roman"/>
          <w:color w:val="000000" w:themeColor="text1"/>
          <w:sz w:val="24"/>
          <w:szCs w:val="24"/>
        </w:rPr>
        <w:t>.</w:t>
      </w:r>
      <w:r w:rsidR="006C011B" w:rsidRPr="009476D9">
        <w:rPr>
          <w:rFonts w:ascii="Times New Roman" w:hAnsi="Times New Roman" w:cs="Times New Roman"/>
          <w:color w:val="000000" w:themeColor="text1"/>
          <w:sz w:val="24"/>
          <w:szCs w:val="24"/>
        </w:rPr>
        <w:t>3</w:t>
      </w:r>
      <w:r w:rsidRPr="009476D9">
        <w:rPr>
          <w:rFonts w:ascii="Times New Roman" w:hAnsi="Times New Roman" w:cs="Times New Roman"/>
          <w:color w:val="000000" w:themeColor="text1"/>
          <w:sz w:val="24"/>
          <w:szCs w:val="24"/>
        </w:rPr>
        <w:t>% whereas 15-30 cm the sand is 58</w:t>
      </w:r>
      <w:r w:rsidR="00A50FF1" w:rsidRPr="009476D9">
        <w:rPr>
          <w:rFonts w:ascii="Times New Roman" w:hAnsi="Times New Roman" w:cs="Times New Roman"/>
          <w:color w:val="000000" w:themeColor="text1"/>
          <w:sz w:val="24"/>
          <w:szCs w:val="24"/>
        </w:rPr>
        <w:t>.</w:t>
      </w:r>
      <w:r w:rsidR="006C011B" w:rsidRPr="009476D9">
        <w:rPr>
          <w:rFonts w:ascii="Times New Roman" w:hAnsi="Times New Roman" w:cs="Times New Roman"/>
          <w:color w:val="000000" w:themeColor="text1"/>
          <w:sz w:val="24"/>
          <w:szCs w:val="24"/>
        </w:rPr>
        <w:t>7</w:t>
      </w:r>
      <w:r w:rsidRPr="009476D9">
        <w:rPr>
          <w:rFonts w:ascii="Times New Roman" w:hAnsi="Times New Roman" w:cs="Times New Roman"/>
          <w:color w:val="000000" w:themeColor="text1"/>
          <w:sz w:val="24"/>
          <w:szCs w:val="24"/>
        </w:rPr>
        <w:t>%. At the same time, density and silt content of the seabed mud increase with depth and reach 20.5 % in the upper layers and 24. 8 % in the lower layers. However, the clay content changes are less noticeable and are recording 15.2% in the first sample, and 16.5% in the second sample. This particular texture of the soil is well described as sandy loam due to moderate water infiltration and aeration, but it may be necessary to apply some additives to shape the nutrient holding capacity and provide vigor to the existing plant life.</w:t>
      </w:r>
    </w:p>
    <w:p w14:paraId="78D5EC19" w14:textId="3E004F68" w:rsidR="006E1AD4" w:rsidRPr="009476D9" w:rsidRDefault="006E1AD4" w:rsidP="006E1AD4">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In addition, both the bulk density and porosity appear to provide important information about the soil condition. Tropical surface soil showed bulk density slightly increasing with depth and was determined to be 1.25 ± 0.05 g/cm³ for the </w:t>
      </w:r>
      <w:r w:rsidR="006C011B" w:rsidRPr="009476D9">
        <w:rPr>
          <w:rFonts w:ascii="Times New Roman" w:hAnsi="Times New Roman" w:cs="Times New Roman"/>
          <w:color w:val="000000" w:themeColor="text1"/>
          <w:sz w:val="24"/>
          <w:szCs w:val="24"/>
        </w:rPr>
        <w:t>topsoil</w:t>
      </w:r>
      <w:r w:rsidRPr="009476D9">
        <w:rPr>
          <w:rFonts w:ascii="Times New Roman" w:hAnsi="Times New Roman" w:cs="Times New Roman"/>
          <w:color w:val="000000" w:themeColor="text1"/>
          <w:sz w:val="24"/>
          <w:szCs w:val="24"/>
        </w:rPr>
        <w:t xml:space="preserve"> and 1.32 ± 0.07 g/cm³ for the subsoil. Consequently, porosity reduces from 47.2 ± 1.5% to 45.1 ± 1.7% showing a continuous decline in the movement of air and water. The values, which range from low to moderate compaction, are desirable for root penetration and microbial activity.</w:t>
      </w:r>
    </w:p>
    <w:p w14:paraId="41CF676E" w14:textId="77777777" w:rsidR="006E1AD4" w:rsidRPr="009476D9" w:rsidRDefault="006E1AD4" w:rsidP="006E1AD4">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Conversely, the pH levels across the soil profile indicated slightly neutral and this has an implication within the nutrient availability. The pH measure in the surface is 6.3 ± 0.2, while on the second layer of measurement the pH is 6.1 ± 0.3. However, content of organic matter is significantly low, values are declining from 2.4 ± 0.3 % in upper layers to 2.1 ± 0.4 % in lower ones. This creates a need for adopting organic sources like compost or manure to improve on the fertility of our soils and soil water retention and structure.</w:t>
      </w:r>
    </w:p>
    <w:p w14:paraId="78DD3785" w14:textId="2B9D9DBB" w:rsidR="00A50FF1" w:rsidRPr="009476D9" w:rsidRDefault="006E1AD4" w:rsidP="006E1AD4">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Finally, the nutrient analysis outlines the limitations and strengths of the method. Concentrations of the nitrogen increasingly decline from 0.15 ± 0.02% in the topsoil down to 0.12 ± 0.02% in the subsoil and may hamper crop yields. In the case of phosphorus availability, the concentration also reduces with increased soil depth and ranges from 9.2± 1.1mg/kg at the 0 - 30cm layer to 7.8 ± 1.3 at 30 - 60cm layers. As to potassium, its concentrations are higher, 125 ± 10, in the surface layer, and 110 ± 12, in the subsoil, thus contributing to meet the demand for nutrients of the growing plants.</w:t>
      </w:r>
    </w:p>
    <w:p w14:paraId="6A9623E4" w14:textId="77777777" w:rsidR="00B105B1" w:rsidRPr="009476D9" w:rsidRDefault="00B105B1" w:rsidP="006E1AD4">
      <w:pPr>
        <w:jc w:val="both"/>
        <w:rPr>
          <w:rFonts w:ascii="Times New Roman" w:hAnsi="Times New Roman" w:cs="Times New Roman"/>
          <w:b/>
          <w:color w:val="000000" w:themeColor="text1"/>
          <w:sz w:val="24"/>
          <w:szCs w:val="24"/>
        </w:rPr>
      </w:pPr>
    </w:p>
    <w:p w14:paraId="1CDE6606" w14:textId="77777777" w:rsidR="00B105B1" w:rsidRPr="009476D9" w:rsidRDefault="00B105B1" w:rsidP="006E1AD4">
      <w:pPr>
        <w:jc w:val="both"/>
        <w:rPr>
          <w:rFonts w:ascii="Times New Roman" w:hAnsi="Times New Roman" w:cs="Times New Roman"/>
          <w:b/>
          <w:color w:val="000000" w:themeColor="text1"/>
          <w:sz w:val="24"/>
          <w:szCs w:val="24"/>
        </w:rPr>
      </w:pPr>
    </w:p>
    <w:p w14:paraId="6E0B57E9" w14:textId="77777777" w:rsidR="00B105B1" w:rsidRPr="009476D9" w:rsidRDefault="00B105B1" w:rsidP="006E1AD4">
      <w:pPr>
        <w:jc w:val="both"/>
        <w:rPr>
          <w:rFonts w:ascii="Times New Roman" w:hAnsi="Times New Roman" w:cs="Times New Roman"/>
          <w:b/>
          <w:color w:val="000000" w:themeColor="text1"/>
          <w:sz w:val="24"/>
          <w:szCs w:val="24"/>
        </w:rPr>
      </w:pPr>
    </w:p>
    <w:p w14:paraId="45546019" w14:textId="77777777" w:rsidR="00B105B1" w:rsidRPr="009476D9" w:rsidRDefault="00B105B1" w:rsidP="006E1AD4">
      <w:pPr>
        <w:jc w:val="both"/>
        <w:rPr>
          <w:rFonts w:ascii="Times New Roman" w:hAnsi="Times New Roman" w:cs="Times New Roman"/>
          <w:b/>
          <w:color w:val="000000" w:themeColor="text1"/>
          <w:sz w:val="24"/>
          <w:szCs w:val="24"/>
        </w:rPr>
      </w:pPr>
    </w:p>
    <w:p w14:paraId="3EE9FE4C" w14:textId="77777777" w:rsidR="00B105B1" w:rsidRPr="009476D9" w:rsidRDefault="00B105B1" w:rsidP="006E1AD4">
      <w:pPr>
        <w:jc w:val="both"/>
        <w:rPr>
          <w:rFonts w:ascii="Times New Roman" w:hAnsi="Times New Roman" w:cs="Times New Roman"/>
          <w:b/>
          <w:color w:val="000000" w:themeColor="text1"/>
          <w:sz w:val="24"/>
          <w:szCs w:val="24"/>
        </w:rPr>
      </w:pPr>
    </w:p>
    <w:p w14:paraId="343B8452" w14:textId="77777777" w:rsidR="00B105B1" w:rsidRPr="009476D9" w:rsidRDefault="00B105B1" w:rsidP="006E1AD4">
      <w:pPr>
        <w:jc w:val="both"/>
        <w:rPr>
          <w:rFonts w:ascii="Times New Roman" w:hAnsi="Times New Roman" w:cs="Times New Roman"/>
          <w:b/>
          <w:color w:val="000000" w:themeColor="text1"/>
          <w:sz w:val="24"/>
          <w:szCs w:val="24"/>
        </w:rPr>
      </w:pPr>
    </w:p>
    <w:p w14:paraId="1CF7F50D" w14:textId="77777777" w:rsidR="00B105B1" w:rsidRPr="009476D9" w:rsidRDefault="00B105B1" w:rsidP="006E1AD4">
      <w:pPr>
        <w:jc w:val="both"/>
        <w:rPr>
          <w:rFonts w:ascii="Times New Roman" w:hAnsi="Times New Roman" w:cs="Times New Roman"/>
          <w:b/>
          <w:color w:val="000000" w:themeColor="text1"/>
          <w:sz w:val="24"/>
          <w:szCs w:val="24"/>
        </w:rPr>
      </w:pPr>
    </w:p>
    <w:p w14:paraId="38B75D60" w14:textId="77777777" w:rsidR="00B105B1" w:rsidRPr="009476D9" w:rsidRDefault="00B105B1" w:rsidP="006E1AD4">
      <w:pPr>
        <w:jc w:val="both"/>
        <w:rPr>
          <w:rFonts w:ascii="Times New Roman" w:hAnsi="Times New Roman" w:cs="Times New Roman"/>
          <w:b/>
          <w:color w:val="000000" w:themeColor="text1"/>
          <w:sz w:val="24"/>
          <w:szCs w:val="24"/>
        </w:rPr>
      </w:pPr>
    </w:p>
    <w:p w14:paraId="4AEEFFA2" w14:textId="77777777" w:rsidR="00B105B1" w:rsidRPr="009476D9" w:rsidRDefault="00B105B1" w:rsidP="006E1AD4">
      <w:pPr>
        <w:jc w:val="both"/>
        <w:rPr>
          <w:rFonts w:ascii="Times New Roman" w:hAnsi="Times New Roman" w:cs="Times New Roman"/>
          <w:b/>
          <w:color w:val="000000" w:themeColor="text1"/>
          <w:sz w:val="24"/>
          <w:szCs w:val="24"/>
        </w:rPr>
      </w:pPr>
    </w:p>
    <w:p w14:paraId="03E2A840" w14:textId="77777777" w:rsidR="00B105B1" w:rsidRPr="009476D9" w:rsidRDefault="00B105B1" w:rsidP="006E1AD4">
      <w:pPr>
        <w:jc w:val="both"/>
        <w:rPr>
          <w:rFonts w:ascii="Times New Roman" w:hAnsi="Times New Roman" w:cs="Times New Roman"/>
          <w:b/>
          <w:color w:val="000000" w:themeColor="text1"/>
          <w:sz w:val="24"/>
          <w:szCs w:val="24"/>
        </w:rPr>
      </w:pPr>
    </w:p>
    <w:p w14:paraId="7E8BA099" w14:textId="77777777" w:rsidR="00B105B1" w:rsidRPr="009476D9" w:rsidRDefault="00B105B1" w:rsidP="006E1AD4">
      <w:pPr>
        <w:jc w:val="both"/>
        <w:rPr>
          <w:rFonts w:ascii="Times New Roman" w:hAnsi="Times New Roman" w:cs="Times New Roman"/>
          <w:b/>
          <w:color w:val="000000" w:themeColor="text1"/>
          <w:sz w:val="24"/>
          <w:szCs w:val="24"/>
        </w:rPr>
      </w:pPr>
    </w:p>
    <w:p w14:paraId="1C57B315" w14:textId="77777777" w:rsidR="00B105B1" w:rsidRPr="009476D9" w:rsidRDefault="00B105B1" w:rsidP="006E1AD4">
      <w:pPr>
        <w:jc w:val="both"/>
        <w:rPr>
          <w:rFonts w:ascii="Times New Roman" w:hAnsi="Times New Roman" w:cs="Times New Roman"/>
          <w:b/>
          <w:color w:val="000000" w:themeColor="text1"/>
          <w:sz w:val="24"/>
          <w:szCs w:val="24"/>
        </w:rPr>
      </w:pPr>
    </w:p>
    <w:p w14:paraId="715A60E7" w14:textId="4D9D0864" w:rsidR="006E1AD4" w:rsidRPr="009476D9" w:rsidRDefault="006E1AD4" w:rsidP="006E1AD4">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Spatial characteristics of soil physical and chemical features and their connections in the Afram Plains </w:t>
      </w:r>
    </w:p>
    <w:p w14:paraId="5A58B6A1" w14:textId="6DEEC033" w:rsidR="0091171D" w:rsidRPr="009476D9" w:rsidRDefault="0091171D" w:rsidP="0091171D">
      <w:pPr>
        <w:jc w:val="both"/>
        <w:rPr>
          <w:rFonts w:ascii="Times New Roman" w:hAnsi="Times New Roman" w:cs="Times New Roman"/>
          <w:color w:val="000000" w:themeColor="text1"/>
          <w:sz w:val="24"/>
          <w:szCs w:val="24"/>
        </w:rPr>
      </w:pPr>
      <w:r w:rsidRPr="009476D9">
        <w:rPr>
          <w:rFonts w:ascii="Times New Roman" w:hAnsi="Times New Roman" w:cs="Times New Roman"/>
          <w:noProof/>
          <w:color w:val="000000" w:themeColor="text1"/>
          <w:sz w:val="24"/>
          <w:szCs w:val="24"/>
        </w:rPr>
        <w:drawing>
          <wp:inline distT="0" distB="0" distL="0" distR="0" wp14:anchorId="2D6F7744" wp14:editId="52DE174D">
            <wp:extent cx="5731510" cy="4585335"/>
            <wp:effectExtent l="0" t="0" r="254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rrelation_heatmap_soil_properti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585335"/>
                    </a:xfrm>
                    <a:prstGeom prst="rect">
                      <a:avLst/>
                    </a:prstGeom>
                  </pic:spPr>
                </pic:pic>
              </a:graphicData>
            </a:graphic>
          </wp:inline>
        </w:drawing>
      </w:r>
      <w:r w:rsidRPr="009476D9">
        <w:rPr>
          <w:rFonts w:ascii="Times New Roman" w:hAnsi="Times New Roman" w:cs="Times New Roman"/>
          <w:color w:val="000000" w:themeColor="text1"/>
          <w:sz w:val="24"/>
          <w:szCs w:val="24"/>
        </w:rPr>
        <w:t xml:space="preserve">Figure </w:t>
      </w:r>
      <w:r w:rsidR="00F95BD6" w:rsidRPr="009476D9">
        <w:rPr>
          <w:rFonts w:ascii="Times New Roman" w:hAnsi="Times New Roman" w:cs="Times New Roman"/>
          <w:color w:val="000000" w:themeColor="text1"/>
          <w:sz w:val="24"/>
          <w:szCs w:val="24"/>
        </w:rPr>
        <w:t>4</w:t>
      </w:r>
      <w:r w:rsidRPr="009476D9">
        <w:rPr>
          <w:rFonts w:ascii="Times New Roman" w:hAnsi="Times New Roman" w:cs="Times New Roman"/>
          <w:color w:val="000000" w:themeColor="text1"/>
          <w:sz w:val="24"/>
          <w:szCs w:val="24"/>
        </w:rPr>
        <w:t xml:space="preserve">: Soil Properties correlation matrix  </w:t>
      </w:r>
    </w:p>
    <w:p w14:paraId="3AF91E14" w14:textId="5A2AE8C9" w:rsidR="0091171D" w:rsidRPr="009476D9" w:rsidRDefault="0091171D" w:rsidP="006E1AD4">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Source: Author’s Construct, (2024)</w:t>
      </w:r>
    </w:p>
    <w:p w14:paraId="26E59CEC" w14:textId="022316C8" w:rsidR="00D57EB8" w:rsidRPr="009476D9" w:rsidRDefault="00D57EB8" w:rsidP="00D57EB8">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Looking at the correlation heatmap, one is able to get a statistical view of all characteristics of physical and chemical properties of soil, where several of them seem to have a perfect correlation. For example, the two variables sand and porosity share a correlation coefficient of +1.00 which indicate a perfect direct relationship. Implying in this relationship that as the percentage of sand in the soil increases overlooks porosity because of large grain sizes that are providence in sand grain classes. This finding holds important lessons concerning management of the soil in relation to aeration and drainage. Likewise, the chemical characteristics of the soil: Organic matter, Nitrogen, Phosphorus (mg/kg), and Potassium (mg/kg) are fully correlated between them (Pearson correlation coefficients = 1.00). This goes further to show that soils with high organic matter content also contain essential nutrients required for plant growth and so organic matter hence is central to soils fertility.</w:t>
      </w:r>
    </w:p>
    <w:p w14:paraId="63554408" w14:textId="43A77202" w:rsidR="00D57EB8" w:rsidRPr="009476D9" w:rsidRDefault="00D57EB8" w:rsidP="00E86FA5">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However, </w:t>
      </w:r>
      <w:r w:rsidR="004F60F6" w:rsidRPr="009476D9">
        <w:rPr>
          <w:rFonts w:ascii="Times New Roman" w:hAnsi="Times New Roman" w:cs="Times New Roman"/>
          <w:color w:val="000000" w:themeColor="text1"/>
          <w:sz w:val="24"/>
          <w:szCs w:val="24"/>
        </w:rPr>
        <w:t>sand</w:t>
      </w:r>
      <w:r w:rsidRPr="009476D9">
        <w:rPr>
          <w:rFonts w:ascii="Times New Roman" w:hAnsi="Times New Roman" w:cs="Times New Roman"/>
          <w:color w:val="000000" w:themeColor="text1"/>
          <w:sz w:val="24"/>
          <w:szCs w:val="24"/>
        </w:rPr>
        <w:t xml:space="preserve"> and clay</w:t>
      </w:r>
      <w:r w:rsidR="004F60F6" w:rsidRPr="009476D9">
        <w:rPr>
          <w:rFonts w:ascii="Times New Roman" w:hAnsi="Times New Roman" w:cs="Times New Roman"/>
          <w:color w:val="000000" w:themeColor="text1"/>
          <w:sz w:val="24"/>
          <w:szCs w:val="24"/>
        </w:rPr>
        <w:t xml:space="preserve"> </w:t>
      </w:r>
      <w:r w:rsidRPr="009476D9">
        <w:rPr>
          <w:rFonts w:ascii="Times New Roman" w:hAnsi="Times New Roman" w:cs="Times New Roman"/>
          <w:color w:val="000000" w:themeColor="text1"/>
          <w:sz w:val="24"/>
          <w:szCs w:val="24"/>
        </w:rPr>
        <w:t>are diametrically opposed indicating the natural textural classification of soils where there is a direct change of sand with clay. Bulk density (g/cm³) and porosity also present a powerful negative association, indicating that high bulk density, brought on by soil compaction, leads to low porosity, hence limiting water infiltration, as well as root penetration. A sixth negative relationship is also found between pH (H2O) and organic matter since the hydroxide of the soil rises when it has more organic matter. With this, the study introduces new statistical evidence on the relational patterns of the given object in the form of soil structure and fertility as well as the intervals for their improvements to enhance the efficiency of agricultural practices and management approaches</w:t>
      </w:r>
    </w:p>
    <w:p w14:paraId="4691FA9D" w14:textId="77777777" w:rsidR="004F60F6" w:rsidRPr="009476D9" w:rsidRDefault="00D57EB8" w:rsidP="00E068B1">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 xml:space="preserve">Soil Properties correlation matrix  </w:t>
      </w:r>
    </w:p>
    <w:p w14:paraId="1E8B8744" w14:textId="77777777" w:rsidR="004F60F6" w:rsidRPr="009476D9" w:rsidRDefault="004F60F6" w:rsidP="004F60F6">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drawing>
          <wp:inline distT="0" distB="0" distL="0" distR="0" wp14:anchorId="11C4AEBF" wp14:editId="41708378">
            <wp:extent cx="5722698" cy="29622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tter_plots_soil_properties.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5015" cy="2984180"/>
                    </a:xfrm>
                    <a:prstGeom prst="rect">
                      <a:avLst/>
                    </a:prstGeom>
                  </pic:spPr>
                </pic:pic>
              </a:graphicData>
            </a:graphic>
          </wp:inline>
        </w:drawing>
      </w:r>
    </w:p>
    <w:p w14:paraId="284B0464" w14:textId="4B9F44E7" w:rsidR="004F60F6" w:rsidRPr="009476D9" w:rsidRDefault="004F60F6" w:rsidP="00E068B1">
      <w:pPr>
        <w:jc w:val="both"/>
        <w:rPr>
          <w:rFonts w:ascii="Times New Roman" w:hAnsi="Times New Roman" w:cs="Times New Roman"/>
          <w:color w:val="000000" w:themeColor="text1"/>
          <w:sz w:val="24"/>
          <w:szCs w:val="24"/>
        </w:rPr>
      </w:pPr>
      <w:r w:rsidRPr="009476D9">
        <w:rPr>
          <w:rFonts w:ascii="Times New Roman" w:hAnsi="Times New Roman" w:cs="Times New Roman"/>
          <w:color w:val="000000" w:themeColor="text1"/>
          <w:sz w:val="24"/>
          <w:szCs w:val="24"/>
        </w:rPr>
        <w:t xml:space="preserve">Figure </w:t>
      </w:r>
      <w:r w:rsidR="00F95BD6" w:rsidRPr="009476D9">
        <w:rPr>
          <w:rFonts w:ascii="Times New Roman" w:hAnsi="Times New Roman" w:cs="Times New Roman"/>
          <w:color w:val="000000" w:themeColor="text1"/>
          <w:sz w:val="24"/>
          <w:szCs w:val="24"/>
        </w:rPr>
        <w:t>5</w:t>
      </w:r>
      <w:r w:rsidRPr="009476D9">
        <w:rPr>
          <w:rFonts w:ascii="Times New Roman" w:hAnsi="Times New Roman" w:cs="Times New Roman"/>
          <w:color w:val="000000" w:themeColor="text1"/>
          <w:sz w:val="24"/>
          <w:szCs w:val="24"/>
        </w:rPr>
        <w:t xml:space="preserve">: </w:t>
      </w:r>
      <w:bookmarkStart w:id="0" w:name="_Hlk187571035"/>
      <w:r w:rsidR="009476D9">
        <w:rPr>
          <w:rFonts w:ascii="Times New Roman" w:hAnsi="Times New Roman" w:cs="Times New Roman"/>
          <w:color w:val="000000" w:themeColor="text1"/>
          <w:sz w:val="24"/>
          <w:szCs w:val="24"/>
        </w:rPr>
        <w:t xml:space="preserve">Scatter plot of </w:t>
      </w:r>
      <w:r w:rsidRPr="009476D9">
        <w:rPr>
          <w:rFonts w:ascii="Times New Roman" w:hAnsi="Times New Roman" w:cs="Times New Roman"/>
          <w:color w:val="000000" w:themeColor="text1"/>
          <w:sz w:val="24"/>
          <w:szCs w:val="24"/>
        </w:rPr>
        <w:t xml:space="preserve">Soil Properties correlation matrix  </w:t>
      </w:r>
      <w:bookmarkEnd w:id="0"/>
    </w:p>
    <w:p w14:paraId="287F96B8" w14:textId="27C8AA41" w:rsidR="00A36898" w:rsidRPr="009476D9" w:rsidRDefault="00A36898" w:rsidP="00E068B1">
      <w:pPr>
        <w:jc w:val="both"/>
        <w:rPr>
          <w:rFonts w:ascii="Times New Roman" w:hAnsi="Times New Roman" w:cs="Times New Roman"/>
          <w:b/>
          <w:color w:val="000000" w:themeColor="text1"/>
          <w:sz w:val="24"/>
          <w:szCs w:val="24"/>
        </w:rPr>
      </w:pPr>
      <w:r w:rsidRPr="009476D9">
        <w:rPr>
          <w:rFonts w:ascii="Times New Roman" w:hAnsi="Times New Roman" w:cs="Times New Roman"/>
          <w:b/>
          <w:color w:val="000000" w:themeColor="text1"/>
          <w:sz w:val="24"/>
          <w:szCs w:val="24"/>
        </w:rPr>
        <w:t>Source: Author’s Construct, (2024)</w:t>
      </w:r>
    </w:p>
    <w:p w14:paraId="7A50CB30" w14:textId="3AF43B41" w:rsidR="00E068B1" w:rsidRPr="009476D9" w:rsidRDefault="00E068B1" w:rsidP="00E068B1">
      <w:pPr>
        <w:jc w:val="both"/>
        <w:rPr>
          <w:rFonts w:ascii="Times New Roman" w:hAnsi="Times New Roman" w:cs="Times New Roman"/>
          <w:b/>
          <w:color w:val="000000" w:themeColor="text1"/>
          <w:sz w:val="24"/>
          <w:szCs w:val="24"/>
        </w:rPr>
      </w:pPr>
      <w:r w:rsidRPr="009476D9">
        <w:rPr>
          <w:rFonts w:ascii="Times New Roman" w:hAnsi="Times New Roman" w:cs="Times New Roman"/>
          <w:bCs/>
          <w:color w:val="000000" w:themeColor="text1"/>
          <w:sz w:val="24"/>
          <w:szCs w:val="24"/>
        </w:rPr>
        <w:t xml:space="preserve">Comparatively, the disparity of </w:t>
      </w:r>
      <w:r w:rsidR="005E7901" w:rsidRPr="009476D9">
        <w:rPr>
          <w:rFonts w:ascii="Times New Roman" w:hAnsi="Times New Roman" w:cs="Times New Roman"/>
          <w:bCs/>
          <w:color w:val="000000" w:themeColor="text1"/>
          <w:sz w:val="24"/>
          <w:szCs w:val="24"/>
        </w:rPr>
        <w:t>sand scattered</w:t>
      </w:r>
      <w:r w:rsidRPr="009476D9">
        <w:rPr>
          <w:rFonts w:ascii="Times New Roman" w:hAnsi="Times New Roman" w:cs="Times New Roman"/>
          <w:bCs/>
          <w:color w:val="000000" w:themeColor="text1"/>
          <w:sz w:val="24"/>
          <w:szCs w:val="24"/>
        </w:rPr>
        <w:t xml:space="preserve"> directly with porosity coherently supports the heatmap by exhibiting good positive linearity</w:t>
      </w:r>
      <w:r w:rsidR="0099566F" w:rsidRPr="009476D9">
        <w:rPr>
          <w:rFonts w:ascii="Times New Roman" w:hAnsi="Times New Roman" w:cs="Times New Roman"/>
          <w:bCs/>
          <w:color w:val="000000" w:themeColor="text1"/>
          <w:sz w:val="24"/>
          <w:szCs w:val="24"/>
        </w:rPr>
        <w:t xml:space="preserve"> as shown by the scatter plots</w:t>
      </w:r>
      <w:r w:rsidRPr="009476D9">
        <w:rPr>
          <w:rFonts w:ascii="Times New Roman" w:hAnsi="Times New Roman" w:cs="Times New Roman"/>
          <w:bCs/>
          <w:color w:val="000000" w:themeColor="text1"/>
          <w:sz w:val="24"/>
          <w:szCs w:val="24"/>
        </w:rPr>
        <w:t>. The majority of the obtained data points belong to a steep upward trend proving the relation that soils with more sand content are more porous. This relationship is of particular importance for the control of moisture content and permeability of compacted soils.</w:t>
      </w:r>
    </w:p>
    <w:p w14:paraId="088FF67D" w14:textId="12823A40" w:rsidR="00E068B1" w:rsidRPr="009476D9" w:rsidRDefault="00E068B1" w:rsidP="00E068B1">
      <w:pPr>
        <w:jc w:val="both"/>
        <w:rPr>
          <w:rFonts w:ascii="Times New Roman" w:hAnsi="Times New Roman" w:cs="Times New Roman"/>
          <w:bCs/>
          <w:color w:val="000000" w:themeColor="text1"/>
          <w:sz w:val="24"/>
          <w:szCs w:val="24"/>
        </w:rPr>
      </w:pPr>
      <w:r w:rsidRPr="009476D9">
        <w:rPr>
          <w:rFonts w:ascii="Times New Roman" w:hAnsi="Times New Roman" w:cs="Times New Roman"/>
          <w:bCs/>
          <w:color w:val="000000" w:themeColor="text1"/>
          <w:sz w:val="24"/>
          <w:szCs w:val="24"/>
        </w:rPr>
        <w:t xml:space="preserve">The scatter diagram of organic matter against nitrogen also revealed a positive correlation and there is a clear band that shows the relationship between the two variables: this means that an increase in organic matter results to proportional increase in nitrogen. This has emphasized and supports the use of organic matter as compost or manure for improving the fertility of soils through nitrogen provision. From Fig </w:t>
      </w:r>
      <w:r w:rsidR="00F95BD6" w:rsidRPr="009476D9">
        <w:rPr>
          <w:rFonts w:ascii="Times New Roman" w:hAnsi="Times New Roman" w:cs="Times New Roman"/>
          <w:bCs/>
          <w:color w:val="000000" w:themeColor="text1"/>
          <w:sz w:val="24"/>
          <w:szCs w:val="24"/>
        </w:rPr>
        <w:t>5</w:t>
      </w:r>
      <w:r w:rsidRPr="009476D9">
        <w:rPr>
          <w:rFonts w:ascii="Times New Roman" w:hAnsi="Times New Roman" w:cs="Times New Roman"/>
          <w:bCs/>
          <w:color w:val="000000" w:themeColor="text1"/>
          <w:sz w:val="24"/>
          <w:szCs w:val="24"/>
        </w:rPr>
        <w:t>, it can be seen that the relationship is fairly predictable, which agrees with both the statistical outcomes of the heatmap.</w:t>
      </w:r>
    </w:p>
    <w:p w14:paraId="15EFCB3E" w14:textId="400BC5DB" w:rsidR="00E068B1" w:rsidRPr="009476D9" w:rsidRDefault="00E068B1" w:rsidP="00E068B1">
      <w:pPr>
        <w:jc w:val="both"/>
        <w:rPr>
          <w:rFonts w:ascii="Times New Roman" w:hAnsi="Times New Roman" w:cs="Times New Roman"/>
          <w:bCs/>
          <w:color w:val="000000" w:themeColor="text1"/>
          <w:sz w:val="24"/>
          <w:szCs w:val="24"/>
        </w:rPr>
      </w:pPr>
      <w:r w:rsidRPr="009476D9">
        <w:rPr>
          <w:rFonts w:ascii="Times New Roman" w:hAnsi="Times New Roman" w:cs="Times New Roman"/>
          <w:bCs/>
          <w:color w:val="000000" w:themeColor="text1"/>
          <w:sz w:val="24"/>
          <w:szCs w:val="24"/>
        </w:rPr>
        <w:t xml:space="preserve">A negative linear relationship with a strong coefficient of determination is observed on the scatterplot of the bulk density (g/cm³) and porosity (%) data. When analyzing the relations between the two, it is seen that the overall bulk density negatively correlates strongly with the overall porosity, where all the points lie in the negative direction of a straight line. This trend demonstrates the importance of the consequences of porosity due to compaction of the soil with reference to roots and water intake. The degree of association represented here further </w:t>
      </w:r>
      <w:r w:rsidR="005E7901" w:rsidRPr="009476D9">
        <w:rPr>
          <w:rFonts w:ascii="Times New Roman" w:hAnsi="Times New Roman" w:cs="Times New Roman"/>
          <w:bCs/>
          <w:color w:val="000000" w:themeColor="text1"/>
          <w:sz w:val="24"/>
          <w:szCs w:val="24"/>
        </w:rPr>
        <w:t>emphasizes</w:t>
      </w:r>
      <w:r w:rsidRPr="009476D9">
        <w:rPr>
          <w:rFonts w:ascii="Times New Roman" w:hAnsi="Times New Roman" w:cs="Times New Roman"/>
          <w:bCs/>
          <w:color w:val="000000" w:themeColor="text1"/>
          <w:sz w:val="24"/>
          <w:szCs w:val="24"/>
        </w:rPr>
        <w:t xml:space="preserve"> a requirement for practices offered to decrease mass density, for instance through tilling or bringing in organic material.</w:t>
      </w:r>
    </w:p>
    <w:p w14:paraId="6B701AC2" w14:textId="260C6164" w:rsidR="00124632" w:rsidRPr="009476D9" w:rsidRDefault="00E068B1" w:rsidP="00E86FA5">
      <w:pPr>
        <w:jc w:val="both"/>
        <w:rPr>
          <w:rFonts w:ascii="Times New Roman" w:hAnsi="Times New Roman" w:cs="Times New Roman"/>
          <w:bCs/>
          <w:color w:val="000000" w:themeColor="text1"/>
          <w:sz w:val="24"/>
          <w:szCs w:val="24"/>
        </w:rPr>
      </w:pPr>
      <w:r w:rsidRPr="009476D9">
        <w:rPr>
          <w:rFonts w:ascii="Times New Roman" w:hAnsi="Times New Roman" w:cs="Times New Roman"/>
          <w:bCs/>
          <w:color w:val="000000" w:themeColor="text1"/>
          <w:sz w:val="24"/>
          <w:szCs w:val="24"/>
        </w:rPr>
        <w:t xml:space="preserve">Last, the scatterplot of pH (H2O) with phosphorus (mg/kg) clearly shows a </w:t>
      </w:r>
      <w:r w:rsidR="00A01662" w:rsidRPr="009476D9">
        <w:rPr>
          <w:rFonts w:ascii="Times New Roman" w:hAnsi="Times New Roman" w:cs="Times New Roman"/>
          <w:bCs/>
          <w:color w:val="000000" w:themeColor="text1"/>
          <w:sz w:val="24"/>
          <w:szCs w:val="24"/>
        </w:rPr>
        <w:t>reciprocal</w:t>
      </w:r>
      <w:r w:rsidRPr="009476D9">
        <w:rPr>
          <w:rFonts w:ascii="Times New Roman" w:hAnsi="Times New Roman" w:cs="Times New Roman"/>
          <w:bCs/>
          <w:color w:val="000000" w:themeColor="text1"/>
          <w:sz w:val="24"/>
          <w:szCs w:val="24"/>
        </w:rPr>
        <w:t xml:space="preserve"> negative, non-linear relationship. The trend indicates that high phosphorus concentration is characterized by low pH levels that means phosphorus is more soluble in acidic soils. The presented finding, aligned with the heatmap and the correlation analysis results, reveals the information on the adjustment of pH in soils for phosphorus availability for the crops.</w:t>
      </w:r>
    </w:p>
    <w:p w14:paraId="554B4BC0" w14:textId="4C36BFFD" w:rsidR="000C4808" w:rsidRPr="009476D9" w:rsidRDefault="000C4808" w:rsidP="00E86FA5">
      <w:pPr>
        <w:jc w:val="both"/>
        <w:rPr>
          <w:rFonts w:ascii="Times New Roman" w:hAnsi="Times New Roman" w:cs="Times New Roman"/>
          <w:b/>
          <w:noProof/>
          <w:color w:val="000000" w:themeColor="text1"/>
          <w:sz w:val="24"/>
          <w:szCs w:val="24"/>
        </w:rPr>
      </w:pPr>
      <w:r w:rsidRPr="009476D9">
        <w:rPr>
          <w:rFonts w:ascii="Times New Roman" w:hAnsi="Times New Roman" w:cs="Times New Roman"/>
          <w:b/>
          <w:noProof/>
          <w:color w:val="000000" w:themeColor="text1"/>
          <w:sz w:val="24"/>
          <w:szCs w:val="24"/>
        </w:rPr>
        <w:t>Overall Soil Quality Analysis</w:t>
      </w:r>
    </w:p>
    <w:p w14:paraId="15F8885C" w14:textId="3814F1CA" w:rsidR="00A36898" w:rsidRPr="009476D9" w:rsidRDefault="00A36898" w:rsidP="00A36898">
      <w:pPr>
        <w:tabs>
          <w:tab w:val="left" w:pos="6255"/>
        </w:tabs>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 xml:space="preserve">Table </w:t>
      </w:r>
      <w:r w:rsidR="00F95BD6" w:rsidRPr="009476D9">
        <w:rPr>
          <w:rFonts w:ascii="Times New Roman" w:hAnsi="Times New Roman" w:cs="Times New Roman"/>
          <w:b/>
          <w:bCs/>
          <w:noProof/>
          <w:color w:val="000000" w:themeColor="text1"/>
          <w:sz w:val="24"/>
          <w:szCs w:val="24"/>
        </w:rPr>
        <w:t>2</w:t>
      </w:r>
      <w:r w:rsidRPr="009476D9">
        <w:rPr>
          <w:rFonts w:ascii="Times New Roman" w:hAnsi="Times New Roman" w:cs="Times New Roman"/>
          <w:b/>
          <w:bCs/>
          <w:noProof/>
          <w:color w:val="000000" w:themeColor="text1"/>
          <w:sz w:val="24"/>
          <w:szCs w:val="24"/>
        </w:rPr>
        <w:t>: Soil Quality Index Based on Key Soil Properties</w:t>
      </w:r>
      <w:r w:rsidRPr="009476D9">
        <w:rPr>
          <w:rFonts w:ascii="Times New Roman" w:hAnsi="Times New Roman" w:cs="Times New Roman"/>
          <w:b/>
          <w:bCs/>
          <w:noProof/>
          <w:color w:val="000000" w:themeColor="text1"/>
          <w:sz w:val="24"/>
          <w:szCs w:val="24"/>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1434"/>
        <w:gridCol w:w="1473"/>
        <w:gridCol w:w="2233"/>
        <w:gridCol w:w="2152"/>
      </w:tblGrid>
      <w:tr w:rsidR="009476D9" w:rsidRPr="009476D9" w14:paraId="6983A442" w14:textId="77777777" w:rsidTr="001035AF">
        <w:tc>
          <w:tcPr>
            <w:tcW w:w="0" w:type="auto"/>
            <w:tcBorders>
              <w:top w:val="single" w:sz="4" w:space="0" w:color="auto"/>
              <w:bottom w:val="single" w:sz="4" w:space="0" w:color="auto"/>
            </w:tcBorders>
            <w:hideMark/>
          </w:tcPr>
          <w:p w14:paraId="7A93F0CF" w14:textId="77777777" w:rsidR="00A36898" w:rsidRPr="009476D9" w:rsidRDefault="00A36898" w:rsidP="001035AF">
            <w:pPr>
              <w:spacing w:after="160" w:line="259" w:lineRule="auto"/>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Soil Property</w:t>
            </w:r>
          </w:p>
        </w:tc>
        <w:tc>
          <w:tcPr>
            <w:tcW w:w="0" w:type="auto"/>
            <w:tcBorders>
              <w:top w:val="single" w:sz="4" w:space="0" w:color="auto"/>
              <w:bottom w:val="single" w:sz="4" w:space="0" w:color="auto"/>
            </w:tcBorders>
            <w:hideMark/>
          </w:tcPr>
          <w:p w14:paraId="188A28AB" w14:textId="77777777" w:rsidR="00A36898" w:rsidRPr="009476D9" w:rsidRDefault="00A36898" w:rsidP="001035AF">
            <w:pPr>
              <w:spacing w:after="160" w:line="259" w:lineRule="auto"/>
              <w:jc w:val="center"/>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Topsoil (0–15 cm)</w:t>
            </w:r>
          </w:p>
        </w:tc>
        <w:tc>
          <w:tcPr>
            <w:tcW w:w="0" w:type="auto"/>
            <w:tcBorders>
              <w:top w:val="single" w:sz="4" w:space="0" w:color="auto"/>
              <w:bottom w:val="single" w:sz="4" w:space="0" w:color="auto"/>
            </w:tcBorders>
            <w:hideMark/>
          </w:tcPr>
          <w:p w14:paraId="0746D827" w14:textId="77777777" w:rsidR="00A36898" w:rsidRPr="009476D9" w:rsidRDefault="00A36898" w:rsidP="001035AF">
            <w:pPr>
              <w:spacing w:after="160" w:line="259" w:lineRule="auto"/>
              <w:jc w:val="center"/>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Subsoil (15–30 cm)</w:t>
            </w:r>
          </w:p>
        </w:tc>
        <w:tc>
          <w:tcPr>
            <w:tcW w:w="0" w:type="auto"/>
            <w:tcBorders>
              <w:top w:val="single" w:sz="4" w:space="0" w:color="auto"/>
              <w:bottom w:val="single" w:sz="4" w:space="0" w:color="auto"/>
            </w:tcBorders>
            <w:hideMark/>
          </w:tcPr>
          <w:p w14:paraId="43DF1434" w14:textId="77777777" w:rsidR="00A36898" w:rsidRPr="009476D9" w:rsidRDefault="00A36898" w:rsidP="001035AF">
            <w:pPr>
              <w:spacing w:after="160" w:line="259" w:lineRule="auto"/>
              <w:jc w:val="center"/>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Critical Threshold (Ideal Value)</w:t>
            </w:r>
          </w:p>
        </w:tc>
        <w:tc>
          <w:tcPr>
            <w:tcW w:w="0" w:type="auto"/>
            <w:tcBorders>
              <w:top w:val="single" w:sz="4" w:space="0" w:color="auto"/>
              <w:bottom w:val="single" w:sz="4" w:space="0" w:color="auto"/>
            </w:tcBorders>
            <w:hideMark/>
          </w:tcPr>
          <w:p w14:paraId="6016E608" w14:textId="77777777" w:rsidR="00A36898" w:rsidRPr="009476D9" w:rsidRDefault="00A36898" w:rsidP="001035AF">
            <w:pPr>
              <w:spacing w:after="160" w:line="259" w:lineRule="auto"/>
              <w:jc w:val="center"/>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Soil Quality Classification</w:t>
            </w:r>
          </w:p>
        </w:tc>
      </w:tr>
      <w:tr w:rsidR="009476D9" w:rsidRPr="009476D9" w14:paraId="0FEEA884" w14:textId="77777777" w:rsidTr="001035AF">
        <w:tc>
          <w:tcPr>
            <w:tcW w:w="0" w:type="auto"/>
            <w:tcBorders>
              <w:top w:val="single" w:sz="4" w:space="0" w:color="auto"/>
            </w:tcBorders>
            <w:hideMark/>
          </w:tcPr>
          <w:p w14:paraId="7A4172A2"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Texture (Sand %)</w:t>
            </w:r>
          </w:p>
        </w:tc>
        <w:tc>
          <w:tcPr>
            <w:tcW w:w="0" w:type="auto"/>
            <w:tcBorders>
              <w:top w:val="single" w:sz="4" w:space="0" w:color="auto"/>
            </w:tcBorders>
            <w:hideMark/>
          </w:tcPr>
          <w:p w14:paraId="3BD797F4"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64.3%</w:t>
            </w:r>
          </w:p>
        </w:tc>
        <w:tc>
          <w:tcPr>
            <w:tcW w:w="0" w:type="auto"/>
            <w:tcBorders>
              <w:top w:val="single" w:sz="4" w:space="0" w:color="auto"/>
            </w:tcBorders>
            <w:hideMark/>
          </w:tcPr>
          <w:p w14:paraId="58ED4315"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58.7%</w:t>
            </w:r>
          </w:p>
        </w:tc>
        <w:tc>
          <w:tcPr>
            <w:tcW w:w="0" w:type="auto"/>
            <w:tcBorders>
              <w:top w:val="single" w:sz="4" w:space="0" w:color="auto"/>
            </w:tcBorders>
            <w:hideMark/>
          </w:tcPr>
          <w:p w14:paraId="2133557F"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60% (Ideal for optimal drainage)</w:t>
            </w:r>
          </w:p>
        </w:tc>
        <w:tc>
          <w:tcPr>
            <w:tcW w:w="0" w:type="auto"/>
            <w:tcBorders>
              <w:top w:val="single" w:sz="4" w:space="0" w:color="auto"/>
            </w:tcBorders>
            <w:hideMark/>
          </w:tcPr>
          <w:p w14:paraId="4963ACF2"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High</w:t>
            </w:r>
          </w:p>
        </w:tc>
      </w:tr>
      <w:tr w:rsidR="009476D9" w:rsidRPr="009476D9" w14:paraId="7B49BA98" w14:textId="77777777" w:rsidTr="001035AF">
        <w:tc>
          <w:tcPr>
            <w:tcW w:w="0" w:type="auto"/>
            <w:hideMark/>
          </w:tcPr>
          <w:p w14:paraId="51C3994F"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Texture (Silt %)</w:t>
            </w:r>
          </w:p>
        </w:tc>
        <w:tc>
          <w:tcPr>
            <w:tcW w:w="0" w:type="auto"/>
            <w:hideMark/>
          </w:tcPr>
          <w:p w14:paraId="57DD3EDE"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20.5%</w:t>
            </w:r>
          </w:p>
        </w:tc>
        <w:tc>
          <w:tcPr>
            <w:tcW w:w="0" w:type="auto"/>
            <w:hideMark/>
          </w:tcPr>
          <w:p w14:paraId="5DC1BC50"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24.8%</w:t>
            </w:r>
          </w:p>
        </w:tc>
        <w:tc>
          <w:tcPr>
            <w:tcW w:w="0" w:type="auto"/>
            <w:hideMark/>
          </w:tcPr>
          <w:p w14:paraId="6C6237F4"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20–25%</w:t>
            </w:r>
          </w:p>
        </w:tc>
        <w:tc>
          <w:tcPr>
            <w:tcW w:w="0" w:type="auto"/>
            <w:hideMark/>
          </w:tcPr>
          <w:p w14:paraId="0F098541"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Moderate</w:t>
            </w:r>
          </w:p>
        </w:tc>
      </w:tr>
      <w:tr w:rsidR="009476D9" w:rsidRPr="009476D9" w14:paraId="46D34BC9" w14:textId="77777777" w:rsidTr="001035AF">
        <w:tc>
          <w:tcPr>
            <w:tcW w:w="0" w:type="auto"/>
            <w:hideMark/>
          </w:tcPr>
          <w:p w14:paraId="56884AF5"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Texture (Clay %)</w:t>
            </w:r>
          </w:p>
        </w:tc>
        <w:tc>
          <w:tcPr>
            <w:tcW w:w="0" w:type="auto"/>
            <w:hideMark/>
          </w:tcPr>
          <w:p w14:paraId="45B08F04"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15.2%</w:t>
            </w:r>
          </w:p>
        </w:tc>
        <w:tc>
          <w:tcPr>
            <w:tcW w:w="0" w:type="auto"/>
            <w:hideMark/>
          </w:tcPr>
          <w:p w14:paraId="216B6984"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16.5%</w:t>
            </w:r>
          </w:p>
        </w:tc>
        <w:tc>
          <w:tcPr>
            <w:tcW w:w="0" w:type="auto"/>
            <w:hideMark/>
          </w:tcPr>
          <w:p w14:paraId="30BBB75C"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15% (Ideal for balance)</w:t>
            </w:r>
          </w:p>
        </w:tc>
        <w:tc>
          <w:tcPr>
            <w:tcW w:w="0" w:type="auto"/>
            <w:hideMark/>
          </w:tcPr>
          <w:p w14:paraId="2C760610"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Moderate</w:t>
            </w:r>
          </w:p>
        </w:tc>
      </w:tr>
      <w:tr w:rsidR="009476D9" w:rsidRPr="009476D9" w14:paraId="1AB027BE" w14:textId="77777777" w:rsidTr="001035AF">
        <w:tc>
          <w:tcPr>
            <w:tcW w:w="0" w:type="auto"/>
            <w:hideMark/>
          </w:tcPr>
          <w:p w14:paraId="330F2BCC"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Bulk Density (g/cm³)</w:t>
            </w:r>
          </w:p>
        </w:tc>
        <w:tc>
          <w:tcPr>
            <w:tcW w:w="0" w:type="auto"/>
            <w:hideMark/>
          </w:tcPr>
          <w:p w14:paraId="680FF96A"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1.25 ± 0.05</w:t>
            </w:r>
          </w:p>
        </w:tc>
        <w:tc>
          <w:tcPr>
            <w:tcW w:w="0" w:type="auto"/>
            <w:hideMark/>
          </w:tcPr>
          <w:p w14:paraId="47E03C36"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1.32 ± 0.07</w:t>
            </w:r>
          </w:p>
        </w:tc>
        <w:tc>
          <w:tcPr>
            <w:tcW w:w="0" w:type="auto"/>
            <w:hideMark/>
          </w:tcPr>
          <w:p w14:paraId="0072C241"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&lt;1.3 (Ideal for root growth)</w:t>
            </w:r>
          </w:p>
        </w:tc>
        <w:tc>
          <w:tcPr>
            <w:tcW w:w="0" w:type="auto"/>
            <w:hideMark/>
          </w:tcPr>
          <w:p w14:paraId="4D92FAE6"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Moderate</w:t>
            </w:r>
          </w:p>
        </w:tc>
      </w:tr>
      <w:tr w:rsidR="009476D9" w:rsidRPr="009476D9" w14:paraId="6B1312C0" w14:textId="77777777" w:rsidTr="001035AF">
        <w:tc>
          <w:tcPr>
            <w:tcW w:w="0" w:type="auto"/>
            <w:hideMark/>
          </w:tcPr>
          <w:p w14:paraId="72F16F53"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Porosity (%)</w:t>
            </w:r>
          </w:p>
        </w:tc>
        <w:tc>
          <w:tcPr>
            <w:tcW w:w="0" w:type="auto"/>
            <w:hideMark/>
          </w:tcPr>
          <w:p w14:paraId="3348B20C"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47.2 ± 1.5</w:t>
            </w:r>
          </w:p>
        </w:tc>
        <w:tc>
          <w:tcPr>
            <w:tcW w:w="0" w:type="auto"/>
            <w:hideMark/>
          </w:tcPr>
          <w:p w14:paraId="06E3499C"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45.1 ± 1.7</w:t>
            </w:r>
          </w:p>
        </w:tc>
        <w:tc>
          <w:tcPr>
            <w:tcW w:w="0" w:type="auto"/>
            <w:hideMark/>
          </w:tcPr>
          <w:p w14:paraId="588B9194"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&gt;45%</w:t>
            </w:r>
          </w:p>
        </w:tc>
        <w:tc>
          <w:tcPr>
            <w:tcW w:w="0" w:type="auto"/>
            <w:hideMark/>
          </w:tcPr>
          <w:p w14:paraId="7D5CC589"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High</w:t>
            </w:r>
          </w:p>
        </w:tc>
      </w:tr>
      <w:tr w:rsidR="009476D9" w:rsidRPr="009476D9" w14:paraId="293E531D" w14:textId="77777777" w:rsidTr="001035AF">
        <w:tc>
          <w:tcPr>
            <w:tcW w:w="0" w:type="auto"/>
            <w:hideMark/>
          </w:tcPr>
          <w:p w14:paraId="55C344DD"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pH (H2O)</w:t>
            </w:r>
          </w:p>
        </w:tc>
        <w:tc>
          <w:tcPr>
            <w:tcW w:w="0" w:type="auto"/>
            <w:hideMark/>
          </w:tcPr>
          <w:p w14:paraId="3F35A887"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6.3 ± 0.2</w:t>
            </w:r>
          </w:p>
        </w:tc>
        <w:tc>
          <w:tcPr>
            <w:tcW w:w="0" w:type="auto"/>
            <w:hideMark/>
          </w:tcPr>
          <w:p w14:paraId="088F1F82"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6.1 ± 0.3</w:t>
            </w:r>
          </w:p>
        </w:tc>
        <w:tc>
          <w:tcPr>
            <w:tcW w:w="0" w:type="auto"/>
            <w:hideMark/>
          </w:tcPr>
          <w:p w14:paraId="75B8773E"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6–7 (Neutral)</w:t>
            </w:r>
          </w:p>
        </w:tc>
        <w:tc>
          <w:tcPr>
            <w:tcW w:w="0" w:type="auto"/>
            <w:hideMark/>
          </w:tcPr>
          <w:p w14:paraId="40C38E7E"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Neutral</w:t>
            </w:r>
          </w:p>
        </w:tc>
      </w:tr>
      <w:tr w:rsidR="009476D9" w:rsidRPr="009476D9" w14:paraId="756893AA" w14:textId="77777777" w:rsidTr="001035AF">
        <w:tc>
          <w:tcPr>
            <w:tcW w:w="0" w:type="auto"/>
            <w:hideMark/>
          </w:tcPr>
          <w:p w14:paraId="5707431F"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Organic Matter (%)</w:t>
            </w:r>
          </w:p>
        </w:tc>
        <w:tc>
          <w:tcPr>
            <w:tcW w:w="0" w:type="auto"/>
            <w:hideMark/>
          </w:tcPr>
          <w:p w14:paraId="4CA6CFF5"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2.4 ± 0.3</w:t>
            </w:r>
          </w:p>
        </w:tc>
        <w:tc>
          <w:tcPr>
            <w:tcW w:w="0" w:type="auto"/>
            <w:hideMark/>
          </w:tcPr>
          <w:p w14:paraId="3684BFB9"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2.1 ± 0.4</w:t>
            </w:r>
          </w:p>
        </w:tc>
        <w:tc>
          <w:tcPr>
            <w:tcW w:w="0" w:type="auto"/>
            <w:hideMark/>
          </w:tcPr>
          <w:p w14:paraId="1DBBEE42"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&gt;3% (Ideal for fertility)</w:t>
            </w:r>
          </w:p>
        </w:tc>
        <w:tc>
          <w:tcPr>
            <w:tcW w:w="0" w:type="auto"/>
            <w:hideMark/>
          </w:tcPr>
          <w:p w14:paraId="4DB0097B"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Low</w:t>
            </w:r>
          </w:p>
        </w:tc>
      </w:tr>
      <w:tr w:rsidR="009476D9" w:rsidRPr="009476D9" w14:paraId="514946FF" w14:textId="77777777" w:rsidTr="001035AF">
        <w:tc>
          <w:tcPr>
            <w:tcW w:w="0" w:type="auto"/>
            <w:hideMark/>
          </w:tcPr>
          <w:p w14:paraId="47F5D4BF"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Nitrogen (%)</w:t>
            </w:r>
          </w:p>
        </w:tc>
        <w:tc>
          <w:tcPr>
            <w:tcW w:w="0" w:type="auto"/>
            <w:hideMark/>
          </w:tcPr>
          <w:p w14:paraId="3CEF841F"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0.15 ± 0.02</w:t>
            </w:r>
          </w:p>
        </w:tc>
        <w:tc>
          <w:tcPr>
            <w:tcW w:w="0" w:type="auto"/>
            <w:hideMark/>
          </w:tcPr>
          <w:p w14:paraId="4BAC5FD8"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0.12 ± 0.02</w:t>
            </w:r>
          </w:p>
        </w:tc>
        <w:tc>
          <w:tcPr>
            <w:tcW w:w="0" w:type="auto"/>
            <w:hideMark/>
          </w:tcPr>
          <w:p w14:paraId="2EE5BF5B"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&gt;0.20%</w:t>
            </w:r>
          </w:p>
        </w:tc>
        <w:tc>
          <w:tcPr>
            <w:tcW w:w="0" w:type="auto"/>
            <w:hideMark/>
          </w:tcPr>
          <w:p w14:paraId="3EEAD063"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Low</w:t>
            </w:r>
          </w:p>
        </w:tc>
      </w:tr>
      <w:tr w:rsidR="009476D9" w:rsidRPr="009476D9" w14:paraId="5410AEA0" w14:textId="77777777" w:rsidTr="001035AF">
        <w:tc>
          <w:tcPr>
            <w:tcW w:w="0" w:type="auto"/>
            <w:hideMark/>
          </w:tcPr>
          <w:p w14:paraId="03358719"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Phosphorus (mg/kg)</w:t>
            </w:r>
          </w:p>
        </w:tc>
        <w:tc>
          <w:tcPr>
            <w:tcW w:w="0" w:type="auto"/>
            <w:hideMark/>
          </w:tcPr>
          <w:p w14:paraId="378C711F"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9.2 ± 1.1</w:t>
            </w:r>
          </w:p>
        </w:tc>
        <w:tc>
          <w:tcPr>
            <w:tcW w:w="0" w:type="auto"/>
            <w:hideMark/>
          </w:tcPr>
          <w:p w14:paraId="21DC7E18"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7.8 ± 1.3</w:t>
            </w:r>
          </w:p>
        </w:tc>
        <w:tc>
          <w:tcPr>
            <w:tcW w:w="0" w:type="auto"/>
            <w:hideMark/>
          </w:tcPr>
          <w:p w14:paraId="22DE224E"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&gt;15 mg/kg</w:t>
            </w:r>
          </w:p>
        </w:tc>
        <w:tc>
          <w:tcPr>
            <w:tcW w:w="0" w:type="auto"/>
            <w:hideMark/>
          </w:tcPr>
          <w:p w14:paraId="3ED6DE08"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Moderate</w:t>
            </w:r>
          </w:p>
        </w:tc>
      </w:tr>
      <w:tr w:rsidR="009476D9" w:rsidRPr="009476D9" w14:paraId="12756468" w14:textId="77777777" w:rsidTr="001035AF">
        <w:tc>
          <w:tcPr>
            <w:tcW w:w="0" w:type="auto"/>
            <w:hideMark/>
          </w:tcPr>
          <w:p w14:paraId="1F08022C"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Potassium (mg/kg)</w:t>
            </w:r>
          </w:p>
        </w:tc>
        <w:tc>
          <w:tcPr>
            <w:tcW w:w="0" w:type="auto"/>
            <w:hideMark/>
          </w:tcPr>
          <w:p w14:paraId="114827DB"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125 ± 10</w:t>
            </w:r>
          </w:p>
        </w:tc>
        <w:tc>
          <w:tcPr>
            <w:tcW w:w="0" w:type="auto"/>
            <w:hideMark/>
          </w:tcPr>
          <w:p w14:paraId="182DB62E"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110 ± 12</w:t>
            </w:r>
          </w:p>
        </w:tc>
        <w:tc>
          <w:tcPr>
            <w:tcW w:w="0" w:type="auto"/>
            <w:hideMark/>
          </w:tcPr>
          <w:p w14:paraId="2CB2D057"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&gt;150 mg/kg</w:t>
            </w:r>
          </w:p>
        </w:tc>
        <w:tc>
          <w:tcPr>
            <w:tcW w:w="0" w:type="auto"/>
            <w:hideMark/>
          </w:tcPr>
          <w:p w14:paraId="62EF53F9"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High</w:t>
            </w:r>
          </w:p>
        </w:tc>
      </w:tr>
      <w:tr w:rsidR="009476D9" w:rsidRPr="009476D9" w14:paraId="1FC38A19" w14:textId="77777777" w:rsidTr="001035AF">
        <w:tc>
          <w:tcPr>
            <w:tcW w:w="0" w:type="auto"/>
            <w:tcBorders>
              <w:bottom w:val="single" w:sz="4" w:space="0" w:color="auto"/>
            </w:tcBorders>
            <w:hideMark/>
          </w:tcPr>
          <w:p w14:paraId="3C99A14E" w14:textId="77777777" w:rsidR="00A36898" w:rsidRPr="009476D9" w:rsidRDefault="00A36898" w:rsidP="001035AF">
            <w:pPr>
              <w:spacing w:after="160" w:line="259" w:lineRule="auto"/>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Overall Soil Quality</w:t>
            </w:r>
          </w:p>
        </w:tc>
        <w:tc>
          <w:tcPr>
            <w:tcW w:w="0" w:type="auto"/>
            <w:tcBorders>
              <w:bottom w:val="single" w:sz="4" w:space="0" w:color="auto"/>
            </w:tcBorders>
            <w:hideMark/>
          </w:tcPr>
          <w:p w14:paraId="6CCDF7AA"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w:t>
            </w:r>
          </w:p>
        </w:tc>
        <w:tc>
          <w:tcPr>
            <w:tcW w:w="0" w:type="auto"/>
            <w:tcBorders>
              <w:bottom w:val="single" w:sz="4" w:space="0" w:color="auto"/>
            </w:tcBorders>
            <w:hideMark/>
          </w:tcPr>
          <w:p w14:paraId="34A315CA"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w:t>
            </w:r>
          </w:p>
        </w:tc>
        <w:tc>
          <w:tcPr>
            <w:tcW w:w="0" w:type="auto"/>
            <w:tcBorders>
              <w:bottom w:val="single" w:sz="4" w:space="0" w:color="auto"/>
            </w:tcBorders>
            <w:hideMark/>
          </w:tcPr>
          <w:p w14:paraId="6F87C8E9"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w:t>
            </w:r>
          </w:p>
        </w:tc>
        <w:tc>
          <w:tcPr>
            <w:tcW w:w="0" w:type="auto"/>
            <w:tcBorders>
              <w:bottom w:val="single" w:sz="4" w:space="0" w:color="auto"/>
            </w:tcBorders>
            <w:hideMark/>
          </w:tcPr>
          <w:p w14:paraId="47338D61" w14:textId="77777777" w:rsidR="00A36898" w:rsidRPr="009476D9" w:rsidRDefault="00A36898" w:rsidP="001035AF">
            <w:pPr>
              <w:spacing w:after="160" w:line="259" w:lineRule="auto"/>
              <w:jc w:val="center"/>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Moderate</w:t>
            </w:r>
          </w:p>
        </w:tc>
      </w:tr>
    </w:tbl>
    <w:p w14:paraId="3B60BAFA" w14:textId="665BE8AD" w:rsidR="00A36898" w:rsidRPr="009476D9" w:rsidRDefault="00A36898" w:rsidP="00E86FA5">
      <w:pPr>
        <w:jc w:val="both"/>
        <w:rPr>
          <w:rFonts w:ascii="Times New Roman" w:hAnsi="Times New Roman" w:cs="Times New Roman"/>
          <w:b/>
          <w:noProof/>
          <w:color w:val="000000" w:themeColor="text1"/>
          <w:sz w:val="24"/>
          <w:szCs w:val="24"/>
        </w:rPr>
      </w:pPr>
      <w:r w:rsidRPr="009476D9">
        <w:rPr>
          <w:rFonts w:ascii="Times New Roman" w:hAnsi="Times New Roman" w:cs="Times New Roman"/>
          <w:b/>
          <w:noProof/>
          <w:color w:val="000000" w:themeColor="text1"/>
          <w:sz w:val="24"/>
          <w:szCs w:val="24"/>
        </w:rPr>
        <w:t>Source: Field Survey, (2024)</w:t>
      </w:r>
    </w:p>
    <w:p w14:paraId="44A5EF4C" w14:textId="77777777" w:rsidR="006E1AD4" w:rsidRPr="009476D9" w:rsidRDefault="006E1AD4" w:rsidP="00E86FA5">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Critical relationship between physical and chemical attributes of the soil in the Afram Plains, as indicated by the correlation matrix is presented below. Porosity is directly proportional to sand where in case of increase in sand the soil’s capacity for holding air and water also increases (r value +1.00). However, sand has a (-1.00) value with respect to clay as observed in the movement between different components of a soil texture.</w:t>
      </w:r>
    </w:p>
    <w:p w14:paraId="28D7EA6A" w14:textId="14A8ADEF" w:rsidR="006E1AD4" w:rsidRPr="009476D9" w:rsidRDefault="00D57EB8" w:rsidP="006E1AD4">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Highly associated with the correlation matrix are the inter relationships of different attributes of the soil and their effects on the quality ratings of the soil. Sand content has a very high positive relationship with clay content as well as bulk density, thus high sand percentages increases compactness.” But it has a negative correlation with the porosity with the coefficient of determination of 0.9604, meaning high levels of sand inevitably lead to low water and air retention capacity of the soil, which is important to support high quality of the soil. Silt content, unlike sand and clay, has a negative but strongly negative relationship with sand (r = - 0.91) and clay (r = - 0.99) since silt works in balance with sand and clay in maintaining soil texture and moderately contributes to soil quality. Likewise for clay content high r = 0.974 with sand and r =- 0.994 with silt while affecting porosity with r = -0.93 and over all soil quality as rated low. Another physical property is bulk density which has a strong negative relationship with porosity (r = -0.91) and organic matter (r = -0.56); it was also found to have an adverse effect on rooting and aeration whenever raised. Organic matter shows strong positive correlation with nitrogen (r = 0.92) and phosphorus (r = 0.88) which indicates its importance regarding the fertility of the soils and in fact the soil even though its percentage contribution is very small. Nitrogen and phosphorus also have moderate positive relationship (r = 0.72), both contribute to the nutrient availability. Potassium shows low relationships with most of properties, however, good rating for soil quality since it is significant in plant growth. The analysis shows the significance of certain property characteristics that favor high-quality soil, such as porosity, potassium, and sand, while the lack of organic matter, nitrogen, and phosphorus seems to negatively affect the performance of the soil.</w:t>
      </w:r>
    </w:p>
    <w:p w14:paraId="7E48A65E" w14:textId="77777777" w:rsidR="006E1AD4" w:rsidRPr="009476D9" w:rsidRDefault="006E1AD4" w:rsidP="006E1AD4">
      <w:pPr>
        <w:jc w:val="both"/>
        <w:rPr>
          <w:rFonts w:ascii="Times New Roman" w:hAnsi="Times New Roman" w:cs="Times New Roman"/>
          <w:b/>
          <w:noProof/>
          <w:color w:val="000000" w:themeColor="text1"/>
          <w:sz w:val="24"/>
          <w:szCs w:val="24"/>
        </w:rPr>
      </w:pPr>
      <w:r w:rsidRPr="009476D9">
        <w:rPr>
          <w:rFonts w:ascii="Times New Roman" w:hAnsi="Times New Roman" w:cs="Times New Roman"/>
          <w:b/>
          <w:noProof/>
          <w:color w:val="000000" w:themeColor="text1"/>
          <w:sz w:val="24"/>
          <w:szCs w:val="24"/>
        </w:rPr>
        <w:t>Soil Quality Rating: Afram Plains Soil</w:t>
      </w:r>
    </w:p>
    <w:p w14:paraId="37005CBE" w14:textId="2D1C9F5D" w:rsidR="00A36898" w:rsidRPr="009476D9" w:rsidRDefault="00A36898" w:rsidP="00A36898">
      <w:pPr>
        <w:jc w:val="both"/>
        <w:rPr>
          <w:rFonts w:ascii="Times New Roman" w:hAnsi="Times New Roman" w:cs="Times New Roman"/>
          <w:b/>
          <w:noProof/>
          <w:color w:val="000000" w:themeColor="text1"/>
          <w:sz w:val="24"/>
          <w:szCs w:val="24"/>
        </w:rPr>
      </w:pPr>
      <w:r w:rsidRPr="009476D9">
        <w:rPr>
          <w:rFonts w:ascii="Times New Roman" w:hAnsi="Times New Roman" w:cs="Times New Roman"/>
          <w:b/>
          <w:noProof/>
          <w:color w:val="000000" w:themeColor="text1"/>
          <w:sz w:val="24"/>
          <w:szCs w:val="24"/>
        </w:rPr>
        <w:t xml:space="preserve">Table </w:t>
      </w:r>
      <w:r w:rsidR="00F95BD6" w:rsidRPr="009476D9">
        <w:rPr>
          <w:rFonts w:ascii="Times New Roman" w:hAnsi="Times New Roman" w:cs="Times New Roman"/>
          <w:b/>
          <w:noProof/>
          <w:color w:val="000000" w:themeColor="text1"/>
          <w:sz w:val="24"/>
          <w:szCs w:val="24"/>
        </w:rPr>
        <w:t>3</w:t>
      </w:r>
      <w:r w:rsidRPr="009476D9">
        <w:rPr>
          <w:rFonts w:ascii="Times New Roman" w:hAnsi="Times New Roman" w:cs="Times New Roman"/>
          <w:b/>
          <w:noProof/>
          <w:color w:val="000000" w:themeColor="text1"/>
          <w:sz w:val="24"/>
          <w:szCs w:val="24"/>
        </w:rPr>
        <w:t>: Correlation Matrix of Soil Properties and Their Impact on Soil Quality</w:t>
      </w:r>
    </w:p>
    <w:tbl>
      <w:tblPr>
        <w:tblStyle w:val="TableGrid"/>
        <w:tblW w:w="0" w:type="auto"/>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
        <w:gridCol w:w="561"/>
        <w:gridCol w:w="73"/>
        <w:gridCol w:w="825"/>
        <w:gridCol w:w="534"/>
        <w:gridCol w:w="825"/>
        <w:gridCol w:w="782"/>
        <w:gridCol w:w="693"/>
        <w:gridCol w:w="772"/>
        <w:gridCol w:w="817"/>
        <w:gridCol w:w="1020"/>
        <w:gridCol w:w="914"/>
        <w:gridCol w:w="825"/>
      </w:tblGrid>
      <w:tr w:rsidR="009476D9" w:rsidRPr="009476D9" w14:paraId="0FBA6E18" w14:textId="77777777" w:rsidTr="001035AF">
        <w:tc>
          <w:tcPr>
            <w:tcW w:w="0" w:type="auto"/>
            <w:tcBorders>
              <w:top w:val="single" w:sz="4" w:space="0" w:color="auto"/>
              <w:bottom w:val="single" w:sz="4" w:space="0" w:color="auto"/>
            </w:tcBorders>
            <w:hideMark/>
          </w:tcPr>
          <w:p w14:paraId="23F2AA42"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Soil Properties</w:t>
            </w:r>
          </w:p>
        </w:tc>
        <w:tc>
          <w:tcPr>
            <w:tcW w:w="634" w:type="dxa"/>
            <w:gridSpan w:val="2"/>
            <w:tcBorders>
              <w:top w:val="single" w:sz="4" w:space="0" w:color="auto"/>
              <w:bottom w:val="single" w:sz="4" w:space="0" w:color="auto"/>
            </w:tcBorders>
            <w:hideMark/>
          </w:tcPr>
          <w:p w14:paraId="2F7A7986"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Sand (%)</w:t>
            </w:r>
          </w:p>
        </w:tc>
        <w:tc>
          <w:tcPr>
            <w:tcW w:w="825" w:type="dxa"/>
            <w:tcBorders>
              <w:top w:val="single" w:sz="4" w:space="0" w:color="auto"/>
              <w:bottom w:val="single" w:sz="4" w:space="0" w:color="auto"/>
            </w:tcBorders>
            <w:hideMark/>
          </w:tcPr>
          <w:p w14:paraId="0894D177"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Silt (%)</w:t>
            </w:r>
          </w:p>
        </w:tc>
        <w:tc>
          <w:tcPr>
            <w:tcW w:w="676" w:type="dxa"/>
            <w:tcBorders>
              <w:top w:val="single" w:sz="4" w:space="0" w:color="auto"/>
              <w:bottom w:val="single" w:sz="4" w:space="0" w:color="auto"/>
            </w:tcBorders>
            <w:hideMark/>
          </w:tcPr>
          <w:p w14:paraId="50347628"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Clay (%)</w:t>
            </w:r>
          </w:p>
        </w:tc>
        <w:tc>
          <w:tcPr>
            <w:tcW w:w="683" w:type="dxa"/>
            <w:tcBorders>
              <w:top w:val="single" w:sz="4" w:space="0" w:color="auto"/>
              <w:bottom w:val="single" w:sz="4" w:space="0" w:color="auto"/>
            </w:tcBorders>
            <w:hideMark/>
          </w:tcPr>
          <w:p w14:paraId="07A5B1A7"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Bulk Density (g/cm³)</w:t>
            </w:r>
          </w:p>
        </w:tc>
        <w:tc>
          <w:tcPr>
            <w:tcW w:w="0" w:type="auto"/>
            <w:tcBorders>
              <w:top w:val="single" w:sz="4" w:space="0" w:color="auto"/>
              <w:bottom w:val="single" w:sz="4" w:space="0" w:color="auto"/>
            </w:tcBorders>
            <w:hideMark/>
          </w:tcPr>
          <w:p w14:paraId="7A9D1454"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Porosity (%)</w:t>
            </w:r>
          </w:p>
        </w:tc>
        <w:tc>
          <w:tcPr>
            <w:tcW w:w="0" w:type="auto"/>
            <w:tcBorders>
              <w:top w:val="single" w:sz="4" w:space="0" w:color="auto"/>
              <w:bottom w:val="single" w:sz="4" w:space="0" w:color="auto"/>
            </w:tcBorders>
            <w:hideMark/>
          </w:tcPr>
          <w:p w14:paraId="7721D159"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pH (H2O)</w:t>
            </w:r>
          </w:p>
        </w:tc>
        <w:tc>
          <w:tcPr>
            <w:tcW w:w="0" w:type="auto"/>
            <w:tcBorders>
              <w:top w:val="single" w:sz="4" w:space="0" w:color="auto"/>
              <w:bottom w:val="single" w:sz="4" w:space="0" w:color="auto"/>
            </w:tcBorders>
            <w:hideMark/>
          </w:tcPr>
          <w:p w14:paraId="676946D4"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Organic Matter (%)</w:t>
            </w:r>
          </w:p>
        </w:tc>
        <w:tc>
          <w:tcPr>
            <w:tcW w:w="0" w:type="auto"/>
            <w:tcBorders>
              <w:top w:val="single" w:sz="4" w:space="0" w:color="auto"/>
              <w:bottom w:val="single" w:sz="4" w:space="0" w:color="auto"/>
            </w:tcBorders>
            <w:hideMark/>
          </w:tcPr>
          <w:p w14:paraId="4CCF2AD3"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Nitrogen (%)</w:t>
            </w:r>
          </w:p>
        </w:tc>
        <w:tc>
          <w:tcPr>
            <w:tcW w:w="0" w:type="auto"/>
            <w:tcBorders>
              <w:top w:val="single" w:sz="4" w:space="0" w:color="auto"/>
              <w:bottom w:val="single" w:sz="4" w:space="0" w:color="auto"/>
            </w:tcBorders>
            <w:hideMark/>
          </w:tcPr>
          <w:p w14:paraId="42AACB80"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Phosphorus (mg/kg)</w:t>
            </w:r>
          </w:p>
        </w:tc>
        <w:tc>
          <w:tcPr>
            <w:tcW w:w="0" w:type="auto"/>
            <w:tcBorders>
              <w:top w:val="single" w:sz="4" w:space="0" w:color="auto"/>
              <w:bottom w:val="single" w:sz="4" w:space="0" w:color="auto"/>
            </w:tcBorders>
            <w:hideMark/>
          </w:tcPr>
          <w:p w14:paraId="2D4DC817"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Potassium (mg/kg)</w:t>
            </w:r>
          </w:p>
        </w:tc>
        <w:tc>
          <w:tcPr>
            <w:tcW w:w="825" w:type="dxa"/>
            <w:tcBorders>
              <w:top w:val="single" w:sz="4" w:space="0" w:color="auto"/>
              <w:bottom w:val="single" w:sz="4" w:space="0" w:color="auto"/>
            </w:tcBorders>
            <w:hideMark/>
          </w:tcPr>
          <w:p w14:paraId="1C01E4FD" w14:textId="77777777" w:rsidR="00A36898" w:rsidRPr="009476D9" w:rsidRDefault="00A36898" w:rsidP="001035AF">
            <w:pPr>
              <w:jc w:val="center"/>
              <w:rPr>
                <w:rFonts w:ascii="Times New Roman" w:eastAsia="Times New Roman" w:hAnsi="Times New Roman" w:cs="Times New Roman"/>
                <w:b/>
                <w:bCs/>
                <w:color w:val="000000" w:themeColor="text1"/>
                <w:sz w:val="24"/>
                <w:szCs w:val="24"/>
              </w:rPr>
            </w:pPr>
            <w:r w:rsidRPr="009476D9">
              <w:rPr>
                <w:rFonts w:ascii="Times New Roman" w:eastAsia="Times New Roman" w:hAnsi="Times New Roman" w:cs="Times New Roman"/>
                <w:b/>
                <w:bCs/>
                <w:color w:val="000000" w:themeColor="text1"/>
                <w:sz w:val="24"/>
                <w:szCs w:val="24"/>
              </w:rPr>
              <w:t>Soil Quality Rating</w:t>
            </w:r>
          </w:p>
        </w:tc>
      </w:tr>
      <w:tr w:rsidR="009476D9" w:rsidRPr="009476D9" w14:paraId="13B6A0DB" w14:textId="77777777" w:rsidTr="001035AF">
        <w:tc>
          <w:tcPr>
            <w:tcW w:w="0" w:type="auto"/>
            <w:tcBorders>
              <w:top w:val="single" w:sz="4" w:space="0" w:color="auto"/>
            </w:tcBorders>
            <w:hideMark/>
          </w:tcPr>
          <w:p w14:paraId="7E1E3A5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Sand (%)</w:t>
            </w:r>
          </w:p>
        </w:tc>
        <w:tc>
          <w:tcPr>
            <w:tcW w:w="0" w:type="auto"/>
            <w:tcBorders>
              <w:top w:val="single" w:sz="4" w:space="0" w:color="auto"/>
            </w:tcBorders>
            <w:hideMark/>
          </w:tcPr>
          <w:p w14:paraId="68B0776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gridSpan w:val="2"/>
            <w:tcBorders>
              <w:top w:val="single" w:sz="4" w:space="0" w:color="auto"/>
            </w:tcBorders>
            <w:hideMark/>
          </w:tcPr>
          <w:p w14:paraId="54E201B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-0.91</w:t>
            </w:r>
          </w:p>
        </w:tc>
        <w:tc>
          <w:tcPr>
            <w:tcW w:w="676" w:type="dxa"/>
            <w:tcBorders>
              <w:top w:val="single" w:sz="4" w:space="0" w:color="auto"/>
            </w:tcBorders>
            <w:hideMark/>
          </w:tcPr>
          <w:p w14:paraId="7D67912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0.97</w:t>
            </w:r>
          </w:p>
        </w:tc>
        <w:tc>
          <w:tcPr>
            <w:tcW w:w="683" w:type="dxa"/>
            <w:tcBorders>
              <w:top w:val="single" w:sz="4" w:space="0" w:color="auto"/>
            </w:tcBorders>
            <w:hideMark/>
          </w:tcPr>
          <w:p w14:paraId="09388BAB"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0.83</w:t>
            </w:r>
          </w:p>
        </w:tc>
        <w:tc>
          <w:tcPr>
            <w:tcW w:w="0" w:type="auto"/>
            <w:tcBorders>
              <w:top w:val="single" w:sz="4" w:space="0" w:color="auto"/>
            </w:tcBorders>
            <w:hideMark/>
          </w:tcPr>
          <w:p w14:paraId="5952D465"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-0.98</w:t>
            </w:r>
          </w:p>
        </w:tc>
        <w:tc>
          <w:tcPr>
            <w:tcW w:w="0" w:type="auto"/>
            <w:tcBorders>
              <w:top w:val="single" w:sz="4" w:space="0" w:color="auto"/>
            </w:tcBorders>
            <w:hideMark/>
          </w:tcPr>
          <w:p w14:paraId="59AB062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0.15</w:t>
            </w:r>
          </w:p>
        </w:tc>
        <w:tc>
          <w:tcPr>
            <w:tcW w:w="0" w:type="auto"/>
            <w:tcBorders>
              <w:top w:val="single" w:sz="4" w:space="0" w:color="auto"/>
            </w:tcBorders>
            <w:hideMark/>
          </w:tcPr>
          <w:p w14:paraId="1117C96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-0.74</w:t>
            </w:r>
          </w:p>
        </w:tc>
        <w:tc>
          <w:tcPr>
            <w:tcW w:w="0" w:type="auto"/>
            <w:tcBorders>
              <w:top w:val="single" w:sz="4" w:space="0" w:color="auto"/>
            </w:tcBorders>
            <w:hideMark/>
          </w:tcPr>
          <w:p w14:paraId="5895657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-0.38</w:t>
            </w:r>
          </w:p>
        </w:tc>
        <w:tc>
          <w:tcPr>
            <w:tcW w:w="0" w:type="auto"/>
            <w:tcBorders>
              <w:top w:val="single" w:sz="4" w:space="0" w:color="auto"/>
            </w:tcBorders>
            <w:hideMark/>
          </w:tcPr>
          <w:p w14:paraId="7661FD7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-0.63</w:t>
            </w:r>
          </w:p>
        </w:tc>
        <w:tc>
          <w:tcPr>
            <w:tcW w:w="0" w:type="auto"/>
            <w:tcBorders>
              <w:top w:val="single" w:sz="4" w:space="0" w:color="auto"/>
            </w:tcBorders>
            <w:hideMark/>
          </w:tcPr>
          <w:p w14:paraId="28458E6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0.32</w:t>
            </w:r>
          </w:p>
        </w:tc>
        <w:tc>
          <w:tcPr>
            <w:tcW w:w="825" w:type="dxa"/>
            <w:tcBorders>
              <w:top w:val="single" w:sz="4" w:space="0" w:color="auto"/>
            </w:tcBorders>
            <w:hideMark/>
          </w:tcPr>
          <w:p w14:paraId="0F74ED0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r>
      <w:tr w:rsidR="009476D9" w:rsidRPr="009476D9" w14:paraId="2054E20F" w14:textId="77777777" w:rsidTr="001035AF">
        <w:tc>
          <w:tcPr>
            <w:tcW w:w="0" w:type="auto"/>
            <w:hideMark/>
          </w:tcPr>
          <w:p w14:paraId="6045AD9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Silt (%)</w:t>
            </w:r>
          </w:p>
        </w:tc>
        <w:tc>
          <w:tcPr>
            <w:tcW w:w="0" w:type="auto"/>
            <w:hideMark/>
          </w:tcPr>
          <w:p w14:paraId="6C20CD3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-0.91</w:t>
            </w:r>
          </w:p>
        </w:tc>
        <w:tc>
          <w:tcPr>
            <w:tcW w:w="0" w:type="auto"/>
            <w:gridSpan w:val="2"/>
            <w:hideMark/>
          </w:tcPr>
          <w:p w14:paraId="416CED7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676" w:type="dxa"/>
            <w:hideMark/>
          </w:tcPr>
          <w:p w14:paraId="0ADF33F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-0.99</w:t>
            </w:r>
          </w:p>
        </w:tc>
        <w:tc>
          <w:tcPr>
            <w:tcW w:w="683" w:type="dxa"/>
            <w:hideMark/>
          </w:tcPr>
          <w:p w14:paraId="2FD971F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-0.80</w:t>
            </w:r>
          </w:p>
        </w:tc>
        <w:tc>
          <w:tcPr>
            <w:tcW w:w="0" w:type="auto"/>
            <w:hideMark/>
          </w:tcPr>
          <w:p w14:paraId="43F68F9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0.95</w:t>
            </w:r>
          </w:p>
        </w:tc>
        <w:tc>
          <w:tcPr>
            <w:tcW w:w="0" w:type="auto"/>
            <w:hideMark/>
          </w:tcPr>
          <w:p w14:paraId="64EE57E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-0.11</w:t>
            </w:r>
          </w:p>
        </w:tc>
        <w:tc>
          <w:tcPr>
            <w:tcW w:w="0" w:type="auto"/>
            <w:hideMark/>
          </w:tcPr>
          <w:p w14:paraId="26B056C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0.68</w:t>
            </w:r>
          </w:p>
        </w:tc>
        <w:tc>
          <w:tcPr>
            <w:tcW w:w="0" w:type="auto"/>
            <w:hideMark/>
          </w:tcPr>
          <w:p w14:paraId="55FCBEF1"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0.33</w:t>
            </w:r>
          </w:p>
        </w:tc>
        <w:tc>
          <w:tcPr>
            <w:tcW w:w="0" w:type="auto"/>
            <w:hideMark/>
          </w:tcPr>
          <w:p w14:paraId="5C36106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0.57</w:t>
            </w:r>
          </w:p>
        </w:tc>
        <w:tc>
          <w:tcPr>
            <w:tcW w:w="0" w:type="auto"/>
            <w:hideMark/>
          </w:tcPr>
          <w:p w14:paraId="2120D62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-0.36</w:t>
            </w:r>
          </w:p>
        </w:tc>
        <w:tc>
          <w:tcPr>
            <w:tcW w:w="825" w:type="dxa"/>
            <w:hideMark/>
          </w:tcPr>
          <w:p w14:paraId="03C4649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r>
      <w:tr w:rsidR="009476D9" w:rsidRPr="009476D9" w14:paraId="765D8F88" w14:textId="77777777" w:rsidTr="001035AF">
        <w:tc>
          <w:tcPr>
            <w:tcW w:w="0" w:type="auto"/>
            <w:hideMark/>
          </w:tcPr>
          <w:p w14:paraId="7371190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Clay (%)</w:t>
            </w:r>
          </w:p>
        </w:tc>
        <w:tc>
          <w:tcPr>
            <w:tcW w:w="0" w:type="auto"/>
            <w:hideMark/>
          </w:tcPr>
          <w:p w14:paraId="54DB5CD1"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0.97</w:t>
            </w:r>
          </w:p>
        </w:tc>
        <w:tc>
          <w:tcPr>
            <w:tcW w:w="0" w:type="auto"/>
            <w:gridSpan w:val="2"/>
            <w:hideMark/>
          </w:tcPr>
          <w:p w14:paraId="7E84AE3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-0.99</w:t>
            </w:r>
          </w:p>
        </w:tc>
        <w:tc>
          <w:tcPr>
            <w:tcW w:w="676" w:type="dxa"/>
            <w:hideMark/>
          </w:tcPr>
          <w:p w14:paraId="431D651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683" w:type="dxa"/>
            <w:hideMark/>
          </w:tcPr>
          <w:p w14:paraId="59BB811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0.79</w:t>
            </w:r>
          </w:p>
        </w:tc>
        <w:tc>
          <w:tcPr>
            <w:tcW w:w="0" w:type="auto"/>
            <w:hideMark/>
          </w:tcPr>
          <w:p w14:paraId="09550F01"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-0.93</w:t>
            </w:r>
          </w:p>
        </w:tc>
        <w:tc>
          <w:tcPr>
            <w:tcW w:w="0" w:type="auto"/>
            <w:hideMark/>
          </w:tcPr>
          <w:p w14:paraId="1F2D483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-0.10</w:t>
            </w:r>
          </w:p>
        </w:tc>
        <w:tc>
          <w:tcPr>
            <w:tcW w:w="0" w:type="auto"/>
            <w:hideMark/>
          </w:tcPr>
          <w:p w14:paraId="27376DC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-0.69</w:t>
            </w:r>
          </w:p>
        </w:tc>
        <w:tc>
          <w:tcPr>
            <w:tcW w:w="0" w:type="auto"/>
            <w:hideMark/>
          </w:tcPr>
          <w:p w14:paraId="147BF77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-0.33</w:t>
            </w:r>
          </w:p>
        </w:tc>
        <w:tc>
          <w:tcPr>
            <w:tcW w:w="0" w:type="auto"/>
            <w:hideMark/>
          </w:tcPr>
          <w:p w14:paraId="72D1473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-0.57</w:t>
            </w:r>
          </w:p>
        </w:tc>
        <w:tc>
          <w:tcPr>
            <w:tcW w:w="0" w:type="auto"/>
            <w:hideMark/>
          </w:tcPr>
          <w:p w14:paraId="61A6625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0.34</w:t>
            </w:r>
          </w:p>
        </w:tc>
        <w:tc>
          <w:tcPr>
            <w:tcW w:w="825" w:type="dxa"/>
            <w:hideMark/>
          </w:tcPr>
          <w:p w14:paraId="4717C7E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r>
      <w:tr w:rsidR="009476D9" w:rsidRPr="009476D9" w14:paraId="3CC53C08" w14:textId="77777777" w:rsidTr="001035AF">
        <w:tc>
          <w:tcPr>
            <w:tcW w:w="0" w:type="auto"/>
            <w:hideMark/>
          </w:tcPr>
          <w:p w14:paraId="7E585CB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Bulk Density (g/cm³)</w:t>
            </w:r>
          </w:p>
        </w:tc>
        <w:tc>
          <w:tcPr>
            <w:tcW w:w="0" w:type="auto"/>
            <w:hideMark/>
          </w:tcPr>
          <w:p w14:paraId="1EE9287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0.83</w:t>
            </w:r>
          </w:p>
        </w:tc>
        <w:tc>
          <w:tcPr>
            <w:tcW w:w="0" w:type="auto"/>
            <w:gridSpan w:val="2"/>
            <w:hideMark/>
          </w:tcPr>
          <w:p w14:paraId="71C1B37E"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-0.80</w:t>
            </w:r>
          </w:p>
        </w:tc>
        <w:tc>
          <w:tcPr>
            <w:tcW w:w="676" w:type="dxa"/>
            <w:hideMark/>
          </w:tcPr>
          <w:p w14:paraId="2F0FE24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0.79</w:t>
            </w:r>
          </w:p>
        </w:tc>
        <w:tc>
          <w:tcPr>
            <w:tcW w:w="683" w:type="dxa"/>
            <w:hideMark/>
          </w:tcPr>
          <w:p w14:paraId="0F69BC2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6663FAA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-0.91</w:t>
            </w:r>
          </w:p>
        </w:tc>
        <w:tc>
          <w:tcPr>
            <w:tcW w:w="0" w:type="auto"/>
            <w:hideMark/>
          </w:tcPr>
          <w:p w14:paraId="24930A3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-0.12</w:t>
            </w:r>
          </w:p>
        </w:tc>
        <w:tc>
          <w:tcPr>
            <w:tcW w:w="0" w:type="auto"/>
            <w:hideMark/>
          </w:tcPr>
          <w:p w14:paraId="37FBD95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-0.56</w:t>
            </w:r>
          </w:p>
        </w:tc>
        <w:tc>
          <w:tcPr>
            <w:tcW w:w="0" w:type="auto"/>
            <w:hideMark/>
          </w:tcPr>
          <w:p w14:paraId="53CEA88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-0.26</w:t>
            </w:r>
          </w:p>
        </w:tc>
        <w:tc>
          <w:tcPr>
            <w:tcW w:w="0" w:type="auto"/>
            <w:hideMark/>
          </w:tcPr>
          <w:p w14:paraId="3A23A0B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-0.49</w:t>
            </w:r>
          </w:p>
        </w:tc>
        <w:tc>
          <w:tcPr>
            <w:tcW w:w="0" w:type="auto"/>
            <w:hideMark/>
          </w:tcPr>
          <w:p w14:paraId="03D9D21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0.27</w:t>
            </w:r>
          </w:p>
        </w:tc>
        <w:tc>
          <w:tcPr>
            <w:tcW w:w="825" w:type="dxa"/>
            <w:hideMark/>
          </w:tcPr>
          <w:p w14:paraId="565CAF7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r>
      <w:tr w:rsidR="009476D9" w:rsidRPr="009476D9" w14:paraId="1EC5296F" w14:textId="77777777" w:rsidTr="001035AF">
        <w:tc>
          <w:tcPr>
            <w:tcW w:w="0" w:type="auto"/>
            <w:hideMark/>
          </w:tcPr>
          <w:p w14:paraId="759CCEC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Porosity (%)</w:t>
            </w:r>
          </w:p>
        </w:tc>
        <w:tc>
          <w:tcPr>
            <w:tcW w:w="0" w:type="auto"/>
            <w:hideMark/>
          </w:tcPr>
          <w:p w14:paraId="1BB59A4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-0.98</w:t>
            </w:r>
          </w:p>
        </w:tc>
        <w:tc>
          <w:tcPr>
            <w:tcW w:w="0" w:type="auto"/>
            <w:gridSpan w:val="2"/>
            <w:hideMark/>
          </w:tcPr>
          <w:p w14:paraId="20EBBA75"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0.95</w:t>
            </w:r>
          </w:p>
        </w:tc>
        <w:tc>
          <w:tcPr>
            <w:tcW w:w="676" w:type="dxa"/>
            <w:hideMark/>
          </w:tcPr>
          <w:p w14:paraId="0E5CE43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-0.93</w:t>
            </w:r>
          </w:p>
        </w:tc>
        <w:tc>
          <w:tcPr>
            <w:tcW w:w="683" w:type="dxa"/>
            <w:hideMark/>
          </w:tcPr>
          <w:p w14:paraId="1CACA17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-0.91</w:t>
            </w:r>
          </w:p>
        </w:tc>
        <w:tc>
          <w:tcPr>
            <w:tcW w:w="0" w:type="auto"/>
            <w:hideMark/>
          </w:tcPr>
          <w:p w14:paraId="25BA6F7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7C5365B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0.06</w:t>
            </w:r>
          </w:p>
        </w:tc>
        <w:tc>
          <w:tcPr>
            <w:tcW w:w="0" w:type="auto"/>
            <w:hideMark/>
          </w:tcPr>
          <w:p w14:paraId="2672523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0.45</w:t>
            </w:r>
          </w:p>
        </w:tc>
        <w:tc>
          <w:tcPr>
            <w:tcW w:w="0" w:type="auto"/>
            <w:hideMark/>
          </w:tcPr>
          <w:p w14:paraId="0AC8999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0.23</w:t>
            </w:r>
          </w:p>
        </w:tc>
        <w:tc>
          <w:tcPr>
            <w:tcW w:w="0" w:type="auto"/>
            <w:hideMark/>
          </w:tcPr>
          <w:p w14:paraId="4CB903A1"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0.52</w:t>
            </w:r>
          </w:p>
        </w:tc>
        <w:tc>
          <w:tcPr>
            <w:tcW w:w="0" w:type="auto"/>
            <w:hideMark/>
          </w:tcPr>
          <w:p w14:paraId="70CD262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-0.30</w:t>
            </w:r>
          </w:p>
        </w:tc>
        <w:tc>
          <w:tcPr>
            <w:tcW w:w="825" w:type="dxa"/>
            <w:hideMark/>
          </w:tcPr>
          <w:p w14:paraId="093DB13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r>
      <w:tr w:rsidR="009476D9" w:rsidRPr="009476D9" w14:paraId="75C767AF" w14:textId="77777777" w:rsidTr="001035AF">
        <w:tc>
          <w:tcPr>
            <w:tcW w:w="0" w:type="auto"/>
            <w:hideMark/>
          </w:tcPr>
          <w:p w14:paraId="0CD34A9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pH (H2O)</w:t>
            </w:r>
          </w:p>
        </w:tc>
        <w:tc>
          <w:tcPr>
            <w:tcW w:w="0" w:type="auto"/>
            <w:hideMark/>
          </w:tcPr>
          <w:p w14:paraId="20E220D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0.15</w:t>
            </w:r>
          </w:p>
        </w:tc>
        <w:tc>
          <w:tcPr>
            <w:tcW w:w="0" w:type="auto"/>
            <w:gridSpan w:val="2"/>
            <w:hideMark/>
          </w:tcPr>
          <w:p w14:paraId="1E1357C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-0.11</w:t>
            </w:r>
          </w:p>
        </w:tc>
        <w:tc>
          <w:tcPr>
            <w:tcW w:w="676" w:type="dxa"/>
            <w:hideMark/>
          </w:tcPr>
          <w:p w14:paraId="671AA46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-0.10</w:t>
            </w:r>
          </w:p>
        </w:tc>
        <w:tc>
          <w:tcPr>
            <w:tcW w:w="683" w:type="dxa"/>
            <w:hideMark/>
          </w:tcPr>
          <w:p w14:paraId="04214DE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-0.12</w:t>
            </w:r>
          </w:p>
        </w:tc>
        <w:tc>
          <w:tcPr>
            <w:tcW w:w="0" w:type="auto"/>
            <w:hideMark/>
          </w:tcPr>
          <w:p w14:paraId="0CB7160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0.06</w:t>
            </w:r>
          </w:p>
        </w:tc>
        <w:tc>
          <w:tcPr>
            <w:tcW w:w="0" w:type="auto"/>
            <w:hideMark/>
          </w:tcPr>
          <w:p w14:paraId="66D5B6D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2FD4CA0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-0.75</w:t>
            </w:r>
          </w:p>
        </w:tc>
        <w:tc>
          <w:tcPr>
            <w:tcW w:w="0" w:type="auto"/>
            <w:hideMark/>
          </w:tcPr>
          <w:p w14:paraId="11561EB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-0.20</w:t>
            </w:r>
          </w:p>
        </w:tc>
        <w:tc>
          <w:tcPr>
            <w:tcW w:w="0" w:type="auto"/>
            <w:hideMark/>
          </w:tcPr>
          <w:p w14:paraId="2FE44B1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-0.48</w:t>
            </w:r>
          </w:p>
        </w:tc>
        <w:tc>
          <w:tcPr>
            <w:tcW w:w="0" w:type="auto"/>
            <w:hideMark/>
          </w:tcPr>
          <w:p w14:paraId="64215C3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0.29</w:t>
            </w:r>
          </w:p>
        </w:tc>
        <w:tc>
          <w:tcPr>
            <w:tcW w:w="825" w:type="dxa"/>
            <w:hideMark/>
          </w:tcPr>
          <w:p w14:paraId="6EDB7FE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Neutral</w:t>
            </w:r>
          </w:p>
        </w:tc>
      </w:tr>
      <w:tr w:rsidR="009476D9" w:rsidRPr="009476D9" w14:paraId="45EC6188" w14:textId="77777777" w:rsidTr="001035AF">
        <w:tc>
          <w:tcPr>
            <w:tcW w:w="0" w:type="auto"/>
            <w:hideMark/>
          </w:tcPr>
          <w:p w14:paraId="7DE1949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Organic Matter (%)</w:t>
            </w:r>
          </w:p>
        </w:tc>
        <w:tc>
          <w:tcPr>
            <w:tcW w:w="0" w:type="auto"/>
            <w:hideMark/>
          </w:tcPr>
          <w:p w14:paraId="520E53F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-0.74</w:t>
            </w:r>
          </w:p>
        </w:tc>
        <w:tc>
          <w:tcPr>
            <w:tcW w:w="0" w:type="auto"/>
            <w:gridSpan w:val="2"/>
            <w:hideMark/>
          </w:tcPr>
          <w:p w14:paraId="0AB85FB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0.68</w:t>
            </w:r>
          </w:p>
        </w:tc>
        <w:tc>
          <w:tcPr>
            <w:tcW w:w="676" w:type="dxa"/>
            <w:hideMark/>
          </w:tcPr>
          <w:p w14:paraId="5E3B897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-0.69</w:t>
            </w:r>
          </w:p>
        </w:tc>
        <w:tc>
          <w:tcPr>
            <w:tcW w:w="683" w:type="dxa"/>
            <w:hideMark/>
          </w:tcPr>
          <w:p w14:paraId="2D14E88E"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-0.56</w:t>
            </w:r>
          </w:p>
        </w:tc>
        <w:tc>
          <w:tcPr>
            <w:tcW w:w="0" w:type="auto"/>
            <w:hideMark/>
          </w:tcPr>
          <w:p w14:paraId="162A5905"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0.45</w:t>
            </w:r>
          </w:p>
        </w:tc>
        <w:tc>
          <w:tcPr>
            <w:tcW w:w="0" w:type="auto"/>
            <w:hideMark/>
          </w:tcPr>
          <w:p w14:paraId="71A5C89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-0.75</w:t>
            </w:r>
          </w:p>
        </w:tc>
        <w:tc>
          <w:tcPr>
            <w:tcW w:w="0" w:type="auto"/>
            <w:hideMark/>
          </w:tcPr>
          <w:p w14:paraId="000D366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15ECD67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0.92</w:t>
            </w:r>
          </w:p>
        </w:tc>
        <w:tc>
          <w:tcPr>
            <w:tcW w:w="0" w:type="auto"/>
            <w:hideMark/>
          </w:tcPr>
          <w:p w14:paraId="39ECBD9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0.88</w:t>
            </w:r>
          </w:p>
        </w:tc>
        <w:tc>
          <w:tcPr>
            <w:tcW w:w="0" w:type="auto"/>
            <w:hideMark/>
          </w:tcPr>
          <w:p w14:paraId="4A333FD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-0.14</w:t>
            </w:r>
          </w:p>
        </w:tc>
        <w:tc>
          <w:tcPr>
            <w:tcW w:w="825" w:type="dxa"/>
            <w:hideMark/>
          </w:tcPr>
          <w:p w14:paraId="2B2502E2"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r>
      <w:tr w:rsidR="009476D9" w:rsidRPr="009476D9" w14:paraId="071FB774" w14:textId="77777777" w:rsidTr="001035AF">
        <w:tc>
          <w:tcPr>
            <w:tcW w:w="0" w:type="auto"/>
            <w:hideMark/>
          </w:tcPr>
          <w:p w14:paraId="1866788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Nitrogen (%)</w:t>
            </w:r>
          </w:p>
        </w:tc>
        <w:tc>
          <w:tcPr>
            <w:tcW w:w="0" w:type="auto"/>
            <w:hideMark/>
          </w:tcPr>
          <w:p w14:paraId="2E2B5A0B"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-0.38</w:t>
            </w:r>
          </w:p>
        </w:tc>
        <w:tc>
          <w:tcPr>
            <w:tcW w:w="0" w:type="auto"/>
            <w:gridSpan w:val="2"/>
            <w:hideMark/>
          </w:tcPr>
          <w:p w14:paraId="502A20E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0.33</w:t>
            </w:r>
          </w:p>
        </w:tc>
        <w:tc>
          <w:tcPr>
            <w:tcW w:w="676" w:type="dxa"/>
            <w:hideMark/>
          </w:tcPr>
          <w:p w14:paraId="7B3D0DA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-0.33</w:t>
            </w:r>
          </w:p>
        </w:tc>
        <w:tc>
          <w:tcPr>
            <w:tcW w:w="683" w:type="dxa"/>
            <w:hideMark/>
          </w:tcPr>
          <w:p w14:paraId="7041309B"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-0.26</w:t>
            </w:r>
          </w:p>
        </w:tc>
        <w:tc>
          <w:tcPr>
            <w:tcW w:w="0" w:type="auto"/>
            <w:hideMark/>
          </w:tcPr>
          <w:p w14:paraId="0FF2970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0.23</w:t>
            </w:r>
          </w:p>
        </w:tc>
        <w:tc>
          <w:tcPr>
            <w:tcW w:w="0" w:type="auto"/>
            <w:hideMark/>
          </w:tcPr>
          <w:p w14:paraId="6898D6F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-0.20</w:t>
            </w:r>
          </w:p>
        </w:tc>
        <w:tc>
          <w:tcPr>
            <w:tcW w:w="0" w:type="auto"/>
            <w:hideMark/>
          </w:tcPr>
          <w:p w14:paraId="4A7B790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0.92</w:t>
            </w:r>
          </w:p>
        </w:tc>
        <w:tc>
          <w:tcPr>
            <w:tcW w:w="0" w:type="auto"/>
            <w:hideMark/>
          </w:tcPr>
          <w:p w14:paraId="7DDEDD5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69DDCCE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0.72</w:t>
            </w:r>
          </w:p>
        </w:tc>
        <w:tc>
          <w:tcPr>
            <w:tcW w:w="0" w:type="auto"/>
            <w:hideMark/>
          </w:tcPr>
          <w:p w14:paraId="7D0AE7F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-0.10</w:t>
            </w:r>
          </w:p>
        </w:tc>
        <w:tc>
          <w:tcPr>
            <w:tcW w:w="825" w:type="dxa"/>
            <w:hideMark/>
          </w:tcPr>
          <w:p w14:paraId="267239C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r>
      <w:tr w:rsidR="009476D9" w:rsidRPr="009476D9" w14:paraId="2E4795DB" w14:textId="77777777" w:rsidTr="001035AF">
        <w:tc>
          <w:tcPr>
            <w:tcW w:w="0" w:type="auto"/>
            <w:hideMark/>
          </w:tcPr>
          <w:p w14:paraId="66CD920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Phosphorus (mg/kg)</w:t>
            </w:r>
          </w:p>
        </w:tc>
        <w:tc>
          <w:tcPr>
            <w:tcW w:w="0" w:type="auto"/>
            <w:hideMark/>
          </w:tcPr>
          <w:p w14:paraId="77686C9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-0.63</w:t>
            </w:r>
          </w:p>
        </w:tc>
        <w:tc>
          <w:tcPr>
            <w:tcW w:w="0" w:type="auto"/>
            <w:gridSpan w:val="2"/>
            <w:hideMark/>
          </w:tcPr>
          <w:p w14:paraId="7C1B9AD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0.57</w:t>
            </w:r>
          </w:p>
        </w:tc>
        <w:tc>
          <w:tcPr>
            <w:tcW w:w="676" w:type="dxa"/>
            <w:hideMark/>
          </w:tcPr>
          <w:p w14:paraId="4A10728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-0.57</w:t>
            </w:r>
          </w:p>
        </w:tc>
        <w:tc>
          <w:tcPr>
            <w:tcW w:w="683" w:type="dxa"/>
            <w:hideMark/>
          </w:tcPr>
          <w:p w14:paraId="7406EDC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-0.49</w:t>
            </w:r>
          </w:p>
        </w:tc>
        <w:tc>
          <w:tcPr>
            <w:tcW w:w="0" w:type="auto"/>
            <w:hideMark/>
          </w:tcPr>
          <w:p w14:paraId="48DCB65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0.52</w:t>
            </w:r>
          </w:p>
        </w:tc>
        <w:tc>
          <w:tcPr>
            <w:tcW w:w="0" w:type="auto"/>
            <w:hideMark/>
          </w:tcPr>
          <w:p w14:paraId="564D34A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-0.48</w:t>
            </w:r>
          </w:p>
        </w:tc>
        <w:tc>
          <w:tcPr>
            <w:tcW w:w="0" w:type="auto"/>
            <w:hideMark/>
          </w:tcPr>
          <w:p w14:paraId="6AE9B1D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0.88</w:t>
            </w:r>
          </w:p>
        </w:tc>
        <w:tc>
          <w:tcPr>
            <w:tcW w:w="0" w:type="auto"/>
            <w:hideMark/>
          </w:tcPr>
          <w:p w14:paraId="2258C11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0.72</w:t>
            </w:r>
          </w:p>
        </w:tc>
        <w:tc>
          <w:tcPr>
            <w:tcW w:w="0" w:type="auto"/>
            <w:hideMark/>
          </w:tcPr>
          <w:p w14:paraId="41F4D23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0" w:type="auto"/>
            <w:hideMark/>
          </w:tcPr>
          <w:p w14:paraId="68327F85"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-0.19</w:t>
            </w:r>
          </w:p>
        </w:tc>
        <w:tc>
          <w:tcPr>
            <w:tcW w:w="825" w:type="dxa"/>
            <w:hideMark/>
          </w:tcPr>
          <w:p w14:paraId="7452F9D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r>
      <w:tr w:rsidR="009476D9" w:rsidRPr="009476D9" w14:paraId="5A7C2425" w14:textId="77777777" w:rsidTr="001035AF">
        <w:tc>
          <w:tcPr>
            <w:tcW w:w="0" w:type="auto"/>
            <w:hideMark/>
          </w:tcPr>
          <w:p w14:paraId="0B4CCA01"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Potassium (mg/kg)</w:t>
            </w:r>
          </w:p>
        </w:tc>
        <w:tc>
          <w:tcPr>
            <w:tcW w:w="0" w:type="auto"/>
            <w:hideMark/>
          </w:tcPr>
          <w:p w14:paraId="1BEE3ADE"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0.32</w:t>
            </w:r>
          </w:p>
        </w:tc>
        <w:tc>
          <w:tcPr>
            <w:tcW w:w="0" w:type="auto"/>
            <w:gridSpan w:val="2"/>
            <w:hideMark/>
          </w:tcPr>
          <w:p w14:paraId="1D551A7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-0.36</w:t>
            </w:r>
          </w:p>
        </w:tc>
        <w:tc>
          <w:tcPr>
            <w:tcW w:w="676" w:type="dxa"/>
            <w:hideMark/>
          </w:tcPr>
          <w:p w14:paraId="64E4E31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0.34</w:t>
            </w:r>
          </w:p>
        </w:tc>
        <w:tc>
          <w:tcPr>
            <w:tcW w:w="683" w:type="dxa"/>
            <w:hideMark/>
          </w:tcPr>
          <w:p w14:paraId="3BE94C2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0.27</w:t>
            </w:r>
          </w:p>
        </w:tc>
        <w:tc>
          <w:tcPr>
            <w:tcW w:w="0" w:type="auto"/>
            <w:hideMark/>
          </w:tcPr>
          <w:p w14:paraId="001BBA6F"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-0.30</w:t>
            </w:r>
          </w:p>
        </w:tc>
        <w:tc>
          <w:tcPr>
            <w:tcW w:w="0" w:type="auto"/>
            <w:hideMark/>
          </w:tcPr>
          <w:p w14:paraId="42CBD944"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0.29</w:t>
            </w:r>
          </w:p>
        </w:tc>
        <w:tc>
          <w:tcPr>
            <w:tcW w:w="0" w:type="auto"/>
            <w:hideMark/>
          </w:tcPr>
          <w:p w14:paraId="215ACE3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-0.14</w:t>
            </w:r>
          </w:p>
        </w:tc>
        <w:tc>
          <w:tcPr>
            <w:tcW w:w="0" w:type="auto"/>
            <w:hideMark/>
          </w:tcPr>
          <w:p w14:paraId="33A6B56E"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-0.10</w:t>
            </w:r>
          </w:p>
        </w:tc>
        <w:tc>
          <w:tcPr>
            <w:tcW w:w="0" w:type="auto"/>
            <w:hideMark/>
          </w:tcPr>
          <w:p w14:paraId="1D8B0A7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-0.19</w:t>
            </w:r>
          </w:p>
        </w:tc>
        <w:tc>
          <w:tcPr>
            <w:tcW w:w="0" w:type="auto"/>
            <w:hideMark/>
          </w:tcPr>
          <w:p w14:paraId="7A1C3D7B"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1.00</w:t>
            </w:r>
          </w:p>
        </w:tc>
        <w:tc>
          <w:tcPr>
            <w:tcW w:w="825" w:type="dxa"/>
            <w:hideMark/>
          </w:tcPr>
          <w:p w14:paraId="286F8CE0"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r>
      <w:tr w:rsidR="009476D9" w:rsidRPr="009476D9" w14:paraId="4E72FF99" w14:textId="77777777" w:rsidTr="001035AF">
        <w:tc>
          <w:tcPr>
            <w:tcW w:w="0" w:type="auto"/>
            <w:tcBorders>
              <w:bottom w:val="single" w:sz="4" w:space="0" w:color="auto"/>
            </w:tcBorders>
            <w:hideMark/>
          </w:tcPr>
          <w:p w14:paraId="6783972D"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Soil Quality Rating</w:t>
            </w:r>
          </w:p>
        </w:tc>
        <w:tc>
          <w:tcPr>
            <w:tcW w:w="0" w:type="auto"/>
            <w:tcBorders>
              <w:bottom w:val="single" w:sz="4" w:space="0" w:color="auto"/>
            </w:tcBorders>
            <w:hideMark/>
          </w:tcPr>
          <w:p w14:paraId="3E4B7D3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c>
          <w:tcPr>
            <w:tcW w:w="0" w:type="auto"/>
            <w:gridSpan w:val="2"/>
            <w:tcBorders>
              <w:bottom w:val="single" w:sz="4" w:space="0" w:color="auto"/>
            </w:tcBorders>
            <w:hideMark/>
          </w:tcPr>
          <w:p w14:paraId="710FF8C7"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c>
          <w:tcPr>
            <w:tcW w:w="676" w:type="dxa"/>
            <w:tcBorders>
              <w:bottom w:val="single" w:sz="4" w:space="0" w:color="auto"/>
            </w:tcBorders>
            <w:hideMark/>
          </w:tcPr>
          <w:p w14:paraId="0CC7DAEA"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c>
          <w:tcPr>
            <w:tcW w:w="683" w:type="dxa"/>
            <w:tcBorders>
              <w:bottom w:val="single" w:sz="4" w:space="0" w:color="auto"/>
            </w:tcBorders>
            <w:hideMark/>
          </w:tcPr>
          <w:p w14:paraId="6A25F6C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c>
          <w:tcPr>
            <w:tcW w:w="0" w:type="auto"/>
            <w:tcBorders>
              <w:bottom w:val="single" w:sz="4" w:space="0" w:color="auto"/>
            </w:tcBorders>
            <w:hideMark/>
          </w:tcPr>
          <w:p w14:paraId="4D794433"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c>
          <w:tcPr>
            <w:tcW w:w="0" w:type="auto"/>
            <w:tcBorders>
              <w:bottom w:val="single" w:sz="4" w:space="0" w:color="auto"/>
            </w:tcBorders>
            <w:hideMark/>
          </w:tcPr>
          <w:p w14:paraId="403A47CC"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Neutral</w:t>
            </w:r>
          </w:p>
        </w:tc>
        <w:tc>
          <w:tcPr>
            <w:tcW w:w="0" w:type="auto"/>
            <w:tcBorders>
              <w:bottom w:val="single" w:sz="4" w:space="0" w:color="auto"/>
            </w:tcBorders>
            <w:hideMark/>
          </w:tcPr>
          <w:p w14:paraId="16E12CD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c>
          <w:tcPr>
            <w:tcW w:w="0" w:type="auto"/>
            <w:tcBorders>
              <w:bottom w:val="single" w:sz="4" w:space="0" w:color="auto"/>
            </w:tcBorders>
            <w:hideMark/>
          </w:tcPr>
          <w:p w14:paraId="5781CB68"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Low</w:t>
            </w:r>
          </w:p>
        </w:tc>
        <w:tc>
          <w:tcPr>
            <w:tcW w:w="0" w:type="auto"/>
            <w:tcBorders>
              <w:bottom w:val="single" w:sz="4" w:space="0" w:color="auto"/>
            </w:tcBorders>
            <w:hideMark/>
          </w:tcPr>
          <w:p w14:paraId="2965416E"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Moderate</w:t>
            </w:r>
          </w:p>
        </w:tc>
        <w:tc>
          <w:tcPr>
            <w:tcW w:w="0" w:type="auto"/>
            <w:tcBorders>
              <w:bottom w:val="single" w:sz="4" w:space="0" w:color="auto"/>
            </w:tcBorders>
            <w:hideMark/>
          </w:tcPr>
          <w:p w14:paraId="2C8BDAF9"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High</w:t>
            </w:r>
          </w:p>
        </w:tc>
        <w:tc>
          <w:tcPr>
            <w:tcW w:w="825" w:type="dxa"/>
            <w:tcBorders>
              <w:bottom w:val="single" w:sz="4" w:space="0" w:color="auto"/>
            </w:tcBorders>
            <w:hideMark/>
          </w:tcPr>
          <w:p w14:paraId="0C5C5D46" w14:textId="77777777" w:rsidR="00A36898" w:rsidRPr="009476D9" w:rsidRDefault="00A36898" w:rsidP="001035AF">
            <w:pPr>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w:t>
            </w:r>
          </w:p>
        </w:tc>
      </w:tr>
    </w:tbl>
    <w:p w14:paraId="4810E8E1" w14:textId="2C58EC4C" w:rsidR="00A36898" w:rsidRPr="009476D9" w:rsidRDefault="00A36898" w:rsidP="006E1AD4">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Source: Field Survey, (2024)</w:t>
      </w:r>
    </w:p>
    <w:p w14:paraId="44235763" w14:textId="77777777" w:rsidR="006E1AD4" w:rsidRPr="009476D9" w:rsidRDefault="006E1AD4" w:rsidP="006E1AD4">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There is a positive and negative aspect illustrated in the figure on the soil quality rating of the Afram plains soil. Although they are have a good aeration and favourable sand content, the latter is accompanied by the low organic matter content (2.4% in the top soil, 2.1% in the sub soil) nitrogen and phosphorus. The high potassium content is an advantage, but the non-availability of organic matter and certain nutrient would slow down the soil health in the future.</w:t>
      </w:r>
    </w:p>
    <w:p w14:paraId="285680A5" w14:textId="6C104004" w:rsidR="00633009" w:rsidRPr="009476D9" w:rsidRDefault="00BD24CA" w:rsidP="00E86FA5">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Spatial variability elements evaluated based on the different properties of the two layers of the soil, top soil and sub soil layer 0- 15 cm and 15-30 cm respectively reveal that respect to certain critical limit of soil quality there is some level of compliance. Data derived from the evaluation of the soil texture indicates sand as the most dominant fraction with 64.3% in the top soil and 58.7% in the sub soil with values close to 60% which is ideal for drainage. Silt was present in both topsoil and sub soil varying between 20.5% in top soil and 24.8% in sub soil with moderate quality silt content ranging from 20 to 25%. Likewise, the clay fraction with values of 15.2 per cent in first layer and 16.5 per cent in second layer is ideal at 15 per cent hence rating is moderate balance. In this work, the bulk density is determined as 1.25 ± 0.05 g/cm³ in the topsoil and 1.32 ± 0.07 g/cm³ in the subsoil indicating that it is close to the critical &lt;1.3 g/cm³ which is conducive to root development, yet it gets only moderate quality rating. Porosity with percentage of 47.2 ± 1.5% and 45.1 ± 1.7% in the respective layers are above the critical value of &gt;45%, therefore proclaiming a good quality of the soil in this aspect. Chemical characteristic adds to the knowledge of soil fertility. The present soil pH 6.3±0.2 in the top soil and 6.1 ± 0.3 in the subsoil is within the neutral limit 6-7 which favours availability of the nutrients. But there is lower in organic matter % than ideal &gt;3% with top soil 2.4 ± 0.3% and subsoil 2.1 ± 0.4 % which classified it low quality. The nitrogen content also turns out to be low: 0.15 ±0.02 % in the topsoil, and 0.12 ± 0.02 % in the subsoil, although the critical level should be higher than 0.20%. The average concentrations for phosphorus (9.2 ± 1.1 mg/kg PO4 and 7.8 ± 1.3 mg/kg P) were below &gt; 15 mg/kg of recommended P, leading to a moderate level classification for the soil. Concentration of K on the other hand is comparatively high and ranged between 125 ± 10 mg/kg in the top soil and 110 ± 12 mg/Kg in the sub soil, but below the &gt; 150 mg/Kg for the optimal rate of soil productivity. Pesticides, compared with limiting factors such as organic matter, nitrogen, and phosphorus required by plants for soil fertility, established the quality of the soil is moderately suitable.</w:t>
      </w:r>
    </w:p>
    <w:p w14:paraId="67D61F6F" w14:textId="4AD19517" w:rsidR="006122E3" w:rsidRPr="009476D9" w:rsidRDefault="006122E3" w:rsidP="006122E3">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Characteristic of Soil Sampling</w:t>
      </w:r>
    </w:p>
    <w:p w14:paraId="1C80D592" w14:textId="5E8178DA" w:rsidR="006122E3" w:rsidRPr="009476D9" w:rsidRDefault="006122E3" w:rsidP="006122E3">
      <w:pPr>
        <w:jc w:val="both"/>
        <w:rPr>
          <w:rFonts w:ascii="Times New Roman" w:hAnsi="Times New Roman" w:cs="Times New Roman"/>
          <w:bCs/>
          <w:noProof/>
          <w:color w:val="000000" w:themeColor="text1"/>
          <w:sz w:val="24"/>
          <w:szCs w:val="24"/>
        </w:rPr>
      </w:pPr>
      <w:r w:rsidRPr="009476D9">
        <w:rPr>
          <w:rFonts w:ascii="Times New Roman" w:hAnsi="Times New Roman" w:cs="Times New Roman"/>
          <w:bCs/>
          <w:noProof/>
          <w:color w:val="000000" w:themeColor="text1"/>
          <w:sz w:val="24"/>
          <w:szCs w:val="24"/>
        </w:rPr>
        <w:t xml:space="preserve">The characteristics of the soil sampling show an appreciable inconsistency between the topsoil layer in the first 15 cm and subsoil layer in the 15–30 cm, and this observation is in concordance because soil properties vary with depth as indicated in other studies by </w:t>
      </w:r>
      <w:r w:rsidR="000C222B" w:rsidRPr="009476D9">
        <w:rPr>
          <w:rFonts w:ascii="Times New Roman" w:hAnsi="Times New Roman" w:cs="Times New Roman"/>
          <w:bCs/>
          <w:noProof/>
          <w:color w:val="000000" w:themeColor="text1"/>
          <w:sz w:val="24"/>
          <w:szCs w:val="24"/>
        </w:rPr>
        <w:t>Peigné, Vian, Cannavacciuolo, Lefevre, Gautronneau, and Boizard (2013)</w:t>
      </w:r>
      <w:r w:rsidRPr="009476D9">
        <w:rPr>
          <w:rFonts w:ascii="Times New Roman" w:hAnsi="Times New Roman" w:cs="Times New Roman"/>
          <w:bCs/>
          <w:noProof/>
          <w:color w:val="000000" w:themeColor="text1"/>
          <w:sz w:val="24"/>
          <w:szCs w:val="24"/>
        </w:rPr>
        <w:t xml:space="preserve">. An obvious change was noted in the sand content of the soil which was found to decrease with an increase in depth and a corresponding increase in silt content which may affect water holding capacity as well as nutrient availability. The topsoil sample contains lesser percentage of silt as compared to sample collected from the deeper layer this might improve the water holding capacity of the soil because more silt content may provide better physical properties for roots, The findings of </w:t>
      </w:r>
      <w:r w:rsidR="000C222B" w:rsidRPr="009476D9">
        <w:rPr>
          <w:rFonts w:ascii="Times New Roman" w:hAnsi="Times New Roman" w:cs="Times New Roman"/>
          <w:bCs/>
          <w:noProof/>
          <w:color w:val="000000" w:themeColor="text1"/>
          <w:sz w:val="24"/>
          <w:szCs w:val="24"/>
        </w:rPr>
        <w:t>Rodriguez-Ayllon et al. (2019</w:t>
      </w:r>
      <w:r w:rsidRPr="009476D9">
        <w:rPr>
          <w:rFonts w:ascii="Times New Roman" w:hAnsi="Times New Roman" w:cs="Times New Roman"/>
          <w:bCs/>
          <w:noProof/>
          <w:color w:val="000000" w:themeColor="text1"/>
          <w:sz w:val="24"/>
          <w:szCs w:val="24"/>
        </w:rPr>
        <w:t>) supports this proposition stating that soil texture greatly influences the water retention of the soil. The investigated parameters revealed that while the bulk density was scene to be higher in the sub soils, all these indicated that there is a tendency of compaction increasing with depth of the soil affecting root penetration and aeration. According to the results of the study, the observations made by Chauhan et al. (2020) are similar to the findings of this work in which high bulk density in deeper soil layers prevents root proliferation and water infiltration.</w:t>
      </w:r>
    </w:p>
    <w:p w14:paraId="158DF944" w14:textId="360624F7" w:rsidR="006122E3" w:rsidRPr="009476D9" w:rsidRDefault="006122E3" w:rsidP="004D5B53">
      <w:pPr>
        <w:jc w:val="both"/>
        <w:rPr>
          <w:rFonts w:ascii="Times New Roman" w:hAnsi="Times New Roman" w:cs="Times New Roman"/>
          <w:bCs/>
          <w:noProof/>
          <w:color w:val="000000" w:themeColor="text1"/>
          <w:sz w:val="24"/>
          <w:szCs w:val="24"/>
        </w:rPr>
      </w:pPr>
      <w:r w:rsidRPr="009476D9">
        <w:rPr>
          <w:rFonts w:ascii="Times New Roman" w:hAnsi="Times New Roman" w:cs="Times New Roman"/>
          <w:bCs/>
          <w:noProof/>
          <w:color w:val="000000" w:themeColor="text1"/>
          <w:sz w:val="24"/>
          <w:szCs w:val="24"/>
        </w:rPr>
        <w:t>As for the first research question, the comparison of pH in the soils from both depths showed that the slightly acidic character of the tropical soils might affect nutrient available for t</w:t>
      </w:r>
      <w:r w:rsidR="004D5B53" w:rsidRPr="009476D9">
        <w:rPr>
          <w:rFonts w:ascii="Times New Roman" w:hAnsi="Times New Roman" w:cs="Times New Roman"/>
          <w:bCs/>
          <w:noProof/>
          <w:color w:val="000000" w:themeColor="text1"/>
          <w:sz w:val="24"/>
          <w:szCs w:val="24"/>
        </w:rPr>
        <w:t>he plants (Goulding et al., 2021</w:t>
      </w:r>
      <w:r w:rsidRPr="009476D9">
        <w:rPr>
          <w:rFonts w:ascii="Times New Roman" w:hAnsi="Times New Roman" w:cs="Times New Roman"/>
          <w:bCs/>
          <w:noProof/>
          <w:color w:val="000000" w:themeColor="text1"/>
          <w:sz w:val="24"/>
          <w:szCs w:val="24"/>
        </w:rPr>
        <w:t xml:space="preserve">). The organic matter content was observed to be slightly higher in the topsoil as expected because the topsoil of most soils has a tendency to absorb organic deposit from the vegetation cover as supported by </w:t>
      </w:r>
      <w:r w:rsidR="004D5B53" w:rsidRPr="009476D9">
        <w:rPr>
          <w:rFonts w:ascii="Times New Roman" w:hAnsi="Times New Roman" w:cs="Times New Roman"/>
          <w:bCs/>
          <w:noProof/>
          <w:color w:val="000000" w:themeColor="text1"/>
          <w:sz w:val="24"/>
          <w:szCs w:val="24"/>
        </w:rPr>
        <w:t>Meena et al. (2023)</w:t>
      </w:r>
      <w:r w:rsidRPr="009476D9">
        <w:rPr>
          <w:rFonts w:ascii="Times New Roman" w:hAnsi="Times New Roman" w:cs="Times New Roman"/>
          <w:bCs/>
          <w:noProof/>
          <w:color w:val="000000" w:themeColor="text1"/>
          <w:sz w:val="24"/>
          <w:szCs w:val="24"/>
        </w:rPr>
        <w:t xml:space="preserve">. The slightly higher CEC in the topsoil also supports the usual observation where topsoil has a better capacity to hold nutrient than the subsoil </w:t>
      </w:r>
      <w:r w:rsidR="004D5B53" w:rsidRPr="009476D9">
        <w:rPr>
          <w:rFonts w:ascii="Times New Roman" w:hAnsi="Times New Roman" w:cs="Times New Roman"/>
          <w:bCs/>
          <w:noProof/>
          <w:color w:val="000000" w:themeColor="text1"/>
          <w:sz w:val="24"/>
          <w:szCs w:val="24"/>
        </w:rPr>
        <w:t>(Rodriguez-Ayllon et al., 2019)</w:t>
      </w:r>
    </w:p>
    <w:p w14:paraId="02A0542A" w14:textId="77777777" w:rsidR="0038381C" w:rsidRPr="009476D9" w:rsidRDefault="0038381C" w:rsidP="006122E3">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The Properties of Soils in the Afram Plains</w:t>
      </w:r>
    </w:p>
    <w:p w14:paraId="5BC9740C" w14:textId="151F3F83" w:rsidR="006122E3" w:rsidRPr="009476D9" w:rsidRDefault="006122E3"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Among all the soil physical characteristics, soil texture, bulk density and porosity highly influence the decision on its use in agriculture. In the soil texture, amount of sand was high in both the top soil and sub soil of the Afram Plains with 64.3% in the top soil and 58.7% in the sub soil respectively which created moderate water infiltration and good aeration in the area. In agreement w</w:t>
      </w:r>
      <w:r w:rsidR="00720003" w:rsidRPr="009476D9">
        <w:rPr>
          <w:rFonts w:ascii="Times New Roman" w:hAnsi="Times New Roman" w:cs="Times New Roman"/>
          <w:noProof/>
          <w:color w:val="000000" w:themeColor="text1"/>
          <w:sz w:val="24"/>
          <w:szCs w:val="24"/>
        </w:rPr>
        <w:t>ith this, Gonzalez et al., (2025</w:t>
      </w:r>
      <w:r w:rsidRPr="009476D9">
        <w:rPr>
          <w:rFonts w:ascii="Times New Roman" w:hAnsi="Times New Roman" w:cs="Times New Roman"/>
          <w:noProof/>
          <w:color w:val="000000" w:themeColor="text1"/>
          <w:sz w:val="24"/>
          <w:szCs w:val="24"/>
        </w:rPr>
        <w:t xml:space="preserve">) pointed out that most sandy soils are well drained plus such conditions enhance aeration which is vital for the root system of plants. The change in silt content with respect to depth range in between 20.5% to 24.8% indicate that the lower layers of the soil may be slightly better in their water retention capacity, useful in irrigating crops during dry weather. However, the low variation in the clay content in both layers (15.2% and 16.5%) means that the basic texture of the soil remains sandy loam, a texture that is good in its ability to moderate both water retention and drainage </w:t>
      </w:r>
      <w:r w:rsidR="008521F0" w:rsidRPr="009476D9">
        <w:rPr>
          <w:rFonts w:ascii="Times New Roman" w:hAnsi="Times New Roman" w:cs="Times New Roman"/>
          <w:noProof/>
          <w:color w:val="000000" w:themeColor="text1"/>
          <w:sz w:val="24"/>
          <w:szCs w:val="24"/>
        </w:rPr>
        <w:t>(</w:t>
      </w:r>
      <w:r w:rsidR="00720003" w:rsidRPr="009476D9">
        <w:rPr>
          <w:rFonts w:ascii="Times New Roman" w:hAnsi="Times New Roman" w:cs="Times New Roman"/>
          <w:bCs/>
          <w:noProof/>
          <w:color w:val="000000" w:themeColor="text1"/>
          <w:sz w:val="24"/>
          <w:szCs w:val="24"/>
        </w:rPr>
        <w:t>Meena et al.</w:t>
      </w:r>
      <w:r w:rsidR="008521F0" w:rsidRPr="009476D9">
        <w:rPr>
          <w:rFonts w:ascii="Times New Roman" w:hAnsi="Times New Roman" w:cs="Times New Roman"/>
          <w:bCs/>
          <w:noProof/>
          <w:color w:val="000000" w:themeColor="text1"/>
          <w:sz w:val="24"/>
          <w:szCs w:val="24"/>
        </w:rPr>
        <w:t xml:space="preserve">, </w:t>
      </w:r>
      <w:r w:rsidR="00720003" w:rsidRPr="009476D9">
        <w:rPr>
          <w:rFonts w:ascii="Times New Roman" w:hAnsi="Times New Roman" w:cs="Times New Roman"/>
          <w:bCs/>
          <w:noProof/>
          <w:color w:val="000000" w:themeColor="text1"/>
          <w:sz w:val="24"/>
          <w:szCs w:val="24"/>
        </w:rPr>
        <w:t>2023)</w:t>
      </w:r>
      <w:r w:rsidRPr="009476D9">
        <w:rPr>
          <w:rFonts w:ascii="Times New Roman" w:hAnsi="Times New Roman" w:cs="Times New Roman"/>
          <w:noProof/>
          <w:color w:val="000000" w:themeColor="text1"/>
          <w:sz w:val="24"/>
          <w:szCs w:val="24"/>
        </w:rPr>
        <w:t>.</w:t>
      </w:r>
    </w:p>
    <w:p w14:paraId="5A75D151" w14:textId="77777777" w:rsidR="0038381C" w:rsidRPr="009476D9" w:rsidRDefault="0038381C"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Bulk density slightly increases with depth, from 1.25 ± 0.05 g/cm³ in the topsoil to 1.32 ± 0.07 g/cm³ in the subsoil, which implies that compaction increases as depth increases, although the values are still within the range considered suitable for most crops (Chauhan et al., 2020). Correspondingly, porosity decreases from 47.2% in the topsoil to 45.1% in the subsoil, which suggests a reduction in pore space with increasing depth. This decrease in porosity can lead to reduced water infiltration and root penetration, particularly in the deeper soil layers.</w:t>
      </w:r>
    </w:p>
    <w:p w14:paraId="74EC02EA" w14:textId="5DD05261" w:rsidR="0038381C" w:rsidRPr="009476D9" w:rsidRDefault="0038381C"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Soil pH values, ranging from 6.3 ± 0.2 in the surface layer to 6.1 ± 0.3 in the subsoil, suggest a slightly acidic condition. This is typical of many tropical soils, where slightly acidic conditions can affect the availability of nutrients such as p</w:t>
      </w:r>
      <w:r w:rsidR="00537A58" w:rsidRPr="009476D9">
        <w:rPr>
          <w:rFonts w:ascii="Times New Roman" w:hAnsi="Times New Roman" w:cs="Times New Roman"/>
          <w:noProof/>
          <w:color w:val="000000" w:themeColor="text1"/>
          <w:sz w:val="24"/>
          <w:szCs w:val="24"/>
        </w:rPr>
        <w:t>hosphorus (Goulding et al., 2021</w:t>
      </w:r>
      <w:r w:rsidRPr="009476D9">
        <w:rPr>
          <w:rFonts w:ascii="Times New Roman" w:hAnsi="Times New Roman" w:cs="Times New Roman"/>
          <w:noProof/>
          <w:color w:val="000000" w:themeColor="text1"/>
          <w:sz w:val="24"/>
          <w:szCs w:val="24"/>
        </w:rPr>
        <w:t>). Organic matter content in the Afram Plains is relatively low, which could limit nutrient availability in the soil. Organic matter content decreases from 2.4% in the topsoil to 2.1% in the subsoil, indicating that the soil may benefit from organic amendments to improve its structure and fertility (Verma et al., 2022).</w:t>
      </w:r>
    </w:p>
    <w:p w14:paraId="1D38B9D4" w14:textId="77777777" w:rsidR="0038381C" w:rsidRPr="009476D9" w:rsidRDefault="0038381C" w:rsidP="0038381C">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Variability and Relationships Between Physical and Chemical Soil Properties in Afram Plains</w:t>
      </w:r>
    </w:p>
    <w:p w14:paraId="243DC65F" w14:textId="6DA4B96F" w:rsidR="0038381C" w:rsidRPr="009476D9" w:rsidRDefault="0038381C"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The correlation heatmap reveals several key relationships between the physical and chemical properties of the soil, with significant implications for soil management. The perfect positive correlation between sand content and porosity (r = +1.00) supports the understanding that sandy soils tend to have higher porosity due to the larger particle sizes of sand, which naturally create more void spaces for air and water</w:t>
      </w:r>
      <w:r w:rsidR="00A954B0" w:rsidRPr="009476D9">
        <w:rPr>
          <w:rFonts w:ascii="Times New Roman" w:hAnsi="Times New Roman" w:cs="Times New Roman"/>
          <w:noProof/>
          <w:color w:val="000000" w:themeColor="text1"/>
          <w:sz w:val="24"/>
          <w:szCs w:val="24"/>
        </w:rPr>
        <w:t xml:space="preserve"> movement (González et al., 2025</w:t>
      </w:r>
      <w:r w:rsidRPr="009476D9">
        <w:rPr>
          <w:rFonts w:ascii="Times New Roman" w:hAnsi="Times New Roman" w:cs="Times New Roman"/>
          <w:noProof/>
          <w:color w:val="000000" w:themeColor="text1"/>
          <w:sz w:val="24"/>
          <w:szCs w:val="24"/>
        </w:rPr>
        <w:t>). This is beneficial for plant growth, particularly in terms of root oxygenation and preventing waterlogging. On the other hand, the negative correlation between sand and clay content (-1.00) reflects the inverse relationship between these two soil components, which is typical of sandy loams and highlights the complementary roles that different soil textures play in water retention and nutrient availability.</w:t>
      </w:r>
    </w:p>
    <w:p w14:paraId="70EFE182" w14:textId="66010B9A" w:rsidR="0038381C" w:rsidRPr="009476D9" w:rsidRDefault="0038381C"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The perfect positive correlations between organic matter, nitrogen, phosphorus, and potassium (r = +1.00) underscore the importance of organic matter in maintaining soil fertility. Organic matter not only enriches the soil with essential nutrients but also improves its struct</w:t>
      </w:r>
      <w:r w:rsidR="00A954B0" w:rsidRPr="009476D9">
        <w:rPr>
          <w:rFonts w:ascii="Times New Roman" w:hAnsi="Times New Roman" w:cs="Times New Roman"/>
          <w:noProof/>
          <w:color w:val="000000" w:themeColor="text1"/>
          <w:sz w:val="24"/>
          <w:szCs w:val="24"/>
        </w:rPr>
        <w:t>ure and water-holding capacity (Karstens et al., 2022</w:t>
      </w:r>
      <w:r w:rsidRPr="009476D9">
        <w:rPr>
          <w:rFonts w:ascii="Times New Roman" w:hAnsi="Times New Roman" w:cs="Times New Roman"/>
          <w:noProof/>
          <w:color w:val="000000" w:themeColor="text1"/>
          <w:sz w:val="24"/>
          <w:szCs w:val="24"/>
        </w:rPr>
        <w:t>). However, the relatively low nitrogen and phosphorus levels in the Afram Plains suggest that nutrient supplementation may be necessary to optimize agricultural productivity. The negative correlation between bulk density and porosity (-1.00) further highlights the adverse effects of soil compaction, which could restrict root growth and water infiltration, reinforcing the need for soil management practices that reduce compaction and improve soil aeration (Chauhan et al., 2020).</w:t>
      </w:r>
    </w:p>
    <w:p w14:paraId="3DAB1E81" w14:textId="77777777" w:rsidR="0038381C" w:rsidRPr="009476D9" w:rsidRDefault="0038381C" w:rsidP="0038381C">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Overall Soil Quality Analysis</w:t>
      </w:r>
    </w:p>
    <w:p w14:paraId="4850C53D" w14:textId="00DA0A43" w:rsidR="00AB5E9C" w:rsidRPr="009476D9" w:rsidRDefault="0038381C" w:rsidP="0038381C">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The overall soil quality analysis points to moderate soil quality in the Afram Plains. While the good aeration and favorable sand content are advantageous for water movement and root growth, the relatively low organic matter content, along with the low levels of nitrogen and phosphorus, suggest that the soil may not be fully optimized for high agricultural productivity. The findings indicate that organic amendments, such as compost or manure, could help to enhance soil fertility, water retention, and structure, which is consistent with the recommendations of Verma et al. (2022) and </w:t>
      </w:r>
      <w:r w:rsidR="006C159D" w:rsidRPr="009476D9">
        <w:rPr>
          <w:rFonts w:ascii="Times New Roman" w:hAnsi="Times New Roman" w:cs="Times New Roman"/>
          <w:noProof/>
          <w:color w:val="000000" w:themeColor="text1"/>
          <w:sz w:val="24"/>
          <w:szCs w:val="24"/>
        </w:rPr>
        <w:t>Bationo et al. (2020)</w:t>
      </w:r>
      <w:r w:rsidRPr="009476D9">
        <w:rPr>
          <w:rFonts w:ascii="Times New Roman" w:hAnsi="Times New Roman" w:cs="Times New Roman"/>
          <w:noProof/>
          <w:color w:val="000000" w:themeColor="text1"/>
          <w:sz w:val="24"/>
          <w:szCs w:val="24"/>
        </w:rPr>
        <w:t>. Given the moderate quality of the soil, there is a need for continuous soil fertility management practices to improve nutrient content and ensure sustainable agricultural practices in the Afram Plains.</w:t>
      </w:r>
    </w:p>
    <w:p w14:paraId="5ED6D2F1" w14:textId="0D82F6C8" w:rsidR="0038381C" w:rsidRPr="009476D9" w:rsidRDefault="00085EA7" w:rsidP="0038381C">
      <w:pPr>
        <w:jc w:val="both"/>
        <w:rPr>
          <w:rFonts w:ascii="Times New Roman" w:hAnsi="Times New Roman" w:cs="Times New Roman"/>
          <w:b/>
          <w:noProof/>
          <w:color w:val="000000" w:themeColor="text1"/>
          <w:sz w:val="24"/>
          <w:szCs w:val="24"/>
        </w:rPr>
      </w:pPr>
      <w:r w:rsidRPr="009476D9">
        <w:rPr>
          <w:rFonts w:ascii="Times New Roman" w:hAnsi="Times New Roman" w:cs="Times New Roman"/>
          <w:b/>
          <w:noProof/>
          <w:color w:val="000000" w:themeColor="text1"/>
          <w:sz w:val="24"/>
          <w:szCs w:val="24"/>
        </w:rPr>
        <w:t xml:space="preserve">5.0 </w:t>
      </w:r>
      <w:r w:rsidR="0038381C" w:rsidRPr="009476D9">
        <w:rPr>
          <w:rFonts w:ascii="Times New Roman" w:hAnsi="Times New Roman" w:cs="Times New Roman"/>
          <w:b/>
          <w:noProof/>
          <w:color w:val="000000" w:themeColor="text1"/>
          <w:sz w:val="24"/>
          <w:szCs w:val="24"/>
        </w:rPr>
        <w:t xml:space="preserve">Conclusion and Recommendation </w:t>
      </w:r>
    </w:p>
    <w:p w14:paraId="73F2D700" w14:textId="06673997" w:rsidR="001035AF" w:rsidRPr="009476D9" w:rsidRDefault="001035AF" w:rsidP="001035AF">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The soil properties in the Afram Plains demonstrate significant variability between the topsoil and subsoil, with notable differences in texture, bulk density, porosity, organic matter content, and nutrient levels. These findings underscore the need for comprehensive soil management practices to enhance the fertility and productivity of the region's soils. The analysis reveals that while the soil's sandy loam texture and aeration properties are conducive to root growth, the low organic matter and nutrient deficiencies in nitrogen and phosphorus suggest that agricultural productivity may be limited without proper interventions. The study provides valuable insights into the complex relationships between soil properties and highlights the importance of maintaining a balance between physical and chemical characteristics to ensure sustainable land use and agricultural practices in the Afram Plains.</w:t>
      </w:r>
      <w:r w:rsidR="00A35AC5" w:rsidRPr="009476D9">
        <w:rPr>
          <w:color w:val="000000" w:themeColor="text1"/>
        </w:rPr>
        <w:t xml:space="preserve"> </w:t>
      </w:r>
      <w:r w:rsidR="00A35AC5" w:rsidRPr="009476D9">
        <w:rPr>
          <w:rFonts w:ascii="Times New Roman" w:hAnsi="Times New Roman" w:cs="Times New Roman"/>
          <w:noProof/>
          <w:color w:val="000000" w:themeColor="text1"/>
          <w:sz w:val="24"/>
          <w:szCs w:val="24"/>
        </w:rPr>
        <w:t>Future research should explore long-term monitoring of soil health changes under different management practices and assess the effectiveness of organic amendments and sustainable farming techniques in improving soil quality in the Afram Plains.</w:t>
      </w:r>
    </w:p>
    <w:p w14:paraId="462F19A1" w14:textId="77777777" w:rsidR="001035AF" w:rsidRPr="009476D9" w:rsidRDefault="001035AF" w:rsidP="001035AF">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To improve soil fertility and productivity in the Afram Plains, it is recommended that organic amendments such as compost or manure be applied to enhance organic matter content and nutrient availability, particularly nitrogen and phosphorus. </w:t>
      </w:r>
      <w:r w:rsidRPr="009476D9">
        <w:rPr>
          <w:rFonts w:ascii="Times New Roman" w:hAnsi="Times New Roman" w:cs="Times New Roman"/>
          <w:bCs/>
          <w:noProof/>
          <w:color w:val="000000" w:themeColor="text1"/>
          <w:sz w:val="24"/>
          <w:szCs w:val="24"/>
        </w:rPr>
        <w:t>For example, farmers can apply well-decomposed compost at a rate of 5–10 tons per hectare annually before planting, or use poultry manure at 2–3 tons per hectare every cropping season. These organic inputs should be evenly incorporated into the top 15 cm of soil to maximize nutrient release and improve soil structure.</w:t>
      </w:r>
      <w:r w:rsidRPr="009476D9">
        <w:rPr>
          <w:rFonts w:ascii="Times New Roman" w:hAnsi="Times New Roman" w:cs="Times New Roman"/>
          <w:noProof/>
          <w:color w:val="000000" w:themeColor="text1"/>
          <w:sz w:val="24"/>
          <w:szCs w:val="24"/>
        </w:rPr>
        <w:t> Additionally, practices such as crop rotation, cover cropping, and reduced tillage should be adopted to minimize soil compaction and improve soil structure. </w:t>
      </w:r>
      <w:r w:rsidRPr="009476D9">
        <w:rPr>
          <w:rFonts w:ascii="Times New Roman" w:hAnsi="Times New Roman" w:cs="Times New Roman"/>
          <w:bCs/>
          <w:noProof/>
          <w:color w:val="000000" w:themeColor="text1"/>
          <w:sz w:val="24"/>
          <w:szCs w:val="24"/>
        </w:rPr>
        <w:t>Farmers can implement a 3-year rotation cycle of maize (Year 1), legumes like cowpea or soybeans (Year 2), and cassava (Year 3) to break pest cycles and replenish soil nitrogen naturally. Reduced tillage (e.g., no-till or minimal tillage) should focus on disturbing only the planting rows to preserve soil structure.</w:t>
      </w:r>
    </w:p>
    <w:p w14:paraId="17F70E6E" w14:textId="45855FAE" w:rsidR="001035AF" w:rsidRPr="009476D9" w:rsidRDefault="001035AF" w:rsidP="001035AF">
      <w:pPr>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The Ghana Ministry of Food and Agriculture (MOFA) should lead initiatives to educate farmers on sustainable soil management practices and provide access to soil fertility improvement resources. The Environmental Protection Agency (EPA) of Ghana should support these efforts by offering training and technical assistance, while agricultural research institutions like the Crops Research Institute (CRI) can contribute through research on locally suitable organic amendments and nutrient management strategies. Furthermore, the government could consider providing subsidies or financial support to encourage the adoption of these practices in the region.</w:t>
      </w:r>
    </w:p>
    <w:p w14:paraId="25D079C2" w14:textId="1552EA16" w:rsidR="008A631F" w:rsidRPr="009476D9" w:rsidRDefault="008A631F" w:rsidP="008A631F">
      <w:pPr>
        <w:jc w:val="both"/>
        <w:rPr>
          <w:rFonts w:ascii="Times New Roman" w:hAnsi="Times New Roman" w:cs="Times New Roman"/>
          <w:b/>
          <w:bCs/>
          <w:color w:val="000000" w:themeColor="text1"/>
          <w:sz w:val="24"/>
          <w:szCs w:val="24"/>
        </w:rPr>
      </w:pPr>
      <w:r w:rsidRPr="009476D9">
        <w:rPr>
          <w:rFonts w:ascii="Times New Roman" w:hAnsi="Times New Roman" w:cs="Times New Roman"/>
          <w:b/>
          <w:bCs/>
          <w:color w:val="000000" w:themeColor="text1"/>
          <w:sz w:val="24"/>
          <w:szCs w:val="24"/>
        </w:rPr>
        <w:t>Study Highlights</w:t>
      </w:r>
    </w:p>
    <w:p w14:paraId="49DBD94C" w14:textId="77777777" w:rsidR="008A631F" w:rsidRPr="009476D9" w:rsidRDefault="008A631F" w:rsidP="008A631F">
      <w:pPr>
        <w:spacing w:line="240" w:lineRule="auto"/>
        <w:jc w:val="both"/>
        <w:rPr>
          <w:rFonts w:ascii="Times New Roman" w:hAnsi="Times New Roman" w:cs="Times New Roman"/>
          <w:b/>
          <w:bCs/>
          <w:color w:val="000000" w:themeColor="text1"/>
        </w:rPr>
      </w:pPr>
      <w:r w:rsidRPr="009476D9">
        <w:rPr>
          <w:rFonts w:ascii="Times New Roman" w:hAnsi="Times New Roman" w:cs="Times New Roman"/>
          <w:b/>
          <w:bCs/>
          <w:color w:val="000000" w:themeColor="text1"/>
        </w:rPr>
        <w:t>Knowledge Gap Addressed</w:t>
      </w:r>
    </w:p>
    <w:p w14:paraId="122C1FF0" w14:textId="77777777" w:rsidR="008A631F" w:rsidRPr="009476D9" w:rsidRDefault="008A631F" w:rsidP="008A631F">
      <w:pPr>
        <w:spacing w:line="240" w:lineRule="auto"/>
        <w:jc w:val="both"/>
        <w:rPr>
          <w:rFonts w:ascii="Times New Roman" w:hAnsi="Times New Roman" w:cs="Times New Roman"/>
          <w:color w:val="000000" w:themeColor="text1"/>
        </w:rPr>
      </w:pPr>
      <w:r w:rsidRPr="009476D9">
        <w:rPr>
          <w:rFonts w:ascii="Times New Roman" w:hAnsi="Times New Roman" w:cs="Times New Roman"/>
          <w:color w:val="000000" w:themeColor="text1"/>
        </w:rPr>
        <w:t xml:space="preserve">Limited awareness of the physical and chemical properties of </w:t>
      </w:r>
      <w:proofErr w:type="spellStart"/>
      <w:r w:rsidRPr="009476D9">
        <w:rPr>
          <w:rFonts w:ascii="Times New Roman" w:hAnsi="Times New Roman" w:cs="Times New Roman"/>
          <w:color w:val="000000" w:themeColor="text1"/>
        </w:rPr>
        <w:t>Afram</w:t>
      </w:r>
      <w:proofErr w:type="spellEnd"/>
      <w:r w:rsidRPr="009476D9">
        <w:rPr>
          <w:rFonts w:ascii="Times New Roman" w:hAnsi="Times New Roman" w:cs="Times New Roman"/>
          <w:color w:val="000000" w:themeColor="text1"/>
        </w:rPr>
        <w:t xml:space="preserve"> Plains, Ghana. Absence of soil management practices on specific causes of declining soil fertility, compaction, and nutrient problem.</w:t>
      </w:r>
    </w:p>
    <w:p w14:paraId="41D2002C" w14:textId="77777777" w:rsidR="008A631F" w:rsidRPr="009476D9" w:rsidRDefault="008A631F" w:rsidP="008A631F">
      <w:pPr>
        <w:spacing w:line="240" w:lineRule="auto"/>
        <w:jc w:val="both"/>
        <w:rPr>
          <w:rFonts w:ascii="Times New Roman" w:hAnsi="Times New Roman" w:cs="Times New Roman"/>
          <w:b/>
          <w:bCs/>
          <w:color w:val="000000" w:themeColor="text1"/>
        </w:rPr>
      </w:pPr>
      <w:r w:rsidRPr="009476D9">
        <w:rPr>
          <w:rFonts w:ascii="Times New Roman" w:hAnsi="Times New Roman" w:cs="Times New Roman"/>
          <w:b/>
          <w:bCs/>
          <w:color w:val="000000" w:themeColor="text1"/>
        </w:rPr>
        <w:t>Novelty and Timeliness</w:t>
      </w:r>
    </w:p>
    <w:p w14:paraId="305D647D" w14:textId="77777777" w:rsidR="008A631F" w:rsidRPr="009476D9" w:rsidRDefault="008A631F" w:rsidP="008A631F">
      <w:pPr>
        <w:spacing w:line="240" w:lineRule="auto"/>
        <w:jc w:val="both"/>
        <w:rPr>
          <w:rFonts w:ascii="Times New Roman" w:hAnsi="Times New Roman" w:cs="Times New Roman"/>
          <w:color w:val="000000" w:themeColor="text1"/>
        </w:rPr>
      </w:pPr>
      <w:r w:rsidRPr="009476D9">
        <w:rPr>
          <w:rFonts w:ascii="Times New Roman" w:hAnsi="Times New Roman" w:cs="Times New Roman"/>
          <w:color w:val="000000" w:themeColor="text1"/>
        </w:rPr>
        <w:t>Application of Pedogenic Theory to assess specific features of Region’s soil. Emphasis on sandy loam soils, nutrient availability and bulk density brings into the equation new figures within the global and local arguments about soil conservation.</w:t>
      </w:r>
    </w:p>
    <w:p w14:paraId="09E4D459" w14:textId="77777777" w:rsidR="008A631F" w:rsidRPr="009476D9" w:rsidRDefault="008A631F" w:rsidP="008A631F">
      <w:pPr>
        <w:spacing w:line="240" w:lineRule="auto"/>
        <w:jc w:val="both"/>
        <w:rPr>
          <w:rFonts w:ascii="Times New Roman" w:hAnsi="Times New Roman" w:cs="Times New Roman"/>
          <w:b/>
          <w:bCs/>
          <w:color w:val="000000" w:themeColor="text1"/>
        </w:rPr>
      </w:pPr>
      <w:r w:rsidRPr="009476D9">
        <w:rPr>
          <w:rFonts w:ascii="Times New Roman" w:hAnsi="Times New Roman" w:cs="Times New Roman"/>
          <w:b/>
          <w:bCs/>
          <w:color w:val="000000" w:themeColor="text1"/>
        </w:rPr>
        <w:t>Key Findings</w:t>
      </w:r>
    </w:p>
    <w:p w14:paraId="2AB31201" w14:textId="77777777" w:rsidR="008A631F" w:rsidRPr="009476D9" w:rsidRDefault="008A631F" w:rsidP="008A631F">
      <w:pPr>
        <w:spacing w:line="240" w:lineRule="auto"/>
        <w:jc w:val="both"/>
        <w:rPr>
          <w:rFonts w:ascii="Times New Roman" w:hAnsi="Times New Roman" w:cs="Times New Roman"/>
          <w:color w:val="000000" w:themeColor="text1"/>
        </w:rPr>
      </w:pPr>
      <w:r w:rsidRPr="009476D9">
        <w:rPr>
          <w:rFonts w:ascii="Times New Roman" w:hAnsi="Times New Roman" w:cs="Times New Roman"/>
          <w:color w:val="000000" w:themeColor="text1"/>
        </w:rPr>
        <w:t xml:space="preserve">Organic matter analyzed at a very low level in the topsoil 2.4% and subsoil 2.1 % NH3-NItrogen 0.15% to 0.12, and Phosphorus P2O5 9.2mg/kg to 7.8 mg/kg respectively.  </w:t>
      </w:r>
    </w:p>
    <w:p w14:paraId="32C688A1" w14:textId="77777777" w:rsidR="008A631F" w:rsidRPr="009476D9" w:rsidRDefault="008A631F" w:rsidP="008A631F">
      <w:pPr>
        <w:spacing w:line="240" w:lineRule="auto"/>
        <w:jc w:val="both"/>
        <w:rPr>
          <w:rFonts w:ascii="Times New Roman" w:hAnsi="Times New Roman" w:cs="Times New Roman"/>
          <w:b/>
          <w:bCs/>
          <w:color w:val="000000" w:themeColor="text1"/>
        </w:rPr>
      </w:pPr>
    </w:p>
    <w:p w14:paraId="05746148" w14:textId="77777777" w:rsidR="008A631F" w:rsidRPr="009476D9" w:rsidRDefault="008A631F" w:rsidP="008A631F">
      <w:pPr>
        <w:spacing w:line="240" w:lineRule="auto"/>
        <w:jc w:val="both"/>
        <w:rPr>
          <w:rFonts w:ascii="Times New Roman" w:hAnsi="Times New Roman" w:cs="Times New Roman"/>
          <w:b/>
          <w:bCs/>
          <w:color w:val="000000" w:themeColor="text1"/>
        </w:rPr>
      </w:pPr>
      <w:r w:rsidRPr="009476D9">
        <w:rPr>
          <w:rFonts w:ascii="Times New Roman" w:hAnsi="Times New Roman" w:cs="Times New Roman"/>
          <w:b/>
          <w:bCs/>
          <w:color w:val="000000" w:themeColor="text1"/>
        </w:rPr>
        <w:t>Major Conclusion</w:t>
      </w:r>
    </w:p>
    <w:p w14:paraId="5CC4C3FF" w14:textId="77777777" w:rsidR="008A631F" w:rsidRPr="009476D9" w:rsidRDefault="008A631F" w:rsidP="008A631F">
      <w:pPr>
        <w:spacing w:line="240" w:lineRule="auto"/>
        <w:jc w:val="both"/>
        <w:rPr>
          <w:rFonts w:ascii="Times New Roman" w:hAnsi="Times New Roman" w:cs="Times New Roman"/>
          <w:color w:val="000000" w:themeColor="text1"/>
        </w:rPr>
      </w:pPr>
      <w:r w:rsidRPr="009476D9">
        <w:rPr>
          <w:rFonts w:ascii="Times New Roman" w:hAnsi="Times New Roman" w:cs="Times New Roman"/>
          <w:color w:val="000000" w:themeColor="text1"/>
        </w:rPr>
        <w:t>Soils are moderately suitable for agriculture; these have good drainage and aeration indices mainly attributed to sandy loam textures. Applying of compost, fresh manure, minimum tillage and crop rotation to improve health of the soil and to sustain crop production.</w:t>
      </w:r>
    </w:p>
    <w:p w14:paraId="039FFA5D" w14:textId="594A21B8" w:rsidR="008A631F" w:rsidRPr="009476D9" w:rsidRDefault="009476D9" w:rsidP="008A631F">
      <w:pPr>
        <w:jc w:val="both"/>
        <w:rPr>
          <w:rFonts w:ascii="Times New Roman" w:hAnsi="Times New Roman" w:cs="Times New Roman"/>
          <w:b/>
          <w:iCs/>
          <w:color w:val="000000" w:themeColor="text1"/>
          <w:sz w:val="24"/>
          <w:szCs w:val="24"/>
        </w:rPr>
      </w:pPr>
      <w:r w:rsidRPr="009476D9">
        <w:rPr>
          <w:rFonts w:ascii="Times New Roman" w:hAnsi="Times New Roman" w:cs="Times New Roman"/>
          <w:b/>
          <w:iCs/>
          <w:color w:val="000000" w:themeColor="text1"/>
          <w:sz w:val="24"/>
          <w:szCs w:val="24"/>
        </w:rPr>
        <w:t xml:space="preserve">Ethical Approval: </w:t>
      </w:r>
    </w:p>
    <w:p w14:paraId="39898724" w14:textId="20B60865" w:rsidR="009476D9" w:rsidRPr="009476D9" w:rsidRDefault="009476D9" w:rsidP="008A631F">
      <w:pPr>
        <w:jc w:val="both"/>
        <w:rPr>
          <w:rFonts w:ascii="Times New Roman" w:hAnsi="Times New Roman" w:cs="Times New Roman"/>
          <w:iCs/>
          <w:color w:val="000000" w:themeColor="text1"/>
          <w:sz w:val="24"/>
          <w:szCs w:val="24"/>
        </w:rPr>
      </w:pPr>
      <w:r w:rsidRPr="009476D9">
        <w:rPr>
          <w:rFonts w:ascii="Times New Roman" w:hAnsi="Times New Roman" w:cs="Times New Roman"/>
          <w:iCs/>
          <w:color w:val="000000" w:themeColor="text1"/>
          <w:sz w:val="24"/>
          <w:szCs w:val="24"/>
        </w:rPr>
        <w:t xml:space="preserve">The study required permission and sample permission from the authorities and stakeholders in the </w:t>
      </w:r>
      <w:proofErr w:type="spellStart"/>
      <w:r w:rsidRPr="009476D9">
        <w:rPr>
          <w:rFonts w:ascii="Times New Roman" w:hAnsi="Times New Roman" w:cs="Times New Roman"/>
          <w:iCs/>
          <w:color w:val="000000" w:themeColor="text1"/>
          <w:sz w:val="24"/>
          <w:szCs w:val="24"/>
        </w:rPr>
        <w:t>Afram</w:t>
      </w:r>
      <w:proofErr w:type="spellEnd"/>
      <w:r w:rsidRPr="009476D9">
        <w:rPr>
          <w:rFonts w:ascii="Times New Roman" w:hAnsi="Times New Roman" w:cs="Times New Roman"/>
          <w:iCs/>
          <w:color w:val="000000" w:themeColor="text1"/>
          <w:sz w:val="24"/>
          <w:szCs w:val="24"/>
        </w:rPr>
        <w:t xml:space="preserve"> Plains hence the permission was sought and granted</w:t>
      </w:r>
    </w:p>
    <w:p w14:paraId="28B4712D" w14:textId="77777777" w:rsidR="008A631F" w:rsidRPr="009476D9" w:rsidRDefault="008A631F" w:rsidP="001035AF">
      <w:pPr>
        <w:jc w:val="both"/>
        <w:rPr>
          <w:rFonts w:ascii="Times New Roman" w:hAnsi="Times New Roman" w:cs="Times New Roman"/>
          <w:noProof/>
          <w:color w:val="000000" w:themeColor="text1"/>
          <w:sz w:val="24"/>
          <w:szCs w:val="24"/>
        </w:rPr>
      </w:pPr>
    </w:p>
    <w:p w14:paraId="542A9A2A" w14:textId="20C13A08" w:rsidR="00633009" w:rsidRPr="009476D9" w:rsidRDefault="00633009" w:rsidP="00633009">
      <w:pPr>
        <w:jc w:val="both"/>
        <w:rPr>
          <w:rFonts w:ascii="Times New Roman" w:hAnsi="Times New Roman" w:cs="Times New Roman"/>
          <w:bCs/>
          <w:noProof/>
          <w:color w:val="000000" w:themeColor="text1"/>
          <w:sz w:val="24"/>
          <w:szCs w:val="24"/>
        </w:rPr>
      </w:pPr>
      <w:r w:rsidRPr="009476D9">
        <w:rPr>
          <w:rFonts w:ascii="Times New Roman" w:hAnsi="Times New Roman" w:cs="Times New Roman"/>
          <w:b/>
          <w:bCs/>
          <w:noProof/>
          <w:color w:val="000000" w:themeColor="text1"/>
          <w:sz w:val="24"/>
          <w:szCs w:val="24"/>
        </w:rPr>
        <w:t xml:space="preserve">Data Availabilty </w:t>
      </w:r>
    </w:p>
    <w:p w14:paraId="01690FAF" w14:textId="69339FA5" w:rsidR="00633009" w:rsidRPr="009476D9" w:rsidRDefault="00633009" w:rsidP="00633009">
      <w:pPr>
        <w:jc w:val="both"/>
        <w:rPr>
          <w:rFonts w:ascii="Times New Roman" w:hAnsi="Times New Roman" w:cs="Times New Roman"/>
          <w:bCs/>
          <w:noProof/>
          <w:color w:val="000000" w:themeColor="text1"/>
          <w:sz w:val="24"/>
          <w:szCs w:val="24"/>
        </w:rPr>
      </w:pPr>
      <w:r w:rsidRPr="009476D9">
        <w:rPr>
          <w:rFonts w:ascii="Times New Roman" w:hAnsi="Times New Roman" w:cs="Times New Roman"/>
          <w:bCs/>
          <w:noProof/>
          <w:color w:val="000000" w:themeColor="text1"/>
          <w:sz w:val="24"/>
          <w:szCs w:val="24"/>
        </w:rPr>
        <w:t>The data used in this study on the comprehensive laboratory analysis of soil properties and quality in the Afram Plains is derived from standardized soil testing methods. All raw data, including soil samples, test results, and analytical procedures, are available upon request.  Data is made accessible to foster transparency and further research in soil quality and its implications for agriculture and environmental sustainability in the region.The data generated and analyzed during this study are available upon reasonable request from the corresponding author.</w:t>
      </w:r>
    </w:p>
    <w:p w14:paraId="7C8062EA" w14:textId="645FB360" w:rsidR="00602712" w:rsidRPr="009476D9" w:rsidRDefault="00602712" w:rsidP="00633009">
      <w:pPr>
        <w:jc w:val="both"/>
        <w:rPr>
          <w:rFonts w:ascii="Times New Roman" w:hAnsi="Times New Roman" w:cs="Times New Roman"/>
          <w:bCs/>
          <w:noProof/>
          <w:color w:val="000000" w:themeColor="text1"/>
          <w:sz w:val="24"/>
          <w:szCs w:val="24"/>
        </w:rPr>
      </w:pPr>
    </w:p>
    <w:p w14:paraId="059DEE5C" w14:textId="77777777" w:rsidR="00602712" w:rsidRPr="009476D9" w:rsidRDefault="00602712" w:rsidP="00602712">
      <w:pPr>
        <w:rPr>
          <w:rFonts w:ascii="Times New Roman" w:eastAsia="Calibri" w:hAnsi="Times New Roman" w:cs="Times New Roman"/>
          <w:b/>
          <w:color w:val="000000" w:themeColor="text1"/>
          <w:kern w:val="2"/>
          <w:sz w:val="24"/>
          <w:szCs w:val="24"/>
        </w:rPr>
      </w:pPr>
      <w:bookmarkStart w:id="1" w:name="_Hlk180402183"/>
      <w:bookmarkStart w:id="2" w:name="_Hlk183680988"/>
      <w:r w:rsidRPr="009476D9">
        <w:rPr>
          <w:rFonts w:ascii="Times New Roman" w:eastAsia="Calibri" w:hAnsi="Times New Roman" w:cs="Times New Roman"/>
          <w:b/>
          <w:color w:val="000000" w:themeColor="text1"/>
          <w:kern w:val="2"/>
          <w:sz w:val="24"/>
          <w:szCs w:val="24"/>
        </w:rPr>
        <w:t>Disclaimer (Artificial intelligence)</w:t>
      </w:r>
    </w:p>
    <w:p w14:paraId="311B82F5" w14:textId="77777777" w:rsidR="0019435E" w:rsidRPr="009476D9" w:rsidRDefault="0019435E" w:rsidP="0019435E">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b/>
          <w:bCs/>
          <w:color w:val="000000" w:themeColor="text1"/>
          <w:sz w:val="24"/>
          <w:szCs w:val="24"/>
        </w:rPr>
        <w:t>Option 1:</w:t>
      </w:r>
    </w:p>
    <w:p w14:paraId="46715A31" w14:textId="61230BF7" w:rsidR="00602712" w:rsidRPr="009476D9" w:rsidRDefault="0019435E" w:rsidP="0019435E">
      <w:pPr>
        <w:spacing w:before="100" w:beforeAutospacing="1" w:after="100" w:afterAutospacing="1" w:line="240" w:lineRule="auto"/>
        <w:jc w:val="both"/>
        <w:rPr>
          <w:rFonts w:ascii="Times New Roman" w:eastAsia="Times New Roman" w:hAnsi="Times New Roman" w:cs="Times New Roman"/>
          <w:color w:val="000000" w:themeColor="text1"/>
          <w:sz w:val="24"/>
          <w:szCs w:val="24"/>
        </w:rPr>
      </w:pPr>
      <w:r w:rsidRPr="009476D9">
        <w:rPr>
          <w:rFonts w:ascii="Times New Roman" w:eastAsia="Times New Roman" w:hAnsi="Times New Roman" w:cs="Times New Roman"/>
          <w:color w:val="000000" w:themeColor="text1"/>
          <w:sz w:val="24"/>
          <w:szCs w:val="24"/>
        </w:rPr>
        <w:t>Author(s) hereby declare that NO generative AI technologies such as Large Language Models (</w:t>
      </w:r>
      <w:proofErr w:type="spellStart"/>
      <w:r w:rsidRPr="009476D9">
        <w:rPr>
          <w:rFonts w:ascii="Times New Roman" w:eastAsia="Times New Roman" w:hAnsi="Times New Roman" w:cs="Times New Roman"/>
          <w:color w:val="000000" w:themeColor="text1"/>
          <w:sz w:val="24"/>
          <w:szCs w:val="24"/>
        </w:rPr>
        <w:t>ChatGPT</w:t>
      </w:r>
      <w:proofErr w:type="spellEnd"/>
      <w:r w:rsidRPr="009476D9">
        <w:rPr>
          <w:rFonts w:ascii="Times New Roman" w:eastAsia="Times New Roman" w:hAnsi="Times New Roman" w:cs="Times New Roman"/>
          <w:color w:val="000000" w:themeColor="text1"/>
          <w:sz w:val="24"/>
          <w:szCs w:val="24"/>
        </w:rPr>
        <w:t>, COPILOT, etc.) and text-to-image generators have been used during the writing or editing of this manuscript.</w:t>
      </w:r>
      <w:bookmarkEnd w:id="1"/>
      <w:bookmarkEnd w:id="2"/>
    </w:p>
    <w:p w14:paraId="16E5C7A2" w14:textId="0E9A7725" w:rsidR="00781D62" w:rsidRPr="009476D9" w:rsidRDefault="00781D62" w:rsidP="0038381C">
      <w:pPr>
        <w:jc w:val="both"/>
        <w:rPr>
          <w:rFonts w:ascii="Times New Roman" w:hAnsi="Times New Roman" w:cs="Times New Roman"/>
          <w:b/>
          <w:bCs/>
          <w:noProof/>
          <w:color w:val="000000" w:themeColor="text1"/>
          <w:sz w:val="24"/>
          <w:szCs w:val="24"/>
        </w:rPr>
      </w:pPr>
    </w:p>
    <w:p w14:paraId="17B8898A" w14:textId="31A4B5F8" w:rsidR="00963CC6" w:rsidRPr="009476D9" w:rsidRDefault="0038381C" w:rsidP="0038381C">
      <w:pPr>
        <w:jc w:val="both"/>
        <w:rPr>
          <w:rFonts w:ascii="Times New Roman" w:hAnsi="Times New Roman" w:cs="Times New Roman"/>
          <w:b/>
          <w:bCs/>
          <w:noProof/>
          <w:color w:val="000000" w:themeColor="text1"/>
          <w:sz w:val="24"/>
          <w:szCs w:val="24"/>
        </w:rPr>
      </w:pPr>
      <w:r w:rsidRPr="009476D9">
        <w:rPr>
          <w:rFonts w:ascii="Times New Roman" w:hAnsi="Times New Roman" w:cs="Times New Roman"/>
          <w:b/>
          <w:bCs/>
          <w:noProof/>
          <w:color w:val="000000" w:themeColor="text1"/>
          <w:sz w:val="24"/>
          <w:szCs w:val="24"/>
        </w:rPr>
        <w:t>References</w:t>
      </w:r>
    </w:p>
    <w:p w14:paraId="2B68E5F3"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Aninakwah, E., Aninakwah, I., &amp; Okyere, E. Y. (2025). Quantitative Analysis of Plastic Waste Accumulation in Coastal Ghana: Implications for Waste Management. </w:t>
      </w:r>
      <w:r w:rsidRPr="009476D9">
        <w:rPr>
          <w:rFonts w:ascii="Times New Roman" w:hAnsi="Times New Roman" w:cs="Times New Roman"/>
          <w:i/>
          <w:iCs/>
          <w:noProof/>
          <w:color w:val="000000" w:themeColor="text1"/>
          <w:sz w:val="24"/>
          <w:szCs w:val="24"/>
        </w:rPr>
        <w:t>Communication in Physical Sciences</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12</w:t>
      </w:r>
      <w:r w:rsidRPr="009476D9">
        <w:rPr>
          <w:rFonts w:ascii="Times New Roman" w:hAnsi="Times New Roman" w:cs="Times New Roman"/>
          <w:noProof/>
          <w:color w:val="000000" w:themeColor="text1"/>
          <w:sz w:val="24"/>
          <w:szCs w:val="24"/>
        </w:rPr>
        <w:t>(3), 808-822.</w:t>
      </w:r>
    </w:p>
    <w:p w14:paraId="724A5F76"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Bationo, A., Singh, U., Dossa, E., Wendt, J., Agiyin-Birikorang, S., Lompo, F., &amp; Bindraban, P. (2020). Improving soil fertility through fertilizer management in sub-Saharan Africa. In </w:t>
      </w:r>
      <w:r w:rsidRPr="009476D9">
        <w:rPr>
          <w:rFonts w:ascii="Times New Roman" w:hAnsi="Times New Roman" w:cs="Times New Roman"/>
          <w:i/>
          <w:iCs/>
          <w:noProof/>
          <w:color w:val="000000" w:themeColor="text1"/>
          <w:sz w:val="24"/>
          <w:szCs w:val="24"/>
        </w:rPr>
        <w:t>Soil and Fertilizers</w:t>
      </w:r>
      <w:r w:rsidRPr="009476D9">
        <w:rPr>
          <w:rFonts w:ascii="Times New Roman" w:hAnsi="Times New Roman" w:cs="Times New Roman"/>
          <w:noProof/>
          <w:color w:val="000000" w:themeColor="text1"/>
          <w:sz w:val="24"/>
          <w:szCs w:val="24"/>
        </w:rPr>
        <w:t> (pp. 67-102). CRC Press.</w:t>
      </w:r>
    </w:p>
    <w:p w14:paraId="2A3D16F2"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Benin, S., Johnson, M., Abokyi, E., Ahorbo, G., Jimah, K., Nasser, G., Owusu, V., Taabazuing, J., &amp; Tenga, A. (2013). Revisiting agricultural input and farm support subsidies in Africa: The case of Ghana’s mechanization, fertilizer, block farms, and marketing programs. </w:t>
      </w:r>
      <w:r w:rsidRPr="009476D9">
        <w:rPr>
          <w:rFonts w:ascii="Times New Roman" w:hAnsi="Times New Roman" w:cs="Times New Roman"/>
          <w:i/>
          <w:iCs/>
          <w:noProof/>
          <w:color w:val="000000" w:themeColor="text1"/>
          <w:sz w:val="24"/>
          <w:szCs w:val="24"/>
        </w:rPr>
        <w:t>International Food Policy Research Institute (IFPRI) Discussion Paper 01300</w:t>
      </w:r>
      <w:r w:rsidRPr="009476D9">
        <w:rPr>
          <w:rFonts w:ascii="Times New Roman" w:hAnsi="Times New Roman" w:cs="Times New Roman"/>
          <w:noProof/>
          <w:color w:val="000000" w:themeColor="text1"/>
          <w:sz w:val="24"/>
          <w:szCs w:val="24"/>
        </w:rPr>
        <w:t>. International Food Policy Research Institute.</w:t>
      </w:r>
    </w:p>
    <w:p w14:paraId="04A61D1B"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Chauhan, M., Kumar, M., &amp; Kumar, A. (2020). Impact of carbon stocks of Anogeissus latifolia on climate change and socioeconomic development: A case study of Garhwal Himalaya, India. </w:t>
      </w:r>
      <w:r w:rsidRPr="009476D9">
        <w:rPr>
          <w:rFonts w:ascii="Times New Roman" w:hAnsi="Times New Roman" w:cs="Times New Roman"/>
          <w:i/>
          <w:iCs/>
          <w:noProof/>
          <w:color w:val="000000" w:themeColor="text1"/>
          <w:sz w:val="24"/>
          <w:szCs w:val="24"/>
        </w:rPr>
        <w:t>Water, Air, &amp; Soil Pollution</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231</w:t>
      </w:r>
      <w:r w:rsidRPr="009476D9">
        <w:rPr>
          <w:rFonts w:ascii="Times New Roman" w:hAnsi="Times New Roman" w:cs="Times New Roman"/>
          <w:noProof/>
          <w:color w:val="000000" w:themeColor="text1"/>
          <w:sz w:val="24"/>
          <w:szCs w:val="24"/>
        </w:rPr>
        <w:t>(8), 436.</w:t>
      </w:r>
    </w:p>
    <w:p w14:paraId="73B74A74"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Eugenio, N. R., Nachtergaele, F., Biancalani, R., Emiliano, M., Benedetti, F., &amp; Li, L. (2024). Working Together for Soils: The Longstanding Collaboration Between FAO and the IUSS. In </w:t>
      </w:r>
      <w:r w:rsidRPr="009476D9">
        <w:rPr>
          <w:rFonts w:ascii="Times New Roman" w:hAnsi="Times New Roman" w:cs="Times New Roman"/>
          <w:i/>
          <w:iCs/>
          <w:noProof/>
          <w:color w:val="000000" w:themeColor="text1"/>
          <w:sz w:val="24"/>
          <w:szCs w:val="24"/>
        </w:rPr>
        <w:t>Soil Science in Italy: 1861 to 2024</w:t>
      </w:r>
      <w:r w:rsidRPr="009476D9">
        <w:rPr>
          <w:rFonts w:ascii="Times New Roman" w:hAnsi="Times New Roman" w:cs="Times New Roman"/>
          <w:noProof/>
          <w:color w:val="000000" w:themeColor="text1"/>
          <w:sz w:val="24"/>
          <w:szCs w:val="24"/>
        </w:rPr>
        <w:t> (pp. 649-653). Cham: Springer International Publishing.</w:t>
      </w:r>
    </w:p>
    <w:p w14:paraId="59B04671"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bCs/>
          <w:noProof/>
          <w:color w:val="000000" w:themeColor="text1"/>
          <w:sz w:val="24"/>
          <w:szCs w:val="24"/>
        </w:rPr>
        <w:t>FAO. (2021</w:t>
      </w:r>
      <w:r w:rsidRPr="009476D9">
        <w:rPr>
          <w:rFonts w:ascii="Times New Roman" w:hAnsi="Times New Roman" w:cs="Times New Roman"/>
          <w:b/>
          <w:bCs/>
          <w:noProof/>
          <w:color w:val="000000" w:themeColor="text1"/>
          <w:sz w:val="24"/>
          <w:szCs w:val="24"/>
        </w:rPr>
        <w:t>).</w:t>
      </w:r>
      <w:r w:rsidRPr="009476D9">
        <w:rPr>
          <w:rFonts w:ascii="Times New Roman" w:hAnsi="Times New Roman" w:cs="Times New Roman"/>
          <w:noProof/>
          <w:color w:val="000000" w:themeColor="text1"/>
          <w:sz w:val="24"/>
          <w:szCs w:val="24"/>
        </w:rPr>
        <w:t xml:space="preserve"> </w:t>
      </w:r>
      <w:r w:rsidRPr="009476D9">
        <w:rPr>
          <w:rFonts w:ascii="Times New Roman" w:hAnsi="Times New Roman" w:cs="Times New Roman"/>
          <w:i/>
          <w:iCs/>
          <w:noProof/>
          <w:color w:val="000000" w:themeColor="text1"/>
          <w:sz w:val="24"/>
          <w:szCs w:val="24"/>
        </w:rPr>
        <w:t>The state of the world’s soil resources: Summary for policymakers.</w:t>
      </w:r>
      <w:r w:rsidRPr="009476D9">
        <w:rPr>
          <w:rFonts w:ascii="Times New Roman" w:hAnsi="Times New Roman" w:cs="Times New Roman"/>
          <w:noProof/>
          <w:color w:val="000000" w:themeColor="text1"/>
          <w:sz w:val="24"/>
          <w:szCs w:val="24"/>
        </w:rPr>
        <w:t xml:space="preserve"> Food and Agriculture Organization of the United Nations. </w:t>
      </w:r>
      <w:hyperlink r:id="rId12" w:tgtFrame="_new" w:history="1">
        <w:r w:rsidRPr="009476D9">
          <w:rPr>
            <w:rStyle w:val="Hyperlink"/>
            <w:rFonts w:ascii="Times New Roman" w:hAnsi="Times New Roman" w:cs="Times New Roman"/>
            <w:noProof/>
            <w:color w:val="000000" w:themeColor="text1"/>
            <w:sz w:val="24"/>
            <w:szCs w:val="24"/>
          </w:rPr>
          <w:t>https://www.fao.org/3/i5199e/i5199e.pdf</w:t>
        </w:r>
      </w:hyperlink>
    </w:p>
    <w:p w14:paraId="290DA2C7"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bookmarkStart w:id="3" w:name="_GoBack"/>
      <w:bookmarkEnd w:id="3"/>
      <w:r w:rsidRPr="009476D9">
        <w:rPr>
          <w:rFonts w:ascii="Times New Roman" w:hAnsi="Times New Roman" w:cs="Times New Roman"/>
          <w:noProof/>
          <w:color w:val="000000" w:themeColor="text1"/>
          <w:sz w:val="24"/>
          <w:szCs w:val="24"/>
        </w:rPr>
        <w:t>González-Romero, A., Rico, P. E., Alastuey, A., Moreno, N., Querol, X., &amp; Córdoba Sola, P. (2025). Spatial variability of metal pollution in sands and sandy soils of playgrounds and parks in the Barcelona metropolitan area: assessing the impact of urban and industrial activities. </w:t>
      </w:r>
      <w:r w:rsidRPr="009476D9">
        <w:rPr>
          <w:rFonts w:ascii="Times New Roman" w:hAnsi="Times New Roman" w:cs="Times New Roman"/>
          <w:i/>
          <w:iCs/>
          <w:noProof/>
          <w:color w:val="000000" w:themeColor="text1"/>
          <w:sz w:val="24"/>
          <w:szCs w:val="24"/>
        </w:rPr>
        <w:t>Air Quality, Atmosphere &amp; Health</w:t>
      </w:r>
      <w:r w:rsidRPr="009476D9">
        <w:rPr>
          <w:rFonts w:ascii="Times New Roman" w:hAnsi="Times New Roman" w:cs="Times New Roman"/>
          <w:noProof/>
          <w:color w:val="000000" w:themeColor="text1"/>
          <w:sz w:val="24"/>
          <w:szCs w:val="24"/>
        </w:rPr>
        <w:t>, 1-15.</w:t>
      </w:r>
    </w:p>
    <w:p w14:paraId="0B2A80E4"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Goulding, D. A., O'Regan, J., Bovetto, L., O'Brien, N. M., &amp; O'Mahony, J. A. (2021). Influence of thermal processing on the physicochemical properties of bovine lactoferrin. </w:t>
      </w:r>
      <w:r w:rsidRPr="009476D9">
        <w:rPr>
          <w:rFonts w:ascii="Times New Roman" w:hAnsi="Times New Roman" w:cs="Times New Roman"/>
          <w:i/>
          <w:iCs/>
          <w:noProof/>
          <w:color w:val="000000" w:themeColor="text1"/>
          <w:sz w:val="24"/>
          <w:szCs w:val="24"/>
        </w:rPr>
        <w:t>International Dairy Journal</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119</w:t>
      </w:r>
      <w:r w:rsidRPr="009476D9">
        <w:rPr>
          <w:rFonts w:ascii="Times New Roman" w:hAnsi="Times New Roman" w:cs="Times New Roman"/>
          <w:noProof/>
          <w:color w:val="000000" w:themeColor="text1"/>
          <w:sz w:val="24"/>
          <w:szCs w:val="24"/>
        </w:rPr>
        <w:t>, 105001.</w:t>
      </w:r>
    </w:p>
    <w:p w14:paraId="789F6113"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Grandin, J. (2024). </w:t>
      </w:r>
      <w:r w:rsidRPr="009476D9">
        <w:rPr>
          <w:rFonts w:ascii="Times New Roman" w:hAnsi="Times New Roman" w:cs="Times New Roman"/>
          <w:i/>
          <w:iCs/>
          <w:noProof/>
          <w:color w:val="000000" w:themeColor="text1"/>
          <w:sz w:val="24"/>
          <w:szCs w:val="24"/>
        </w:rPr>
        <w:t>Soil sampling during a dry season</w:t>
      </w:r>
      <w:r w:rsidRPr="009476D9">
        <w:rPr>
          <w:rFonts w:ascii="Times New Roman" w:hAnsi="Times New Roman" w:cs="Times New Roman"/>
          <w:noProof/>
          <w:color w:val="000000" w:themeColor="text1"/>
          <w:sz w:val="24"/>
          <w:szCs w:val="24"/>
        </w:rPr>
        <w:t xml:space="preserve">. Trace Genomics. Retrieved April 27, 2025, from </w:t>
      </w:r>
      <w:hyperlink r:id="rId13" w:tgtFrame="_new" w:history="1">
        <w:r w:rsidRPr="009476D9">
          <w:rPr>
            <w:rStyle w:val="Hyperlink"/>
            <w:rFonts w:ascii="Times New Roman" w:hAnsi="Times New Roman" w:cs="Times New Roman"/>
            <w:noProof/>
            <w:color w:val="000000" w:themeColor="text1"/>
            <w:sz w:val="24"/>
            <w:szCs w:val="24"/>
          </w:rPr>
          <w:t>https://tracegenomics.com/dry-season-soil-sampling/</w:t>
        </w:r>
      </w:hyperlink>
    </w:p>
    <w:p w14:paraId="155C033A"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Griffioen, J. (2016). ''The nation that destroys its soil destroys itself. </w:t>
      </w:r>
      <w:r w:rsidRPr="009476D9">
        <w:rPr>
          <w:rFonts w:ascii="Times New Roman" w:hAnsi="Times New Roman" w:cs="Times New Roman"/>
          <w:i/>
          <w:iCs/>
          <w:noProof/>
          <w:color w:val="000000" w:themeColor="text1"/>
          <w:sz w:val="24"/>
          <w:szCs w:val="24"/>
        </w:rPr>
        <w:t>Bodem</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2016</w:t>
      </w:r>
      <w:r w:rsidRPr="009476D9">
        <w:rPr>
          <w:rFonts w:ascii="Times New Roman" w:hAnsi="Times New Roman" w:cs="Times New Roman"/>
          <w:noProof/>
          <w:color w:val="000000" w:themeColor="text1"/>
          <w:sz w:val="24"/>
          <w:szCs w:val="24"/>
        </w:rPr>
        <w:t>(4), 30-30.</w:t>
      </w:r>
    </w:p>
    <w:p w14:paraId="05F47C26"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Industrial Faith City. (n.d.). </w:t>
      </w:r>
      <w:r w:rsidRPr="009476D9">
        <w:rPr>
          <w:rFonts w:ascii="Times New Roman" w:hAnsi="Times New Roman" w:cs="Times New Roman"/>
          <w:i/>
          <w:iCs/>
          <w:noProof/>
          <w:color w:val="000000" w:themeColor="text1"/>
          <w:sz w:val="24"/>
          <w:szCs w:val="24"/>
        </w:rPr>
        <w:t>Afram Plains: The Forgotten Hub of Potentials and the Struggles of Progress</w:t>
      </w:r>
      <w:r w:rsidRPr="009476D9">
        <w:rPr>
          <w:rFonts w:ascii="Times New Roman" w:hAnsi="Times New Roman" w:cs="Times New Roman"/>
          <w:noProof/>
          <w:color w:val="000000" w:themeColor="text1"/>
          <w:sz w:val="24"/>
          <w:szCs w:val="24"/>
        </w:rPr>
        <w:t xml:space="preserve">. Retrieved April 27, 2025, from </w:t>
      </w:r>
      <w:hyperlink r:id="rId14" w:tgtFrame="_new" w:history="1">
        <w:r w:rsidRPr="009476D9">
          <w:rPr>
            <w:rStyle w:val="Hyperlink"/>
            <w:rFonts w:ascii="Times New Roman" w:hAnsi="Times New Roman" w:cs="Times New Roman"/>
            <w:noProof/>
            <w:color w:val="000000" w:themeColor="text1"/>
            <w:sz w:val="24"/>
            <w:szCs w:val="24"/>
          </w:rPr>
          <w:t>https://aframplainsstories.com/afram-plains-the-forgotten-hub-of-potentials-and-the-struggles-of-progress/</w:t>
        </w:r>
      </w:hyperlink>
    </w:p>
    <w:p w14:paraId="0F4B7A80"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Jenny, H. (1958). Role of the plant factor in the pedogenic functions. </w:t>
      </w:r>
      <w:r w:rsidRPr="009476D9">
        <w:rPr>
          <w:rFonts w:ascii="Times New Roman" w:hAnsi="Times New Roman" w:cs="Times New Roman"/>
          <w:i/>
          <w:iCs/>
          <w:noProof/>
          <w:color w:val="000000" w:themeColor="text1"/>
          <w:sz w:val="24"/>
          <w:szCs w:val="24"/>
        </w:rPr>
        <w:t>Ecology</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39</w:t>
      </w:r>
      <w:r w:rsidRPr="009476D9">
        <w:rPr>
          <w:rFonts w:ascii="Times New Roman" w:hAnsi="Times New Roman" w:cs="Times New Roman"/>
          <w:noProof/>
          <w:color w:val="000000" w:themeColor="text1"/>
          <w:sz w:val="24"/>
          <w:szCs w:val="24"/>
        </w:rPr>
        <w:t>(1), 5-16.</w:t>
      </w:r>
    </w:p>
    <w:p w14:paraId="5DA738EB"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Karstens, K., Bodirsky, B. L., Dietrich, J. P., Dondini, M., Heinke, J., Kuhnert, M., ... &amp; Popp, A. (2022). Management-induced changes in soil organic carbon on global croplands. </w:t>
      </w:r>
      <w:r w:rsidRPr="009476D9">
        <w:rPr>
          <w:rFonts w:ascii="Times New Roman" w:hAnsi="Times New Roman" w:cs="Times New Roman"/>
          <w:i/>
          <w:iCs/>
          <w:noProof/>
          <w:color w:val="000000" w:themeColor="text1"/>
          <w:sz w:val="24"/>
          <w:szCs w:val="24"/>
        </w:rPr>
        <w:t>Biogeosciences</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19</w:t>
      </w:r>
      <w:r w:rsidRPr="009476D9">
        <w:rPr>
          <w:rFonts w:ascii="Times New Roman" w:hAnsi="Times New Roman" w:cs="Times New Roman"/>
          <w:noProof/>
          <w:color w:val="000000" w:themeColor="text1"/>
          <w:sz w:val="24"/>
          <w:szCs w:val="24"/>
        </w:rPr>
        <w:t>(21), 5125-5149.</w:t>
      </w:r>
    </w:p>
    <w:p w14:paraId="733F86F4"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Karthika, K. S., Rashmi, I., &amp; Parvathi, M. S. (2018). Biological functions, uptake and transport of essential nutrients in relation to plant growth. </w:t>
      </w:r>
      <w:r w:rsidRPr="009476D9">
        <w:rPr>
          <w:rFonts w:ascii="Times New Roman" w:hAnsi="Times New Roman" w:cs="Times New Roman"/>
          <w:i/>
          <w:iCs/>
          <w:noProof/>
          <w:color w:val="000000" w:themeColor="text1"/>
          <w:sz w:val="24"/>
          <w:szCs w:val="24"/>
        </w:rPr>
        <w:t>Plant nutrients and abiotic stress tolerance</w:t>
      </w:r>
      <w:r w:rsidRPr="009476D9">
        <w:rPr>
          <w:rFonts w:ascii="Times New Roman" w:hAnsi="Times New Roman" w:cs="Times New Roman"/>
          <w:noProof/>
          <w:color w:val="000000" w:themeColor="text1"/>
          <w:sz w:val="24"/>
          <w:szCs w:val="24"/>
        </w:rPr>
        <w:t>, 1-49.</w:t>
      </w:r>
    </w:p>
    <w:p w14:paraId="67293AF2"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Koné, I., Kouadio, K.-K.H., Kouadio, E.N., Agyare, W.A., Owusu-Prempeh, N., Amponsah, W., &amp; Gaiser, T. (2022). Assessment of soil fertility status in cotton-based cropping systems in Côte d'Ivoire. </w:t>
      </w:r>
      <w:r w:rsidRPr="009476D9">
        <w:rPr>
          <w:rFonts w:ascii="Times New Roman" w:hAnsi="Times New Roman" w:cs="Times New Roman"/>
          <w:i/>
          <w:iCs/>
          <w:noProof/>
          <w:color w:val="000000" w:themeColor="text1"/>
          <w:sz w:val="24"/>
          <w:szCs w:val="24"/>
        </w:rPr>
        <w:t>Frontiers in Soil Science, 2</w:t>
      </w:r>
      <w:r w:rsidRPr="009476D9">
        <w:rPr>
          <w:rFonts w:ascii="Times New Roman" w:hAnsi="Times New Roman" w:cs="Times New Roman"/>
          <w:noProof/>
          <w:color w:val="000000" w:themeColor="text1"/>
          <w:sz w:val="24"/>
          <w:szCs w:val="24"/>
        </w:rPr>
        <w:t>, 959325. https://doi.org/10.3389/fsoil.2022.959325</w:t>
      </w:r>
    </w:p>
    <w:p w14:paraId="33C73CF1"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Kuzyakov, Y., &amp; Zamanian, K. (2019). Reviews and syntheses: Agropedogenesis–humankind as the sixth soil-forming factor and attractors of agricultural soil degradation. </w:t>
      </w:r>
      <w:r w:rsidRPr="009476D9">
        <w:rPr>
          <w:rFonts w:ascii="Times New Roman" w:hAnsi="Times New Roman" w:cs="Times New Roman"/>
          <w:i/>
          <w:iCs/>
          <w:noProof/>
          <w:color w:val="000000" w:themeColor="text1"/>
          <w:sz w:val="24"/>
          <w:szCs w:val="24"/>
        </w:rPr>
        <w:t>Biogeosciences</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16</w:t>
      </w:r>
      <w:r w:rsidRPr="009476D9">
        <w:rPr>
          <w:rFonts w:ascii="Times New Roman" w:hAnsi="Times New Roman" w:cs="Times New Roman"/>
          <w:noProof/>
          <w:color w:val="000000" w:themeColor="text1"/>
          <w:sz w:val="24"/>
          <w:szCs w:val="24"/>
        </w:rPr>
        <w:t>(24), 4783-4803.</w:t>
      </w:r>
    </w:p>
    <w:p w14:paraId="7D79BA05"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Lal, R. (2015). Restoring soil quality to mitigate soil degradation. </w:t>
      </w:r>
      <w:r w:rsidRPr="009476D9">
        <w:rPr>
          <w:rFonts w:ascii="Times New Roman" w:hAnsi="Times New Roman" w:cs="Times New Roman"/>
          <w:i/>
          <w:iCs/>
          <w:noProof/>
          <w:color w:val="000000" w:themeColor="text1"/>
          <w:sz w:val="24"/>
          <w:szCs w:val="24"/>
        </w:rPr>
        <w:t>Sustainability</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7</w:t>
      </w:r>
      <w:r w:rsidRPr="009476D9">
        <w:rPr>
          <w:rFonts w:ascii="Times New Roman" w:hAnsi="Times New Roman" w:cs="Times New Roman"/>
          <w:noProof/>
          <w:color w:val="000000" w:themeColor="text1"/>
          <w:sz w:val="24"/>
          <w:szCs w:val="24"/>
        </w:rPr>
        <w:t>(5), 5875-5895.</w:t>
      </w:r>
    </w:p>
    <w:p w14:paraId="41E2552A"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Lal, R. (2020). Soil organic matter content and crop yield. </w:t>
      </w:r>
      <w:r w:rsidRPr="009476D9">
        <w:rPr>
          <w:rFonts w:ascii="Times New Roman" w:hAnsi="Times New Roman" w:cs="Times New Roman"/>
          <w:i/>
          <w:iCs/>
          <w:noProof/>
          <w:color w:val="000000" w:themeColor="text1"/>
          <w:sz w:val="24"/>
          <w:szCs w:val="24"/>
        </w:rPr>
        <w:t>Journal of Soil and Water Conservation</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75</w:t>
      </w:r>
      <w:r w:rsidRPr="009476D9">
        <w:rPr>
          <w:rFonts w:ascii="Times New Roman" w:hAnsi="Times New Roman" w:cs="Times New Roman"/>
          <w:noProof/>
          <w:color w:val="000000" w:themeColor="text1"/>
          <w:sz w:val="24"/>
          <w:szCs w:val="24"/>
        </w:rPr>
        <w:t>(2), 27A-32A.</w:t>
      </w:r>
    </w:p>
    <w:p w14:paraId="22EA1622"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Meena, S. N., Sharma, S. K., Singh, P., Ram, A., Meena, B. P., Jain, D., &amp; Nandan, S. (2023). Tillage-based nutrient management practices for sustaining productivity and soil health in the soybean-wheat cropping system in Vertisols of the Indian semi-arid tropics. </w:t>
      </w:r>
      <w:r w:rsidRPr="009476D9">
        <w:rPr>
          <w:rFonts w:ascii="Times New Roman" w:hAnsi="Times New Roman" w:cs="Times New Roman"/>
          <w:i/>
          <w:iCs/>
          <w:noProof/>
          <w:color w:val="000000" w:themeColor="text1"/>
          <w:sz w:val="24"/>
          <w:szCs w:val="24"/>
        </w:rPr>
        <w:t>Frontiers in Sustainable Food Systems</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7</w:t>
      </w:r>
      <w:r w:rsidRPr="009476D9">
        <w:rPr>
          <w:rFonts w:ascii="Times New Roman" w:hAnsi="Times New Roman" w:cs="Times New Roman"/>
          <w:noProof/>
          <w:color w:val="000000" w:themeColor="text1"/>
          <w:sz w:val="24"/>
          <w:szCs w:val="24"/>
        </w:rPr>
        <w:t>, 1234344.</w:t>
      </w:r>
    </w:p>
    <w:p w14:paraId="095FE315"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Mekouar, M. A. (2021). 15. Food and Agriculture Organization of the United Nations (FAO). </w:t>
      </w:r>
      <w:r w:rsidRPr="009476D9">
        <w:rPr>
          <w:rFonts w:ascii="Times New Roman" w:hAnsi="Times New Roman" w:cs="Times New Roman"/>
          <w:i/>
          <w:iCs/>
          <w:noProof/>
          <w:color w:val="000000" w:themeColor="text1"/>
          <w:sz w:val="24"/>
          <w:szCs w:val="24"/>
        </w:rPr>
        <w:t>Yearbook of International Environmental Law</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32</w:t>
      </w:r>
      <w:r w:rsidRPr="009476D9">
        <w:rPr>
          <w:rFonts w:ascii="Times New Roman" w:hAnsi="Times New Roman" w:cs="Times New Roman"/>
          <w:noProof/>
          <w:color w:val="000000" w:themeColor="text1"/>
          <w:sz w:val="24"/>
          <w:szCs w:val="24"/>
        </w:rPr>
        <w:t>(1), 298-304.</w:t>
      </w:r>
    </w:p>
    <w:p w14:paraId="3E97501B"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Otieno, E. O., Kiboi, M. N., Gian, N., Muriuki, A., Musafiri, C. M., &amp; Ngetich, F. K. (2021). Uptake of integrated soil fertility management technologies in heterogeneous smallholder farms in sub-humid tropics. </w:t>
      </w:r>
      <w:r w:rsidRPr="009476D9">
        <w:rPr>
          <w:rFonts w:ascii="Times New Roman" w:hAnsi="Times New Roman" w:cs="Times New Roman"/>
          <w:i/>
          <w:iCs/>
          <w:noProof/>
          <w:color w:val="000000" w:themeColor="text1"/>
          <w:sz w:val="24"/>
          <w:szCs w:val="24"/>
        </w:rPr>
        <w:t>Environmental Challenges</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5</w:t>
      </w:r>
      <w:r w:rsidRPr="009476D9">
        <w:rPr>
          <w:rFonts w:ascii="Times New Roman" w:hAnsi="Times New Roman" w:cs="Times New Roman"/>
          <w:noProof/>
          <w:color w:val="000000" w:themeColor="text1"/>
          <w:sz w:val="24"/>
          <w:szCs w:val="24"/>
        </w:rPr>
        <w:t>, 100394.</w:t>
      </w:r>
    </w:p>
    <w:p w14:paraId="4DE8ED7B"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Peigné, J., Vian, J. F., Cannavacciuolo, M., Lefevre, V., Gautronneau, Y., &amp; Boizard, H. (2013). Assessment of soil structure in the transition layer between topsoil and subsoil using the profil cultural method. </w:t>
      </w:r>
      <w:r w:rsidRPr="009476D9">
        <w:rPr>
          <w:rFonts w:ascii="Times New Roman" w:hAnsi="Times New Roman" w:cs="Times New Roman"/>
          <w:i/>
          <w:iCs/>
          <w:noProof/>
          <w:color w:val="000000" w:themeColor="text1"/>
          <w:sz w:val="24"/>
          <w:szCs w:val="24"/>
        </w:rPr>
        <w:t>Soil and Tillage Research</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127</w:t>
      </w:r>
      <w:r w:rsidRPr="009476D9">
        <w:rPr>
          <w:rFonts w:ascii="Times New Roman" w:hAnsi="Times New Roman" w:cs="Times New Roman"/>
          <w:noProof/>
          <w:color w:val="000000" w:themeColor="text1"/>
          <w:sz w:val="24"/>
          <w:szCs w:val="24"/>
        </w:rPr>
        <w:t>, 13-25.</w:t>
      </w:r>
    </w:p>
    <w:p w14:paraId="7BEB6112"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Raimi, A., Adeleke, R., &amp; Roopnarain, A. (2017). Soil fertility challenges and Biofertiliser as a viable alternative for increasing smallholder farmer crop productivity in sub-Saharan Africa. </w:t>
      </w:r>
      <w:r w:rsidRPr="009476D9">
        <w:rPr>
          <w:rFonts w:ascii="Times New Roman" w:hAnsi="Times New Roman" w:cs="Times New Roman"/>
          <w:i/>
          <w:iCs/>
          <w:noProof/>
          <w:color w:val="000000" w:themeColor="text1"/>
          <w:sz w:val="24"/>
          <w:szCs w:val="24"/>
        </w:rPr>
        <w:t>Cogent Food &amp; Agriculture</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3</w:t>
      </w:r>
      <w:r w:rsidRPr="009476D9">
        <w:rPr>
          <w:rFonts w:ascii="Times New Roman" w:hAnsi="Times New Roman" w:cs="Times New Roman"/>
          <w:noProof/>
          <w:color w:val="000000" w:themeColor="text1"/>
          <w:sz w:val="24"/>
          <w:szCs w:val="24"/>
        </w:rPr>
        <w:t>(1), 1400933.</w:t>
      </w:r>
    </w:p>
    <w:p w14:paraId="0FF7E421"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Rodriguez-Ayllon, M., Cadenas-Sánchez, C., Estévez-López, F., Muñoz, N. E., Mora-Gonzalez, J., Migueles, J. H., ... &amp; Esteban-Cornejo, I. (2019). Role of physical activity and sedentary behavior in the mental health of preschoolers, children and adolescents: a systematic review and meta-analysis. </w:t>
      </w:r>
      <w:r w:rsidRPr="009476D9">
        <w:rPr>
          <w:rFonts w:ascii="Times New Roman" w:hAnsi="Times New Roman" w:cs="Times New Roman"/>
          <w:i/>
          <w:iCs/>
          <w:noProof/>
          <w:color w:val="000000" w:themeColor="text1"/>
          <w:sz w:val="24"/>
          <w:szCs w:val="24"/>
        </w:rPr>
        <w:t>Sports medicine</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49</w:t>
      </w:r>
      <w:r w:rsidRPr="009476D9">
        <w:rPr>
          <w:rFonts w:ascii="Times New Roman" w:hAnsi="Times New Roman" w:cs="Times New Roman"/>
          <w:noProof/>
          <w:color w:val="000000" w:themeColor="text1"/>
          <w:sz w:val="24"/>
          <w:szCs w:val="24"/>
        </w:rPr>
        <w:t>(9), 1383-1410.</w:t>
      </w:r>
    </w:p>
    <w:p w14:paraId="33F791BE"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Sharma, P. K., &amp; Kumar, S. (2023). Management of Soil Physical Environment in Relation to Plant Growth. In </w:t>
      </w:r>
      <w:r w:rsidRPr="009476D9">
        <w:rPr>
          <w:rFonts w:ascii="Times New Roman" w:hAnsi="Times New Roman" w:cs="Times New Roman"/>
          <w:i/>
          <w:iCs/>
          <w:noProof/>
          <w:color w:val="000000" w:themeColor="text1"/>
          <w:sz w:val="24"/>
          <w:szCs w:val="24"/>
        </w:rPr>
        <w:t>Soil Physical Environment and Plant Growth: Evaluation and Management</w:t>
      </w:r>
      <w:r w:rsidRPr="009476D9">
        <w:rPr>
          <w:rFonts w:ascii="Times New Roman" w:hAnsi="Times New Roman" w:cs="Times New Roman"/>
          <w:noProof/>
          <w:color w:val="000000" w:themeColor="text1"/>
          <w:sz w:val="24"/>
          <w:szCs w:val="24"/>
        </w:rPr>
        <w:t> (pp. 231-254). Cham: Springer International Publishing.</w:t>
      </w:r>
    </w:p>
    <w:p w14:paraId="3B9EF200"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Totsche, K. U., Amelung, W., Gerzabek, M. H., Guggenberger, G., Klumpp, E., Knief, C., ... &amp; Kögel-Knabner, I. (2018). Microaggregates in soils. </w:t>
      </w:r>
      <w:r w:rsidRPr="009476D9">
        <w:rPr>
          <w:rFonts w:ascii="Times New Roman" w:hAnsi="Times New Roman" w:cs="Times New Roman"/>
          <w:i/>
          <w:iCs/>
          <w:noProof/>
          <w:color w:val="000000" w:themeColor="text1"/>
          <w:sz w:val="24"/>
          <w:szCs w:val="24"/>
        </w:rPr>
        <w:t>Journal of Plant Nutrition and Soil Science</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181</w:t>
      </w:r>
      <w:r w:rsidRPr="009476D9">
        <w:rPr>
          <w:rFonts w:ascii="Times New Roman" w:hAnsi="Times New Roman" w:cs="Times New Roman"/>
          <w:noProof/>
          <w:color w:val="000000" w:themeColor="text1"/>
          <w:sz w:val="24"/>
          <w:szCs w:val="24"/>
        </w:rPr>
        <w:t>(1), 104-136.</w:t>
      </w:r>
    </w:p>
    <w:p w14:paraId="5BB6CAE2"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Verma, A. (2022). </w:t>
      </w:r>
      <w:r w:rsidRPr="009476D9">
        <w:rPr>
          <w:rFonts w:ascii="Times New Roman" w:hAnsi="Times New Roman" w:cs="Times New Roman"/>
          <w:i/>
          <w:iCs/>
          <w:noProof/>
          <w:color w:val="000000" w:themeColor="text1"/>
          <w:sz w:val="24"/>
          <w:szCs w:val="24"/>
        </w:rPr>
        <w:t>Soil Organic Matter Dynamics under Residue Management and Nanoparticles application in Rice-Wheat Cropping System</w:t>
      </w:r>
      <w:r w:rsidRPr="009476D9">
        <w:rPr>
          <w:rFonts w:ascii="Times New Roman" w:hAnsi="Times New Roman" w:cs="Times New Roman"/>
          <w:noProof/>
          <w:color w:val="000000" w:themeColor="text1"/>
          <w:sz w:val="24"/>
          <w:szCs w:val="24"/>
        </w:rPr>
        <w:t> (Doctoral dissertation, BIHAR AGRICULTURAL UNIVERSITY).</w:t>
      </w:r>
    </w:p>
    <w:p w14:paraId="0E9214A0"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 xml:space="preserve">Wikipedia contributors. (n.d.). </w:t>
      </w:r>
      <w:r w:rsidRPr="009476D9">
        <w:rPr>
          <w:rFonts w:ascii="Times New Roman" w:hAnsi="Times New Roman" w:cs="Times New Roman"/>
          <w:i/>
          <w:iCs/>
          <w:noProof/>
          <w:color w:val="000000" w:themeColor="text1"/>
          <w:sz w:val="24"/>
          <w:szCs w:val="24"/>
        </w:rPr>
        <w:t>Afram Plains District</w:t>
      </w:r>
      <w:r w:rsidRPr="009476D9">
        <w:rPr>
          <w:rFonts w:ascii="Times New Roman" w:hAnsi="Times New Roman" w:cs="Times New Roman"/>
          <w:noProof/>
          <w:color w:val="000000" w:themeColor="text1"/>
          <w:sz w:val="24"/>
          <w:szCs w:val="24"/>
        </w:rPr>
        <w:t xml:space="preserve">. Wikipedia. Retrieved April 27, 2025, from </w:t>
      </w:r>
      <w:hyperlink r:id="rId15" w:tgtFrame="_new" w:history="1">
        <w:r w:rsidRPr="009476D9">
          <w:rPr>
            <w:rStyle w:val="Hyperlink"/>
            <w:rFonts w:ascii="Times New Roman" w:hAnsi="Times New Roman" w:cs="Times New Roman"/>
            <w:noProof/>
            <w:color w:val="000000" w:themeColor="text1"/>
            <w:sz w:val="24"/>
            <w:szCs w:val="24"/>
          </w:rPr>
          <w:t>https://en.wikipedia.org/wiki/Afram_Plains_District</w:t>
        </w:r>
      </w:hyperlink>
    </w:p>
    <w:p w14:paraId="152DED68" w14:textId="77777777" w:rsidR="007363B7" w:rsidRPr="009476D9" w:rsidRDefault="007363B7" w:rsidP="00837551">
      <w:pPr>
        <w:spacing w:line="240" w:lineRule="auto"/>
        <w:ind w:left="720" w:hanging="720"/>
        <w:jc w:val="both"/>
        <w:rPr>
          <w:rFonts w:ascii="Times New Roman" w:hAnsi="Times New Roman" w:cs="Times New Roman"/>
          <w:noProof/>
          <w:color w:val="000000" w:themeColor="text1"/>
          <w:sz w:val="24"/>
          <w:szCs w:val="24"/>
        </w:rPr>
      </w:pPr>
      <w:r w:rsidRPr="009476D9">
        <w:rPr>
          <w:rFonts w:ascii="Times New Roman" w:hAnsi="Times New Roman" w:cs="Times New Roman"/>
          <w:noProof/>
          <w:color w:val="000000" w:themeColor="text1"/>
          <w:sz w:val="24"/>
          <w:szCs w:val="24"/>
        </w:rPr>
        <w:t>Yidana, S. M., Ophori, D., &amp; Banoeng-Yakubo, B. (2008). Groundwater quality evaluation for productive uses—the Afram Plains area, Ghana. </w:t>
      </w:r>
      <w:r w:rsidRPr="009476D9">
        <w:rPr>
          <w:rFonts w:ascii="Times New Roman" w:hAnsi="Times New Roman" w:cs="Times New Roman"/>
          <w:i/>
          <w:iCs/>
          <w:noProof/>
          <w:color w:val="000000" w:themeColor="text1"/>
          <w:sz w:val="24"/>
          <w:szCs w:val="24"/>
        </w:rPr>
        <w:t>Journal of Irrigation and Drainage Engineering</w:t>
      </w:r>
      <w:r w:rsidRPr="009476D9">
        <w:rPr>
          <w:rFonts w:ascii="Times New Roman" w:hAnsi="Times New Roman" w:cs="Times New Roman"/>
          <w:noProof/>
          <w:color w:val="000000" w:themeColor="text1"/>
          <w:sz w:val="24"/>
          <w:szCs w:val="24"/>
        </w:rPr>
        <w:t>, </w:t>
      </w:r>
      <w:r w:rsidRPr="009476D9">
        <w:rPr>
          <w:rFonts w:ascii="Times New Roman" w:hAnsi="Times New Roman" w:cs="Times New Roman"/>
          <w:i/>
          <w:iCs/>
          <w:noProof/>
          <w:color w:val="000000" w:themeColor="text1"/>
          <w:sz w:val="24"/>
          <w:szCs w:val="24"/>
        </w:rPr>
        <w:t>134</w:t>
      </w:r>
      <w:r w:rsidRPr="009476D9">
        <w:rPr>
          <w:rFonts w:ascii="Times New Roman" w:hAnsi="Times New Roman" w:cs="Times New Roman"/>
          <w:noProof/>
          <w:color w:val="000000" w:themeColor="text1"/>
          <w:sz w:val="24"/>
          <w:szCs w:val="24"/>
        </w:rPr>
        <w:t>(2), 222-227.</w:t>
      </w:r>
    </w:p>
    <w:p w14:paraId="138D46D7" w14:textId="5C484F02" w:rsidR="0099566F" w:rsidRPr="009476D9" w:rsidRDefault="0099566F" w:rsidP="00837551">
      <w:pPr>
        <w:spacing w:line="240" w:lineRule="auto"/>
        <w:ind w:left="720" w:hanging="720"/>
        <w:jc w:val="both"/>
        <w:rPr>
          <w:rFonts w:ascii="Times New Roman" w:hAnsi="Times New Roman" w:cs="Times New Roman"/>
          <w:noProof/>
          <w:color w:val="000000" w:themeColor="text1"/>
          <w:sz w:val="24"/>
          <w:szCs w:val="24"/>
        </w:rPr>
      </w:pPr>
    </w:p>
    <w:sectPr w:rsidR="0099566F" w:rsidRPr="009476D9" w:rsidSect="00E2633A">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0AF2ED" w14:textId="77777777" w:rsidR="00034278" w:rsidRDefault="00034278" w:rsidP="007E4738">
      <w:pPr>
        <w:spacing w:after="0" w:line="240" w:lineRule="auto"/>
      </w:pPr>
      <w:r>
        <w:separator/>
      </w:r>
    </w:p>
  </w:endnote>
  <w:endnote w:type="continuationSeparator" w:id="0">
    <w:p w14:paraId="119893EB" w14:textId="77777777" w:rsidR="00034278" w:rsidRDefault="00034278" w:rsidP="007E47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15817" w14:textId="77777777" w:rsidR="001035AF" w:rsidRDefault="001035A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8EE1A3" w14:textId="77777777" w:rsidR="001035AF" w:rsidRDefault="001035A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F40B4" w14:textId="77777777" w:rsidR="001035AF" w:rsidRDefault="001035A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74959C" w14:textId="77777777" w:rsidR="00034278" w:rsidRDefault="00034278" w:rsidP="007E4738">
      <w:pPr>
        <w:spacing w:after="0" w:line="240" w:lineRule="auto"/>
      </w:pPr>
      <w:r>
        <w:separator/>
      </w:r>
    </w:p>
  </w:footnote>
  <w:footnote w:type="continuationSeparator" w:id="0">
    <w:p w14:paraId="78705BCF" w14:textId="77777777" w:rsidR="00034278" w:rsidRDefault="00034278" w:rsidP="007E47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39BF2C" w14:textId="768A0981" w:rsidR="001035AF" w:rsidRDefault="00034278">
    <w:pPr>
      <w:pStyle w:val="Header"/>
    </w:pPr>
    <w:r>
      <w:rPr>
        <w:noProof/>
      </w:rPr>
      <w:pict w14:anchorId="37E20F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BCC6F" w14:textId="3034ED01" w:rsidR="001035AF" w:rsidRDefault="00034278">
    <w:pPr>
      <w:pStyle w:val="Header"/>
    </w:pPr>
    <w:r>
      <w:rPr>
        <w:noProof/>
      </w:rPr>
      <w:pict w14:anchorId="08BF5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DF406" w14:textId="3A45847E" w:rsidR="001035AF" w:rsidRDefault="00034278">
    <w:pPr>
      <w:pStyle w:val="Header"/>
    </w:pPr>
    <w:r>
      <w:rPr>
        <w:noProof/>
      </w:rPr>
      <w:pict w14:anchorId="67A4D9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31658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FA5"/>
    <w:rsid w:val="000167B6"/>
    <w:rsid w:val="00034278"/>
    <w:rsid w:val="00036902"/>
    <w:rsid w:val="000374F9"/>
    <w:rsid w:val="0006526E"/>
    <w:rsid w:val="00085EA7"/>
    <w:rsid w:val="0009364C"/>
    <w:rsid w:val="000962F2"/>
    <w:rsid w:val="00097EF9"/>
    <w:rsid w:val="000B3D71"/>
    <w:rsid w:val="000B5DB7"/>
    <w:rsid w:val="000C222B"/>
    <w:rsid w:val="000C4808"/>
    <w:rsid w:val="000D6AB4"/>
    <w:rsid w:val="000E3A85"/>
    <w:rsid w:val="001035AF"/>
    <w:rsid w:val="00111A7F"/>
    <w:rsid w:val="00121097"/>
    <w:rsid w:val="00123F5F"/>
    <w:rsid w:val="00124632"/>
    <w:rsid w:val="001475AF"/>
    <w:rsid w:val="00190256"/>
    <w:rsid w:val="0019435E"/>
    <w:rsid w:val="001A4841"/>
    <w:rsid w:val="001B7B78"/>
    <w:rsid w:val="001C385F"/>
    <w:rsid w:val="0024409A"/>
    <w:rsid w:val="00244C95"/>
    <w:rsid w:val="00253F34"/>
    <w:rsid w:val="00270B57"/>
    <w:rsid w:val="0029414B"/>
    <w:rsid w:val="002A44EC"/>
    <w:rsid w:val="002D4E8C"/>
    <w:rsid w:val="00327FE3"/>
    <w:rsid w:val="00356B59"/>
    <w:rsid w:val="0038262A"/>
    <w:rsid w:val="0038381C"/>
    <w:rsid w:val="004015D9"/>
    <w:rsid w:val="00402507"/>
    <w:rsid w:val="00402956"/>
    <w:rsid w:val="00417792"/>
    <w:rsid w:val="00437B64"/>
    <w:rsid w:val="004664F4"/>
    <w:rsid w:val="00476FF9"/>
    <w:rsid w:val="00483D0A"/>
    <w:rsid w:val="004B4298"/>
    <w:rsid w:val="004C4357"/>
    <w:rsid w:val="004D5B53"/>
    <w:rsid w:val="004F0678"/>
    <w:rsid w:val="004F60F6"/>
    <w:rsid w:val="00512D55"/>
    <w:rsid w:val="00516A4C"/>
    <w:rsid w:val="0053052B"/>
    <w:rsid w:val="0053224C"/>
    <w:rsid w:val="00537A58"/>
    <w:rsid w:val="0054529F"/>
    <w:rsid w:val="005602FD"/>
    <w:rsid w:val="00564D84"/>
    <w:rsid w:val="005855D3"/>
    <w:rsid w:val="005C7856"/>
    <w:rsid w:val="005D5F51"/>
    <w:rsid w:val="005E7901"/>
    <w:rsid w:val="00602712"/>
    <w:rsid w:val="00611D33"/>
    <w:rsid w:val="006122E3"/>
    <w:rsid w:val="00617A1F"/>
    <w:rsid w:val="00625370"/>
    <w:rsid w:val="00633009"/>
    <w:rsid w:val="0065139C"/>
    <w:rsid w:val="00652D31"/>
    <w:rsid w:val="00680DBB"/>
    <w:rsid w:val="006B2984"/>
    <w:rsid w:val="006C011B"/>
    <w:rsid w:val="006C159D"/>
    <w:rsid w:val="006C4F5B"/>
    <w:rsid w:val="006E1AD4"/>
    <w:rsid w:val="00720003"/>
    <w:rsid w:val="00724FD0"/>
    <w:rsid w:val="007308CC"/>
    <w:rsid w:val="007363B7"/>
    <w:rsid w:val="00757BC6"/>
    <w:rsid w:val="00766CFD"/>
    <w:rsid w:val="00781D62"/>
    <w:rsid w:val="007A40FD"/>
    <w:rsid w:val="007A7367"/>
    <w:rsid w:val="007B78EA"/>
    <w:rsid w:val="007D77F1"/>
    <w:rsid w:val="007E0B9E"/>
    <w:rsid w:val="007E29DA"/>
    <w:rsid w:val="007E4738"/>
    <w:rsid w:val="008311E3"/>
    <w:rsid w:val="00835AB9"/>
    <w:rsid w:val="00837551"/>
    <w:rsid w:val="008521F0"/>
    <w:rsid w:val="00861DC9"/>
    <w:rsid w:val="008A557D"/>
    <w:rsid w:val="008A631F"/>
    <w:rsid w:val="008B1DDD"/>
    <w:rsid w:val="008C02A6"/>
    <w:rsid w:val="008D7ECA"/>
    <w:rsid w:val="008E2DB5"/>
    <w:rsid w:val="00900E24"/>
    <w:rsid w:val="00903968"/>
    <w:rsid w:val="00904B09"/>
    <w:rsid w:val="0091171D"/>
    <w:rsid w:val="00922471"/>
    <w:rsid w:val="0092270F"/>
    <w:rsid w:val="009333CD"/>
    <w:rsid w:val="00934FAB"/>
    <w:rsid w:val="009476D9"/>
    <w:rsid w:val="0096122B"/>
    <w:rsid w:val="009631CB"/>
    <w:rsid w:val="00963CC6"/>
    <w:rsid w:val="00985086"/>
    <w:rsid w:val="0099566F"/>
    <w:rsid w:val="009E09B2"/>
    <w:rsid w:val="00A01662"/>
    <w:rsid w:val="00A35AC5"/>
    <w:rsid w:val="00A36898"/>
    <w:rsid w:val="00A41C41"/>
    <w:rsid w:val="00A50FF1"/>
    <w:rsid w:val="00A52B2F"/>
    <w:rsid w:val="00A70686"/>
    <w:rsid w:val="00A8394D"/>
    <w:rsid w:val="00A954B0"/>
    <w:rsid w:val="00AB5E9C"/>
    <w:rsid w:val="00AD46D6"/>
    <w:rsid w:val="00AE5C2A"/>
    <w:rsid w:val="00AF452F"/>
    <w:rsid w:val="00AF6D47"/>
    <w:rsid w:val="00B105B1"/>
    <w:rsid w:val="00B24696"/>
    <w:rsid w:val="00B27515"/>
    <w:rsid w:val="00B36F26"/>
    <w:rsid w:val="00B52EBE"/>
    <w:rsid w:val="00B624A7"/>
    <w:rsid w:val="00BD24CA"/>
    <w:rsid w:val="00BE22A3"/>
    <w:rsid w:val="00C22B04"/>
    <w:rsid w:val="00C612EF"/>
    <w:rsid w:val="00C82E61"/>
    <w:rsid w:val="00C97B63"/>
    <w:rsid w:val="00CA3EEA"/>
    <w:rsid w:val="00CE4AAA"/>
    <w:rsid w:val="00CF4AB8"/>
    <w:rsid w:val="00D11743"/>
    <w:rsid w:val="00D57EB8"/>
    <w:rsid w:val="00D71568"/>
    <w:rsid w:val="00D91273"/>
    <w:rsid w:val="00DF057B"/>
    <w:rsid w:val="00DF72D3"/>
    <w:rsid w:val="00E03008"/>
    <w:rsid w:val="00E0555D"/>
    <w:rsid w:val="00E068B1"/>
    <w:rsid w:val="00E23488"/>
    <w:rsid w:val="00E2633A"/>
    <w:rsid w:val="00E41A85"/>
    <w:rsid w:val="00E43759"/>
    <w:rsid w:val="00E43B7D"/>
    <w:rsid w:val="00E54DBF"/>
    <w:rsid w:val="00E61D3B"/>
    <w:rsid w:val="00E86FA5"/>
    <w:rsid w:val="00ED7544"/>
    <w:rsid w:val="00EE0201"/>
    <w:rsid w:val="00F13C4D"/>
    <w:rsid w:val="00F14F17"/>
    <w:rsid w:val="00F447DD"/>
    <w:rsid w:val="00F45F2E"/>
    <w:rsid w:val="00F47326"/>
    <w:rsid w:val="00F83536"/>
    <w:rsid w:val="00F95BD6"/>
    <w:rsid w:val="00FB23DF"/>
    <w:rsid w:val="00FB787B"/>
    <w:rsid w:val="00FD3F4F"/>
    <w:rsid w:val="00FD5F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CD7147"/>
  <w15:chartTrackingRefBased/>
  <w15:docId w15:val="{349350B4-2B14-4818-A2E4-1D0D610DBB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7E47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09364C"/>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36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9364C"/>
    <w:rPr>
      <w:rFonts w:ascii="Times New Roman" w:eastAsia="Times New Roman" w:hAnsi="Times New Roman" w:cs="Times New Roman"/>
      <w:b/>
      <w:bCs/>
      <w:sz w:val="24"/>
      <w:szCs w:val="24"/>
    </w:rPr>
  </w:style>
  <w:style w:type="character" w:styleId="Strong">
    <w:name w:val="Strong"/>
    <w:basedOn w:val="DefaultParagraphFont"/>
    <w:uiPriority w:val="22"/>
    <w:qFormat/>
    <w:rsid w:val="0009364C"/>
    <w:rPr>
      <w:b/>
      <w:bCs/>
    </w:rPr>
  </w:style>
  <w:style w:type="paragraph" w:styleId="NormalWeb">
    <w:name w:val="Normal (Web)"/>
    <w:basedOn w:val="Normal"/>
    <w:uiPriority w:val="99"/>
    <w:semiHidden/>
    <w:unhideWhenUsed/>
    <w:rsid w:val="0009364C"/>
    <w:pPr>
      <w:spacing w:before="100" w:beforeAutospacing="1" w:after="100" w:afterAutospacing="1" w:line="240" w:lineRule="auto"/>
    </w:pPr>
    <w:rPr>
      <w:rFonts w:ascii="Times New Roman" w:eastAsia="Times New Roman" w:hAnsi="Times New Roman" w:cs="Times New Roman"/>
      <w:sz w:val="24"/>
      <w:szCs w:val="24"/>
    </w:rPr>
  </w:style>
  <w:style w:type="table" w:styleId="ListTable4-Accent4">
    <w:name w:val="List Table 4 Accent 4"/>
    <w:basedOn w:val="TableNormal"/>
    <w:uiPriority w:val="49"/>
    <w:rsid w:val="000C480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eader">
    <w:name w:val="header"/>
    <w:basedOn w:val="Normal"/>
    <w:link w:val="HeaderChar"/>
    <w:uiPriority w:val="99"/>
    <w:unhideWhenUsed/>
    <w:rsid w:val="007E47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738"/>
  </w:style>
  <w:style w:type="paragraph" w:styleId="Footer">
    <w:name w:val="footer"/>
    <w:basedOn w:val="Normal"/>
    <w:link w:val="FooterChar"/>
    <w:uiPriority w:val="99"/>
    <w:unhideWhenUsed/>
    <w:rsid w:val="007E47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738"/>
  </w:style>
  <w:style w:type="character" w:customStyle="1" w:styleId="Heading3Char">
    <w:name w:val="Heading 3 Char"/>
    <w:basedOn w:val="DefaultParagraphFont"/>
    <w:link w:val="Heading3"/>
    <w:uiPriority w:val="9"/>
    <w:semiHidden/>
    <w:rsid w:val="007E4738"/>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38381C"/>
    <w:rPr>
      <w:color w:val="0563C1" w:themeColor="hyperlink"/>
      <w:u w:val="single"/>
    </w:rPr>
  </w:style>
  <w:style w:type="character" w:styleId="CommentReference">
    <w:name w:val="annotation reference"/>
    <w:basedOn w:val="DefaultParagraphFont"/>
    <w:uiPriority w:val="99"/>
    <w:semiHidden/>
    <w:unhideWhenUsed/>
    <w:rsid w:val="00036902"/>
    <w:rPr>
      <w:sz w:val="16"/>
      <w:szCs w:val="16"/>
    </w:rPr>
  </w:style>
  <w:style w:type="paragraph" w:styleId="CommentText">
    <w:name w:val="annotation text"/>
    <w:basedOn w:val="Normal"/>
    <w:link w:val="CommentTextChar"/>
    <w:uiPriority w:val="99"/>
    <w:semiHidden/>
    <w:unhideWhenUsed/>
    <w:rsid w:val="00036902"/>
    <w:pPr>
      <w:spacing w:line="240" w:lineRule="auto"/>
    </w:pPr>
    <w:rPr>
      <w:sz w:val="20"/>
      <w:szCs w:val="20"/>
    </w:rPr>
  </w:style>
  <w:style w:type="character" w:customStyle="1" w:styleId="CommentTextChar">
    <w:name w:val="Comment Text Char"/>
    <w:basedOn w:val="DefaultParagraphFont"/>
    <w:link w:val="CommentText"/>
    <w:uiPriority w:val="99"/>
    <w:semiHidden/>
    <w:rsid w:val="00036902"/>
    <w:rPr>
      <w:sz w:val="20"/>
      <w:szCs w:val="20"/>
    </w:rPr>
  </w:style>
  <w:style w:type="paragraph" w:styleId="CommentSubject">
    <w:name w:val="annotation subject"/>
    <w:basedOn w:val="CommentText"/>
    <w:next w:val="CommentText"/>
    <w:link w:val="CommentSubjectChar"/>
    <w:uiPriority w:val="99"/>
    <w:semiHidden/>
    <w:unhideWhenUsed/>
    <w:rsid w:val="00036902"/>
    <w:rPr>
      <w:b/>
      <w:bCs/>
    </w:rPr>
  </w:style>
  <w:style w:type="character" w:customStyle="1" w:styleId="CommentSubjectChar">
    <w:name w:val="Comment Subject Char"/>
    <w:basedOn w:val="CommentTextChar"/>
    <w:link w:val="CommentSubject"/>
    <w:uiPriority w:val="99"/>
    <w:semiHidden/>
    <w:rsid w:val="00036902"/>
    <w:rPr>
      <w:b/>
      <w:bCs/>
      <w:sz w:val="20"/>
      <w:szCs w:val="20"/>
    </w:rPr>
  </w:style>
  <w:style w:type="paragraph" w:styleId="BalloonText">
    <w:name w:val="Balloon Text"/>
    <w:basedOn w:val="Normal"/>
    <w:link w:val="BalloonTextChar"/>
    <w:uiPriority w:val="99"/>
    <w:semiHidden/>
    <w:unhideWhenUsed/>
    <w:rsid w:val="00253F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F34"/>
    <w:rPr>
      <w:rFonts w:ascii="Segoe UI" w:hAnsi="Segoe UI" w:cs="Segoe UI"/>
      <w:sz w:val="18"/>
      <w:szCs w:val="18"/>
    </w:rPr>
  </w:style>
  <w:style w:type="character" w:styleId="LineNumber">
    <w:name w:val="line number"/>
    <w:basedOn w:val="DefaultParagraphFont"/>
    <w:uiPriority w:val="99"/>
    <w:semiHidden/>
    <w:unhideWhenUsed/>
    <w:rsid w:val="00E0555D"/>
  </w:style>
  <w:style w:type="character" w:customStyle="1" w:styleId="UnresolvedMention1">
    <w:name w:val="Unresolved Mention1"/>
    <w:basedOn w:val="DefaultParagraphFont"/>
    <w:uiPriority w:val="99"/>
    <w:semiHidden/>
    <w:unhideWhenUsed/>
    <w:rsid w:val="00AE5C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434600">
      <w:bodyDiv w:val="1"/>
      <w:marLeft w:val="0"/>
      <w:marRight w:val="0"/>
      <w:marTop w:val="0"/>
      <w:marBottom w:val="0"/>
      <w:divBdr>
        <w:top w:val="none" w:sz="0" w:space="0" w:color="auto"/>
        <w:left w:val="none" w:sz="0" w:space="0" w:color="auto"/>
        <w:bottom w:val="none" w:sz="0" w:space="0" w:color="auto"/>
        <w:right w:val="none" w:sz="0" w:space="0" w:color="auto"/>
      </w:divBdr>
    </w:div>
    <w:div w:id="56517655">
      <w:bodyDiv w:val="1"/>
      <w:marLeft w:val="0"/>
      <w:marRight w:val="0"/>
      <w:marTop w:val="0"/>
      <w:marBottom w:val="0"/>
      <w:divBdr>
        <w:top w:val="none" w:sz="0" w:space="0" w:color="auto"/>
        <w:left w:val="none" w:sz="0" w:space="0" w:color="auto"/>
        <w:bottom w:val="none" w:sz="0" w:space="0" w:color="auto"/>
        <w:right w:val="none" w:sz="0" w:space="0" w:color="auto"/>
      </w:divBdr>
    </w:div>
    <w:div w:id="143010734">
      <w:bodyDiv w:val="1"/>
      <w:marLeft w:val="0"/>
      <w:marRight w:val="0"/>
      <w:marTop w:val="0"/>
      <w:marBottom w:val="0"/>
      <w:divBdr>
        <w:top w:val="none" w:sz="0" w:space="0" w:color="auto"/>
        <w:left w:val="none" w:sz="0" w:space="0" w:color="auto"/>
        <w:bottom w:val="none" w:sz="0" w:space="0" w:color="auto"/>
        <w:right w:val="none" w:sz="0" w:space="0" w:color="auto"/>
      </w:divBdr>
    </w:div>
    <w:div w:id="179248973">
      <w:bodyDiv w:val="1"/>
      <w:marLeft w:val="0"/>
      <w:marRight w:val="0"/>
      <w:marTop w:val="0"/>
      <w:marBottom w:val="0"/>
      <w:divBdr>
        <w:top w:val="none" w:sz="0" w:space="0" w:color="auto"/>
        <w:left w:val="none" w:sz="0" w:space="0" w:color="auto"/>
        <w:bottom w:val="none" w:sz="0" w:space="0" w:color="auto"/>
        <w:right w:val="none" w:sz="0" w:space="0" w:color="auto"/>
      </w:divBdr>
    </w:div>
    <w:div w:id="212615593">
      <w:bodyDiv w:val="1"/>
      <w:marLeft w:val="0"/>
      <w:marRight w:val="0"/>
      <w:marTop w:val="0"/>
      <w:marBottom w:val="0"/>
      <w:divBdr>
        <w:top w:val="none" w:sz="0" w:space="0" w:color="auto"/>
        <w:left w:val="none" w:sz="0" w:space="0" w:color="auto"/>
        <w:bottom w:val="none" w:sz="0" w:space="0" w:color="auto"/>
        <w:right w:val="none" w:sz="0" w:space="0" w:color="auto"/>
      </w:divBdr>
    </w:div>
    <w:div w:id="335422210">
      <w:bodyDiv w:val="1"/>
      <w:marLeft w:val="0"/>
      <w:marRight w:val="0"/>
      <w:marTop w:val="0"/>
      <w:marBottom w:val="0"/>
      <w:divBdr>
        <w:top w:val="none" w:sz="0" w:space="0" w:color="auto"/>
        <w:left w:val="none" w:sz="0" w:space="0" w:color="auto"/>
        <w:bottom w:val="none" w:sz="0" w:space="0" w:color="auto"/>
        <w:right w:val="none" w:sz="0" w:space="0" w:color="auto"/>
      </w:divBdr>
    </w:div>
    <w:div w:id="381296937">
      <w:bodyDiv w:val="1"/>
      <w:marLeft w:val="0"/>
      <w:marRight w:val="0"/>
      <w:marTop w:val="0"/>
      <w:marBottom w:val="0"/>
      <w:divBdr>
        <w:top w:val="none" w:sz="0" w:space="0" w:color="auto"/>
        <w:left w:val="none" w:sz="0" w:space="0" w:color="auto"/>
        <w:bottom w:val="none" w:sz="0" w:space="0" w:color="auto"/>
        <w:right w:val="none" w:sz="0" w:space="0" w:color="auto"/>
      </w:divBdr>
    </w:div>
    <w:div w:id="397478229">
      <w:bodyDiv w:val="1"/>
      <w:marLeft w:val="0"/>
      <w:marRight w:val="0"/>
      <w:marTop w:val="0"/>
      <w:marBottom w:val="0"/>
      <w:divBdr>
        <w:top w:val="none" w:sz="0" w:space="0" w:color="auto"/>
        <w:left w:val="none" w:sz="0" w:space="0" w:color="auto"/>
        <w:bottom w:val="none" w:sz="0" w:space="0" w:color="auto"/>
        <w:right w:val="none" w:sz="0" w:space="0" w:color="auto"/>
      </w:divBdr>
    </w:div>
    <w:div w:id="466705474">
      <w:bodyDiv w:val="1"/>
      <w:marLeft w:val="0"/>
      <w:marRight w:val="0"/>
      <w:marTop w:val="0"/>
      <w:marBottom w:val="0"/>
      <w:divBdr>
        <w:top w:val="none" w:sz="0" w:space="0" w:color="auto"/>
        <w:left w:val="none" w:sz="0" w:space="0" w:color="auto"/>
        <w:bottom w:val="none" w:sz="0" w:space="0" w:color="auto"/>
        <w:right w:val="none" w:sz="0" w:space="0" w:color="auto"/>
      </w:divBdr>
      <w:divsChild>
        <w:div w:id="555746593">
          <w:marLeft w:val="0"/>
          <w:marRight w:val="0"/>
          <w:marTop w:val="0"/>
          <w:marBottom w:val="0"/>
          <w:divBdr>
            <w:top w:val="none" w:sz="0" w:space="0" w:color="auto"/>
            <w:left w:val="none" w:sz="0" w:space="0" w:color="auto"/>
            <w:bottom w:val="none" w:sz="0" w:space="0" w:color="auto"/>
            <w:right w:val="none" w:sz="0" w:space="0" w:color="auto"/>
          </w:divBdr>
          <w:divsChild>
            <w:div w:id="896282858">
              <w:marLeft w:val="0"/>
              <w:marRight w:val="0"/>
              <w:marTop w:val="0"/>
              <w:marBottom w:val="0"/>
              <w:divBdr>
                <w:top w:val="none" w:sz="0" w:space="0" w:color="auto"/>
                <w:left w:val="none" w:sz="0" w:space="0" w:color="auto"/>
                <w:bottom w:val="none" w:sz="0" w:space="0" w:color="auto"/>
                <w:right w:val="none" w:sz="0" w:space="0" w:color="auto"/>
              </w:divBdr>
              <w:divsChild>
                <w:div w:id="1281304877">
                  <w:marLeft w:val="0"/>
                  <w:marRight w:val="0"/>
                  <w:marTop w:val="0"/>
                  <w:marBottom w:val="0"/>
                  <w:divBdr>
                    <w:top w:val="none" w:sz="0" w:space="0" w:color="auto"/>
                    <w:left w:val="none" w:sz="0" w:space="0" w:color="auto"/>
                    <w:bottom w:val="none" w:sz="0" w:space="0" w:color="auto"/>
                    <w:right w:val="none" w:sz="0" w:space="0" w:color="auto"/>
                  </w:divBdr>
                  <w:divsChild>
                    <w:div w:id="7770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25550">
          <w:marLeft w:val="0"/>
          <w:marRight w:val="0"/>
          <w:marTop w:val="0"/>
          <w:marBottom w:val="0"/>
          <w:divBdr>
            <w:top w:val="none" w:sz="0" w:space="0" w:color="auto"/>
            <w:left w:val="none" w:sz="0" w:space="0" w:color="auto"/>
            <w:bottom w:val="none" w:sz="0" w:space="0" w:color="auto"/>
            <w:right w:val="none" w:sz="0" w:space="0" w:color="auto"/>
          </w:divBdr>
          <w:divsChild>
            <w:div w:id="491338306">
              <w:marLeft w:val="0"/>
              <w:marRight w:val="0"/>
              <w:marTop w:val="0"/>
              <w:marBottom w:val="0"/>
              <w:divBdr>
                <w:top w:val="none" w:sz="0" w:space="0" w:color="auto"/>
                <w:left w:val="none" w:sz="0" w:space="0" w:color="auto"/>
                <w:bottom w:val="none" w:sz="0" w:space="0" w:color="auto"/>
                <w:right w:val="none" w:sz="0" w:space="0" w:color="auto"/>
              </w:divBdr>
              <w:divsChild>
                <w:div w:id="39601144">
                  <w:marLeft w:val="0"/>
                  <w:marRight w:val="0"/>
                  <w:marTop w:val="0"/>
                  <w:marBottom w:val="0"/>
                  <w:divBdr>
                    <w:top w:val="none" w:sz="0" w:space="0" w:color="auto"/>
                    <w:left w:val="none" w:sz="0" w:space="0" w:color="auto"/>
                    <w:bottom w:val="none" w:sz="0" w:space="0" w:color="auto"/>
                    <w:right w:val="none" w:sz="0" w:space="0" w:color="auto"/>
                  </w:divBdr>
                  <w:divsChild>
                    <w:div w:id="100933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715403">
      <w:bodyDiv w:val="1"/>
      <w:marLeft w:val="0"/>
      <w:marRight w:val="0"/>
      <w:marTop w:val="0"/>
      <w:marBottom w:val="0"/>
      <w:divBdr>
        <w:top w:val="none" w:sz="0" w:space="0" w:color="auto"/>
        <w:left w:val="none" w:sz="0" w:space="0" w:color="auto"/>
        <w:bottom w:val="none" w:sz="0" w:space="0" w:color="auto"/>
        <w:right w:val="none" w:sz="0" w:space="0" w:color="auto"/>
      </w:divBdr>
    </w:div>
    <w:div w:id="535700614">
      <w:bodyDiv w:val="1"/>
      <w:marLeft w:val="0"/>
      <w:marRight w:val="0"/>
      <w:marTop w:val="0"/>
      <w:marBottom w:val="0"/>
      <w:divBdr>
        <w:top w:val="none" w:sz="0" w:space="0" w:color="auto"/>
        <w:left w:val="none" w:sz="0" w:space="0" w:color="auto"/>
        <w:bottom w:val="none" w:sz="0" w:space="0" w:color="auto"/>
        <w:right w:val="none" w:sz="0" w:space="0" w:color="auto"/>
      </w:divBdr>
    </w:div>
    <w:div w:id="545484940">
      <w:bodyDiv w:val="1"/>
      <w:marLeft w:val="0"/>
      <w:marRight w:val="0"/>
      <w:marTop w:val="0"/>
      <w:marBottom w:val="0"/>
      <w:divBdr>
        <w:top w:val="none" w:sz="0" w:space="0" w:color="auto"/>
        <w:left w:val="none" w:sz="0" w:space="0" w:color="auto"/>
        <w:bottom w:val="none" w:sz="0" w:space="0" w:color="auto"/>
        <w:right w:val="none" w:sz="0" w:space="0" w:color="auto"/>
      </w:divBdr>
    </w:div>
    <w:div w:id="563956654">
      <w:bodyDiv w:val="1"/>
      <w:marLeft w:val="0"/>
      <w:marRight w:val="0"/>
      <w:marTop w:val="0"/>
      <w:marBottom w:val="0"/>
      <w:divBdr>
        <w:top w:val="none" w:sz="0" w:space="0" w:color="auto"/>
        <w:left w:val="none" w:sz="0" w:space="0" w:color="auto"/>
        <w:bottom w:val="none" w:sz="0" w:space="0" w:color="auto"/>
        <w:right w:val="none" w:sz="0" w:space="0" w:color="auto"/>
      </w:divBdr>
    </w:div>
    <w:div w:id="569274584">
      <w:bodyDiv w:val="1"/>
      <w:marLeft w:val="0"/>
      <w:marRight w:val="0"/>
      <w:marTop w:val="0"/>
      <w:marBottom w:val="0"/>
      <w:divBdr>
        <w:top w:val="none" w:sz="0" w:space="0" w:color="auto"/>
        <w:left w:val="none" w:sz="0" w:space="0" w:color="auto"/>
        <w:bottom w:val="none" w:sz="0" w:space="0" w:color="auto"/>
        <w:right w:val="none" w:sz="0" w:space="0" w:color="auto"/>
      </w:divBdr>
    </w:div>
    <w:div w:id="742530453">
      <w:bodyDiv w:val="1"/>
      <w:marLeft w:val="0"/>
      <w:marRight w:val="0"/>
      <w:marTop w:val="0"/>
      <w:marBottom w:val="0"/>
      <w:divBdr>
        <w:top w:val="none" w:sz="0" w:space="0" w:color="auto"/>
        <w:left w:val="none" w:sz="0" w:space="0" w:color="auto"/>
        <w:bottom w:val="none" w:sz="0" w:space="0" w:color="auto"/>
        <w:right w:val="none" w:sz="0" w:space="0" w:color="auto"/>
      </w:divBdr>
    </w:div>
    <w:div w:id="753010463">
      <w:bodyDiv w:val="1"/>
      <w:marLeft w:val="0"/>
      <w:marRight w:val="0"/>
      <w:marTop w:val="0"/>
      <w:marBottom w:val="0"/>
      <w:divBdr>
        <w:top w:val="none" w:sz="0" w:space="0" w:color="auto"/>
        <w:left w:val="none" w:sz="0" w:space="0" w:color="auto"/>
        <w:bottom w:val="none" w:sz="0" w:space="0" w:color="auto"/>
        <w:right w:val="none" w:sz="0" w:space="0" w:color="auto"/>
      </w:divBdr>
    </w:div>
    <w:div w:id="758255664">
      <w:bodyDiv w:val="1"/>
      <w:marLeft w:val="0"/>
      <w:marRight w:val="0"/>
      <w:marTop w:val="0"/>
      <w:marBottom w:val="0"/>
      <w:divBdr>
        <w:top w:val="none" w:sz="0" w:space="0" w:color="auto"/>
        <w:left w:val="none" w:sz="0" w:space="0" w:color="auto"/>
        <w:bottom w:val="none" w:sz="0" w:space="0" w:color="auto"/>
        <w:right w:val="none" w:sz="0" w:space="0" w:color="auto"/>
      </w:divBdr>
    </w:div>
    <w:div w:id="777407922">
      <w:bodyDiv w:val="1"/>
      <w:marLeft w:val="0"/>
      <w:marRight w:val="0"/>
      <w:marTop w:val="0"/>
      <w:marBottom w:val="0"/>
      <w:divBdr>
        <w:top w:val="none" w:sz="0" w:space="0" w:color="auto"/>
        <w:left w:val="none" w:sz="0" w:space="0" w:color="auto"/>
        <w:bottom w:val="none" w:sz="0" w:space="0" w:color="auto"/>
        <w:right w:val="none" w:sz="0" w:space="0" w:color="auto"/>
      </w:divBdr>
    </w:div>
    <w:div w:id="820582163">
      <w:bodyDiv w:val="1"/>
      <w:marLeft w:val="0"/>
      <w:marRight w:val="0"/>
      <w:marTop w:val="0"/>
      <w:marBottom w:val="0"/>
      <w:divBdr>
        <w:top w:val="none" w:sz="0" w:space="0" w:color="auto"/>
        <w:left w:val="none" w:sz="0" w:space="0" w:color="auto"/>
        <w:bottom w:val="none" w:sz="0" w:space="0" w:color="auto"/>
        <w:right w:val="none" w:sz="0" w:space="0" w:color="auto"/>
      </w:divBdr>
    </w:div>
    <w:div w:id="826672986">
      <w:bodyDiv w:val="1"/>
      <w:marLeft w:val="0"/>
      <w:marRight w:val="0"/>
      <w:marTop w:val="0"/>
      <w:marBottom w:val="0"/>
      <w:divBdr>
        <w:top w:val="none" w:sz="0" w:space="0" w:color="auto"/>
        <w:left w:val="none" w:sz="0" w:space="0" w:color="auto"/>
        <w:bottom w:val="none" w:sz="0" w:space="0" w:color="auto"/>
        <w:right w:val="none" w:sz="0" w:space="0" w:color="auto"/>
      </w:divBdr>
    </w:div>
    <w:div w:id="840238533">
      <w:bodyDiv w:val="1"/>
      <w:marLeft w:val="0"/>
      <w:marRight w:val="0"/>
      <w:marTop w:val="0"/>
      <w:marBottom w:val="0"/>
      <w:divBdr>
        <w:top w:val="none" w:sz="0" w:space="0" w:color="auto"/>
        <w:left w:val="none" w:sz="0" w:space="0" w:color="auto"/>
        <w:bottom w:val="none" w:sz="0" w:space="0" w:color="auto"/>
        <w:right w:val="none" w:sz="0" w:space="0" w:color="auto"/>
      </w:divBdr>
    </w:div>
    <w:div w:id="863060168">
      <w:bodyDiv w:val="1"/>
      <w:marLeft w:val="0"/>
      <w:marRight w:val="0"/>
      <w:marTop w:val="0"/>
      <w:marBottom w:val="0"/>
      <w:divBdr>
        <w:top w:val="none" w:sz="0" w:space="0" w:color="auto"/>
        <w:left w:val="none" w:sz="0" w:space="0" w:color="auto"/>
        <w:bottom w:val="none" w:sz="0" w:space="0" w:color="auto"/>
        <w:right w:val="none" w:sz="0" w:space="0" w:color="auto"/>
      </w:divBdr>
    </w:div>
    <w:div w:id="920338132">
      <w:bodyDiv w:val="1"/>
      <w:marLeft w:val="0"/>
      <w:marRight w:val="0"/>
      <w:marTop w:val="0"/>
      <w:marBottom w:val="0"/>
      <w:divBdr>
        <w:top w:val="none" w:sz="0" w:space="0" w:color="auto"/>
        <w:left w:val="none" w:sz="0" w:space="0" w:color="auto"/>
        <w:bottom w:val="none" w:sz="0" w:space="0" w:color="auto"/>
        <w:right w:val="none" w:sz="0" w:space="0" w:color="auto"/>
      </w:divBdr>
      <w:divsChild>
        <w:div w:id="721753055">
          <w:marLeft w:val="0"/>
          <w:marRight w:val="0"/>
          <w:marTop w:val="0"/>
          <w:marBottom w:val="0"/>
          <w:divBdr>
            <w:top w:val="single" w:sz="2" w:space="0" w:color="auto"/>
            <w:left w:val="single" w:sz="2" w:space="0" w:color="auto"/>
            <w:bottom w:val="single" w:sz="2" w:space="0" w:color="auto"/>
            <w:right w:val="single" w:sz="2" w:space="0" w:color="auto"/>
          </w:divBdr>
        </w:div>
        <w:div w:id="77749229">
          <w:marLeft w:val="0"/>
          <w:marRight w:val="0"/>
          <w:marTop w:val="0"/>
          <w:marBottom w:val="0"/>
          <w:divBdr>
            <w:top w:val="single" w:sz="2" w:space="0" w:color="auto"/>
            <w:left w:val="single" w:sz="2" w:space="0" w:color="auto"/>
            <w:bottom w:val="single" w:sz="2" w:space="0" w:color="auto"/>
            <w:right w:val="single" w:sz="2" w:space="0" w:color="auto"/>
          </w:divBdr>
          <w:divsChild>
            <w:div w:id="18055839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60919267">
      <w:bodyDiv w:val="1"/>
      <w:marLeft w:val="0"/>
      <w:marRight w:val="0"/>
      <w:marTop w:val="0"/>
      <w:marBottom w:val="0"/>
      <w:divBdr>
        <w:top w:val="none" w:sz="0" w:space="0" w:color="auto"/>
        <w:left w:val="none" w:sz="0" w:space="0" w:color="auto"/>
        <w:bottom w:val="none" w:sz="0" w:space="0" w:color="auto"/>
        <w:right w:val="none" w:sz="0" w:space="0" w:color="auto"/>
      </w:divBdr>
    </w:div>
    <w:div w:id="985279834">
      <w:bodyDiv w:val="1"/>
      <w:marLeft w:val="0"/>
      <w:marRight w:val="0"/>
      <w:marTop w:val="0"/>
      <w:marBottom w:val="0"/>
      <w:divBdr>
        <w:top w:val="none" w:sz="0" w:space="0" w:color="auto"/>
        <w:left w:val="none" w:sz="0" w:space="0" w:color="auto"/>
        <w:bottom w:val="none" w:sz="0" w:space="0" w:color="auto"/>
        <w:right w:val="none" w:sz="0" w:space="0" w:color="auto"/>
      </w:divBdr>
      <w:divsChild>
        <w:div w:id="1170174234">
          <w:marLeft w:val="0"/>
          <w:marRight w:val="0"/>
          <w:marTop w:val="0"/>
          <w:marBottom w:val="0"/>
          <w:divBdr>
            <w:top w:val="none" w:sz="0" w:space="0" w:color="auto"/>
            <w:left w:val="none" w:sz="0" w:space="0" w:color="auto"/>
            <w:bottom w:val="none" w:sz="0" w:space="0" w:color="auto"/>
            <w:right w:val="none" w:sz="0" w:space="0" w:color="auto"/>
          </w:divBdr>
          <w:divsChild>
            <w:div w:id="1114907258">
              <w:marLeft w:val="0"/>
              <w:marRight w:val="0"/>
              <w:marTop w:val="0"/>
              <w:marBottom w:val="0"/>
              <w:divBdr>
                <w:top w:val="none" w:sz="0" w:space="0" w:color="auto"/>
                <w:left w:val="none" w:sz="0" w:space="0" w:color="auto"/>
                <w:bottom w:val="none" w:sz="0" w:space="0" w:color="auto"/>
                <w:right w:val="none" w:sz="0" w:space="0" w:color="auto"/>
              </w:divBdr>
              <w:divsChild>
                <w:div w:id="66729185">
                  <w:marLeft w:val="0"/>
                  <w:marRight w:val="0"/>
                  <w:marTop w:val="0"/>
                  <w:marBottom w:val="0"/>
                  <w:divBdr>
                    <w:top w:val="none" w:sz="0" w:space="0" w:color="auto"/>
                    <w:left w:val="none" w:sz="0" w:space="0" w:color="auto"/>
                    <w:bottom w:val="none" w:sz="0" w:space="0" w:color="auto"/>
                    <w:right w:val="none" w:sz="0" w:space="0" w:color="auto"/>
                  </w:divBdr>
                  <w:divsChild>
                    <w:div w:id="10669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012042">
          <w:marLeft w:val="0"/>
          <w:marRight w:val="0"/>
          <w:marTop w:val="0"/>
          <w:marBottom w:val="0"/>
          <w:divBdr>
            <w:top w:val="none" w:sz="0" w:space="0" w:color="auto"/>
            <w:left w:val="none" w:sz="0" w:space="0" w:color="auto"/>
            <w:bottom w:val="none" w:sz="0" w:space="0" w:color="auto"/>
            <w:right w:val="none" w:sz="0" w:space="0" w:color="auto"/>
          </w:divBdr>
          <w:divsChild>
            <w:div w:id="945191739">
              <w:marLeft w:val="0"/>
              <w:marRight w:val="0"/>
              <w:marTop w:val="0"/>
              <w:marBottom w:val="0"/>
              <w:divBdr>
                <w:top w:val="none" w:sz="0" w:space="0" w:color="auto"/>
                <w:left w:val="none" w:sz="0" w:space="0" w:color="auto"/>
                <w:bottom w:val="none" w:sz="0" w:space="0" w:color="auto"/>
                <w:right w:val="none" w:sz="0" w:space="0" w:color="auto"/>
              </w:divBdr>
              <w:divsChild>
                <w:div w:id="896162290">
                  <w:marLeft w:val="0"/>
                  <w:marRight w:val="0"/>
                  <w:marTop w:val="0"/>
                  <w:marBottom w:val="0"/>
                  <w:divBdr>
                    <w:top w:val="none" w:sz="0" w:space="0" w:color="auto"/>
                    <w:left w:val="none" w:sz="0" w:space="0" w:color="auto"/>
                    <w:bottom w:val="none" w:sz="0" w:space="0" w:color="auto"/>
                    <w:right w:val="none" w:sz="0" w:space="0" w:color="auto"/>
                  </w:divBdr>
                  <w:divsChild>
                    <w:div w:id="55420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5345">
      <w:bodyDiv w:val="1"/>
      <w:marLeft w:val="0"/>
      <w:marRight w:val="0"/>
      <w:marTop w:val="0"/>
      <w:marBottom w:val="0"/>
      <w:divBdr>
        <w:top w:val="none" w:sz="0" w:space="0" w:color="auto"/>
        <w:left w:val="none" w:sz="0" w:space="0" w:color="auto"/>
        <w:bottom w:val="none" w:sz="0" w:space="0" w:color="auto"/>
        <w:right w:val="none" w:sz="0" w:space="0" w:color="auto"/>
      </w:divBdr>
    </w:div>
    <w:div w:id="1155998064">
      <w:bodyDiv w:val="1"/>
      <w:marLeft w:val="0"/>
      <w:marRight w:val="0"/>
      <w:marTop w:val="0"/>
      <w:marBottom w:val="0"/>
      <w:divBdr>
        <w:top w:val="none" w:sz="0" w:space="0" w:color="auto"/>
        <w:left w:val="none" w:sz="0" w:space="0" w:color="auto"/>
        <w:bottom w:val="none" w:sz="0" w:space="0" w:color="auto"/>
        <w:right w:val="none" w:sz="0" w:space="0" w:color="auto"/>
      </w:divBdr>
    </w:div>
    <w:div w:id="1270510769">
      <w:bodyDiv w:val="1"/>
      <w:marLeft w:val="0"/>
      <w:marRight w:val="0"/>
      <w:marTop w:val="0"/>
      <w:marBottom w:val="0"/>
      <w:divBdr>
        <w:top w:val="none" w:sz="0" w:space="0" w:color="auto"/>
        <w:left w:val="none" w:sz="0" w:space="0" w:color="auto"/>
        <w:bottom w:val="none" w:sz="0" w:space="0" w:color="auto"/>
        <w:right w:val="none" w:sz="0" w:space="0" w:color="auto"/>
      </w:divBdr>
    </w:div>
    <w:div w:id="1379016104">
      <w:bodyDiv w:val="1"/>
      <w:marLeft w:val="0"/>
      <w:marRight w:val="0"/>
      <w:marTop w:val="0"/>
      <w:marBottom w:val="0"/>
      <w:divBdr>
        <w:top w:val="none" w:sz="0" w:space="0" w:color="auto"/>
        <w:left w:val="none" w:sz="0" w:space="0" w:color="auto"/>
        <w:bottom w:val="none" w:sz="0" w:space="0" w:color="auto"/>
        <w:right w:val="none" w:sz="0" w:space="0" w:color="auto"/>
      </w:divBdr>
    </w:div>
    <w:div w:id="1381130362">
      <w:bodyDiv w:val="1"/>
      <w:marLeft w:val="0"/>
      <w:marRight w:val="0"/>
      <w:marTop w:val="0"/>
      <w:marBottom w:val="0"/>
      <w:divBdr>
        <w:top w:val="none" w:sz="0" w:space="0" w:color="auto"/>
        <w:left w:val="none" w:sz="0" w:space="0" w:color="auto"/>
        <w:bottom w:val="none" w:sz="0" w:space="0" w:color="auto"/>
        <w:right w:val="none" w:sz="0" w:space="0" w:color="auto"/>
      </w:divBdr>
    </w:div>
    <w:div w:id="1396972438">
      <w:bodyDiv w:val="1"/>
      <w:marLeft w:val="0"/>
      <w:marRight w:val="0"/>
      <w:marTop w:val="0"/>
      <w:marBottom w:val="0"/>
      <w:divBdr>
        <w:top w:val="none" w:sz="0" w:space="0" w:color="auto"/>
        <w:left w:val="none" w:sz="0" w:space="0" w:color="auto"/>
        <w:bottom w:val="none" w:sz="0" w:space="0" w:color="auto"/>
        <w:right w:val="none" w:sz="0" w:space="0" w:color="auto"/>
      </w:divBdr>
    </w:div>
    <w:div w:id="1401948551">
      <w:bodyDiv w:val="1"/>
      <w:marLeft w:val="0"/>
      <w:marRight w:val="0"/>
      <w:marTop w:val="0"/>
      <w:marBottom w:val="0"/>
      <w:divBdr>
        <w:top w:val="none" w:sz="0" w:space="0" w:color="auto"/>
        <w:left w:val="none" w:sz="0" w:space="0" w:color="auto"/>
        <w:bottom w:val="none" w:sz="0" w:space="0" w:color="auto"/>
        <w:right w:val="none" w:sz="0" w:space="0" w:color="auto"/>
      </w:divBdr>
    </w:div>
    <w:div w:id="1418602024">
      <w:bodyDiv w:val="1"/>
      <w:marLeft w:val="0"/>
      <w:marRight w:val="0"/>
      <w:marTop w:val="0"/>
      <w:marBottom w:val="0"/>
      <w:divBdr>
        <w:top w:val="none" w:sz="0" w:space="0" w:color="auto"/>
        <w:left w:val="none" w:sz="0" w:space="0" w:color="auto"/>
        <w:bottom w:val="none" w:sz="0" w:space="0" w:color="auto"/>
        <w:right w:val="none" w:sz="0" w:space="0" w:color="auto"/>
      </w:divBdr>
    </w:div>
    <w:div w:id="1480535481">
      <w:bodyDiv w:val="1"/>
      <w:marLeft w:val="0"/>
      <w:marRight w:val="0"/>
      <w:marTop w:val="0"/>
      <w:marBottom w:val="0"/>
      <w:divBdr>
        <w:top w:val="none" w:sz="0" w:space="0" w:color="auto"/>
        <w:left w:val="none" w:sz="0" w:space="0" w:color="auto"/>
        <w:bottom w:val="none" w:sz="0" w:space="0" w:color="auto"/>
        <w:right w:val="none" w:sz="0" w:space="0" w:color="auto"/>
      </w:divBdr>
    </w:div>
    <w:div w:id="1481115711">
      <w:bodyDiv w:val="1"/>
      <w:marLeft w:val="0"/>
      <w:marRight w:val="0"/>
      <w:marTop w:val="0"/>
      <w:marBottom w:val="0"/>
      <w:divBdr>
        <w:top w:val="none" w:sz="0" w:space="0" w:color="auto"/>
        <w:left w:val="none" w:sz="0" w:space="0" w:color="auto"/>
        <w:bottom w:val="none" w:sz="0" w:space="0" w:color="auto"/>
        <w:right w:val="none" w:sz="0" w:space="0" w:color="auto"/>
      </w:divBdr>
    </w:div>
    <w:div w:id="1491022548">
      <w:bodyDiv w:val="1"/>
      <w:marLeft w:val="0"/>
      <w:marRight w:val="0"/>
      <w:marTop w:val="0"/>
      <w:marBottom w:val="0"/>
      <w:divBdr>
        <w:top w:val="none" w:sz="0" w:space="0" w:color="auto"/>
        <w:left w:val="none" w:sz="0" w:space="0" w:color="auto"/>
        <w:bottom w:val="none" w:sz="0" w:space="0" w:color="auto"/>
        <w:right w:val="none" w:sz="0" w:space="0" w:color="auto"/>
      </w:divBdr>
    </w:div>
    <w:div w:id="1719471132">
      <w:bodyDiv w:val="1"/>
      <w:marLeft w:val="0"/>
      <w:marRight w:val="0"/>
      <w:marTop w:val="0"/>
      <w:marBottom w:val="0"/>
      <w:divBdr>
        <w:top w:val="none" w:sz="0" w:space="0" w:color="auto"/>
        <w:left w:val="none" w:sz="0" w:space="0" w:color="auto"/>
        <w:bottom w:val="none" w:sz="0" w:space="0" w:color="auto"/>
        <w:right w:val="none" w:sz="0" w:space="0" w:color="auto"/>
      </w:divBdr>
    </w:div>
    <w:div w:id="1801411956">
      <w:bodyDiv w:val="1"/>
      <w:marLeft w:val="0"/>
      <w:marRight w:val="0"/>
      <w:marTop w:val="0"/>
      <w:marBottom w:val="0"/>
      <w:divBdr>
        <w:top w:val="none" w:sz="0" w:space="0" w:color="auto"/>
        <w:left w:val="none" w:sz="0" w:space="0" w:color="auto"/>
        <w:bottom w:val="none" w:sz="0" w:space="0" w:color="auto"/>
        <w:right w:val="none" w:sz="0" w:space="0" w:color="auto"/>
      </w:divBdr>
    </w:div>
    <w:div w:id="1899389856">
      <w:bodyDiv w:val="1"/>
      <w:marLeft w:val="0"/>
      <w:marRight w:val="0"/>
      <w:marTop w:val="0"/>
      <w:marBottom w:val="0"/>
      <w:divBdr>
        <w:top w:val="none" w:sz="0" w:space="0" w:color="auto"/>
        <w:left w:val="none" w:sz="0" w:space="0" w:color="auto"/>
        <w:bottom w:val="none" w:sz="0" w:space="0" w:color="auto"/>
        <w:right w:val="none" w:sz="0" w:space="0" w:color="auto"/>
      </w:divBdr>
    </w:div>
    <w:div w:id="1914315435">
      <w:bodyDiv w:val="1"/>
      <w:marLeft w:val="0"/>
      <w:marRight w:val="0"/>
      <w:marTop w:val="0"/>
      <w:marBottom w:val="0"/>
      <w:divBdr>
        <w:top w:val="none" w:sz="0" w:space="0" w:color="auto"/>
        <w:left w:val="none" w:sz="0" w:space="0" w:color="auto"/>
        <w:bottom w:val="none" w:sz="0" w:space="0" w:color="auto"/>
        <w:right w:val="none" w:sz="0" w:space="0" w:color="auto"/>
      </w:divBdr>
    </w:div>
    <w:div w:id="1928810337">
      <w:bodyDiv w:val="1"/>
      <w:marLeft w:val="0"/>
      <w:marRight w:val="0"/>
      <w:marTop w:val="0"/>
      <w:marBottom w:val="0"/>
      <w:divBdr>
        <w:top w:val="none" w:sz="0" w:space="0" w:color="auto"/>
        <w:left w:val="none" w:sz="0" w:space="0" w:color="auto"/>
        <w:bottom w:val="none" w:sz="0" w:space="0" w:color="auto"/>
        <w:right w:val="none" w:sz="0" w:space="0" w:color="auto"/>
      </w:divBdr>
    </w:div>
    <w:div w:id="2052269415">
      <w:bodyDiv w:val="1"/>
      <w:marLeft w:val="0"/>
      <w:marRight w:val="0"/>
      <w:marTop w:val="0"/>
      <w:marBottom w:val="0"/>
      <w:divBdr>
        <w:top w:val="none" w:sz="0" w:space="0" w:color="auto"/>
        <w:left w:val="none" w:sz="0" w:space="0" w:color="auto"/>
        <w:bottom w:val="none" w:sz="0" w:space="0" w:color="auto"/>
        <w:right w:val="none" w:sz="0" w:space="0" w:color="auto"/>
      </w:divBdr>
    </w:div>
    <w:div w:id="2085256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tracegenomics.com/dry-season-soil-sampling/"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hyperlink" Target="https://www.fao.org/3/i5199e/i5199e.pdf"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en.wikipedia.org/wiki/Afram_Plains_District" TargetMode="External"/><Relationship Id="rId23"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aframplainsstories.com/afram-plains-the-forgotten-hub-of-potentials-and-the-struggles-of-progres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F3A93-AEE3-4201-ADED-D4A07181F3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Pages>
  <Words>8250</Words>
  <Characters>47028</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SDI 1183</cp:lastModifiedBy>
  <cp:revision>151</cp:revision>
  <dcterms:created xsi:type="dcterms:W3CDTF">2025-01-04T10:20:00Z</dcterms:created>
  <dcterms:modified xsi:type="dcterms:W3CDTF">2025-05-03T06:51:00Z</dcterms:modified>
</cp:coreProperties>
</file>