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29" w:rsidRDefault="00E47329" w:rsidP="00D45A9C">
      <w:pPr>
        <w:jc w:val="both"/>
        <w:sectPr w:rsidR="00E473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860" w:right="1417" w:bottom="280" w:left="1275" w:header="360" w:footer="360" w:gutter="0"/>
          <w:pgNumType w:start="1"/>
          <w:cols w:num="2" w:space="720" w:equalWidth="0">
            <w:col w:w="4594" w:space="40"/>
            <w:col w:w="4594" w:space="0"/>
          </w:cols>
        </w:sectPr>
      </w:pPr>
    </w:p>
    <w:p w:rsidR="00E47329" w:rsidRDefault="00495978" w:rsidP="00D45A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2"/>
        <w:jc w:val="both"/>
        <w:rPr>
          <w:b/>
        </w:rPr>
      </w:pPr>
      <w:r>
        <w:rPr>
          <w:b/>
          <w:i/>
          <w:sz w:val="26"/>
          <w:szCs w:val="26"/>
        </w:rPr>
        <w:t xml:space="preserve">Management of </w:t>
      </w:r>
      <w:proofErr w:type="spellStart"/>
      <w:r>
        <w:rPr>
          <w:b/>
          <w:i/>
          <w:sz w:val="26"/>
          <w:szCs w:val="26"/>
        </w:rPr>
        <w:t>Metastatic</w:t>
      </w:r>
      <w:proofErr w:type="spellEnd"/>
      <w:r>
        <w:rPr>
          <w:b/>
          <w:i/>
          <w:sz w:val="26"/>
          <w:szCs w:val="26"/>
        </w:rPr>
        <w:t xml:space="preserve"> </w:t>
      </w:r>
      <w:r w:rsidR="004342A1" w:rsidRPr="004342A1">
        <w:rPr>
          <w:b/>
          <w:i/>
          <w:sz w:val="26"/>
          <w:szCs w:val="26"/>
        </w:rPr>
        <w:t xml:space="preserve">Colorectal </w:t>
      </w:r>
      <w:proofErr w:type="gramStart"/>
      <w:r w:rsidR="004342A1" w:rsidRPr="004342A1">
        <w:rPr>
          <w:b/>
          <w:i/>
          <w:sz w:val="26"/>
          <w:szCs w:val="26"/>
        </w:rPr>
        <w:t>Cancer</w:t>
      </w:r>
      <w:r>
        <w:rPr>
          <w:b/>
          <w:i/>
          <w:sz w:val="26"/>
          <w:szCs w:val="26"/>
        </w:rPr>
        <w:t>:</w:t>
      </w:r>
      <w:proofErr w:type="gramEnd"/>
      <w:r>
        <w:rPr>
          <w:b/>
          <w:i/>
          <w:sz w:val="26"/>
          <w:szCs w:val="26"/>
        </w:rPr>
        <w:t xml:space="preserve"> A Case </w:t>
      </w:r>
      <w:proofErr w:type="spellStart"/>
      <w:r>
        <w:rPr>
          <w:b/>
          <w:i/>
          <w:sz w:val="26"/>
          <w:szCs w:val="26"/>
        </w:rPr>
        <w:t>Series</w:t>
      </w:r>
      <w:proofErr w:type="spellEnd"/>
      <w:r>
        <w:rPr>
          <w:b/>
          <w:i/>
          <w:sz w:val="26"/>
          <w:szCs w:val="26"/>
        </w:rPr>
        <w:t xml:space="preserve"> of 20 Patients</w:t>
      </w:r>
      <w:r>
        <w:rPr>
          <w:b/>
        </w:rPr>
        <w:t xml:space="preserve"> </w:t>
      </w: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5" w:right="82"/>
        <w:jc w:val="both"/>
      </w:pPr>
    </w:p>
    <w:p w:rsidR="00E47329" w:rsidRDefault="00495978" w:rsidP="00D45A9C">
      <w:pPr>
        <w:spacing w:before="240" w:after="240" w:line="276" w:lineRule="auto"/>
        <w:jc w:val="both"/>
        <w:rPr>
          <w:b/>
        </w:rPr>
      </w:pPr>
      <w:r>
        <w:rPr>
          <w:b/>
        </w:rPr>
        <w:t>Abstract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Metastatic</w:t>
      </w:r>
      <w:proofErr w:type="spellEnd"/>
      <w:r>
        <w:t xml:space="preserve"> colorectal cancer (</w:t>
      </w:r>
      <w:proofErr w:type="spellStart"/>
      <w:r>
        <w:t>mCRC</w:t>
      </w:r>
      <w:proofErr w:type="spellEnd"/>
      <w:r>
        <w:t xml:space="preserve">) </w:t>
      </w:r>
      <w:proofErr w:type="spellStart"/>
      <w:r>
        <w:t>represents</w:t>
      </w:r>
      <w:proofErr w:type="spellEnd"/>
      <w:r>
        <w:t xml:space="preserve"> a major public </w:t>
      </w:r>
      <w:proofErr w:type="spellStart"/>
      <w:r>
        <w:t>health</w:t>
      </w:r>
      <w:proofErr w:type="spellEnd"/>
      <w:r>
        <w:t xml:space="preserve"> challenge, </w:t>
      </w:r>
      <w:proofErr w:type="spellStart"/>
      <w:r>
        <w:t>characterized</w:t>
      </w:r>
      <w:proofErr w:type="spellEnd"/>
      <w:r>
        <w:t xml:space="preserve"> by high </w:t>
      </w:r>
      <w:proofErr w:type="spellStart"/>
      <w:r>
        <w:t>morbidity</w:t>
      </w:r>
      <w:proofErr w:type="spellEnd"/>
      <w:r>
        <w:t xml:space="preserve"> and </w:t>
      </w:r>
      <w:proofErr w:type="spellStart"/>
      <w:r>
        <w:t>mortality</w:t>
      </w:r>
      <w:proofErr w:type="spellEnd"/>
      <w:r>
        <w:t xml:space="preserve">. This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conducted</w:t>
      </w:r>
      <w:proofErr w:type="spellEnd"/>
      <w:r>
        <w:t xml:space="preserve"> at Ibn Rochd </w:t>
      </w:r>
      <w:proofErr w:type="spellStart"/>
      <w:r>
        <w:t>University</w:t>
      </w:r>
      <w:proofErr w:type="spellEnd"/>
      <w:r>
        <w:t xml:space="preserve"> Hospital in Casablanca </w:t>
      </w:r>
      <w:proofErr w:type="spellStart"/>
      <w:r>
        <w:t>from</w:t>
      </w:r>
      <w:proofErr w:type="spellEnd"/>
      <w:r>
        <w:t xml:space="preserve"> 2019 to 2023, </w:t>
      </w:r>
      <w:proofErr w:type="spellStart"/>
      <w:r>
        <w:t>analyzes</w:t>
      </w:r>
      <w:proofErr w:type="spellEnd"/>
      <w:r>
        <w:t xml:space="preserve"> the </w:t>
      </w:r>
      <w:proofErr w:type="spellStart"/>
      <w:r>
        <w:t>epidemiological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, and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20 patients </w:t>
      </w:r>
      <w:proofErr w:type="spellStart"/>
      <w:r>
        <w:t>diagnosed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mCRC</w:t>
      </w:r>
      <w:proofErr w:type="spellEnd"/>
      <w:r>
        <w:t xml:space="preserve">. The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56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male </w:t>
      </w:r>
      <w:proofErr w:type="spellStart"/>
      <w:r>
        <w:t>predominance</w:t>
      </w:r>
      <w:proofErr w:type="spellEnd"/>
      <w:r>
        <w:t xml:space="preserve">. The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metastatic</w:t>
      </w:r>
      <w:proofErr w:type="spellEnd"/>
      <w:r>
        <w:t xml:space="preserve"> site. Management </w:t>
      </w:r>
      <w:proofErr w:type="spellStart"/>
      <w:r>
        <w:t>relied</w:t>
      </w:r>
      <w:proofErr w:type="spellEnd"/>
      <w:r>
        <w:t xml:space="preserve"> on a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chemotherapy</w:t>
      </w:r>
      <w:proofErr w:type="spellEnd"/>
      <w:r>
        <w:t xml:space="preserve">, and, in </w:t>
      </w:r>
      <w:proofErr w:type="spellStart"/>
      <w:r>
        <w:t>selected</w:t>
      </w:r>
      <w:proofErr w:type="spellEnd"/>
      <w:r>
        <w:t xml:space="preserve"> cases, </w:t>
      </w:r>
      <w:proofErr w:type="spellStart"/>
      <w:r>
        <w:t>radiotherapy</w:t>
      </w:r>
      <w:proofErr w:type="spellEnd"/>
      <w:r>
        <w:t xml:space="preserve">. The FOLFOX </w:t>
      </w:r>
      <w:proofErr w:type="spellStart"/>
      <w:r>
        <w:t>regimen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. The </w:t>
      </w:r>
      <w:proofErr w:type="spellStart"/>
      <w:r>
        <w:t>resectability</w:t>
      </w:r>
      <w:proofErr w:type="spellEnd"/>
      <w:r>
        <w:t xml:space="preserve"> rate of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40%.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12.6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liver</w:t>
      </w:r>
      <w:proofErr w:type="spellEnd"/>
      <w:r>
        <w:t xml:space="preserve"> transplantation, </w:t>
      </w:r>
      <w:proofErr w:type="spellStart"/>
      <w:r>
        <w:t>offer</w:t>
      </w:r>
      <w:proofErr w:type="spellEnd"/>
      <w:r>
        <w:t xml:space="preserve"> new </w:t>
      </w:r>
      <w:proofErr w:type="spellStart"/>
      <w:r>
        <w:t>opportunities</w:t>
      </w:r>
      <w:proofErr w:type="spellEnd"/>
      <w:r>
        <w:t xml:space="preserve"> for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of life in </w:t>
      </w:r>
      <w:proofErr w:type="spellStart"/>
      <w:r>
        <w:t>these</w:t>
      </w:r>
      <w:proofErr w:type="spellEnd"/>
      <w:r>
        <w:t xml:space="preserve"> </w:t>
      </w:r>
      <w:proofErr w:type="gramStart"/>
      <w:r>
        <w:t>patients..</w:t>
      </w:r>
      <w:proofErr w:type="gramEnd"/>
    </w:p>
    <w:p w:rsidR="00E47329" w:rsidRDefault="004342A1" w:rsidP="00D45A9C">
      <w:pPr>
        <w:spacing w:before="299" w:line="276" w:lineRule="auto"/>
        <w:ind w:left="165"/>
        <w:jc w:val="both"/>
      </w:pPr>
      <w:r>
        <w:t xml:space="preserve">Keywords : </w:t>
      </w:r>
      <w:proofErr w:type="spellStart"/>
      <w:r w:rsidRPr="004342A1">
        <w:t>Metastatic</w:t>
      </w:r>
      <w:proofErr w:type="spellEnd"/>
      <w:r w:rsidRPr="004342A1">
        <w:t xml:space="preserve"> colorectal cancer</w:t>
      </w:r>
      <w:r>
        <w:t xml:space="preserve">, </w:t>
      </w:r>
      <w:proofErr w:type="spellStart"/>
      <w:r w:rsidRPr="004342A1">
        <w:t>therapeutic</w:t>
      </w:r>
      <w:proofErr w:type="spellEnd"/>
      <w:r w:rsidRPr="004342A1">
        <w:t xml:space="preserve"> </w:t>
      </w:r>
      <w:proofErr w:type="spellStart"/>
      <w:r w:rsidRPr="004342A1">
        <w:t>advancements</w:t>
      </w:r>
      <w:proofErr w:type="spellEnd"/>
      <w:r>
        <w:t xml:space="preserve">, </w:t>
      </w:r>
      <w:r w:rsidRPr="004342A1">
        <w:t>Colorectal Cancer</w:t>
      </w:r>
      <w:r>
        <w:t xml:space="preserve">, </w:t>
      </w:r>
      <w:proofErr w:type="spellStart"/>
      <w:r w:rsidRPr="004342A1">
        <w:t>metastases</w:t>
      </w:r>
      <w:proofErr w:type="spellEnd"/>
    </w:p>
    <w:p w:rsidR="00E47329" w:rsidRDefault="00495978" w:rsidP="00D45A9C">
      <w:pPr>
        <w:spacing w:before="240" w:after="240" w:line="276" w:lineRule="auto"/>
        <w:jc w:val="both"/>
      </w:pPr>
      <w:r>
        <w:rPr>
          <w:b/>
        </w:rPr>
        <w:t>Introduction</w:t>
      </w:r>
    </w:p>
    <w:p w:rsidR="00E47329" w:rsidRDefault="00495978" w:rsidP="00D45A9C">
      <w:pPr>
        <w:spacing w:before="240" w:after="240" w:line="276" w:lineRule="auto"/>
        <w:jc w:val="both"/>
      </w:pPr>
      <w:r>
        <w:t xml:space="preserve">Colorectal cancer </w:t>
      </w:r>
      <w:proofErr w:type="spellStart"/>
      <w:r>
        <w:t>ranks</w:t>
      </w:r>
      <w:proofErr w:type="spellEnd"/>
      <w:r>
        <w:t xml:space="preserve"> as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cancer </w:t>
      </w:r>
      <w:proofErr w:type="spellStart"/>
      <w:r>
        <w:t>worldwide</w:t>
      </w:r>
      <w:proofErr w:type="spellEnd"/>
      <w:r>
        <w:t xml:space="preserve"> and the second </w:t>
      </w:r>
      <w:proofErr w:type="spellStart"/>
      <w:r>
        <w:t>leading</w:t>
      </w:r>
      <w:proofErr w:type="spellEnd"/>
      <w:r>
        <w:t xml:space="preserve"> cause of cancer-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(1). In Morocco,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for 8.7% of all cancer cases (2). </w:t>
      </w:r>
      <w:proofErr w:type="spellStart"/>
      <w:r>
        <w:t>Between</w:t>
      </w:r>
      <w:proofErr w:type="spellEnd"/>
      <w:r>
        <w:t xml:space="preserve"> 40% and 60% of patients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, </w:t>
      </w:r>
      <w:proofErr w:type="spellStart"/>
      <w:r>
        <w:t>primarily</w:t>
      </w:r>
      <w:proofErr w:type="spellEnd"/>
      <w:r>
        <w:t xml:space="preserve"> in the </w:t>
      </w:r>
      <w:proofErr w:type="spellStart"/>
      <w:r>
        <w:t>liver</w:t>
      </w:r>
      <w:proofErr w:type="spellEnd"/>
      <w:r>
        <w:t xml:space="preserve"> (3),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heavily</w:t>
      </w:r>
      <w:proofErr w:type="spellEnd"/>
      <w:r>
        <w:t xml:space="preserve"> impacts </w:t>
      </w:r>
      <w:proofErr w:type="spellStart"/>
      <w:r>
        <w:t>prognosis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advancements</w:t>
      </w:r>
      <w:proofErr w:type="spellEnd"/>
      <w:r>
        <w:t xml:space="preserve"> (4,5), </w:t>
      </w:r>
      <w:proofErr w:type="spellStart"/>
      <w:r>
        <w:t>mCRC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low-resource</w:t>
      </w:r>
      <w:proofErr w:type="spellEnd"/>
      <w:r>
        <w:t xml:space="preserve"> settings. 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the </w:t>
      </w:r>
      <w:proofErr w:type="spellStart"/>
      <w:r>
        <w:t>experience</w:t>
      </w:r>
      <w:proofErr w:type="spellEnd"/>
      <w:r>
        <w:t xml:space="preserve"> of a </w:t>
      </w:r>
      <w:proofErr w:type="spellStart"/>
      <w:r>
        <w:t>Moroccan</w:t>
      </w:r>
      <w:proofErr w:type="spellEnd"/>
      <w:r>
        <w:t xml:space="preserve"> </w:t>
      </w:r>
      <w:proofErr w:type="spellStart"/>
      <w:r>
        <w:t>referral</w:t>
      </w:r>
      <w:proofErr w:type="spellEnd"/>
      <w:r>
        <w:t xml:space="preserve"> center in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mCRC</w:t>
      </w:r>
      <w:proofErr w:type="spellEnd"/>
      <w:r>
        <w:t xml:space="preserve"> and to compare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international </w:t>
      </w:r>
      <w:proofErr w:type="spellStart"/>
      <w:r>
        <w:t>recommendations</w:t>
      </w:r>
      <w:proofErr w:type="spellEnd"/>
      <w:r>
        <w:t xml:space="preserve"> (6).</w:t>
      </w:r>
    </w:p>
    <w:p w:rsidR="00E47329" w:rsidRDefault="00E47329" w:rsidP="00D45A9C">
      <w:pPr>
        <w:spacing w:before="299" w:line="276" w:lineRule="auto"/>
        <w:ind w:left="165"/>
        <w:jc w:val="both"/>
      </w:pPr>
    </w:p>
    <w:p w:rsidR="00E47329" w:rsidRDefault="00495978" w:rsidP="00D45A9C">
      <w:pPr>
        <w:spacing w:before="240" w:after="240" w:line="276" w:lineRule="auto"/>
        <w:jc w:val="both"/>
      </w:pPr>
      <w:r>
        <w:rPr>
          <w:b/>
        </w:rPr>
        <w:t>Materials and Methods</w:t>
      </w:r>
    </w:p>
    <w:p w:rsidR="00E47329" w:rsidRDefault="00495978" w:rsidP="00D45A9C">
      <w:pPr>
        <w:spacing w:before="240" w:after="240" w:line="276" w:lineRule="auto"/>
        <w:jc w:val="both"/>
        <w:sectPr w:rsidR="00E47329">
          <w:type w:val="continuous"/>
          <w:pgSz w:w="11920" w:h="16840"/>
          <w:pgMar w:top="1860" w:right="1417" w:bottom="280" w:left="1275" w:header="360" w:footer="360" w:gutter="0"/>
          <w:cols w:space="720"/>
        </w:sectPr>
      </w:pPr>
      <w:r>
        <w:t xml:space="preserve">This </w:t>
      </w:r>
      <w:proofErr w:type="spellStart"/>
      <w:r>
        <w:t>retrospective</w:t>
      </w:r>
      <w:proofErr w:type="spellEnd"/>
      <w:r>
        <w:t xml:space="preserve"> descriptive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2019 to </w:t>
      </w:r>
      <w:proofErr w:type="spellStart"/>
      <w:r>
        <w:t>December</w:t>
      </w:r>
      <w:proofErr w:type="spellEnd"/>
      <w:r>
        <w:t xml:space="preserve"> 2023 at the Digestive </w:t>
      </w:r>
      <w:proofErr w:type="spellStart"/>
      <w:r>
        <w:t>Oncology</w:t>
      </w:r>
      <w:proofErr w:type="spellEnd"/>
      <w:r>
        <w:t xml:space="preserve"> and </w:t>
      </w:r>
      <w:proofErr w:type="spellStart"/>
      <w:r>
        <w:t>Liver</w:t>
      </w:r>
      <w:proofErr w:type="spellEnd"/>
      <w:r>
        <w:t xml:space="preserve"> Transplantation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Ibn Rochd </w:t>
      </w:r>
      <w:proofErr w:type="spellStart"/>
      <w:r>
        <w:t>University</w:t>
      </w:r>
      <w:proofErr w:type="spellEnd"/>
      <w:r>
        <w:t xml:space="preserve"> Hospital, Casablanca. Twenty patients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histologically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mCRC</w:t>
      </w:r>
      <w:proofErr w:type="spellEnd"/>
      <w:r>
        <w:t>—</w:t>
      </w:r>
      <w:proofErr w:type="spellStart"/>
      <w:r>
        <w:t>either</w:t>
      </w:r>
      <w:proofErr w:type="spellEnd"/>
      <w:r>
        <w:t xml:space="preserve"> colon or rectal cancers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synchronous</w:t>
      </w:r>
      <w:proofErr w:type="spellEnd"/>
      <w:r>
        <w:t xml:space="preserve"> or </w:t>
      </w:r>
      <w:proofErr w:type="spellStart"/>
      <w:r>
        <w:t>metachronous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>—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. Data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demographics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and </w:t>
      </w:r>
      <w:proofErr w:type="spellStart"/>
      <w:r>
        <w:t>paraclinical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, </w:t>
      </w:r>
      <w:proofErr w:type="spellStart"/>
      <w:r>
        <w:t>histology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 (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chemotherapy</w:t>
      </w:r>
      <w:proofErr w:type="spellEnd"/>
      <w:r>
        <w:t xml:space="preserve">, </w:t>
      </w:r>
      <w:proofErr w:type="spellStart"/>
      <w:r>
        <w:t>radiotherapy</w:t>
      </w:r>
      <w:proofErr w:type="spellEnd"/>
      <w:r>
        <w:t xml:space="preserve">), and </w:t>
      </w:r>
      <w:proofErr w:type="spellStart"/>
      <w:r>
        <w:t>outcomes</w:t>
      </w:r>
      <w:proofErr w:type="spellEnd"/>
      <w:r>
        <w:t xml:space="preserve"> (</w:t>
      </w:r>
      <w:proofErr w:type="spellStart"/>
      <w:r>
        <w:t>morbidity</w:t>
      </w:r>
      <w:proofErr w:type="spellEnd"/>
      <w:r>
        <w:t xml:space="preserve">, </w:t>
      </w:r>
      <w:proofErr w:type="spellStart"/>
      <w:r>
        <w:t>mortality</w:t>
      </w:r>
      <w:proofErr w:type="spellEnd"/>
      <w:r>
        <w:t xml:space="preserve">, </w:t>
      </w:r>
      <w:proofErr w:type="spellStart"/>
      <w:r>
        <w:t>survival</w:t>
      </w:r>
      <w:proofErr w:type="spellEnd"/>
      <w:r>
        <w:t xml:space="preserve">). </w:t>
      </w:r>
      <w:proofErr w:type="spellStart"/>
      <w:r>
        <w:t>Continuous</w:t>
      </w:r>
      <w:proofErr w:type="spellEnd"/>
      <w:r>
        <w:t xml:space="preserve"> variables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as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categorical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as percentages.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lastRenderedPageBreak/>
        <w:t>Results</w:t>
      </w:r>
      <w:proofErr w:type="spellEnd"/>
    </w:p>
    <w:p w:rsidR="00E47329" w:rsidRDefault="00495978" w:rsidP="00D45A9C">
      <w:pPr>
        <w:spacing w:before="240" w:after="240" w:line="276" w:lineRule="auto"/>
        <w:jc w:val="both"/>
      </w:pPr>
      <w:r>
        <w:t xml:space="preserve">The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the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56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male </w:t>
      </w:r>
      <w:proofErr w:type="spellStart"/>
      <w:r>
        <w:t>predominance</w:t>
      </w:r>
      <w:proofErr w:type="spellEnd"/>
      <w:r>
        <w:t xml:space="preserve"> (male-to-</w:t>
      </w:r>
      <w:proofErr w:type="spellStart"/>
      <w:r>
        <w:t>female</w:t>
      </w:r>
      <w:proofErr w:type="spellEnd"/>
      <w:r>
        <w:t xml:space="preserve"> ratio of 1.85). The </w:t>
      </w:r>
      <w:proofErr w:type="spellStart"/>
      <w:r>
        <w:t>majority</w:t>
      </w:r>
      <w:proofErr w:type="spellEnd"/>
      <w:r>
        <w:t xml:space="preserve"> of patients (85%) </w:t>
      </w:r>
      <w:proofErr w:type="spellStart"/>
      <w:r>
        <w:t>originated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settings. The </w:t>
      </w:r>
      <w:proofErr w:type="spellStart"/>
      <w:r>
        <w:t>average</w:t>
      </w:r>
      <w:proofErr w:type="spellEnd"/>
      <w:r>
        <w:t xml:space="preserve"> time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symptom</w:t>
      </w:r>
      <w:proofErr w:type="spellEnd"/>
      <w:r>
        <w:t xml:space="preserve"> </w:t>
      </w:r>
      <w:proofErr w:type="spellStart"/>
      <w:r>
        <w:t>onset</w:t>
      </w:r>
      <w:proofErr w:type="spellEnd"/>
      <w:r>
        <w:t xml:space="preserve"> to first </w:t>
      </w:r>
      <w:proofErr w:type="spellStart"/>
      <w:r>
        <w:t>medical</w:t>
      </w:r>
      <w:proofErr w:type="spellEnd"/>
      <w:r>
        <w:t xml:space="preserve"> consultation </w:t>
      </w:r>
      <w:proofErr w:type="spellStart"/>
      <w:r>
        <w:t>was</w:t>
      </w:r>
      <w:proofErr w:type="spellEnd"/>
      <w:r>
        <w:t xml:space="preserve"> 9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85% of patients consulting </w:t>
      </w:r>
      <w:proofErr w:type="spellStart"/>
      <w:r>
        <w:t>after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of </w:t>
      </w:r>
      <w:proofErr w:type="spellStart"/>
      <w:r>
        <w:t>symptoms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diagnostic </w:t>
      </w:r>
      <w:proofErr w:type="spellStart"/>
      <w:r>
        <w:t>delay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Clinically</w:t>
      </w:r>
      <w:proofErr w:type="spellEnd"/>
      <w:r>
        <w:t xml:space="preserve">,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initial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abdominal pain, rectal </w:t>
      </w:r>
      <w:proofErr w:type="spellStart"/>
      <w:r>
        <w:t>bleeding</w:t>
      </w:r>
      <w:proofErr w:type="spellEnd"/>
      <w:r>
        <w:t xml:space="preserve">, changes in </w:t>
      </w:r>
      <w:proofErr w:type="spellStart"/>
      <w:r>
        <w:t>bowel</w:t>
      </w:r>
      <w:proofErr w:type="spellEnd"/>
      <w:r>
        <w:t xml:space="preserve"> habits, and </w:t>
      </w:r>
      <w:proofErr w:type="spellStart"/>
      <w:r>
        <w:t>deterioration</w:t>
      </w:r>
      <w:proofErr w:type="spellEnd"/>
      <w:r>
        <w:t xml:space="preserve"> of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In </w:t>
      </w:r>
      <w:proofErr w:type="spellStart"/>
      <w:r>
        <w:t>some</w:t>
      </w:r>
      <w:proofErr w:type="spellEnd"/>
      <w:r>
        <w:t xml:space="preserve"> cases, patients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hepatomegaly</w:t>
      </w:r>
      <w:proofErr w:type="spellEnd"/>
      <w:r>
        <w:t xml:space="preserve"> or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failure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Regarding</w:t>
      </w:r>
      <w:proofErr w:type="spellEnd"/>
      <w:r>
        <w:t xml:space="preserve"> </w:t>
      </w:r>
      <w:proofErr w:type="spellStart"/>
      <w:r>
        <w:t>metastatic</w:t>
      </w:r>
      <w:proofErr w:type="spellEnd"/>
      <w:r>
        <w:t xml:space="preserve"> spread, the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100% of patients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. </w:t>
      </w:r>
      <w:proofErr w:type="spellStart"/>
      <w:r>
        <w:t>Fourteen</w:t>
      </w:r>
      <w:proofErr w:type="spellEnd"/>
      <w:r>
        <w:t xml:space="preserve"> patients (70%) </w:t>
      </w:r>
      <w:proofErr w:type="spellStart"/>
      <w:r>
        <w:t>had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30%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metastatic</w:t>
      </w:r>
      <w:proofErr w:type="spellEnd"/>
      <w:r>
        <w:t xml:space="preserve"> </w:t>
      </w:r>
      <w:proofErr w:type="gramStart"/>
      <w:r>
        <w:t>sites:</w:t>
      </w:r>
      <w:proofErr w:type="gramEnd"/>
      <w:r>
        <w:t xml:space="preserve"> </w:t>
      </w:r>
      <w:proofErr w:type="spellStart"/>
      <w:r>
        <w:t>lungs</w:t>
      </w:r>
      <w:proofErr w:type="spellEnd"/>
      <w:r>
        <w:t xml:space="preserve"> (15%), </w:t>
      </w:r>
      <w:proofErr w:type="spellStart"/>
      <w:r>
        <w:t>peritoneum</w:t>
      </w:r>
      <w:proofErr w:type="spellEnd"/>
      <w:r>
        <w:t xml:space="preserve"> (10%), and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 (5%). </w:t>
      </w:r>
      <w:proofErr w:type="spellStart"/>
      <w:r>
        <w:t>Synchronous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85% of cases, </w:t>
      </w:r>
      <w:proofErr w:type="spellStart"/>
      <w:r>
        <w:t>while</w:t>
      </w:r>
      <w:proofErr w:type="spellEnd"/>
      <w:r>
        <w:t xml:space="preserve"> 15%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metachronous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management.</w:t>
      </w:r>
    </w:p>
    <w:p w:rsidR="00E47329" w:rsidRDefault="00E47329" w:rsidP="00D45A9C">
      <w:pPr>
        <w:spacing w:before="240" w:after="240" w:line="276" w:lineRule="auto"/>
        <w:jc w:val="both"/>
      </w:pP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</w:p>
    <w:p w:rsidR="00E47329" w:rsidRDefault="00495978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r>
        <w:t xml:space="preserve">Figure 1. Distribution of patients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metastatic</w:t>
      </w:r>
      <w:proofErr w:type="spellEnd"/>
      <w:r>
        <w:t xml:space="preserve"> sites</w:t>
      </w: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  <w:jc w:val="both"/>
      </w:pP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</w:p>
    <w:p w:rsidR="00E47329" w:rsidRDefault="00495978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5772150" cy="28384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3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  <w:jc w:val="both"/>
      </w:pP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  <w:jc w:val="both"/>
      </w:pP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  <w:jc w:val="both"/>
      </w:pP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240"/>
        <w:ind w:left="165"/>
        <w:jc w:val="both"/>
        <w:rPr>
          <w:color w:val="000000"/>
        </w:rPr>
      </w:pP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107" w:after="1"/>
        <w:jc w:val="both"/>
        <w:rPr>
          <w:color w:val="000000"/>
          <w:sz w:val="20"/>
          <w:szCs w:val="20"/>
        </w:rPr>
      </w:pPr>
    </w:p>
    <w:tbl>
      <w:tblPr>
        <w:tblStyle w:val="a"/>
        <w:tblW w:w="908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3143"/>
        <w:gridCol w:w="2578"/>
      </w:tblGrid>
      <w:tr w:rsidR="00E47329">
        <w:trPr>
          <w:trHeight w:val="434"/>
          <w:jc w:val="center"/>
        </w:trPr>
        <w:tc>
          <w:tcPr>
            <w:tcW w:w="33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EAAD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Metastatic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site</w:t>
            </w:r>
          </w:p>
        </w:tc>
        <w:tc>
          <w:tcPr>
            <w:tcW w:w="314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EAAD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cases</w:t>
            </w:r>
          </w:p>
        </w:tc>
        <w:tc>
          <w:tcPr>
            <w:tcW w:w="25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8EAAD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(%)</w:t>
            </w:r>
          </w:p>
        </w:tc>
      </w:tr>
      <w:tr w:rsidR="00E47329">
        <w:trPr>
          <w:trHeight w:val="424"/>
          <w:jc w:val="center"/>
        </w:trPr>
        <w:tc>
          <w:tcPr>
            <w:tcW w:w="3363" w:type="dxa"/>
            <w:tcBorders>
              <w:top w:val="single" w:sz="18" w:space="0" w:color="000000"/>
            </w:tcBorders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Liver</w:t>
            </w:r>
            <w:proofErr w:type="spellEnd"/>
          </w:p>
        </w:tc>
        <w:tc>
          <w:tcPr>
            <w:tcW w:w="3143" w:type="dxa"/>
            <w:tcBorders>
              <w:top w:val="single" w:sz="18" w:space="0" w:color="000000"/>
            </w:tcBorders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18" w:space="0" w:color="000000"/>
            </w:tcBorders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7329">
        <w:trPr>
          <w:trHeight w:val="450"/>
          <w:jc w:val="center"/>
        </w:trPr>
        <w:tc>
          <w:tcPr>
            <w:tcW w:w="336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Isolated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involvement</w:t>
            </w:r>
            <w:proofErr w:type="spellEnd"/>
          </w:p>
        </w:tc>
        <w:tc>
          <w:tcPr>
            <w:tcW w:w="314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8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7329">
        <w:trPr>
          <w:trHeight w:val="449"/>
          <w:jc w:val="center"/>
        </w:trPr>
        <w:tc>
          <w:tcPr>
            <w:tcW w:w="336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Associated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involvement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314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7329">
        <w:trPr>
          <w:trHeight w:val="451"/>
          <w:jc w:val="center"/>
        </w:trPr>
        <w:tc>
          <w:tcPr>
            <w:tcW w:w="336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4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lung</w:t>
            </w:r>
            <w:proofErr w:type="spellEnd"/>
          </w:p>
        </w:tc>
        <w:tc>
          <w:tcPr>
            <w:tcW w:w="314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7329">
        <w:trPr>
          <w:trHeight w:val="450"/>
          <w:jc w:val="center"/>
        </w:trPr>
        <w:tc>
          <w:tcPr>
            <w:tcW w:w="336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peritoneum</w:t>
            </w:r>
            <w:proofErr w:type="spellEnd"/>
          </w:p>
        </w:tc>
        <w:tc>
          <w:tcPr>
            <w:tcW w:w="3143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7329">
        <w:trPr>
          <w:trHeight w:val="449"/>
          <w:jc w:val="center"/>
        </w:trPr>
        <w:tc>
          <w:tcPr>
            <w:tcW w:w="3363" w:type="dxa"/>
            <w:tcBorders>
              <w:bottom w:val="single" w:sz="18" w:space="0" w:color="000000"/>
            </w:tcBorders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nodes</w:t>
            </w:r>
            <w:proofErr w:type="spellEnd"/>
          </w:p>
        </w:tc>
        <w:tc>
          <w:tcPr>
            <w:tcW w:w="3143" w:type="dxa"/>
            <w:tcBorders>
              <w:bottom w:val="single" w:sz="18" w:space="0" w:color="000000"/>
            </w:tcBorders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bottom w:val="single" w:sz="18" w:space="0" w:color="000000"/>
            </w:tcBorders>
          </w:tcPr>
          <w:p w:rsidR="00E47329" w:rsidRDefault="00495978" w:rsidP="00D4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47329" w:rsidRDefault="00495978" w:rsidP="00D45A9C">
      <w:pPr>
        <w:pBdr>
          <w:top w:val="nil"/>
          <w:left w:val="nil"/>
          <w:bottom w:val="nil"/>
          <w:right w:val="nil"/>
          <w:between w:val="nil"/>
        </w:pBdr>
        <w:spacing w:before="193"/>
        <w:ind w:left="165"/>
        <w:jc w:val="both"/>
        <w:rPr>
          <w:rFonts w:ascii="Times New Roman" w:eastAsia="Times New Roman" w:hAnsi="Times New Roman" w:cs="Times New Roman"/>
          <w:color w:val="000000"/>
        </w:rPr>
        <w:sectPr w:rsidR="00E47329">
          <w:pgSz w:w="11920" w:h="16840"/>
          <w:pgMar w:top="1380" w:right="1417" w:bottom="280" w:left="1275" w:header="360" w:footer="36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Table 1. Distribution by </w:t>
      </w:r>
      <w:proofErr w:type="spellStart"/>
      <w:r>
        <w:rPr>
          <w:rFonts w:ascii="Times New Roman" w:eastAsia="Times New Roman" w:hAnsi="Times New Roman" w:cs="Times New Roman"/>
        </w:rPr>
        <w:t>metastatic</w:t>
      </w:r>
      <w:proofErr w:type="spellEnd"/>
      <w:r>
        <w:rPr>
          <w:rFonts w:ascii="Times New Roman" w:eastAsia="Times New Roman" w:hAnsi="Times New Roman" w:cs="Times New Roman"/>
        </w:rPr>
        <w:t xml:space="preserve"> sites (n = 20)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lastRenderedPageBreak/>
        <w:t>Endoscopic</w:t>
      </w:r>
      <w:proofErr w:type="spellEnd"/>
      <w:r>
        <w:t xml:space="preserve"> confirmation of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all patients, and </w:t>
      </w:r>
      <w:proofErr w:type="spellStart"/>
      <w:r>
        <w:t>histology</w:t>
      </w:r>
      <w:proofErr w:type="spellEnd"/>
      <w:r>
        <w:t xml:space="preserve"> </w:t>
      </w:r>
      <w:proofErr w:type="spellStart"/>
      <w:r>
        <w:t>predominantly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moderately</w:t>
      </w:r>
      <w:proofErr w:type="spellEnd"/>
      <w:r>
        <w:t xml:space="preserve"> </w:t>
      </w:r>
      <w:proofErr w:type="spellStart"/>
      <w:r>
        <w:t>differentiated</w:t>
      </w:r>
      <w:proofErr w:type="spellEnd"/>
      <w:r>
        <w:t xml:space="preserve"> </w:t>
      </w:r>
      <w:proofErr w:type="spellStart"/>
      <w:r>
        <w:t>adenocarcinoma</w:t>
      </w:r>
      <w:proofErr w:type="spellEnd"/>
      <w:r>
        <w:t xml:space="preserve">. </w:t>
      </w:r>
      <w:proofErr w:type="spellStart"/>
      <w:r>
        <w:t>Tumor</w:t>
      </w:r>
      <w:proofErr w:type="spellEnd"/>
      <w:r>
        <w:t xml:space="preserve"> markers,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carcinoembryonic</w:t>
      </w:r>
      <w:proofErr w:type="spellEnd"/>
      <w:r>
        <w:t xml:space="preserve"> </w:t>
      </w:r>
      <w:proofErr w:type="spellStart"/>
      <w:r>
        <w:t>antigen</w:t>
      </w:r>
      <w:proofErr w:type="spellEnd"/>
      <w:r>
        <w:t xml:space="preserve"> (CEA) and carbohydrate </w:t>
      </w:r>
      <w:proofErr w:type="spellStart"/>
      <w:r>
        <w:t>antigen</w:t>
      </w:r>
      <w:proofErr w:type="spellEnd"/>
      <w:r>
        <w:t xml:space="preserve"> 19-9 (CA 19-9),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60% and 45% of cases, </w:t>
      </w:r>
      <w:proofErr w:type="spellStart"/>
      <w:r>
        <w:t>respectively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Therapeutically</w:t>
      </w:r>
      <w:proofErr w:type="spellEnd"/>
      <w:r>
        <w:t xml:space="preserve">, 95% of patients </w:t>
      </w:r>
      <w:proofErr w:type="spellStart"/>
      <w:r>
        <w:t>underwent</w:t>
      </w:r>
      <w:proofErr w:type="spellEnd"/>
      <w:r>
        <w:t xml:space="preserve"> </w:t>
      </w:r>
      <w:proofErr w:type="spellStart"/>
      <w:r>
        <w:t>resection</w:t>
      </w:r>
      <w:proofErr w:type="spellEnd"/>
      <w:r>
        <w:t xml:space="preserve"> of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metastasectomy</w:t>
      </w:r>
      <w:proofErr w:type="spellEnd"/>
      <w:r>
        <w:t xml:space="preserve"> possible </w:t>
      </w:r>
      <w:proofErr w:type="spellStart"/>
      <w:r>
        <w:t>in</w:t>
      </w:r>
      <w:proofErr w:type="spellEnd"/>
      <w:r>
        <w:t xml:space="preserve"> 8 cases (40%). </w:t>
      </w:r>
      <w:proofErr w:type="spellStart"/>
      <w:r>
        <w:t>Chemotherapy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to all </w:t>
      </w:r>
      <w:proofErr w:type="gramStart"/>
      <w:r>
        <w:t>patients:</w:t>
      </w:r>
      <w:proofErr w:type="gramEnd"/>
      <w:r>
        <w:t xml:space="preserve"> FOLFOX4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regimen</w:t>
      </w:r>
      <w:proofErr w:type="spellEnd"/>
      <w:r>
        <w:t xml:space="preserve"> of </w:t>
      </w:r>
      <w:proofErr w:type="spellStart"/>
      <w:r>
        <w:t>choice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by XELOX, FOLFIRINOX, XELIRI, and FOLFIRI. </w:t>
      </w:r>
      <w:proofErr w:type="spellStart"/>
      <w:r>
        <w:t>Panitumumab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in patients </w:t>
      </w:r>
      <w:proofErr w:type="spellStart"/>
      <w:r>
        <w:t>with</w:t>
      </w:r>
      <w:proofErr w:type="spellEnd"/>
      <w:r>
        <w:t xml:space="preserve"> favorable RAS profiles. </w:t>
      </w:r>
      <w:proofErr w:type="spellStart"/>
      <w:r>
        <w:t>Radiotherapy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5 patients </w:t>
      </w:r>
      <w:proofErr w:type="spellStart"/>
      <w:r>
        <w:t>with</w:t>
      </w:r>
      <w:proofErr w:type="spellEnd"/>
      <w:r>
        <w:t xml:space="preserve"> rectal </w:t>
      </w:r>
      <w:proofErr w:type="spellStart"/>
      <w:r>
        <w:t>primaries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Postoperative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10%, </w:t>
      </w:r>
      <w:proofErr w:type="spellStart"/>
      <w:r>
        <w:t>with</w:t>
      </w:r>
      <w:proofErr w:type="spellEnd"/>
      <w:r>
        <w:t xml:space="preserve"> causes </w:t>
      </w:r>
      <w:proofErr w:type="spellStart"/>
      <w:r>
        <w:t>including</w:t>
      </w:r>
      <w:proofErr w:type="spellEnd"/>
      <w:r>
        <w:t xml:space="preserve"> sepsis and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. </w:t>
      </w:r>
      <w:proofErr w:type="spellStart"/>
      <w:r>
        <w:t>Morbidity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at 10%,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infections and 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decompensation</w:t>
      </w:r>
      <w:proofErr w:type="spellEnd"/>
      <w:r>
        <w:t xml:space="preserve">.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12.6 </w:t>
      </w:r>
      <w:proofErr w:type="spellStart"/>
      <w:r>
        <w:t>months</w:t>
      </w:r>
      <w:proofErr w:type="spellEnd"/>
      <w:r>
        <w:t xml:space="preserve"> (range 2–36 </w:t>
      </w:r>
      <w:proofErr w:type="spellStart"/>
      <w:r>
        <w:t>months</w:t>
      </w:r>
      <w:proofErr w:type="spellEnd"/>
      <w:r>
        <w:t xml:space="preserve">). At the last follow-up, 13 patients (65%) </w:t>
      </w:r>
      <w:proofErr w:type="spellStart"/>
      <w:r>
        <w:t>had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, 4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chemotherapy</w:t>
      </w:r>
      <w:proofErr w:type="spellEnd"/>
      <w:r>
        <w:t xml:space="preserve"> (20%), and 3 </w:t>
      </w:r>
      <w:proofErr w:type="spellStart"/>
      <w:r>
        <w:t>had</w:t>
      </w:r>
      <w:proofErr w:type="spellEnd"/>
      <w:r>
        <w:t xml:space="preserve"> progressive </w:t>
      </w:r>
      <w:proofErr w:type="spellStart"/>
      <w:r>
        <w:t>disease</w:t>
      </w:r>
      <w:proofErr w:type="spellEnd"/>
      <w:r>
        <w:t xml:space="preserve"> (15%</w:t>
      </w:r>
      <w:proofErr w:type="gramStart"/>
      <w:r>
        <w:t>)..</w:t>
      </w:r>
      <w:proofErr w:type="gramEnd"/>
    </w:p>
    <w:p w:rsidR="00E47329" w:rsidRDefault="00E47329" w:rsidP="00D45A9C">
      <w:pPr>
        <w:pStyle w:val="Heading1"/>
        <w:spacing w:before="1"/>
        <w:ind w:left="0"/>
        <w:jc w:val="both"/>
      </w:pPr>
    </w:p>
    <w:p w:rsidR="00E47329" w:rsidRDefault="00495978" w:rsidP="00D45A9C">
      <w:pPr>
        <w:spacing w:before="240" w:after="240" w:line="276" w:lineRule="auto"/>
        <w:jc w:val="both"/>
        <w:rPr>
          <w:b/>
        </w:rPr>
      </w:pPr>
      <w:r>
        <w:rPr>
          <w:b/>
        </w:rPr>
        <w:t>Discussion</w:t>
      </w:r>
    </w:p>
    <w:p w:rsidR="00E47329" w:rsidRDefault="00495978" w:rsidP="00D45A9C">
      <w:pPr>
        <w:spacing w:before="240" w:after="240" w:line="276" w:lineRule="auto"/>
        <w:jc w:val="both"/>
      </w:pPr>
      <w:r>
        <w:t xml:space="preserve">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mCRC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at an </w:t>
      </w:r>
      <w:proofErr w:type="spellStart"/>
      <w:r>
        <w:t>advanced</w:t>
      </w:r>
      <w:proofErr w:type="spellEnd"/>
      <w:r>
        <w:t xml:space="preserve"> stage in Morocco, </w:t>
      </w:r>
      <w:proofErr w:type="spellStart"/>
      <w:r>
        <w:t>echoing</w:t>
      </w:r>
      <w:proofErr w:type="spellEnd"/>
      <w:r>
        <w:t xml:space="preserve"> trends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low</w:t>
      </w:r>
      <w:proofErr w:type="spellEnd"/>
      <w:r>
        <w:t>- and middle-</w:t>
      </w:r>
      <w:proofErr w:type="spellStart"/>
      <w:r>
        <w:t>income</w:t>
      </w:r>
      <w:proofErr w:type="spellEnd"/>
      <w:r>
        <w:t xml:space="preserve"> countries. The long diagnostic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challenge and </w:t>
      </w:r>
      <w:proofErr w:type="spellStart"/>
      <w:r>
        <w:t>reflects</w:t>
      </w:r>
      <w:proofErr w:type="spellEnd"/>
      <w:r>
        <w:t xml:space="preserve"> the absence of national screening programs and </w:t>
      </w:r>
      <w:proofErr w:type="spellStart"/>
      <w:r>
        <w:t>limited</w:t>
      </w:r>
      <w:proofErr w:type="spellEnd"/>
      <w:r>
        <w:t xml:space="preserve"> public </w:t>
      </w:r>
      <w:proofErr w:type="spellStart"/>
      <w:r>
        <w:t>awareness</w:t>
      </w:r>
      <w:proofErr w:type="spellEnd"/>
      <w:r>
        <w:t xml:space="preserve">.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pivotal in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resectability</w:t>
      </w:r>
      <w:proofErr w:type="spellEnd"/>
      <w:r>
        <w:t xml:space="preserve"> and </w:t>
      </w:r>
      <w:proofErr w:type="spellStart"/>
      <w:r>
        <w:t>survival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r>
        <w:t xml:space="preserve">Our population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consistent </w:t>
      </w:r>
      <w:proofErr w:type="spellStart"/>
      <w:r>
        <w:t>with</w:t>
      </w:r>
      <w:proofErr w:type="spellEnd"/>
      <w:r>
        <w:t xml:space="preserve"> global </w:t>
      </w:r>
      <w:proofErr w:type="spellStart"/>
      <w:proofErr w:type="gramStart"/>
      <w:r>
        <w:t>literature</w:t>
      </w:r>
      <w:proofErr w:type="spellEnd"/>
      <w:r>
        <w:t>:</w:t>
      </w:r>
      <w:proofErr w:type="gramEnd"/>
      <w:r>
        <w:t xml:space="preserve"> male </w:t>
      </w:r>
      <w:proofErr w:type="spellStart"/>
      <w:r>
        <w:t>predominance</w:t>
      </w:r>
      <w:proofErr w:type="spellEnd"/>
      <w:r>
        <w:t xml:space="preserve"> and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in the mid-50s.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, due to portal </w:t>
      </w:r>
      <w:proofErr w:type="spellStart"/>
      <w:r>
        <w:t>venous</w:t>
      </w:r>
      <w:proofErr w:type="spellEnd"/>
      <w:r>
        <w:t xml:space="preserve"> drainage of the colon and rectum,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(7). The </w:t>
      </w:r>
      <w:proofErr w:type="spellStart"/>
      <w:r>
        <w:t>predominance</w:t>
      </w:r>
      <w:proofErr w:type="spellEnd"/>
      <w:r>
        <w:t xml:space="preserve"> of </w:t>
      </w:r>
      <w:proofErr w:type="spellStart"/>
      <w:r>
        <w:t>synchronous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85% of patients </w:t>
      </w:r>
      <w:proofErr w:type="spellStart"/>
      <w:r>
        <w:t>is</w:t>
      </w:r>
      <w:proofErr w:type="spellEnd"/>
      <w:r>
        <w:t xml:space="preserve"> consistent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aggressive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and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Histopathology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a </w:t>
      </w:r>
      <w:proofErr w:type="spellStart"/>
      <w:r>
        <w:t>predominance</w:t>
      </w:r>
      <w:proofErr w:type="spellEnd"/>
      <w:r>
        <w:t xml:space="preserve"> of </w:t>
      </w:r>
      <w:proofErr w:type="spellStart"/>
      <w:r>
        <w:t>moderately</w:t>
      </w:r>
      <w:proofErr w:type="spellEnd"/>
      <w:r>
        <w:t xml:space="preserve"> </w:t>
      </w:r>
      <w:proofErr w:type="spellStart"/>
      <w:r>
        <w:t>differentiated</w:t>
      </w:r>
      <w:proofErr w:type="spellEnd"/>
      <w:r>
        <w:t xml:space="preserve"> </w:t>
      </w:r>
      <w:proofErr w:type="spellStart"/>
      <w:r>
        <w:t>adenocarcinoma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aligns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international trends. </w:t>
      </w:r>
      <w:proofErr w:type="spellStart"/>
      <w:r>
        <w:t>Tumor</w:t>
      </w:r>
      <w:proofErr w:type="spellEnd"/>
      <w:r>
        <w:t xml:space="preserve"> marker </w:t>
      </w:r>
      <w:proofErr w:type="spellStart"/>
      <w:r>
        <w:t>evaluation</w:t>
      </w:r>
      <w:proofErr w:type="spellEnd"/>
      <w:r>
        <w:t xml:space="preserve"> (CEA and CA 19-9)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for </w:t>
      </w:r>
      <w:proofErr w:type="spellStart"/>
      <w:r>
        <w:t>diagnosis</w:t>
      </w:r>
      <w:proofErr w:type="spellEnd"/>
      <w:r>
        <w:t xml:space="preserve"> and monitoring but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for </w:t>
      </w:r>
      <w:proofErr w:type="spellStart"/>
      <w:r>
        <w:t>prognostic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Molecular</w:t>
      </w:r>
      <w:proofErr w:type="spellEnd"/>
      <w:r>
        <w:t xml:space="preserve"> profiling,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setting, </w:t>
      </w:r>
      <w:proofErr w:type="spellStart"/>
      <w:r>
        <w:t>is</w:t>
      </w:r>
      <w:proofErr w:type="spellEnd"/>
      <w:r>
        <w:t xml:space="preserve"> essential for </w:t>
      </w:r>
      <w:proofErr w:type="spellStart"/>
      <w:r>
        <w:t>therapeutic</w:t>
      </w:r>
      <w:proofErr w:type="spellEnd"/>
      <w:r>
        <w:t xml:space="preserve"> stratification. Access to RAS, BRAF, and MSI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to guide use of anti-EGFR </w:t>
      </w:r>
      <w:proofErr w:type="spellStart"/>
      <w:r>
        <w:t>therapies</w:t>
      </w:r>
      <w:proofErr w:type="spellEnd"/>
      <w:r>
        <w:t xml:space="preserve"> and </w:t>
      </w:r>
      <w:proofErr w:type="spellStart"/>
      <w:r>
        <w:t>immunotherapy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resection</w:t>
      </w:r>
      <w:proofErr w:type="spellEnd"/>
      <w:r>
        <w:t xml:space="preserve"> of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in the </w:t>
      </w:r>
      <w:proofErr w:type="spellStart"/>
      <w:r>
        <w:t>metastatic</w:t>
      </w:r>
      <w:proofErr w:type="spellEnd"/>
      <w:r>
        <w:t xml:space="preserve"> setting,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for </w:t>
      </w:r>
      <w:proofErr w:type="spellStart"/>
      <w:r>
        <w:t>symptom</w:t>
      </w:r>
      <w:proofErr w:type="spellEnd"/>
      <w:r>
        <w:t xml:space="preserve"> control or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metastasectomy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 xml:space="preserve">. Our 40% </w:t>
      </w:r>
      <w:proofErr w:type="spellStart"/>
      <w:r>
        <w:t>resection</w:t>
      </w:r>
      <w:proofErr w:type="spellEnd"/>
      <w:r>
        <w:t xml:space="preserve"> rate for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the </w:t>
      </w:r>
      <w:proofErr w:type="spellStart"/>
      <w:r>
        <w:t>feasibility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institution and patient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. Advanced </w:t>
      </w:r>
      <w:proofErr w:type="spellStart"/>
      <w:r>
        <w:t>liver-directed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radiofrequency</w:t>
      </w:r>
      <w:proofErr w:type="spellEnd"/>
      <w:r>
        <w:t xml:space="preserve"> ablation or portal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embolization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available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Chemotherapy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the backbone of </w:t>
      </w:r>
      <w:proofErr w:type="spellStart"/>
      <w:r>
        <w:t>treatment</w:t>
      </w:r>
      <w:proofErr w:type="spellEnd"/>
      <w:r>
        <w:t>. FOLFOX-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regimens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favored</w:t>
      </w:r>
      <w:proofErr w:type="spellEnd"/>
      <w:r>
        <w:t xml:space="preserve"> due to </w:t>
      </w:r>
      <w:proofErr w:type="spellStart"/>
      <w:r>
        <w:t>efficacy</w:t>
      </w:r>
      <w:proofErr w:type="spellEnd"/>
      <w:r>
        <w:t xml:space="preserve"> and </w:t>
      </w:r>
      <w:proofErr w:type="spellStart"/>
      <w:r>
        <w:t>tolerability</w:t>
      </w:r>
      <w:proofErr w:type="spellEnd"/>
      <w:r>
        <w:t xml:space="preserve">. The inclusion of </w:t>
      </w:r>
      <w:proofErr w:type="spellStart"/>
      <w:r>
        <w:t>panitumumab</w:t>
      </w:r>
      <w:proofErr w:type="spellEnd"/>
      <w:r>
        <w:t xml:space="preserve"> in select patients </w:t>
      </w:r>
      <w:proofErr w:type="spellStart"/>
      <w:r>
        <w:t>underscores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in </w:t>
      </w:r>
      <w:proofErr w:type="spellStart"/>
      <w:r>
        <w:t>resource-constrained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Immunotherapy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for MSI-high </w:t>
      </w:r>
      <w:proofErr w:type="spellStart"/>
      <w:r>
        <w:t>tumors</w:t>
      </w:r>
      <w:proofErr w:type="spellEnd"/>
      <w:r>
        <w:t xml:space="preserve">, has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remarkable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in </w:t>
      </w:r>
      <w:proofErr w:type="spellStart"/>
      <w:r>
        <w:lastRenderedPageBreak/>
        <w:t>mCRC</w:t>
      </w:r>
      <w:proofErr w:type="spellEnd"/>
      <w:r>
        <w:t xml:space="preserve">. The KEYNOTE-177 trial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progression-free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pembrolizumab in first-line settings (8). </w:t>
      </w:r>
      <w:proofErr w:type="spellStart"/>
      <w:r>
        <w:t>Unfortunately</w:t>
      </w:r>
      <w:proofErr w:type="spellEnd"/>
      <w:r>
        <w:t xml:space="preserve">, high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diagnostics </w:t>
      </w:r>
      <w:proofErr w:type="spellStart"/>
      <w:r>
        <w:t>constrain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use </w:t>
      </w:r>
      <w:proofErr w:type="spellStart"/>
      <w:r>
        <w:t>locally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Liver</w:t>
      </w:r>
      <w:proofErr w:type="spellEnd"/>
      <w:r>
        <w:t xml:space="preserve"> transplantation has </w:t>
      </w:r>
      <w:proofErr w:type="spellStart"/>
      <w:r>
        <w:t>emerged</w:t>
      </w:r>
      <w:proofErr w:type="spellEnd"/>
      <w:r>
        <w:t xml:space="preserve"> as </w:t>
      </w:r>
      <w:proofErr w:type="gramStart"/>
      <w:r>
        <w:t>a</w:t>
      </w:r>
      <w:proofErr w:type="gramEnd"/>
      <w:r>
        <w:t xml:space="preserve"> radical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for patients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unresectable</w:t>
      </w:r>
      <w:proofErr w:type="spellEnd"/>
      <w:r>
        <w:t xml:space="preserve"> </w:t>
      </w:r>
      <w:proofErr w:type="spellStart"/>
      <w:r>
        <w:t>liver-only</w:t>
      </w:r>
      <w:proofErr w:type="spellEnd"/>
      <w:r>
        <w:t xml:space="preserve"> </w:t>
      </w:r>
      <w:proofErr w:type="spellStart"/>
      <w:r>
        <w:t>metastases</w:t>
      </w:r>
      <w:proofErr w:type="spellEnd"/>
      <w:r>
        <w:t xml:space="preserve">. </w:t>
      </w:r>
      <w:proofErr w:type="spellStart"/>
      <w:r>
        <w:t>Dueland</w:t>
      </w:r>
      <w:proofErr w:type="spellEnd"/>
      <w:r>
        <w:t xml:space="preserve"> et al. </w:t>
      </w:r>
      <w:proofErr w:type="gramStart"/>
      <w:r>
        <w:t>and</w:t>
      </w:r>
      <w:proofErr w:type="gram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report 5-year </w:t>
      </w:r>
      <w:proofErr w:type="spellStart"/>
      <w:r>
        <w:t>survival</w:t>
      </w:r>
      <w:proofErr w:type="spellEnd"/>
      <w:r>
        <w:t xml:space="preserve"> rates </w:t>
      </w:r>
      <w:proofErr w:type="spellStart"/>
      <w:r>
        <w:t>surpassing</w:t>
      </w:r>
      <w:proofErr w:type="spellEnd"/>
      <w:r>
        <w:t xml:space="preserve"> 70% in </w:t>
      </w:r>
      <w:proofErr w:type="spellStart"/>
      <w:r>
        <w:t>selected</w:t>
      </w:r>
      <w:proofErr w:type="spellEnd"/>
      <w:r>
        <w:t xml:space="preserve"> patients (6,9).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and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scarcity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>.</w:t>
      </w:r>
    </w:p>
    <w:p w:rsidR="00E47329" w:rsidRDefault="00495978" w:rsidP="00D45A9C">
      <w:pPr>
        <w:spacing w:before="240" w:after="240" w:line="276" w:lineRule="auto"/>
        <w:jc w:val="both"/>
      </w:pPr>
      <w:r>
        <w:t xml:space="preserve">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, the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of 12.6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the reality in </w:t>
      </w:r>
      <w:proofErr w:type="spellStart"/>
      <w:r>
        <w:t>low-resource</w:t>
      </w:r>
      <w:proofErr w:type="spellEnd"/>
      <w:r>
        <w:t xml:space="preserve"> settings. Major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prognostic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multiple </w:t>
      </w:r>
      <w:proofErr w:type="spellStart"/>
      <w:r>
        <w:t>metastatic</w:t>
      </w:r>
      <w:proofErr w:type="spellEnd"/>
      <w:r>
        <w:t xml:space="preserve"> sites, </w:t>
      </w:r>
      <w:proofErr w:type="spellStart"/>
      <w:r>
        <w:t>poor</w:t>
      </w:r>
      <w:proofErr w:type="spellEnd"/>
      <w:r>
        <w:t xml:space="preserve"> ECOG performance </w:t>
      </w:r>
      <w:proofErr w:type="spellStart"/>
      <w:r>
        <w:t>status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molecular-guided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, and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innovative </w:t>
      </w:r>
      <w:proofErr w:type="spellStart"/>
      <w:r>
        <w:t>treatments</w:t>
      </w:r>
      <w:proofErr w:type="spellEnd"/>
      <w:r>
        <w:t xml:space="preserve">.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investing</w:t>
      </w:r>
      <w:proofErr w:type="spellEnd"/>
      <w:r>
        <w:t xml:space="preserve"> in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infrastructure, and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are urgent </w:t>
      </w:r>
      <w:proofErr w:type="spellStart"/>
      <w:r>
        <w:t>priorities</w:t>
      </w:r>
      <w:proofErr w:type="spellEnd"/>
      <w:r>
        <w:t xml:space="preserve"> (10).</w:t>
      </w:r>
    </w:p>
    <w:p w:rsidR="00E47329" w:rsidRDefault="00E47329" w:rsidP="00D45A9C">
      <w:pPr>
        <w:spacing w:before="240" w:after="240" w:line="276" w:lineRule="auto"/>
        <w:jc w:val="both"/>
      </w:pPr>
    </w:p>
    <w:p w:rsidR="00E47329" w:rsidRDefault="00E47329" w:rsidP="00D45A9C">
      <w:pPr>
        <w:spacing w:before="240" w:after="240" w:line="276" w:lineRule="auto"/>
        <w:jc w:val="both"/>
      </w:pPr>
    </w:p>
    <w:p w:rsidR="00E47329" w:rsidRDefault="00D45A9C" w:rsidP="00D45A9C">
      <w:pPr>
        <w:spacing w:before="80" w:line="276" w:lineRule="auto"/>
        <w:ind w:left="165" w:right="105"/>
        <w:jc w:val="both"/>
      </w:pPr>
      <w:r>
        <w:pict>
          <v:rect id="_x0000_i1025" style="width:0;height:1.5pt" o:hralign="center" o:hrstd="t" o:hr="t" fillcolor="#a0a0a0" stroked="f"/>
        </w:pict>
      </w:r>
    </w:p>
    <w:p w:rsidR="00E47329" w:rsidRDefault="00495978" w:rsidP="00D45A9C">
      <w:pPr>
        <w:spacing w:before="240" w:after="240" w:line="276" w:lineRule="auto"/>
        <w:jc w:val="both"/>
        <w:rPr>
          <w:b/>
        </w:rPr>
      </w:pPr>
      <w:r>
        <w:rPr>
          <w:b/>
        </w:rPr>
        <w:t>Conclusion</w:t>
      </w: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Metastatic</w:t>
      </w:r>
      <w:proofErr w:type="spellEnd"/>
      <w:r>
        <w:t xml:space="preserve"> colorectal cancer continues to have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low-resource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.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multidisciplinary</w:t>
      </w:r>
      <w:proofErr w:type="spellEnd"/>
      <w:r>
        <w:t xml:space="preserve"> care,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, and innovative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liver</w:t>
      </w:r>
      <w:proofErr w:type="spellEnd"/>
      <w:r>
        <w:t xml:space="preserve"> transplantation for </w:t>
      </w:r>
      <w:proofErr w:type="spellStart"/>
      <w:r>
        <w:t>unresectable</w:t>
      </w:r>
      <w:proofErr w:type="spellEnd"/>
      <w:r>
        <w:t xml:space="preserve"> cases.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warrant </w:t>
      </w:r>
      <w:proofErr w:type="spellStart"/>
      <w:r>
        <w:t>continuous</w:t>
      </w:r>
      <w:proofErr w:type="spellEnd"/>
      <w:r>
        <w:t xml:space="preserve"> updates to management guidelines to </w:t>
      </w:r>
      <w:proofErr w:type="spellStart"/>
      <w:r>
        <w:t>ensure</w:t>
      </w:r>
      <w:proofErr w:type="spellEnd"/>
      <w:r>
        <w:t xml:space="preserve"> optimal patient care.</w:t>
      </w:r>
    </w:p>
    <w:p w:rsidR="00E47329" w:rsidRDefault="00E47329" w:rsidP="00D45A9C">
      <w:pPr>
        <w:spacing w:before="240" w:after="240" w:line="276" w:lineRule="auto"/>
        <w:jc w:val="both"/>
      </w:pPr>
    </w:p>
    <w:p w:rsidR="00E47329" w:rsidRDefault="00495978" w:rsidP="00D45A9C">
      <w:pPr>
        <w:spacing w:before="240" w:after="240" w:line="276" w:lineRule="auto"/>
        <w:jc w:val="both"/>
      </w:pPr>
      <w:proofErr w:type="spellStart"/>
      <w:r>
        <w:t>Ethical</w:t>
      </w:r>
      <w:proofErr w:type="spellEnd"/>
      <w:r>
        <w:t xml:space="preserve"> </w:t>
      </w:r>
      <w:proofErr w:type="spellStart"/>
      <w:proofErr w:type="gramStart"/>
      <w:r>
        <w:t>Approval</w:t>
      </w:r>
      <w:proofErr w:type="spellEnd"/>
      <w:r>
        <w:t>:</w:t>
      </w:r>
      <w:proofErr w:type="gramEnd"/>
    </w:p>
    <w:p w:rsidR="00E47329" w:rsidRDefault="00495978" w:rsidP="00D45A9C">
      <w:pPr>
        <w:spacing w:before="240" w:after="240" w:line="276" w:lineRule="auto"/>
        <w:jc w:val="both"/>
      </w:pPr>
      <w:r>
        <w:t xml:space="preserve">This </w:t>
      </w:r>
      <w:proofErr w:type="spellStart"/>
      <w:r>
        <w:t>study</w:t>
      </w:r>
      <w:proofErr w:type="spellEnd"/>
      <w:r>
        <w:t xml:space="preserve"> has been </w:t>
      </w:r>
      <w:proofErr w:type="spellStart"/>
      <w:r>
        <w:t>approved</w:t>
      </w:r>
      <w:proofErr w:type="spellEnd"/>
      <w:r>
        <w:t xml:space="preserve"> by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the </w:t>
      </w:r>
      <w:proofErr w:type="spellStart"/>
      <w:r>
        <w:t>Department</w:t>
      </w:r>
      <w:proofErr w:type="spellEnd"/>
      <w:r>
        <w:t xml:space="preserve"> of General </w:t>
      </w:r>
      <w:proofErr w:type="spellStart"/>
      <w:r>
        <w:t>Surgery</w:t>
      </w:r>
      <w:proofErr w:type="spellEnd"/>
      <w:r>
        <w:t xml:space="preserve"> at IBN ROCHD </w:t>
      </w:r>
      <w:proofErr w:type="spellStart"/>
      <w:r>
        <w:t>University</w:t>
      </w:r>
      <w:proofErr w:type="spellEnd"/>
      <w:r>
        <w:t xml:space="preserve"> Hospital, Casablanca, Morocco. The </w:t>
      </w:r>
      <w:proofErr w:type="spellStart"/>
      <w:r>
        <w:t>principles</w:t>
      </w:r>
      <w:proofErr w:type="spellEnd"/>
      <w:r>
        <w:t xml:space="preserve"> of the Helsinki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.</w:t>
      </w:r>
    </w:p>
    <w:p w:rsidR="00E47329" w:rsidRDefault="00E47329" w:rsidP="00D45A9C">
      <w:pPr>
        <w:spacing w:before="240" w:after="240" w:line="276" w:lineRule="auto"/>
        <w:jc w:val="both"/>
      </w:pPr>
    </w:p>
    <w:p w:rsidR="00E47329" w:rsidRDefault="00E47329" w:rsidP="00D45A9C">
      <w:pPr>
        <w:spacing w:before="240" w:after="240" w:line="276" w:lineRule="auto"/>
        <w:jc w:val="both"/>
      </w:pPr>
    </w:p>
    <w:p w:rsidR="00E47329" w:rsidRDefault="00495978" w:rsidP="00D45A9C">
      <w:pPr>
        <w:spacing w:before="240" w:after="240" w:line="276" w:lineRule="auto"/>
        <w:jc w:val="both"/>
      </w:pPr>
      <w:r>
        <w:t>Disclaimer (</w:t>
      </w:r>
      <w:proofErr w:type="spellStart"/>
      <w:r>
        <w:t>Artificial</w:t>
      </w:r>
      <w:proofErr w:type="spellEnd"/>
      <w:r>
        <w:t xml:space="preserve"> Intelligence</w:t>
      </w:r>
      <w:proofErr w:type="gramStart"/>
      <w:r>
        <w:t>):</w:t>
      </w:r>
      <w:proofErr w:type="gramEnd"/>
    </w:p>
    <w:p w:rsidR="00E47329" w:rsidRDefault="00495978" w:rsidP="00D45A9C">
      <w:pPr>
        <w:spacing w:before="240" w:after="240" w:line="276" w:lineRule="auto"/>
        <w:jc w:val="both"/>
      </w:pPr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generative</w:t>
      </w:r>
      <w:proofErr w:type="spellEnd"/>
      <w:r>
        <w:t xml:space="preserve"> AI technologies </w:t>
      </w:r>
      <w:proofErr w:type="spellStart"/>
      <w:r>
        <w:t>such</w:t>
      </w:r>
      <w:proofErr w:type="spellEnd"/>
      <w:r>
        <w:t xml:space="preserve"> as Large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(</w:t>
      </w:r>
      <w:proofErr w:type="spellStart"/>
      <w:r>
        <w:t>ChatGPT</w:t>
      </w:r>
      <w:proofErr w:type="spellEnd"/>
      <w:r>
        <w:t xml:space="preserve">, COPILOT, etc.) and </w:t>
      </w:r>
      <w:proofErr w:type="spellStart"/>
      <w:r>
        <w:t>text</w:t>
      </w:r>
      <w:proofErr w:type="spellEnd"/>
      <w:r>
        <w:t xml:space="preserve">-to-image </w:t>
      </w:r>
      <w:proofErr w:type="spellStart"/>
      <w:r>
        <w:t>generators</w:t>
      </w:r>
      <w:proofErr w:type="spellEnd"/>
      <w:r>
        <w:t xml:space="preserve"> have been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writing</w:t>
      </w:r>
      <w:proofErr w:type="spellEnd"/>
      <w:r>
        <w:t xml:space="preserve"> or </w:t>
      </w:r>
      <w:proofErr w:type="spellStart"/>
      <w:r>
        <w:t>editing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>.</w:t>
      </w: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spacing w:before="107"/>
        <w:jc w:val="both"/>
        <w:rPr>
          <w:color w:val="000000"/>
        </w:rPr>
      </w:pPr>
    </w:p>
    <w:p w:rsidR="00E47329" w:rsidRDefault="00495978" w:rsidP="00D45A9C">
      <w:pPr>
        <w:tabs>
          <w:tab w:val="left" w:pos="882"/>
          <w:tab w:val="left" w:pos="885"/>
        </w:tabs>
        <w:spacing w:before="240" w:after="240" w:line="276" w:lineRule="auto"/>
        <w:jc w:val="both"/>
        <w:rPr>
          <w:b/>
        </w:rPr>
      </w:pPr>
      <w:proofErr w:type="spellStart"/>
      <w:r>
        <w:rPr>
          <w:b/>
        </w:rPr>
        <w:t>References</w:t>
      </w:r>
      <w:proofErr w:type="spellEnd"/>
    </w:p>
    <w:p w:rsidR="00E47329" w:rsidRDefault="00495978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</w:pPr>
      <w:r w:rsidRPr="000C6DE7">
        <w:rPr>
          <w:highlight w:val="yellow"/>
        </w:rPr>
        <w:t xml:space="preserve">Sung H, </w:t>
      </w:r>
      <w:proofErr w:type="spellStart"/>
      <w:r w:rsidRPr="000C6DE7">
        <w:rPr>
          <w:highlight w:val="yellow"/>
        </w:rPr>
        <w:t>Ferlay</w:t>
      </w:r>
      <w:proofErr w:type="spellEnd"/>
      <w:r w:rsidRPr="000C6DE7">
        <w:rPr>
          <w:highlight w:val="yellow"/>
        </w:rPr>
        <w:t xml:space="preserve"> J, Siegel RL, </w:t>
      </w:r>
      <w:proofErr w:type="spellStart"/>
      <w:r w:rsidRPr="000C6DE7">
        <w:rPr>
          <w:highlight w:val="yellow"/>
        </w:rPr>
        <w:t>Laversanne</w:t>
      </w:r>
      <w:proofErr w:type="spellEnd"/>
      <w:r w:rsidRPr="000C6DE7">
        <w:rPr>
          <w:highlight w:val="yellow"/>
        </w:rPr>
        <w:t xml:space="preserve"> M, </w:t>
      </w:r>
      <w:proofErr w:type="spellStart"/>
      <w:r w:rsidRPr="000C6DE7">
        <w:rPr>
          <w:highlight w:val="yellow"/>
        </w:rPr>
        <w:t>Soerjomataram</w:t>
      </w:r>
      <w:proofErr w:type="spellEnd"/>
      <w:r w:rsidRPr="000C6DE7">
        <w:rPr>
          <w:highlight w:val="yellow"/>
        </w:rPr>
        <w:t xml:space="preserve"> I, </w:t>
      </w:r>
      <w:proofErr w:type="spellStart"/>
      <w:r w:rsidRPr="000C6DE7">
        <w:rPr>
          <w:highlight w:val="yellow"/>
        </w:rPr>
        <w:t>Jemal</w:t>
      </w:r>
      <w:proofErr w:type="spellEnd"/>
      <w:r w:rsidRPr="000C6DE7">
        <w:rPr>
          <w:highlight w:val="yellow"/>
        </w:rPr>
        <w:t xml:space="preserve"> A, et al. CA Cancer </w:t>
      </w:r>
      <w:r w:rsidRPr="000C6DE7">
        <w:rPr>
          <w:highlight w:val="yellow"/>
        </w:rPr>
        <w:lastRenderedPageBreak/>
        <w:t xml:space="preserve">J Clin. </w:t>
      </w:r>
      <w:proofErr w:type="gramStart"/>
      <w:r w:rsidRPr="000C6DE7">
        <w:rPr>
          <w:highlight w:val="yellow"/>
        </w:rPr>
        <w:t>2021;</w:t>
      </w:r>
      <w:proofErr w:type="gramEnd"/>
      <w:r w:rsidRPr="000C6DE7">
        <w:rPr>
          <w:highlight w:val="yellow"/>
        </w:rPr>
        <w:t>71(3):209–249.</w:t>
      </w:r>
      <w:r>
        <w:br/>
      </w:r>
    </w:p>
    <w:p w:rsidR="00E47329" w:rsidRPr="00D45A9C" w:rsidRDefault="00495978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  <w:rPr>
          <w:highlight w:val="yellow"/>
        </w:rPr>
      </w:pPr>
      <w:r w:rsidRPr="00D45A9C">
        <w:rPr>
          <w:highlight w:val="yellow"/>
        </w:rPr>
        <w:t xml:space="preserve">Grand Casablanca Cancer </w:t>
      </w:r>
      <w:proofErr w:type="spellStart"/>
      <w:r w:rsidRPr="00D45A9C">
        <w:rPr>
          <w:highlight w:val="yellow"/>
        </w:rPr>
        <w:t>Registry</w:t>
      </w:r>
      <w:proofErr w:type="spellEnd"/>
      <w:r w:rsidRPr="00D45A9C">
        <w:rPr>
          <w:highlight w:val="yellow"/>
        </w:rPr>
        <w:t xml:space="preserve">. Report 2018–2021. </w:t>
      </w:r>
      <w:proofErr w:type="gramStart"/>
      <w:r w:rsidRPr="00D45A9C">
        <w:rPr>
          <w:highlight w:val="yellow"/>
        </w:rPr>
        <w:t>Rabat:</w:t>
      </w:r>
      <w:proofErr w:type="gramEnd"/>
      <w:r w:rsidRPr="00D45A9C">
        <w:rPr>
          <w:highlight w:val="yellow"/>
        </w:rPr>
        <w:t xml:space="preserve"> National </w:t>
      </w:r>
      <w:proofErr w:type="spellStart"/>
      <w:r w:rsidRPr="00D45A9C">
        <w:rPr>
          <w:highlight w:val="yellow"/>
        </w:rPr>
        <w:t>Oncology</w:t>
      </w:r>
      <w:proofErr w:type="spellEnd"/>
      <w:r w:rsidRPr="00D45A9C">
        <w:rPr>
          <w:highlight w:val="yellow"/>
        </w:rPr>
        <w:t xml:space="preserve"> Institute; 2022.</w:t>
      </w:r>
      <w:r w:rsidRPr="00D45A9C">
        <w:rPr>
          <w:highlight w:val="yellow"/>
        </w:rPr>
        <w:br/>
      </w:r>
    </w:p>
    <w:p w:rsidR="00E47329" w:rsidRDefault="00495978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</w:pPr>
      <w:proofErr w:type="spellStart"/>
      <w:r w:rsidRPr="000C6DE7">
        <w:rPr>
          <w:highlight w:val="yellow"/>
        </w:rPr>
        <w:t>OncoNormandie</w:t>
      </w:r>
      <w:proofErr w:type="spellEnd"/>
      <w:r w:rsidRPr="000C6DE7">
        <w:rPr>
          <w:highlight w:val="yellow"/>
        </w:rPr>
        <w:t xml:space="preserve">. TNCD – Chapitre </w:t>
      </w:r>
      <w:proofErr w:type="gramStart"/>
      <w:r w:rsidRPr="000C6DE7">
        <w:rPr>
          <w:highlight w:val="yellow"/>
        </w:rPr>
        <w:t>4:</w:t>
      </w:r>
      <w:proofErr w:type="gramEnd"/>
      <w:r w:rsidRPr="000C6DE7">
        <w:rPr>
          <w:highlight w:val="yellow"/>
        </w:rPr>
        <w:t xml:space="preserve"> Cancer colorectal métastatique. Mars 2024.</w:t>
      </w:r>
      <w:r>
        <w:br/>
      </w:r>
    </w:p>
    <w:p w:rsidR="00E47329" w:rsidRPr="00D45A9C" w:rsidRDefault="00D45A9C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  <w:rPr>
          <w:highlight w:val="yellow"/>
        </w:rPr>
      </w:pPr>
      <w:proofErr w:type="spellStart"/>
      <w:r w:rsidRPr="00D45A9C">
        <w:rPr>
          <w:highlight w:val="yellow"/>
        </w:rPr>
        <w:t>Ciardiello</w:t>
      </w:r>
      <w:proofErr w:type="spellEnd"/>
      <w:r w:rsidRPr="00D45A9C">
        <w:rPr>
          <w:highlight w:val="yellow"/>
        </w:rPr>
        <w:t xml:space="preserve">, F., </w:t>
      </w:r>
      <w:proofErr w:type="spellStart"/>
      <w:r w:rsidRPr="00D45A9C">
        <w:rPr>
          <w:highlight w:val="yellow"/>
        </w:rPr>
        <w:t>Ciardiello</w:t>
      </w:r>
      <w:proofErr w:type="spellEnd"/>
      <w:r w:rsidRPr="00D45A9C">
        <w:rPr>
          <w:highlight w:val="yellow"/>
        </w:rPr>
        <w:t xml:space="preserve">, D., Martini, G., Napolitano, S., </w:t>
      </w:r>
      <w:proofErr w:type="spellStart"/>
      <w:r w:rsidRPr="00D45A9C">
        <w:rPr>
          <w:highlight w:val="yellow"/>
        </w:rPr>
        <w:t>Tabernero</w:t>
      </w:r>
      <w:proofErr w:type="spellEnd"/>
      <w:r w:rsidRPr="00D45A9C">
        <w:rPr>
          <w:highlight w:val="yellow"/>
        </w:rPr>
        <w:t xml:space="preserve">, J., &amp; Cervantes, A. (2022). </w:t>
      </w:r>
      <w:proofErr w:type="spellStart"/>
      <w:r w:rsidRPr="00D45A9C">
        <w:rPr>
          <w:highlight w:val="yellow"/>
        </w:rPr>
        <w:t>Clinical</w:t>
      </w:r>
      <w:proofErr w:type="spellEnd"/>
      <w:r w:rsidRPr="00D45A9C">
        <w:rPr>
          <w:highlight w:val="yellow"/>
        </w:rPr>
        <w:t xml:space="preserve"> management of </w:t>
      </w:r>
      <w:proofErr w:type="spellStart"/>
      <w:r w:rsidRPr="00D45A9C">
        <w:rPr>
          <w:highlight w:val="yellow"/>
        </w:rPr>
        <w:t>metastatic</w:t>
      </w:r>
      <w:proofErr w:type="spellEnd"/>
      <w:r w:rsidRPr="00D45A9C">
        <w:rPr>
          <w:highlight w:val="yellow"/>
        </w:rPr>
        <w:t xml:space="preserve"> colorectal cancer in the </w:t>
      </w:r>
      <w:proofErr w:type="spellStart"/>
      <w:r w:rsidRPr="00D45A9C">
        <w:rPr>
          <w:highlight w:val="yellow"/>
        </w:rPr>
        <w:t>era</w:t>
      </w:r>
      <w:proofErr w:type="spellEnd"/>
      <w:r w:rsidRPr="00D45A9C">
        <w:rPr>
          <w:highlight w:val="yellow"/>
        </w:rPr>
        <w:t xml:space="preserve"> of </w:t>
      </w:r>
      <w:proofErr w:type="spellStart"/>
      <w:r w:rsidRPr="00D45A9C">
        <w:rPr>
          <w:highlight w:val="yellow"/>
        </w:rPr>
        <w:t>precision</w:t>
      </w:r>
      <w:proofErr w:type="spellEnd"/>
      <w:r w:rsidRPr="00D45A9C">
        <w:rPr>
          <w:highlight w:val="yellow"/>
        </w:rPr>
        <w:t xml:space="preserve"> </w:t>
      </w:r>
      <w:proofErr w:type="spellStart"/>
      <w:r w:rsidRPr="00D45A9C">
        <w:rPr>
          <w:highlight w:val="yellow"/>
        </w:rPr>
        <w:t>medicine</w:t>
      </w:r>
      <w:proofErr w:type="spellEnd"/>
      <w:r w:rsidRPr="00D45A9C">
        <w:rPr>
          <w:highlight w:val="yellow"/>
        </w:rPr>
        <w:t xml:space="preserve">. </w:t>
      </w:r>
      <w:proofErr w:type="gramStart"/>
      <w:r w:rsidRPr="00D45A9C">
        <w:rPr>
          <w:highlight w:val="yellow"/>
        </w:rPr>
        <w:t>CA:</w:t>
      </w:r>
      <w:proofErr w:type="gramEnd"/>
      <w:r w:rsidRPr="00D45A9C">
        <w:rPr>
          <w:highlight w:val="yellow"/>
        </w:rPr>
        <w:t xml:space="preserve"> a cancer journal for </w:t>
      </w:r>
      <w:proofErr w:type="spellStart"/>
      <w:r w:rsidRPr="00D45A9C">
        <w:rPr>
          <w:highlight w:val="yellow"/>
        </w:rPr>
        <w:t>clinicians</w:t>
      </w:r>
      <w:proofErr w:type="spellEnd"/>
      <w:r w:rsidRPr="00D45A9C">
        <w:rPr>
          <w:highlight w:val="yellow"/>
        </w:rPr>
        <w:t>, 72(4), 372-401.</w:t>
      </w:r>
      <w:r w:rsidR="00495978" w:rsidRPr="00D45A9C">
        <w:rPr>
          <w:highlight w:val="yellow"/>
        </w:rPr>
        <w:br/>
      </w:r>
    </w:p>
    <w:p w:rsidR="00D45A9C" w:rsidRPr="00D45A9C" w:rsidRDefault="00D45A9C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  <w:rPr>
          <w:highlight w:val="yellow"/>
        </w:rPr>
      </w:pPr>
      <w:r w:rsidRPr="00D45A9C">
        <w:rPr>
          <w:highlight w:val="yellow"/>
        </w:rPr>
        <w:t xml:space="preserve">Goldberg, R. M., </w:t>
      </w:r>
      <w:proofErr w:type="spellStart"/>
      <w:r w:rsidRPr="00D45A9C">
        <w:rPr>
          <w:highlight w:val="yellow"/>
        </w:rPr>
        <w:t>Rothenberg</w:t>
      </w:r>
      <w:proofErr w:type="spellEnd"/>
      <w:r w:rsidRPr="00D45A9C">
        <w:rPr>
          <w:highlight w:val="yellow"/>
        </w:rPr>
        <w:t xml:space="preserve">, M. L., Van </w:t>
      </w:r>
      <w:proofErr w:type="spellStart"/>
      <w:r w:rsidRPr="00D45A9C">
        <w:rPr>
          <w:highlight w:val="yellow"/>
        </w:rPr>
        <w:t>Cutsem</w:t>
      </w:r>
      <w:proofErr w:type="spellEnd"/>
      <w:r w:rsidRPr="00D45A9C">
        <w:rPr>
          <w:highlight w:val="yellow"/>
        </w:rPr>
        <w:t xml:space="preserve">, E., Benson III, A. B., </w:t>
      </w:r>
      <w:proofErr w:type="spellStart"/>
      <w:r w:rsidRPr="00D45A9C">
        <w:rPr>
          <w:highlight w:val="yellow"/>
        </w:rPr>
        <w:t>Blanke</w:t>
      </w:r>
      <w:proofErr w:type="spellEnd"/>
      <w:r w:rsidRPr="00D45A9C">
        <w:rPr>
          <w:highlight w:val="yellow"/>
        </w:rPr>
        <w:t xml:space="preserve">, C. D., </w:t>
      </w:r>
      <w:proofErr w:type="spellStart"/>
      <w:r w:rsidRPr="00D45A9C">
        <w:rPr>
          <w:highlight w:val="yellow"/>
        </w:rPr>
        <w:t>Diasio</w:t>
      </w:r>
      <w:proofErr w:type="spellEnd"/>
      <w:r w:rsidRPr="00D45A9C">
        <w:rPr>
          <w:highlight w:val="yellow"/>
        </w:rPr>
        <w:t xml:space="preserve">, R. B., ... &amp; </w:t>
      </w:r>
      <w:proofErr w:type="spellStart"/>
      <w:r w:rsidRPr="00D45A9C">
        <w:rPr>
          <w:highlight w:val="yellow"/>
        </w:rPr>
        <w:t>Viele</w:t>
      </w:r>
      <w:proofErr w:type="spellEnd"/>
      <w:r w:rsidRPr="00D45A9C">
        <w:rPr>
          <w:highlight w:val="yellow"/>
        </w:rPr>
        <w:t xml:space="preserve">, C. (2007). The continuum of </w:t>
      </w:r>
      <w:proofErr w:type="gramStart"/>
      <w:r w:rsidRPr="00D45A9C">
        <w:rPr>
          <w:highlight w:val="yellow"/>
        </w:rPr>
        <w:t>care:</w:t>
      </w:r>
      <w:proofErr w:type="gramEnd"/>
      <w:r w:rsidRPr="00D45A9C">
        <w:rPr>
          <w:highlight w:val="yellow"/>
        </w:rPr>
        <w:t xml:space="preserve"> </w:t>
      </w:r>
      <w:proofErr w:type="spellStart"/>
      <w:r w:rsidRPr="00D45A9C">
        <w:rPr>
          <w:highlight w:val="yellow"/>
        </w:rPr>
        <w:t>a</w:t>
      </w:r>
      <w:proofErr w:type="spellEnd"/>
      <w:r w:rsidRPr="00D45A9C">
        <w:rPr>
          <w:highlight w:val="yellow"/>
        </w:rPr>
        <w:t xml:space="preserve"> </w:t>
      </w:r>
      <w:proofErr w:type="spellStart"/>
      <w:r w:rsidRPr="00D45A9C">
        <w:rPr>
          <w:highlight w:val="yellow"/>
        </w:rPr>
        <w:t>paradigm</w:t>
      </w:r>
      <w:proofErr w:type="spellEnd"/>
      <w:r w:rsidRPr="00D45A9C">
        <w:rPr>
          <w:highlight w:val="yellow"/>
        </w:rPr>
        <w:t xml:space="preserve"> for the management of </w:t>
      </w:r>
      <w:proofErr w:type="spellStart"/>
      <w:r w:rsidRPr="00D45A9C">
        <w:rPr>
          <w:highlight w:val="yellow"/>
        </w:rPr>
        <w:t>metastatic</w:t>
      </w:r>
      <w:proofErr w:type="spellEnd"/>
      <w:r w:rsidRPr="00D45A9C">
        <w:rPr>
          <w:highlight w:val="yellow"/>
        </w:rPr>
        <w:t xml:space="preserve"> colorectal cancer. The </w:t>
      </w:r>
      <w:proofErr w:type="spellStart"/>
      <w:r w:rsidRPr="00D45A9C">
        <w:rPr>
          <w:highlight w:val="yellow"/>
        </w:rPr>
        <w:t>oncologist</w:t>
      </w:r>
      <w:proofErr w:type="spellEnd"/>
      <w:r w:rsidRPr="00D45A9C">
        <w:rPr>
          <w:highlight w:val="yellow"/>
        </w:rPr>
        <w:t xml:space="preserve">, 12(1), 38-50. </w:t>
      </w:r>
    </w:p>
    <w:p w:rsidR="00D45A9C" w:rsidRPr="00D45A9C" w:rsidRDefault="00D45A9C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  <w:rPr>
          <w:highlight w:val="yellow"/>
        </w:rPr>
      </w:pPr>
      <w:proofErr w:type="spellStart"/>
      <w:r w:rsidRPr="00D45A9C">
        <w:rPr>
          <w:highlight w:val="yellow"/>
        </w:rPr>
        <w:t>Advani</w:t>
      </w:r>
      <w:proofErr w:type="spellEnd"/>
      <w:r w:rsidRPr="00D45A9C">
        <w:rPr>
          <w:highlight w:val="yellow"/>
        </w:rPr>
        <w:t xml:space="preserve">, S., &amp; </w:t>
      </w:r>
      <w:proofErr w:type="spellStart"/>
      <w:r w:rsidRPr="00D45A9C">
        <w:rPr>
          <w:highlight w:val="yellow"/>
        </w:rPr>
        <w:t>Kopetz</w:t>
      </w:r>
      <w:proofErr w:type="spellEnd"/>
      <w:r w:rsidRPr="00D45A9C">
        <w:rPr>
          <w:highlight w:val="yellow"/>
        </w:rPr>
        <w:t xml:space="preserve">, S. (2019). </w:t>
      </w:r>
      <w:proofErr w:type="spellStart"/>
      <w:r w:rsidRPr="00D45A9C">
        <w:rPr>
          <w:highlight w:val="yellow"/>
        </w:rPr>
        <w:t>Ongoing</w:t>
      </w:r>
      <w:proofErr w:type="spellEnd"/>
      <w:r w:rsidRPr="00D45A9C">
        <w:rPr>
          <w:highlight w:val="yellow"/>
        </w:rPr>
        <w:t xml:space="preserve"> and future directions in the management of </w:t>
      </w:r>
      <w:proofErr w:type="spellStart"/>
      <w:r w:rsidRPr="00D45A9C">
        <w:rPr>
          <w:highlight w:val="yellow"/>
        </w:rPr>
        <w:t>metastatic</w:t>
      </w:r>
      <w:proofErr w:type="spellEnd"/>
      <w:r w:rsidRPr="00D45A9C">
        <w:rPr>
          <w:highlight w:val="yellow"/>
        </w:rPr>
        <w:t xml:space="preserve"> colorectal </w:t>
      </w:r>
      <w:proofErr w:type="gramStart"/>
      <w:r w:rsidRPr="00D45A9C">
        <w:rPr>
          <w:highlight w:val="yellow"/>
        </w:rPr>
        <w:t>cancer:</w:t>
      </w:r>
      <w:proofErr w:type="gramEnd"/>
      <w:r w:rsidRPr="00D45A9C">
        <w:rPr>
          <w:highlight w:val="yellow"/>
        </w:rPr>
        <w:t xml:space="preserve"> Update on </w:t>
      </w:r>
      <w:proofErr w:type="spellStart"/>
      <w:r w:rsidRPr="00D45A9C">
        <w:rPr>
          <w:highlight w:val="yellow"/>
        </w:rPr>
        <w:t>clinical</w:t>
      </w:r>
      <w:proofErr w:type="spellEnd"/>
      <w:r w:rsidRPr="00D45A9C">
        <w:rPr>
          <w:highlight w:val="yellow"/>
        </w:rPr>
        <w:t xml:space="preserve"> trials. Journal of </w:t>
      </w:r>
      <w:proofErr w:type="spellStart"/>
      <w:r w:rsidRPr="00D45A9C">
        <w:rPr>
          <w:highlight w:val="yellow"/>
        </w:rPr>
        <w:t>surgical</w:t>
      </w:r>
      <w:proofErr w:type="spellEnd"/>
      <w:r w:rsidRPr="00D45A9C">
        <w:rPr>
          <w:highlight w:val="yellow"/>
        </w:rPr>
        <w:t xml:space="preserve"> </w:t>
      </w:r>
      <w:proofErr w:type="spellStart"/>
      <w:r w:rsidRPr="00D45A9C">
        <w:rPr>
          <w:highlight w:val="yellow"/>
        </w:rPr>
        <w:t>oncology</w:t>
      </w:r>
      <w:proofErr w:type="spellEnd"/>
      <w:r w:rsidRPr="00D45A9C">
        <w:rPr>
          <w:highlight w:val="yellow"/>
        </w:rPr>
        <w:t xml:space="preserve">, 119(5), 642-652. </w:t>
      </w:r>
    </w:p>
    <w:p w:rsidR="00E47329" w:rsidRDefault="00495978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</w:pPr>
      <w:r w:rsidRPr="000C6DE7">
        <w:rPr>
          <w:highlight w:val="yellow"/>
        </w:rPr>
        <w:t xml:space="preserve">André T, </w:t>
      </w:r>
      <w:proofErr w:type="spellStart"/>
      <w:r w:rsidRPr="000C6DE7">
        <w:rPr>
          <w:highlight w:val="yellow"/>
        </w:rPr>
        <w:t>Shiu</w:t>
      </w:r>
      <w:proofErr w:type="spellEnd"/>
      <w:r w:rsidRPr="000C6DE7">
        <w:rPr>
          <w:highlight w:val="yellow"/>
        </w:rPr>
        <w:t xml:space="preserve"> KK, Kim TW, Jensen BV, Jensen LH, Punt CJA, et al. N </w:t>
      </w:r>
      <w:proofErr w:type="spellStart"/>
      <w:r w:rsidRPr="000C6DE7">
        <w:rPr>
          <w:highlight w:val="yellow"/>
        </w:rPr>
        <w:t>Engl</w:t>
      </w:r>
      <w:proofErr w:type="spellEnd"/>
      <w:r w:rsidRPr="000C6DE7">
        <w:rPr>
          <w:highlight w:val="yellow"/>
        </w:rPr>
        <w:t xml:space="preserve"> J Med. </w:t>
      </w:r>
      <w:proofErr w:type="gramStart"/>
      <w:r w:rsidRPr="000C6DE7">
        <w:rPr>
          <w:highlight w:val="yellow"/>
        </w:rPr>
        <w:t>2020;</w:t>
      </w:r>
      <w:proofErr w:type="gramEnd"/>
      <w:r w:rsidRPr="000C6DE7">
        <w:rPr>
          <w:highlight w:val="yellow"/>
        </w:rPr>
        <w:t>383(23):2207–2218.</w:t>
      </w:r>
      <w:r>
        <w:br/>
      </w:r>
    </w:p>
    <w:p w:rsidR="00E47329" w:rsidRPr="000C6DE7" w:rsidRDefault="00495978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  <w:rPr>
          <w:highlight w:val="yellow"/>
        </w:rPr>
      </w:pPr>
      <w:r w:rsidRPr="000C6DE7">
        <w:rPr>
          <w:highlight w:val="yellow"/>
        </w:rPr>
        <w:t xml:space="preserve">Van </w:t>
      </w:r>
      <w:proofErr w:type="spellStart"/>
      <w:r w:rsidRPr="000C6DE7">
        <w:rPr>
          <w:highlight w:val="yellow"/>
        </w:rPr>
        <w:t>Cutsem</w:t>
      </w:r>
      <w:proofErr w:type="spellEnd"/>
      <w:r w:rsidRPr="000C6DE7">
        <w:rPr>
          <w:highlight w:val="yellow"/>
        </w:rPr>
        <w:t xml:space="preserve"> E, Cervantes A, Adam R, </w:t>
      </w:r>
      <w:proofErr w:type="spellStart"/>
      <w:r w:rsidRPr="000C6DE7">
        <w:rPr>
          <w:highlight w:val="yellow"/>
        </w:rPr>
        <w:t>Sobrero</w:t>
      </w:r>
      <w:proofErr w:type="spellEnd"/>
      <w:r w:rsidRPr="000C6DE7">
        <w:rPr>
          <w:highlight w:val="yellow"/>
        </w:rPr>
        <w:t xml:space="preserve"> A, Van </w:t>
      </w:r>
      <w:proofErr w:type="spellStart"/>
      <w:r w:rsidRPr="000C6DE7">
        <w:rPr>
          <w:highlight w:val="yellow"/>
        </w:rPr>
        <w:t>Krieken</w:t>
      </w:r>
      <w:proofErr w:type="spellEnd"/>
      <w:r w:rsidRPr="000C6DE7">
        <w:rPr>
          <w:highlight w:val="yellow"/>
        </w:rPr>
        <w:t xml:space="preserve"> JH, </w:t>
      </w:r>
      <w:proofErr w:type="spellStart"/>
      <w:r w:rsidRPr="000C6DE7">
        <w:rPr>
          <w:highlight w:val="yellow"/>
        </w:rPr>
        <w:t>Aderka</w:t>
      </w:r>
      <w:proofErr w:type="spellEnd"/>
      <w:r w:rsidRPr="000C6DE7">
        <w:rPr>
          <w:highlight w:val="yellow"/>
        </w:rPr>
        <w:t xml:space="preserve"> D, et al. Ann </w:t>
      </w:r>
      <w:proofErr w:type="spellStart"/>
      <w:r w:rsidRPr="000C6DE7">
        <w:rPr>
          <w:highlight w:val="yellow"/>
        </w:rPr>
        <w:t>Oncol</w:t>
      </w:r>
      <w:proofErr w:type="spellEnd"/>
      <w:r w:rsidRPr="000C6DE7">
        <w:rPr>
          <w:highlight w:val="yellow"/>
        </w:rPr>
        <w:t xml:space="preserve">. </w:t>
      </w:r>
      <w:proofErr w:type="gramStart"/>
      <w:r w:rsidRPr="000C6DE7">
        <w:rPr>
          <w:highlight w:val="yellow"/>
        </w:rPr>
        <w:t>2016;</w:t>
      </w:r>
      <w:proofErr w:type="gramEnd"/>
      <w:r w:rsidRPr="000C6DE7">
        <w:rPr>
          <w:highlight w:val="yellow"/>
        </w:rPr>
        <w:t>27(8):1386–1422.</w:t>
      </w:r>
      <w:r w:rsidRPr="000C6DE7">
        <w:rPr>
          <w:highlight w:val="yellow"/>
        </w:rPr>
        <w:br/>
      </w:r>
    </w:p>
    <w:p w:rsidR="00D45A9C" w:rsidRPr="00D45A9C" w:rsidRDefault="00D45A9C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  <w:rPr>
          <w:highlight w:val="yellow"/>
        </w:rPr>
      </w:pPr>
      <w:r w:rsidRPr="00D45A9C">
        <w:rPr>
          <w:highlight w:val="yellow"/>
        </w:rPr>
        <w:t xml:space="preserve">Vera, R., Alonso, V., </w:t>
      </w:r>
      <w:proofErr w:type="spellStart"/>
      <w:r w:rsidRPr="00D45A9C">
        <w:rPr>
          <w:highlight w:val="yellow"/>
        </w:rPr>
        <w:t>Gállego</w:t>
      </w:r>
      <w:proofErr w:type="spellEnd"/>
      <w:r w:rsidRPr="00D45A9C">
        <w:rPr>
          <w:highlight w:val="yellow"/>
        </w:rPr>
        <w:t xml:space="preserve">, J., González, E., Guillén-Ponce, C., </w:t>
      </w:r>
      <w:proofErr w:type="spellStart"/>
      <w:r w:rsidRPr="00D45A9C">
        <w:rPr>
          <w:highlight w:val="yellow"/>
        </w:rPr>
        <w:t>Pericay</w:t>
      </w:r>
      <w:proofErr w:type="spellEnd"/>
      <w:r w:rsidRPr="00D45A9C">
        <w:rPr>
          <w:highlight w:val="yellow"/>
        </w:rPr>
        <w:t xml:space="preserve">, C., ... &amp; </w:t>
      </w:r>
      <w:proofErr w:type="spellStart"/>
      <w:r w:rsidRPr="00D45A9C">
        <w:rPr>
          <w:highlight w:val="yellow"/>
        </w:rPr>
        <w:t>Valladares-Ayerbes</w:t>
      </w:r>
      <w:proofErr w:type="spellEnd"/>
      <w:r w:rsidRPr="00D45A9C">
        <w:rPr>
          <w:highlight w:val="yellow"/>
        </w:rPr>
        <w:t xml:space="preserve">, M. (2015). </w:t>
      </w:r>
      <w:proofErr w:type="spellStart"/>
      <w:r w:rsidRPr="00D45A9C">
        <w:rPr>
          <w:highlight w:val="yellow"/>
        </w:rPr>
        <w:t>Current</w:t>
      </w:r>
      <w:proofErr w:type="spellEnd"/>
      <w:r w:rsidRPr="00D45A9C">
        <w:rPr>
          <w:highlight w:val="yellow"/>
        </w:rPr>
        <w:t xml:space="preserve"> </w:t>
      </w:r>
      <w:proofErr w:type="spellStart"/>
      <w:r w:rsidRPr="00D45A9C">
        <w:rPr>
          <w:highlight w:val="yellow"/>
        </w:rPr>
        <w:t>controversies</w:t>
      </w:r>
      <w:proofErr w:type="spellEnd"/>
      <w:r w:rsidRPr="00D45A9C">
        <w:rPr>
          <w:highlight w:val="yellow"/>
        </w:rPr>
        <w:t xml:space="preserve"> in the management of </w:t>
      </w:r>
      <w:proofErr w:type="spellStart"/>
      <w:r w:rsidRPr="00D45A9C">
        <w:rPr>
          <w:highlight w:val="yellow"/>
        </w:rPr>
        <w:t>metastatic</w:t>
      </w:r>
      <w:proofErr w:type="spellEnd"/>
      <w:r w:rsidRPr="00D45A9C">
        <w:rPr>
          <w:highlight w:val="yellow"/>
        </w:rPr>
        <w:t xml:space="preserve"> colorectal cancer. Cancer </w:t>
      </w:r>
      <w:proofErr w:type="spellStart"/>
      <w:r w:rsidRPr="00D45A9C">
        <w:rPr>
          <w:highlight w:val="yellow"/>
        </w:rPr>
        <w:t>chemotherapy</w:t>
      </w:r>
      <w:proofErr w:type="spellEnd"/>
      <w:r w:rsidRPr="00D45A9C">
        <w:rPr>
          <w:highlight w:val="yellow"/>
        </w:rPr>
        <w:t xml:space="preserve"> and </w:t>
      </w:r>
      <w:proofErr w:type="spellStart"/>
      <w:r w:rsidRPr="00D45A9C">
        <w:rPr>
          <w:highlight w:val="yellow"/>
        </w:rPr>
        <w:t>pharmacology</w:t>
      </w:r>
      <w:proofErr w:type="spellEnd"/>
      <w:r w:rsidRPr="00D45A9C">
        <w:rPr>
          <w:highlight w:val="yellow"/>
        </w:rPr>
        <w:t xml:space="preserve">, 76, 659-677. </w:t>
      </w:r>
    </w:p>
    <w:p w:rsidR="00E47329" w:rsidRPr="000C6DE7" w:rsidRDefault="00495978" w:rsidP="00D45A9C">
      <w:pPr>
        <w:numPr>
          <w:ilvl w:val="0"/>
          <w:numId w:val="1"/>
        </w:numPr>
        <w:tabs>
          <w:tab w:val="left" w:pos="882"/>
          <w:tab w:val="left" w:pos="885"/>
        </w:tabs>
        <w:spacing w:after="240" w:line="276" w:lineRule="auto"/>
        <w:jc w:val="both"/>
        <w:rPr>
          <w:highlight w:val="yellow"/>
        </w:rPr>
      </w:pPr>
      <w:bookmarkStart w:id="0" w:name="_GoBack"/>
      <w:bookmarkEnd w:id="0"/>
      <w:r w:rsidRPr="000C6DE7">
        <w:rPr>
          <w:highlight w:val="yellow"/>
        </w:rPr>
        <w:t xml:space="preserve">Adam R, De Gramont A, Figueras J, </w:t>
      </w:r>
      <w:proofErr w:type="spellStart"/>
      <w:r w:rsidRPr="000C6DE7">
        <w:rPr>
          <w:highlight w:val="yellow"/>
        </w:rPr>
        <w:t>Kokudo</w:t>
      </w:r>
      <w:proofErr w:type="spellEnd"/>
      <w:r w:rsidRPr="000C6DE7">
        <w:rPr>
          <w:highlight w:val="yellow"/>
        </w:rPr>
        <w:t xml:space="preserve"> N, </w:t>
      </w:r>
      <w:proofErr w:type="spellStart"/>
      <w:r w:rsidRPr="000C6DE7">
        <w:rPr>
          <w:highlight w:val="yellow"/>
        </w:rPr>
        <w:t>Kunstlinger</w:t>
      </w:r>
      <w:proofErr w:type="spellEnd"/>
      <w:r w:rsidRPr="000C6DE7">
        <w:rPr>
          <w:highlight w:val="yellow"/>
        </w:rPr>
        <w:t xml:space="preserve"> F, Loyer E, et al. </w:t>
      </w:r>
      <w:proofErr w:type="spellStart"/>
      <w:r w:rsidRPr="000C6DE7">
        <w:rPr>
          <w:highlight w:val="yellow"/>
        </w:rPr>
        <w:t>Oncologist</w:t>
      </w:r>
      <w:proofErr w:type="spellEnd"/>
      <w:r w:rsidRPr="000C6DE7">
        <w:rPr>
          <w:highlight w:val="yellow"/>
        </w:rPr>
        <w:t xml:space="preserve">. </w:t>
      </w:r>
      <w:proofErr w:type="gramStart"/>
      <w:r w:rsidRPr="000C6DE7">
        <w:rPr>
          <w:highlight w:val="yellow"/>
        </w:rPr>
        <w:t>2012;</w:t>
      </w:r>
      <w:proofErr w:type="gramEnd"/>
      <w:r w:rsidRPr="000C6DE7">
        <w:rPr>
          <w:highlight w:val="yellow"/>
        </w:rPr>
        <w:t>17(10):1225–1239.</w:t>
      </w:r>
    </w:p>
    <w:p w:rsidR="00E47329" w:rsidRDefault="00E47329" w:rsidP="00D45A9C">
      <w:pPr>
        <w:tabs>
          <w:tab w:val="left" w:pos="882"/>
          <w:tab w:val="left" w:pos="885"/>
        </w:tabs>
        <w:spacing w:after="240" w:line="276" w:lineRule="auto"/>
        <w:jc w:val="both"/>
      </w:pPr>
    </w:p>
    <w:p w:rsidR="00E47329" w:rsidRDefault="00E47329" w:rsidP="00D45A9C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885"/>
        </w:tabs>
        <w:spacing w:line="276" w:lineRule="auto"/>
        <w:ind w:right="288"/>
        <w:jc w:val="both"/>
      </w:pPr>
    </w:p>
    <w:sectPr w:rsidR="00E47329">
      <w:pgSz w:w="11920" w:h="16840"/>
      <w:pgMar w:top="1900" w:right="1417" w:bottom="280" w:left="1275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C0" w:rsidRDefault="00661DC0">
      <w:r>
        <w:separator/>
      </w:r>
    </w:p>
  </w:endnote>
  <w:endnote w:type="continuationSeparator" w:id="0">
    <w:p w:rsidR="00661DC0" w:rsidRDefault="0066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29" w:rsidRDefault="00E47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29" w:rsidRDefault="00E47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29" w:rsidRDefault="00E47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C0" w:rsidRDefault="00661DC0">
      <w:r>
        <w:separator/>
      </w:r>
    </w:p>
  </w:footnote>
  <w:footnote w:type="continuationSeparator" w:id="0">
    <w:p w:rsidR="00661DC0" w:rsidRDefault="0066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29" w:rsidRDefault="00D45A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53A217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style="position:absolute;margin-left:0;margin-top:0;width:585.45pt;height:65.05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29" w:rsidRDefault="00D45A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4A0424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85.45pt;height:65.05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329" w:rsidRDefault="00D45A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1C23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85.45pt;height:65.05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1230"/>
    <w:multiLevelType w:val="multilevel"/>
    <w:tmpl w:val="ED94D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sLQwtrQ0MTAF8pR0lIJTi4sz8/NACgxrAZFDlsMsAAAA"/>
  </w:docVars>
  <w:rsids>
    <w:rsidRoot w:val="00E47329"/>
    <w:rsid w:val="000C6DE7"/>
    <w:rsid w:val="004342A1"/>
    <w:rsid w:val="00495978"/>
    <w:rsid w:val="004A5C90"/>
    <w:rsid w:val="00661DC0"/>
    <w:rsid w:val="00811BD5"/>
    <w:rsid w:val="00B777FA"/>
    <w:rsid w:val="00D45A9C"/>
    <w:rsid w:val="00E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1EE12C"/>
  <w15:docId w15:val="{6AAA1CBA-59FE-4FB9-BED0-A88A2390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65"/>
      <w:outlineLvl w:val="0"/>
    </w:pPr>
    <w:rPr>
      <w:b/>
      <w:sz w:val="34"/>
      <w:szCs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1397"/>
      <w:jc w:val="center"/>
    </w:pPr>
    <w:rPr>
      <w:rFonts w:ascii="Calibri" w:eastAsia="Calibri" w:hAnsi="Calibri" w:cs="Calibri"/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PC New 16</cp:lastModifiedBy>
  <cp:revision>6</cp:revision>
  <dcterms:created xsi:type="dcterms:W3CDTF">2025-05-23T08:07:00Z</dcterms:created>
  <dcterms:modified xsi:type="dcterms:W3CDTF">2025-05-28T07:16:00Z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2025-05-17T00:00:00Z</vt:lpwstr>
  </property>
  <property fmtid="{D5CDD505-2E9C-101B-9397-08002B2CF9AE}" pid="3" name="LastSaved">
    <vt:lpwstr>2025-05-17T00:00:00Z</vt:lpwstr>
  </property>
  <property fmtid="{D5CDD505-2E9C-101B-9397-08002B2CF9AE}" pid="4" name="Producer">
    <vt:lpwstr>3-Heights(TM) PDF Security Shell 4.8.25.2 (http://www.pdf-tools.com)</vt:lpwstr>
  </property>
</Properties>
</file>