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2CFC9" w14:textId="5C2ECCA5" w:rsidR="00E12EE2" w:rsidRPr="00DC1C4E" w:rsidRDefault="00E12EE2" w:rsidP="00E12EE2">
      <w:pPr>
        <w:pStyle w:val="NormalWeb"/>
        <w:spacing w:before="0" w:beforeAutospacing="0" w:after="180" w:afterAutospacing="0"/>
        <w:rPr>
          <w:b/>
        </w:rPr>
      </w:pPr>
      <w:r w:rsidRPr="00DC1C4E">
        <w:rPr>
          <w:b/>
          <w:color w:val="000000"/>
        </w:rPr>
        <w:t>Clinical Practice Article</w:t>
      </w:r>
    </w:p>
    <w:p w14:paraId="755515B6" w14:textId="77777777" w:rsidR="00E12EE2" w:rsidRDefault="00E12EE2" w:rsidP="002D6C04">
      <w:pPr>
        <w:pStyle w:val="NormalWeb"/>
        <w:spacing w:before="0" w:beforeAutospacing="0" w:after="180" w:afterAutospacing="0"/>
        <w:rPr>
          <w:b/>
          <w:color w:val="000000"/>
        </w:rPr>
      </w:pPr>
    </w:p>
    <w:p w14:paraId="34E7B3D5" w14:textId="77777777" w:rsidR="002D6C04" w:rsidRPr="00DC1C4E" w:rsidRDefault="002D6C04" w:rsidP="002D6C04">
      <w:pPr>
        <w:pStyle w:val="NormalWeb"/>
        <w:spacing w:before="0" w:beforeAutospacing="0" w:after="180" w:afterAutospacing="0"/>
        <w:rPr>
          <w:b/>
        </w:rPr>
      </w:pPr>
      <w:r w:rsidRPr="00DC1C4E">
        <w:rPr>
          <w:b/>
          <w:color w:val="000000"/>
        </w:rPr>
        <w:t>A Centripetal Approach to Incisional Hernia Repair: Reflections from a Personal Surgical Evolution</w:t>
      </w:r>
    </w:p>
    <w:p w14:paraId="37EACA92" w14:textId="77777777" w:rsidR="00662FC7" w:rsidRPr="00DC1C4E" w:rsidRDefault="00662FC7" w:rsidP="00662FC7">
      <w:pPr>
        <w:pStyle w:val="p2"/>
        <w:spacing w:beforeLines="30" w:before="72" w:beforeAutospacing="0" w:afterLines="30" w:after="72" w:afterAutospacing="0"/>
        <w:rPr>
          <w:b/>
        </w:rPr>
      </w:pPr>
    </w:p>
    <w:p w14:paraId="11AF2340" w14:textId="77777777" w:rsidR="00662FC7" w:rsidRPr="00DC1C4E" w:rsidRDefault="00662FC7" w:rsidP="00662FC7">
      <w:pPr>
        <w:pStyle w:val="p2"/>
        <w:spacing w:beforeLines="30" w:before="72" w:beforeAutospacing="0" w:afterLines="30" w:after="72" w:afterAutospacing="0"/>
        <w:rPr>
          <w:b/>
        </w:rPr>
      </w:pPr>
    </w:p>
    <w:p w14:paraId="06E8143D" w14:textId="77777777" w:rsidR="00662FC7" w:rsidRDefault="00662FC7" w:rsidP="00662FC7">
      <w:pPr>
        <w:pStyle w:val="p2"/>
        <w:spacing w:beforeLines="30" w:before="72" w:beforeAutospacing="0" w:afterLines="30" w:after="72" w:afterAutospacing="0"/>
        <w:rPr>
          <w:b/>
        </w:rPr>
      </w:pPr>
    </w:p>
    <w:p w14:paraId="105D0E4D" w14:textId="77777777" w:rsidR="00260604" w:rsidRDefault="00260604" w:rsidP="00662FC7">
      <w:pPr>
        <w:pStyle w:val="p2"/>
        <w:spacing w:beforeLines="30" w:before="72" w:beforeAutospacing="0" w:afterLines="30" w:after="72" w:afterAutospacing="0"/>
        <w:rPr>
          <w:b/>
        </w:rPr>
      </w:pPr>
    </w:p>
    <w:p w14:paraId="5CFA64E8" w14:textId="77777777" w:rsidR="00260604" w:rsidRDefault="00260604" w:rsidP="00662FC7">
      <w:pPr>
        <w:pStyle w:val="p2"/>
        <w:spacing w:beforeLines="30" w:before="72" w:beforeAutospacing="0" w:afterLines="30" w:after="72" w:afterAutospacing="0"/>
        <w:rPr>
          <w:b/>
        </w:rPr>
      </w:pPr>
    </w:p>
    <w:p w14:paraId="0CFDF652" w14:textId="77777777" w:rsidR="00260604" w:rsidRDefault="00260604" w:rsidP="00662FC7">
      <w:pPr>
        <w:pStyle w:val="p2"/>
        <w:spacing w:beforeLines="30" w:before="72" w:beforeAutospacing="0" w:afterLines="30" w:after="72" w:afterAutospacing="0"/>
        <w:rPr>
          <w:b/>
        </w:rPr>
      </w:pPr>
    </w:p>
    <w:p w14:paraId="05DF59B2" w14:textId="77777777" w:rsidR="00260604" w:rsidRPr="00DC1C4E" w:rsidRDefault="00260604" w:rsidP="00662FC7">
      <w:pPr>
        <w:pStyle w:val="p2"/>
        <w:spacing w:beforeLines="30" w:before="72" w:beforeAutospacing="0" w:afterLines="30" w:after="72" w:afterAutospacing="0"/>
        <w:rPr>
          <w:b/>
        </w:rPr>
      </w:pPr>
    </w:p>
    <w:p w14:paraId="6480B417" w14:textId="77777777" w:rsidR="00662FC7" w:rsidRPr="00DC1C4E" w:rsidRDefault="00662FC7" w:rsidP="00662FC7">
      <w:pPr>
        <w:pStyle w:val="p2"/>
        <w:spacing w:beforeLines="30" w:before="72" w:beforeAutospacing="0" w:afterLines="30" w:after="72" w:afterAutospacing="0"/>
        <w:rPr>
          <w:b/>
        </w:rPr>
      </w:pPr>
    </w:p>
    <w:p w14:paraId="72D3D654" w14:textId="77777777" w:rsidR="00662FC7" w:rsidRPr="00DC1C4E" w:rsidRDefault="00662FC7" w:rsidP="00662FC7">
      <w:pPr>
        <w:pStyle w:val="NormalWeb"/>
        <w:spacing w:before="0" w:beforeAutospacing="0" w:after="180" w:afterAutospacing="0"/>
        <w:rPr>
          <w:b/>
          <w:color w:val="000000"/>
        </w:rPr>
      </w:pPr>
    </w:p>
    <w:p w14:paraId="43D2468E" w14:textId="77777777" w:rsidR="00662FC7" w:rsidRPr="00DC1C4E" w:rsidRDefault="00662FC7" w:rsidP="00662FC7">
      <w:pPr>
        <w:pStyle w:val="NormalWeb"/>
        <w:spacing w:before="0" w:beforeAutospacing="0" w:after="180" w:afterAutospacing="0"/>
        <w:rPr>
          <w:b/>
          <w:color w:val="000000"/>
        </w:rPr>
      </w:pPr>
    </w:p>
    <w:p w14:paraId="74E9A11B" w14:textId="77777777" w:rsidR="00260604" w:rsidRDefault="00260604" w:rsidP="00DC1C4E">
      <w:pPr>
        <w:pStyle w:val="NormalWeb"/>
        <w:spacing w:before="0" w:beforeAutospacing="0" w:after="180" w:afterAutospacing="0"/>
        <w:rPr>
          <w:b/>
          <w:color w:val="000000"/>
        </w:rPr>
      </w:pPr>
    </w:p>
    <w:p w14:paraId="41D67BC0" w14:textId="77777777" w:rsidR="00DC1C4E" w:rsidRPr="00DC1C4E" w:rsidRDefault="00DC1C4E" w:rsidP="00DC1C4E">
      <w:pPr>
        <w:pStyle w:val="NormalWeb"/>
        <w:spacing w:before="0" w:beforeAutospacing="0" w:after="180" w:afterAutospacing="0"/>
        <w:rPr>
          <w:b/>
        </w:rPr>
      </w:pPr>
      <w:r w:rsidRPr="00DC1C4E">
        <w:rPr>
          <w:b/>
          <w:color w:val="000000"/>
        </w:rPr>
        <w:t>Abstract:</w:t>
      </w:r>
    </w:p>
    <w:p w14:paraId="5C5640CD" w14:textId="670E4D50" w:rsidR="00DC1C4E" w:rsidRDefault="00DC1C4E" w:rsidP="00DC1C4E">
      <w:pPr>
        <w:pStyle w:val="NormalWeb"/>
        <w:spacing w:before="0" w:beforeAutospacing="0" w:after="180" w:afterAutospacing="0"/>
        <w:rPr>
          <w:color w:val="000000"/>
        </w:rPr>
      </w:pPr>
      <w:r w:rsidRPr="00DC1C4E">
        <w:rPr>
          <w:color w:val="000000"/>
        </w:rPr>
        <w:t xml:space="preserve">This </w:t>
      </w:r>
      <w:r w:rsidR="00400748">
        <w:rPr>
          <w:color w:val="000000"/>
        </w:rPr>
        <w:t>study</w:t>
      </w:r>
      <w:r w:rsidRPr="00DC1C4E">
        <w:rPr>
          <w:color w:val="000000"/>
        </w:rPr>
        <w:t xml:space="preserve"> presents a refined surgical technique for incisional hernia repair developed over three decades of experience. The “centripetal approach” involves a wide elliptical incision placed in healthy parietes, progressing inward to en-bloc remove attenuated tissues, followed by anatomical closure and mesh reinforcement. The approach minimizes dissection and bleeding while maximizing repair strength and postoperative outcomes. In cases where primary closure risks compartment syndrome, the sac is preserved and a dual mesh is overlaid to avoid direct visceral contact. This manuscript outlines patient characteristics, indications, dissection strategy, closure principles, and outcomes, supported by relevant literature.</w:t>
      </w:r>
    </w:p>
    <w:p w14:paraId="7400E052" w14:textId="77777777" w:rsidR="00DC1C4E" w:rsidRDefault="00DC1C4E" w:rsidP="00DC1C4E">
      <w:pPr>
        <w:pStyle w:val="NormalWeb"/>
        <w:spacing w:before="0" w:beforeAutospacing="0" w:after="180" w:afterAutospacing="0"/>
        <w:rPr>
          <w:color w:val="000000"/>
        </w:rPr>
      </w:pPr>
    </w:p>
    <w:p w14:paraId="60AAA08C" w14:textId="77777777" w:rsidR="00DC1C4E" w:rsidRDefault="00DC1C4E" w:rsidP="00DC1C4E">
      <w:pPr>
        <w:pStyle w:val="NormalWeb"/>
        <w:spacing w:before="0" w:beforeAutospacing="0" w:after="180" w:afterAutospacing="0"/>
        <w:rPr>
          <w:color w:val="000000"/>
        </w:rPr>
      </w:pPr>
    </w:p>
    <w:p w14:paraId="0CDE1752" w14:textId="77777777" w:rsidR="00DC1C4E" w:rsidRDefault="00DC1C4E" w:rsidP="00DC1C4E">
      <w:pPr>
        <w:pStyle w:val="NormalWeb"/>
        <w:spacing w:before="0" w:beforeAutospacing="0" w:after="180" w:afterAutospacing="0"/>
        <w:rPr>
          <w:color w:val="000000"/>
        </w:rPr>
      </w:pPr>
    </w:p>
    <w:p w14:paraId="3F314CF3" w14:textId="77777777" w:rsidR="00DC1C4E" w:rsidRDefault="00DC1C4E" w:rsidP="00DC1C4E">
      <w:pPr>
        <w:pStyle w:val="NormalWeb"/>
        <w:spacing w:before="0" w:beforeAutospacing="0" w:after="180" w:afterAutospacing="0"/>
        <w:rPr>
          <w:color w:val="000000"/>
        </w:rPr>
      </w:pPr>
    </w:p>
    <w:p w14:paraId="6161EDE7" w14:textId="77777777" w:rsidR="00DC1C4E" w:rsidRDefault="00DC1C4E" w:rsidP="00DC1C4E">
      <w:pPr>
        <w:pStyle w:val="NormalWeb"/>
        <w:spacing w:before="0" w:beforeAutospacing="0" w:after="180" w:afterAutospacing="0"/>
        <w:rPr>
          <w:color w:val="000000"/>
        </w:rPr>
      </w:pPr>
    </w:p>
    <w:p w14:paraId="04F098C7" w14:textId="77777777" w:rsidR="00DC1C4E" w:rsidRDefault="00DC1C4E" w:rsidP="00DC1C4E">
      <w:pPr>
        <w:pStyle w:val="NormalWeb"/>
        <w:spacing w:before="0" w:beforeAutospacing="0" w:after="180" w:afterAutospacing="0"/>
        <w:rPr>
          <w:color w:val="000000"/>
        </w:rPr>
      </w:pPr>
    </w:p>
    <w:p w14:paraId="1D21C650" w14:textId="77777777" w:rsidR="00DC1C4E" w:rsidRDefault="00DC1C4E" w:rsidP="00DC1C4E">
      <w:pPr>
        <w:pStyle w:val="NormalWeb"/>
        <w:spacing w:before="0" w:beforeAutospacing="0" w:after="180" w:afterAutospacing="0"/>
        <w:rPr>
          <w:color w:val="000000"/>
        </w:rPr>
      </w:pPr>
    </w:p>
    <w:p w14:paraId="33C1B17F" w14:textId="77777777" w:rsidR="00DC1C4E" w:rsidRDefault="00DC1C4E" w:rsidP="00DC1C4E">
      <w:pPr>
        <w:pStyle w:val="NormalWeb"/>
        <w:spacing w:before="0" w:beforeAutospacing="0" w:after="180" w:afterAutospacing="0"/>
        <w:rPr>
          <w:color w:val="000000"/>
        </w:rPr>
      </w:pPr>
    </w:p>
    <w:p w14:paraId="28C32516" w14:textId="77777777" w:rsidR="00DC1C4E" w:rsidRDefault="00DC1C4E" w:rsidP="00DC1C4E">
      <w:pPr>
        <w:pStyle w:val="NormalWeb"/>
        <w:spacing w:before="0" w:beforeAutospacing="0" w:after="180" w:afterAutospacing="0"/>
        <w:rPr>
          <w:color w:val="000000"/>
        </w:rPr>
      </w:pPr>
    </w:p>
    <w:p w14:paraId="61728F90" w14:textId="77777777" w:rsidR="00DC1C4E" w:rsidRDefault="00DC1C4E" w:rsidP="00DC1C4E">
      <w:pPr>
        <w:pStyle w:val="NormalWeb"/>
        <w:spacing w:before="0" w:beforeAutospacing="0" w:after="180" w:afterAutospacing="0"/>
        <w:rPr>
          <w:color w:val="000000"/>
        </w:rPr>
      </w:pPr>
    </w:p>
    <w:p w14:paraId="02FA6799" w14:textId="77777777" w:rsidR="00DC1C4E" w:rsidRDefault="00DC1C4E" w:rsidP="00DC1C4E">
      <w:pPr>
        <w:pStyle w:val="NormalWeb"/>
        <w:spacing w:before="0" w:beforeAutospacing="0" w:after="180" w:afterAutospacing="0"/>
        <w:rPr>
          <w:color w:val="000000"/>
        </w:rPr>
      </w:pPr>
    </w:p>
    <w:p w14:paraId="5B651BB7" w14:textId="77777777" w:rsidR="00DC1C4E" w:rsidRDefault="00DC1C4E" w:rsidP="00DC1C4E">
      <w:pPr>
        <w:pStyle w:val="NormalWeb"/>
        <w:spacing w:before="0" w:beforeAutospacing="0" w:after="180" w:afterAutospacing="0"/>
        <w:rPr>
          <w:color w:val="000000"/>
        </w:rPr>
      </w:pPr>
    </w:p>
    <w:p w14:paraId="50E53218" w14:textId="77777777" w:rsidR="00DC1C4E" w:rsidRDefault="00DC1C4E" w:rsidP="00DC1C4E">
      <w:pPr>
        <w:pStyle w:val="NormalWeb"/>
        <w:spacing w:before="0" w:beforeAutospacing="0" w:after="180" w:afterAutospacing="0"/>
        <w:rPr>
          <w:color w:val="000000"/>
        </w:rPr>
      </w:pPr>
    </w:p>
    <w:p w14:paraId="03BFA1CF" w14:textId="77777777" w:rsidR="00DC1C4E" w:rsidRDefault="00DC1C4E" w:rsidP="00DC1C4E">
      <w:pPr>
        <w:pStyle w:val="NormalWeb"/>
        <w:spacing w:before="0" w:beforeAutospacing="0" w:after="180" w:afterAutospacing="0"/>
        <w:rPr>
          <w:color w:val="000000"/>
        </w:rPr>
      </w:pPr>
    </w:p>
    <w:p w14:paraId="69AF2291" w14:textId="77777777" w:rsidR="00DC1C4E" w:rsidRDefault="00DC1C4E" w:rsidP="00DC1C4E">
      <w:pPr>
        <w:pStyle w:val="NormalWeb"/>
        <w:spacing w:before="0" w:beforeAutospacing="0" w:after="180" w:afterAutospacing="0"/>
        <w:rPr>
          <w:color w:val="000000"/>
        </w:rPr>
      </w:pPr>
    </w:p>
    <w:p w14:paraId="7ECE007E" w14:textId="77777777" w:rsidR="00DC1C4E" w:rsidRDefault="00DC1C4E" w:rsidP="00DC1C4E">
      <w:pPr>
        <w:pStyle w:val="NormalWeb"/>
        <w:spacing w:before="0" w:beforeAutospacing="0" w:after="180" w:afterAutospacing="0"/>
        <w:rPr>
          <w:color w:val="000000"/>
        </w:rPr>
      </w:pPr>
    </w:p>
    <w:p w14:paraId="3FF5F096" w14:textId="77777777" w:rsidR="00DC1C4E" w:rsidRDefault="00DC1C4E" w:rsidP="00DC1C4E">
      <w:pPr>
        <w:pStyle w:val="NormalWeb"/>
        <w:spacing w:before="0" w:beforeAutospacing="0" w:after="180" w:afterAutospacing="0"/>
        <w:rPr>
          <w:color w:val="000000"/>
        </w:rPr>
      </w:pPr>
    </w:p>
    <w:p w14:paraId="591B8C6C" w14:textId="77777777" w:rsidR="00DC1C4E" w:rsidRDefault="00DC1C4E" w:rsidP="00DC1C4E">
      <w:pPr>
        <w:pStyle w:val="NormalWeb"/>
        <w:spacing w:before="0" w:beforeAutospacing="0" w:after="180" w:afterAutospacing="0"/>
        <w:rPr>
          <w:color w:val="000000"/>
        </w:rPr>
      </w:pPr>
    </w:p>
    <w:p w14:paraId="10E6F496" w14:textId="77777777" w:rsidR="00DC1C4E" w:rsidRDefault="00DC1C4E" w:rsidP="00DC1C4E">
      <w:pPr>
        <w:pStyle w:val="NormalWeb"/>
        <w:spacing w:before="0" w:beforeAutospacing="0" w:after="180" w:afterAutospacing="0"/>
        <w:rPr>
          <w:color w:val="000000"/>
        </w:rPr>
      </w:pPr>
    </w:p>
    <w:p w14:paraId="0741E0CF" w14:textId="77777777" w:rsidR="00DC1C4E" w:rsidRDefault="00DC1C4E" w:rsidP="00DC1C4E">
      <w:pPr>
        <w:pStyle w:val="NormalWeb"/>
        <w:spacing w:before="0" w:beforeAutospacing="0" w:after="180" w:afterAutospacing="0"/>
        <w:rPr>
          <w:color w:val="000000"/>
        </w:rPr>
      </w:pPr>
    </w:p>
    <w:p w14:paraId="055A0F2A" w14:textId="77777777" w:rsidR="00DC1C4E" w:rsidRPr="00DC1C4E" w:rsidRDefault="00DC1C4E" w:rsidP="00DC1C4E">
      <w:pPr>
        <w:pStyle w:val="NormalWeb"/>
        <w:spacing w:before="0" w:beforeAutospacing="0" w:after="180" w:afterAutospacing="0"/>
        <w:rPr>
          <w:i/>
        </w:rPr>
      </w:pPr>
      <w:r w:rsidRPr="00DC1C4E">
        <w:rPr>
          <w:b/>
          <w:color w:val="000000"/>
        </w:rPr>
        <w:t>Keywords</w:t>
      </w:r>
      <w:r w:rsidRPr="00DC1C4E">
        <w:rPr>
          <w:color w:val="000000"/>
        </w:rPr>
        <w:t xml:space="preserve">: </w:t>
      </w:r>
      <w:r w:rsidRPr="00DC1C4E">
        <w:rPr>
          <w:i/>
          <w:color w:val="000000"/>
        </w:rPr>
        <w:t>Incisional Hernia, Centripetal Approach, Mesh Repair, En-bloc Excision, Primary Closure, Dual Mesh, Component Separation Avoidance</w:t>
      </w:r>
    </w:p>
    <w:p w14:paraId="6B0466F1" w14:textId="77777777" w:rsidR="00DC1C4E" w:rsidRPr="00DC1C4E" w:rsidRDefault="00DC1C4E" w:rsidP="00DC1C4E">
      <w:pPr>
        <w:pStyle w:val="NormalWeb"/>
        <w:spacing w:before="0" w:beforeAutospacing="0" w:after="180" w:afterAutospacing="0"/>
        <w:rPr>
          <w:i/>
        </w:rPr>
      </w:pPr>
    </w:p>
    <w:p w14:paraId="22EE1D98" w14:textId="77777777" w:rsidR="00DC1C4E" w:rsidRDefault="00DC1C4E" w:rsidP="00DC1C4E">
      <w:pPr>
        <w:pStyle w:val="NormalWeb"/>
        <w:spacing w:before="0" w:beforeAutospacing="0" w:after="180" w:afterAutospacing="0"/>
      </w:pPr>
    </w:p>
    <w:p w14:paraId="23F21561" w14:textId="77777777" w:rsidR="00DC1C4E" w:rsidRPr="00DC1C4E" w:rsidRDefault="00DC1C4E" w:rsidP="00DC1C4E">
      <w:pPr>
        <w:pStyle w:val="NormalWeb"/>
        <w:spacing w:before="0" w:beforeAutospacing="0" w:after="180" w:afterAutospacing="0"/>
        <w:rPr>
          <w:b/>
        </w:rPr>
      </w:pPr>
      <w:r w:rsidRPr="00DC1C4E">
        <w:rPr>
          <w:b/>
          <w:color w:val="000000"/>
        </w:rPr>
        <w:t>Introduction:</w:t>
      </w:r>
    </w:p>
    <w:p w14:paraId="192AF6D1" w14:textId="77777777" w:rsidR="00DC1C4E" w:rsidRPr="00DC1C4E" w:rsidRDefault="00DC1C4E" w:rsidP="00DC1C4E">
      <w:pPr>
        <w:pStyle w:val="NormalWeb"/>
        <w:spacing w:before="0" w:beforeAutospacing="0" w:after="180" w:afterAutospacing="0"/>
      </w:pPr>
      <w:r w:rsidRPr="00DC1C4E">
        <w:rPr>
          <w:color w:val="000000"/>
        </w:rPr>
        <w:t>Incisional hernias remain a common and often complex surgical challenge, especially in recurrent or large-volume cases. Despite various innovations, there is no universal consensus on the optimal repair technique [2,3]. Over the past thirty years, I have evolved a method I call the “centripetal approach,” marked by en-bloc excision of attenuated tissues and anatomical repair without component separation. This article aims to share the rationale, technique, and clinical outcomes associated with this method, and to demonstrate its applicability across a wide range of hernia types.</w:t>
      </w:r>
    </w:p>
    <w:p w14:paraId="204B7BD5" w14:textId="77777777" w:rsidR="00DC1C4E" w:rsidRDefault="00DC1C4E" w:rsidP="00DC1C4E">
      <w:pPr>
        <w:pStyle w:val="NormalWeb"/>
        <w:spacing w:before="0" w:beforeAutospacing="0" w:after="180" w:afterAutospacing="0"/>
      </w:pPr>
    </w:p>
    <w:p w14:paraId="0ADA4DEF" w14:textId="77777777" w:rsidR="00DC1C4E" w:rsidRDefault="00DC1C4E" w:rsidP="00DC1C4E">
      <w:pPr>
        <w:pStyle w:val="NormalWeb"/>
        <w:spacing w:before="0" w:beforeAutospacing="0" w:after="180" w:afterAutospacing="0"/>
      </w:pPr>
    </w:p>
    <w:p w14:paraId="73EC7C19" w14:textId="77777777" w:rsidR="00DC1C4E" w:rsidRDefault="00DC1C4E" w:rsidP="00DC1C4E">
      <w:pPr>
        <w:pStyle w:val="NormalWeb"/>
        <w:spacing w:before="0" w:beforeAutospacing="0" w:after="180" w:afterAutospacing="0"/>
      </w:pPr>
    </w:p>
    <w:p w14:paraId="5261C6B7" w14:textId="77777777" w:rsidR="00DC1C4E" w:rsidRDefault="00DC1C4E" w:rsidP="00DC1C4E">
      <w:pPr>
        <w:pStyle w:val="NormalWeb"/>
        <w:spacing w:before="0" w:beforeAutospacing="0" w:after="180" w:afterAutospacing="0"/>
      </w:pPr>
    </w:p>
    <w:p w14:paraId="0C11293C" w14:textId="77777777" w:rsidR="00DC1C4E" w:rsidRDefault="00DC1C4E" w:rsidP="00DC1C4E">
      <w:pPr>
        <w:pStyle w:val="NormalWeb"/>
        <w:spacing w:before="0" w:beforeAutospacing="0" w:after="180" w:afterAutospacing="0"/>
      </w:pPr>
    </w:p>
    <w:p w14:paraId="0967929B" w14:textId="77777777" w:rsidR="00DC1C4E" w:rsidRDefault="00DC1C4E" w:rsidP="00DC1C4E">
      <w:pPr>
        <w:pStyle w:val="NormalWeb"/>
        <w:spacing w:before="0" w:beforeAutospacing="0" w:after="180" w:afterAutospacing="0"/>
      </w:pPr>
    </w:p>
    <w:p w14:paraId="656FF370" w14:textId="77777777" w:rsidR="00DC1C4E" w:rsidRDefault="00DC1C4E" w:rsidP="00DC1C4E">
      <w:pPr>
        <w:pStyle w:val="NormalWeb"/>
        <w:spacing w:before="0" w:beforeAutospacing="0" w:after="180" w:afterAutospacing="0"/>
      </w:pPr>
    </w:p>
    <w:p w14:paraId="12DAF332" w14:textId="77777777" w:rsidR="00DC1C4E" w:rsidRDefault="00DC1C4E" w:rsidP="00DC1C4E">
      <w:pPr>
        <w:pStyle w:val="NormalWeb"/>
        <w:spacing w:before="0" w:beforeAutospacing="0" w:after="180" w:afterAutospacing="0"/>
      </w:pPr>
    </w:p>
    <w:p w14:paraId="74B08107" w14:textId="77777777" w:rsidR="00DC1C4E" w:rsidRDefault="00DC1C4E" w:rsidP="00DC1C4E">
      <w:pPr>
        <w:pStyle w:val="NormalWeb"/>
        <w:spacing w:before="0" w:beforeAutospacing="0" w:after="180" w:afterAutospacing="0"/>
      </w:pPr>
    </w:p>
    <w:p w14:paraId="3252EEC4" w14:textId="77777777" w:rsidR="00DC1C4E" w:rsidRDefault="00DC1C4E" w:rsidP="00DC1C4E">
      <w:pPr>
        <w:pStyle w:val="NormalWeb"/>
        <w:spacing w:before="0" w:beforeAutospacing="0" w:after="180" w:afterAutospacing="0"/>
      </w:pPr>
    </w:p>
    <w:p w14:paraId="329EAD8B" w14:textId="77777777" w:rsidR="00DC1C4E" w:rsidRDefault="00DC1C4E" w:rsidP="00DC1C4E">
      <w:pPr>
        <w:pStyle w:val="NormalWeb"/>
        <w:spacing w:before="0" w:beforeAutospacing="0" w:after="180" w:afterAutospacing="0"/>
      </w:pPr>
    </w:p>
    <w:p w14:paraId="0C748D42" w14:textId="77777777" w:rsidR="00DC1C4E" w:rsidRDefault="00DC1C4E" w:rsidP="00DC1C4E">
      <w:pPr>
        <w:pStyle w:val="NormalWeb"/>
        <w:spacing w:before="0" w:beforeAutospacing="0" w:after="180" w:afterAutospacing="0"/>
      </w:pPr>
    </w:p>
    <w:p w14:paraId="6E5BD5B2" w14:textId="77777777" w:rsidR="00DC1C4E" w:rsidRDefault="00DC1C4E" w:rsidP="00DC1C4E">
      <w:pPr>
        <w:pStyle w:val="NormalWeb"/>
        <w:spacing w:before="0" w:beforeAutospacing="0" w:after="180" w:afterAutospacing="0"/>
      </w:pPr>
    </w:p>
    <w:p w14:paraId="5421FAC2" w14:textId="77777777" w:rsidR="00DC1C4E" w:rsidRDefault="00DC1C4E" w:rsidP="00DC1C4E">
      <w:pPr>
        <w:pStyle w:val="NormalWeb"/>
        <w:spacing w:before="0" w:beforeAutospacing="0" w:after="180" w:afterAutospacing="0"/>
      </w:pPr>
    </w:p>
    <w:p w14:paraId="369DD04D" w14:textId="77777777" w:rsidR="00DC1C4E" w:rsidRDefault="00DC1C4E" w:rsidP="00DC1C4E">
      <w:pPr>
        <w:pStyle w:val="NormalWeb"/>
        <w:spacing w:before="0" w:beforeAutospacing="0" w:after="180" w:afterAutospacing="0"/>
      </w:pPr>
    </w:p>
    <w:p w14:paraId="5F4CDC0F" w14:textId="77777777" w:rsidR="00DC1C4E" w:rsidRDefault="00DC1C4E" w:rsidP="00DC1C4E">
      <w:pPr>
        <w:pStyle w:val="NormalWeb"/>
        <w:spacing w:before="0" w:beforeAutospacing="0" w:after="180" w:afterAutospacing="0"/>
      </w:pPr>
    </w:p>
    <w:p w14:paraId="22A30D3C" w14:textId="77777777" w:rsidR="00DC1C4E" w:rsidRDefault="00DC1C4E" w:rsidP="00DC1C4E">
      <w:pPr>
        <w:pStyle w:val="NormalWeb"/>
        <w:spacing w:before="0" w:beforeAutospacing="0" w:after="180" w:afterAutospacing="0"/>
      </w:pPr>
    </w:p>
    <w:p w14:paraId="643F6BD8" w14:textId="77777777" w:rsidR="00DC1C4E" w:rsidRDefault="00DC1C4E" w:rsidP="00DC1C4E">
      <w:pPr>
        <w:pStyle w:val="NormalWeb"/>
        <w:spacing w:before="0" w:beforeAutospacing="0" w:after="180" w:afterAutospacing="0"/>
      </w:pPr>
    </w:p>
    <w:p w14:paraId="70192E62" w14:textId="77777777" w:rsidR="00DC1C4E" w:rsidRDefault="00DC1C4E" w:rsidP="00DC1C4E">
      <w:pPr>
        <w:pStyle w:val="NormalWeb"/>
        <w:spacing w:before="0" w:beforeAutospacing="0" w:after="180" w:afterAutospacing="0"/>
      </w:pPr>
    </w:p>
    <w:p w14:paraId="11155B8B" w14:textId="77777777" w:rsidR="00DC1C4E" w:rsidRDefault="00DC1C4E" w:rsidP="00DC1C4E">
      <w:pPr>
        <w:pStyle w:val="NormalWeb"/>
        <w:spacing w:before="0" w:beforeAutospacing="0" w:after="180" w:afterAutospacing="0"/>
      </w:pPr>
    </w:p>
    <w:p w14:paraId="7B65935F" w14:textId="77777777" w:rsidR="00DC1C4E" w:rsidRDefault="00DC1C4E" w:rsidP="00DC1C4E">
      <w:pPr>
        <w:pStyle w:val="NormalWeb"/>
        <w:spacing w:before="0" w:beforeAutospacing="0" w:after="180" w:afterAutospacing="0"/>
      </w:pPr>
    </w:p>
    <w:p w14:paraId="02D3A657" w14:textId="77777777" w:rsidR="00DC1C4E" w:rsidRDefault="00DC1C4E" w:rsidP="00DC1C4E">
      <w:pPr>
        <w:pStyle w:val="NormalWeb"/>
        <w:spacing w:before="0" w:beforeAutospacing="0" w:after="180" w:afterAutospacing="0"/>
      </w:pPr>
    </w:p>
    <w:p w14:paraId="0CA110C7" w14:textId="77777777" w:rsidR="00DC1C4E" w:rsidRDefault="00DC1C4E" w:rsidP="00DC1C4E">
      <w:pPr>
        <w:pStyle w:val="NormalWeb"/>
        <w:spacing w:before="0" w:beforeAutospacing="0" w:after="180" w:afterAutospacing="0"/>
      </w:pPr>
    </w:p>
    <w:p w14:paraId="1A0D6C7A" w14:textId="77777777" w:rsidR="00DC1C4E" w:rsidRDefault="00DC1C4E" w:rsidP="00DC1C4E">
      <w:pPr>
        <w:pStyle w:val="NormalWeb"/>
        <w:spacing w:before="0" w:beforeAutospacing="0" w:after="180" w:afterAutospacing="0"/>
      </w:pPr>
    </w:p>
    <w:p w14:paraId="1007480D" w14:textId="77777777" w:rsidR="00DC1C4E" w:rsidRPr="00DC1C4E" w:rsidRDefault="00DC1C4E" w:rsidP="00DC1C4E">
      <w:pPr>
        <w:pStyle w:val="NormalWeb"/>
        <w:spacing w:before="0" w:beforeAutospacing="0" w:after="180" w:afterAutospacing="0"/>
      </w:pPr>
    </w:p>
    <w:p w14:paraId="0263C6BF" w14:textId="77777777" w:rsidR="00DC1C4E" w:rsidRPr="00DC1C4E" w:rsidRDefault="00DC1C4E" w:rsidP="00DC1C4E">
      <w:pPr>
        <w:pStyle w:val="NormalWeb"/>
        <w:spacing w:before="0" w:beforeAutospacing="0" w:after="180" w:afterAutospacing="0"/>
        <w:rPr>
          <w:b/>
        </w:rPr>
      </w:pPr>
      <w:r w:rsidRPr="00DC1C4E">
        <w:rPr>
          <w:b/>
          <w:color w:val="000000"/>
        </w:rPr>
        <w:t>Methods:</w:t>
      </w:r>
    </w:p>
    <w:p w14:paraId="48CC4911" w14:textId="77777777" w:rsidR="00DC1C4E" w:rsidRPr="00DC1C4E" w:rsidRDefault="00DC1C4E" w:rsidP="00DC1C4E">
      <w:pPr>
        <w:pStyle w:val="NormalWeb"/>
        <w:spacing w:before="0" w:beforeAutospacing="0" w:after="180" w:afterAutospacing="0"/>
      </w:pPr>
      <w:r w:rsidRPr="00DC1C4E">
        <w:rPr>
          <w:color w:val="000000"/>
        </w:rPr>
        <w:t>This is a retrospective personal surgical review of patients with incisional hernias, including ventral and umbilical variants, repaired using the centripetal approach from 2010 to 2024 at a tertiary surgical oncology center. A total of 136 patients (age range: 28–84 years) underwent the procedure. Cases included multiple recurrent hernias, large-volume defects, and hernias following laparotomy, cholecystectomy, or oncological resections. All patients were followed for a minimum of 12 months postoperatively.</w:t>
      </w:r>
    </w:p>
    <w:p w14:paraId="601BF1CC" w14:textId="77777777" w:rsidR="00DC1C4E" w:rsidRDefault="00DC1C4E" w:rsidP="00DC1C4E">
      <w:pPr>
        <w:pStyle w:val="NormalWeb"/>
        <w:spacing w:before="0" w:beforeAutospacing="0" w:after="180" w:afterAutospacing="0"/>
      </w:pPr>
    </w:p>
    <w:p w14:paraId="2B180563" w14:textId="77777777" w:rsidR="00DC1C4E" w:rsidRDefault="00DC1C4E" w:rsidP="00DC1C4E">
      <w:pPr>
        <w:pStyle w:val="NormalWeb"/>
        <w:spacing w:before="0" w:beforeAutospacing="0" w:after="180" w:afterAutospacing="0"/>
      </w:pPr>
    </w:p>
    <w:p w14:paraId="53937E7B" w14:textId="77777777" w:rsidR="00DC1C4E" w:rsidRDefault="00DC1C4E" w:rsidP="00DC1C4E">
      <w:pPr>
        <w:pStyle w:val="NormalWeb"/>
        <w:spacing w:before="0" w:beforeAutospacing="0" w:after="180" w:afterAutospacing="0"/>
      </w:pPr>
    </w:p>
    <w:p w14:paraId="5C681484" w14:textId="77777777" w:rsidR="00DC1C4E" w:rsidRDefault="00DC1C4E" w:rsidP="00DC1C4E">
      <w:pPr>
        <w:pStyle w:val="NormalWeb"/>
        <w:spacing w:before="0" w:beforeAutospacing="0" w:after="180" w:afterAutospacing="0"/>
      </w:pPr>
    </w:p>
    <w:p w14:paraId="1FE7F202" w14:textId="77777777" w:rsidR="00DC1C4E" w:rsidRDefault="00DC1C4E" w:rsidP="00DC1C4E">
      <w:pPr>
        <w:pStyle w:val="NormalWeb"/>
        <w:spacing w:before="0" w:beforeAutospacing="0" w:after="180" w:afterAutospacing="0"/>
      </w:pPr>
    </w:p>
    <w:p w14:paraId="203BF957" w14:textId="77777777" w:rsidR="00DC1C4E" w:rsidRDefault="00DC1C4E" w:rsidP="00DC1C4E">
      <w:pPr>
        <w:pStyle w:val="NormalWeb"/>
        <w:spacing w:before="0" w:beforeAutospacing="0" w:after="180" w:afterAutospacing="0"/>
      </w:pPr>
    </w:p>
    <w:p w14:paraId="37D94471" w14:textId="77777777" w:rsidR="00DC1C4E" w:rsidRDefault="00DC1C4E" w:rsidP="00DC1C4E">
      <w:pPr>
        <w:pStyle w:val="NormalWeb"/>
        <w:spacing w:before="0" w:beforeAutospacing="0" w:after="180" w:afterAutospacing="0"/>
      </w:pPr>
    </w:p>
    <w:p w14:paraId="2523619E" w14:textId="77777777" w:rsidR="00DC1C4E" w:rsidRDefault="00DC1C4E" w:rsidP="00DC1C4E">
      <w:pPr>
        <w:pStyle w:val="NormalWeb"/>
        <w:spacing w:before="0" w:beforeAutospacing="0" w:after="180" w:afterAutospacing="0"/>
      </w:pPr>
    </w:p>
    <w:p w14:paraId="5964B793" w14:textId="77777777" w:rsidR="00DC1C4E" w:rsidRDefault="00DC1C4E" w:rsidP="00DC1C4E">
      <w:pPr>
        <w:pStyle w:val="NormalWeb"/>
        <w:spacing w:before="0" w:beforeAutospacing="0" w:after="180" w:afterAutospacing="0"/>
      </w:pPr>
    </w:p>
    <w:p w14:paraId="07E35FB1" w14:textId="77777777" w:rsidR="00DC1C4E" w:rsidRDefault="00DC1C4E" w:rsidP="00DC1C4E">
      <w:pPr>
        <w:pStyle w:val="NormalWeb"/>
        <w:spacing w:before="0" w:beforeAutospacing="0" w:after="180" w:afterAutospacing="0"/>
      </w:pPr>
    </w:p>
    <w:p w14:paraId="38DAC23F" w14:textId="77777777" w:rsidR="00DC1C4E" w:rsidRDefault="00DC1C4E" w:rsidP="00DC1C4E">
      <w:pPr>
        <w:pStyle w:val="NormalWeb"/>
        <w:spacing w:before="0" w:beforeAutospacing="0" w:after="180" w:afterAutospacing="0"/>
      </w:pPr>
    </w:p>
    <w:p w14:paraId="3B5AC686" w14:textId="77777777" w:rsidR="00DC1C4E" w:rsidRDefault="00DC1C4E" w:rsidP="00DC1C4E">
      <w:pPr>
        <w:pStyle w:val="NormalWeb"/>
        <w:spacing w:before="0" w:beforeAutospacing="0" w:after="180" w:afterAutospacing="0"/>
      </w:pPr>
    </w:p>
    <w:p w14:paraId="247EE224" w14:textId="77777777" w:rsidR="00DC1C4E" w:rsidRDefault="00DC1C4E" w:rsidP="00DC1C4E">
      <w:pPr>
        <w:pStyle w:val="NormalWeb"/>
        <w:spacing w:before="0" w:beforeAutospacing="0" w:after="180" w:afterAutospacing="0"/>
      </w:pPr>
    </w:p>
    <w:p w14:paraId="32B6424A" w14:textId="77777777" w:rsidR="00DC1C4E" w:rsidRDefault="00DC1C4E" w:rsidP="00DC1C4E">
      <w:pPr>
        <w:pStyle w:val="NormalWeb"/>
        <w:spacing w:before="0" w:beforeAutospacing="0" w:after="180" w:afterAutospacing="0"/>
      </w:pPr>
    </w:p>
    <w:p w14:paraId="1519E81A" w14:textId="77777777" w:rsidR="00DC1C4E" w:rsidRDefault="00DC1C4E" w:rsidP="00DC1C4E">
      <w:pPr>
        <w:pStyle w:val="NormalWeb"/>
        <w:spacing w:before="0" w:beforeAutospacing="0" w:after="180" w:afterAutospacing="0"/>
      </w:pPr>
    </w:p>
    <w:p w14:paraId="1DE9F168" w14:textId="77777777" w:rsidR="00DC1C4E" w:rsidRDefault="00DC1C4E" w:rsidP="00DC1C4E">
      <w:pPr>
        <w:pStyle w:val="NormalWeb"/>
        <w:spacing w:before="0" w:beforeAutospacing="0" w:after="180" w:afterAutospacing="0"/>
      </w:pPr>
    </w:p>
    <w:p w14:paraId="32DEF2F5" w14:textId="77777777" w:rsidR="00DC1C4E" w:rsidRDefault="00DC1C4E" w:rsidP="00DC1C4E">
      <w:pPr>
        <w:pStyle w:val="NormalWeb"/>
        <w:spacing w:before="0" w:beforeAutospacing="0" w:after="180" w:afterAutospacing="0"/>
      </w:pPr>
    </w:p>
    <w:p w14:paraId="2E1B621E" w14:textId="77777777" w:rsidR="00DC1C4E" w:rsidRDefault="00DC1C4E" w:rsidP="00DC1C4E">
      <w:pPr>
        <w:pStyle w:val="NormalWeb"/>
        <w:spacing w:before="0" w:beforeAutospacing="0" w:after="180" w:afterAutospacing="0"/>
      </w:pPr>
    </w:p>
    <w:p w14:paraId="6B8FECD1" w14:textId="77777777" w:rsidR="00DC1C4E" w:rsidRDefault="00DC1C4E" w:rsidP="00DC1C4E">
      <w:pPr>
        <w:pStyle w:val="NormalWeb"/>
        <w:spacing w:before="0" w:beforeAutospacing="0" w:after="180" w:afterAutospacing="0"/>
      </w:pPr>
    </w:p>
    <w:p w14:paraId="0B7CF88D" w14:textId="77777777" w:rsidR="00DC1C4E" w:rsidRDefault="00DC1C4E" w:rsidP="00DC1C4E">
      <w:pPr>
        <w:pStyle w:val="NormalWeb"/>
        <w:spacing w:before="0" w:beforeAutospacing="0" w:after="180" w:afterAutospacing="0"/>
      </w:pPr>
    </w:p>
    <w:p w14:paraId="5457FEFB" w14:textId="77777777" w:rsidR="00DC1C4E" w:rsidRDefault="00DC1C4E" w:rsidP="00DC1C4E">
      <w:pPr>
        <w:pStyle w:val="NormalWeb"/>
        <w:spacing w:before="0" w:beforeAutospacing="0" w:after="180" w:afterAutospacing="0"/>
      </w:pPr>
    </w:p>
    <w:p w14:paraId="4EDDC125" w14:textId="77777777" w:rsidR="00DC1C4E" w:rsidRDefault="00DC1C4E" w:rsidP="00DC1C4E">
      <w:pPr>
        <w:pStyle w:val="NormalWeb"/>
        <w:spacing w:before="0" w:beforeAutospacing="0" w:after="180" w:afterAutospacing="0"/>
      </w:pPr>
    </w:p>
    <w:p w14:paraId="2C4779BD" w14:textId="77777777" w:rsidR="00DC1C4E" w:rsidRDefault="00DC1C4E" w:rsidP="00DC1C4E">
      <w:pPr>
        <w:pStyle w:val="NormalWeb"/>
        <w:spacing w:before="0" w:beforeAutospacing="0" w:after="180" w:afterAutospacing="0"/>
      </w:pPr>
    </w:p>
    <w:p w14:paraId="4D162492" w14:textId="77777777" w:rsidR="00DC1C4E" w:rsidRDefault="00DC1C4E" w:rsidP="00DC1C4E">
      <w:pPr>
        <w:pStyle w:val="NormalWeb"/>
        <w:spacing w:before="0" w:beforeAutospacing="0" w:after="180" w:afterAutospacing="0"/>
      </w:pPr>
    </w:p>
    <w:p w14:paraId="6585D7DE" w14:textId="77777777" w:rsidR="00DC1C4E" w:rsidRPr="00DC1C4E" w:rsidRDefault="00DC1C4E" w:rsidP="00DC1C4E">
      <w:pPr>
        <w:pStyle w:val="NormalWeb"/>
        <w:spacing w:before="0" w:beforeAutospacing="0" w:after="180" w:afterAutospacing="0"/>
      </w:pPr>
    </w:p>
    <w:p w14:paraId="5AB74FE4" w14:textId="77777777" w:rsidR="00DC1C4E" w:rsidRPr="00DC1C4E" w:rsidRDefault="00DC1C4E" w:rsidP="00DC1C4E">
      <w:pPr>
        <w:pStyle w:val="NormalWeb"/>
        <w:spacing w:before="0" w:beforeAutospacing="0" w:after="180" w:afterAutospacing="0"/>
        <w:rPr>
          <w:b/>
        </w:rPr>
      </w:pPr>
      <w:r w:rsidRPr="00DC1C4E">
        <w:rPr>
          <w:b/>
          <w:color w:val="000000"/>
        </w:rPr>
        <w:t>Surgical Technique:</w:t>
      </w:r>
    </w:p>
    <w:p w14:paraId="4580BB6A" w14:textId="77777777" w:rsidR="00DC1C4E" w:rsidRPr="00DC1C4E" w:rsidRDefault="00DC1C4E" w:rsidP="00DC1C4E">
      <w:pPr>
        <w:pStyle w:val="NormalWeb"/>
        <w:spacing w:before="0" w:beforeAutospacing="0" w:after="180" w:afterAutospacing="0"/>
      </w:pPr>
    </w:p>
    <w:p w14:paraId="76A2A653" w14:textId="77777777" w:rsidR="00DC1C4E" w:rsidRPr="00DC1C4E" w:rsidRDefault="00DC1C4E" w:rsidP="00DC1C4E">
      <w:pPr>
        <w:pStyle w:val="NormalWeb"/>
        <w:numPr>
          <w:ilvl w:val="0"/>
          <w:numId w:val="5"/>
        </w:numPr>
        <w:spacing w:before="0" w:beforeAutospacing="0" w:after="180" w:afterAutospacing="0"/>
      </w:pPr>
      <w:r w:rsidRPr="00DC1C4E">
        <w:rPr>
          <w:color w:val="000000"/>
        </w:rPr>
        <w:t>Incision and Exposure:</w:t>
      </w:r>
    </w:p>
    <w:p w14:paraId="58D3AFAB" w14:textId="77777777" w:rsidR="00DC1C4E" w:rsidRPr="00DC1C4E" w:rsidRDefault="00DC1C4E" w:rsidP="00DC1C4E">
      <w:pPr>
        <w:pStyle w:val="NormalWeb"/>
        <w:spacing w:before="0" w:beforeAutospacing="0" w:after="180" w:afterAutospacing="0"/>
      </w:pPr>
      <w:r w:rsidRPr="00DC1C4E">
        <w:rPr>
          <w:color w:val="000000"/>
        </w:rPr>
        <w:t>The centripetal approach begins with a wide elliptical incision made in healthy parietes, extending approximately 5–10 cm beyond the visible hernia defect [1,4]. The ellipse is designed in a 3:1 ratio—three units in length to one unit in breadth—to ensure optimal skin closure with minimal dog-earing and to achieve wide exposure of the surrounding healthy abdominal wall. The incision is either transverse or vertical, chosen on a case-by-case basis for optimal closure and exposure.</w:t>
      </w:r>
    </w:p>
    <w:p w14:paraId="4C071427" w14:textId="77777777" w:rsidR="00DC1C4E" w:rsidRPr="00DC1C4E" w:rsidRDefault="00DC1C4E" w:rsidP="00DC1C4E">
      <w:pPr>
        <w:pStyle w:val="NormalWeb"/>
        <w:spacing w:before="0" w:beforeAutospacing="0" w:after="180" w:afterAutospacing="0"/>
      </w:pPr>
    </w:p>
    <w:p w14:paraId="469CFEA0" w14:textId="77777777" w:rsidR="00DC1C4E" w:rsidRPr="00DC1C4E" w:rsidRDefault="00DC1C4E" w:rsidP="00DC1C4E">
      <w:pPr>
        <w:pStyle w:val="NormalWeb"/>
        <w:numPr>
          <w:ilvl w:val="0"/>
          <w:numId w:val="5"/>
        </w:numPr>
        <w:spacing w:before="0" w:beforeAutospacing="0" w:after="180" w:afterAutospacing="0"/>
      </w:pPr>
      <w:r w:rsidRPr="00DC1C4E">
        <w:rPr>
          <w:color w:val="000000"/>
        </w:rPr>
        <w:t>Dissection and Tissue Handling:</w:t>
      </w:r>
    </w:p>
    <w:p w14:paraId="0FE10D87" w14:textId="77777777" w:rsidR="00DC1C4E" w:rsidRPr="00DC1C4E" w:rsidRDefault="00DC1C4E" w:rsidP="00DC1C4E">
      <w:pPr>
        <w:pStyle w:val="NormalWeb"/>
        <w:spacing w:before="0" w:beforeAutospacing="0" w:after="180" w:afterAutospacing="0"/>
      </w:pPr>
      <w:r w:rsidRPr="00DC1C4E">
        <w:rPr>
          <w:color w:val="000000"/>
        </w:rPr>
        <w:t>Using energy devices such as ValleyLab diathermy, Ligasure Focus, and Ligasure Impact, dissection proceeds bloodlessly through subcutaneous fat and Scarpa’s fascia until the healthy parietes are reached [13,15]. Thereafter, the dissection proceeds medially toward the borders of the hernia defect and its ancillary extensions. If the defect is found to be amenable to anatomical closure, the dissection deepens circumferentially around the defect, incising the attenuated layers and opening the peritoneum. Adhesiolysis is performed meticulously, separating the adherent bowel or other viscera. The entire attenuated zone—comprising skin, subcutaneous fat, fascia, and sac—is excised en bloc. The fascial defect is then closed anatomically using loop Ethilon sutures, and reinforced with a self-adhering ProGrip onlay mesh placed with at least 5–10 cm overlap [4,6].</w:t>
      </w:r>
    </w:p>
    <w:p w14:paraId="47D0BFDF" w14:textId="77777777" w:rsidR="00DC1C4E" w:rsidRPr="00DC1C4E" w:rsidRDefault="00DC1C4E" w:rsidP="00DC1C4E">
      <w:pPr>
        <w:pStyle w:val="NormalWeb"/>
        <w:spacing w:before="0" w:beforeAutospacing="0" w:after="180" w:afterAutospacing="0"/>
      </w:pPr>
      <w:r w:rsidRPr="00DC1C4E">
        <w:rPr>
          <w:color w:val="000000"/>
        </w:rPr>
        <w:t xml:space="preserve">However, if the defect is too large to be closed primarily without risking compartment syndrome, the dissection is limited medially only to the borders of the defect. In such cases, the sac is preserved to act as a biological barrier. Superficial dissection is continued using </w:t>
      </w:r>
      <w:r w:rsidRPr="00DC1C4E">
        <w:rPr>
          <w:color w:val="000000"/>
        </w:rPr>
        <w:lastRenderedPageBreak/>
        <w:t>energy devices to remove the overlying skin, subcutaneous fat, and attenuated fascia, while sparing the sac. A dual mesh is then placed as an inlay over the sac, which now lies between the mesh and abdominal viscera, minimizing direct contact and reducing the risk of fistula or adhesion formation. The dual mesh is sutured with continuous sutures to the borders of the defect as an onlay cover over the sac [9,10].</w:t>
      </w:r>
    </w:p>
    <w:p w14:paraId="2E5DA0F5" w14:textId="77777777" w:rsidR="00DC1C4E" w:rsidRPr="00DC1C4E" w:rsidRDefault="00DC1C4E" w:rsidP="00DC1C4E">
      <w:pPr>
        <w:pStyle w:val="NormalWeb"/>
        <w:spacing w:before="0" w:beforeAutospacing="0" w:after="180" w:afterAutospacing="0"/>
      </w:pPr>
    </w:p>
    <w:p w14:paraId="58F4B3C4" w14:textId="77777777" w:rsidR="00DC1C4E" w:rsidRPr="00DC1C4E" w:rsidRDefault="00DC1C4E" w:rsidP="00DC1C4E">
      <w:pPr>
        <w:pStyle w:val="NormalWeb"/>
        <w:numPr>
          <w:ilvl w:val="0"/>
          <w:numId w:val="5"/>
        </w:numPr>
        <w:spacing w:before="0" w:beforeAutospacing="0" w:after="180" w:afterAutospacing="0"/>
      </w:pPr>
      <w:r w:rsidRPr="00DC1C4E">
        <w:rPr>
          <w:color w:val="000000"/>
        </w:rPr>
        <w:t>Layered Closure:</w:t>
      </w:r>
    </w:p>
    <w:p w14:paraId="3EA13B19" w14:textId="77777777" w:rsidR="00296F79" w:rsidRPr="00DC1C4E" w:rsidRDefault="00DC1C4E" w:rsidP="00DC1C4E">
      <w:pPr>
        <w:spacing w:line="240" w:lineRule="auto"/>
        <w:jc w:val="both"/>
        <w:rPr>
          <w:rFonts w:ascii="Times New Roman" w:eastAsia="Times New Roman" w:hAnsi="Times New Roman" w:cs="Times New Roman"/>
          <w:sz w:val="24"/>
          <w:szCs w:val="24"/>
        </w:rPr>
      </w:pPr>
      <w:r w:rsidRPr="00DC1C4E">
        <w:rPr>
          <w:rFonts w:ascii="Times New Roman" w:hAnsi="Times New Roman" w:cs="Times New Roman"/>
          <w:color w:val="000000"/>
          <w:sz w:val="24"/>
          <w:szCs w:val="24"/>
        </w:rPr>
        <w:t>The wound is closed in layers: Scarpa’s fascia, subcutaneous tissue, and inverted dermal sutures. A suction drain is placed over the mesh [12]. VAC dressings are used if early signs of seroma or infection arise postoperatively [13].</w:t>
      </w:r>
      <w:r w:rsidR="00296F79" w:rsidRPr="00DC1C4E">
        <w:rPr>
          <w:rFonts w:ascii="Times New Roman" w:eastAsia="Times New Roman" w:hAnsi="Times New Roman" w:cs="Times New Roman"/>
          <w:b/>
          <w:bCs/>
          <w:sz w:val="24"/>
          <w:szCs w:val="24"/>
        </w:rPr>
        <w:t>Author contributions</w:t>
      </w:r>
      <w:r w:rsidR="00296F79" w:rsidRPr="00DC1C4E">
        <w:rPr>
          <w:rFonts w:ascii="Times New Roman" w:eastAsia="Times New Roman" w:hAnsi="Times New Roman" w:cs="Times New Roman"/>
          <w:sz w:val="24"/>
          <w:szCs w:val="24"/>
        </w:rPr>
        <w:t xml:space="preserve">: All the authors contributed equally to the writing of the manuscript and approved the final version. </w:t>
      </w:r>
    </w:p>
    <w:p w14:paraId="4A650034" w14:textId="77777777" w:rsidR="00DC1C4E" w:rsidRDefault="00DC1C4E" w:rsidP="00DC1C4E">
      <w:pPr>
        <w:pStyle w:val="NormalWeb"/>
        <w:rPr>
          <w:b/>
          <w:bCs/>
          <w:color w:val="000000"/>
        </w:rPr>
      </w:pPr>
    </w:p>
    <w:p w14:paraId="1FC5A7BB" w14:textId="77777777" w:rsidR="00DC1C4E" w:rsidRDefault="00DC1C4E" w:rsidP="00DC1C4E">
      <w:pPr>
        <w:pStyle w:val="NormalWeb"/>
        <w:rPr>
          <w:b/>
          <w:bCs/>
          <w:color w:val="000000"/>
        </w:rPr>
      </w:pPr>
    </w:p>
    <w:p w14:paraId="7CC0666E" w14:textId="77777777" w:rsidR="00DC1C4E" w:rsidRDefault="00DC1C4E" w:rsidP="00DC1C4E">
      <w:pPr>
        <w:pStyle w:val="NormalWeb"/>
        <w:rPr>
          <w:b/>
          <w:bCs/>
          <w:color w:val="000000"/>
        </w:rPr>
      </w:pPr>
    </w:p>
    <w:p w14:paraId="7C267E52" w14:textId="77777777" w:rsidR="00DC1C4E" w:rsidRDefault="00DC1C4E" w:rsidP="00DC1C4E">
      <w:pPr>
        <w:pStyle w:val="NormalWeb"/>
        <w:rPr>
          <w:b/>
          <w:bCs/>
          <w:color w:val="000000"/>
        </w:rPr>
      </w:pPr>
    </w:p>
    <w:p w14:paraId="6BC91370" w14:textId="77777777" w:rsidR="00DC1C4E" w:rsidRPr="00DC1C4E" w:rsidRDefault="00DC1C4E" w:rsidP="00DC1C4E">
      <w:pPr>
        <w:pStyle w:val="NormalWeb"/>
      </w:pPr>
      <w:r w:rsidRPr="00DC1C4E">
        <w:rPr>
          <w:b/>
          <w:bCs/>
          <w:color w:val="000000"/>
        </w:rPr>
        <w:t>Results:</w:t>
      </w:r>
      <w:r w:rsidRPr="00DC1C4E">
        <w:rPr>
          <w:color w:val="000000"/>
        </w:rPr>
        <w:t> Among the 136 patients, postoperative outcomes included:</w:t>
      </w:r>
    </w:p>
    <w:p w14:paraId="1BFB8F13" w14:textId="77777777" w:rsidR="00DC1C4E" w:rsidRPr="00DC1C4E" w:rsidRDefault="00DC1C4E" w:rsidP="00DC1C4E">
      <w:pPr>
        <w:pStyle w:val="NormalWeb"/>
        <w:numPr>
          <w:ilvl w:val="0"/>
          <w:numId w:val="1"/>
        </w:numPr>
        <w:rPr>
          <w:color w:val="000000"/>
        </w:rPr>
      </w:pPr>
      <w:r w:rsidRPr="00DC1C4E">
        <w:rPr>
          <w:color w:val="000000"/>
        </w:rPr>
        <w:t>Mean hospital stay: 3.2 days</w:t>
      </w:r>
    </w:p>
    <w:p w14:paraId="1CAC8839" w14:textId="77777777" w:rsidR="00DC1C4E" w:rsidRPr="00DC1C4E" w:rsidRDefault="00DC1C4E" w:rsidP="00DC1C4E">
      <w:pPr>
        <w:pStyle w:val="NormalWeb"/>
        <w:numPr>
          <w:ilvl w:val="0"/>
          <w:numId w:val="1"/>
        </w:numPr>
        <w:rPr>
          <w:color w:val="000000"/>
        </w:rPr>
      </w:pPr>
      <w:r w:rsidRPr="00DC1C4E">
        <w:rPr>
          <w:color w:val="000000"/>
        </w:rPr>
        <w:t>Surgical site infection: 3.7%</w:t>
      </w:r>
    </w:p>
    <w:p w14:paraId="21F2AEA7" w14:textId="77777777" w:rsidR="00DC1C4E" w:rsidRPr="00DC1C4E" w:rsidRDefault="00DC1C4E" w:rsidP="00DC1C4E">
      <w:pPr>
        <w:pStyle w:val="NormalWeb"/>
        <w:numPr>
          <w:ilvl w:val="0"/>
          <w:numId w:val="1"/>
        </w:numPr>
        <w:rPr>
          <w:color w:val="000000"/>
        </w:rPr>
      </w:pPr>
      <w:r w:rsidRPr="00DC1C4E">
        <w:rPr>
          <w:color w:val="000000"/>
        </w:rPr>
        <w:t>Seroma formation: 5.1%</w:t>
      </w:r>
    </w:p>
    <w:p w14:paraId="7622FC21" w14:textId="77777777" w:rsidR="00DC1C4E" w:rsidRPr="00DC1C4E" w:rsidRDefault="00DC1C4E" w:rsidP="00DC1C4E">
      <w:pPr>
        <w:pStyle w:val="NormalWeb"/>
        <w:numPr>
          <w:ilvl w:val="0"/>
          <w:numId w:val="1"/>
        </w:numPr>
        <w:rPr>
          <w:color w:val="000000"/>
        </w:rPr>
      </w:pPr>
      <w:r w:rsidRPr="00DC1C4E">
        <w:rPr>
          <w:color w:val="000000"/>
        </w:rPr>
        <w:t>Hernia recurrence: 0%</w:t>
      </w:r>
    </w:p>
    <w:p w14:paraId="372F786C" w14:textId="77777777" w:rsidR="00DC1C4E" w:rsidRPr="00DC1C4E" w:rsidRDefault="00DC1C4E" w:rsidP="00DC1C4E">
      <w:pPr>
        <w:pStyle w:val="NormalWeb"/>
        <w:numPr>
          <w:ilvl w:val="0"/>
          <w:numId w:val="1"/>
        </w:numPr>
        <w:rPr>
          <w:color w:val="000000"/>
        </w:rPr>
      </w:pPr>
      <w:r w:rsidRPr="00DC1C4E">
        <w:rPr>
          <w:color w:val="000000"/>
        </w:rPr>
        <w:t>No patients required re-exploration</w:t>
      </w:r>
    </w:p>
    <w:p w14:paraId="332B9995" w14:textId="77777777" w:rsidR="00DC1C4E" w:rsidRPr="00DC1C4E" w:rsidRDefault="00DC1C4E" w:rsidP="00DC1C4E">
      <w:pPr>
        <w:pStyle w:val="NormalWeb"/>
      </w:pPr>
      <w:r w:rsidRPr="00DC1C4E">
        <w:rPr>
          <w:color w:val="000000"/>
        </w:rPr>
        <w:t>VAC dressings were required in 8 cases. No mesh-related complications were observed.</w:t>
      </w:r>
    </w:p>
    <w:p w14:paraId="2AAFB482" w14:textId="77777777" w:rsidR="00DC1C4E" w:rsidRDefault="00DC1C4E" w:rsidP="00DC1C4E">
      <w:pPr>
        <w:pStyle w:val="NormalWeb"/>
        <w:rPr>
          <w:b/>
          <w:bCs/>
          <w:color w:val="000000"/>
        </w:rPr>
      </w:pPr>
    </w:p>
    <w:p w14:paraId="31ACAEBA" w14:textId="77777777" w:rsidR="00DC1C4E" w:rsidRDefault="00DC1C4E" w:rsidP="00DC1C4E">
      <w:pPr>
        <w:pStyle w:val="NormalWeb"/>
        <w:rPr>
          <w:b/>
          <w:bCs/>
          <w:color w:val="000000"/>
        </w:rPr>
      </w:pPr>
    </w:p>
    <w:p w14:paraId="48B7E4B2" w14:textId="77777777" w:rsidR="00DC1C4E" w:rsidRDefault="00DC1C4E" w:rsidP="00DC1C4E">
      <w:pPr>
        <w:pStyle w:val="NormalWeb"/>
        <w:rPr>
          <w:b/>
          <w:bCs/>
          <w:color w:val="000000"/>
        </w:rPr>
      </w:pPr>
    </w:p>
    <w:p w14:paraId="51CD534F" w14:textId="77777777" w:rsidR="00DC1C4E" w:rsidRDefault="00DC1C4E" w:rsidP="00DC1C4E">
      <w:pPr>
        <w:pStyle w:val="NormalWeb"/>
        <w:rPr>
          <w:b/>
          <w:bCs/>
          <w:color w:val="000000"/>
        </w:rPr>
      </w:pPr>
    </w:p>
    <w:p w14:paraId="4D01E4F3" w14:textId="77777777" w:rsidR="00DC1C4E" w:rsidRDefault="00DC1C4E" w:rsidP="00DC1C4E">
      <w:pPr>
        <w:pStyle w:val="NormalWeb"/>
        <w:rPr>
          <w:b/>
          <w:bCs/>
          <w:color w:val="000000"/>
        </w:rPr>
      </w:pPr>
    </w:p>
    <w:p w14:paraId="5CB923A7" w14:textId="77777777" w:rsidR="00DC1C4E" w:rsidRDefault="00DC1C4E" w:rsidP="00DC1C4E">
      <w:pPr>
        <w:pStyle w:val="NormalWeb"/>
        <w:rPr>
          <w:b/>
          <w:bCs/>
          <w:color w:val="000000"/>
        </w:rPr>
      </w:pPr>
    </w:p>
    <w:p w14:paraId="4599B4A7" w14:textId="77777777" w:rsidR="00DC1C4E" w:rsidRDefault="00DC1C4E" w:rsidP="00DC1C4E">
      <w:pPr>
        <w:pStyle w:val="NormalWeb"/>
        <w:rPr>
          <w:b/>
          <w:bCs/>
          <w:color w:val="000000"/>
        </w:rPr>
      </w:pPr>
    </w:p>
    <w:p w14:paraId="34B45597" w14:textId="77777777" w:rsidR="00DC1C4E" w:rsidRDefault="00DC1C4E" w:rsidP="00DC1C4E">
      <w:pPr>
        <w:pStyle w:val="NormalWeb"/>
        <w:rPr>
          <w:b/>
          <w:bCs/>
          <w:color w:val="000000"/>
        </w:rPr>
      </w:pPr>
    </w:p>
    <w:p w14:paraId="0544636A" w14:textId="77777777" w:rsidR="00DC1C4E" w:rsidRDefault="00DC1C4E" w:rsidP="00DC1C4E">
      <w:pPr>
        <w:pStyle w:val="NormalWeb"/>
        <w:rPr>
          <w:b/>
          <w:bCs/>
          <w:color w:val="000000"/>
        </w:rPr>
      </w:pPr>
    </w:p>
    <w:p w14:paraId="2BA6A004" w14:textId="77777777" w:rsidR="00DC1C4E" w:rsidRDefault="00DC1C4E" w:rsidP="00DC1C4E">
      <w:pPr>
        <w:pStyle w:val="NormalWeb"/>
        <w:rPr>
          <w:b/>
          <w:bCs/>
          <w:color w:val="000000"/>
        </w:rPr>
      </w:pPr>
    </w:p>
    <w:p w14:paraId="3255905F" w14:textId="77777777" w:rsidR="00DC1C4E" w:rsidRDefault="00DC1C4E" w:rsidP="00DC1C4E">
      <w:pPr>
        <w:pStyle w:val="NormalWeb"/>
        <w:rPr>
          <w:b/>
          <w:bCs/>
          <w:color w:val="000000"/>
        </w:rPr>
      </w:pPr>
    </w:p>
    <w:p w14:paraId="17905AF7" w14:textId="77777777" w:rsidR="00DC1C4E" w:rsidRDefault="00DC1C4E" w:rsidP="00DC1C4E">
      <w:pPr>
        <w:pStyle w:val="NormalWeb"/>
        <w:rPr>
          <w:b/>
          <w:bCs/>
          <w:color w:val="000000"/>
        </w:rPr>
      </w:pPr>
    </w:p>
    <w:p w14:paraId="17FE7007" w14:textId="77777777" w:rsidR="00DC1C4E" w:rsidRDefault="00DC1C4E" w:rsidP="00DC1C4E">
      <w:pPr>
        <w:pStyle w:val="NormalWeb"/>
        <w:rPr>
          <w:b/>
          <w:bCs/>
          <w:color w:val="000000"/>
        </w:rPr>
      </w:pPr>
    </w:p>
    <w:p w14:paraId="171C7C29" w14:textId="77777777" w:rsidR="00DC1C4E" w:rsidRDefault="00DC1C4E" w:rsidP="00DC1C4E">
      <w:pPr>
        <w:pStyle w:val="NormalWeb"/>
        <w:rPr>
          <w:b/>
          <w:bCs/>
          <w:color w:val="000000"/>
        </w:rPr>
      </w:pPr>
    </w:p>
    <w:p w14:paraId="3AD3EC8A" w14:textId="77777777" w:rsidR="00DC1C4E" w:rsidRDefault="00DC1C4E" w:rsidP="00DC1C4E">
      <w:pPr>
        <w:pStyle w:val="NormalWeb"/>
        <w:rPr>
          <w:b/>
          <w:bCs/>
          <w:color w:val="000000"/>
        </w:rPr>
      </w:pPr>
    </w:p>
    <w:p w14:paraId="6F263416" w14:textId="77777777" w:rsidR="00DC1C4E" w:rsidRDefault="00DC1C4E" w:rsidP="00DC1C4E">
      <w:pPr>
        <w:pStyle w:val="NormalWeb"/>
        <w:rPr>
          <w:b/>
          <w:bCs/>
          <w:color w:val="000000"/>
        </w:rPr>
      </w:pPr>
    </w:p>
    <w:p w14:paraId="27A9148C" w14:textId="77777777" w:rsidR="00DC1C4E" w:rsidRDefault="00DC1C4E" w:rsidP="00DC1C4E">
      <w:pPr>
        <w:pStyle w:val="NormalWeb"/>
        <w:rPr>
          <w:b/>
          <w:bCs/>
          <w:color w:val="000000"/>
        </w:rPr>
      </w:pPr>
    </w:p>
    <w:p w14:paraId="1C860FB6" w14:textId="77777777" w:rsidR="00DC1C4E" w:rsidRDefault="00DC1C4E" w:rsidP="00DC1C4E">
      <w:pPr>
        <w:pStyle w:val="NormalWeb"/>
        <w:rPr>
          <w:b/>
          <w:bCs/>
          <w:color w:val="000000"/>
        </w:rPr>
      </w:pPr>
    </w:p>
    <w:p w14:paraId="5E156C37" w14:textId="77777777" w:rsidR="00DC1C4E" w:rsidRDefault="00DC1C4E" w:rsidP="00DC1C4E">
      <w:pPr>
        <w:pStyle w:val="NormalWeb"/>
        <w:rPr>
          <w:b/>
          <w:bCs/>
          <w:color w:val="000000"/>
        </w:rPr>
      </w:pPr>
    </w:p>
    <w:p w14:paraId="76E57589" w14:textId="77777777" w:rsidR="00DC1C4E" w:rsidRDefault="00DC1C4E" w:rsidP="00DC1C4E">
      <w:pPr>
        <w:pStyle w:val="NormalWeb"/>
        <w:rPr>
          <w:b/>
          <w:bCs/>
          <w:color w:val="000000"/>
        </w:rPr>
      </w:pPr>
    </w:p>
    <w:p w14:paraId="5BDAF6C3" w14:textId="77777777" w:rsidR="00DC1C4E" w:rsidRPr="00DC1C4E" w:rsidRDefault="00DC1C4E" w:rsidP="00DC1C4E">
      <w:pPr>
        <w:pStyle w:val="NormalWeb"/>
      </w:pPr>
      <w:r w:rsidRPr="00DC1C4E">
        <w:rPr>
          <w:b/>
          <w:bCs/>
          <w:color w:val="000000"/>
        </w:rPr>
        <w:t>Discussion:</w:t>
      </w:r>
      <w:r w:rsidRPr="00DC1C4E">
        <w:rPr>
          <w:color w:val="000000"/>
        </w:rPr>
        <w:t> The centripetal approach offers several advantages:</w:t>
      </w:r>
    </w:p>
    <w:p w14:paraId="7A39898D" w14:textId="77777777" w:rsidR="00DC1C4E" w:rsidRPr="00DC1C4E" w:rsidRDefault="00DC1C4E" w:rsidP="00DC1C4E">
      <w:pPr>
        <w:pStyle w:val="NormalWeb"/>
        <w:numPr>
          <w:ilvl w:val="0"/>
          <w:numId w:val="2"/>
        </w:numPr>
        <w:rPr>
          <w:color w:val="000000"/>
        </w:rPr>
      </w:pPr>
      <w:r w:rsidRPr="00DC1C4E">
        <w:rPr>
          <w:b/>
          <w:bCs/>
          <w:color w:val="000000"/>
        </w:rPr>
        <w:t>Targeted dissection</w:t>
      </w:r>
      <w:r w:rsidRPr="00DC1C4E">
        <w:rPr>
          <w:color w:val="000000"/>
        </w:rPr>
        <w:t>: Starting from healthy tissue and progressing medially to the defect margin minimizes unnecessary trauma, improves exposure, and ensures control over the operative field [5].</w:t>
      </w:r>
    </w:p>
    <w:p w14:paraId="0C5EE9F3" w14:textId="77777777" w:rsidR="00DC1C4E" w:rsidRPr="00DC1C4E" w:rsidRDefault="00DC1C4E" w:rsidP="00DC1C4E">
      <w:pPr>
        <w:pStyle w:val="NormalWeb"/>
        <w:numPr>
          <w:ilvl w:val="0"/>
          <w:numId w:val="2"/>
        </w:numPr>
        <w:rPr>
          <w:color w:val="000000"/>
        </w:rPr>
      </w:pPr>
      <w:r w:rsidRPr="00DC1C4E">
        <w:rPr>
          <w:b/>
          <w:bCs/>
          <w:color w:val="000000"/>
        </w:rPr>
        <w:t>En-bloc tissue removal</w:t>
      </w:r>
      <w:r w:rsidRPr="00DC1C4E">
        <w:rPr>
          <w:color w:val="000000"/>
        </w:rPr>
        <w:t>: When feasible, the complete removal of compromised skin, subcutaneous fat, and fascial components decreases bacterial load, eliminates dead space, and exposes all minor or satellite defects [6].</w:t>
      </w:r>
    </w:p>
    <w:p w14:paraId="3041CF58" w14:textId="77777777" w:rsidR="00DC1C4E" w:rsidRPr="00DC1C4E" w:rsidRDefault="00DC1C4E" w:rsidP="00DC1C4E">
      <w:pPr>
        <w:pStyle w:val="NormalWeb"/>
        <w:numPr>
          <w:ilvl w:val="0"/>
          <w:numId w:val="2"/>
        </w:numPr>
        <w:rPr>
          <w:color w:val="000000"/>
        </w:rPr>
      </w:pPr>
      <w:r w:rsidRPr="00DC1C4E">
        <w:rPr>
          <w:b/>
          <w:bCs/>
          <w:color w:val="000000"/>
        </w:rPr>
        <w:t>Anatomical closure without component separation</w:t>
      </w:r>
      <w:r w:rsidRPr="00DC1C4E">
        <w:rPr>
          <w:color w:val="000000"/>
        </w:rPr>
        <w:t>: This method avoids extensive dissection and destabilization associated with component separation, thus minimizing infection and wound dehiscence [7].</w:t>
      </w:r>
    </w:p>
    <w:p w14:paraId="67BC220E" w14:textId="77777777" w:rsidR="00DC1C4E" w:rsidRPr="00DC1C4E" w:rsidRDefault="00DC1C4E" w:rsidP="00DC1C4E">
      <w:pPr>
        <w:pStyle w:val="NormalWeb"/>
        <w:numPr>
          <w:ilvl w:val="0"/>
          <w:numId w:val="2"/>
        </w:numPr>
        <w:rPr>
          <w:color w:val="000000"/>
        </w:rPr>
      </w:pPr>
      <w:r w:rsidRPr="00DC1C4E">
        <w:rPr>
          <w:b/>
          <w:bCs/>
          <w:color w:val="000000"/>
        </w:rPr>
        <w:t>Use of preserved sac</w:t>
      </w:r>
      <w:r w:rsidRPr="00DC1C4E">
        <w:rPr>
          <w:color w:val="000000"/>
        </w:rPr>
        <w:t>: In cases where closure would risk compartment syndrome, preserving the sac provides a natural buffer between dual mesh and viscera [10].</w:t>
      </w:r>
    </w:p>
    <w:p w14:paraId="3773710B" w14:textId="77777777" w:rsidR="00DC1C4E" w:rsidRPr="00DC1C4E" w:rsidRDefault="00DC1C4E" w:rsidP="00DC1C4E">
      <w:pPr>
        <w:pStyle w:val="NormalWeb"/>
        <w:numPr>
          <w:ilvl w:val="0"/>
          <w:numId w:val="2"/>
        </w:numPr>
        <w:rPr>
          <w:color w:val="000000"/>
        </w:rPr>
      </w:pPr>
      <w:r w:rsidRPr="00DC1C4E">
        <w:rPr>
          <w:b/>
          <w:bCs/>
          <w:color w:val="000000"/>
        </w:rPr>
        <w:t>Energy-assisted dissection</w:t>
      </w:r>
      <w:r w:rsidRPr="00DC1C4E">
        <w:rPr>
          <w:color w:val="000000"/>
        </w:rPr>
        <w:t>: Advanced energy devices (Ligasure Focus for finer tissue planes and Ligasure Impact for deeper dissection) provide a bloodless field and minimize surgical morbidity [13].</w:t>
      </w:r>
    </w:p>
    <w:p w14:paraId="62C4736F" w14:textId="77777777" w:rsidR="00DC1C4E" w:rsidRPr="00DC1C4E" w:rsidRDefault="00DC1C4E" w:rsidP="00DC1C4E">
      <w:pPr>
        <w:pStyle w:val="NormalWeb"/>
        <w:numPr>
          <w:ilvl w:val="0"/>
          <w:numId w:val="2"/>
        </w:numPr>
        <w:rPr>
          <w:color w:val="000000"/>
        </w:rPr>
      </w:pPr>
      <w:r w:rsidRPr="00DC1C4E">
        <w:rPr>
          <w:b/>
          <w:bCs/>
          <w:color w:val="000000"/>
        </w:rPr>
        <w:t>Postoperative reinforcement and wound care</w:t>
      </w:r>
      <w:r w:rsidRPr="00DC1C4E">
        <w:rPr>
          <w:color w:val="000000"/>
        </w:rPr>
        <w:t>: Tension-free closure, layered approximation, and selective use of VAC dressing contribute to consistently favorable healing outcomes [14].</w:t>
      </w:r>
    </w:p>
    <w:p w14:paraId="258D4B42" w14:textId="77777777" w:rsidR="00DC1C4E" w:rsidRPr="00DC1C4E" w:rsidRDefault="00DC1C4E" w:rsidP="00DC1C4E">
      <w:pPr>
        <w:pStyle w:val="NormalWeb"/>
      </w:pPr>
      <w:r w:rsidRPr="00DC1C4E">
        <w:rPr>
          <w:color w:val="000000"/>
        </w:rPr>
        <w:t>Causes of recurrence after mesh repair, as observed in literature and my personal practice, include:</w:t>
      </w:r>
    </w:p>
    <w:p w14:paraId="388CE5F7" w14:textId="77777777" w:rsidR="00DC1C4E" w:rsidRPr="00DC1C4E" w:rsidRDefault="00DC1C4E" w:rsidP="00DC1C4E">
      <w:pPr>
        <w:pStyle w:val="NormalWeb"/>
        <w:numPr>
          <w:ilvl w:val="0"/>
          <w:numId w:val="3"/>
        </w:numPr>
        <w:rPr>
          <w:color w:val="000000"/>
        </w:rPr>
      </w:pPr>
      <w:r w:rsidRPr="00DC1C4E">
        <w:rPr>
          <w:color w:val="000000"/>
        </w:rPr>
        <w:t>Inadequate mesh overlap (&lt;5 cm beyond defect) [8]</w:t>
      </w:r>
    </w:p>
    <w:p w14:paraId="105EF70C" w14:textId="77777777" w:rsidR="00DC1C4E" w:rsidRPr="00DC1C4E" w:rsidRDefault="00DC1C4E" w:rsidP="00DC1C4E">
      <w:pPr>
        <w:pStyle w:val="NormalWeb"/>
        <w:numPr>
          <w:ilvl w:val="0"/>
          <w:numId w:val="3"/>
        </w:numPr>
        <w:rPr>
          <w:color w:val="000000"/>
        </w:rPr>
      </w:pPr>
      <w:r w:rsidRPr="00DC1C4E">
        <w:rPr>
          <w:color w:val="000000"/>
        </w:rPr>
        <w:t>Missed fascial defects not included in the field of repair [4]</w:t>
      </w:r>
    </w:p>
    <w:p w14:paraId="26383152" w14:textId="77777777" w:rsidR="00DC1C4E" w:rsidRPr="00DC1C4E" w:rsidRDefault="00DC1C4E" w:rsidP="00DC1C4E">
      <w:pPr>
        <w:pStyle w:val="NormalWeb"/>
        <w:numPr>
          <w:ilvl w:val="0"/>
          <w:numId w:val="3"/>
        </w:numPr>
        <w:rPr>
          <w:color w:val="000000"/>
        </w:rPr>
      </w:pPr>
      <w:r w:rsidRPr="00DC1C4E">
        <w:rPr>
          <w:color w:val="000000"/>
        </w:rPr>
        <w:t>Retention of attenuated tissues prone to failure [6]</w:t>
      </w:r>
    </w:p>
    <w:p w14:paraId="54C8E5D6" w14:textId="77777777" w:rsidR="00DC1C4E" w:rsidRPr="00DC1C4E" w:rsidRDefault="00DC1C4E" w:rsidP="00DC1C4E">
      <w:pPr>
        <w:pStyle w:val="NormalWeb"/>
      </w:pPr>
      <w:r w:rsidRPr="00DC1C4E">
        <w:rPr>
          <w:color w:val="000000"/>
        </w:rPr>
        <w:lastRenderedPageBreak/>
        <w:t>This technique directly addresses each of these factors and enables surgeons to tailor the approach based on defect size and patient condition.</w:t>
      </w:r>
    </w:p>
    <w:p w14:paraId="3A2634C9" w14:textId="77777777" w:rsidR="00DC1C4E" w:rsidRDefault="00DC1C4E" w:rsidP="00DC1C4E">
      <w:pPr>
        <w:pStyle w:val="NormalWeb"/>
        <w:rPr>
          <w:b/>
          <w:bCs/>
          <w:color w:val="000000"/>
        </w:rPr>
      </w:pPr>
    </w:p>
    <w:p w14:paraId="66C3C807" w14:textId="77777777" w:rsidR="00DC1C4E" w:rsidRDefault="00DC1C4E" w:rsidP="00DC1C4E">
      <w:pPr>
        <w:pStyle w:val="NormalWeb"/>
        <w:rPr>
          <w:b/>
          <w:bCs/>
          <w:color w:val="000000"/>
        </w:rPr>
      </w:pPr>
    </w:p>
    <w:p w14:paraId="7FDD998B" w14:textId="77777777" w:rsidR="00DC1C4E" w:rsidRDefault="00DC1C4E" w:rsidP="00DC1C4E">
      <w:pPr>
        <w:pStyle w:val="NormalWeb"/>
        <w:rPr>
          <w:b/>
          <w:bCs/>
          <w:color w:val="000000"/>
        </w:rPr>
      </w:pPr>
    </w:p>
    <w:p w14:paraId="73586400" w14:textId="77777777" w:rsidR="00DC1C4E" w:rsidRDefault="00DC1C4E" w:rsidP="00DC1C4E">
      <w:pPr>
        <w:pStyle w:val="NormalWeb"/>
        <w:rPr>
          <w:b/>
          <w:bCs/>
          <w:color w:val="000000"/>
        </w:rPr>
      </w:pPr>
    </w:p>
    <w:p w14:paraId="2101539B" w14:textId="77777777" w:rsidR="00DC1C4E" w:rsidRDefault="00DC1C4E" w:rsidP="00DC1C4E">
      <w:pPr>
        <w:pStyle w:val="NormalWeb"/>
        <w:rPr>
          <w:b/>
          <w:bCs/>
          <w:color w:val="000000"/>
        </w:rPr>
      </w:pPr>
    </w:p>
    <w:p w14:paraId="4AF121AC" w14:textId="77777777" w:rsidR="00DC1C4E" w:rsidRDefault="00DC1C4E" w:rsidP="00DC1C4E">
      <w:pPr>
        <w:pStyle w:val="NormalWeb"/>
        <w:rPr>
          <w:b/>
          <w:bCs/>
          <w:color w:val="000000"/>
        </w:rPr>
      </w:pPr>
    </w:p>
    <w:p w14:paraId="1FA59E73" w14:textId="77777777" w:rsidR="00DC1C4E" w:rsidRDefault="00DC1C4E" w:rsidP="00DC1C4E">
      <w:pPr>
        <w:pStyle w:val="NormalWeb"/>
        <w:rPr>
          <w:b/>
          <w:bCs/>
          <w:color w:val="000000"/>
        </w:rPr>
      </w:pPr>
    </w:p>
    <w:p w14:paraId="2FBC68E3" w14:textId="77777777" w:rsidR="00DC1C4E" w:rsidRDefault="00DC1C4E" w:rsidP="00DC1C4E">
      <w:pPr>
        <w:pStyle w:val="NormalWeb"/>
        <w:rPr>
          <w:b/>
          <w:bCs/>
          <w:color w:val="000000"/>
        </w:rPr>
      </w:pPr>
    </w:p>
    <w:p w14:paraId="6A108E66" w14:textId="77777777" w:rsidR="00DC1C4E" w:rsidRDefault="00DC1C4E" w:rsidP="00DC1C4E">
      <w:pPr>
        <w:pStyle w:val="NormalWeb"/>
        <w:rPr>
          <w:b/>
          <w:bCs/>
          <w:color w:val="000000"/>
        </w:rPr>
      </w:pPr>
    </w:p>
    <w:p w14:paraId="1833D944" w14:textId="77777777" w:rsidR="00DC1C4E" w:rsidRDefault="00DC1C4E" w:rsidP="00DC1C4E">
      <w:pPr>
        <w:pStyle w:val="NormalWeb"/>
        <w:rPr>
          <w:b/>
          <w:bCs/>
          <w:color w:val="000000"/>
        </w:rPr>
      </w:pPr>
    </w:p>
    <w:p w14:paraId="1822C2FF" w14:textId="77777777" w:rsidR="00DC1C4E" w:rsidRPr="00DC1C4E" w:rsidRDefault="00DC1C4E" w:rsidP="00DC1C4E">
      <w:pPr>
        <w:pStyle w:val="NormalWeb"/>
      </w:pPr>
      <w:r w:rsidRPr="00DC1C4E">
        <w:rPr>
          <w:b/>
          <w:bCs/>
          <w:color w:val="000000"/>
        </w:rPr>
        <w:t>Conclusion:</w:t>
      </w:r>
      <w:r w:rsidRPr="00DC1C4E">
        <w:rPr>
          <w:color w:val="000000"/>
        </w:rPr>
        <w:t> The centripetal approach to incisional hernia repair—beginning from healthy territory, minimizing dissection, ensuring wide exposure, and combining either primary closure or biologically buffered mesh reinforcement—has yielded excellent results in my practice. With no recurrence seen in a substantial cohort over more than a decade, I recommend this technique for surgeons managing complex, recurrent, or large-volume hernias.</w:t>
      </w:r>
    </w:p>
    <w:p w14:paraId="089F7A72" w14:textId="77777777" w:rsidR="00DC1C4E" w:rsidRDefault="00DC1C4E" w:rsidP="00DC1C4E">
      <w:pPr>
        <w:pStyle w:val="NormalWeb"/>
        <w:rPr>
          <w:b/>
          <w:bCs/>
          <w:color w:val="000000"/>
        </w:rPr>
      </w:pPr>
    </w:p>
    <w:p w14:paraId="692917AA" w14:textId="77777777" w:rsidR="00DC1C4E" w:rsidRDefault="00DC1C4E" w:rsidP="00DC1C4E">
      <w:pPr>
        <w:pStyle w:val="NormalWeb"/>
        <w:rPr>
          <w:b/>
          <w:bCs/>
          <w:color w:val="000000"/>
        </w:rPr>
      </w:pPr>
    </w:p>
    <w:p w14:paraId="687DD40F" w14:textId="77777777" w:rsidR="00DC1C4E" w:rsidRDefault="00DC1C4E" w:rsidP="00DC1C4E">
      <w:pPr>
        <w:pStyle w:val="NormalWeb"/>
        <w:rPr>
          <w:b/>
          <w:bCs/>
          <w:color w:val="000000"/>
        </w:rPr>
      </w:pPr>
    </w:p>
    <w:p w14:paraId="3E3D3497" w14:textId="77777777" w:rsidR="00DC1C4E" w:rsidRDefault="00DC1C4E" w:rsidP="00DC1C4E">
      <w:pPr>
        <w:pStyle w:val="NormalWeb"/>
        <w:rPr>
          <w:b/>
          <w:bCs/>
          <w:color w:val="000000"/>
        </w:rPr>
      </w:pPr>
    </w:p>
    <w:p w14:paraId="4D176955" w14:textId="77777777" w:rsidR="00DC1C4E" w:rsidRDefault="00DC1C4E" w:rsidP="00DC1C4E">
      <w:pPr>
        <w:pStyle w:val="NormalWeb"/>
        <w:rPr>
          <w:b/>
          <w:bCs/>
          <w:color w:val="000000"/>
        </w:rPr>
      </w:pPr>
    </w:p>
    <w:p w14:paraId="1630D1F9" w14:textId="77777777" w:rsidR="00DC1C4E" w:rsidRDefault="00DC1C4E" w:rsidP="00DC1C4E">
      <w:pPr>
        <w:pStyle w:val="NormalWeb"/>
        <w:rPr>
          <w:b/>
          <w:bCs/>
          <w:color w:val="000000"/>
        </w:rPr>
      </w:pPr>
    </w:p>
    <w:p w14:paraId="69F40D1B" w14:textId="77777777" w:rsidR="00DC1C4E" w:rsidRDefault="00DC1C4E" w:rsidP="00DC1C4E">
      <w:pPr>
        <w:pStyle w:val="NormalWeb"/>
        <w:rPr>
          <w:b/>
          <w:bCs/>
          <w:color w:val="000000"/>
        </w:rPr>
      </w:pPr>
    </w:p>
    <w:p w14:paraId="52A7A1DE" w14:textId="77777777" w:rsidR="00DC1C4E" w:rsidRDefault="00DC1C4E" w:rsidP="00DC1C4E">
      <w:pPr>
        <w:pStyle w:val="NormalWeb"/>
        <w:rPr>
          <w:b/>
          <w:bCs/>
          <w:color w:val="000000"/>
        </w:rPr>
      </w:pPr>
    </w:p>
    <w:p w14:paraId="03F9B26B" w14:textId="77777777" w:rsidR="00DC1C4E" w:rsidRDefault="00DC1C4E" w:rsidP="00DC1C4E">
      <w:pPr>
        <w:pStyle w:val="NormalWeb"/>
        <w:rPr>
          <w:b/>
          <w:bCs/>
          <w:color w:val="000000"/>
        </w:rPr>
      </w:pPr>
    </w:p>
    <w:p w14:paraId="1D3E7483" w14:textId="77777777" w:rsidR="00DC1C4E" w:rsidRDefault="00DC1C4E" w:rsidP="00DC1C4E">
      <w:pPr>
        <w:pStyle w:val="NormalWeb"/>
        <w:rPr>
          <w:b/>
          <w:bCs/>
          <w:color w:val="000000"/>
        </w:rPr>
      </w:pPr>
    </w:p>
    <w:p w14:paraId="00087D91" w14:textId="77777777" w:rsidR="00DC1C4E" w:rsidRDefault="00DC1C4E" w:rsidP="00DC1C4E">
      <w:pPr>
        <w:pStyle w:val="NormalWeb"/>
        <w:rPr>
          <w:b/>
          <w:bCs/>
          <w:color w:val="000000"/>
        </w:rPr>
      </w:pPr>
    </w:p>
    <w:p w14:paraId="60C5CB16" w14:textId="77777777" w:rsidR="00DC1C4E" w:rsidRDefault="00DC1C4E" w:rsidP="00DC1C4E">
      <w:pPr>
        <w:pStyle w:val="NormalWeb"/>
        <w:rPr>
          <w:b/>
          <w:bCs/>
          <w:color w:val="000000"/>
        </w:rPr>
      </w:pPr>
    </w:p>
    <w:p w14:paraId="1F0CF9AA" w14:textId="77777777" w:rsidR="00DC1C4E" w:rsidRDefault="00DC1C4E" w:rsidP="00DC1C4E">
      <w:pPr>
        <w:pStyle w:val="NormalWeb"/>
        <w:rPr>
          <w:b/>
          <w:bCs/>
          <w:color w:val="000000"/>
        </w:rPr>
      </w:pPr>
    </w:p>
    <w:p w14:paraId="4FD2BABC" w14:textId="77777777" w:rsidR="00DC1C4E" w:rsidRDefault="00DC1C4E" w:rsidP="00DC1C4E">
      <w:pPr>
        <w:pStyle w:val="NormalWeb"/>
        <w:rPr>
          <w:b/>
          <w:bCs/>
          <w:color w:val="000000"/>
        </w:rPr>
      </w:pPr>
    </w:p>
    <w:p w14:paraId="62529F2D" w14:textId="77777777" w:rsidR="00DC1C4E" w:rsidRDefault="00DC1C4E" w:rsidP="00DC1C4E">
      <w:pPr>
        <w:pStyle w:val="NormalWeb"/>
        <w:rPr>
          <w:b/>
          <w:bCs/>
          <w:color w:val="000000"/>
        </w:rPr>
      </w:pPr>
    </w:p>
    <w:p w14:paraId="16B17C3C" w14:textId="77777777" w:rsidR="00DC1C4E" w:rsidRDefault="00DC1C4E" w:rsidP="00DC1C4E">
      <w:pPr>
        <w:pStyle w:val="NormalWeb"/>
        <w:rPr>
          <w:b/>
          <w:bCs/>
          <w:color w:val="000000"/>
        </w:rPr>
      </w:pPr>
    </w:p>
    <w:p w14:paraId="31F7B914" w14:textId="77777777" w:rsidR="00DC1C4E" w:rsidRDefault="00DC1C4E" w:rsidP="00DC1C4E">
      <w:pPr>
        <w:pStyle w:val="NormalWeb"/>
        <w:rPr>
          <w:b/>
          <w:bCs/>
          <w:color w:val="000000"/>
        </w:rPr>
      </w:pPr>
    </w:p>
    <w:p w14:paraId="0783FF59" w14:textId="77777777" w:rsidR="00DC1C4E" w:rsidRDefault="00DC1C4E" w:rsidP="00DC1C4E">
      <w:pPr>
        <w:pStyle w:val="NormalWeb"/>
        <w:rPr>
          <w:b/>
          <w:bCs/>
          <w:color w:val="000000"/>
        </w:rPr>
      </w:pPr>
    </w:p>
    <w:p w14:paraId="6DE7ACF5" w14:textId="77777777" w:rsidR="00DC1C4E" w:rsidRDefault="00DC1C4E" w:rsidP="00DC1C4E">
      <w:pPr>
        <w:pStyle w:val="NormalWeb"/>
        <w:rPr>
          <w:b/>
          <w:bCs/>
          <w:color w:val="000000"/>
        </w:rPr>
      </w:pPr>
    </w:p>
    <w:p w14:paraId="6BE3129C" w14:textId="77777777" w:rsidR="00DC1C4E" w:rsidRDefault="00DC1C4E" w:rsidP="00DC1C4E">
      <w:pPr>
        <w:pStyle w:val="NormalWeb"/>
        <w:rPr>
          <w:b/>
          <w:bCs/>
          <w:color w:val="000000"/>
        </w:rPr>
      </w:pPr>
    </w:p>
    <w:p w14:paraId="014DE230" w14:textId="77777777" w:rsidR="00DC1C4E" w:rsidRDefault="00DC1C4E" w:rsidP="00DC1C4E">
      <w:pPr>
        <w:pStyle w:val="NormalWeb"/>
        <w:rPr>
          <w:b/>
          <w:bCs/>
          <w:color w:val="000000"/>
        </w:rPr>
      </w:pPr>
    </w:p>
    <w:p w14:paraId="23EAF420" w14:textId="77777777" w:rsidR="00DC1C4E" w:rsidRDefault="00DC1C4E" w:rsidP="00DC1C4E">
      <w:pPr>
        <w:pStyle w:val="NormalWeb"/>
        <w:rPr>
          <w:b/>
          <w:bCs/>
          <w:color w:val="000000"/>
        </w:rPr>
      </w:pPr>
    </w:p>
    <w:p w14:paraId="07A43B4F" w14:textId="77777777" w:rsidR="00DC1C4E" w:rsidRPr="00DC1C4E" w:rsidRDefault="00DC1C4E" w:rsidP="00DC1C4E">
      <w:pPr>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Author Contribution</w:t>
      </w:r>
      <w:r>
        <w:rPr>
          <w:rFonts w:ascii="Times New Roman" w:eastAsia="Times New Roman" w:hAnsi="Times New Roman" w:cs="Times New Roman"/>
          <w:bCs/>
          <w:sz w:val="24"/>
          <w:szCs w:val="24"/>
        </w:rPr>
        <w:t>: All the authors contributed equally to the writing of the manuscript and approved the final version.</w:t>
      </w:r>
    </w:p>
    <w:p w14:paraId="4283EFD9" w14:textId="77777777" w:rsidR="00DC1C4E" w:rsidRPr="00DC1C4E" w:rsidRDefault="00DC1C4E" w:rsidP="00DC1C4E">
      <w:pPr>
        <w:spacing w:line="240" w:lineRule="auto"/>
        <w:jc w:val="both"/>
        <w:rPr>
          <w:rFonts w:ascii="Times New Roman" w:eastAsia="Times New Roman" w:hAnsi="Times New Roman" w:cs="Times New Roman"/>
          <w:sz w:val="24"/>
          <w:szCs w:val="24"/>
        </w:rPr>
      </w:pPr>
      <w:r w:rsidRPr="00DC1C4E">
        <w:rPr>
          <w:rFonts w:ascii="Times New Roman" w:eastAsia="Times New Roman" w:hAnsi="Times New Roman" w:cs="Times New Roman"/>
          <w:b/>
          <w:bCs/>
          <w:sz w:val="24"/>
          <w:szCs w:val="24"/>
        </w:rPr>
        <w:t>Funding</w:t>
      </w:r>
      <w:r w:rsidRPr="00DC1C4E">
        <w:rPr>
          <w:rFonts w:ascii="Times New Roman" w:eastAsia="Times New Roman" w:hAnsi="Times New Roman" w:cs="Times New Roman"/>
          <w:sz w:val="24"/>
          <w:szCs w:val="24"/>
        </w:rPr>
        <w:t>: None.</w:t>
      </w:r>
    </w:p>
    <w:p w14:paraId="5A95251F" w14:textId="77777777" w:rsidR="00DC1C4E" w:rsidRPr="00DC1C4E" w:rsidRDefault="00DC1C4E" w:rsidP="00DC1C4E">
      <w:pPr>
        <w:spacing w:line="240" w:lineRule="auto"/>
        <w:jc w:val="both"/>
        <w:rPr>
          <w:rFonts w:ascii="Times New Roman" w:eastAsia="Times New Roman" w:hAnsi="Times New Roman" w:cs="Times New Roman"/>
          <w:sz w:val="24"/>
          <w:szCs w:val="24"/>
        </w:rPr>
      </w:pPr>
      <w:r w:rsidRPr="00DC1C4E">
        <w:rPr>
          <w:rFonts w:ascii="Times New Roman" w:eastAsia="Times New Roman" w:hAnsi="Times New Roman" w:cs="Times New Roman"/>
          <w:b/>
          <w:bCs/>
          <w:sz w:val="24"/>
          <w:szCs w:val="24"/>
        </w:rPr>
        <w:t>Conflict of interest</w:t>
      </w:r>
      <w:r w:rsidRPr="00DC1C4E">
        <w:rPr>
          <w:rFonts w:ascii="Times New Roman" w:eastAsia="Times New Roman" w:hAnsi="Times New Roman" w:cs="Times New Roman"/>
          <w:sz w:val="24"/>
          <w:szCs w:val="24"/>
        </w:rPr>
        <w:t>: The authors declare no conflict of interest.</w:t>
      </w:r>
    </w:p>
    <w:p w14:paraId="64F3B13E" w14:textId="77777777" w:rsidR="0051285F" w:rsidRPr="0051285F" w:rsidRDefault="0051285F" w:rsidP="0051285F">
      <w:pPr>
        <w:spacing w:after="200" w:line="276" w:lineRule="auto"/>
        <w:rPr>
          <w:rFonts w:ascii="Calibri" w:eastAsia="Calibri" w:hAnsi="Calibri" w:cs="Times New Roman"/>
          <w:b/>
          <w:sz w:val="28"/>
          <w:lang w:val="en-US"/>
        </w:rPr>
      </w:pPr>
      <w:bookmarkStart w:id="0" w:name="_Hlk194405813"/>
      <w:r w:rsidRPr="0051285F">
        <w:rPr>
          <w:rFonts w:ascii="Calibri" w:eastAsia="Calibri" w:hAnsi="Calibri" w:cs="Times New Roman"/>
          <w:b/>
          <w:sz w:val="28"/>
          <w:lang w:val="en-US"/>
        </w:rPr>
        <w:t>Ethical Approval:</w:t>
      </w:r>
    </w:p>
    <w:p w14:paraId="73E38C1C" w14:textId="77777777" w:rsidR="0051285F" w:rsidRPr="0051285F" w:rsidRDefault="0051285F" w:rsidP="0051285F">
      <w:pPr>
        <w:spacing w:after="200" w:line="276" w:lineRule="auto"/>
        <w:rPr>
          <w:rFonts w:ascii="Calibri" w:eastAsia="Times New Roman" w:hAnsi="Calibri" w:cs="Times New Roman"/>
          <w:lang w:val="en-US"/>
        </w:rPr>
      </w:pPr>
      <w:r w:rsidRPr="0051285F">
        <w:rPr>
          <w:rFonts w:ascii="Calibri" w:eastAsia="Times New Roman" w:hAnsi="Calibri" w:cs="Times New Roman"/>
          <w:lang w:val="en-US"/>
        </w:rPr>
        <w:t>As per international standards or university standards written ethical approval has been collected and preserved by the author(s).</w:t>
      </w:r>
    </w:p>
    <w:bookmarkEnd w:id="0"/>
    <w:p w14:paraId="5EE4D04C" w14:textId="77777777" w:rsidR="00DC1C4E" w:rsidRDefault="00DC1C4E" w:rsidP="00DC1C4E">
      <w:pPr>
        <w:pStyle w:val="NormalWeb"/>
        <w:rPr>
          <w:b/>
          <w:bCs/>
          <w:color w:val="000000"/>
        </w:rPr>
      </w:pPr>
    </w:p>
    <w:p w14:paraId="0B17E50E" w14:textId="77777777" w:rsidR="00DC1C4E" w:rsidRDefault="00DC1C4E" w:rsidP="00DC1C4E">
      <w:pPr>
        <w:pStyle w:val="NormalWeb"/>
        <w:rPr>
          <w:b/>
          <w:bCs/>
          <w:color w:val="000000"/>
        </w:rPr>
      </w:pPr>
    </w:p>
    <w:p w14:paraId="2EBAFDB7" w14:textId="77777777" w:rsidR="00DC1C4E" w:rsidRDefault="00DC1C4E" w:rsidP="00DC1C4E">
      <w:pPr>
        <w:pStyle w:val="NormalWeb"/>
        <w:rPr>
          <w:b/>
          <w:bCs/>
          <w:color w:val="000000"/>
        </w:rPr>
      </w:pPr>
    </w:p>
    <w:p w14:paraId="56A40EBA" w14:textId="77777777" w:rsidR="00DC1C4E" w:rsidRDefault="00DC1C4E" w:rsidP="00DC1C4E">
      <w:pPr>
        <w:pStyle w:val="NormalWeb"/>
        <w:rPr>
          <w:b/>
          <w:bCs/>
          <w:color w:val="000000"/>
        </w:rPr>
      </w:pPr>
    </w:p>
    <w:p w14:paraId="6ED5C6B7" w14:textId="77777777" w:rsidR="00DC1C4E" w:rsidRDefault="00DC1C4E" w:rsidP="00DC1C4E">
      <w:pPr>
        <w:pStyle w:val="NormalWeb"/>
        <w:rPr>
          <w:b/>
          <w:bCs/>
          <w:color w:val="000000"/>
        </w:rPr>
      </w:pPr>
    </w:p>
    <w:p w14:paraId="1A354FD2" w14:textId="77777777" w:rsidR="00DC1C4E" w:rsidRDefault="00DC1C4E" w:rsidP="00DC1C4E">
      <w:pPr>
        <w:pStyle w:val="NormalWeb"/>
        <w:rPr>
          <w:b/>
          <w:bCs/>
          <w:color w:val="000000"/>
        </w:rPr>
      </w:pPr>
    </w:p>
    <w:p w14:paraId="0A43F027" w14:textId="77777777" w:rsidR="00DC1C4E" w:rsidRDefault="00DC1C4E" w:rsidP="00DC1C4E">
      <w:pPr>
        <w:pStyle w:val="NormalWeb"/>
        <w:rPr>
          <w:b/>
          <w:bCs/>
          <w:color w:val="000000"/>
        </w:rPr>
      </w:pPr>
    </w:p>
    <w:p w14:paraId="6B60B8DE" w14:textId="77777777" w:rsidR="00DC1C4E" w:rsidRDefault="00DC1C4E" w:rsidP="00DC1C4E">
      <w:pPr>
        <w:pStyle w:val="NormalWeb"/>
        <w:rPr>
          <w:b/>
          <w:bCs/>
          <w:color w:val="000000"/>
        </w:rPr>
      </w:pPr>
    </w:p>
    <w:p w14:paraId="78A11F65" w14:textId="77777777" w:rsidR="00DC1C4E" w:rsidRDefault="00DC1C4E" w:rsidP="00DC1C4E">
      <w:pPr>
        <w:pStyle w:val="NormalWeb"/>
        <w:rPr>
          <w:b/>
          <w:bCs/>
          <w:color w:val="000000"/>
        </w:rPr>
      </w:pPr>
    </w:p>
    <w:p w14:paraId="583E648B" w14:textId="77777777" w:rsidR="00DC1C4E" w:rsidRDefault="00DC1C4E" w:rsidP="00DC1C4E">
      <w:pPr>
        <w:pStyle w:val="NormalWeb"/>
        <w:rPr>
          <w:b/>
          <w:bCs/>
          <w:color w:val="000000"/>
        </w:rPr>
      </w:pPr>
    </w:p>
    <w:p w14:paraId="6CA41643" w14:textId="77777777" w:rsidR="00DC1C4E" w:rsidRDefault="00DC1C4E" w:rsidP="00DC1C4E">
      <w:pPr>
        <w:pStyle w:val="NormalWeb"/>
        <w:rPr>
          <w:b/>
          <w:bCs/>
          <w:color w:val="000000"/>
        </w:rPr>
      </w:pPr>
    </w:p>
    <w:p w14:paraId="6DF70C83" w14:textId="77777777" w:rsidR="00DC1C4E" w:rsidRDefault="00DC1C4E" w:rsidP="00DC1C4E">
      <w:pPr>
        <w:pStyle w:val="NormalWeb"/>
        <w:rPr>
          <w:b/>
          <w:bCs/>
          <w:color w:val="000000"/>
        </w:rPr>
      </w:pPr>
    </w:p>
    <w:p w14:paraId="39A7E750" w14:textId="77777777" w:rsidR="00DC1C4E" w:rsidRDefault="00DC1C4E" w:rsidP="00DC1C4E">
      <w:pPr>
        <w:pStyle w:val="NormalWeb"/>
        <w:rPr>
          <w:b/>
          <w:bCs/>
          <w:color w:val="000000"/>
        </w:rPr>
      </w:pPr>
    </w:p>
    <w:p w14:paraId="7961CD4A" w14:textId="77777777" w:rsidR="00DC1C4E" w:rsidRDefault="00DC1C4E" w:rsidP="00DC1C4E">
      <w:pPr>
        <w:pStyle w:val="NormalWeb"/>
        <w:rPr>
          <w:b/>
          <w:bCs/>
          <w:color w:val="000000"/>
        </w:rPr>
      </w:pPr>
    </w:p>
    <w:p w14:paraId="380D78EF" w14:textId="77777777" w:rsidR="00DC1C4E" w:rsidRDefault="00DC1C4E" w:rsidP="00DC1C4E">
      <w:pPr>
        <w:pStyle w:val="NormalWeb"/>
        <w:rPr>
          <w:b/>
          <w:bCs/>
          <w:color w:val="000000"/>
        </w:rPr>
      </w:pPr>
    </w:p>
    <w:p w14:paraId="77E535C6" w14:textId="77777777" w:rsidR="00DC1C4E" w:rsidRDefault="00DC1C4E" w:rsidP="00DC1C4E">
      <w:pPr>
        <w:pStyle w:val="NormalWeb"/>
        <w:rPr>
          <w:b/>
          <w:bCs/>
          <w:color w:val="000000"/>
        </w:rPr>
      </w:pPr>
    </w:p>
    <w:p w14:paraId="2F4CDBAD" w14:textId="77777777" w:rsidR="00DC1C4E" w:rsidRDefault="00DC1C4E" w:rsidP="00DC1C4E">
      <w:pPr>
        <w:pStyle w:val="NormalWeb"/>
        <w:rPr>
          <w:b/>
          <w:bCs/>
          <w:color w:val="000000"/>
        </w:rPr>
      </w:pPr>
    </w:p>
    <w:p w14:paraId="3294414F" w14:textId="77777777" w:rsidR="00DC1C4E" w:rsidRDefault="00DC1C4E" w:rsidP="00DC1C4E">
      <w:pPr>
        <w:pStyle w:val="NormalWeb"/>
        <w:rPr>
          <w:b/>
          <w:bCs/>
          <w:color w:val="000000"/>
        </w:rPr>
      </w:pPr>
    </w:p>
    <w:p w14:paraId="7C9A35C8" w14:textId="77777777" w:rsidR="00DC1C4E" w:rsidRDefault="00DC1C4E" w:rsidP="00DC1C4E">
      <w:pPr>
        <w:pStyle w:val="NormalWeb"/>
        <w:rPr>
          <w:b/>
          <w:bCs/>
          <w:color w:val="000000"/>
        </w:rPr>
      </w:pPr>
    </w:p>
    <w:p w14:paraId="430E41CD" w14:textId="77777777" w:rsidR="00DC1C4E" w:rsidRDefault="00DC1C4E" w:rsidP="00DC1C4E">
      <w:pPr>
        <w:pStyle w:val="NormalWeb"/>
        <w:rPr>
          <w:b/>
          <w:bCs/>
          <w:color w:val="000000"/>
        </w:rPr>
      </w:pPr>
    </w:p>
    <w:p w14:paraId="14FF30F7" w14:textId="77777777" w:rsidR="00DC1C4E" w:rsidRDefault="00DC1C4E" w:rsidP="00DC1C4E">
      <w:pPr>
        <w:pStyle w:val="NormalWeb"/>
        <w:rPr>
          <w:b/>
          <w:bCs/>
          <w:color w:val="000000"/>
        </w:rPr>
      </w:pPr>
    </w:p>
    <w:p w14:paraId="1D061EE4" w14:textId="77777777" w:rsidR="00DC1C4E" w:rsidRPr="00DC1C4E" w:rsidRDefault="00DC1C4E" w:rsidP="00DC1C4E">
      <w:pPr>
        <w:pStyle w:val="NormalWeb"/>
      </w:pPr>
      <w:r w:rsidRPr="00DC1C4E">
        <w:rPr>
          <w:b/>
          <w:bCs/>
          <w:color w:val="000000"/>
        </w:rPr>
        <w:t>References:</w:t>
      </w:r>
    </w:p>
    <w:p w14:paraId="0EDBDC49" w14:textId="77777777" w:rsidR="00DC1C4E" w:rsidRPr="00DC1C4E" w:rsidRDefault="00DC1C4E" w:rsidP="00DC1C4E">
      <w:pPr>
        <w:pStyle w:val="NormalWeb"/>
        <w:numPr>
          <w:ilvl w:val="0"/>
          <w:numId w:val="4"/>
        </w:numPr>
        <w:rPr>
          <w:color w:val="000000"/>
        </w:rPr>
      </w:pPr>
      <w:r w:rsidRPr="00DC1C4E">
        <w:rPr>
          <w:color w:val="000000"/>
        </w:rPr>
        <w:t>Burger JW et al. Long-term follow-up of a randomized controlled trial of suture vs mesh repair of incisional hernia. Ann Surg. 2004.</w:t>
      </w:r>
    </w:p>
    <w:p w14:paraId="239E8CA0" w14:textId="77777777" w:rsidR="00DC1C4E" w:rsidRPr="00DC1C4E" w:rsidRDefault="00DC1C4E" w:rsidP="00DC1C4E">
      <w:pPr>
        <w:pStyle w:val="NormalWeb"/>
        <w:numPr>
          <w:ilvl w:val="0"/>
          <w:numId w:val="4"/>
        </w:numPr>
        <w:rPr>
          <w:color w:val="000000"/>
        </w:rPr>
      </w:pPr>
      <w:r w:rsidRPr="00DC1C4E">
        <w:rPr>
          <w:color w:val="000000"/>
        </w:rPr>
        <w:t>Muysoms FE et al. Classification of primary and incisional abdominal wall hernias. Hernia. 2009.</w:t>
      </w:r>
    </w:p>
    <w:p w14:paraId="1485A122" w14:textId="77777777" w:rsidR="00DC1C4E" w:rsidRPr="00DC1C4E" w:rsidRDefault="00DC1C4E" w:rsidP="00DC1C4E">
      <w:pPr>
        <w:pStyle w:val="NormalWeb"/>
        <w:numPr>
          <w:ilvl w:val="0"/>
          <w:numId w:val="4"/>
        </w:numPr>
        <w:rPr>
          <w:color w:val="000000"/>
        </w:rPr>
      </w:pPr>
      <w:r w:rsidRPr="00DC1C4E">
        <w:rPr>
          <w:color w:val="000000"/>
        </w:rPr>
        <w:t>Breuing K et al. Ventral hernia working group recommendations. Surgery. 2010.</w:t>
      </w:r>
    </w:p>
    <w:p w14:paraId="65834202" w14:textId="77777777" w:rsidR="00DC1C4E" w:rsidRPr="00DC1C4E" w:rsidRDefault="00DC1C4E" w:rsidP="00DC1C4E">
      <w:pPr>
        <w:pStyle w:val="NormalWeb"/>
        <w:numPr>
          <w:ilvl w:val="0"/>
          <w:numId w:val="4"/>
        </w:numPr>
        <w:rPr>
          <w:color w:val="000000"/>
        </w:rPr>
      </w:pPr>
      <w:r w:rsidRPr="00DC1C4E">
        <w:rPr>
          <w:color w:val="000000"/>
        </w:rPr>
        <w:t>Holihan JL et al. Ventral hernia repair: A meta-analysis of randomized controlled trials. Ann Surg. 2017.</w:t>
      </w:r>
    </w:p>
    <w:p w14:paraId="77882A74" w14:textId="77777777" w:rsidR="00DC1C4E" w:rsidRPr="00DC1C4E" w:rsidRDefault="00DC1C4E" w:rsidP="00DC1C4E">
      <w:pPr>
        <w:pStyle w:val="NormalWeb"/>
        <w:numPr>
          <w:ilvl w:val="0"/>
          <w:numId w:val="4"/>
        </w:numPr>
        <w:rPr>
          <w:color w:val="000000"/>
        </w:rPr>
      </w:pPr>
      <w:r w:rsidRPr="00DC1C4E">
        <w:rPr>
          <w:color w:val="000000"/>
        </w:rPr>
        <w:t>Liang MK et al. Predicting hernia recurrence. Ann Surg. 2013.</w:t>
      </w:r>
    </w:p>
    <w:p w14:paraId="3DD19B47" w14:textId="77777777" w:rsidR="00DC1C4E" w:rsidRPr="00DC1C4E" w:rsidRDefault="00DC1C4E" w:rsidP="00DC1C4E">
      <w:pPr>
        <w:pStyle w:val="NormalWeb"/>
        <w:numPr>
          <w:ilvl w:val="0"/>
          <w:numId w:val="4"/>
        </w:numPr>
        <w:rPr>
          <w:color w:val="000000"/>
        </w:rPr>
      </w:pPr>
      <w:r w:rsidRPr="00DC1C4E">
        <w:rPr>
          <w:color w:val="000000"/>
        </w:rPr>
        <w:t>Deerenberg EB et al. A systematic review of the surgical treatment of large incisional hernia. Hernia. 2015.</w:t>
      </w:r>
    </w:p>
    <w:p w14:paraId="2D3EC571" w14:textId="77777777" w:rsidR="00DC1C4E" w:rsidRPr="00DC1C4E" w:rsidRDefault="00DC1C4E" w:rsidP="00DC1C4E">
      <w:pPr>
        <w:pStyle w:val="NormalWeb"/>
        <w:numPr>
          <w:ilvl w:val="0"/>
          <w:numId w:val="4"/>
        </w:numPr>
        <w:rPr>
          <w:color w:val="000000"/>
        </w:rPr>
      </w:pPr>
      <w:r w:rsidRPr="00DC1C4E">
        <w:rPr>
          <w:color w:val="000000"/>
        </w:rPr>
        <w:t>Novitsky YW et al. Transversus abdominis release: a novel approach. Ann Surg. 2012.</w:t>
      </w:r>
    </w:p>
    <w:p w14:paraId="5C2940F0" w14:textId="77777777" w:rsidR="00DC1C4E" w:rsidRPr="00DC1C4E" w:rsidRDefault="00DC1C4E" w:rsidP="00DC1C4E">
      <w:pPr>
        <w:pStyle w:val="NormalWeb"/>
        <w:numPr>
          <w:ilvl w:val="0"/>
          <w:numId w:val="4"/>
        </w:numPr>
        <w:rPr>
          <w:color w:val="000000"/>
        </w:rPr>
      </w:pPr>
      <w:r w:rsidRPr="00DC1C4E">
        <w:rPr>
          <w:color w:val="000000"/>
        </w:rPr>
        <w:t>Bittner R et al. Guidelines for laparoscopic treatment of ventral and incisional abdominal wall hernias. Surg Endosc. 2019.</w:t>
      </w:r>
    </w:p>
    <w:p w14:paraId="35AD1C91" w14:textId="77777777" w:rsidR="00DC1C4E" w:rsidRPr="00DC1C4E" w:rsidRDefault="00DC1C4E" w:rsidP="00DC1C4E">
      <w:pPr>
        <w:pStyle w:val="NormalWeb"/>
        <w:numPr>
          <w:ilvl w:val="0"/>
          <w:numId w:val="4"/>
        </w:numPr>
        <w:rPr>
          <w:color w:val="000000"/>
        </w:rPr>
      </w:pPr>
      <w:r w:rsidRPr="00DC1C4E">
        <w:rPr>
          <w:color w:val="000000"/>
        </w:rPr>
        <w:t>Bellows CF et al. The use of biologic versus synthetic mesh in ventral hernia repair. Ann Surg. 2013.</w:t>
      </w:r>
    </w:p>
    <w:p w14:paraId="4D2DB74C" w14:textId="77777777" w:rsidR="00DC1C4E" w:rsidRPr="00DC1C4E" w:rsidRDefault="00DC1C4E" w:rsidP="00DC1C4E">
      <w:pPr>
        <w:pStyle w:val="NormalWeb"/>
        <w:numPr>
          <w:ilvl w:val="0"/>
          <w:numId w:val="4"/>
        </w:numPr>
        <w:rPr>
          <w:color w:val="000000"/>
        </w:rPr>
      </w:pPr>
      <w:r w:rsidRPr="00DC1C4E">
        <w:rPr>
          <w:color w:val="000000"/>
        </w:rPr>
        <w:t>Roth JS. Meshes for ventral hernia repair. Surg Clin North Am. 2013.</w:t>
      </w:r>
    </w:p>
    <w:p w14:paraId="6DDDC988" w14:textId="77777777" w:rsidR="00DC1C4E" w:rsidRPr="00DC1C4E" w:rsidRDefault="00DC1C4E" w:rsidP="00DC1C4E">
      <w:pPr>
        <w:pStyle w:val="NormalWeb"/>
        <w:numPr>
          <w:ilvl w:val="0"/>
          <w:numId w:val="4"/>
        </w:numPr>
        <w:rPr>
          <w:color w:val="000000"/>
        </w:rPr>
      </w:pPr>
      <w:r w:rsidRPr="00DC1C4E">
        <w:rPr>
          <w:color w:val="000000"/>
        </w:rPr>
        <w:t>LeBlanc KA. The critical technical aspects of laparoscopic ventral hernia repair. Am Surg. 2002.</w:t>
      </w:r>
    </w:p>
    <w:p w14:paraId="708947F6" w14:textId="77777777" w:rsidR="00DC1C4E" w:rsidRPr="00DC1C4E" w:rsidRDefault="00DC1C4E" w:rsidP="00DC1C4E">
      <w:pPr>
        <w:pStyle w:val="NormalWeb"/>
        <w:numPr>
          <w:ilvl w:val="0"/>
          <w:numId w:val="4"/>
        </w:numPr>
        <w:rPr>
          <w:color w:val="000000"/>
        </w:rPr>
      </w:pPr>
      <w:r w:rsidRPr="00DC1C4E">
        <w:rPr>
          <w:color w:val="000000"/>
        </w:rPr>
        <w:t>Köckerling F et al. Drain use in hernia surgery. Front Surg. 2018.</w:t>
      </w:r>
    </w:p>
    <w:p w14:paraId="5D9A9563" w14:textId="77777777" w:rsidR="00DC1C4E" w:rsidRPr="00DC1C4E" w:rsidRDefault="00DC1C4E" w:rsidP="00DC1C4E">
      <w:pPr>
        <w:pStyle w:val="NormalWeb"/>
        <w:numPr>
          <w:ilvl w:val="0"/>
          <w:numId w:val="4"/>
        </w:numPr>
        <w:rPr>
          <w:color w:val="000000"/>
        </w:rPr>
      </w:pPr>
      <w:r w:rsidRPr="00DC1C4E">
        <w:rPr>
          <w:color w:val="000000"/>
        </w:rPr>
        <w:t>Saettele TM et al. Complications in hernia repair with mesh: prevention and management. Surg Clin. 2020.</w:t>
      </w:r>
    </w:p>
    <w:p w14:paraId="0E61DBE6" w14:textId="77777777" w:rsidR="00DC1C4E" w:rsidRPr="00DC1C4E" w:rsidRDefault="00DC1C4E" w:rsidP="00DC1C4E">
      <w:pPr>
        <w:pStyle w:val="NormalWeb"/>
        <w:numPr>
          <w:ilvl w:val="0"/>
          <w:numId w:val="4"/>
        </w:numPr>
        <w:rPr>
          <w:color w:val="000000"/>
        </w:rPr>
      </w:pPr>
      <w:r w:rsidRPr="00DC1C4E">
        <w:rPr>
          <w:color w:val="000000"/>
        </w:rPr>
        <w:lastRenderedPageBreak/>
        <w:t>Fischer JP et al. A 10-year review of surgical outcomes. J Am Coll Surg. 2014.</w:t>
      </w:r>
    </w:p>
    <w:p w14:paraId="5B3DAD5E" w14:textId="77777777" w:rsidR="00DC1C4E" w:rsidRPr="00DC1C4E" w:rsidRDefault="00DC1C4E" w:rsidP="00DC1C4E">
      <w:pPr>
        <w:pStyle w:val="NormalWeb"/>
        <w:numPr>
          <w:ilvl w:val="0"/>
          <w:numId w:val="4"/>
        </w:numPr>
        <w:rPr>
          <w:color w:val="000000"/>
        </w:rPr>
      </w:pPr>
      <w:r w:rsidRPr="00DC1C4E">
        <w:rPr>
          <w:color w:val="000000"/>
        </w:rPr>
        <w:t>Cavallaro G et al. Ventral hernia repair techniques: a comprehensive review. World J Clin Cases. 2023.</w:t>
      </w:r>
    </w:p>
    <w:p w14:paraId="6830CC6F" w14:textId="77777777" w:rsidR="00DC1C4E" w:rsidRPr="00DC1C4E" w:rsidRDefault="00DC1C4E" w:rsidP="00DC1C4E">
      <w:pPr>
        <w:spacing w:line="240" w:lineRule="auto"/>
        <w:jc w:val="both"/>
        <w:rPr>
          <w:rFonts w:ascii="Times New Roman" w:eastAsia="Times New Roman" w:hAnsi="Times New Roman" w:cs="Times New Roman"/>
          <w:sz w:val="24"/>
          <w:szCs w:val="24"/>
        </w:rPr>
      </w:pPr>
    </w:p>
    <w:p w14:paraId="331F9DA2" w14:textId="77777777" w:rsidR="00DC1C4E" w:rsidRPr="00DC1C4E" w:rsidRDefault="00DC1C4E" w:rsidP="00DC1C4E">
      <w:pPr>
        <w:spacing w:line="240" w:lineRule="auto"/>
        <w:jc w:val="both"/>
        <w:rPr>
          <w:rFonts w:ascii="Times New Roman" w:eastAsia="Times New Roman" w:hAnsi="Times New Roman" w:cs="Times New Roman"/>
          <w:sz w:val="24"/>
          <w:szCs w:val="24"/>
        </w:rPr>
      </w:pPr>
    </w:p>
    <w:p w14:paraId="5EEF2B7D" w14:textId="77777777" w:rsidR="00DC1C4E" w:rsidRPr="00DC1C4E" w:rsidRDefault="00DC1C4E" w:rsidP="00DC1C4E">
      <w:pPr>
        <w:spacing w:line="240" w:lineRule="auto"/>
        <w:jc w:val="both"/>
        <w:rPr>
          <w:rFonts w:ascii="Times New Roman" w:eastAsia="Times New Roman" w:hAnsi="Times New Roman" w:cs="Times New Roman"/>
          <w:sz w:val="24"/>
          <w:szCs w:val="24"/>
        </w:rPr>
      </w:pPr>
    </w:p>
    <w:p w14:paraId="186439DF" w14:textId="77777777" w:rsidR="00DC1C4E" w:rsidRPr="00DC1C4E" w:rsidRDefault="00DC1C4E" w:rsidP="00DC1C4E">
      <w:pPr>
        <w:spacing w:line="240" w:lineRule="auto"/>
        <w:jc w:val="both"/>
        <w:rPr>
          <w:rFonts w:ascii="Times New Roman" w:eastAsia="Times New Roman" w:hAnsi="Times New Roman" w:cs="Times New Roman"/>
          <w:sz w:val="24"/>
          <w:szCs w:val="24"/>
        </w:rPr>
      </w:pPr>
    </w:p>
    <w:p w14:paraId="580CE339" w14:textId="77777777" w:rsidR="00DC1C4E" w:rsidRPr="00DC1C4E" w:rsidRDefault="00DC1C4E" w:rsidP="00DC1C4E">
      <w:pPr>
        <w:spacing w:line="240" w:lineRule="auto"/>
        <w:jc w:val="both"/>
        <w:rPr>
          <w:rFonts w:ascii="Times New Roman" w:eastAsia="Times New Roman" w:hAnsi="Times New Roman" w:cs="Times New Roman"/>
          <w:sz w:val="24"/>
          <w:szCs w:val="24"/>
        </w:rPr>
      </w:pPr>
    </w:p>
    <w:p w14:paraId="0175D8ED" w14:textId="77777777" w:rsidR="00DC1C4E" w:rsidRPr="00DC1C4E" w:rsidRDefault="00DC1C4E" w:rsidP="00DC1C4E">
      <w:pPr>
        <w:spacing w:line="240" w:lineRule="auto"/>
        <w:jc w:val="both"/>
        <w:rPr>
          <w:rFonts w:ascii="Times New Roman" w:eastAsia="Times New Roman" w:hAnsi="Times New Roman" w:cs="Times New Roman"/>
          <w:sz w:val="24"/>
          <w:szCs w:val="24"/>
        </w:rPr>
      </w:pPr>
    </w:p>
    <w:p w14:paraId="210FC00F" w14:textId="77777777" w:rsidR="00DC1C4E" w:rsidRPr="00DC1C4E" w:rsidRDefault="00DC1C4E" w:rsidP="00DC1C4E">
      <w:pPr>
        <w:spacing w:line="240" w:lineRule="auto"/>
        <w:jc w:val="both"/>
        <w:rPr>
          <w:rFonts w:ascii="Times New Roman" w:eastAsia="Times New Roman" w:hAnsi="Times New Roman" w:cs="Times New Roman"/>
          <w:sz w:val="24"/>
          <w:szCs w:val="24"/>
        </w:rPr>
      </w:pPr>
    </w:p>
    <w:p w14:paraId="7447CF9F" w14:textId="77777777" w:rsidR="00DC1C4E" w:rsidRPr="00DC1C4E" w:rsidRDefault="00DC1C4E" w:rsidP="00DC1C4E">
      <w:pPr>
        <w:spacing w:line="240" w:lineRule="auto"/>
        <w:jc w:val="both"/>
        <w:rPr>
          <w:rFonts w:ascii="Times New Roman" w:eastAsia="Times New Roman" w:hAnsi="Times New Roman" w:cs="Times New Roman"/>
          <w:sz w:val="24"/>
          <w:szCs w:val="24"/>
        </w:rPr>
      </w:pPr>
    </w:p>
    <w:p w14:paraId="01F4F9BE" w14:textId="77777777" w:rsidR="00DC1C4E" w:rsidRPr="00DC1C4E" w:rsidRDefault="00DC1C4E" w:rsidP="00DC1C4E">
      <w:pPr>
        <w:spacing w:line="240" w:lineRule="auto"/>
        <w:jc w:val="both"/>
        <w:rPr>
          <w:rFonts w:ascii="Times New Roman" w:eastAsia="Times New Roman" w:hAnsi="Times New Roman" w:cs="Times New Roman"/>
          <w:sz w:val="24"/>
          <w:szCs w:val="24"/>
        </w:rPr>
      </w:pPr>
    </w:p>
    <w:p w14:paraId="2E1DAA58" w14:textId="77777777" w:rsidR="00DC1C4E" w:rsidRPr="00DC1C4E" w:rsidRDefault="00DC1C4E" w:rsidP="00DC1C4E">
      <w:pPr>
        <w:spacing w:line="240" w:lineRule="auto"/>
        <w:jc w:val="both"/>
        <w:rPr>
          <w:rFonts w:ascii="Times New Roman" w:eastAsia="Times New Roman" w:hAnsi="Times New Roman" w:cs="Times New Roman"/>
          <w:sz w:val="24"/>
          <w:szCs w:val="24"/>
        </w:rPr>
      </w:pPr>
    </w:p>
    <w:p w14:paraId="431CADEA" w14:textId="77777777" w:rsidR="00DC1C4E" w:rsidRPr="00DC1C4E" w:rsidRDefault="00DC1C4E" w:rsidP="00DC1C4E">
      <w:pPr>
        <w:spacing w:line="240" w:lineRule="auto"/>
        <w:jc w:val="both"/>
        <w:rPr>
          <w:rFonts w:ascii="Times New Roman" w:eastAsia="Times New Roman" w:hAnsi="Times New Roman" w:cs="Times New Roman"/>
          <w:sz w:val="24"/>
          <w:szCs w:val="24"/>
        </w:rPr>
      </w:pPr>
    </w:p>
    <w:p w14:paraId="3E48C07A" w14:textId="77777777" w:rsidR="00DC1C4E" w:rsidRPr="00DC1C4E" w:rsidRDefault="00DC1C4E" w:rsidP="00DC1C4E">
      <w:pPr>
        <w:spacing w:line="240" w:lineRule="auto"/>
        <w:jc w:val="both"/>
        <w:rPr>
          <w:rFonts w:ascii="Times New Roman" w:eastAsia="Times New Roman" w:hAnsi="Times New Roman" w:cs="Times New Roman"/>
          <w:sz w:val="24"/>
          <w:szCs w:val="24"/>
        </w:rPr>
      </w:pPr>
    </w:p>
    <w:p w14:paraId="080CD354" w14:textId="77777777" w:rsidR="00DC1C4E" w:rsidRPr="00DC1C4E" w:rsidRDefault="00DC1C4E" w:rsidP="00DC1C4E">
      <w:pPr>
        <w:spacing w:line="240" w:lineRule="auto"/>
        <w:jc w:val="both"/>
        <w:rPr>
          <w:rFonts w:ascii="Times New Roman" w:eastAsia="Times New Roman" w:hAnsi="Times New Roman" w:cs="Times New Roman"/>
          <w:sz w:val="24"/>
          <w:szCs w:val="24"/>
        </w:rPr>
      </w:pPr>
    </w:p>
    <w:p w14:paraId="6F13EA2C" w14:textId="77777777" w:rsidR="00DC1C4E" w:rsidRPr="00DC1C4E" w:rsidRDefault="00DC1C4E" w:rsidP="002D6C04">
      <w:pPr>
        <w:pStyle w:val="NormalWeb"/>
        <w:spacing w:before="0" w:beforeAutospacing="0" w:after="180" w:afterAutospacing="0"/>
        <w:rPr>
          <w:color w:val="000000"/>
        </w:rPr>
      </w:pPr>
    </w:p>
    <w:p w14:paraId="6A0B7DB6" w14:textId="77777777" w:rsidR="001C7774" w:rsidRPr="00DC1C4E" w:rsidRDefault="001C7774" w:rsidP="001C7774">
      <w:pPr>
        <w:pStyle w:val="NormalWeb"/>
        <w:spacing w:before="0" w:beforeAutospacing="0" w:after="180" w:afterAutospacing="0"/>
      </w:pPr>
      <w:r w:rsidRPr="00DC1C4E">
        <w:rPr>
          <w:color w:val="000000"/>
        </w:rPr>
        <w:t>Figure 1.</w:t>
      </w:r>
    </w:p>
    <w:p w14:paraId="55E2A654" w14:textId="77777777" w:rsidR="001C7774" w:rsidRPr="00DC1C4E" w:rsidRDefault="001C7774" w:rsidP="001C7774">
      <w:pPr>
        <w:pStyle w:val="NormalWeb"/>
        <w:spacing w:before="0" w:beforeAutospacing="0" w:after="180" w:afterAutospacing="0"/>
      </w:pPr>
      <w:r w:rsidRPr="00DC1C4E">
        <w:rPr>
          <w:color w:val="000000"/>
        </w:rPr>
        <w:t>Wide elliptical incision and centripetal dissection demonstrating en-bloc separation of skin, subcutaneous fat, fascia, and sac from the parietes.</w:t>
      </w:r>
      <w:r w:rsidR="005746E1" w:rsidRPr="00DC1C4E">
        <w:t xml:space="preserve"> </w:t>
      </w:r>
      <w:r w:rsidRPr="00DC1C4E">
        <w:rPr>
          <w:color w:val="000000"/>
        </w:rPr>
        <w:t>This intraoperative image highlights the hallmark of the centripetal approach—a wide local elliptical incision taken in healthy parietes, progressing inward, with the attenuated anterior abdominal wall tissues being carefully lifted as one composite layer.</w:t>
      </w:r>
    </w:p>
    <w:p w14:paraId="7313BDFA" w14:textId="77777777" w:rsidR="001C7774" w:rsidRPr="00DC1C4E" w:rsidRDefault="0051285F" w:rsidP="001C7774">
      <w:pPr>
        <w:pStyle w:val="NormalWeb"/>
        <w:spacing w:before="0" w:beforeAutospacing="0" w:after="180" w:afterAutospacing="0"/>
      </w:pPr>
      <w:r>
        <w:pict w14:anchorId="31D50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85pt;height:201.75pt">
            <v:imagedata r:id="rId6" o:title="1"/>
          </v:shape>
        </w:pict>
      </w:r>
    </w:p>
    <w:p w14:paraId="576C1B60" w14:textId="77777777" w:rsidR="001C7774" w:rsidRPr="00DC1C4E" w:rsidRDefault="001C7774" w:rsidP="001C7774">
      <w:pPr>
        <w:pStyle w:val="NormalWeb"/>
        <w:spacing w:before="0" w:beforeAutospacing="0" w:after="0" w:afterAutospacing="0"/>
      </w:pPr>
    </w:p>
    <w:p w14:paraId="69631FF1" w14:textId="77777777" w:rsidR="001C7774" w:rsidRPr="00DC1C4E" w:rsidRDefault="001C7774" w:rsidP="001C7774">
      <w:pPr>
        <w:pStyle w:val="NormalWeb"/>
        <w:spacing w:before="0" w:beforeAutospacing="0" w:after="180" w:afterAutospacing="0"/>
      </w:pPr>
    </w:p>
    <w:p w14:paraId="1ACD5A3D" w14:textId="77777777" w:rsidR="001C7774" w:rsidRPr="00DC1C4E" w:rsidRDefault="001C7774" w:rsidP="001C7774">
      <w:pPr>
        <w:pStyle w:val="NormalWeb"/>
        <w:spacing w:before="0" w:beforeAutospacing="0" w:after="180" w:afterAutospacing="0"/>
      </w:pPr>
      <w:r w:rsidRPr="00DC1C4E">
        <w:rPr>
          <w:color w:val="000000"/>
        </w:rPr>
        <w:t>Figure 2.</w:t>
      </w:r>
    </w:p>
    <w:p w14:paraId="530B8909" w14:textId="77777777" w:rsidR="001C7774" w:rsidRPr="00DC1C4E" w:rsidRDefault="001C7774" w:rsidP="001C7774">
      <w:pPr>
        <w:pStyle w:val="NormalWeb"/>
        <w:spacing w:before="0" w:beforeAutospacing="0" w:after="180" w:afterAutospacing="0"/>
      </w:pPr>
      <w:r w:rsidRPr="00DC1C4E">
        <w:rPr>
          <w:color w:val="000000"/>
        </w:rPr>
        <w:t>Multiple discrete hernial defects with visible umbilicus, sac, and omentum after tissue separation.</w:t>
      </w:r>
      <w:r w:rsidR="005746E1" w:rsidRPr="00DC1C4E">
        <w:t xml:space="preserve"> </w:t>
      </w:r>
      <w:r w:rsidRPr="00DC1C4E">
        <w:rPr>
          <w:color w:val="000000"/>
        </w:rPr>
        <w:t>Following en-bloc excision of attenuated tissues, the anatomical extent of the hernia is clearly seen, with punctate and separated fascial defects, hernial sac, and omentum visualized distinctly.</w:t>
      </w:r>
    </w:p>
    <w:p w14:paraId="7C9504EB" w14:textId="77777777" w:rsidR="001C7774" w:rsidRPr="00DC1C4E" w:rsidRDefault="0051285F" w:rsidP="001C7774">
      <w:pPr>
        <w:pStyle w:val="NormalWeb"/>
        <w:spacing w:before="0" w:beforeAutospacing="0" w:after="180" w:afterAutospacing="0"/>
      </w:pPr>
      <w:r>
        <w:pict w14:anchorId="543A4BFE">
          <v:shape id="_x0000_i1026" type="#_x0000_t75" style="width:271.25pt;height:217.65pt">
            <v:imagedata r:id="rId7" o:title="2"/>
          </v:shape>
        </w:pict>
      </w:r>
    </w:p>
    <w:p w14:paraId="7BEAA5BA" w14:textId="77777777" w:rsidR="001C7774" w:rsidRPr="00DC1C4E" w:rsidRDefault="001C7774" w:rsidP="001C7774">
      <w:pPr>
        <w:pStyle w:val="NormalWeb"/>
        <w:spacing w:before="0" w:beforeAutospacing="0" w:after="0" w:afterAutospacing="0"/>
      </w:pPr>
    </w:p>
    <w:p w14:paraId="73E4C23C" w14:textId="77777777" w:rsidR="005746E1" w:rsidRPr="00DC1C4E" w:rsidRDefault="005746E1" w:rsidP="001C7774">
      <w:pPr>
        <w:pStyle w:val="NormalWeb"/>
        <w:spacing w:before="0" w:beforeAutospacing="0" w:after="180" w:afterAutospacing="0"/>
      </w:pPr>
    </w:p>
    <w:p w14:paraId="29FC66C4" w14:textId="77777777" w:rsidR="001C7774" w:rsidRPr="00DC1C4E" w:rsidRDefault="001C7774" w:rsidP="001C7774">
      <w:pPr>
        <w:pStyle w:val="NormalWeb"/>
        <w:spacing w:before="0" w:beforeAutospacing="0" w:after="180" w:afterAutospacing="0"/>
      </w:pPr>
      <w:r w:rsidRPr="00DC1C4E">
        <w:rPr>
          <w:color w:val="000000"/>
        </w:rPr>
        <w:t>Figure 3.</w:t>
      </w:r>
    </w:p>
    <w:p w14:paraId="52FF477E" w14:textId="77777777" w:rsidR="001C7774" w:rsidRPr="00DC1C4E" w:rsidRDefault="001C7774" w:rsidP="001C7774">
      <w:pPr>
        <w:pStyle w:val="NormalWeb"/>
        <w:spacing w:before="0" w:beforeAutospacing="0" w:after="180" w:afterAutospacing="0"/>
      </w:pPr>
      <w:r w:rsidRPr="00DC1C4E">
        <w:rPr>
          <w:color w:val="000000"/>
        </w:rPr>
        <w:t>Final mesh placement following anatomical closure of all defects.</w:t>
      </w:r>
      <w:r w:rsidR="005746E1" w:rsidRPr="00DC1C4E">
        <w:t xml:space="preserve"> </w:t>
      </w:r>
      <w:r w:rsidRPr="00DC1C4E">
        <w:rPr>
          <w:color w:val="000000"/>
        </w:rPr>
        <w:t>A self-adhering ProGrip mesh has been quilted in place, covering the entire repair site with at least 5–10 cm overlap. All defects have been primarily closed before mesh reinforcement.</w:t>
      </w:r>
    </w:p>
    <w:p w14:paraId="266681E5" w14:textId="77777777" w:rsidR="001C7774" w:rsidRPr="00DC1C4E" w:rsidRDefault="0051285F" w:rsidP="001C7774">
      <w:pPr>
        <w:pStyle w:val="NormalWeb"/>
        <w:spacing w:before="0" w:beforeAutospacing="0" w:after="180" w:afterAutospacing="0"/>
      </w:pPr>
      <w:r>
        <w:pict w14:anchorId="5B823F5D">
          <v:shape id="_x0000_i1027" type="#_x0000_t75" style="width:308.1pt;height:203.45pt">
            <v:imagedata r:id="rId8" o:title="3"/>
          </v:shape>
        </w:pict>
      </w:r>
    </w:p>
    <w:p w14:paraId="4591EEDB" w14:textId="77777777" w:rsidR="001C7774" w:rsidRPr="00DC1C4E" w:rsidRDefault="001C7774" w:rsidP="001C7774">
      <w:pPr>
        <w:pStyle w:val="NormalWeb"/>
        <w:spacing w:before="0" w:beforeAutospacing="0" w:after="0" w:afterAutospacing="0"/>
      </w:pPr>
    </w:p>
    <w:p w14:paraId="0A851809" w14:textId="77777777" w:rsidR="001C7774" w:rsidRPr="00DC1C4E" w:rsidRDefault="001C7774" w:rsidP="001C7774">
      <w:pPr>
        <w:pStyle w:val="NormalWeb"/>
        <w:spacing w:before="0" w:beforeAutospacing="0" w:after="180" w:afterAutospacing="0"/>
      </w:pPr>
    </w:p>
    <w:p w14:paraId="2EF7C7E5" w14:textId="77777777" w:rsidR="001C7774" w:rsidRPr="00DC1C4E" w:rsidRDefault="001C7774" w:rsidP="001C7774">
      <w:pPr>
        <w:pStyle w:val="NormalWeb"/>
        <w:spacing w:before="0" w:beforeAutospacing="0" w:after="180" w:afterAutospacing="0"/>
      </w:pPr>
      <w:r w:rsidRPr="00DC1C4E">
        <w:rPr>
          <w:color w:val="000000"/>
        </w:rPr>
        <w:lastRenderedPageBreak/>
        <w:t>Figure 4.</w:t>
      </w:r>
    </w:p>
    <w:p w14:paraId="72BC5FA0" w14:textId="77777777" w:rsidR="001C7774" w:rsidRPr="00DC1C4E" w:rsidRDefault="001C7774" w:rsidP="001C7774">
      <w:pPr>
        <w:pStyle w:val="NormalWeb"/>
        <w:spacing w:before="0" w:beforeAutospacing="0" w:after="180" w:afterAutospacing="0"/>
      </w:pPr>
      <w:r w:rsidRPr="00DC1C4E">
        <w:rPr>
          <w:color w:val="000000"/>
        </w:rPr>
        <w:t>Excised specimen demonstrating attenuated parietal tissues and omentum.</w:t>
      </w:r>
      <w:r w:rsidR="005746E1" w:rsidRPr="00DC1C4E">
        <w:t xml:space="preserve"> </w:t>
      </w:r>
      <w:r w:rsidRPr="00DC1C4E">
        <w:rPr>
          <w:color w:val="000000"/>
        </w:rPr>
        <w:t>This image shows the complete specimen removed en-bloc, including skin, fat, fascial elements, and adherent omentum, alongside a measurement scale to illustrate its size and extent.</w:t>
      </w:r>
    </w:p>
    <w:p w14:paraId="3FAD693F" w14:textId="77777777" w:rsidR="001C7774" w:rsidRPr="00DC1C4E" w:rsidRDefault="0051285F" w:rsidP="002D6C04">
      <w:pPr>
        <w:pStyle w:val="NormalWeb"/>
        <w:spacing w:before="0" w:beforeAutospacing="0" w:after="180" w:afterAutospacing="0"/>
      </w:pPr>
      <w:r>
        <w:pict w14:anchorId="2EC5C8CC">
          <v:shape id="_x0000_i1028" type="#_x0000_t75" style="width:292.2pt;height:285.5pt">
            <v:imagedata r:id="rId9" o:title="4"/>
          </v:shape>
        </w:pict>
      </w:r>
    </w:p>
    <w:p w14:paraId="7AAB73EB" w14:textId="77777777" w:rsidR="005746E1" w:rsidRPr="00DC1C4E" w:rsidRDefault="005746E1" w:rsidP="005746E1">
      <w:pPr>
        <w:pStyle w:val="NormalWeb"/>
        <w:spacing w:before="0" w:beforeAutospacing="0" w:after="180" w:afterAutospacing="0"/>
      </w:pPr>
      <w:r w:rsidRPr="00DC1C4E">
        <w:rPr>
          <w:color w:val="000000"/>
        </w:rPr>
        <w:t>Figure 5.</w:t>
      </w:r>
    </w:p>
    <w:p w14:paraId="1E8AFD01" w14:textId="77777777" w:rsidR="005746E1" w:rsidRPr="00DC1C4E" w:rsidRDefault="005746E1" w:rsidP="002D6C04">
      <w:pPr>
        <w:pStyle w:val="NormalWeb"/>
        <w:spacing w:before="0" w:beforeAutospacing="0" w:after="180" w:afterAutospacing="0"/>
      </w:pPr>
      <w:r w:rsidRPr="00DC1C4E">
        <w:rPr>
          <w:color w:val="000000"/>
        </w:rPr>
        <w:t>Final layered closure of the incision after mesh placement.</w:t>
      </w:r>
      <w:r w:rsidRPr="00DC1C4E">
        <w:t xml:space="preserve"> </w:t>
      </w:r>
      <w:r w:rsidRPr="00DC1C4E">
        <w:rPr>
          <w:color w:val="000000"/>
        </w:rPr>
        <w:t>The surgical site following anatomical repair and mesh reinforcement shows a tension-free, multi-layered closure with approximation of Scarpa’s fascia, subcutaneous tissues, and inverted dermal sutures. The incision demonstrates a clean, well-aligned wound suitable for optimal healing.</w:t>
      </w:r>
    </w:p>
    <w:p w14:paraId="5518C1F0" w14:textId="77777777" w:rsidR="005746E1" w:rsidRPr="00DC1C4E" w:rsidRDefault="005746E1" w:rsidP="002D6C04">
      <w:pPr>
        <w:pStyle w:val="NormalWeb"/>
        <w:spacing w:before="0" w:beforeAutospacing="0" w:after="180" w:afterAutospacing="0"/>
      </w:pPr>
      <w:r w:rsidRPr="00DC1C4E">
        <w:rPr>
          <w:noProof/>
        </w:rPr>
        <w:drawing>
          <wp:inline distT="0" distB="0" distL="0" distR="0" wp14:anchorId="74B5172B" wp14:editId="6246BD63">
            <wp:extent cx="3955312" cy="246473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png"/>
                    <pic:cNvPicPr/>
                  </pic:nvPicPr>
                  <pic:blipFill>
                    <a:blip r:embed="rId10">
                      <a:extLst>
                        <a:ext uri="{28A0092B-C50C-407E-A947-70E740481C1C}">
                          <a14:useLocalDpi xmlns:a14="http://schemas.microsoft.com/office/drawing/2010/main" val="0"/>
                        </a:ext>
                      </a:extLst>
                    </a:blip>
                    <a:stretch>
                      <a:fillRect/>
                    </a:stretch>
                  </pic:blipFill>
                  <pic:spPr>
                    <a:xfrm>
                      <a:off x="0" y="0"/>
                      <a:ext cx="3991914" cy="2487542"/>
                    </a:xfrm>
                    <a:prstGeom prst="rect">
                      <a:avLst/>
                    </a:prstGeom>
                  </pic:spPr>
                </pic:pic>
              </a:graphicData>
            </a:graphic>
          </wp:inline>
        </w:drawing>
      </w:r>
    </w:p>
    <w:sectPr w:rsidR="005746E1" w:rsidRPr="00DC1C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C3DFE"/>
    <w:multiLevelType w:val="multilevel"/>
    <w:tmpl w:val="DE9207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5EEB2E54"/>
    <w:multiLevelType w:val="multilevel"/>
    <w:tmpl w:val="0FE407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72DA7431"/>
    <w:multiLevelType w:val="hybridMultilevel"/>
    <w:tmpl w:val="9CAAAC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7455F15"/>
    <w:multiLevelType w:val="multilevel"/>
    <w:tmpl w:val="E2903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EE32C88"/>
    <w:multiLevelType w:val="multilevel"/>
    <w:tmpl w:val="352AF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982974544">
    <w:abstractNumId w:val="3"/>
  </w:num>
  <w:num w:numId="2" w16cid:durableId="6643625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34351770">
    <w:abstractNumId w:val="4"/>
  </w:num>
  <w:num w:numId="4" w16cid:durableId="721665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684912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FC7"/>
    <w:rsid w:val="001C7774"/>
    <w:rsid w:val="00260604"/>
    <w:rsid w:val="00296F79"/>
    <w:rsid w:val="002D6C04"/>
    <w:rsid w:val="003104E0"/>
    <w:rsid w:val="00400748"/>
    <w:rsid w:val="00413D6D"/>
    <w:rsid w:val="0051285F"/>
    <w:rsid w:val="005746E1"/>
    <w:rsid w:val="00662FC7"/>
    <w:rsid w:val="006A7F69"/>
    <w:rsid w:val="009053AA"/>
    <w:rsid w:val="00A86CE1"/>
    <w:rsid w:val="00D465AA"/>
    <w:rsid w:val="00DC1C4E"/>
    <w:rsid w:val="00E12EE2"/>
    <w:rsid w:val="00F07B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AF3D8"/>
  <w15:chartTrackingRefBased/>
  <w15:docId w15:val="{F4EAD7A7-602C-4185-B5E4-27D2C42D0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62FC7"/>
    <w:pPr>
      <w:spacing w:before="100" w:beforeAutospacing="1" w:after="100" w:afterAutospacing="1" w:line="240" w:lineRule="auto"/>
    </w:pPr>
    <w:rPr>
      <w:rFonts w:ascii="Times New Roman" w:hAnsi="Times New Roman" w:cs="Times New Roman"/>
      <w:sz w:val="24"/>
      <w:szCs w:val="24"/>
      <w:lang w:eastAsia="en-IN"/>
    </w:rPr>
  </w:style>
  <w:style w:type="paragraph" w:customStyle="1" w:styleId="p1">
    <w:name w:val="p1"/>
    <w:basedOn w:val="Normal"/>
    <w:rsid w:val="00662FC7"/>
    <w:pPr>
      <w:spacing w:before="100" w:beforeAutospacing="1" w:after="100" w:afterAutospacing="1" w:line="240" w:lineRule="auto"/>
    </w:pPr>
    <w:rPr>
      <w:rFonts w:ascii="Times New Roman" w:hAnsi="Times New Roman" w:cs="Times New Roman"/>
      <w:sz w:val="24"/>
      <w:szCs w:val="24"/>
      <w:lang w:eastAsia="en-IN"/>
    </w:rPr>
  </w:style>
  <w:style w:type="paragraph" w:customStyle="1" w:styleId="p2">
    <w:name w:val="p2"/>
    <w:basedOn w:val="Normal"/>
    <w:rsid w:val="00662FC7"/>
    <w:pPr>
      <w:spacing w:before="100" w:beforeAutospacing="1" w:after="100" w:afterAutospacing="1" w:line="240" w:lineRule="auto"/>
    </w:pPr>
    <w:rPr>
      <w:rFonts w:ascii="Times New Roman" w:hAnsi="Times New Roman" w:cs="Times New Roman"/>
      <w:sz w:val="24"/>
      <w:szCs w:val="24"/>
      <w:lang w:eastAsia="en-IN"/>
    </w:rPr>
  </w:style>
  <w:style w:type="character" w:styleId="Hyperlink">
    <w:name w:val="Hyperlink"/>
    <w:basedOn w:val="DefaultParagraphFont"/>
    <w:uiPriority w:val="99"/>
    <w:unhideWhenUsed/>
    <w:rsid w:val="00662FC7"/>
    <w:rPr>
      <w:color w:val="0563C1" w:themeColor="hyperlink"/>
      <w:u w:val="single"/>
    </w:rPr>
  </w:style>
  <w:style w:type="paragraph" w:styleId="BalloonText">
    <w:name w:val="Balloon Text"/>
    <w:basedOn w:val="Normal"/>
    <w:link w:val="BalloonTextChar"/>
    <w:uiPriority w:val="99"/>
    <w:semiHidden/>
    <w:unhideWhenUsed/>
    <w:rsid w:val="002D6C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C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665511">
      <w:bodyDiv w:val="1"/>
      <w:marLeft w:val="0"/>
      <w:marRight w:val="0"/>
      <w:marTop w:val="0"/>
      <w:marBottom w:val="0"/>
      <w:divBdr>
        <w:top w:val="none" w:sz="0" w:space="0" w:color="auto"/>
        <w:left w:val="none" w:sz="0" w:space="0" w:color="auto"/>
        <w:bottom w:val="none" w:sz="0" w:space="0" w:color="auto"/>
        <w:right w:val="none" w:sz="0" w:space="0" w:color="auto"/>
      </w:divBdr>
    </w:div>
    <w:div w:id="570237524">
      <w:bodyDiv w:val="1"/>
      <w:marLeft w:val="0"/>
      <w:marRight w:val="0"/>
      <w:marTop w:val="0"/>
      <w:marBottom w:val="0"/>
      <w:divBdr>
        <w:top w:val="none" w:sz="0" w:space="0" w:color="auto"/>
        <w:left w:val="none" w:sz="0" w:space="0" w:color="auto"/>
        <w:bottom w:val="none" w:sz="0" w:space="0" w:color="auto"/>
        <w:right w:val="none" w:sz="0" w:space="0" w:color="auto"/>
      </w:divBdr>
    </w:div>
    <w:div w:id="914625670">
      <w:bodyDiv w:val="1"/>
      <w:marLeft w:val="0"/>
      <w:marRight w:val="0"/>
      <w:marTop w:val="0"/>
      <w:marBottom w:val="0"/>
      <w:divBdr>
        <w:top w:val="none" w:sz="0" w:space="0" w:color="auto"/>
        <w:left w:val="none" w:sz="0" w:space="0" w:color="auto"/>
        <w:bottom w:val="none" w:sz="0" w:space="0" w:color="auto"/>
        <w:right w:val="none" w:sz="0" w:space="0" w:color="auto"/>
      </w:divBdr>
    </w:div>
    <w:div w:id="1015156816">
      <w:bodyDiv w:val="1"/>
      <w:marLeft w:val="0"/>
      <w:marRight w:val="0"/>
      <w:marTop w:val="0"/>
      <w:marBottom w:val="0"/>
      <w:divBdr>
        <w:top w:val="none" w:sz="0" w:space="0" w:color="auto"/>
        <w:left w:val="none" w:sz="0" w:space="0" w:color="auto"/>
        <w:bottom w:val="none" w:sz="0" w:space="0" w:color="auto"/>
        <w:right w:val="none" w:sz="0" w:space="0" w:color="auto"/>
      </w:divBdr>
    </w:div>
    <w:div w:id="1190872083">
      <w:bodyDiv w:val="1"/>
      <w:marLeft w:val="0"/>
      <w:marRight w:val="0"/>
      <w:marTop w:val="0"/>
      <w:marBottom w:val="0"/>
      <w:divBdr>
        <w:top w:val="none" w:sz="0" w:space="0" w:color="auto"/>
        <w:left w:val="none" w:sz="0" w:space="0" w:color="auto"/>
        <w:bottom w:val="none" w:sz="0" w:space="0" w:color="auto"/>
        <w:right w:val="none" w:sz="0" w:space="0" w:color="auto"/>
      </w:divBdr>
    </w:div>
    <w:div w:id="141226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48698-D159-4B3D-A5BF-E0F93A3CC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12</Pages>
  <Words>1575</Words>
  <Characters>8980</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Rajnish Talwar</dc:creator>
  <cp:keywords/>
  <dc:description/>
  <cp:lastModifiedBy>Editor GP 005</cp:lastModifiedBy>
  <cp:revision>13</cp:revision>
  <cp:lastPrinted>2025-05-03T08:25:00Z</cp:lastPrinted>
  <dcterms:created xsi:type="dcterms:W3CDTF">2025-04-05T04:20:00Z</dcterms:created>
  <dcterms:modified xsi:type="dcterms:W3CDTF">2025-05-05T07:55:00Z</dcterms:modified>
</cp:coreProperties>
</file>