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2899" w14:textId="4748726A" w:rsidR="00775813" w:rsidRPr="007E6254" w:rsidRDefault="00624B56" w:rsidP="007E62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Extended-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spectrum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beta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-lactamase-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producing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7E6254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Escherichia coli</w:t>
      </w:r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meningoencephalitis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in an 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adult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: </w:t>
      </w:r>
      <w:proofErr w:type="spellStart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proofErr w:type="spellEnd"/>
      <w:r w:rsidRPr="007E62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case report</w:t>
      </w:r>
    </w:p>
    <w:p w14:paraId="559CB5EB" w14:textId="77777777" w:rsidR="00775813" w:rsidRPr="007E6254" w:rsidRDefault="00775813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F891" w14:textId="77986566" w:rsidR="00CC180D" w:rsidRPr="007E6254" w:rsidRDefault="00226ECC" w:rsidP="00A041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</w:t>
      </w:r>
    </w:p>
    <w:p w14:paraId="5092CBB9" w14:textId="2A9E69F4" w:rsidR="00A041C1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Extended-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betalactamase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(ESBL)-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rare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high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complicated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septic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report the case of a 28-year-old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intensive care unit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febrile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coma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meningeal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signs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cultures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cerebrospinal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cultures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ESBL-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resuscitation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broad-spectrum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This case highlights the diagnostic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challenges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 infection, as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documentation.</w:t>
      </w:r>
    </w:p>
    <w:p w14:paraId="4256C947" w14:textId="1A5375C8" w:rsidR="00863C99" w:rsidRPr="007E6254" w:rsidRDefault="005B095D" w:rsidP="00A041C1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E6254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, ESBL,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resistance</w:t>
      </w:r>
      <w:proofErr w:type="spellEnd"/>
    </w:p>
    <w:p w14:paraId="0EDA3FB8" w14:textId="65CB22F3" w:rsidR="00A041C1" w:rsidRPr="007E6254" w:rsidRDefault="00A041C1" w:rsidP="00A041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8AB74" w14:textId="10A65F8E" w:rsidR="00A041C1" w:rsidRPr="007E6254" w:rsidRDefault="00A041C1" w:rsidP="00A041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C78F7" w14:textId="77777777" w:rsidR="00A041C1" w:rsidRPr="007E6254" w:rsidRDefault="00A041C1" w:rsidP="00A041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4231C" w14:textId="450052E0" w:rsidR="00780574" w:rsidRPr="007E6254" w:rsidRDefault="00226ECC" w:rsidP="00A041C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4A038CEF" w14:textId="6E72B3B6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process of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meningeal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[1,2],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infectious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major public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[3]. The incidence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countries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2.5 and 10 per 100,000 population,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10 times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countries [4].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suspected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clinically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cerebrospinal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(CSF)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lumbar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puncture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cerebral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tomography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the CSF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vital importance, as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enable the causative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germ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Viral causes are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causes are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[5]. There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group :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neonatal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group B Streptococcus,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Listeria monocytogenes</w:t>
      </w:r>
      <w:r w:rsidRPr="007E6254">
        <w:rPr>
          <w:rFonts w:ascii="Times New Roman" w:hAnsi="Times New Roman" w:cs="Times New Roman"/>
          <w:sz w:val="24"/>
          <w:szCs w:val="24"/>
        </w:rPr>
        <w:t xml:space="preserve"> ; in infants,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Neisseria meningitidis</w:t>
      </w:r>
      <w:r w:rsidRPr="007E6254">
        <w:rPr>
          <w:rFonts w:ascii="Times New Roman" w:hAnsi="Times New Roman" w:cs="Times New Roman"/>
          <w:sz w:val="24"/>
          <w:szCs w:val="24"/>
        </w:rPr>
        <w:t xml:space="preserve"> and Streptococcus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more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Haemophilus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influenzae</w:t>
      </w:r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Neisseria meningitidis</w:t>
      </w:r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;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germ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7E6254">
        <w:rPr>
          <w:rFonts w:ascii="Times New Roman" w:hAnsi="Times New Roman" w:cs="Times New Roman"/>
          <w:i/>
          <w:iCs/>
          <w:sz w:val="24"/>
          <w:szCs w:val="24"/>
        </w:rPr>
        <w:t>pneumoniae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[5]. Gram-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rare causes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0.7% and 8.7% of cases [6,7].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36% and 50% of cases of</w:t>
      </w:r>
      <w:r w:rsidR="00FC7C2E"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>Gram-</w:t>
      </w:r>
      <w:proofErr w:type="spellStart"/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>negative</w:t>
      </w:r>
      <w:proofErr w:type="spellEnd"/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>bacteria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neurosurgical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[1].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gram-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41.9% of cases, or 3% of all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[7,8].</w:t>
      </w:r>
    </w:p>
    <w:p w14:paraId="032BEF0E" w14:textId="43DF7488" w:rsidR="00780574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prognostic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pathogen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[2,3]. Extended-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betalactamase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(ESBL)-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BGN pose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challenge, as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hydrolyse the 3rd-generation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72BC8" w:rsidRPr="007E6254">
        <w:rPr>
          <w:rFonts w:ascii="Times New Roman" w:hAnsi="Times New Roman" w:cs="Times New Roman"/>
          <w:sz w:val="24"/>
          <w:szCs w:val="24"/>
          <w:highlight w:val="yellow"/>
        </w:rPr>
        <w:t>empirical</w:t>
      </w:r>
      <w:proofErr w:type="spellEnd"/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treatment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case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ESBL-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diagnostic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challenges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posed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infections.</w:t>
      </w:r>
    </w:p>
    <w:p w14:paraId="6EBC8F67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09513" w14:textId="6D2A5ED5" w:rsidR="00A25E54" w:rsidRPr="007E6254" w:rsidRDefault="00226ECC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 DESCRIPTION</w:t>
      </w:r>
    </w:p>
    <w:p w14:paraId="6024F29A" w14:textId="66D57B96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28-year-old patient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history</w:t>
      </w:r>
      <w:proofErr w:type="spellEnd"/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postpartum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haemorrhage</w:t>
      </w:r>
      <w:proofErr w:type="spellEnd"/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two</w:t>
      </w:r>
      <w:proofErr w:type="spellEnd"/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months</w:t>
      </w:r>
      <w:proofErr w:type="spellEnd"/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ago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emergency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Yalgado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Hospital Center (CHU-YO)</w:t>
      </w:r>
      <w:r w:rsidR="00FC7C2E"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="00FC7C2E" w:rsidRPr="007E6254">
        <w:rPr>
          <w:rFonts w:ascii="Times New Roman" w:hAnsi="Times New Roman" w:cs="Times New Roman"/>
          <w:sz w:val="24"/>
          <w:szCs w:val="24"/>
          <w:highlight w:val="yellow"/>
        </w:rPr>
        <w:t>in Ouagadougou, Burkina Faso</w:t>
      </w:r>
      <w:r w:rsidRPr="007E625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febrile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history-taking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symptomatology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been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evolving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onset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a productive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cough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vomiting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of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hyperthermia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 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the patient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unconscious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Glasgow score of 13,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39°C5, pale skin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mucous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membranes,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crackles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and a stable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haemodynamic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state. The initial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-up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8.1 g/dl, white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10830/mm3,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platelets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605000/mm3,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hypokalaemia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3.2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/L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hypocalcaemia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1.54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/L,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uraemia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18.1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/L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creatinine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1315µmol/L.</w:t>
      </w:r>
    </w:p>
    <w:p w14:paraId="047BEF2A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The diagnostic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hypothesis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acute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pneumonia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complicated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by probable acute 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amoxicillin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clavulanic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1.2 g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sessions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haemodialysis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hyperhydration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correction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state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deteriorated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plateaued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intensive care.</w:t>
      </w:r>
    </w:p>
    <w:p w14:paraId="2192E358" w14:textId="7BA39711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intensive care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Glasgow score of 9 (E2V2M5),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normoreactive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neck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stiffness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kernig's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localisation.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saturation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99% at 4 L/min,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bilateral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basal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pulmonary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condensation syndrome.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sepsis,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fever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39°C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haemodynamic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stable.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-up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severe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(6.3 g/dl),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hyperleukocytosis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(30955/mm3,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neutrophilic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(25070/mm3)),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platelets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(425000/mm3),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hypokalaemia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(2.9/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/L)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corrected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calcium (2.02/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/L).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Creatinine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uraemia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glucose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2017µmol/L, 48mmol/L and 6.1mmol/L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Lumbar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puncture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yielded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cloudy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CSF,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hyperproteinorachia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(0.55),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hypoglycorachia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(2.74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glucose),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leukocytosis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(220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/mm3, 90%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neutrophils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). Direct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the CSF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gram-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bacilli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>computed</w:t>
      </w:r>
      <w:proofErr w:type="spellEnd"/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>tomography</w:t>
      </w:r>
      <w:proofErr w:type="spellEnd"/>
      <w:r w:rsidR="00323C81"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(CT) </w:t>
      </w:r>
      <w:r w:rsidRPr="007E6254">
        <w:rPr>
          <w:rFonts w:ascii="Times New Roman" w:hAnsi="Times New Roman" w:cs="Times New Roman"/>
          <w:sz w:val="24"/>
          <w:szCs w:val="24"/>
          <w:highlight w:val="yellow"/>
        </w:rPr>
        <w:t>scan</w:t>
      </w:r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of the </w:t>
      </w:r>
      <w:proofErr w:type="spellStart"/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>brain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="004B0FB6" w:rsidRPr="007E6254">
        <w:rPr>
          <w:rFonts w:ascii="Times New Roman" w:hAnsi="Times New Roman" w:cs="Times New Roman"/>
          <w:sz w:val="24"/>
          <w:szCs w:val="24"/>
          <w:highlight w:val="yellow"/>
        </w:rPr>
        <w:t>normal</w:t>
      </w:r>
      <w:r w:rsidRPr="007E6254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culture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1B286C94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An acute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due to probable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tubular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necrosis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postulated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initiated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Cefepime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2g/12H,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2g single dose,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dexamethasone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10mg/6h, anticoagulation, a transfusion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packed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(PRBC),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haemodialysis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symptomatic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DA39C9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Progress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stable.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the CSF culture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of ESBL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phenotype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6 of hospitalisation in the intensive care unit (Table I).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culture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germ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phenotype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66E7D3EC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Cefepime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switched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Meropenem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2g/8H.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septic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coma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Glasgow score of 5.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sedated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intubated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put on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ventilation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noradrenaline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66B9E0F8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10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admission to intensive care due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septic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41088AE6" w14:textId="415A2958" w:rsidR="004B0FB6" w:rsidRDefault="004B0FB6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FC4C" w14:textId="77777777" w:rsidR="007E6254" w:rsidRPr="007E6254" w:rsidRDefault="007E6254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B5F4E" w14:textId="357F80AE" w:rsidR="008039FB" w:rsidRPr="007E6254" w:rsidRDefault="00226ECC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</w:t>
      </w:r>
    </w:p>
    <w:p w14:paraId="6EAA7A12" w14:textId="77777777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nosocomial,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post-traumatic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or post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neurosurgical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patients [9-11,12].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community-acquired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haematogenous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dissemination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distant portal of entry.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sites of infection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tract infections, digestive tract infections,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pulmonary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infections,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septic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arthritis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otitis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media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peritonitis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[7,9,10,13].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case,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pulmonary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source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ruled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not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obvious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A nosocomial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etiology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probable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dialysis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catheter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D19ED11" w14:textId="743D819C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analyses of cases of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favouring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cirrhosis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alcoholism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HIV infection 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causes of immunosuppression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as cancer and long-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corticosteroid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[9,10].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unrecognised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failure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factor. Our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patient's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C81" w:rsidRPr="007E6254">
        <w:rPr>
          <w:rFonts w:ascii="Times New Roman" w:hAnsi="Times New Roman" w:cs="Times New Roman"/>
          <w:sz w:val="24"/>
          <w:szCs w:val="24"/>
          <w:highlight w:val="yellow"/>
        </w:rPr>
        <w:t>severe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on admission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testifies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the importance of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bacteremia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patient's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medication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prognostic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factor.</w:t>
      </w:r>
    </w:p>
    <w:p w14:paraId="06A867A4" w14:textId="7D6FF4E9" w:rsidR="005B095D" w:rsidRPr="007E6254" w:rsidRDefault="00AF191E" w:rsidP="005B09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Empirical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  <w:highlight w:val="yellow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Pr="007E6254">
        <w:rPr>
          <w:rFonts w:ascii="Times New Roman" w:hAnsi="Times New Roman" w:cs="Times New Roman"/>
          <w:sz w:val="24"/>
          <w:szCs w:val="24"/>
          <w:highlight w:val="yellow"/>
        </w:rPr>
        <w:t>reatment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abused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in centres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do not have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bacteriological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tests,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delayed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patient.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on admission to the intensive care unit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inappropriate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>, in the case of ESBL-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germs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instituting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[2]. The ESBL </w:t>
      </w:r>
      <w:proofErr w:type="spellStart"/>
      <w:r w:rsidR="004B0FB6" w:rsidRPr="007E6254">
        <w:rPr>
          <w:rFonts w:ascii="Times New Roman" w:hAnsi="Times New Roman" w:cs="Times New Roman"/>
          <w:sz w:val="24"/>
          <w:szCs w:val="24"/>
          <w:highlight w:val="yellow"/>
        </w:rPr>
        <w:t>character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limits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of the 3rd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as first-line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as the 4th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cephalosporins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case.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Carbapenems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meropenem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situation due to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of convulsion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imipenem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[4,5]. This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as possible to optimise patient management. Rapid ESBL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tests can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to minimise the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time for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95D" w:rsidRPr="007E6254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="005B095D" w:rsidRPr="007E6254">
        <w:rPr>
          <w:rFonts w:ascii="Times New Roman" w:hAnsi="Times New Roman" w:cs="Times New Roman"/>
          <w:sz w:val="24"/>
          <w:szCs w:val="24"/>
        </w:rPr>
        <w:t>.</w:t>
      </w:r>
    </w:p>
    <w:p w14:paraId="6E9111CA" w14:textId="3D041134" w:rsidR="005B095D" w:rsidRPr="007E6254" w:rsidRDefault="005B095D" w:rsidP="00F47BB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rate in Gram-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ranges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25% to 100%,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38% of cases of ESBL-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producing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[2,6]. The rate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neurological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sequelae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survivors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30-50% [7-9]. Risk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hypotension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seizures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[7,14].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maximum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justifying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ESBL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carbapenems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7E9B1584" w14:textId="77777777" w:rsidR="005B095D" w:rsidRPr="007E6254" w:rsidRDefault="005B095D" w:rsidP="007268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7C302BB" w14:textId="03F87AF1" w:rsidR="007268C4" w:rsidRPr="007E6254" w:rsidRDefault="007268C4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5FD176A" w14:textId="5F42124A" w:rsidR="005B095D" w:rsidRPr="007E6254" w:rsidRDefault="005B095D" w:rsidP="005B095D">
      <w:p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This case highlights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</w:t>
      </w:r>
      <w:r w:rsidRPr="007E6254">
        <w:rPr>
          <w:rFonts w:ascii="Times New Roman" w:hAnsi="Times New Roman" w:cs="Times New Roman"/>
          <w:i/>
          <w:iCs/>
          <w:sz w:val="24"/>
          <w:szCs w:val="24"/>
        </w:rPr>
        <w:t>E. coli</w:t>
      </w:r>
      <w:r w:rsidRPr="007E6254">
        <w:rPr>
          <w:rFonts w:ascii="Times New Roman" w:hAnsi="Times New Roman" w:cs="Times New Roman"/>
          <w:sz w:val="24"/>
          <w:szCs w:val="24"/>
        </w:rPr>
        <w:t xml:space="preserve"> ESBL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the importance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. This </w:t>
      </w:r>
      <w:r w:rsidR="004B0FB6" w:rsidRPr="007E6254">
        <w:rPr>
          <w:rFonts w:ascii="Times New Roman" w:hAnsi="Times New Roman" w:cs="Times New Roman"/>
          <w:sz w:val="24"/>
          <w:szCs w:val="24"/>
          <w:highlight w:val="yellow"/>
        </w:rPr>
        <w:t xml:space="preserve">type of </w:t>
      </w:r>
      <w:proofErr w:type="spellStart"/>
      <w:r w:rsidRPr="007E6254">
        <w:rPr>
          <w:rFonts w:ascii="Times New Roman" w:hAnsi="Times New Roman" w:cs="Times New Roman"/>
          <w:sz w:val="24"/>
          <w:szCs w:val="24"/>
          <w:highlight w:val="yellow"/>
        </w:rPr>
        <w:t>germ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rarely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acute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meningoencephalitis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outcome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fatal. It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important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bear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dealing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patient at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are essential to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chances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of permanent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sequelae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patients.</w:t>
      </w:r>
    </w:p>
    <w:p w14:paraId="60B6F0F9" w14:textId="77777777" w:rsidR="005B095D" w:rsidRPr="007E6254" w:rsidRDefault="005B095D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254B9" w14:textId="77777777" w:rsidR="007E6254" w:rsidRDefault="007E6254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DBB0F" w14:textId="4A0BB598" w:rsidR="007268C4" w:rsidRPr="007E6254" w:rsidRDefault="000932AA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CONSENT AND ETHICAL APPROVAL</w:t>
      </w:r>
    </w:p>
    <w:p w14:paraId="4B0DC966" w14:textId="30153E52" w:rsidR="000932AA" w:rsidRPr="007E6254" w:rsidRDefault="006F0805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consent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patient's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parents for publication of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case report.</w:t>
      </w:r>
    </w:p>
    <w:p w14:paraId="2FB48B95" w14:textId="77777777" w:rsidR="00B43579" w:rsidRPr="007E6254" w:rsidRDefault="00B43579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FA2AF" w14:textId="77777777" w:rsidR="00B43579" w:rsidRPr="007E6254" w:rsidRDefault="00B43579" w:rsidP="00B435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t xml:space="preserve">COMPETING INTERESTS </w:t>
      </w:r>
      <w:proofErr w:type="gramStart"/>
      <w:r w:rsidRPr="007E6254">
        <w:rPr>
          <w:rFonts w:ascii="Times New Roman" w:hAnsi="Times New Roman" w:cs="Times New Roman"/>
          <w:b/>
          <w:bCs/>
          <w:sz w:val="24"/>
          <w:szCs w:val="24"/>
        </w:rPr>
        <w:t>DISCLAIMER:</w:t>
      </w:r>
      <w:proofErr w:type="gramEnd"/>
    </w:p>
    <w:p w14:paraId="4010E8FE" w14:textId="77777777" w:rsidR="00B43579" w:rsidRPr="007E6254" w:rsidRDefault="00B43579" w:rsidP="00B43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have no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OR non-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appeared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to influence the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254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63C734CF" w14:textId="77777777" w:rsidR="00B43579" w:rsidRPr="007E6254" w:rsidRDefault="00B43579" w:rsidP="00B435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77820" w14:textId="6DEDAB8A" w:rsidR="00D0495B" w:rsidRPr="007E6254" w:rsidRDefault="00F664D1" w:rsidP="00D0495B">
      <w:pP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en-US"/>
        </w:rPr>
      </w:pPr>
      <w:bookmarkStart w:id="0" w:name="_Hlk193540946"/>
      <w:bookmarkStart w:id="1" w:name="_Hlk180402183"/>
      <w:bookmarkStart w:id="2" w:name="_Hlk183680988"/>
      <w:r w:rsidRPr="007E6254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en-US"/>
        </w:rPr>
        <w:t>DISCLAIMER (ARTIFICIAL INTELLIGENCE)</w:t>
      </w:r>
    </w:p>
    <w:p w14:paraId="2152B6EF" w14:textId="61C145EC" w:rsidR="00B43579" w:rsidRPr="007E6254" w:rsidRDefault="00D0495B" w:rsidP="00F664D1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254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Author(s) hereby declare that NO generative AI technologies such as Large Language Models (</w:t>
      </w:r>
      <w:proofErr w:type="spellStart"/>
      <w:r w:rsidRPr="007E6254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ChatGPT</w:t>
      </w:r>
      <w:proofErr w:type="spellEnd"/>
      <w:r w:rsidRPr="007E6254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, COPILOT, etc.) and text-to-image generators have been used during the writing or editing of this manuscript</w:t>
      </w:r>
      <w:r w:rsidRPr="007E62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bookmarkEnd w:id="0"/>
      <w:bookmarkEnd w:id="1"/>
      <w:bookmarkEnd w:id="2"/>
    </w:p>
    <w:p w14:paraId="329D1A05" w14:textId="185494E7" w:rsidR="000932AA" w:rsidRPr="007E6254" w:rsidRDefault="000932AA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2979" w14:textId="7C00F2B3" w:rsidR="00F47BBD" w:rsidRPr="007E6254" w:rsidRDefault="00F47BBD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BC506" w14:textId="1F57696C" w:rsidR="00F47BBD" w:rsidRPr="007E6254" w:rsidRDefault="00F47BBD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21A2" w14:textId="3D3B360B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516F2" w14:textId="299DF850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E9F5" w14:textId="775B2E1F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55E77" w14:textId="6905B0CD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CA3CF" w14:textId="6F04FCC9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29AE4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9C555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AF0FF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BB20D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8845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79B8" w14:textId="77777777" w:rsidR="00F664D1" w:rsidRPr="007E6254" w:rsidRDefault="00F664D1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8E77C" w14:textId="0CE6D76F" w:rsidR="007268C4" w:rsidRPr="007E6254" w:rsidRDefault="007268C4" w:rsidP="007268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2F69CC1" w14:textId="01174F9D" w:rsidR="0030468F" w:rsidRPr="007E6254" w:rsidRDefault="007268C4" w:rsidP="003046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fldChar w:fldCharType="begin"/>
      </w:r>
      <w:r w:rsidRPr="007E6254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7E6254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9E87DF0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>Pilly étudiant 2023, maladies infectieuses et tropicales ; 2è édition ; version 2024</w:t>
      </w:r>
    </w:p>
    <w:p w14:paraId="67345AB1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Brouwer MC, Tunkel AR, Van de Beek. Epidemiology, Diagnosis, and Antimicrobial Treatment of acute Bacterial Meningitis. </w:t>
      </w:r>
      <w:r w:rsidRPr="007E6254">
        <w:rPr>
          <w:rFonts w:ascii="Times New Roman" w:hAnsi="Times New Roman" w:cs="Times New Roman"/>
          <w:sz w:val="24"/>
          <w:szCs w:val="24"/>
        </w:rPr>
        <w:t>Clinical microbiology review 2010 ; 467-492</w:t>
      </w:r>
    </w:p>
    <w:p w14:paraId="5E8837E7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>Loua OO, Konaté I, Cissoko Y, Sow MS. Méningo-encéphalite à entérobactérie multirésistante dans la zone guinéo-malienne. La revue de la société francophone de médecine tropicale et santé internationale ; vol 4 N°3 (2024) ; sept 2024</w:t>
      </w:r>
    </w:p>
    <w:p w14:paraId="2AD57F92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Martijn W, Diederik B, Lodewijk S, Johannes B. Clinical features, complications and outcome in adults with pneumococcal </w:t>
      </w:r>
      <w:proofErr w:type="gramStart"/>
      <w:r w:rsidRPr="007E6254">
        <w:rPr>
          <w:rFonts w:ascii="Times New Roman" w:hAnsi="Times New Roman" w:cs="Times New Roman"/>
          <w:sz w:val="24"/>
          <w:szCs w:val="24"/>
          <w:lang w:val="en-US"/>
        </w:rPr>
        <w:t>meningitis :</w:t>
      </w:r>
      <w:proofErr w:type="gramEnd"/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 A prospective case series. </w:t>
      </w:r>
      <w:r w:rsidRPr="007E6254">
        <w:rPr>
          <w:rFonts w:ascii="Times New Roman" w:hAnsi="Times New Roman" w:cs="Times New Roman"/>
          <w:sz w:val="24"/>
          <w:szCs w:val="24"/>
        </w:rPr>
        <w:t>Lancet Neurol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2006;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 5:123-29</w:t>
      </w:r>
    </w:p>
    <w:p w14:paraId="5B8BD808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Parikh V, Tucci V, Galwankar S. Infections of the nervous system. International Journal of Critical Illness and Injury </w:t>
      </w:r>
      <w:proofErr w:type="gramStart"/>
      <w:r w:rsidRPr="007E6254">
        <w:rPr>
          <w:rFonts w:ascii="Times New Roman" w:hAnsi="Times New Roman" w:cs="Times New Roman"/>
          <w:sz w:val="24"/>
          <w:szCs w:val="24"/>
          <w:lang w:val="en-US"/>
        </w:rPr>
        <w:t>Science ;</w:t>
      </w:r>
      <w:proofErr w:type="gramEnd"/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 Vol. 2 Issue 2 ; May-Aug 2012</w:t>
      </w:r>
    </w:p>
    <w:p w14:paraId="1EEB9C80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Van de Beek D, de Gans J, Spanjaard L, Weisfelt M, Reitsma JB, Vermeulen M. Clinical features and prognostic factors in adults with bacterial meningitis. </w:t>
      </w:r>
      <w:r w:rsidRPr="007E6254">
        <w:rPr>
          <w:rFonts w:ascii="Times New Roman" w:hAnsi="Times New Roman" w:cs="Times New Roman"/>
          <w:sz w:val="24"/>
          <w:szCs w:val="24"/>
        </w:rPr>
        <w:t xml:space="preserve">N Engl J Med.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2004;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351:1849–59</w:t>
      </w:r>
    </w:p>
    <w:p w14:paraId="4FDF9C10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Pomar V, Benito N, López-Contrera J, Coll P, Gurguí M, Domingo P. Spontaneous gram-negative bacillary meningitis in adult patients: characteristics and outcome. </w:t>
      </w:r>
      <w:r w:rsidRPr="007E6254">
        <w:rPr>
          <w:rFonts w:ascii="Times New Roman" w:hAnsi="Times New Roman" w:cs="Times New Roman"/>
          <w:sz w:val="24"/>
          <w:szCs w:val="24"/>
        </w:rPr>
        <w:t xml:space="preserve">Infect Dis.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13:451.</w:t>
      </w:r>
    </w:p>
    <w:p w14:paraId="5072E92E" w14:textId="62843156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Kohlmann R, Nefedev A, Kaase M, Gatermann SG. Community-acquired adult Escherichia coli meningitis leading to diagnosis of unrecognized retropharyngeal abscess and cervical spondylodiscitis: a case report. </w:t>
      </w:r>
      <w:r w:rsidRPr="007E6254">
        <w:rPr>
          <w:rFonts w:ascii="Times New Roman" w:hAnsi="Times New Roman" w:cs="Times New Roman"/>
          <w:sz w:val="24"/>
          <w:szCs w:val="24"/>
        </w:rPr>
        <w:t xml:space="preserve">BMC Infect Dis. 2015 ;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15: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567. </w:t>
      </w:r>
      <w:hyperlink r:id="rId7" w:history="1">
        <w:r w:rsidRPr="007E6254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https://doi.org/10.1186/s12879-015-1310-4</w:t>
        </w:r>
      </w:hyperlink>
    </w:p>
    <w:p w14:paraId="63685B9B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Bichon A, Aubry C, Dubourg G, Drouet H, Lagier JC, Raoult D, Parola P. Escherichia coli spontaneous community-acquired meningitis in adults: a case report and literature review. </w:t>
      </w:r>
      <w:r w:rsidRPr="007E6254">
        <w:rPr>
          <w:rFonts w:ascii="Times New Roman" w:hAnsi="Times New Roman" w:cs="Times New Roman"/>
          <w:sz w:val="24"/>
          <w:szCs w:val="24"/>
        </w:rPr>
        <w:t xml:space="preserve">Int J Infect Dis.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2018;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67:70–4</w:t>
      </w:r>
    </w:p>
    <w:p w14:paraId="358F379B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Bodilsen J, Brouwer MC, Kjaergaard N, Sirks MJ, van der Ende A, Nielsen E, van de Beek D, DASGIB Study Group. Community-acquired meningitis in adults caused by Escherichia coli in Denmark and the Netherlands. </w:t>
      </w:r>
      <w:r w:rsidRPr="007E6254">
        <w:rPr>
          <w:rFonts w:ascii="Times New Roman" w:hAnsi="Times New Roman" w:cs="Times New Roman"/>
          <w:sz w:val="24"/>
          <w:szCs w:val="24"/>
        </w:rPr>
        <w:t>J Infect. 2018 ; 77(1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25–9. </w:t>
      </w:r>
      <w:hyperlink r:id="rId8" w:history="1">
        <w:r w:rsidRPr="007E6254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https://doi.org/10.1016/j.jinf.2018.05.009</w:t>
        </w:r>
      </w:hyperlink>
      <w:r w:rsidRPr="007E6254">
        <w:rPr>
          <w:rFonts w:ascii="Times New Roman" w:hAnsi="Times New Roman" w:cs="Times New Roman"/>
          <w:sz w:val="24"/>
          <w:szCs w:val="24"/>
        </w:rPr>
        <w:t>.</w:t>
      </w:r>
    </w:p>
    <w:p w14:paraId="5254F72B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Kohlmann R, Nefedev A, Kaase M, Gatermann SG. Community-acquired adult Escherichiacoli meningitis leading to diagnosis of unrecognized retropharyngeal abscess and cervical spondylodiscitis: a case report. </w:t>
      </w:r>
      <w:r w:rsidRPr="007E6254">
        <w:rPr>
          <w:rFonts w:ascii="Times New Roman" w:hAnsi="Times New Roman" w:cs="Times New Roman"/>
          <w:sz w:val="24"/>
          <w:szCs w:val="24"/>
        </w:rPr>
        <w:t xml:space="preserve">BMC Infect Dis.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2015;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 xml:space="preserve">15:567. </w:t>
      </w:r>
      <w:hyperlink r:id="rId9" w:history="1">
        <w:r w:rsidRPr="007E6254">
          <w:rPr>
            <w:rStyle w:val="Lienhypertexte"/>
            <w:rFonts w:ascii="Times New Roman" w:hAnsi="Times New Roman" w:cs="Times New Roman"/>
            <w:sz w:val="24"/>
            <w:szCs w:val="24"/>
          </w:rPr>
          <w:t>https://doi.org/10.1186/s12879-015-1310-4</w:t>
        </w:r>
      </w:hyperlink>
    </w:p>
    <w:p w14:paraId="209B1FDD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Kasimahanti R, Satish SK, Anand M. Community-acquired Escherichia coli meningitis with ventriculitis in an adult—a rare case report. </w:t>
      </w:r>
      <w:r w:rsidRPr="007E6254">
        <w:rPr>
          <w:rFonts w:ascii="Times New Roman" w:hAnsi="Times New Roman" w:cs="Times New Roman"/>
          <w:sz w:val="24"/>
          <w:szCs w:val="24"/>
        </w:rPr>
        <w:t xml:space="preserve">J Intensive Care.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2018;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24(6):63</w:t>
      </w:r>
    </w:p>
    <w:p w14:paraId="7A2222B2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Tosa M, Aihara M, Murakami J. Extended-spectrum beta-lactamase-producing Escherichia coli meningitis that developed from otitis media with cholesteatoma. </w:t>
      </w:r>
      <w:r w:rsidRPr="007E6254">
        <w:rPr>
          <w:rFonts w:ascii="Times New Roman" w:hAnsi="Times New Roman" w:cs="Times New Roman"/>
          <w:sz w:val="24"/>
          <w:szCs w:val="24"/>
        </w:rPr>
        <w:t xml:space="preserve">Intern Med.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2018;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57(21):3199–204</w:t>
      </w:r>
    </w:p>
    <w:p w14:paraId="0A99F676" w14:textId="77777777" w:rsidR="0030468F" w:rsidRPr="007E6254" w:rsidRDefault="0030468F" w:rsidP="0030468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t xml:space="preserve">Vibha D, Bhatia R, Prasad K, Srivastava MVP, Tripathi M, Singh MB. </w:t>
      </w:r>
      <w:r w:rsidRPr="007E6254">
        <w:rPr>
          <w:rFonts w:ascii="Times New Roman" w:hAnsi="Times New Roman" w:cs="Times New Roman"/>
          <w:sz w:val="24"/>
          <w:szCs w:val="24"/>
          <w:lang w:val="en-US"/>
        </w:rPr>
        <w:t xml:space="preserve">Clinical features and independent prognostic factors for acute bacterial meningitis in adults. </w:t>
      </w:r>
      <w:r w:rsidRPr="007E6254">
        <w:rPr>
          <w:rFonts w:ascii="Times New Roman" w:hAnsi="Times New Roman" w:cs="Times New Roman"/>
          <w:sz w:val="24"/>
          <w:szCs w:val="24"/>
        </w:rPr>
        <w:t xml:space="preserve">Neurocrit Care. </w:t>
      </w:r>
      <w:proofErr w:type="gramStart"/>
      <w:r w:rsidRPr="007E6254">
        <w:rPr>
          <w:rFonts w:ascii="Times New Roman" w:hAnsi="Times New Roman" w:cs="Times New Roman"/>
          <w:sz w:val="24"/>
          <w:szCs w:val="24"/>
        </w:rPr>
        <w:t>2010;</w:t>
      </w:r>
      <w:proofErr w:type="gramEnd"/>
      <w:r w:rsidRPr="007E6254">
        <w:rPr>
          <w:rFonts w:ascii="Times New Roman" w:hAnsi="Times New Roman" w:cs="Times New Roman"/>
          <w:sz w:val="24"/>
          <w:szCs w:val="24"/>
        </w:rPr>
        <w:t>13:199–204.</w:t>
      </w:r>
    </w:p>
    <w:p w14:paraId="4D0FE175" w14:textId="4F90C0A4" w:rsidR="0030468F" w:rsidRPr="007E6254" w:rsidRDefault="0030468F" w:rsidP="0030468F">
      <w:pPr>
        <w:pStyle w:val="Bibliograph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C50AE" w14:textId="3D521D42" w:rsidR="007268C4" w:rsidRPr="007E6254" w:rsidRDefault="007268C4" w:rsidP="007268C4">
      <w:pPr>
        <w:pStyle w:val="Bibliographi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53112" w14:textId="02254F50" w:rsidR="007268C4" w:rsidRPr="007E6254" w:rsidRDefault="007268C4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p w14:paraId="7517E4BE" w14:textId="30D668A1" w:rsidR="007268C4" w:rsidRPr="007E6254" w:rsidRDefault="007268C4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254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Pr="007E62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041C1" w:rsidRPr="007E6254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A041C1" w:rsidRPr="007E6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1C1" w:rsidRPr="007E6254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="00A041C1" w:rsidRPr="007E6254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="00A041C1" w:rsidRPr="007E6254"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tbl>
      <w:tblPr>
        <w:tblStyle w:val="Grilledutableau"/>
        <w:tblW w:w="8843" w:type="dxa"/>
        <w:tblLook w:val="04A0" w:firstRow="1" w:lastRow="0" w:firstColumn="1" w:lastColumn="0" w:noHBand="0" w:noVBand="1"/>
      </w:tblPr>
      <w:tblGrid>
        <w:gridCol w:w="5935"/>
        <w:gridCol w:w="2908"/>
      </w:tblGrid>
      <w:tr w:rsidR="00E72383" w:rsidRPr="007E6254" w14:paraId="52FECB40" w14:textId="77777777" w:rsidTr="00A041C1">
        <w:trPr>
          <w:trHeight w:val="688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F01C4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Antibiotics</w:t>
            </w:r>
            <w:proofErr w:type="spellEnd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3AE9E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  <w:proofErr w:type="spellEnd"/>
          </w:p>
        </w:tc>
      </w:tr>
      <w:tr w:rsidR="00E72383" w:rsidRPr="007E6254" w14:paraId="37042BB6" w14:textId="77777777" w:rsidTr="00A041C1">
        <w:trPr>
          <w:trHeight w:val="410"/>
        </w:trPr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826A7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Amikacine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7F8454" w14:textId="6BEF0AE5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C7C2E"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usceptible</w:t>
            </w:r>
          </w:p>
        </w:tc>
      </w:tr>
      <w:tr w:rsidR="00E72383" w:rsidRPr="007E6254" w14:paraId="17063C4D" w14:textId="77777777" w:rsidTr="00A041C1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DAA81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Gentamicine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DD72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40EB07D2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4204D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Amoxicilline-acide clavulanique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80B02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7700AB25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D0B2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Piperacilline</w:t>
            </w:r>
            <w:proofErr w:type="spellEnd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ED98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389A1D7D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29CDB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Ampicilline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8657C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5CA82C8B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A1D47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Cefepime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F09B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00D75CB0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C037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Ceftazidime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7DC9E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22F6E23A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B83C2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Ceftriaxone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A8FAF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0A65D9E3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180A4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Ertapenem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10EE8" w14:textId="6DD1513C" w:rsidR="00E72383" w:rsidRPr="007E6254" w:rsidRDefault="00FC7C2E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Susceptible</w:t>
            </w:r>
          </w:p>
        </w:tc>
      </w:tr>
      <w:tr w:rsidR="00E72383" w:rsidRPr="007E6254" w14:paraId="54F3484B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499D5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34FB" w14:textId="7D9AAB2F" w:rsidR="00E72383" w:rsidRPr="007E6254" w:rsidRDefault="00FC7C2E" w:rsidP="00CA40D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Susceptible</w:t>
            </w:r>
          </w:p>
        </w:tc>
      </w:tr>
      <w:tr w:rsidR="00E72383" w:rsidRPr="007E6254" w14:paraId="6845CB08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93592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/>
                <w:sz w:val="24"/>
                <w:szCs w:val="24"/>
              </w:rPr>
              <w:t>Meropenem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8F118" w14:textId="4D90B1ED" w:rsidR="00E72383" w:rsidRPr="007E6254" w:rsidRDefault="00FC7C2E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Susceptible</w:t>
            </w:r>
          </w:p>
        </w:tc>
      </w:tr>
      <w:tr w:rsidR="00E72383" w:rsidRPr="007E6254" w14:paraId="5E185341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DD47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/>
                <w:sz w:val="24"/>
                <w:szCs w:val="24"/>
              </w:rPr>
              <w:t>Tigecycline</w:t>
            </w:r>
            <w:proofErr w:type="spellEnd"/>
            <w:r w:rsidRPr="007E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D1CB" w14:textId="7602ABD2" w:rsidR="00E72383" w:rsidRPr="007E6254" w:rsidRDefault="00FC7C2E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Susceptible</w:t>
            </w:r>
          </w:p>
        </w:tc>
      </w:tr>
      <w:tr w:rsidR="00E72383" w:rsidRPr="007E6254" w14:paraId="6BC600EF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EBDC7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254">
              <w:rPr>
                <w:rFonts w:ascii="Times New Roman" w:hAnsi="Times New Roman" w:cs="Times New Roman"/>
                <w:bCs/>
                <w:sz w:val="24"/>
                <w:szCs w:val="24"/>
              </w:rPr>
              <w:t>Ciprofloxacine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35AFB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Cs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7491FC1B" w14:textId="77777777" w:rsidTr="00CA40D3">
        <w:trPr>
          <w:trHeight w:val="422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EC20B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sz w:val="24"/>
                <w:szCs w:val="24"/>
              </w:rPr>
              <w:t>Levofloxacine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6E529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Cs/>
                <w:sz w:val="24"/>
                <w:szCs w:val="24"/>
              </w:rPr>
              <w:t>Resistant</w:t>
            </w:r>
            <w:proofErr w:type="spellEnd"/>
          </w:p>
        </w:tc>
      </w:tr>
      <w:tr w:rsidR="00E72383" w:rsidRPr="007E6254" w14:paraId="19E60E70" w14:textId="77777777" w:rsidTr="00CA40D3">
        <w:trPr>
          <w:trHeight w:val="410"/>
        </w:trPr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18A14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Cs/>
                <w:sz w:val="24"/>
                <w:szCs w:val="24"/>
              </w:rPr>
              <w:t>Sulfametoxazole-trimetoprime</w:t>
            </w:r>
            <w:proofErr w:type="spellEnd"/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9AD4E4" w14:textId="77777777" w:rsidR="00E72383" w:rsidRPr="007E6254" w:rsidRDefault="00E72383" w:rsidP="00CA40D3">
            <w:pPr>
              <w:spacing w:after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6254">
              <w:rPr>
                <w:rFonts w:ascii="Times New Roman" w:hAnsi="Times New Roman" w:cs="Times New Roman"/>
                <w:bCs/>
                <w:sz w:val="24"/>
                <w:szCs w:val="24"/>
              </w:rPr>
              <w:t>Resistant</w:t>
            </w:r>
            <w:proofErr w:type="spellEnd"/>
          </w:p>
        </w:tc>
      </w:tr>
    </w:tbl>
    <w:p w14:paraId="55A51F87" w14:textId="2F0BEA77" w:rsidR="00491A3A" w:rsidRPr="007E6254" w:rsidRDefault="00491A3A" w:rsidP="007268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1A3A" w:rsidRPr="007E62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5937" w14:textId="77777777" w:rsidR="0045609C" w:rsidRDefault="0045609C" w:rsidP="00775813">
      <w:pPr>
        <w:spacing w:after="0" w:line="240" w:lineRule="auto"/>
      </w:pPr>
      <w:r>
        <w:separator/>
      </w:r>
    </w:p>
  </w:endnote>
  <w:endnote w:type="continuationSeparator" w:id="0">
    <w:p w14:paraId="5CCD15FF" w14:textId="77777777" w:rsidR="0045609C" w:rsidRDefault="0045609C" w:rsidP="0077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4401" w14:textId="77777777" w:rsidR="00775813" w:rsidRDefault="007758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9B10" w14:textId="77777777" w:rsidR="00775813" w:rsidRDefault="007758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C072" w14:textId="77777777" w:rsidR="00775813" w:rsidRDefault="007758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07A7" w14:textId="77777777" w:rsidR="0045609C" w:rsidRDefault="0045609C" w:rsidP="00775813">
      <w:pPr>
        <w:spacing w:after="0" w:line="240" w:lineRule="auto"/>
      </w:pPr>
      <w:r>
        <w:separator/>
      </w:r>
    </w:p>
  </w:footnote>
  <w:footnote w:type="continuationSeparator" w:id="0">
    <w:p w14:paraId="4C3EEA70" w14:textId="77777777" w:rsidR="0045609C" w:rsidRDefault="0045609C" w:rsidP="0077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A84C" w14:textId="31962A0C" w:rsidR="00775813" w:rsidRDefault="0045609C">
    <w:pPr>
      <w:pStyle w:val="En-tte"/>
    </w:pPr>
    <w:r>
      <w:rPr>
        <w:noProof/>
      </w:rPr>
      <w:pict w14:anchorId="7D4DED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69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E121" w14:textId="6096370E" w:rsidR="00775813" w:rsidRDefault="0045609C">
    <w:pPr>
      <w:pStyle w:val="En-tte"/>
    </w:pPr>
    <w:r>
      <w:rPr>
        <w:noProof/>
      </w:rPr>
      <w:pict w14:anchorId="24B8C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70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526D" w14:textId="72EDF90A" w:rsidR="00775813" w:rsidRDefault="0045609C">
    <w:pPr>
      <w:pStyle w:val="En-tte"/>
    </w:pPr>
    <w:r>
      <w:rPr>
        <w:noProof/>
      </w:rPr>
      <w:pict w14:anchorId="4634C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430968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3C2B"/>
    <w:multiLevelType w:val="hybridMultilevel"/>
    <w:tmpl w:val="0D1E8EC0"/>
    <w:lvl w:ilvl="0" w:tplc="B73ABE92">
      <w:start w:val="1"/>
      <w:numFmt w:val="decimal"/>
      <w:lvlText w:val="%1."/>
      <w:lvlJc w:val="left"/>
      <w:pPr>
        <w:ind w:left="345" w:hanging="360"/>
      </w:pPr>
    </w:lvl>
    <w:lvl w:ilvl="1" w:tplc="20000019">
      <w:start w:val="1"/>
      <w:numFmt w:val="lowerLetter"/>
      <w:lvlText w:val="%2."/>
      <w:lvlJc w:val="left"/>
      <w:pPr>
        <w:ind w:left="1065" w:hanging="360"/>
      </w:pPr>
    </w:lvl>
    <w:lvl w:ilvl="2" w:tplc="2000001B">
      <w:start w:val="1"/>
      <w:numFmt w:val="lowerRoman"/>
      <w:lvlText w:val="%3."/>
      <w:lvlJc w:val="right"/>
      <w:pPr>
        <w:ind w:left="1785" w:hanging="180"/>
      </w:pPr>
    </w:lvl>
    <w:lvl w:ilvl="3" w:tplc="2000000F">
      <w:start w:val="1"/>
      <w:numFmt w:val="decimal"/>
      <w:lvlText w:val="%4."/>
      <w:lvlJc w:val="left"/>
      <w:pPr>
        <w:ind w:left="2505" w:hanging="360"/>
      </w:pPr>
    </w:lvl>
    <w:lvl w:ilvl="4" w:tplc="20000019">
      <w:start w:val="1"/>
      <w:numFmt w:val="lowerLetter"/>
      <w:lvlText w:val="%5."/>
      <w:lvlJc w:val="left"/>
      <w:pPr>
        <w:ind w:left="3225" w:hanging="360"/>
      </w:pPr>
    </w:lvl>
    <w:lvl w:ilvl="5" w:tplc="2000001B">
      <w:start w:val="1"/>
      <w:numFmt w:val="lowerRoman"/>
      <w:lvlText w:val="%6."/>
      <w:lvlJc w:val="right"/>
      <w:pPr>
        <w:ind w:left="3945" w:hanging="180"/>
      </w:pPr>
    </w:lvl>
    <w:lvl w:ilvl="6" w:tplc="2000000F">
      <w:start w:val="1"/>
      <w:numFmt w:val="decimal"/>
      <w:lvlText w:val="%7."/>
      <w:lvlJc w:val="left"/>
      <w:pPr>
        <w:ind w:left="4665" w:hanging="360"/>
      </w:pPr>
    </w:lvl>
    <w:lvl w:ilvl="7" w:tplc="20000019">
      <w:start w:val="1"/>
      <w:numFmt w:val="lowerLetter"/>
      <w:lvlText w:val="%8."/>
      <w:lvlJc w:val="left"/>
      <w:pPr>
        <w:ind w:left="5385" w:hanging="360"/>
      </w:pPr>
    </w:lvl>
    <w:lvl w:ilvl="8" w:tplc="2000001B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B"/>
    <w:rsid w:val="00056433"/>
    <w:rsid w:val="0006571F"/>
    <w:rsid w:val="00075631"/>
    <w:rsid w:val="000932AA"/>
    <w:rsid w:val="000C7E17"/>
    <w:rsid w:val="001329AB"/>
    <w:rsid w:val="00166B04"/>
    <w:rsid w:val="001723EC"/>
    <w:rsid w:val="00182008"/>
    <w:rsid w:val="00187FCE"/>
    <w:rsid w:val="001C0135"/>
    <w:rsid w:val="001F17DD"/>
    <w:rsid w:val="00226ECC"/>
    <w:rsid w:val="002921A8"/>
    <w:rsid w:val="0030468F"/>
    <w:rsid w:val="00323C81"/>
    <w:rsid w:val="003B2222"/>
    <w:rsid w:val="004261F1"/>
    <w:rsid w:val="004323C0"/>
    <w:rsid w:val="0045609C"/>
    <w:rsid w:val="00491A3A"/>
    <w:rsid w:val="004B0FB6"/>
    <w:rsid w:val="005B095D"/>
    <w:rsid w:val="00624B56"/>
    <w:rsid w:val="006E0805"/>
    <w:rsid w:val="006F0805"/>
    <w:rsid w:val="007268C4"/>
    <w:rsid w:val="00775813"/>
    <w:rsid w:val="00780574"/>
    <w:rsid w:val="007E6254"/>
    <w:rsid w:val="007F5F6C"/>
    <w:rsid w:val="007F776C"/>
    <w:rsid w:val="008039FB"/>
    <w:rsid w:val="00863C99"/>
    <w:rsid w:val="00924654"/>
    <w:rsid w:val="00970DCC"/>
    <w:rsid w:val="009D7FA2"/>
    <w:rsid w:val="00A018DB"/>
    <w:rsid w:val="00A041C1"/>
    <w:rsid w:val="00A220AC"/>
    <w:rsid w:val="00A25E54"/>
    <w:rsid w:val="00A80681"/>
    <w:rsid w:val="00A9095B"/>
    <w:rsid w:val="00AB5D89"/>
    <w:rsid w:val="00AE29E4"/>
    <w:rsid w:val="00AF191E"/>
    <w:rsid w:val="00B06360"/>
    <w:rsid w:val="00B34450"/>
    <w:rsid w:val="00B43579"/>
    <w:rsid w:val="00B72BC8"/>
    <w:rsid w:val="00C31DC6"/>
    <w:rsid w:val="00CC180D"/>
    <w:rsid w:val="00D0495B"/>
    <w:rsid w:val="00D90891"/>
    <w:rsid w:val="00DF4E8D"/>
    <w:rsid w:val="00E231F1"/>
    <w:rsid w:val="00E72383"/>
    <w:rsid w:val="00E9145E"/>
    <w:rsid w:val="00F47BBD"/>
    <w:rsid w:val="00F664D1"/>
    <w:rsid w:val="00FC7C2E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968A84"/>
  <w15:chartTrackingRefBased/>
  <w15:docId w15:val="{7F633B0C-C77C-4CD7-9D1B-35D8A8FC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18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180D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7268C4"/>
    <w:pPr>
      <w:tabs>
        <w:tab w:val="left" w:pos="504"/>
      </w:tabs>
      <w:spacing w:after="0" w:line="240" w:lineRule="auto"/>
      <w:ind w:left="504" w:hanging="504"/>
    </w:pPr>
  </w:style>
  <w:style w:type="table" w:styleId="Grilledutableau">
    <w:name w:val="Table Grid"/>
    <w:basedOn w:val="TableauNormal"/>
    <w:uiPriority w:val="39"/>
    <w:rsid w:val="007268C4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468F"/>
    <w:pPr>
      <w:spacing w:after="10" w:line="266" w:lineRule="auto"/>
      <w:ind w:left="720" w:hanging="10"/>
      <w:contextualSpacing/>
    </w:pPr>
    <w:rPr>
      <w:rFonts w:ascii="Arial" w:eastAsia="Arial" w:hAnsi="Arial" w:cs="Arial"/>
      <w:color w:val="000000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7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813"/>
  </w:style>
  <w:style w:type="paragraph" w:styleId="Pieddepage">
    <w:name w:val="footer"/>
    <w:basedOn w:val="Normal"/>
    <w:link w:val="PieddepageCar"/>
    <w:uiPriority w:val="99"/>
    <w:unhideWhenUsed/>
    <w:rsid w:val="00775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inf.2018.05.0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879-015-1310-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879-015-1310-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6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hamade zonon</dc:creator>
  <cp:keywords/>
  <dc:description/>
  <cp:lastModifiedBy>abdoul karim Traore</cp:lastModifiedBy>
  <cp:revision>20</cp:revision>
  <dcterms:created xsi:type="dcterms:W3CDTF">2024-08-29T21:34:00Z</dcterms:created>
  <dcterms:modified xsi:type="dcterms:W3CDTF">2025-05-06T20:15:00Z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id="yv5jFaeQ"/&gt;&lt;style id="http://www.zotero.org/styles/elsevier-vancouver"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