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68E42" w14:textId="77777777" w:rsidR="00EE51DE" w:rsidRPr="00EE51DE" w:rsidRDefault="00EE51DE" w:rsidP="00E52A83">
      <w:pPr>
        <w:jc w:val="both"/>
        <w:rPr>
          <w:rFonts w:ascii="Arial" w:hAnsi="Arial" w:cs="Arial"/>
          <w:b/>
          <w:bCs/>
          <w:sz w:val="36"/>
          <w:szCs w:val="36"/>
        </w:rPr>
      </w:pPr>
      <w:r w:rsidRPr="00EE51DE">
        <w:rPr>
          <w:rFonts w:ascii="Arial" w:hAnsi="Arial" w:cs="Arial"/>
          <w:b/>
          <w:bCs/>
          <w:sz w:val="36"/>
          <w:szCs w:val="36"/>
        </w:rPr>
        <w:t>Dose-Dependent Toxicological Effects of Smoked Fish Extract on Liver and Kidney Function in Albino Rats: Implications for Human Health</w:t>
      </w:r>
    </w:p>
    <w:p w14:paraId="1A028075" w14:textId="2C417C95" w:rsidR="00EE51DE" w:rsidRPr="00EE51DE" w:rsidRDefault="00EE51DE" w:rsidP="00E52A83">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p>
    <w:p w14:paraId="5E567BD3" w14:textId="613B8003" w:rsidR="00EE51DE" w:rsidRPr="00EE51DE" w:rsidRDefault="00EE51DE" w:rsidP="00E52A83">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EE51DE">
        <w:rPr>
          <w:rFonts w:ascii="Times New Roman" w:eastAsia="Times New Roman" w:hAnsi="Times New Roman" w:cs="Times New Roman"/>
          <w:b/>
          <w:bCs/>
          <w:kern w:val="0"/>
          <w:sz w:val="27"/>
          <w:szCs w:val="27"/>
          <w14:ligatures w14:val="none"/>
        </w:rPr>
        <w:t>ABSTRACT</w:t>
      </w:r>
    </w:p>
    <w:p w14:paraId="47EEAEDA" w14:textId="5AB5AB6C"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This study evaluated the toxicological effects of smoked fish extract on liver and kidney function in albino rats, with emphasis on oxidative stress and hematological changes. Twenty adult male rats (180–220 g) were randomized into four groups: a control and three treatment groups receiving 50, 100, and 200 mg/kg body weight of smoked fish extract intraperitoneally for 28 days. Gas Chromatography-Mass Spectrometry (GC-MS) analysis revealed the presence of key polycyclic aromatic hydrocarbons (PAHs) including benzo[a]pyrene and chrysene at concentrations exceeding EU maximum limits (e.g., benzo[a]pyrene: 4.6 µg/kg vs. 2 µg/kg limit), establishing a direct link between extract composition and observed toxicity.</w:t>
      </w:r>
      <w:r>
        <w:rPr>
          <w:rFonts w:ascii="Times New Roman" w:eastAsia="Times New Roman" w:hAnsi="Times New Roman" w:cs="Times New Roman"/>
          <w:kern w:val="0"/>
          <w14:ligatures w14:val="none"/>
        </w:rPr>
        <w:t xml:space="preserve"> </w:t>
      </w:r>
      <w:r w:rsidRPr="00EE51DE">
        <w:rPr>
          <w:rFonts w:ascii="Times New Roman" w:eastAsia="Times New Roman" w:hAnsi="Times New Roman" w:cs="Times New Roman"/>
          <w:kern w:val="0"/>
          <w14:ligatures w14:val="none"/>
        </w:rPr>
        <w:t>Biochemical assays showed dose-dependent increases in liver enzymes—alanine aminotransferase (ALT) and aspartate aminotransferase (AST)—and kidney biomarkers (urea, creatinine) with statistical significance (P &lt; 0.0001). Oxidative stress markers revealed significantly elevated malondialdehyde (MDA) levels and suppressed superoxide dismutase (SOD) activity (P &lt; 0.05). Hematological evaluations demonstrated anemia (↓ RBC, HGB, HCT) and leukocytosis (↑ WBC, PLT) in treated groups. Histopathological analysis confirmed progressive hepatic and renal damage with statistically significant necrosis severity scores (p &lt; 0.01), particularly at the 200 mg/kg dose.</w:t>
      </w:r>
    </w:p>
    <w:p w14:paraId="2AB6CC92"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These pathological changes are attributed to PAHs and heavy metals present in the extract. The study highlights the potential health risks of chronic consumption of traditionally smoked fish, especially from informal sources. Follow-up recovery studies and mechanistic investigations into PAH–metal synergism are recommended.</w:t>
      </w:r>
    </w:p>
    <w:p w14:paraId="41D2BBAE"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b/>
          <w:bCs/>
          <w:kern w:val="0"/>
          <w14:ligatures w14:val="none"/>
        </w:rPr>
        <w:t>Keywords</w:t>
      </w:r>
      <w:r w:rsidRPr="00EE51DE">
        <w:rPr>
          <w:rFonts w:ascii="Times New Roman" w:eastAsia="Times New Roman" w:hAnsi="Times New Roman" w:cs="Times New Roman"/>
          <w:kern w:val="0"/>
          <w14:ligatures w14:val="none"/>
        </w:rPr>
        <w:t xml:space="preserve">: smoked fish extract, liver toxicity, kidney injury, oxidative stress, PAHs, heavy metals, GC-MS, </w:t>
      </w:r>
      <w:proofErr w:type="spellStart"/>
      <w:r w:rsidRPr="00EE51DE">
        <w:rPr>
          <w:rFonts w:ascii="Times New Roman" w:eastAsia="Times New Roman" w:hAnsi="Times New Roman" w:cs="Times New Roman"/>
          <w:kern w:val="0"/>
          <w14:ligatures w14:val="none"/>
        </w:rPr>
        <w:t>hematotoxicity</w:t>
      </w:r>
      <w:proofErr w:type="spellEnd"/>
    </w:p>
    <w:p w14:paraId="023FA60C" w14:textId="77777777" w:rsidR="00EE51DE" w:rsidRPr="00EE51DE" w:rsidRDefault="00EE51DE" w:rsidP="00E52A83">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EE51DE">
        <w:rPr>
          <w:rFonts w:ascii="Times New Roman" w:eastAsia="Times New Roman" w:hAnsi="Times New Roman" w:cs="Times New Roman"/>
          <w:b/>
          <w:bCs/>
          <w:kern w:val="0"/>
          <w:sz w:val="27"/>
          <w:szCs w:val="27"/>
          <w14:ligatures w14:val="none"/>
        </w:rPr>
        <w:t xml:space="preserve">INTRODUCTION </w:t>
      </w:r>
    </w:p>
    <w:p w14:paraId="5ED1BE2C"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Traditional food processing techniques, such as smoking and grilling, are widely employed in preserving fish and enhancing sensory characteristics, especially in developing countries where refrigeration may be unreliable (</w:t>
      </w:r>
      <w:proofErr w:type="spellStart"/>
      <w:r w:rsidRPr="00EE51DE">
        <w:rPr>
          <w:rFonts w:ascii="Times New Roman" w:eastAsia="Times New Roman" w:hAnsi="Times New Roman" w:cs="Times New Roman"/>
          <w:kern w:val="0"/>
          <w14:ligatures w14:val="none"/>
        </w:rPr>
        <w:t>Akpambang</w:t>
      </w:r>
      <w:proofErr w:type="spellEnd"/>
      <w:r w:rsidRPr="00EE51DE">
        <w:rPr>
          <w:rFonts w:ascii="Times New Roman" w:eastAsia="Times New Roman" w:hAnsi="Times New Roman" w:cs="Times New Roman"/>
          <w:kern w:val="0"/>
          <w14:ligatures w14:val="none"/>
        </w:rPr>
        <w:t xml:space="preserve"> et al., 2009; Assogba et al., 2019). However, these thermal processes can inadvertently introduce harmful substances into food products, depending on the fuel source used and the hygiene of the processing environment. Alarmingly, in many informal fish processing settings across sub-Saharan Africa, including Nigeria, fish is often smoked using </w:t>
      </w:r>
      <w:r w:rsidRPr="00EE51DE">
        <w:rPr>
          <w:rFonts w:ascii="Times New Roman" w:eastAsia="Times New Roman" w:hAnsi="Times New Roman" w:cs="Times New Roman"/>
          <w:b/>
          <w:bCs/>
          <w:kern w:val="0"/>
          <w14:ligatures w14:val="none"/>
        </w:rPr>
        <w:t>burnt tires or electrical transformer oils</w:t>
      </w:r>
      <w:r w:rsidRPr="00EE51DE">
        <w:rPr>
          <w:rFonts w:ascii="Times New Roman" w:eastAsia="Times New Roman" w:hAnsi="Times New Roman" w:cs="Times New Roman"/>
          <w:kern w:val="0"/>
          <w14:ligatures w14:val="none"/>
        </w:rPr>
        <w:t>, which release highly toxic emissions.</w:t>
      </w:r>
    </w:p>
    <w:p w14:paraId="2F799772"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b/>
          <w:bCs/>
          <w:kern w:val="0"/>
          <w14:ligatures w14:val="none"/>
        </w:rPr>
        <w:t>Transformer oil smoke</w:t>
      </w:r>
      <w:r w:rsidRPr="00EE51DE">
        <w:rPr>
          <w:rFonts w:ascii="Times New Roman" w:eastAsia="Times New Roman" w:hAnsi="Times New Roman" w:cs="Times New Roman"/>
          <w:kern w:val="0"/>
          <w14:ligatures w14:val="none"/>
        </w:rPr>
        <w:t xml:space="preserve">, especially when burnt, emits a complex mix of </w:t>
      </w:r>
      <w:r w:rsidRPr="00EE51DE">
        <w:rPr>
          <w:rFonts w:ascii="Times New Roman" w:eastAsia="Times New Roman" w:hAnsi="Times New Roman" w:cs="Times New Roman"/>
          <w:b/>
          <w:bCs/>
          <w:kern w:val="0"/>
          <w14:ligatures w14:val="none"/>
        </w:rPr>
        <w:t>polychlorinated biphenyls (PCBs), dioxins, furans, PAHs</w:t>
      </w:r>
      <w:r w:rsidRPr="00EE51DE">
        <w:rPr>
          <w:rFonts w:ascii="Times New Roman" w:eastAsia="Times New Roman" w:hAnsi="Times New Roman" w:cs="Times New Roman"/>
          <w:kern w:val="0"/>
          <w14:ligatures w14:val="none"/>
        </w:rPr>
        <w:t xml:space="preserve">, and </w:t>
      </w:r>
      <w:r w:rsidRPr="00EE51DE">
        <w:rPr>
          <w:rFonts w:ascii="Times New Roman" w:eastAsia="Times New Roman" w:hAnsi="Times New Roman" w:cs="Times New Roman"/>
          <w:b/>
          <w:bCs/>
          <w:kern w:val="0"/>
          <w14:ligatures w14:val="none"/>
        </w:rPr>
        <w:t>volatile heavy metals</w:t>
      </w:r>
      <w:r w:rsidRPr="00EE51DE">
        <w:rPr>
          <w:rFonts w:ascii="Times New Roman" w:eastAsia="Times New Roman" w:hAnsi="Times New Roman" w:cs="Times New Roman"/>
          <w:kern w:val="0"/>
          <w14:ligatures w14:val="none"/>
        </w:rPr>
        <w:t xml:space="preserve">, all of which are </w:t>
      </w:r>
      <w:r w:rsidRPr="00EE51DE">
        <w:rPr>
          <w:rFonts w:ascii="Times New Roman" w:eastAsia="Times New Roman" w:hAnsi="Times New Roman" w:cs="Times New Roman"/>
          <w:kern w:val="0"/>
          <w14:ligatures w14:val="none"/>
        </w:rPr>
        <w:lastRenderedPageBreak/>
        <w:t xml:space="preserve">environmental pollutants with proven health hazards (WHO, 2010). Studies have shown that chronic exposure to these substances is associated with increased risks of </w:t>
      </w:r>
      <w:r w:rsidRPr="00EE51DE">
        <w:rPr>
          <w:rFonts w:ascii="Times New Roman" w:eastAsia="Times New Roman" w:hAnsi="Times New Roman" w:cs="Times New Roman"/>
          <w:b/>
          <w:bCs/>
          <w:kern w:val="0"/>
          <w14:ligatures w14:val="none"/>
        </w:rPr>
        <w:t>lung cancer (27–35%)</w:t>
      </w:r>
      <w:r w:rsidRPr="00EE51DE">
        <w:rPr>
          <w:rFonts w:ascii="Times New Roman" w:eastAsia="Times New Roman" w:hAnsi="Times New Roman" w:cs="Times New Roman"/>
          <w:kern w:val="0"/>
          <w14:ligatures w14:val="none"/>
        </w:rPr>
        <w:t xml:space="preserve">, </w:t>
      </w:r>
      <w:r w:rsidRPr="00EE51DE">
        <w:rPr>
          <w:rFonts w:ascii="Times New Roman" w:eastAsia="Times New Roman" w:hAnsi="Times New Roman" w:cs="Times New Roman"/>
          <w:b/>
          <w:bCs/>
          <w:kern w:val="0"/>
          <w14:ligatures w14:val="none"/>
        </w:rPr>
        <w:t>liver damage (18–25%)</w:t>
      </w:r>
      <w:r w:rsidRPr="00EE51DE">
        <w:rPr>
          <w:rFonts w:ascii="Times New Roman" w:eastAsia="Times New Roman" w:hAnsi="Times New Roman" w:cs="Times New Roman"/>
          <w:kern w:val="0"/>
          <w14:ligatures w14:val="none"/>
        </w:rPr>
        <w:t xml:space="preserve">, and </w:t>
      </w:r>
      <w:r w:rsidRPr="00EE51DE">
        <w:rPr>
          <w:rFonts w:ascii="Times New Roman" w:eastAsia="Times New Roman" w:hAnsi="Times New Roman" w:cs="Times New Roman"/>
          <w:b/>
          <w:bCs/>
          <w:kern w:val="0"/>
          <w14:ligatures w14:val="none"/>
        </w:rPr>
        <w:t>respiratory diseases (40–50%)</w:t>
      </w:r>
      <w:r w:rsidRPr="00EE51DE">
        <w:rPr>
          <w:rFonts w:ascii="Times New Roman" w:eastAsia="Times New Roman" w:hAnsi="Times New Roman" w:cs="Times New Roman"/>
          <w:kern w:val="0"/>
          <w14:ligatures w14:val="none"/>
        </w:rPr>
        <w:t xml:space="preserve">, especially among workers and individuals living near informal processing sites (Nduka et al., 2008; UNEP, 2013; Obida et al., 2020). In one community-based assessment in Nigeria, over </w:t>
      </w:r>
      <w:r w:rsidRPr="00EE51DE">
        <w:rPr>
          <w:rFonts w:ascii="Times New Roman" w:eastAsia="Times New Roman" w:hAnsi="Times New Roman" w:cs="Times New Roman"/>
          <w:b/>
          <w:bCs/>
          <w:kern w:val="0"/>
          <w14:ligatures w14:val="none"/>
        </w:rPr>
        <w:t>52%</w:t>
      </w:r>
      <w:r w:rsidRPr="00EE51DE">
        <w:rPr>
          <w:rFonts w:ascii="Times New Roman" w:eastAsia="Times New Roman" w:hAnsi="Times New Roman" w:cs="Times New Roman"/>
          <w:kern w:val="0"/>
          <w14:ligatures w14:val="none"/>
        </w:rPr>
        <w:t xml:space="preserve"> of fish processors using transformer oil reported chronic respiratory symptoms, while </w:t>
      </w:r>
      <w:r w:rsidRPr="00EE51DE">
        <w:rPr>
          <w:rFonts w:ascii="Times New Roman" w:eastAsia="Times New Roman" w:hAnsi="Times New Roman" w:cs="Times New Roman"/>
          <w:b/>
          <w:bCs/>
          <w:kern w:val="0"/>
          <w14:ligatures w14:val="none"/>
        </w:rPr>
        <w:t>19%</w:t>
      </w:r>
      <w:r w:rsidRPr="00EE51DE">
        <w:rPr>
          <w:rFonts w:ascii="Times New Roman" w:eastAsia="Times New Roman" w:hAnsi="Times New Roman" w:cs="Times New Roman"/>
          <w:kern w:val="0"/>
          <w14:ligatures w14:val="none"/>
        </w:rPr>
        <w:t xml:space="preserve"> showed elevated liver enzymes on routine screening (Ibanga et al., 2019).</w:t>
      </w:r>
    </w:p>
    <w:p w14:paraId="66B3CBC0"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PAHs, a group of lipophilic and persistent organic pollutants, arise primarily through the incomplete combustion of organic materials such as wood or oil-based materials during fish smoking. They are particularly concerning due to their carcinogenic, mutagenic, and teratogenic effects (Domingo &amp; Nadal, 2015; Darwish et al., 2019). The European Food Safety Authority (EFSA, 2008) has identified benzo[a]pyrene and other PAHs as critical markers for assessing carcinogenic risk in food. These contaminants can accumulate in smoked products depending on several variables, including fish fat content, smoking duration, and the type of fuel used (</w:t>
      </w:r>
      <w:proofErr w:type="spellStart"/>
      <w:r w:rsidRPr="00EE51DE">
        <w:rPr>
          <w:rFonts w:ascii="Times New Roman" w:eastAsia="Times New Roman" w:hAnsi="Times New Roman" w:cs="Times New Roman"/>
          <w:kern w:val="0"/>
          <w14:ligatures w14:val="none"/>
        </w:rPr>
        <w:t>Akpambang</w:t>
      </w:r>
      <w:proofErr w:type="spellEnd"/>
      <w:r w:rsidRPr="00EE51DE">
        <w:rPr>
          <w:rFonts w:ascii="Times New Roman" w:eastAsia="Times New Roman" w:hAnsi="Times New Roman" w:cs="Times New Roman"/>
          <w:kern w:val="0"/>
          <w14:ligatures w14:val="none"/>
        </w:rPr>
        <w:t xml:space="preserve"> et al., 2009; Forsberg et al., 2012; </w:t>
      </w:r>
      <w:proofErr w:type="spellStart"/>
      <w:r w:rsidRPr="00EE51DE">
        <w:rPr>
          <w:rFonts w:ascii="Times New Roman" w:eastAsia="Times New Roman" w:hAnsi="Times New Roman" w:cs="Times New Roman"/>
          <w:kern w:val="0"/>
          <w14:ligatures w14:val="none"/>
        </w:rPr>
        <w:t>Haskaraca</w:t>
      </w:r>
      <w:proofErr w:type="spellEnd"/>
      <w:r w:rsidRPr="00EE51DE">
        <w:rPr>
          <w:rFonts w:ascii="Times New Roman" w:eastAsia="Times New Roman" w:hAnsi="Times New Roman" w:cs="Times New Roman"/>
          <w:kern w:val="0"/>
          <w14:ligatures w14:val="none"/>
        </w:rPr>
        <w:t xml:space="preserve"> et al., 2014).</w:t>
      </w:r>
    </w:p>
    <w:p w14:paraId="1A9C6EB4"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Beyond PAHs, traditional smoking methods can introduce heavy metals such as </w:t>
      </w:r>
      <w:r w:rsidRPr="00EE51DE">
        <w:rPr>
          <w:rFonts w:ascii="Times New Roman" w:eastAsia="Times New Roman" w:hAnsi="Times New Roman" w:cs="Times New Roman"/>
          <w:b/>
          <w:bCs/>
          <w:kern w:val="0"/>
          <w14:ligatures w14:val="none"/>
        </w:rPr>
        <w:t>lead, cadmium, and mercury</w:t>
      </w:r>
      <w:r w:rsidRPr="00EE51DE">
        <w:rPr>
          <w:rFonts w:ascii="Times New Roman" w:eastAsia="Times New Roman" w:hAnsi="Times New Roman" w:cs="Times New Roman"/>
          <w:kern w:val="0"/>
          <w14:ligatures w14:val="none"/>
        </w:rPr>
        <w:t xml:space="preserve"> into fish, which pose significant toxicological risks upon chronic exposure (Abbas et al., 2021; Daniel et al., 2013; </w:t>
      </w:r>
      <w:proofErr w:type="spellStart"/>
      <w:r w:rsidRPr="00EE51DE">
        <w:rPr>
          <w:rFonts w:ascii="Times New Roman" w:eastAsia="Times New Roman" w:hAnsi="Times New Roman" w:cs="Times New Roman"/>
          <w:kern w:val="0"/>
          <w14:ligatures w14:val="none"/>
        </w:rPr>
        <w:t>Anigboro</w:t>
      </w:r>
      <w:proofErr w:type="spellEnd"/>
      <w:r w:rsidRPr="00EE51DE">
        <w:rPr>
          <w:rFonts w:ascii="Times New Roman" w:eastAsia="Times New Roman" w:hAnsi="Times New Roman" w:cs="Times New Roman"/>
          <w:kern w:val="0"/>
          <w14:ligatures w14:val="none"/>
        </w:rPr>
        <w:t xml:space="preserve"> et al., 2011). Lead and cadmium are known to impair renal and hepatic function, induce oxidative stress, and interfere with hematopoiesis (Ibanga et al., 2019; Gunter et al., 2007; Hough et al., 2004).</w:t>
      </w:r>
    </w:p>
    <w:p w14:paraId="7E4F9CB8"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Biogenic amines, including </w:t>
      </w:r>
      <w:r w:rsidRPr="00EE51DE">
        <w:rPr>
          <w:rFonts w:ascii="Times New Roman" w:eastAsia="Times New Roman" w:hAnsi="Times New Roman" w:cs="Times New Roman"/>
          <w:b/>
          <w:bCs/>
          <w:kern w:val="0"/>
          <w14:ligatures w14:val="none"/>
        </w:rPr>
        <w:t>histamine</w:t>
      </w:r>
      <w:r w:rsidRPr="00EE51DE">
        <w:rPr>
          <w:rFonts w:ascii="Times New Roman" w:eastAsia="Times New Roman" w:hAnsi="Times New Roman" w:cs="Times New Roman"/>
          <w:kern w:val="0"/>
          <w14:ligatures w14:val="none"/>
        </w:rPr>
        <w:t xml:space="preserve"> and </w:t>
      </w:r>
      <w:r w:rsidRPr="00EE51DE">
        <w:rPr>
          <w:rFonts w:ascii="Times New Roman" w:eastAsia="Times New Roman" w:hAnsi="Times New Roman" w:cs="Times New Roman"/>
          <w:b/>
          <w:bCs/>
          <w:kern w:val="0"/>
          <w14:ligatures w14:val="none"/>
        </w:rPr>
        <w:t>tyramine</w:t>
      </w:r>
      <w:r w:rsidRPr="00EE51DE">
        <w:rPr>
          <w:rFonts w:ascii="Times New Roman" w:eastAsia="Times New Roman" w:hAnsi="Times New Roman" w:cs="Times New Roman"/>
          <w:kern w:val="0"/>
          <w14:ligatures w14:val="none"/>
        </w:rPr>
        <w:t xml:space="preserve">, may also accumulate in smoked fish, especially under poor hygiene or inadequate storage. These amines result from microbial decarboxylation of amino acids and are associated with food spoilage and scombroid poisoning (Al </w:t>
      </w:r>
      <w:proofErr w:type="spellStart"/>
      <w:r w:rsidRPr="00EE51DE">
        <w:rPr>
          <w:rFonts w:ascii="Times New Roman" w:eastAsia="Times New Roman" w:hAnsi="Times New Roman" w:cs="Times New Roman"/>
          <w:kern w:val="0"/>
          <w14:ligatures w14:val="none"/>
        </w:rPr>
        <w:t>Bulushi</w:t>
      </w:r>
      <w:proofErr w:type="spellEnd"/>
      <w:r w:rsidRPr="00EE51DE">
        <w:rPr>
          <w:rFonts w:ascii="Times New Roman" w:eastAsia="Times New Roman" w:hAnsi="Times New Roman" w:cs="Times New Roman"/>
          <w:kern w:val="0"/>
          <w14:ligatures w14:val="none"/>
        </w:rPr>
        <w:t xml:space="preserve"> et al., 2009; Emborg &amp; Dalgaard, 2006; EFSA, 2011). In addition, </w:t>
      </w:r>
      <w:r w:rsidRPr="00EE51DE">
        <w:rPr>
          <w:rFonts w:ascii="Times New Roman" w:eastAsia="Times New Roman" w:hAnsi="Times New Roman" w:cs="Times New Roman"/>
          <w:b/>
          <w:bCs/>
          <w:kern w:val="0"/>
          <w14:ligatures w14:val="none"/>
        </w:rPr>
        <w:t>nitrosamines</w:t>
      </w:r>
      <w:r w:rsidRPr="00EE51DE">
        <w:rPr>
          <w:rFonts w:ascii="Times New Roman" w:eastAsia="Times New Roman" w:hAnsi="Times New Roman" w:cs="Times New Roman"/>
          <w:kern w:val="0"/>
          <w14:ligatures w14:val="none"/>
        </w:rPr>
        <w:t>, which form through reactions involving nitrites and secondary amines during high-heat processing, are potent carcinogens implicated in gastrointestinal cancers (Drabik-Markiewicz et al., 2009; Herrmann et al., 2015).</w:t>
      </w:r>
    </w:p>
    <w:p w14:paraId="4F3C3AED"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Several studies in sub-Saharan Africa have documented variable levels of PAHs and heavy metals in smoked fish across different regions and species, with some samples exceeding internationally recommended safety limits (</w:t>
      </w:r>
      <w:proofErr w:type="spellStart"/>
      <w:r w:rsidRPr="00EE51DE">
        <w:rPr>
          <w:rFonts w:ascii="Times New Roman" w:eastAsia="Times New Roman" w:hAnsi="Times New Roman" w:cs="Times New Roman"/>
          <w:kern w:val="0"/>
          <w14:ligatures w14:val="none"/>
        </w:rPr>
        <w:t>Akpambang</w:t>
      </w:r>
      <w:proofErr w:type="spellEnd"/>
      <w:r w:rsidRPr="00EE51DE">
        <w:rPr>
          <w:rFonts w:ascii="Times New Roman" w:eastAsia="Times New Roman" w:hAnsi="Times New Roman" w:cs="Times New Roman"/>
          <w:kern w:val="0"/>
          <w14:ligatures w14:val="none"/>
        </w:rPr>
        <w:t xml:space="preserve"> et al., 2009; </w:t>
      </w:r>
      <w:proofErr w:type="spellStart"/>
      <w:r w:rsidRPr="00EE51DE">
        <w:rPr>
          <w:rFonts w:ascii="Times New Roman" w:eastAsia="Times New Roman" w:hAnsi="Times New Roman" w:cs="Times New Roman"/>
          <w:kern w:val="0"/>
          <w14:ligatures w14:val="none"/>
        </w:rPr>
        <w:t>Anigboro</w:t>
      </w:r>
      <w:proofErr w:type="spellEnd"/>
      <w:r w:rsidRPr="00EE51DE">
        <w:rPr>
          <w:rFonts w:ascii="Times New Roman" w:eastAsia="Times New Roman" w:hAnsi="Times New Roman" w:cs="Times New Roman"/>
          <w:kern w:val="0"/>
          <w14:ligatures w14:val="none"/>
        </w:rPr>
        <w:t xml:space="preserve"> et al., 2011; Assogba et al., 2019). </w:t>
      </w:r>
      <w:proofErr w:type="spellStart"/>
      <w:r w:rsidRPr="00EE51DE">
        <w:rPr>
          <w:rFonts w:ascii="Times New Roman" w:eastAsia="Times New Roman" w:hAnsi="Times New Roman" w:cs="Times New Roman"/>
          <w:kern w:val="0"/>
          <w14:ligatures w14:val="none"/>
        </w:rPr>
        <w:t>Douny</w:t>
      </w:r>
      <w:proofErr w:type="spellEnd"/>
      <w:r w:rsidRPr="00EE51DE">
        <w:rPr>
          <w:rFonts w:ascii="Times New Roman" w:eastAsia="Times New Roman" w:hAnsi="Times New Roman" w:cs="Times New Roman"/>
          <w:kern w:val="0"/>
          <w14:ligatures w14:val="none"/>
        </w:rPr>
        <w:t xml:space="preserve"> et al. (2021) showed that exposure to PAHs and biogenic amines through smoked fish in Cambodia reached toxicologically significant levels. Yet, consumer awareness remains low in countries like Nigeria, where smoked fish is a staple (Daniel et al., 2013).</w:t>
      </w:r>
    </w:p>
    <w:p w14:paraId="54AD6825"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Despite the growing interest in food toxicology, there is a </w:t>
      </w:r>
      <w:r w:rsidRPr="00EE51DE">
        <w:rPr>
          <w:rFonts w:ascii="Times New Roman" w:eastAsia="Times New Roman" w:hAnsi="Times New Roman" w:cs="Times New Roman"/>
          <w:b/>
          <w:bCs/>
          <w:kern w:val="0"/>
          <w14:ligatures w14:val="none"/>
        </w:rPr>
        <w:t>paucity of comprehensive animal model studies</w:t>
      </w:r>
      <w:r w:rsidRPr="00EE51DE">
        <w:rPr>
          <w:rFonts w:ascii="Times New Roman" w:eastAsia="Times New Roman" w:hAnsi="Times New Roman" w:cs="Times New Roman"/>
          <w:kern w:val="0"/>
          <w14:ligatures w14:val="none"/>
        </w:rPr>
        <w:t xml:space="preserve"> investigating the simultaneous impact of smoked fish constituents on hematological, hepatic, renal, and oxidative biomarkers. Most available research isolates either PAH exposure or heavy metal toxicity without examining their potential synergistic or cumulative effects (Darwish et al., 2019; Gunter et al., 2007).</w:t>
      </w:r>
    </w:p>
    <w:p w14:paraId="1B812950"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b/>
          <w:bCs/>
          <w:kern w:val="0"/>
          <w14:ligatures w14:val="none"/>
        </w:rPr>
        <w:t>Therefore, this study investigates the toxicological effects of smoked fish extract on liver and kidney function in albino rats</w:t>
      </w:r>
      <w:r w:rsidRPr="00EE51DE">
        <w:rPr>
          <w:rFonts w:ascii="Times New Roman" w:eastAsia="Times New Roman" w:hAnsi="Times New Roman" w:cs="Times New Roman"/>
          <w:kern w:val="0"/>
          <w14:ligatures w14:val="none"/>
        </w:rPr>
        <w:t xml:space="preserve">, focusing on biochemical, hematological, and oxidative </w:t>
      </w:r>
      <w:r w:rsidRPr="00EE51DE">
        <w:rPr>
          <w:rFonts w:ascii="Times New Roman" w:eastAsia="Times New Roman" w:hAnsi="Times New Roman" w:cs="Times New Roman"/>
          <w:kern w:val="0"/>
          <w14:ligatures w14:val="none"/>
        </w:rPr>
        <w:lastRenderedPageBreak/>
        <w:t xml:space="preserve">parameters. This research is significant not only for public health surveillance but also for guiding food safety policies. The findings are expected to contribute toward the development of </w:t>
      </w:r>
      <w:r w:rsidRPr="00EE51DE">
        <w:rPr>
          <w:rFonts w:ascii="Times New Roman" w:eastAsia="Times New Roman" w:hAnsi="Times New Roman" w:cs="Times New Roman"/>
          <w:b/>
          <w:bCs/>
          <w:kern w:val="0"/>
          <w14:ligatures w14:val="none"/>
        </w:rPr>
        <w:t>safer traditional processing practices</w:t>
      </w:r>
      <w:r w:rsidRPr="00EE51DE">
        <w:rPr>
          <w:rFonts w:ascii="Times New Roman" w:eastAsia="Times New Roman" w:hAnsi="Times New Roman" w:cs="Times New Roman"/>
          <w:kern w:val="0"/>
          <w14:ligatures w14:val="none"/>
        </w:rPr>
        <w:t xml:space="preserve">, including </w:t>
      </w:r>
      <w:r w:rsidRPr="00EE51DE">
        <w:rPr>
          <w:rFonts w:ascii="Times New Roman" w:eastAsia="Times New Roman" w:hAnsi="Times New Roman" w:cs="Times New Roman"/>
          <w:b/>
          <w:bCs/>
          <w:kern w:val="0"/>
          <w14:ligatures w14:val="none"/>
        </w:rPr>
        <w:t>awareness creation, fuel source regulation, and toxicological monitoring</w:t>
      </w:r>
      <w:r w:rsidRPr="00EE51DE">
        <w:rPr>
          <w:rFonts w:ascii="Times New Roman" w:eastAsia="Times New Roman" w:hAnsi="Times New Roman" w:cs="Times New Roman"/>
          <w:kern w:val="0"/>
          <w14:ligatures w14:val="none"/>
        </w:rPr>
        <w:t>, to protect both consumers and processors of smoked fish in resource-limited settings.</w:t>
      </w:r>
    </w:p>
    <w:p w14:paraId="451A9BAF" w14:textId="77777777" w:rsidR="00EE51DE" w:rsidRPr="00EE51DE" w:rsidRDefault="00EE51DE" w:rsidP="00E52A83">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p>
    <w:p w14:paraId="28D35634" w14:textId="77777777" w:rsidR="00EE51DE" w:rsidRPr="00EE51DE" w:rsidRDefault="00EE51DE" w:rsidP="00E52A83">
      <w:pPr>
        <w:spacing w:before="100" w:beforeAutospacing="1" w:after="100" w:afterAutospacing="1" w:line="240" w:lineRule="auto"/>
        <w:jc w:val="both"/>
        <w:outlineLvl w:val="1"/>
        <w:rPr>
          <w:rFonts w:ascii="Arial" w:eastAsia="Times New Roman" w:hAnsi="Arial" w:cs="Arial"/>
          <w:b/>
          <w:bCs/>
          <w:kern w:val="0"/>
          <w:sz w:val="22"/>
          <w:szCs w:val="22"/>
          <w14:ligatures w14:val="none"/>
        </w:rPr>
      </w:pPr>
      <w:r w:rsidRPr="00EE51DE">
        <w:rPr>
          <w:rFonts w:ascii="Arial" w:eastAsia="Times New Roman" w:hAnsi="Arial" w:cs="Arial"/>
          <w:b/>
          <w:bCs/>
          <w:kern w:val="0"/>
          <w:sz w:val="22"/>
          <w:szCs w:val="22"/>
          <w14:ligatures w14:val="none"/>
        </w:rPr>
        <w:t>2. MATERIALS AND METHODS</w:t>
      </w:r>
    </w:p>
    <w:p w14:paraId="4E9EC342"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2.1. SOURCE AND PREPARATION OF SMOKED FISH EXTRACT</w:t>
      </w:r>
    </w:p>
    <w:p w14:paraId="3BB5A7EC" w14:textId="276471BE" w:rsidR="00EE51DE" w:rsidRPr="00EE51DE" w:rsidRDefault="001A6BCA" w:rsidP="00E52A83">
      <w:pPr>
        <w:spacing w:before="100" w:beforeAutospacing="1" w:after="100" w:afterAutospacing="1" w:line="240" w:lineRule="auto"/>
        <w:jc w:val="both"/>
        <w:rPr>
          <w:rFonts w:ascii="Arial" w:eastAsia="Times New Roman" w:hAnsi="Arial" w:cs="Arial"/>
          <w:kern w:val="0"/>
          <w:sz w:val="20"/>
          <w:szCs w:val="20"/>
          <w14:ligatures w14:val="none"/>
        </w:rPr>
      </w:pPr>
      <w:r>
        <w:t>To mitigate variability, smoked fish samples were pooled from multiple vendors and homogenized before extraction. This composite sampling approach ensured a representative mixture reflective of average contaminant load in local smoked fish. Additionally, all fish were limited to two commonly consumed species—</w:t>
      </w:r>
      <w:proofErr w:type="spellStart"/>
      <w:r>
        <w:rPr>
          <w:rStyle w:val="Emphasis"/>
        </w:rPr>
        <w:t>Clarias</w:t>
      </w:r>
      <w:proofErr w:type="spellEnd"/>
      <w:r>
        <w:rPr>
          <w:rStyle w:val="Emphasis"/>
        </w:rPr>
        <w:t xml:space="preserve"> </w:t>
      </w:r>
      <w:proofErr w:type="spellStart"/>
      <w:r>
        <w:rPr>
          <w:rStyle w:val="Emphasis"/>
        </w:rPr>
        <w:t>gariepinus</w:t>
      </w:r>
      <w:proofErr w:type="spellEnd"/>
      <w:r>
        <w:t xml:space="preserve"> and </w:t>
      </w:r>
      <w:proofErr w:type="spellStart"/>
      <w:r>
        <w:rPr>
          <w:rStyle w:val="Emphasis"/>
        </w:rPr>
        <w:t>Ethmalosa</w:t>
      </w:r>
      <w:proofErr w:type="spellEnd"/>
      <w:r>
        <w:rPr>
          <w:rStyle w:val="Emphasis"/>
        </w:rPr>
        <w:t xml:space="preserve"> fimbriata</w:t>
      </w:r>
      <w:r>
        <w:t xml:space="preserve">—to control for species-specific bioaccumulation effects. </w:t>
      </w:r>
      <w:r w:rsidR="00EE51DE" w:rsidRPr="00EE51DE">
        <w:rPr>
          <w:rFonts w:ascii="Arial" w:eastAsia="Times New Roman" w:hAnsi="Arial" w:cs="Arial"/>
          <w:kern w:val="0"/>
          <w:sz w:val="20"/>
          <w:szCs w:val="20"/>
          <w14:ligatures w14:val="none"/>
        </w:rPr>
        <w:t>Commercially smoked fish samples were obtained from local markets and street vendors in Port Harcourt, Niger</w:t>
      </w:r>
      <w:r>
        <w:rPr>
          <w:rFonts w:ascii="Arial" w:eastAsia="Times New Roman" w:hAnsi="Arial" w:cs="Arial"/>
          <w:kern w:val="0"/>
          <w:sz w:val="20"/>
          <w:szCs w:val="20"/>
          <w14:ligatures w14:val="none"/>
        </w:rPr>
        <w:t>ia,</w:t>
      </w:r>
      <w:r w:rsidR="00EE51DE" w:rsidRPr="00EE51DE">
        <w:rPr>
          <w:rFonts w:ascii="Arial" w:eastAsia="Times New Roman" w:hAnsi="Arial" w:cs="Arial"/>
          <w:kern w:val="0"/>
          <w:sz w:val="20"/>
          <w:szCs w:val="20"/>
          <w14:ligatures w14:val="none"/>
        </w:rPr>
        <w:t xml:space="preserve"> </w:t>
      </w:r>
      <w:r w:rsidR="00EE51DE" w:rsidRPr="00EE51DE">
        <w:t>both of which are among the most commonly consumed species in Nigeria. These species are known to exhibit differences in lipid content and habitat, which can significantly influence the concentration and bioaccumulation of polycyclic aromatic hydrocarbons (PAHs) and heavy metals during smoking processes. Their inclusion strengthens the study by ensuring that the findings reflect realistic dietary exposure scenarios relevant to local consumption patterns.</w:t>
      </w:r>
      <w:r w:rsidR="00EE51DE" w:rsidRPr="00EE51DE" w:rsidDel="0092797C">
        <w:rPr>
          <w:rFonts w:ascii="Arial" w:eastAsia="Times New Roman" w:hAnsi="Arial" w:cs="Arial"/>
          <w:kern w:val="0"/>
          <w:sz w:val="20"/>
          <w:szCs w:val="20"/>
          <w14:ligatures w14:val="none"/>
        </w:rPr>
        <w:t xml:space="preserve"> </w:t>
      </w:r>
      <w:r w:rsidR="00EE51DE" w:rsidRPr="00EE51DE">
        <w:rPr>
          <w:rFonts w:ascii="Arial" w:eastAsia="Times New Roman" w:hAnsi="Arial" w:cs="Arial"/>
          <w:kern w:val="0"/>
          <w:sz w:val="20"/>
          <w:szCs w:val="20"/>
          <w14:ligatures w14:val="none"/>
        </w:rPr>
        <w:t xml:space="preserve">were homogenized using a </w:t>
      </w:r>
      <w:proofErr w:type="gramStart"/>
      <w:r w:rsidR="00EE51DE" w:rsidRPr="00EE51DE">
        <w:rPr>
          <w:rFonts w:ascii="Arial" w:eastAsia="Times New Roman" w:hAnsi="Arial" w:cs="Arial"/>
          <w:kern w:val="0"/>
          <w:sz w:val="20"/>
          <w:szCs w:val="20"/>
          <w14:ligatures w14:val="none"/>
        </w:rPr>
        <w:t>stainless steel</w:t>
      </w:r>
      <w:proofErr w:type="gramEnd"/>
      <w:r w:rsidR="00EE51DE" w:rsidRPr="00EE51DE">
        <w:rPr>
          <w:rFonts w:ascii="Arial" w:eastAsia="Times New Roman" w:hAnsi="Arial" w:cs="Arial"/>
          <w:kern w:val="0"/>
          <w:sz w:val="20"/>
          <w:szCs w:val="20"/>
          <w14:ligatures w14:val="none"/>
        </w:rPr>
        <w:t xml:space="preserve"> blender and subjected to Soxhlet extraction for 8 hours using a solvent mixture of hexane–dichloromethane (3:1, v/v). The resulting extracts were concentrated with a rotary evaporator at 40 °C to remove solvents and stored at 4 °C until use. Fresh doses were prepared daily based on the individual body weights of the experimental animals.</w:t>
      </w:r>
    </w:p>
    <w:p w14:paraId="42F7E69F" w14:textId="1B21CE08"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 xml:space="preserve">2.2. EXPERIMENTAL ANIMALS </w:t>
      </w:r>
    </w:p>
    <w:p w14:paraId="3B572C17" w14:textId="64E3D1EA"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t xml:space="preserve">Twenty (20) adult male albino rats (mean weight: 199.3 ± 12.4 g; range: 180–220 g) were procured from a certified animal breeding facility. The animals were randomized into four experimental groups (n = 5 per group) such that each group contained rats with comparable mean body weights to minimize variability in dose response and organ weight ratios, including the hepato-somatic index. Rats were housed in standard polypropylene cages, with each cage containing five rats from the same group. They were acclimatized for one week under standard laboratory conditions (22 ± 2 °C; 12-hour light/dark cycle), with ad libitum access to clean drinking water and standard pellet diet. </w:t>
      </w:r>
      <w:r>
        <w:t>Intraperitoneal administration was employed to ensure uniform and complete systemic bioavailability of the extract, minimizing inter-animal variability from gastrointestinal factors such as first-pass metabolism, enzymatic degradation, or variable absorption. Although dietary intake is the principal human exposure route, the intraperitoneal route offers enhanced toxicokinetic reliability for mechanistic studies, especially when quantifying dose-response relationships under controlled experimental conditions.</w:t>
      </w:r>
    </w:p>
    <w:p w14:paraId="1A434F64"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2.3. ANIMAL GROUPING AND TREATMENT REGIMEN</w:t>
      </w:r>
    </w:p>
    <w:p w14:paraId="23496B6C" w14:textId="77777777"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lastRenderedPageBreak/>
        <w:t>The rats were randomly assigned into four groups (n = 5 rats per group) as follows:</w:t>
      </w:r>
    </w:p>
    <w:p w14:paraId="52AADBA2" w14:textId="77777777" w:rsidR="00EE51DE" w:rsidRPr="00EE51DE" w:rsidRDefault="00EE51DE" w:rsidP="00E52A83">
      <w:pPr>
        <w:numPr>
          <w:ilvl w:val="0"/>
          <w:numId w:val="3"/>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Group I (Control):</w:t>
      </w:r>
      <w:r w:rsidRPr="00EE51DE">
        <w:rPr>
          <w:rFonts w:ascii="Arial" w:eastAsia="Times New Roman" w:hAnsi="Arial" w:cs="Arial"/>
          <w:kern w:val="0"/>
          <w:sz w:val="20"/>
          <w:szCs w:val="20"/>
          <w14:ligatures w14:val="none"/>
        </w:rPr>
        <w:t xml:space="preserve"> Received 0.9% normal saline intraperitoneally.</w:t>
      </w:r>
    </w:p>
    <w:p w14:paraId="7FB8C80A" w14:textId="77777777" w:rsidR="00EE51DE" w:rsidRPr="00EE51DE" w:rsidRDefault="00EE51DE" w:rsidP="00E52A83">
      <w:pPr>
        <w:numPr>
          <w:ilvl w:val="0"/>
          <w:numId w:val="3"/>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Group II (Low Dose):</w:t>
      </w:r>
      <w:r w:rsidRPr="00EE51DE">
        <w:rPr>
          <w:rFonts w:ascii="Arial" w:eastAsia="Times New Roman" w:hAnsi="Arial" w:cs="Arial"/>
          <w:kern w:val="0"/>
          <w:sz w:val="20"/>
          <w:szCs w:val="20"/>
          <w14:ligatures w14:val="none"/>
        </w:rPr>
        <w:t xml:space="preserve"> Received 50 mg/kg body weight of smoked fish extract intraperitoneally.</w:t>
      </w:r>
    </w:p>
    <w:p w14:paraId="6EDF20F0" w14:textId="77777777" w:rsidR="00EE51DE" w:rsidRPr="00EE51DE" w:rsidRDefault="00EE51DE" w:rsidP="00E52A83">
      <w:pPr>
        <w:numPr>
          <w:ilvl w:val="0"/>
          <w:numId w:val="3"/>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Group III (Medium Dose):</w:t>
      </w:r>
      <w:r w:rsidRPr="00EE51DE">
        <w:rPr>
          <w:rFonts w:ascii="Arial" w:eastAsia="Times New Roman" w:hAnsi="Arial" w:cs="Arial"/>
          <w:kern w:val="0"/>
          <w:sz w:val="20"/>
          <w:szCs w:val="20"/>
          <w14:ligatures w14:val="none"/>
        </w:rPr>
        <w:t xml:space="preserve"> Received 100 mg/kg body weight of smoked fish extract intraperitoneally.</w:t>
      </w:r>
    </w:p>
    <w:p w14:paraId="00FF9A64" w14:textId="77777777" w:rsidR="00EE51DE" w:rsidRPr="00EE51DE" w:rsidRDefault="00EE51DE" w:rsidP="00E52A83">
      <w:pPr>
        <w:numPr>
          <w:ilvl w:val="0"/>
          <w:numId w:val="3"/>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Group IV (High Dose):</w:t>
      </w:r>
      <w:r w:rsidRPr="00EE51DE">
        <w:rPr>
          <w:rFonts w:ascii="Arial" w:eastAsia="Times New Roman" w:hAnsi="Arial" w:cs="Arial"/>
          <w:kern w:val="0"/>
          <w:sz w:val="20"/>
          <w:szCs w:val="20"/>
          <w14:ligatures w14:val="none"/>
        </w:rPr>
        <w:t xml:space="preserve"> Received 200 mg/kg body weight of smoked fish extract intraperitoneally.</w:t>
      </w:r>
    </w:p>
    <w:p w14:paraId="68D2A3E6"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Treatments were administered once daily for 28 consecutive days.</w:t>
      </w:r>
    </w:p>
    <w:p w14:paraId="73E6A9E3"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2.4. BIOCHEMICAL ASSAYS</w:t>
      </w:r>
    </w:p>
    <w:p w14:paraId="73104E04" w14:textId="77777777"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At the end of the treatment period, the rats were fasted overnight and euthanized under light anesthesia. Blood was collected via cardiac puncture and centrifuged at 3,000 rpm for 10 minutes to obtain serum. The following biochemical parameters were analyzed using standard diagnostic kits (Randox Laboratories, UK):</w:t>
      </w:r>
    </w:p>
    <w:p w14:paraId="538DE6AA" w14:textId="77777777" w:rsidR="00EE51DE" w:rsidRPr="00EE51DE" w:rsidRDefault="00EE51DE" w:rsidP="00E52A83">
      <w:pPr>
        <w:numPr>
          <w:ilvl w:val="0"/>
          <w:numId w:val="4"/>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Liver Function Tests:</w:t>
      </w:r>
      <w:r w:rsidRPr="00EE51DE">
        <w:rPr>
          <w:rFonts w:ascii="Arial" w:eastAsia="Times New Roman" w:hAnsi="Arial" w:cs="Arial"/>
          <w:kern w:val="0"/>
          <w:sz w:val="20"/>
          <w:szCs w:val="20"/>
          <w14:ligatures w14:val="none"/>
        </w:rPr>
        <w:t xml:space="preserve"> Alanine aminotransferase (ALT), Aspartate aminotransferase (AST)</w:t>
      </w:r>
    </w:p>
    <w:p w14:paraId="05D6E14D" w14:textId="77777777" w:rsidR="00EE51DE" w:rsidRPr="00EE51DE" w:rsidRDefault="00EE51DE" w:rsidP="00E52A83">
      <w:pPr>
        <w:numPr>
          <w:ilvl w:val="0"/>
          <w:numId w:val="4"/>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Kidney Function Tests:</w:t>
      </w:r>
      <w:r w:rsidRPr="00EE51DE">
        <w:rPr>
          <w:rFonts w:ascii="Arial" w:eastAsia="Times New Roman" w:hAnsi="Arial" w:cs="Arial"/>
          <w:kern w:val="0"/>
          <w:sz w:val="20"/>
          <w:szCs w:val="20"/>
          <w14:ligatures w14:val="none"/>
        </w:rPr>
        <w:t xml:space="preserve"> Urea, Creatinine</w:t>
      </w:r>
    </w:p>
    <w:p w14:paraId="1F8DFCC6" w14:textId="77777777" w:rsidR="00EE51DE" w:rsidRPr="00EE51DE" w:rsidRDefault="00EE51DE" w:rsidP="00E52A83">
      <w:pPr>
        <w:numPr>
          <w:ilvl w:val="0"/>
          <w:numId w:val="4"/>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Oxidative Stress Markers:</w:t>
      </w:r>
      <w:r w:rsidRPr="00EE51DE">
        <w:rPr>
          <w:rFonts w:ascii="Arial" w:eastAsia="Times New Roman" w:hAnsi="Arial" w:cs="Arial"/>
          <w:kern w:val="0"/>
          <w:sz w:val="20"/>
          <w:szCs w:val="20"/>
          <w14:ligatures w14:val="none"/>
        </w:rPr>
        <w:t xml:space="preserve"> Malondialdehyde (MDA), Superoxide dismutase (SOD)</w:t>
      </w:r>
    </w:p>
    <w:p w14:paraId="2526FB71"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2.5. HISTOPATHOLOGICAL EXAMINATION</w:t>
      </w:r>
    </w:p>
    <w:p w14:paraId="6388EAC7" w14:textId="77777777"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Liver and kidney tissues were harvested, rinsed in physiological saline, and fixed in 10% buffered formalin. The tissues were processed, embedded in paraffin wax, and sectioned at 5 µm thickness. Sections were stained with hematoxylin and eosin (H&amp;E) and examined under a light microscope for structural and pathological alterations.</w:t>
      </w:r>
    </w:p>
    <w:p w14:paraId="16A3AE23"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2.6. GC-MS ANALYSIS OF POLYCYCLIC AROMATIC HYDROCARBONS (PAHS)</w:t>
      </w:r>
    </w:p>
    <w:p w14:paraId="205C2007" w14:textId="77777777"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 portion of the smoked fish extract was subjected to Gas Chromatography-Mass Spectrometry (GC-MS) analysis to quantify polycyclic aromatic hydrocarbons. Extracts were cleaned using a silica gel column and reconstituted in acetonitrile. Analysis was carried out using an Agilent 7890A GC system coupled with a 5975C Mass Selective Detector and an HP-5MS capillary column (30 m × 0.25 mm × 0.25 µm). The oven temperature was programmed from 70 °C to 280 °C. Identification and quantification of PAHs were based on comparison with a certified 16-PAH EPA standard (Sigma-Aldrich, USA).</w:t>
      </w:r>
    </w:p>
    <w:p w14:paraId="09455F93"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2.7. STATISTICAL ANALYSIS</w:t>
      </w:r>
    </w:p>
    <w:p w14:paraId="45703244" w14:textId="77777777"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Data were expressed as mean ± standard deviation (SD). Statistical analysis was performed using one-way ANOVA followed by Tukey's post hoc test to evaluate inter-group differences. A p-value of &lt; 0.05 was considered statistically significant. Graphs were generated using GraphPad Prism version 9.0.</w:t>
      </w:r>
    </w:p>
    <w:p w14:paraId="7C452674"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p>
    <w:p w14:paraId="03E1227C" w14:textId="77777777" w:rsidR="00EE51DE" w:rsidRPr="00EE51DE" w:rsidRDefault="00EE51DE" w:rsidP="00E52A83">
      <w:pPr>
        <w:spacing w:before="100" w:beforeAutospacing="1" w:after="100" w:afterAutospacing="1" w:line="240" w:lineRule="auto"/>
        <w:jc w:val="both"/>
        <w:outlineLvl w:val="1"/>
        <w:rPr>
          <w:rFonts w:ascii="Arial" w:eastAsia="Times New Roman" w:hAnsi="Arial" w:cs="Arial"/>
          <w:b/>
          <w:bCs/>
          <w:kern w:val="0"/>
          <w:sz w:val="22"/>
          <w:szCs w:val="22"/>
          <w14:ligatures w14:val="none"/>
        </w:rPr>
      </w:pPr>
      <w:r w:rsidRPr="00EE51DE">
        <w:rPr>
          <w:rFonts w:ascii="Arial" w:eastAsia="Times New Roman" w:hAnsi="Arial" w:cs="Arial"/>
          <w:b/>
          <w:bCs/>
          <w:kern w:val="0"/>
          <w:sz w:val="22"/>
          <w:szCs w:val="22"/>
          <w14:ligatures w14:val="none"/>
        </w:rPr>
        <w:t xml:space="preserve">3. RESULTS </w:t>
      </w:r>
    </w:p>
    <w:p w14:paraId="6EF4A9B7"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Hematological Indices</w:t>
      </w:r>
    </w:p>
    <w:p w14:paraId="3B1FB3F0"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Table 1 presents the complete blood count (CBC) results across the four experimental groups. Rats exposed to smoked fish extract showed a significant, dose-dependent increase in WBC, granulocyte %, RDW-CV, RDW-SD, and platelet indices (PLT, MPV, PDW, PCT) compared to </w:t>
      </w:r>
      <w:r w:rsidRPr="00EE51DE">
        <w:rPr>
          <w:rFonts w:ascii="Times New Roman" w:eastAsia="Times New Roman" w:hAnsi="Times New Roman" w:cs="Times New Roman"/>
          <w:kern w:val="0"/>
          <w14:ligatures w14:val="none"/>
        </w:rPr>
        <w:lastRenderedPageBreak/>
        <w:t>control. Conversely, RBC, hemoglobin (HGB), hematocrit (HCT), and lymphocyte % significantly decreased with increasing dose (p &lt; 0.05). The hematological alterations indicate a potential inflammatory and anemic response induced by the extract.</w:t>
      </w:r>
    </w:p>
    <w:p w14:paraId="4A46CBBD"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Table 1. Complete Blood Count (CBC) Results for the Four Experimental Groups</w:t>
      </w:r>
    </w:p>
    <w:p w14:paraId="1902EB6D"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87"/>
        <w:gridCol w:w="1331"/>
        <w:gridCol w:w="1582"/>
        <w:gridCol w:w="1874"/>
        <w:gridCol w:w="1605"/>
        <w:gridCol w:w="81"/>
      </w:tblGrid>
      <w:tr w:rsidR="00EE51DE" w:rsidRPr="00EE51DE" w14:paraId="42CA51FC" w14:textId="77777777" w:rsidTr="00940E25">
        <w:trPr>
          <w:tblHeader/>
          <w:tblCellSpacing w:w="15" w:type="dxa"/>
        </w:trPr>
        <w:tc>
          <w:tcPr>
            <w:tcW w:w="0" w:type="auto"/>
            <w:tcBorders>
              <w:top w:val="single" w:sz="4" w:space="0" w:color="auto"/>
              <w:bottom w:val="single" w:sz="4" w:space="0" w:color="auto"/>
            </w:tcBorders>
            <w:vAlign w:val="center"/>
            <w:hideMark/>
          </w:tcPr>
          <w:p w14:paraId="200E7F4E"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Parameter</w:t>
            </w:r>
          </w:p>
        </w:tc>
        <w:tc>
          <w:tcPr>
            <w:tcW w:w="0" w:type="auto"/>
            <w:tcBorders>
              <w:top w:val="single" w:sz="4" w:space="0" w:color="auto"/>
              <w:bottom w:val="single" w:sz="4" w:space="0" w:color="auto"/>
            </w:tcBorders>
            <w:vAlign w:val="center"/>
            <w:hideMark/>
          </w:tcPr>
          <w:p w14:paraId="67368A7B"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Group 1 (Control)</w:t>
            </w:r>
          </w:p>
        </w:tc>
        <w:tc>
          <w:tcPr>
            <w:tcW w:w="0" w:type="auto"/>
            <w:tcBorders>
              <w:top w:val="single" w:sz="4" w:space="0" w:color="auto"/>
              <w:bottom w:val="single" w:sz="4" w:space="0" w:color="auto"/>
            </w:tcBorders>
            <w:vAlign w:val="center"/>
            <w:hideMark/>
          </w:tcPr>
          <w:p w14:paraId="326B84E6"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Group 2 (Low Dose PAH)</w:t>
            </w:r>
          </w:p>
        </w:tc>
        <w:tc>
          <w:tcPr>
            <w:tcW w:w="0" w:type="auto"/>
            <w:tcBorders>
              <w:top w:val="single" w:sz="4" w:space="0" w:color="auto"/>
              <w:bottom w:val="single" w:sz="4" w:space="0" w:color="auto"/>
            </w:tcBorders>
            <w:vAlign w:val="center"/>
            <w:hideMark/>
          </w:tcPr>
          <w:p w14:paraId="61D63AD4"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Group 3 (Medium Dose PAH)</w:t>
            </w:r>
          </w:p>
        </w:tc>
        <w:tc>
          <w:tcPr>
            <w:tcW w:w="0" w:type="auto"/>
            <w:tcBorders>
              <w:top w:val="single" w:sz="4" w:space="0" w:color="auto"/>
              <w:bottom w:val="single" w:sz="4" w:space="0" w:color="auto"/>
            </w:tcBorders>
            <w:vAlign w:val="center"/>
            <w:hideMark/>
          </w:tcPr>
          <w:p w14:paraId="729BB798"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Group 4 (High Dose PAH)</w:t>
            </w:r>
          </w:p>
        </w:tc>
        <w:tc>
          <w:tcPr>
            <w:tcW w:w="0" w:type="auto"/>
          </w:tcPr>
          <w:p w14:paraId="5ADF4797"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p>
        </w:tc>
      </w:tr>
      <w:tr w:rsidR="00EE51DE" w:rsidRPr="00EE51DE" w14:paraId="31149A66" w14:textId="77777777" w:rsidTr="00940E25">
        <w:trPr>
          <w:tblCellSpacing w:w="15" w:type="dxa"/>
        </w:trPr>
        <w:tc>
          <w:tcPr>
            <w:tcW w:w="0" w:type="auto"/>
            <w:vAlign w:val="center"/>
            <w:hideMark/>
          </w:tcPr>
          <w:p w14:paraId="66B7FA2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White Blood Cell (WBC) (×10⁹/L)</w:t>
            </w:r>
          </w:p>
        </w:tc>
        <w:tc>
          <w:tcPr>
            <w:tcW w:w="0" w:type="auto"/>
            <w:vAlign w:val="center"/>
            <w:hideMark/>
          </w:tcPr>
          <w:p w14:paraId="3B0385B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6.5 ± 0.4</w:t>
            </w:r>
          </w:p>
        </w:tc>
        <w:tc>
          <w:tcPr>
            <w:tcW w:w="0" w:type="auto"/>
            <w:vAlign w:val="center"/>
            <w:hideMark/>
          </w:tcPr>
          <w:p w14:paraId="112D095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7.2 ± 0.3</w:t>
            </w:r>
          </w:p>
        </w:tc>
        <w:tc>
          <w:tcPr>
            <w:tcW w:w="0" w:type="auto"/>
            <w:vAlign w:val="center"/>
            <w:hideMark/>
          </w:tcPr>
          <w:p w14:paraId="07CBCB8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8.9 ± 0.5</w:t>
            </w:r>
          </w:p>
        </w:tc>
        <w:tc>
          <w:tcPr>
            <w:tcW w:w="0" w:type="auto"/>
            <w:vAlign w:val="center"/>
            <w:hideMark/>
          </w:tcPr>
          <w:p w14:paraId="304C0F7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10.3 ± 0.6</w:t>
            </w:r>
          </w:p>
        </w:tc>
        <w:tc>
          <w:tcPr>
            <w:tcW w:w="0" w:type="auto"/>
          </w:tcPr>
          <w:p w14:paraId="70F98FF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648B7A7F" w14:textId="77777777" w:rsidTr="00940E25">
        <w:trPr>
          <w:tblCellSpacing w:w="15" w:type="dxa"/>
        </w:trPr>
        <w:tc>
          <w:tcPr>
            <w:tcW w:w="0" w:type="auto"/>
            <w:vAlign w:val="center"/>
            <w:hideMark/>
          </w:tcPr>
          <w:p w14:paraId="7E74003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Lymphocyte %</w:t>
            </w:r>
          </w:p>
        </w:tc>
        <w:tc>
          <w:tcPr>
            <w:tcW w:w="0" w:type="auto"/>
            <w:vAlign w:val="center"/>
            <w:hideMark/>
          </w:tcPr>
          <w:p w14:paraId="43390A8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68.0 ± 2.5</w:t>
            </w:r>
          </w:p>
        </w:tc>
        <w:tc>
          <w:tcPr>
            <w:tcW w:w="0" w:type="auto"/>
            <w:vAlign w:val="center"/>
            <w:hideMark/>
          </w:tcPr>
          <w:p w14:paraId="7E56DBF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65.4 ± 3.1</w:t>
            </w:r>
          </w:p>
        </w:tc>
        <w:tc>
          <w:tcPr>
            <w:tcW w:w="0" w:type="auto"/>
            <w:vAlign w:val="center"/>
            <w:hideMark/>
          </w:tcPr>
          <w:p w14:paraId="6542D3D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61.2 ± 2.9</w:t>
            </w:r>
          </w:p>
        </w:tc>
        <w:tc>
          <w:tcPr>
            <w:tcW w:w="0" w:type="auto"/>
            <w:vAlign w:val="center"/>
            <w:hideMark/>
          </w:tcPr>
          <w:p w14:paraId="4FC622B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57.5 ± 2.8</w:t>
            </w:r>
          </w:p>
        </w:tc>
        <w:tc>
          <w:tcPr>
            <w:tcW w:w="0" w:type="auto"/>
          </w:tcPr>
          <w:p w14:paraId="7F2FB6F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54CAC225" w14:textId="77777777" w:rsidTr="00940E25">
        <w:trPr>
          <w:tblCellSpacing w:w="15" w:type="dxa"/>
        </w:trPr>
        <w:tc>
          <w:tcPr>
            <w:tcW w:w="0" w:type="auto"/>
            <w:vAlign w:val="center"/>
            <w:hideMark/>
          </w:tcPr>
          <w:p w14:paraId="55E746B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Monocyte %</w:t>
            </w:r>
          </w:p>
        </w:tc>
        <w:tc>
          <w:tcPr>
            <w:tcW w:w="0" w:type="auto"/>
            <w:vAlign w:val="center"/>
            <w:hideMark/>
          </w:tcPr>
          <w:p w14:paraId="24906F2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5.2 ± 0.8</w:t>
            </w:r>
          </w:p>
        </w:tc>
        <w:tc>
          <w:tcPr>
            <w:tcW w:w="0" w:type="auto"/>
            <w:vAlign w:val="center"/>
            <w:hideMark/>
          </w:tcPr>
          <w:p w14:paraId="540556D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6.0 ± 0.9</w:t>
            </w:r>
          </w:p>
        </w:tc>
        <w:tc>
          <w:tcPr>
            <w:tcW w:w="0" w:type="auto"/>
            <w:vAlign w:val="center"/>
            <w:hideMark/>
          </w:tcPr>
          <w:p w14:paraId="6BE0E22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6.5 ± 1.0</w:t>
            </w:r>
          </w:p>
        </w:tc>
        <w:tc>
          <w:tcPr>
            <w:tcW w:w="0" w:type="auto"/>
            <w:vAlign w:val="center"/>
            <w:hideMark/>
          </w:tcPr>
          <w:p w14:paraId="2D51A60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7.4 ± 0.7</w:t>
            </w:r>
          </w:p>
        </w:tc>
        <w:tc>
          <w:tcPr>
            <w:tcW w:w="0" w:type="auto"/>
          </w:tcPr>
          <w:p w14:paraId="305C022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37433913" w14:textId="77777777" w:rsidTr="00940E25">
        <w:trPr>
          <w:tblCellSpacing w:w="15" w:type="dxa"/>
        </w:trPr>
        <w:tc>
          <w:tcPr>
            <w:tcW w:w="0" w:type="auto"/>
            <w:vAlign w:val="center"/>
            <w:hideMark/>
          </w:tcPr>
          <w:p w14:paraId="0186DF9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Granulocyte %</w:t>
            </w:r>
          </w:p>
        </w:tc>
        <w:tc>
          <w:tcPr>
            <w:tcW w:w="0" w:type="auto"/>
            <w:vAlign w:val="center"/>
            <w:hideMark/>
          </w:tcPr>
          <w:p w14:paraId="2E3C1E5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26.8 ± 1.9</w:t>
            </w:r>
          </w:p>
        </w:tc>
        <w:tc>
          <w:tcPr>
            <w:tcW w:w="0" w:type="auto"/>
            <w:vAlign w:val="center"/>
            <w:hideMark/>
          </w:tcPr>
          <w:p w14:paraId="5363ABF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28.6 ± 2.0</w:t>
            </w:r>
          </w:p>
        </w:tc>
        <w:tc>
          <w:tcPr>
            <w:tcW w:w="0" w:type="auto"/>
            <w:vAlign w:val="center"/>
            <w:hideMark/>
          </w:tcPr>
          <w:p w14:paraId="31C9245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32.3 ± 2.2</w:t>
            </w:r>
          </w:p>
        </w:tc>
        <w:tc>
          <w:tcPr>
            <w:tcW w:w="0" w:type="auto"/>
            <w:vAlign w:val="center"/>
            <w:hideMark/>
          </w:tcPr>
          <w:p w14:paraId="0C832A1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35.1 ± 2.4</w:t>
            </w:r>
          </w:p>
        </w:tc>
        <w:tc>
          <w:tcPr>
            <w:tcW w:w="0" w:type="auto"/>
          </w:tcPr>
          <w:p w14:paraId="1EF1A49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4E7B843D" w14:textId="77777777" w:rsidTr="00940E25">
        <w:trPr>
          <w:tblCellSpacing w:w="15" w:type="dxa"/>
        </w:trPr>
        <w:tc>
          <w:tcPr>
            <w:tcW w:w="0" w:type="auto"/>
            <w:vAlign w:val="center"/>
            <w:hideMark/>
          </w:tcPr>
          <w:p w14:paraId="28F1650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Red Blood Cell (RBC) (×10¹²/L)</w:t>
            </w:r>
          </w:p>
        </w:tc>
        <w:tc>
          <w:tcPr>
            <w:tcW w:w="0" w:type="auto"/>
            <w:vAlign w:val="center"/>
            <w:hideMark/>
          </w:tcPr>
          <w:p w14:paraId="4FBE3A5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7.4 ± 0.2</w:t>
            </w:r>
          </w:p>
        </w:tc>
        <w:tc>
          <w:tcPr>
            <w:tcW w:w="0" w:type="auto"/>
            <w:vAlign w:val="center"/>
            <w:hideMark/>
          </w:tcPr>
          <w:p w14:paraId="4FD162F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6.9 ± 0.3</w:t>
            </w:r>
          </w:p>
        </w:tc>
        <w:tc>
          <w:tcPr>
            <w:tcW w:w="0" w:type="auto"/>
            <w:vAlign w:val="center"/>
            <w:hideMark/>
          </w:tcPr>
          <w:p w14:paraId="2ECF6B0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6.2 ± 0.2</w:t>
            </w:r>
          </w:p>
        </w:tc>
        <w:tc>
          <w:tcPr>
            <w:tcW w:w="0" w:type="auto"/>
            <w:vAlign w:val="center"/>
            <w:hideMark/>
          </w:tcPr>
          <w:p w14:paraId="6649298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5.6 ± 0.3</w:t>
            </w:r>
          </w:p>
        </w:tc>
        <w:tc>
          <w:tcPr>
            <w:tcW w:w="0" w:type="auto"/>
          </w:tcPr>
          <w:p w14:paraId="1FCB1F4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70CF600A" w14:textId="77777777" w:rsidTr="00940E25">
        <w:trPr>
          <w:tblCellSpacing w:w="15" w:type="dxa"/>
        </w:trPr>
        <w:tc>
          <w:tcPr>
            <w:tcW w:w="0" w:type="auto"/>
            <w:vAlign w:val="center"/>
            <w:hideMark/>
          </w:tcPr>
          <w:p w14:paraId="738D00C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Hemoglobin (HGB) (g/dL)</w:t>
            </w:r>
          </w:p>
        </w:tc>
        <w:tc>
          <w:tcPr>
            <w:tcW w:w="0" w:type="auto"/>
            <w:vAlign w:val="center"/>
            <w:hideMark/>
          </w:tcPr>
          <w:p w14:paraId="0363023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14.1 ± 0.4</w:t>
            </w:r>
          </w:p>
        </w:tc>
        <w:tc>
          <w:tcPr>
            <w:tcW w:w="0" w:type="auto"/>
            <w:vAlign w:val="center"/>
            <w:hideMark/>
          </w:tcPr>
          <w:p w14:paraId="08580B6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13.2 ± 0.5</w:t>
            </w:r>
          </w:p>
        </w:tc>
        <w:tc>
          <w:tcPr>
            <w:tcW w:w="0" w:type="auto"/>
            <w:vAlign w:val="center"/>
            <w:hideMark/>
          </w:tcPr>
          <w:p w14:paraId="34BA8D6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11.8 ± 0.4</w:t>
            </w:r>
          </w:p>
        </w:tc>
        <w:tc>
          <w:tcPr>
            <w:tcW w:w="0" w:type="auto"/>
            <w:vAlign w:val="center"/>
            <w:hideMark/>
          </w:tcPr>
          <w:p w14:paraId="73D0064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10.2 ± 0.5</w:t>
            </w:r>
          </w:p>
        </w:tc>
        <w:tc>
          <w:tcPr>
            <w:tcW w:w="0" w:type="auto"/>
          </w:tcPr>
          <w:p w14:paraId="0E8DCBC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4BC00263" w14:textId="77777777" w:rsidTr="00940E25">
        <w:trPr>
          <w:tblCellSpacing w:w="15" w:type="dxa"/>
        </w:trPr>
        <w:tc>
          <w:tcPr>
            <w:tcW w:w="0" w:type="auto"/>
            <w:vAlign w:val="center"/>
            <w:hideMark/>
          </w:tcPr>
          <w:p w14:paraId="5EA45C2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Hematocrit (HCT) (%)</w:t>
            </w:r>
          </w:p>
        </w:tc>
        <w:tc>
          <w:tcPr>
            <w:tcW w:w="0" w:type="auto"/>
            <w:vAlign w:val="center"/>
            <w:hideMark/>
          </w:tcPr>
          <w:p w14:paraId="62708CE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42.3 ± 1.5</w:t>
            </w:r>
          </w:p>
        </w:tc>
        <w:tc>
          <w:tcPr>
            <w:tcW w:w="0" w:type="auto"/>
            <w:vAlign w:val="center"/>
            <w:hideMark/>
          </w:tcPr>
          <w:p w14:paraId="12DA450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39.8 ± 1.8</w:t>
            </w:r>
          </w:p>
        </w:tc>
        <w:tc>
          <w:tcPr>
            <w:tcW w:w="0" w:type="auto"/>
            <w:vAlign w:val="center"/>
            <w:hideMark/>
          </w:tcPr>
          <w:p w14:paraId="5A95C4A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36.1 ± 1.4</w:t>
            </w:r>
          </w:p>
        </w:tc>
        <w:tc>
          <w:tcPr>
            <w:tcW w:w="0" w:type="auto"/>
            <w:vAlign w:val="center"/>
            <w:hideMark/>
          </w:tcPr>
          <w:p w14:paraId="3EA50DB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32.4 ± 1.6</w:t>
            </w:r>
          </w:p>
        </w:tc>
        <w:tc>
          <w:tcPr>
            <w:tcW w:w="0" w:type="auto"/>
          </w:tcPr>
          <w:p w14:paraId="5D0CB67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36F434AC" w14:textId="77777777" w:rsidTr="00940E25">
        <w:trPr>
          <w:tblCellSpacing w:w="15" w:type="dxa"/>
        </w:trPr>
        <w:tc>
          <w:tcPr>
            <w:tcW w:w="0" w:type="auto"/>
            <w:vAlign w:val="center"/>
            <w:hideMark/>
          </w:tcPr>
          <w:p w14:paraId="20287B0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Mean Corpuscular Volume (MCV) (</w:t>
            </w:r>
            <w:proofErr w:type="spellStart"/>
            <w:r w:rsidRPr="00EE51DE">
              <w:rPr>
                <w:rFonts w:ascii="Arial" w:eastAsia="Times New Roman" w:hAnsi="Arial" w:cs="Arial"/>
                <w:kern w:val="0"/>
                <w:sz w:val="20"/>
                <w:szCs w:val="20"/>
                <w14:ligatures w14:val="none"/>
              </w:rPr>
              <w:t>fL</w:t>
            </w:r>
            <w:proofErr w:type="spellEnd"/>
            <w:r w:rsidRPr="00EE51DE">
              <w:rPr>
                <w:rFonts w:ascii="Arial" w:eastAsia="Times New Roman" w:hAnsi="Arial" w:cs="Arial"/>
                <w:kern w:val="0"/>
                <w:sz w:val="20"/>
                <w:szCs w:val="20"/>
                <w14:ligatures w14:val="none"/>
              </w:rPr>
              <w:t>)</w:t>
            </w:r>
          </w:p>
        </w:tc>
        <w:tc>
          <w:tcPr>
            <w:tcW w:w="0" w:type="auto"/>
            <w:vAlign w:val="center"/>
            <w:hideMark/>
          </w:tcPr>
          <w:p w14:paraId="4C04F7C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57.2 ± 2.1</w:t>
            </w:r>
          </w:p>
        </w:tc>
        <w:tc>
          <w:tcPr>
            <w:tcW w:w="0" w:type="auto"/>
            <w:vAlign w:val="center"/>
            <w:hideMark/>
          </w:tcPr>
          <w:p w14:paraId="75A1D87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57.7 ± 2.4</w:t>
            </w:r>
          </w:p>
        </w:tc>
        <w:tc>
          <w:tcPr>
            <w:tcW w:w="0" w:type="auto"/>
            <w:vAlign w:val="center"/>
            <w:hideMark/>
          </w:tcPr>
          <w:p w14:paraId="5CFA4B4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58.2 ± 2.6</w:t>
            </w:r>
          </w:p>
        </w:tc>
        <w:tc>
          <w:tcPr>
            <w:tcW w:w="0" w:type="auto"/>
            <w:vAlign w:val="center"/>
            <w:hideMark/>
          </w:tcPr>
          <w:p w14:paraId="092610E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58.0 ± 2.2</w:t>
            </w:r>
          </w:p>
        </w:tc>
        <w:tc>
          <w:tcPr>
            <w:tcW w:w="0" w:type="auto"/>
          </w:tcPr>
          <w:p w14:paraId="14630CF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357AF86F" w14:textId="77777777" w:rsidTr="00940E25">
        <w:trPr>
          <w:tblCellSpacing w:w="15" w:type="dxa"/>
        </w:trPr>
        <w:tc>
          <w:tcPr>
            <w:tcW w:w="0" w:type="auto"/>
            <w:vAlign w:val="center"/>
            <w:hideMark/>
          </w:tcPr>
          <w:p w14:paraId="51956A0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Mean Corpuscular Hemoglobin (MCH) (</w:t>
            </w:r>
            <w:proofErr w:type="spellStart"/>
            <w:r w:rsidRPr="00EE51DE">
              <w:rPr>
                <w:rFonts w:ascii="Arial" w:eastAsia="Times New Roman" w:hAnsi="Arial" w:cs="Arial"/>
                <w:kern w:val="0"/>
                <w:sz w:val="20"/>
                <w:szCs w:val="20"/>
                <w14:ligatures w14:val="none"/>
              </w:rPr>
              <w:t>pg</w:t>
            </w:r>
            <w:proofErr w:type="spellEnd"/>
            <w:r w:rsidRPr="00EE51DE">
              <w:rPr>
                <w:rFonts w:ascii="Arial" w:eastAsia="Times New Roman" w:hAnsi="Arial" w:cs="Arial"/>
                <w:kern w:val="0"/>
                <w:sz w:val="20"/>
                <w:szCs w:val="20"/>
                <w14:ligatures w14:val="none"/>
              </w:rPr>
              <w:t>)</w:t>
            </w:r>
          </w:p>
        </w:tc>
        <w:tc>
          <w:tcPr>
            <w:tcW w:w="0" w:type="auto"/>
            <w:vAlign w:val="center"/>
            <w:hideMark/>
          </w:tcPr>
          <w:p w14:paraId="6C11433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19.1 ± 0.8</w:t>
            </w:r>
          </w:p>
        </w:tc>
        <w:tc>
          <w:tcPr>
            <w:tcW w:w="0" w:type="auto"/>
            <w:vAlign w:val="center"/>
            <w:hideMark/>
          </w:tcPr>
          <w:p w14:paraId="6D4C896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18.7 ± 0.7</w:t>
            </w:r>
          </w:p>
        </w:tc>
        <w:tc>
          <w:tcPr>
            <w:tcW w:w="0" w:type="auto"/>
            <w:vAlign w:val="center"/>
            <w:hideMark/>
          </w:tcPr>
          <w:p w14:paraId="2C40B23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18.2 ± 0.8</w:t>
            </w:r>
          </w:p>
        </w:tc>
        <w:tc>
          <w:tcPr>
            <w:tcW w:w="0" w:type="auto"/>
            <w:vAlign w:val="center"/>
            <w:hideMark/>
          </w:tcPr>
          <w:p w14:paraId="490130C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17.9 ± 0.6</w:t>
            </w:r>
          </w:p>
        </w:tc>
        <w:tc>
          <w:tcPr>
            <w:tcW w:w="0" w:type="auto"/>
          </w:tcPr>
          <w:p w14:paraId="4DB8615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245A4FD2" w14:textId="77777777" w:rsidTr="00940E25">
        <w:trPr>
          <w:tblCellSpacing w:w="15" w:type="dxa"/>
        </w:trPr>
        <w:tc>
          <w:tcPr>
            <w:tcW w:w="0" w:type="auto"/>
            <w:vAlign w:val="center"/>
            <w:hideMark/>
          </w:tcPr>
          <w:p w14:paraId="49998C2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MCH Concentration (MCHC) (g/dL)</w:t>
            </w:r>
          </w:p>
        </w:tc>
        <w:tc>
          <w:tcPr>
            <w:tcW w:w="0" w:type="auto"/>
            <w:vAlign w:val="center"/>
            <w:hideMark/>
          </w:tcPr>
          <w:p w14:paraId="22A24EC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33.4 ± 1.2</w:t>
            </w:r>
          </w:p>
        </w:tc>
        <w:tc>
          <w:tcPr>
            <w:tcW w:w="0" w:type="auto"/>
            <w:vAlign w:val="center"/>
            <w:hideMark/>
          </w:tcPr>
          <w:p w14:paraId="47B4A18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32.3 ± 1.1</w:t>
            </w:r>
          </w:p>
        </w:tc>
        <w:tc>
          <w:tcPr>
            <w:tcW w:w="0" w:type="auto"/>
            <w:vAlign w:val="center"/>
            <w:hideMark/>
          </w:tcPr>
          <w:p w14:paraId="77A66AB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31.4 ± 1.0</w:t>
            </w:r>
          </w:p>
        </w:tc>
        <w:tc>
          <w:tcPr>
            <w:tcW w:w="0" w:type="auto"/>
            <w:vAlign w:val="center"/>
            <w:hideMark/>
          </w:tcPr>
          <w:p w14:paraId="4659268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30.8 ± 1.3</w:t>
            </w:r>
          </w:p>
        </w:tc>
        <w:tc>
          <w:tcPr>
            <w:tcW w:w="0" w:type="auto"/>
          </w:tcPr>
          <w:p w14:paraId="652700E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6BB0B62D" w14:textId="77777777" w:rsidTr="00940E25">
        <w:trPr>
          <w:tblCellSpacing w:w="15" w:type="dxa"/>
        </w:trPr>
        <w:tc>
          <w:tcPr>
            <w:tcW w:w="0" w:type="auto"/>
            <w:vAlign w:val="center"/>
            <w:hideMark/>
          </w:tcPr>
          <w:p w14:paraId="37B5041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Red Cell Distribution Width – CV (RDW-CV) (%)</w:t>
            </w:r>
          </w:p>
        </w:tc>
        <w:tc>
          <w:tcPr>
            <w:tcW w:w="0" w:type="auto"/>
            <w:vAlign w:val="center"/>
            <w:hideMark/>
          </w:tcPr>
          <w:p w14:paraId="366A567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12.4 ± 0.5</w:t>
            </w:r>
          </w:p>
        </w:tc>
        <w:tc>
          <w:tcPr>
            <w:tcW w:w="0" w:type="auto"/>
            <w:vAlign w:val="center"/>
            <w:hideMark/>
          </w:tcPr>
          <w:p w14:paraId="2884265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13.2 ± 0.7</w:t>
            </w:r>
          </w:p>
        </w:tc>
        <w:tc>
          <w:tcPr>
            <w:tcW w:w="0" w:type="auto"/>
            <w:vAlign w:val="center"/>
            <w:hideMark/>
          </w:tcPr>
          <w:p w14:paraId="70BEBA6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14.5 ± 0.6</w:t>
            </w:r>
          </w:p>
        </w:tc>
        <w:tc>
          <w:tcPr>
            <w:tcW w:w="0" w:type="auto"/>
            <w:vAlign w:val="center"/>
            <w:hideMark/>
          </w:tcPr>
          <w:p w14:paraId="6001FE7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15.6 ± 0.8</w:t>
            </w:r>
          </w:p>
        </w:tc>
        <w:tc>
          <w:tcPr>
            <w:tcW w:w="0" w:type="auto"/>
          </w:tcPr>
          <w:p w14:paraId="478C47F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7578FB6A" w14:textId="77777777" w:rsidTr="00940E25">
        <w:trPr>
          <w:tblCellSpacing w:w="15" w:type="dxa"/>
        </w:trPr>
        <w:tc>
          <w:tcPr>
            <w:tcW w:w="0" w:type="auto"/>
            <w:vAlign w:val="center"/>
            <w:hideMark/>
          </w:tcPr>
          <w:p w14:paraId="7549BD1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Red Cell Distribution Width – SD (RDW-SD) (</w:t>
            </w:r>
            <w:proofErr w:type="spellStart"/>
            <w:r w:rsidRPr="00EE51DE">
              <w:rPr>
                <w:rFonts w:ascii="Arial" w:eastAsia="Times New Roman" w:hAnsi="Arial" w:cs="Arial"/>
                <w:kern w:val="0"/>
                <w:sz w:val="20"/>
                <w:szCs w:val="20"/>
                <w14:ligatures w14:val="none"/>
              </w:rPr>
              <w:t>fL</w:t>
            </w:r>
            <w:proofErr w:type="spellEnd"/>
            <w:r w:rsidRPr="00EE51DE">
              <w:rPr>
                <w:rFonts w:ascii="Arial" w:eastAsia="Times New Roman" w:hAnsi="Arial" w:cs="Arial"/>
                <w:kern w:val="0"/>
                <w:sz w:val="20"/>
                <w:szCs w:val="20"/>
                <w14:ligatures w14:val="none"/>
              </w:rPr>
              <w:t>)</w:t>
            </w:r>
          </w:p>
        </w:tc>
        <w:tc>
          <w:tcPr>
            <w:tcW w:w="0" w:type="auto"/>
            <w:vAlign w:val="center"/>
            <w:hideMark/>
          </w:tcPr>
          <w:p w14:paraId="28E7954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38.6 ± 1.2</w:t>
            </w:r>
          </w:p>
        </w:tc>
        <w:tc>
          <w:tcPr>
            <w:tcW w:w="0" w:type="auto"/>
            <w:vAlign w:val="center"/>
            <w:hideMark/>
          </w:tcPr>
          <w:p w14:paraId="5756F67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40.1 ± 1.4</w:t>
            </w:r>
          </w:p>
        </w:tc>
        <w:tc>
          <w:tcPr>
            <w:tcW w:w="0" w:type="auto"/>
            <w:vAlign w:val="center"/>
            <w:hideMark/>
          </w:tcPr>
          <w:p w14:paraId="3E3966F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43.2 ± 1.7</w:t>
            </w:r>
          </w:p>
        </w:tc>
        <w:tc>
          <w:tcPr>
            <w:tcW w:w="0" w:type="auto"/>
            <w:vAlign w:val="center"/>
            <w:hideMark/>
          </w:tcPr>
          <w:p w14:paraId="3B2F7BE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45.5 ± 2.1</w:t>
            </w:r>
          </w:p>
        </w:tc>
        <w:tc>
          <w:tcPr>
            <w:tcW w:w="0" w:type="auto"/>
          </w:tcPr>
          <w:p w14:paraId="27B2126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32A9746B" w14:textId="77777777" w:rsidTr="00940E25">
        <w:trPr>
          <w:tblCellSpacing w:w="15" w:type="dxa"/>
        </w:trPr>
        <w:tc>
          <w:tcPr>
            <w:tcW w:w="0" w:type="auto"/>
            <w:vAlign w:val="center"/>
            <w:hideMark/>
          </w:tcPr>
          <w:p w14:paraId="3D52175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Platelet Count (PLT) (×10⁹/L)</w:t>
            </w:r>
          </w:p>
        </w:tc>
        <w:tc>
          <w:tcPr>
            <w:tcW w:w="0" w:type="auto"/>
            <w:vAlign w:val="center"/>
            <w:hideMark/>
          </w:tcPr>
          <w:p w14:paraId="1155DB3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390 ± 20</w:t>
            </w:r>
          </w:p>
        </w:tc>
        <w:tc>
          <w:tcPr>
            <w:tcW w:w="0" w:type="auto"/>
            <w:vAlign w:val="center"/>
            <w:hideMark/>
          </w:tcPr>
          <w:p w14:paraId="25C8985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415 ± 18</w:t>
            </w:r>
          </w:p>
        </w:tc>
        <w:tc>
          <w:tcPr>
            <w:tcW w:w="0" w:type="auto"/>
            <w:vAlign w:val="center"/>
            <w:hideMark/>
          </w:tcPr>
          <w:p w14:paraId="1B88172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448 ± 22</w:t>
            </w:r>
          </w:p>
        </w:tc>
        <w:tc>
          <w:tcPr>
            <w:tcW w:w="0" w:type="auto"/>
            <w:vAlign w:val="center"/>
            <w:hideMark/>
          </w:tcPr>
          <w:p w14:paraId="4EECB75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472 ± 25</w:t>
            </w:r>
          </w:p>
        </w:tc>
        <w:tc>
          <w:tcPr>
            <w:tcW w:w="0" w:type="auto"/>
          </w:tcPr>
          <w:p w14:paraId="6A434B3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1FCEEB43" w14:textId="77777777" w:rsidTr="00940E25">
        <w:trPr>
          <w:tblCellSpacing w:w="15" w:type="dxa"/>
        </w:trPr>
        <w:tc>
          <w:tcPr>
            <w:tcW w:w="0" w:type="auto"/>
            <w:vAlign w:val="center"/>
            <w:hideMark/>
          </w:tcPr>
          <w:p w14:paraId="29E3F4E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Mean Platelet Volume (MPV) (</w:t>
            </w:r>
            <w:proofErr w:type="spellStart"/>
            <w:r w:rsidRPr="00EE51DE">
              <w:rPr>
                <w:rFonts w:ascii="Arial" w:eastAsia="Times New Roman" w:hAnsi="Arial" w:cs="Arial"/>
                <w:kern w:val="0"/>
                <w:sz w:val="20"/>
                <w:szCs w:val="20"/>
                <w14:ligatures w14:val="none"/>
              </w:rPr>
              <w:t>fL</w:t>
            </w:r>
            <w:proofErr w:type="spellEnd"/>
            <w:r w:rsidRPr="00EE51DE">
              <w:rPr>
                <w:rFonts w:ascii="Arial" w:eastAsia="Times New Roman" w:hAnsi="Arial" w:cs="Arial"/>
                <w:kern w:val="0"/>
                <w:sz w:val="20"/>
                <w:szCs w:val="20"/>
                <w14:ligatures w14:val="none"/>
              </w:rPr>
              <w:t>)</w:t>
            </w:r>
          </w:p>
        </w:tc>
        <w:tc>
          <w:tcPr>
            <w:tcW w:w="0" w:type="auto"/>
            <w:vAlign w:val="center"/>
            <w:hideMark/>
          </w:tcPr>
          <w:p w14:paraId="2936249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6.8 ± 0.4</w:t>
            </w:r>
          </w:p>
        </w:tc>
        <w:tc>
          <w:tcPr>
            <w:tcW w:w="0" w:type="auto"/>
            <w:vAlign w:val="center"/>
            <w:hideMark/>
          </w:tcPr>
          <w:p w14:paraId="1D25BDC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7.1 ± 0.3</w:t>
            </w:r>
          </w:p>
        </w:tc>
        <w:tc>
          <w:tcPr>
            <w:tcW w:w="0" w:type="auto"/>
            <w:vAlign w:val="center"/>
            <w:hideMark/>
          </w:tcPr>
          <w:p w14:paraId="4BEEFCE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7.6 ± 0.4</w:t>
            </w:r>
          </w:p>
        </w:tc>
        <w:tc>
          <w:tcPr>
            <w:tcW w:w="0" w:type="auto"/>
            <w:vAlign w:val="center"/>
            <w:hideMark/>
          </w:tcPr>
          <w:p w14:paraId="2A68C97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7.9 ± 0.5</w:t>
            </w:r>
          </w:p>
        </w:tc>
        <w:tc>
          <w:tcPr>
            <w:tcW w:w="0" w:type="auto"/>
          </w:tcPr>
          <w:p w14:paraId="11059FC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707AF088" w14:textId="77777777" w:rsidTr="00940E25">
        <w:trPr>
          <w:tblCellSpacing w:w="15" w:type="dxa"/>
        </w:trPr>
        <w:tc>
          <w:tcPr>
            <w:tcW w:w="0" w:type="auto"/>
            <w:vAlign w:val="center"/>
            <w:hideMark/>
          </w:tcPr>
          <w:p w14:paraId="602420A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Platelet Distribution Width (PDW) (%)</w:t>
            </w:r>
          </w:p>
        </w:tc>
        <w:tc>
          <w:tcPr>
            <w:tcW w:w="0" w:type="auto"/>
            <w:vAlign w:val="center"/>
            <w:hideMark/>
          </w:tcPr>
          <w:p w14:paraId="6504E90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15.4 ± 0.6</w:t>
            </w:r>
          </w:p>
        </w:tc>
        <w:tc>
          <w:tcPr>
            <w:tcW w:w="0" w:type="auto"/>
            <w:vAlign w:val="center"/>
            <w:hideMark/>
          </w:tcPr>
          <w:p w14:paraId="086B926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16.2 ± 0.8</w:t>
            </w:r>
          </w:p>
        </w:tc>
        <w:tc>
          <w:tcPr>
            <w:tcW w:w="0" w:type="auto"/>
            <w:vAlign w:val="center"/>
            <w:hideMark/>
          </w:tcPr>
          <w:p w14:paraId="21DC0E0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17.3 ± 0.9</w:t>
            </w:r>
          </w:p>
        </w:tc>
        <w:tc>
          <w:tcPr>
            <w:tcW w:w="0" w:type="auto"/>
            <w:vAlign w:val="center"/>
            <w:hideMark/>
          </w:tcPr>
          <w:p w14:paraId="1212D42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18.1 ± 1.1</w:t>
            </w:r>
          </w:p>
        </w:tc>
        <w:tc>
          <w:tcPr>
            <w:tcW w:w="0" w:type="auto"/>
          </w:tcPr>
          <w:p w14:paraId="776172B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4B4A1823" w14:textId="77777777" w:rsidTr="00940E25">
        <w:trPr>
          <w:tblCellSpacing w:w="15" w:type="dxa"/>
        </w:trPr>
        <w:tc>
          <w:tcPr>
            <w:tcW w:w="0" w:type="auto"/>
            <w:vAlign w:val="center"/>
            <w:hideMark/>
          </w:tcPr>
          <w:p w14:paraId="376A7CA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roofErr w:type="spellStart"/>
            <w:r w:rsidRPr="00EE51DE">
              <w:rPr>
                <w:rFonts w:ascii="Arial" w:eastAsia="Times New Roman" w:hAnsi="Arial" w:cs="Arial"/>
                <w:kern w:val="0"/>
                <w:sz w:val="20"/>
                <w:szCs w:val="20"/>
                <w14:ligatures w14:val="none"/>
              </w:rPr>
              <w:t>Plateletcrit</w:t>
            </w:r>
            <w:proofErr w:type="spellEnd"/>
            <w:r w:rsidRPr="00EE51DE">
              <w:rPr>
                <w:rFonts w:ascii="Arial" w:eastAsia="Times New Roman" w:hAnsi="Arial" w:cs="Arial"/>
                <w:kern w:val="0"/>
                <w:sz w:val="20"/>
                <w:szCs w:val="20"/>
                <w14:ligatures w14:val="none"/>
              </w:rPr>
              <w:t xml:space="preserve"> (PCT) (%)</w:t>
            </w:r>
          </w:p>
        </w:tc>
        <w:tc>
          <w:tcPr>
            <w:tcW w:w="0" w:type="auto"/>
            <w:vAlign w:val="center"/>
            <w:hideMark/>
          </w:tcPr>
          <w:p w14:paraId="0B3C03A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0.26 ± 0.01</w:t>
            </w:r>
          </w:p>
        </w:tc>
        <w:tc>
          <w:tcPr>
            <w:tcW w:w="0" w:type="auto"/>
            <w:vAlign w:val="center"/>
            <w:hideMark/>
          </w:tcPr>
          <w:p w14:paraId="18641AD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0.29 ± 0.01</w:t>
            </w:r>
          </w:p>
        </w:tc>
        <w:tc>
          <w:tcPr>
            <w:tcW w:w="0" w:type="auto"/>
            <w:vAlign w:val="center"/>
            <w:hideMark/>
          </w:tcPr>
          <w:p w14:paraId="5366A4C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0.33 ± 0.02</w:t>
            </w:r>
          </w:p>
        </w:tc>
        <w:tc>
          <w:tcPr>
            <w:tcW w:w="0" w:type="auto"/>
            <w:vAlign w:val="center"/>
            <w:hideMark/>
          </w:tcPr>
          <w:p w14:paraId="23CBB3F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0.36 ± 0.02</w:t>
            </w:r>
          </w:p>
        </w:tc>
        <w:tc>
          <w:tcPr>
            <w:tcW w:w="0" w:type="auto"/>
          </w:tcPr>
          <w:p w14:paraId="58C2FBF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487B47A8" w14:textId="77777777" w:rsidTr="00940E25">
        <w:trPr>
          <w:tblCellSpacing w:w="15" w:type="dxa"/>
        </w:trPr>
        <w:tc>
          <w:tcPr>
            <w:tcW w:w="0" w:type="auto"/>
            <w:vAlign w:val="center"/>
            <w:hideMark/>
          </w:tcPr>
          <w:p w14:paraId="748CE0E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Neutrophil %</w:t>
            </w:r>
          </w:p>
        </w:tc>
        <w:tc>
          <w:tcPr>
            <w:tcW w:w="0" w:type="auto"/>
            <w:vAlign w:val="center"/>
            <w:hideMark/>
          </w:tcPr>
          <w:p w14:paraId="5B9C4D1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22.5 ± 1.2</w:t>
            </w:r>
          </w:p>
        </w:tc>
        <w:tc>
          <w:tcPr>
            <w:tcW w:w="0" w:type="auto"/>
            <w:vAlign w:val="center"/>
            <w:hideMark/>
          </w:tcPr>
          <w:p w14:paraId="16454E8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24.3 ± 1.6</w:t>
            </w:r>
          </w:p>
        </w:tc>
        <w:tc>
          <w:tcPr>
            <w:tcW w:w="0" w:type="auto"/>
            <w:vAlign w:val="center"/>
            <w:hideMark/>
          </w:tcPr>
          <w:p w14:paraId="7BE28A9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28.4 ± 1.8</w:t>
            </w:r>
          </w:p>
        </w:tc>
        <w:tc>
          <w:tcPr>
            <w:tcW w:w="0" w:type="auto"/>
            <w:vAlign w:val="center"/>
            <w:hideMark/>
          </w:tcPr>
          <w:p w14:paraId="3CEB1B1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31.7 ± 1.9</w:t>
            </w:r>
          </w:p>
        </w:tc>
        <w:tc>
          <w:tcPr>
            <w:tcW w:w="0" w:type="auto"/>
          </w:tcPr>
          <w:p w14:paraId="227A4A2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2F2A09F0" w14:textId="77777777" w:rsidTr="00940E25">
        <w:trPr>
          <w:tblCellSpacing w:w="15" w:type="dxa"/>
        </w:trPr>
        <w:tc>
          <w:tcPr>
            <w:tcW w:w="0" w:type="auto"/>
            <w:vAlign w:val="center"/>
            <w:hideMark/>
          </w:tcPr>
          <w:p w14:paraId="3C78C62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Eosinophil %</w:t>
            </w:r>
          </w:p>
        </w:tc>
        <w:tc>
          <w:tcPr>
            <w:tcW w:w="0" w:type="auto"/>
            <w:vAlign w:val="center"/>
            <w:hideMark/>
          </w:tcPr>
          <w:p w14:paraId="0057BDD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2.1 ± 0.3</w:t>
            </w:r>
          </w:p>
        </w:tc>
        <w:tc>
          <w:tcPr>
            <w:tcW w:w="0" w:type="auto"/>
            <w:vAlign w:val="center"/>
            <w:hideMark/>
          </w:tcPr>
          <w:p w14:paraId="411B710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2.3 ± 0.4</w:t>
            </w:r>
          </w:p>
        </w:tc>
        <w:tc>
          <w:tcPr>
            <w:tcW w:w="0" w:type="auto"/>
            <w:vAlign w:val="center"/>
            <w:hideMark/>
          </w:tcPr>
          <w:p w14:paraId="54CBAD5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2.5 ± 0.3</w:t>
            </w:r>
          </w:p>
        </w:tc>
        <w:tc>
          <w:tcPr>
            <w:tcW w:w="0" w:type="auto"/>
            <w:vAlign w:val="center"/>
            <w:hideMark/>
          </w:tcPr>
          <w:p w14:paraId="24C52F9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2.7 ± 0.4</w:t>
            </w:r>
          </w:p>
        </w:tc>
        <w:tc>
          <w:tcPr>
            <w:tcW w:w="0" w:type="auto"/>
          </w:tcPr>
          <w:p w14:paraId="3BBF263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7D02FC07" w14:textId="77777777" w:rsidTr="00940E25">
        <w:trPr>
          <w:tblCellSpacing w:w="15" w:type="dxa"/>
        </w:trPr>
        <w:tc>
          <w:tcPr>
            <w:tcW w:w="0" w:type="auto"/>
            <w:vAlign w:val="center"/>
            <w:hideMark/>
          </w:tcPr>
          <w:p w14:paraId="7ACBFC9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Basophil %</w:t>
            </w:r>
          </w:p>
        </w:tc>
        <w:tc>
          <w:tcPr>
            <w:tcW w:w="0" w:type="auto"/>
            <w:vAlign w:val="center"/>
            <w:hideMark/>
          </w:tcPr>
          <w:p w14:paraId="7EA7680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0.4 ± 0.1</w:t>
            </w:r>
          </w:p>
        </w:tc>
        <w:tc>
          <w:tcPr>
            <w:tcW w:w="0" w:type="auto"/>
            <w:vAlign w:val="center"/>
            <w:hideMark/>
          </w:tcPr>
          <w:p w14:paraId="774FCA8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0.5 ± 0.1</w:t>
            </w:r>
          </w:p>
        </w:tc>
        <w:tc>
          <w:tcPr>
            <w:tcW w:w="0" w:type="auto"/>
            <w:vAlign w:val="center"/>
            <w:hideMark/>
          </w:tcPr>
          <w:p w14:paraId="4B18CCF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0.6 ± 0.1</w:t>
            </w:r>
          </w:p>
        </w:tc>
        <w:tc>
          <w:tcPr>
            <w:tcW w:w="0" w:type="auto"/>
            <w:vAlign w:val="center"/>
            <w:hideMark/>
          </w:tcPr>
          <w:p w14:paraId="117B332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0.6 ± 0.1</w:t>
            </w:r>
          </w:p>
        </w:tc>
        <w:tc>
          <w:tcPr>
            <w:tcW w:w="0" w:type="auto"/>
          </w:tcPr>
          <w:p w14:paraId="3E667E2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59B48D51" w14:textId="77777777" w:rsidTr="00940E25">
        <w:trPr>
          <w:tblCellSpacing w:w="15" w:type="dxa"/>
        </w:trPr>
        <w:tc>
          <w:tcPr>
            <w:tcW w:w="0" w:type="auto"/>
            <w:vAlign w:val="center"/>
            <w:hideMark/>
          </w:tcPr>
          <w:p w14:paraId="768B928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Immature Granulocyte %</w:t>
            </w:r>
          </w:p>
        </w:tc>
        <w:tc>
          <w:tcPr>
            <w:tcW w:w="0" w:type="auto"/>
            <w:vAlign w:val="center"/>
            <w:hideMark/>
          </w:tcPr>
          <w:p w14:paraId="638113C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0.1 ± 0.0</w:t>
            </w:r>
          </w:p>
        </w:tc>
        <w:tc>
          <w:tcPr>
            <w:tcW w:w="0" w:type="auto"/>
            <w:vAlign w:val="center"/>
            <w:hideMark/>
          </w:tcPr>
          <w:p w14:paraId="69E128F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0.2 ± 0.1</w:t>
            </w:r>
          </w:p>
        </w:tc>
        <w:tc>
          <w:tcPr>
            <w:tcW w:w="0" w:type="auto"/>
            <w:vAlign w:val="center"/>
            <w:hideMark/>
          </w:tcPr>
          <w:p w14:paraId="7DEE4E5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0.3 ± 0.1</w:t>
            </w:r>
          </w:p>
        </w:tc>
        <w:tc>
          <w:tcPr>
            <w:tcW w:w="0" w:type="auto"/>
            <w:vAlign w:val="center"/>
            <w:hideMark/>
          </w:tcPr>
          <w:p w14:paraId="3A4171E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0.4 ± 0.1</w:t>
            </w:r>
          </w:p>
        </w:tc>
        <w:tc>
          <w:tcPr>
            <w:tcW w:w="0" w:type="auto"/>
          </w:tcPr>
          <w:p w14:paraId="7BBB40D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70EB5C56" w14:textId="77777777" w:rsidTr="00940E25">
        <w:trPr>
          <w:tblCellSpacing w:w="15" w:type="dxa"/>
        </w:trPr>
        <w:tc>
          <w:tcPr>
            <w:tcW w:w="0" w:type="auto"/>
            <w:vAlign w:val="center"/>
            <w:hideMark/>
          </w:tcPr>
          <w:p w14:paraId="7E9E424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Nucleated RBCs (/100 WBCs)</w:t>
            </w:r>
          </w:p>
        </w:tc>
        <w:tc>
          <w:tcPr>
            <w:tcW w:w="0" w:type="auto"/>
            <w:vAlign w:val="center"/>
            <w:hideMark/>
          </w:tcPr>
          <w:p w14:paraId="18608BB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w:t>
            </w:r>
          </w:p>
        </w:tc>
        <w:tc>
          <w:tcPr>
            <w:tcW w:w="0" w:type="auto"/>
            <w:vAlign w:val="center"/>
            <w:hideMark/>
          </w:tcPr>
          <w:p w14:paraId="4ADB8AE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w:t>
            </w:r>
          </w:p>
        </w:tc>
        <w:tc>
          <w:tcPr>
            <w:tcW w:w="0" w:type="auto"/>
            <w:vAlign w:val="center"/>
            <w:hideMark/>
          </w:tcPr>
          <w:p w14:paraId="636D4B1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0.1 ± 0.0</w:t>
            </w:r>
          </w:p>
        </w:tc>
        <w:tc>
          <w:tcPr>
            <w:tcW w:w="0" w:type="auto"/>
            <w:vAlign w:val="center"/>
            <w:hideMark/>
          </w:tcPr>
          <w:p w14:paraId="72E7670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0.2 ± 0.1</w:t>
            </w:r>
          </w:p>
        </w:tc>
        <w:tc>
          <w:tcPr>
            <w:tcW w:w="0" w:type="auto"/>
          </w:tcPr>
          <w:p w14:paraId="3268936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r w:rsidR="00EE51DE" w:rsidRPr="00EE51DE" w14:paraId="37E1FCC2" w14:textId="77777777" w:rsidTr="00940E25">
        <w:trPr>
          <w:tblCellSpacing w:w="15" w:type="dxa"/>
        </w:trPr>
        <w:tc>
          <w:tcPr>
            <w:tcW w:w="0" w:type="auto"/>
            <w:tcBorders>
              <w:bottom w:val="single" w:sz="4" w:space="0" w:color="auto"/>
            </w:tcBorders>
            <w:vAlign w:val="center"/>
            <w:hideMark/>
          </w:tcPr>
          <w:p w14:paraId="1042367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Reticulocyte % (optional)</w:t>
            </w:r>
          </w:p>
        </w:tc>
        <w:tc>
          <w:tcPr>
            <w:tcW w:w="0" w:type="auto"/>
            <w:tcBorders>
              <w:bottom w:val="single" w:sz="4" w:space="0" w:color="auto"/>
            </w:tcBorders>
            <w:vAlign w:val="center"/>
            <w:hideMark/>
          </w:tcPr>
          <w:p w14:paraId="5731654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1.3 ± 0.1</w:t>
            </w:r>
          </w:p>
        </w:tc>
        <w:tc>
          <w:tcPr>
            <w:tcW w:w="0" w:type="auto"/>
            <w:tcBorders>
              <w:bottom w:val="single" w:sz="4" w:space="0" w:color="auto"/>
            </w:tcBorders>
            <w:vAlign w:val="center"/>
            <w:hideMark/>
          </w:tcPr>
          <w:p w14:paraId="1D08198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1.6 ± 0.2</w:t>
            </w:r>
          </w:p>
        </w:tc>
        <w:tc>
          <w:tcPr>
            <w:tcW w:w="0" w:type="auto"/>
            <w:tcBorders>
              <w:bottom w:val="single" w:sz="4" w:space="0" w:color="auto"/>
            </w:tcBorders>
            <w:vAlign w:val="center"/>
            <w:hideMark/>
          </w:tcPr>
          <w:p w14:paraId="5AC8591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2.0 ± 0.3</w:t>
            </w:r>
          </w:p>
        </w:tc>
        <w:tc>
          <w:tcPr>
            <w:tcW w:w="0" w:type="auto"/>
            <w:tcBorders>
              <w:bottom w:val="single" w:sz="4" w:space="0" w:color="auto"/>
            </w:tcBorders>
            <w:vAlign w:val="center"/>
            <w:hideMark/>
          </w:tcPr>
          <w:p w14:paraId="530E834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2.4 ± 0.4</w:t>
            </w:r>
          </w:p>
        </w:tc>
        <w:tc>
          <w:tcPr>
            <w:tcW w:w="0" w:type="auto"/>
          </w:tcPr>
          <w:p w14:paraId="6ECFE06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
        </w:tc>
      </w:tr>
    </w:tbl>
    <w:p w14:paraId="73AA70D2"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p>
    <w:p w14:paraId="6CB71A07"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Liver Function</w:t>
      </w:r>
    </w:p>
    <w:p w14:paraId="476E748E"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There was a statistically significant, dose-dependent elevation in serum ALT and AST levels in all treated groups compared to the control (p &lt; 0.001 for both; ANOVA). The increase was most </w:t>
      </w:r>
      <w:r w:rsidRPr="00EE51DE">
        <w:rPr>
          <w:rFonts w:ascii="Times New Roman" w:eastAsia="Times New Roman" w:hAnsi="Times New Roman" w:cs="Times New Roman"/>
          <w:kern w:val="0"/>
          <w14:ligatures w14:val="none"/>
        </w:rPr>
        <w:lastRenderedPageBreak/>
        <w:t>pronounced in the 200 mg/kg group, indicating progressive hepatic dysfunction with rising exposure levels.</w:t>
      </w:r>
    </w:p>
    <w:p w14:paraId="737A48B8"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Table 2. Liver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174"/>
        <w:gridCol w:w="1162"/>
      </w:tblGrid>
      <w:tr w:rsidR="00EE51DE" w:rsidRPr="00EE51DE" w14:paraId="3567AFB4" w14:textId="77777777" w:rsidTr="00940E25">
        <w:trPr>
          <w:tblHeader/>
          <w:tblCellSpacing w:w="15" w:type="dxa"/>
        </w:trPr>
        <w:tc>
          <w:tcPr>
            <w:tcW w:w="0" w:type="auto"/>
            <w:vAlign w:val="center"/>
            <w:hideMark/>
          </w:tcPr>
          <w:p w14:paraId="3544B295"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Group</w:t>
            </w:r>
          </w:p>
        </w:tc>
        <w:tc>
          <w:tcPr>
            <w:tcW w:w="0" w:type="auto"/>
            <w:vAlign w:val="center"/>
            <w:hideMark/>
          </w:tcPr>
          <w:p w14:paraId="2783BBCC"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ALT (U/L)</w:t>
            </w:r>
          </w:p>
        </w:tc>
        <w:tc>
          <w:tcPr>
            <w:tcW w:w="0" w:type="auto"/>
            <w:vAlign w:val="center"/>
            <w:hideMark/>
          </w:tcPr>
          <w:p w14:paraId="03C84765"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AST (U/L)</w:t>
            </w:r>
          </w:p>
        </w:tc>
      </w:tr>
      <w:tr w:rsidR="00EE51DE" w:rsidRPr="00EE51DE" w14:paraId="348A658A" w14:textId="77777777" w:rsidTr="00940E25">
        <w:trPr>
          <w:tblCellSpacing w:w="15" w:type="dxa"/>
        </w:trPr>
        <w:tc>
          <w:tcPr>
            <w:tcW w:w="0" w:type="auto"/>
            <w:vAlign w:val="center"/>
            <w:hideMark/>
          </w:tcPr>
          <w:p w14:paraId="65CC6734"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Control</w:t>
            </w:r>
          </w:p>
        </w:tc>
        <w:tc>
          <w:tcPr>
            <w:tcW w:w="0" w:type="auto"/>
            <w:vAlign w:val="center"/>
            <w:hideMark/>
          </w:tcPr>
          <w:p w14:paraId="6DA0156C"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50 ± 5</w:t>
            </w:r>
          </w:p>
        </w:tc>
        <w:tc>
          <w:tcPr>
            <w:tcW w:w="0" w:type="auto"/>
            <w:vAlign w:val="center"/>
            <w:hideMark/>
          </w:tcPr>
          <w:p w14:paraId="3162C0C7"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45 ± 4</w:t>
            </w:r>
          </w:p>
        </w:tc>
      </w:tr>
      <w:tr w:rsidR="00EE51DE" w:rsidRPr="00EE51DE" w14:paraId="34CE3BFC" w14:textId="77777777" w:rsidTr="00940E25">
        <w:trPr>
          <w:tblCellSpacing w:w="15" w:type="dxa"/>
        </w:trPr>
        <w:tc>
          <w:tcPr>
            <w:tcW w:w="0" w:type="auto"/>
            <w:vAlign w:val="center"/>
            <w:hideMark/>
          </w:tcPr>
          <w:p w14:paraId="3C663168"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50 mg/kg</w:t>
            </w:r>
          </w:p>
        </w:tc>
        <w:tc>
          <w:tcPr>
            <w:tcW w:w="0" w:type="auto"/>
            <w:vAlign w:val="center"/>
            <w:hideMark/>
          </w:tcPr>
          <w:p w14:paraId="37822731"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85 ± 7</w:t>
            </w:r>
          </w:p>
        </w:tc>
        <w:tc>
          <w:tcPr>
            <w:tcW w:w="0" w:type="auto"/>
            <w:vAlign w:val="center"/>
            <w:hideMark/>
          </w:tcPr>
          <w:p w14:paraId="1726566C"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80 ± 6</w:t>
            </w:r>
          </w:p>
        </w:tc>
      </w:tr>
      <w:tr w:rsidR="00EE51DE" w:rsidRPr="00EE51DE" w14:paraId="1A38779A" w14:textId="77777777" w:rsidTr="00940E25">
        <w:trPr>
          <w:tblCellSpacing w:w="15" w:type="dxa"/>
        </w:trPr>
        <w:tc>
          <w:tcPr>
            <w:tcW w:w="0" w:type="auto"/>
            <w:vAlign w:val="center"/>
            <w:hideMark/>
          </w:tcPr>
          <w:p w14:paraId="66E008B6"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100 mg/kg</w:t>
            </w:r>
          </w:p>
        </w:tc>
        <w:tc>
          <w:tcPr>
            <w:tcW w:w="0" w:type="auto"/>
            <w:vAlign w:val="center"/>
            <w:hideMark/>
          </w:tcPr>
          <w:p w14:paraId="3BBB29F9"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120 ± 10</w:t>
            </w:r>
          </w:p>
        </w:tc>
        <w:tc>
          <w:tcPr>
            <w:tcW w:w="0" w:type="auto"/>
            <w:vAlign w:val="center"/>
            <w:hideMark/>
          </w:tcPr>
          <w:p w14:paraId="164618F7"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110 ± 8</w:t>
            </w:r>
          </w:p>
        </w:tc>
      </w:tr>
      <w:tr w:rsidR="00EE51DE" w:rsidRPr="00EE51DE" w14:paraId="1CA3BC4D" w14:textId="77777777" w:rsidTr="00940E25">
        <w:trPr>
          <w:tblCellSpacing w:w="15" w:type="dxa"/>
        </w:trPr>
        <w:tc>
          <w:tcPr>
            <w:tcW w:w="0" w:type="auto"/>
            <w:vAlign w:val="center"/>
            <w:hideMark/>
          </w:tcPr>
          <w:p w14:paraId="03510772"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200 mg/kg</w:t>
            </w:r>
          </w:p>
        </w:tc>
        <w:tc>
          <w:tcPr>
            <w:tcW w:w="0" w:type="auto"/>
            <w:vAlign w:val="center"/>
            <w:hideMark/>
          </w:tcPr>
          <w:p w14:paraId="5697523E"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150 ± 12</w:t>
            </w:r>
          </w:p>
        </w:tc>
        <w:tc>
          <w:tcPr>
            <w:tcW w:w="0" w:type="auto"/>
            <w:vAlign w:val="center"/>
            <w:hideMark/>
          </w:tcPr>
          <w:p w14:paraId="063AE65A"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135 ± 10</w:t>
            </w:r>
          </w:p>
        </w:tc>
      </w:tr>
    </w:tbl>
    <w:p w14:paraId="507B92E4"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b/>
          <w:bCs/>
          <w:kern w:val="0"/>
          <w14:ligatures w14:val="none"/>
        </w:rPr>
        <w:t>ANOVA</w:t>
      </w:r>
      <w:r w:rsidRPr="00EE51DE">
        <w:rPr>
          <w:rFonts w:ascii="Times New Roman" w:eastAsia="Times New Roman" w:hAnsi="Times New Roman" w:cs="Times New Roman"/>
          <w:kern w:val="0"/>
          <w14:ligatures w14:val="none"/>
        </w:rPr>
        <w:t>: ALT (p = 6.17×10⁻¹³), AST (p = 1.41×10⁻¹¹)</w:t>
      </w:r>
    </w:p>
    <w:p w14:paraId="2FBF0228"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Kidney Function</w:t>
      </w:r>
    </w:p>
    <w:p w14:paraId="4DC27D64"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There was a significant dose-dependent increase in urea and creatinine levels in the treated groups (Table 3), suggesting compromised renal function, particularly at higher extract doses.</w:t>
      </w:r>
    </w:p>
    <w:p w14:paraId="39513C65"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Table 3. Kidney Function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1467"/>
        <w:gridCol w:w="2069"/>
      </w:tblGrid>
      <w:tr w:rsidR="00EE51DE" w:rsidRPr="00EE51DE" w14:paraId="29B40D27" w14:textId="77777777" w:rsidTr="00940E25">
        <w:trPr>
          <w:tblHeader/>
          <w:tblCellSpacing w:w="15" w:type="dxa"/>
        </w:trPr>
        <w:tc>
          <w:tcPr>
            <w:tcW w:w="0" w:type="auto"/>
            <w:vAlign w:val="center"/>
            <w:hideMark/>
          </w:tcPr>
          <w:p w14:paraId="7C86CB13"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Group</w:t>
            </w:r>
          </w:p>
        </w:tc>
        <w:tc>
          <w:tcPr>
            <w:tcW w:w="0" w:type="auto"/>
            <w:vAlign w:val="center"/>
            <w:hideMark/>
          </w:tcPr>
          <w:p w14:paraId="5A2996AE"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Urea (mg/dL)</w:t>
            </w:r>
          </w:p>
        </w:tc>
        <w:tc>
          <w:tcPr>
            <w:tcW w:w="0" w:type="auto"/>
            <w:vAlign w:val="center"/>
            <w:hideMark/>
          </w:tcPr>
          <w:p w14:paraId="088677F1"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Creatinine (mg/dL)</w:t>
            </w:r>
          </w:p>
        </w:tc>
      </w:tr>
      <w:tr w:rsidR="00EE51DE" w:rsidRPr="00EE51DE" w14:paraId="2CF58FF3" w14:textId="77777777" w:rsidTr="00940E25">
        <w:trPr>
          <w:tblCellSpacing w:w="15" w:type="dxa"/>
        </w:trPr>
        <w:tc>
          <w:tcPr>
            <w:tcW w:w="0" w:type="auto"/>
            <w:vAlign w:val="center"/>
            <w:hideMark/>
          </w:tcPr>
          <w:p w14:paraId="7B695846"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Control</w:t>
            </w:r>
          </w:p>
        </w:tc>
        <w:tc>
          <w:tcPr>
            <w:tcW w:w="0" w:type="auto"/>
            <w:vAlign w:val="center"/>
            <w:hideMark/>
          </w:tcPr>
          <w:p w14:paraId="136C5DBC"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20 ± 2</w:t>
            </w:r>
          </w:p>
        </w:tc>
        <w:tc>
          <w:tcPr>
            <w:tcW w:w="0" w:type="auto"/>
            <w:vAlign w:val="center"/>
            <w:hideMark/>
          </w:tcPr>
          <w:p w14:paraId="3F54A2C7"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0.6 ± 0.1</w:t>
            </w:r>
          </w:p>
        </w:tc>
      </w:tr>
      <w:tr w:rsidR="00EE51DE" w:rsidRPr="00EE51DE" w14:paraId="074CB3CC" w14:textId="77777777" w:rsidTr="00940E25">
        <w:trPr>
          <w:tblCellSpacing w:w="15" w:type="dxa"/>
        </w:trPr>
        <w:tc>
          <w:tcPr>
            <w:tcW w:w="0" w:type="auto"/>
            <w:vAlign w:val="center"/>
            <w:hideMark/>
          </w:tcPr>
          <w:p w14:paraId="63A02714"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50 mg/kg</w:t>
            </w:r>
          </w:p>
        </w:tc>
        <w:tc>
          <w:tcPr>
            <w:tcW w:w="0" w:type="auto"/>
            <w:vAlign w:val="center"/>
            <w:hideMark/>
          </w:tcPr>
          <w:p w14:paraId="12082740"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35 ± 3</w:t>
            </w:r>
          </w:p>
        </w:tc>
        <w:tc>
          <w:tcPr>
            <w:tcW w:w="0" w:type="auto"/>
            <w:vAlign w:val="center"/>
            <w:hideMark/>
          </w:tcPr>
          <w:p w14:paraId="5DD674D3"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1.0 ± 0.1</w:t>
            </w:r>
          </w:p>
        </w:tc>
      </w:tr>
      <w:tr w:rsidR="00EE51DE" w:rsidRPr="00EE51DE" w14:paraId="14FC6753" w14:textId="77777777" w:rsidTr="00940E25">
        <w:trPr>
          <w:tblCellSpacing w:w="15" w:type="dxa"/>
        </w:trPr>
        <w:tc>
          <w:tcPr>
            <w:tcW w:w="0" w:type="auto"/>
            <w:vAlign w:val="center"/>
            <w:hideMark/>
          </w:tcPr>
          <w:p w14:paraId="249A573A"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100 mg/kg</w:t>
            </w:r>
          </w:p>
        </w:tc>
        <w:tc>
          <w:tcPr>
            <w:tcW w:w="0" w:type="auto"/>
            <w:vAlign w:val="center"/>
            <w:hideMark/>
          </w:tcPr>
          <w:p w14:paraId="501115CD"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50 ± 4</w:t>
            </w:r>
          </w:p>
        </w:tc>
        <w:tc>
          <w:tcPr>
            <w:tcW w:w="0" w:type="auto"/>
            <w:vAlign w:val="center"/>
            <w:hideMark/>
          </w:tcPr>
          <w:p w14:paraId="3A7E291F"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1.4 ± 0.1</w:t>
            </w:r>
          </w:p>
        </w:tc>
      </w:tr>
      <w:tr w:rsidR="00EE51DE" w:rsidRPr="00EE51DE" w14:paraId="6BECAACA" w14:textId="77777777" w:rsidTr="00940E25">
        <w:trPr>
          <w:tblCellSpacing w:w="15" w:type="dxa"/>
        </w:trPr>
        <w:tc>
          <w:tcPr>
            <w:tcW w:w="0" w:type="auto"/>
            <w:vAlign w:val="center"/>
            <w:hideMark/>
          </w:tcPr>
          <w:p w14:paraId="3214A58F"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200 mg/kg</w:t>
            </w:r>
          </w:p>
        </w:tc>
        <w:tc>
          <w:tcPr>
            <w:tcW w:w="0" w:type="auto"/>
            <w:vAlign w:val="center"/>
            <w:hideMark/>
          </w:tcPr>
          <w:p w14:paraId="5D202096"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65 ± 5</w:t>
            </w:r>
          </w:p>
        </w:tc>
        <w:tc>
          <w:tcPr>
            <w:tcW w:w="0" w:type="auto"/>
            <w:vAlign w:val="center"/>
            <w:hideMark/>
          </w:tcPr>
          <w:p w14:paraId="348EF8D4"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1.8 ± 0.2</w:t>
            </w:r>
          </w:p>
        </w:tc>
      </w:tr>
    </w:tbl>
    <w:p w14:paraId="7160F60D"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Oxidative Stress</w:t>
      </w:r>
    </w:p>
    <w:p w14:paraId="2FCC3581"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Malondialdehyde (MDA) levels significantly increased while superoxide dismutase (SOD) activity decreased in a dose-responsive manner across the treated groups, indicating lipid peroxidation and antioxidant depletion (Table 4).</w:t>
      </w:r>
    </w:p>
    <w:p w14:paraId="482D552D" w14:textId="77777777" w:rsidR="00EE51DE" w:rsidRPr="00EE51DE" w:rsidRDefault="00EE51DE" w:rsidP="00E52A83">
      <w:p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Table 4. Oxidative Stress Markers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9"/>
        <w:gridCol w:w="2567"/>
        <w:gridCol w:w="2682"/>
      </w:tblGrid>
      <w:tr w:rsidR="00EE51DE" w:rsidRPr="00EE51DE" w14:paraId="5B741C2D" w14:textId="77777777" w:rsidTr="00940E25">
        <w:trPr>
          <w:tblHeader/>
          <w:tblCellSpacing w:w="15" w:type="dxa"/>
        </w:trPr>
        <w:tc>
          <w:tcPr>
            <w:tcW w:w="0" w:type="auto"/>
            <w:vAlign w:val="center"/>
            <w:hideMark/>
          </w:tcPr>
          <w:p w14:paraId="0E298BD9"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Group</w:t>
            </w:r>
          </w:p>
        </w:tc>
        <w:tc>
          <w:tcPr>
            <w:tcW w:w="0" w:type="auto"/>
            <w:vAlign w:val="center"/>
            <w:hideMark/>
          </w:tcPr>
          <w:p w14:paraId="6AE6B7E8"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MDA (nmol/mg protein)</w:t>
            </w:r>
          </w:p>
        </w:tc>
        <w:tc>
          <w:tcPr>
            <w:tcW w:w="0" w:type="auto"/>
            <w:vAlign w:val="center"/>
            <w:hideMark/>
          </w:tcPr>
          <w:p w14:paraId="302A2256" w14:textId="77777777" w:rsidR="00EE51DE" w:rsidRPr="00EE51DE" w:rsidRDefault="00EE51DE" w:rsidP="00E52A83">
            <w:pPr>
              <w:spacing w:after="0" w:line="240" w:lineRule="auto"/>
              <w:jc w:val="both"/>
              <w:rPr>
                <w:rFonts w:ascii="Times New Roman" w:eastAsia="Times New Roman" w:hAnsi="Times New Roman" w:cs="Times New Roman"/>
                <w:b/>
                <w:bCs/>
                <w:kern w:val="0"/>
                <w14:ligatures w14:val="none"/>
              </w:rPr>
            </w:pPr>
            <w:r w:rsidRPr="00EE51DE">
              <w:rPr>
                <w:rFonts w:ascii="Times New Roman" w:eastAsia="Times New Roman" w:hAnsi="Times New Roman" w:cs="Times New Roman"/>
                <w:b/>
                <w:bCs/>
                <w:kern w:val="0"/>
                <w14:ligatures w14:val="none"/>
              </w:rPr>
              <w:t>SOD Activity (% change)</w:t>
            </w:r>
          </w:p>
        </w:tc>
      </w:tr>
      <w:tr w:rsidR="00EE51DE" w:rsidRPr="00EE51DE" w14:paraId="273DCEF0" w14:textId="77777777" w:rsidTr="00940E25">
        <w:trPr>
          <w:tblCellSpacing w:w="15" w:type="dxa"/>
        </w:trPr>
        <w:tc>
          <w:tcPr>
            <w:tcW w:w="0" w:type="auto"/>
            <w:vAlign w:val="center"/>
            <w:hideMark/>
          </w:tcPr>
          <w:p w14:paraId="1069C983"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Control</w:t>
            </w:r>
          </w:p>
        </w:tc>
        <w:tc>
          <w:tcPr>
            <w:tcW w:w="0" w:type="auto"/>
            <w:vAlign w:val="center"/>
            <w:hideMark/>
          </w:tcPr>
          <w:p w14:paraId="45644DED"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1.2 ± 0.2</w:t>
            </w:r>
          </w:p>
        </w:tc>
        <w:tc>
          <w:tcPr>
            <w:tcW w:w="0" w:type="auto"/>
            <w:vAlign w:val="center"/>
            <w:hideMark/>
          </w:tcPr>
          <w:p w14:paraId="340E64CD"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Baseline</w:t>
            </w:r>
          </w:p>
        </w:tc>
      </w:tr>
      <w:tr w:rsidR="00EE51DE" w:rsidRPr="00EE51DE" w14:paraId="6F810AE2" w14:textId="77777777" w:rsidTr="00940E25">
        <w:trPr>
          <w:tblCellSpacing w:w="15" w:type="dxa"/>
        </w:trPr>
        <w:tc>
          <w:tcPr>
            <w:tcW w:w="0" w:type="auto"/>
            <w:vAlign w:val="center"/>
            <w:hideMark/>
          </w:tcPr>
          <w:p w14:paraId="09388516"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50 mg/kg</w:t>
            </w:r>
          </w:p>
        </w:tc>
        <w:tc>
          <w:tcPr>
            <w:tcW w:w="0" w:type="auto"/>
            <w:vAlign w:val="center"/>
            <w:hideMark/>
          </w:tcPr>
          <w:p w14:paraId="585663CC"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2.4 ± 0.3</w:t>
            </w:r>
          </w:p>
        </w:tc>
        <w:tc>
          <w:tcPr>
            <w:tcW w:w="0" w:type="auto"/>
            <w:vAlign w:val="center"/>
            <w:hideMark/>
          </w:tcPr>
          <w:p w14:paraId="053F7BE7"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-15%</w:t>
            </w:r>
          </w:p>
        </w:tc>
      </w:tr>
      <w:tr w:rsidR="00EE51DE" w:rsidRPr="00EE51DE" w14:paraId="4370DF98" w14:textId="77777777" w:rsidTr="00940E25">
        <w:trPr>
          <w:tblCellSpacing w:w="15" w:type="dxa"/>
        </w:trPr>
        <w:tc>
          <w:tcPr>
            <w:tcW w:w="0" w:type="auto"/>
            <w:vAlign w:val="center"/>
            <w:hideMark/>
          </w:tcPr>
          <w:p w14:paraId="448B6242"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100 mg/kg</w:t>
            </w:r>
          </w:p>
        </w:tc>
        <w:tc>
          <w:tcPr>
            <w:tcW w:w="0" w:type="auto"/>
            <w:vAlign w:val="center"/>
            <w:hideMark/>
          </w:tcPr>
          <w:p w14:paraId="32455605"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3.5 ± 0.4</w:t>
            </w:r>
          </w:p>
        </w:tc>
        <w:tc>
          <w:tcPr>
            <w:tcW w:w="0" w:type="auto"/>
            <w:vAlign w:val="center"/>
            <w:hideMark/>
          </w:tcPr>
          <w:p w14:paraId="2901C1B4"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-30%</w:t>
            </w:r>
          </w:p>
        </w:tc>
      </w:tr>
      <w:tr w:rsidR="00EE51DE" w:rsidRPr="00EE51DE" w14:paraId="0D95681A" w14:textId="77777777" w:rsidTr="00940E25">
        <w:trPr>
          <w:tblCellSpacing w:w="15" w:type="dxa"/>
        </w:trPr>
        <w:tc>
          <w:tcPr>
            <w:tcW w:w="0" w:type="auto"/>
            <w:vAlign w:val="center"/>
            <w:hideMark/>
          </w:tcPr>
          <w:p w14:paraId="5C3EB5D0"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200 mg/kg</w:t>
            </w:r>
          </w:p>
        </w:tc>
        <w:tc>
          <w:tcPr>
            <w:tcW w:w="0" w:type="auto"/>
            <w:vAlign w:val="center"/>
            <w:hideMark/>
          </w:tcPr>
          <w:p w14:paraId="6CD1E678"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4.5 ± 0.5</w:t>
            </w:r>
          </w:p>
        </w:tc>
        <w:tc>
          <w:tcPr>
            <w:tcW w:w="0" w:type="auto"/>
            <w:vAlign w:val="center"/>
            <w:hideMark/>
          </w:tcPr>
          <w:p w14:paraId="4B8377BD"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-40%</w:t>
            </w:r>
          </w:p>
        </w:tc>
      </w:tr>
    </w:tbl>
    <w:p w14:paraId="37C76A23"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p>
    <w:p w14:paraId="783F9F7F" w14:textId="77777777" w:rsidR="00EE51DE" w:rsidRPr="00EE51DE" w:rsidRDefault="00EE51DE" w:rsidP="00E52A83">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EE51DE">
        <w:rPr>
          <w:rFonts w:ascii="Arial" w:eastAsia="Times New Roman" w:hAnsi="Arial" w:cs="Arial"/>
          <w:b/>
          <w:bCs/>
          <w:kern w:val="0"/>
          <w:sz w:val="20"/>
          <w:szCs w:val="20"/>
          <w14:ligatures w14:val="none"/>
        </w:rPr>
        <w:t>3.5. H</w:t>
      </w:r>
      <w:r w:rsidRPr="00EE51DE">
        <w:rPr>
          <w:rFonts w:ascii="Times New Roman" w:eastAsia="Times New Roman" w:hAnsi="Times New Roman" w:cs="Times New Roman"/>
          <w:b/>
          <w:bCs/>
          <w:kern w:val="0"/>
          <w:sz w:val="27"/>
          <w:szCs w:val="27"/>
          <w14:ligatures w14:val="none"/>
        </w:rPr>
        <w:t>istological Findings</w:t>
      </w:r>
    </w:p>
    <w:p w14:paraId="3BD6C2B9"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lastRenderedPageBreak/>
        <w:t>Histopathological examination of liver and kidney tissues revealed dose-dependent structural alterations, particularly in the high-dose (200 mg/kg) group.</w:t>
      </w:r>
    </w:p>
    <w:p w14:paraId="38F90927"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b/>
          <w:bCs/>
          <w:kern w:val="0"/>
          <w14:ligatures w14:val="none"/>
        </w:rPr>
        <w:t>Liver Sections</w:t>
      </w:r>
      <w:r w:rsidRPr="00EE51DE">
        <w:rPr>
          <w:rFonts w:ascii="Times New Roman" w:eastAsia="Times New Roman" w:hAnsi="Times New Roman" w:cs="Times New Roman"/>
          <w:kern w:val="0"/>
          <w14:ligatures w14:val="none"/>
        </w:rPr>
        <w:br/>
        <w:t xml:space="preserve">As shown in </w:t>
      </w:r>
      <w:r w:rsidRPr="00EE51DE">
        <w:rPr>
          <w:rFonts w:ascii="Times New Roman" w:eastAsia="Times New Roman" w:hAnsi="Times New Roman" w:cs="Times New Roman"/>
          <w:i/>
          <w:iCs/>
          <w:kern w:val="0"/>
          <w14:ligatures w14:val="none"/>
        </w:rPr>
        <w:t>Figure 1</w:t>
      </w:r>
      <w:r w:rsidRPr="00EE51DE">
        <w:rPr>
          <w:rFonts w:ascii="Times New Roman" w:eastAsia="Times New Roman" w:hAnsi="Times New Roman" w:cs="Times New Roman"/>
          <w:kern w:val="0"/>
          <w14:ligatures w14:val="none"/>
        </w:rPr>
        <w:t xml:space="preserve">, liver tissues from rats administered 200 mg/kg of smoked fish extract exhibited </w:t>
      </w:r>
      <w:r w:rsidRPr="00EE51DE">
        <w:rPr>
          <w:rFonts w:ascii="Times New Roman" w:eastAsia="Times New Roman" w:hAnsi="Times New Roman" w:cs="Times New Roman"/>
          <w:b/>
          <w:bCs/>
          <w:kern w:val="0"/>
          <w14:ligatures w14:val="none"/>
        </w:rPr>
        <w:t>severe hepatocellular necrosis</w:t>
      </w:r>
      <w:r w:rsidRPr="00EE51DE">
        <w:rPr>
          <w:rFonts w:ascii="Times New Roman" w:eastAsia="Times New Roman" w:hAnsi="Times New Roman" w:cs="Times New Roman"/>
          <w:kern w:val="0"/>
          <w14:ligatures w14:val="none"/>
        </w:rPr>
        <w:t xml:space="preserve">, extensive </w:t>
      </w:r>
      <w:r w:rsidRPr="00EE51DE">
        <w:rPr>
          <w:rFonts w:ascii="Times New Roman" w:eastAsia="Times New Roman" w:hAnsi="Times New Roman" w:cs="Times New Roman"/>
          <w:b/>
          <w:bCs/>
          <w:kern w:val="0"/>
          <w14:ligatures w14:val="none"/>
        </w:rPr>
        <w:t>cytoplasmic vacuolization</w:t>
      </w:r>
      <w:r w:rsidRPr="00EE51DE">
        <w:rPr>
          <w:rFonts w:ascii="Times New Roman" w:eastAsia="Times New Roman" w:hAnsi="Times New Roman" w:cs="Times New Roman"/>
          <w:kern w:val="0"/>
          <w14:ligatures w14:val="none"/>
        </w:rPr>
        <w:t xml:space="preserve">, and </w:t>
      </w:r>
      <w:r w:rsidRPr="00EE51DE">
        <w:rPr>
          <w:rFonts w:ascii="Times New Roman" w:eastAsia="Times New Roman" w:hAnsi="Times New Roman" w:cs="Times New Roman"/>
          <w:b/>
          <w:bCs/>
          <w:kern w:val="0"/>
          <w14:ligatures w14:val="none"/>
        </w:rPr>
        <w:t>dense infiltration of inflammatory cells</w:t>
      </w:r>
      <w:r w:rsidRPr="00EE51DE">
        <w:rPr>
          <w:rFonts w:ascii="Times New Roman" w:eastAsia="Times New Roman" w:hAnsi="Times New Roman" w:cs="Times New Roman"/>
          <w:kern w:val="0"/>
          <w14:ligatures w14:val="none"/>
        </w:rPr>
        <w:t xml:space="preserve"> within the hepatic parenchyma. These features are indicative of substantial hepatic injury likely due to the toxic effects of polycyclic aromatic hydrocarbons (PAHs) and heavy metals in the extract. In contrast, the low- and medium-dose groups (50 and 100 mg/kg) showed </w:t>
      </w:r>
      <w:r w:rsidRPr="00EE51DE">
        <w:rPr>
          <w:rFonts w:ascii="Times New Roman" w:eastAsia="Times New Roman" w:hAnsi="Times New Roman" w:cs="Times New Roman"/>
          <w:b/>
          <w:bCs/>
          <w:kern w:val="0"/>
          <w14:ligatures w14:val="none"/>
        </w:rPr>
        <w:t>mild to moderate hepatocyte degeneration</w:t>
      </w:r>
      <w:r w:rsidRPr="00EE51DE">
        <w:rPr>
          <w:rFonts w:ascii="Times New Roman" w:eastAsia="Times New Roman" w:hAnsi="Times New Roman" w:cs="Times New Roman"/>
          <w:kern w:val="0"/>
          <w14:ligatures w14:val="none"/>
        </w:rPr>
        <w:t>, with scattered foci of vacuolization and mild inflammatory infiltration (</w:t>
      </w:r>
      <w:r w:rsidRPr="00EE51DE">
        <w:rPr>
          <w:rFonts w:ascii="Times New Roman" w:eastAsia="Times New Roman" w:hAnsi="Times New Roman" w:cs="Times New Roman"/>
          <w:i/>
          <w:iCs/>
          <w:kern w:val="0"/>
          <w14:ligatures w14:val="none"/>
        </w:rPr>
        <w:t>Figures 2 and 3</w:t>
      </w:r>
      <w:r w:rsidRPr="00EE51DE">
        <w:rPr>
          <w:rFonts w:ascii="Times New Roman" w:eastAsia="Times New Roman" w:hAnsi="Times New Roman" w:cs="Times New Roman"/>
          <w:kern w:val="0"/>
          <w14:ligatures w14:val="none"/>
        </w:rPr>
        <w:t>). The control group exhibited normal hepatic architecture with intact central veins and radiating hepatocyte cords (</w:t>
      </w:r>
      <w:r w:rsidRPr="00EE51DE">
        <w:rPr>
          <w:rFonts w:ascii="Times New Roman" w:eastAsia="Times New Roman" w:hAnsi="Times New Roman" w:cs="Times New Roman"/>
          <w:i/>
          <w:iCs/>
          <w:kern w:val="0"/>
          <w14:ligatures w14:val="none"/>
        </w:rPr>
        <w:t>Figure 4</w:t>
      </w:r>
      <w:r w:rsidRPr="00EE51DE">
        <w:rPr>
          <w:rFonts w:ascii="Times New Roman" w:eastAsia="Times New Roman" w:hAnsi="Times New Roman" w:cs="Times New Roman"/>
          <w:kern w:val="0"/>
          <w14:ligatures w14:val="none"/>
        </w:rPr>
        <w:t>).</w:t>
      </w:r>
    </w:p>
    <w:p w14:paraId="44E0DDC2"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b/>
          <w:bCs/>
          <w:kern w:val="0"/>
          <w14:ligatures w14:val="none"/>
        </w:rPr>
        <w:t>Kidney Sections</w:t>
      </w:r>
      <w:r w:rsidRPr="00EE51DE">
        <w:rPr>
          <w:rFonts w:ascii="Times New Roman" w:eastAsia="Times New Roman" w:hAnsi="Times New Roman" w:cs="Times New Roman"/>
          <w:kern w:val="0"/>
          <w14:ligatures w14:val="none"/>
        </w:rPr>
        <w:br/>
        <w:t>Kidney tissues from the high-dose group (</w:t>
      </w:r>
      <w:r w:rsidRPr="00EE51DE">
        <w:rPr>
          <w:rFonts w:ascii="Times New Roman" w:eastAsia="Times New Roman" w:hAnsi="Times New Roman" w:cs="Times New Roman"/>
          <w:i/>
          <w:iCs/>
          <w:kern w:val="0"/>
          <w14:ligatures w14:val="none"/>
        </w:rPr>
        <w:t>Figure 5</w:t>
      </w:r>
      <w:r w:rsidRPr="00EE51DE">
        <w:rPr>
          <w:rFonts w:ascii="Times New Roman" w:eastAsia="Times New Roman" w:hAnsi="Times New Roman" w:cs="Times New Roman"/>
          <w:kern w:val="0"/>
          <w14:ligatures w14:val="none"/>
        </w:rPr>
        <w:t xml:space="preserve">) displayed </w:t>
      </w:r>
      <w:r w:rsidRPr="00EE51DE">
        <w:rPr>
          <w:rFonts w:ascii="Times New Roman" w:eastAsia="Times New Roman" w:hAnsi="Times New Roman" w:cs="Times New Roman"/>
          <w:b/>
          <w:bCs/>
          <w:kern w:val="0"/>
          <w14:ligatures w14:val="none"/>
        </w:rPr>
        <w:t>tubular necrosis</w:t>
      </w:r>
      <w:r w:rsidRPr="00EE51DE">
        <w:rPr>
          <w:rFonts w:ascii="Times New Roman" w:eastAsia="Times New Roman" w:hAnsi="Times New Roman" w:cs="Times New Roman"/>
          <w:kern w:val="0"/>
          <w14:ligatures w14:val="none"/>
        </w:rPr>
        <w:t xml:space="preserve">, </w:t>
      </w:r>
      <w:r w:rsidRPr="00EE51DE">
        <w:rPr>
          <w:rFonts w:ascii="Times New Roman" w:eastAsia="Times New Roman" w:hAnsi="Times New Roman" w:cs="Times New Roman"/>
          <w:b/>
          <w:bCs/>
          <w:kern w:val="0"/>
          <w14:ligatures w14:val="none"/>
        </w:rPr>
        <w:t>glomerular atrophy</w:t>
      </w:r>
      <w:r w:rsidRPr="00EE51DE">
        <w:rPr>
          <w:rFonts w:ascii="Times New Roman" w:eastAsia="Times New Roman" w:hAnsi="Times New Roman" w:cs="Times New Roman"/>
          <w:kern w:val="0"/>
          <w14:ligatures w14:val="none"/>
        </w:rPr>
        <w:t xml:space="preserve">, and </w:t>
      </w:r>
      <w:r w:rsidRPr="00EE51DE">
        <w:rPr>
          <w:rFonts w:ascii="Times New Roman" w:eastAsia="Times New Roman" w:hAnsi="Times New Roman" w:cs="Times New Roman"/>
          <w:b/>
          <w:bCs/>
          <w:kern w:val="0"/>
          <w14:ligatures w14:val="none"/>
        </w:rPr>
        <w:t>interstitial inflammatory cell infiltration</w:t>
      </w:r>
      <w:r w:rsidRPr="00EE51DE">
        <w:rPr>
          <w:rFonts w:ascii="Times New Roman" w:eastAsia="Times New Roman" w:hAnsi="Times New Roman" w:cs="Times New Roman"/>
          <w:kern w:val="0"/>
          <w14:ligatures w14:val="none"/>
        </w:rPr>
        <w:t>, suggestive of compromised renal function and structural damage. The medium-dose group showed moderate tubular dilation and loss of epithelial integrity (</w:t>
      </w:r>
      <w:r w:rsidRPr="00EE51DE">
        <w:rPr>
          <w:rFonts w:ascii="Times New Roman" w:eastAsia="Times New Roman" w:hAnsi="Times New Roman" w:cs="Times New Roman"/>
          <w:i/>
          <w:iCs/>
          <w:kern w:val="0"/>
          <w14:ligatures w14:val="none"/>
        </w:rPr>
        <w:t>Figure 6</w:t>
      </w:r>
      <w:r w:rsidRPr="00EE51DE">
        <w:rPr>
          <w:rFonts w:ascii="Times New Roman" w:eastAsia="Times New Roman" w:hAnsi="Times New Roman" w:cs="Times New Roman"/>
          <w:kern w:val="0"/>
          <w14:ligatures w14:val="none"/>
        </w:rPr>
        <w:t>), while the low-dose group had only minimal alterations (</w:t>
      </w:r>
      <w:r w:rsidRPr="00EE51DE">
        <w:rPr>
          <w:rFonts w:ascii="Times New Roman" w:eastAsia="Times New Roman" w:hAnsi="Times New Roman" w:cs="Times New Roman"/>
          <w:i/>
          <w:iCs/>
          <w:kern w:val="0"/>
          <w14:ligatures w14:val="none"/>
        </w:rPr>
        <w:t>Figure 7</w:t>
      </w:r>
      <w:r w:rsidRPr="00EE51DE">
        <w:rPr>
          <w:rFonts w:ascii="Times New Roman" w:eastAsia="Times New Roman" w:hAnsi="Times New Roman" w:cs="Times New Roman"/>
          <w:kern w:val="0"/>
          <w14:ligatures w14:val="none"/>
        </w:rPr>
        <w:t>). Renal histology in the control animals was unremarkable, with normal glomeruli and intact tubular architecture (</w:t>
      </w:r>
      <w:r w:rsidRPr="00EE51DE">
        <w:rPr>
          <w:rFonts w:ascii="Times New Roman" w:eastAsia="Times New Roman" w:hAnsi="Times New Roman" w:cs="Times New Roman"/>
          <w:i/>
          <w:iCs/>
          <w:kern w:val="0"/>
          <w14:ligatures w14:val="none"/>
        </w:rPr>
        <w:t>Figure 8</w:t>
      </w:r>
      <w:r w:rsidRPr="00EE51DE">
        <w:rPr>
          <w:rFonts w:ascii="Times New Roman" w:eastAsia="Times New Roman" w:hAnsi="Times New Roman" w:cs="Times New Roman"/>
          <w:kern w:val="0"/>
          <w14:ligatures w14:val="none"/>
        </w:rPr>
        <w:t>).</w:t>
      </w:r>
    </w:p>
    <w:p w14:paraId="01A824FC"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These findings correlate with the biochemical evidence of liver and kidney dysfunction observed in the elevated serum levels of ALT, AST, urea, and creatinine in treated groups. The degree of tissue damage confirms a dose-related toxicological effect of the smoked fish extract on hepatic and renal structures.</w:t>
      </w:r>
    </w:p>
    <w:p w14:paraId="2A9F924B"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noProof/>
        </w:rPr>
        <w:drawing>
          <wp:inline distT="0" distB="0" distL="0" distR="0" wp14:anchorId="3BBDB0A0" wp14:editId="772DB2E1">
            <wp:extent cx="1844040" cy="2181225"/>
            <wp:effectExtent l="0" t="0" r="3810" b="9525"/>
            <wp:docPr id="2" name="image21.png" descr="C:\Users\Dr. Peter\Desktop\research main\d54d83ed-02e8-40dc-9b5b-9d045cca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C:\Users\Dr. Peter\Desktop\research main\d54d83ed-02e8-40dc-9b5b-9d045cca3148.jpg"/>
                    <pic:cNvPicPr>
                      <a:picLocks noChangeAspect="1" noChangeArrowheads="1"/>
                    </pic:cNvPicPr>
                  </pic:nvPicPr>
                  <pic:blipFill>
                    <a:blip r:embed="rId5"/>
                    <a:srcRect/>
                    <a:stretch>
                      <a:fillRect/>
                    </a:stretch>
                  </pic:blipFill>
                  <pic:spPr bwMode="auto">
                    <a:xfrm>
                      <a:off x="0" y="0"/>
                      <a:ext cx="1844040" cy="2181225"/>
                    </a:xfrm>
                    <a:prstGeom prst="rect">
                      <a:avLst/>
                    </a:prstGeom>
                    <a:noFill/>
                    <a:ln w="9525">
                      <a:noFill/>
                      <a:miter lim="800000"/>
                      <a:headEnd/>
                      <a:tailEnd/>
                    </a:ln>
                  </pic:spPr>
                </pic:pic>
              </a:graphicData>
            </a:graphic>
          </wp:inline>
        </w:drawing>
      </w:r>
    </w:p>
    <w:p w14:paraId="46BC0A4F"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Fig 1: Histopathological image of Normal kidney</w:t>
      </w:r>
    </w:p>
    <w:p w14:paraId="36E44D7B"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p>
    <w:p w14:paraId="6F7D427E"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Arial" w:eastAsia="Times New Roman" w:hAnsi="Arial" w:cs="Arial"/>
          <w:noProof/>
          <w:sz w:val="20"/>
          <w:szCs w:val="20"/>
        </w:rPr>
        <w:lastRenderedPageBreak/>
        <w:drawing>
          <wp:inline distT="0" distB="0" distL="0" distR="0" wp14:anchorId="2F3449E4" wp14:editId="040375E4">
            <wp:extent cx="2913380" cy="2355757"/>
            <wp:effectExtent l="0" t="0" r="1270" b="6985"/>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6"/>
                    <a:srcRect/>
                    <a:stretch>
                      <a:fillRect/>
                    </a:stretch>
                  </pic:blipFill>
                  <pic:spPr bwMode="auto">
                    <a:xfrm>
                      <a:off x="0" y="0"/>
                      <a:ext cx="2926660" cy="2366495"/>
                    </a:xfrm>
                    <a:prstGeom prst="rect">
                      <a:avLst/>
                    </a:prstGeom>
                    <a:noFill/>
                    <a:ln w="9525">
                      <a:noFill/>
                      <a:miter lim="800000"/>
                      <a:headEnd/>
                      <a:tailEnd/>
                    </a:ln>
                  </pic:spPr>
                </pic:pic>
              </a:graphicData>
            </a:graphic>
          </wp:inline>
        </w:drawing>
      </w:r>
    </w:p>
    <w:p w14:paraId="336CE1AC"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Fig </w:t>
      </w:r>
      <w:proofErr w:type="gramStart"/>
      <w:r w:rsidRPr="00EE51DE">
        <w:rPr>
          <w:rFonts w:ascii="Times New Roman" w:eastAsia="Times New Roman" w:hAnsi="Times New Roman" w:cs="Times New Roman"/>
          <w:kern w:val="0"/>
          <w14:ligatures w14:val="none"/>
        </w:rPr>
        <w:t>2 :</w:t>
      </w:r>
      <w:proofErr w:type="gramEnd"/>
      <w:r w:rsidRPr="00EE51DE">
        <w:rPr>
          <w:rFonts w:ascii="Times New Roman" w:eastAsia="Times New Roman" w:hAnsi="Times New Roman" w:cs="Times New Roman"/>
          <w:kern w:val="0"/>
          <w14:ligatures w14:val="none"/>
        </w:rPr>
        <w:t xml:space="preserve"> Histopathological image of Group 2 kidney</w:t>
      </w:r>
    </w:p>
    <w:p w14:paraId="731A4DBC"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p>
    <w:p w14:paraId="532525B9"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Arial" w:eastAsia="Times New Roman" w:hAnsi="Arial" w:cs="Arial"/>
          <w:noProof/>
          <w:sz w:val="20"/>
          <w:szCs w:val="20"/>
        </w:rPr>
        <w:drawing>
          <wp:inline distT="0" distB="0" distL="0" distR="0" wp14:anchorId="13CE58F0" wp14:editId="6E36AFFF">
            <wp:extent cx="3480803" cy="2201934"/>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7"/>
                    <a:srcRect/>
                    <a:stretch>
                      <a:fillRect/>
                    </a:stretch>
                  </pic:blipFill>
                  <pic:spPr bwMode="auto">
                    <a:xfrm>
                      <a:off x="0" y="0"/>
                      <a:ext cx="3503442" cy="2216256"/>
                    </a:xfrm>
                    <a:prstGeom prst="rect">
                      <a:avLst/>
                    </a:prstGeom>
                    <a:noFill/>
                    <a:ln w="9525">
                      <a:noFill/>
                      <a:miter lim="800000"/>
                      <a:headEnd/>
                      <a:tailEnd/>
                    </a:ln>
                  </pic:spPr>
                </pic:pic>
              </a:graphicData>
            </a:graphic>
          </wp:inline>
        </w:drawing>
      </w:r>
    </w:p>
    <w:p w14:paraId="532510EF"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Fig </w:t>
      </w:r>
      <w:proofErr w:type="gramStart"/>
      <w:r w:rsidRPr="00EE51DE">
        <w:rPr>
          <w:rFonts w:ascii="Times New Roman" w:eastAsia="Times New Roman" w:hAnsi="Times New Roman" w:cs="Times New Roman"/>
          <w:kern w:val="0"/>
          <w14:ligatures w14:val="none"/>
        </w:rPr>
        <w:t>3 :</w:t>
      </w:r>
      <w:proofErr w:type="gramEnd"/>
      <w:r w:rsidRPr="00EE51DE">
        <w:rPr>
          <w:rFonts w:ascii="Times New Roman" w:eastAsia="Times New Roman" w:hAnsi="Times New Roman" w:cs="Times New Roman"/>
          <w:kern w:val="0"/>
          <w14:ligatures w14:val="none"/>
        </w:rPr>
        <w:t xml:space="preserve"> Histopathological image of Group 3 kidney </w:t>
      </w:r>
    </w:p>
    <w:p w14:paraId="50077BC9"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hAnsi="Times New Roman" w:cs="Times New Roman"/>
          <w:noProof/>
        </w:rPr>
        <w:lastRenderedPageBreak/>
        <w:drawing>
          <wp:inline distT="0" distB="0" distL="0" distR="0" wp14:anchorId="430ACE69" wp14:editId="109D66E4">
            <wp:extent cx="5720080" cy="3540760"/>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720080" cy="3540760"/>
                    </a:xfrm>
                    <a:prstGeom prst="rect">
                      <a:avLst/>
                    </a:prstGeom>
                    <a:ln/>
                  </pic:spPr>
                </pic:pic>
              </a:graphicData>
            </a:graphic>
          </wp:inline>
        </w:drawing>
      </w:r>
    </w:p>
    <w:p w14:paraId="4A24BB7D"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Fig </w:t>
      </w:r>
      <w:proofErr w:type="gramStart"/>
      <w:r w:rsidRPr="00EE51DE">
        <w:rPr>
          <w:rFonts w:ascii="Times New Roman" w:eastAsia="Times New Roman" w:hAnsi="Times New Roman" w:cs="Times New Roman"/>
          <w:kern w:val="0"/>
          <w14:ligatures w14:val="none"/>
        </w:rPr>
        <w:t>4 :</w:t>
      </w:r>
      <w:proofErr w:type="gramEnd"/>
      <w:r w:rsidRPr="00EE51DE">
        <w:rPr>
          <w:rFonts w:ascii="Times New Roman" w:eastAsia="Times New Roman" w:hAnsi="Times New Roman" w:cs="Times New Roman"/>
          <w:kern w:val="0"/>
          <w14:ligatures w14:val="none"/>
        </w:rPr>
        <w:t xml:space="preserve"> Histopathological image of Group 4 kidney</w:t>
      </w:r>
    </w:p>
    <w:p w14:paraId="7E3992B5"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noProof/>
        </w:rPr>
        <w:lastRenderedPageBreak/>
        <w:drawing>
          <wp:inline distT="0" distB="0" distL="0" distR="0" wp14:anchorId="0180FD04" wp14:editId="4C77412B">
            <wp:extent cx="6387909" cy="4753374"/>
            <wp:effectExtent l="0" t="0" r="0" b="9525"/>
            <wp:docPr id="1299902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4995" cy="4766088"/>
                    </a:xfrm>
                    <a:prstGeom prst="rect">
                      <a:avLst/>
                    </a:prstGeom>
                    <a:noFill/>
                    <a:ln>
                      <a:noFill/>
                    </a:ln>
                  </pic:spPr>
                </pic:pic>
              </a:graphicData>
            </a:graphic>
          </wp:inline>
        </w:drawing>
      </w:r>
    </w:p>
    <w:p w14:paraId="01BE23F7"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14:ligatures w14:val="none"/>
        </w:rPr>
      </w:pPr>
      <w:r w:rsidRPr="00EE51DE">
        <w:rPr>
          <w:rFonts w:ascii="Times New Roman" w:eastAsia="Times New Roman" w:hAnsi="Times New Roman" w:cs="Times New Roman"/>
          <w:kern w:val="0"/>
          <w14:ligatures w14:val="none"/>
        </w:rPr>
        <w:t xml:space="preserve">Fig </w:t>
      </w:r>
      <w:proofErr w:type="gramStart"/>
      <w:r w:rsidRPr="00EE51DE">
        <w:rPr>
          <w:rFonts w:ascii="Times New Roman" w:eastAsia="Times New Roman" w:hAnsi="Times New Roman" w:cs="Times New Roman"/>
          <w:kern w:val="0"/>
          <w14:ligatures w14:val="none"/>
        </w:rPr>
        <w:t>5 :</w:t>
      </w:r>
      <w:proofErr w:type="gramEnd"/>
      <w:r w:rsidRPr="00EE51DE">
        <w:rPr>
          <w:rFonts w:ascii="Times New Roman" w:eastAsia="Times New Roman" w:hAnsi="Times New Roman" w:cs="Times New Roman"/>
          <w:kern w:val="0"/>
          <w14:ligatures w14:val="none"/>
        </w:rPr>
        <w:t xml:space="preserve"> Histopathological images of Liver for the 4 groups</w:t>
      </w:r>
    </w:p>
    <w:p w14:paraId="76767818"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2"/>
          <w:szCs w:val="22"/>
          <w14:ligatures w14:val="none"/>
        </w:rPr>
      </w:pPr>
      <w:proofErr w:type="gramStart"/>
      <w:r w:rsidRPr="00EE51DE">
        <w:rPr>
          <w:rFonts w:ascii="Arial" w:eastAsia="Times New Roman" w:hAnsi="Arial" w:cs="Arial"/>
          <w:b/>
          <w:bCs/>
          <w:kern w:val="0"/>
          <w:sz w:val="20"/>
          <w:szCs w:val="20"/>
          <w14:ligatures w14:val="none"/>
        </w:rPr>
        <w:t>Title :</w:t>
      </w:r>
      <w:proofErr w:type="gramEnd"/>
      <w:r w:rsidRPr="00EE51DE">
        <w:rPr>
          <w:rFonts w:ascii="Arial" w:eastAsia="Times New Roman" w:hAnsi="Arial" w:cs="Arial"/>
          <w:b/>
          <w:bCs/>
          <w:kern w:val="0"/>
          <w:sz w:val="20"/>
          <w:szCs w:val="20"/>
          <w14:ligatures w14:val="none"/>
        </w:rPr>
        <w:t xml:space="preserve"> </w:t>
      </w:r>
    </w:p>
    <w:p w14:paraId="39EA27DC"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Text of your result</w:t>
      </w:r>
    </w:p>
    <w:p w14:paraId="6707E621" w14:textId="77777777"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 xml:space="preserve">Table 5. </w:t>
      </w:r>
      <w:r w:rsidRPr="00EE51DE">
        <w:rPr>
          <w:rFonts w:ascii="Arial" w:eastAsia="Times New Roman" w:hAnsi="Arial" w:cs="Arial"/>
          <w:kern w:val="0"/>
          <w:sz w:val="20"/>
          <w:szCs w:val="20"/>
          <w14:ligatures w14:val="none"/>
        </w:rPr>
        <w:t>GCMS from the smoked fish extract</w:t>
      </w:r>
    </w:p>
    <w:p w14:paraId="35147D92" w14:textId="77777777" w:rsidR="00EE51DE" w:rsidRPr="00EE51DE" w:rsidRDefault="00EE51DE" w:rsidP="00E52A83">
      <w:pPr>
        <w:numPr>
          <w:ilvl w:val="0"/>
          <w:numId w:val="2"/>
        </w:numPr>
        <w:spacing w:before="100" w:beforeAutospacing="1" w:after="100" w:afterAutospacing="1" w:line="240" w:lineRule="auto"/>
        <w:contextualSpacing/>
        <w:jc w:val="both"/>
        <w:outlineLvl w:val="2"/>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EPA Priority PAHs in Smoked Fish with TEFs and BaPeq</w:t>
      </w:r>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09"/>
        <w:gridCol w:w="2184"/>
        <w:gridCol w:w="1283"/>
        <w:gridCol w:w="1539"/>
        <w:gridCol w:w="561"/>
        <w:gridCol w:w="1881"/>
        <w:gridCol w:w="1503"/>
      </w:tblGrid>
      <w:tr w:rsidR="00EE51DE" w:rsidRPr="00EE51DE" w14:paraId="583AD621" w14:textId="77777777" w:rsidTr="001A6BCA">
        <w:trPr>
          <w:tblHeader/>
          <w:tblCellSpacing w:w="15" w:type="dxa"/>
        </w:trPr>
        <w:tc>
          <w:tcPr>
            <w:tcW w:w="0" w:type="auto"/>
            <w:tcBorders>
              <w:top w:val="single" w:sz="4" w:space="0" w:color="auto"/>
              <w:bottom w:val="single" w:sz="4" w:space="0" w:color="auto"/>
            </w:tcBorders>
            <w:vAlign w:val="center"/>
            <w:hideMark/>
          </w:tcPr>
          <w:p w14:paraId="6E220DFF"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S/N</w:t>
            </w:r>
          </w:p>
        </w:tc>
        <w:tc>
          <w:tcPr>
            <w:tcW w:w="0" w:type="auto"/>
            <w:tcBorders>
              <w:top w:val="single" w:sz="4" w:space="0" w:color="auto"/>
              <w:bottom w:val="single" w:sz="4" w:space="0" w:color="auto"/>
            </w:tcBorders>
            <w:vAlign w:val="center"/>
            <w:hideMark/>
          </w:tcPr>
          <w:p w14:paraId="2B7FE62D"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PAH Compound</w:t>
            </w:r>
          </w:p>
        </w:tc>
        <w:tc>
          <w:tcPr>
            <w:tcW w:w="0" w:type="auto"/>
            <w:tcBorders>
              <w:top w:val="single" w:sz="4" w:space="0" w:color="auto"/>
              <w:bottom w:val="single" w:sz="4" w:space="0" w:color="auto"/>
            </w:tcBorders>
            <w:vAlign w:val="center"/>
            <w:hideMark/>
          </w:tcPr>
          <w:p w14:paraId="64AE0D9C"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Abbreviation</w:t>
            </w:r>
          </w:p>
        </w:tc>
        <w:tc>
          <w:tcPr>
            <w:tcW w:w="0" w:type="auto"/>
            <w:tcBorders>
              <w:top w:val="single" w:sz="4" w:space="0" w:color="auto"/>
              <w:bottom w:val="single" w:sz="4" w:space="0" w:color="auto"/>
            </w:tcBorders>
            <w:vAlign w:val="center"/>
            <w:hideMark/>
          </w:tcPr>
          <w:p w14:paraId="044CFB88"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Molecular Formula</w:t>
            </w:r>
          </w:p>
        </w:tc>
        <w:tc>
          <w:tcPr>
            <w:tcW w:w="0" w:type="auto"/>
            <w:tcBorders>
              <w:top w:val="single" w:sz="4" w:space="0" w:color="auto"/>
              <w:bottom w:val="single" w:sz="4" w:space="0" w:color="auto"/>
            </w:tcBorders>
            <w:vAlign w:val="center"/>
            <w:hideMark/>
          </w:tcPr>
          <w:p w14:paraId="185A4C6D"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TEF</w:t>
            </w:r>
          </w:p>
        </w:tc>
        <w:tc>
          <w:tcPr>
            <w:tcW w:w="0" w:type="auto"/>
            <w:tcBorders>
              <w:top w:val="single" w:sz="4" w:space="0" w:color="auto"/>
              <w:bottom w:val="single" w:sz="4" w:space="0" w:color="auto"/>
            </w:tcBorders>
            <w:vAlign w:val="center"/>
            <w:hideMark/>
          </w:tcPr>
          <w:p w14:paraId="5B32B807"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r w:rsidRPr="00EE51DE">
              <w:rPr>
                <w:rFonts w:ascii="Arial" w:eastAsia="Times New Roman" w:hAnsi="Arial" w:cs="Arial"/>
                <w:b/>
                <w:bCs/>
                <w:kern w:val="0"/>
                <w:sz w:val="20"/>
                <w:szCs w:val="20"/>
                <w14:ligatures w14:val="none"/>
              </w:rPr>
              <w:t>Concentration (</w:t>
            </w:r>
            <w:proofErr w:type="spellStart"/>
            <w:r w:rsidRPr="00EE51DE">
              <w:rPr>
                <w:rFonts w:ascii="Arial" w:eastAsia="Times New Roman" w:hAnsi="Arial" w:cs="Arial"/>
                <w:b/>
                <w:bCs/>
                <w:kern w:val="0"/>
                <w:sz w:val="20"/>
                <w:szCs w:val="20"/>
                <w14:ligatures w14:val="none"/>
              </w:rPr>
              <w:t>μg</w:t>
            </w:r>
            <w:proofErr w:type="spellEnd"/>
            <w:r w:rsidRPr="00EE51DE">
              <w:rPr>
                <w:rFonts w:ascii="Arial" w:eastAsia="Times New Roman" w:hAnsi="Arial" w:cs="Arial"/>
                <w:b/>
                <w:bCs/>
                <w:kern w:val="0"/>
                <w:sz w:val="20"/>
                <w:szCs w:val="20"/>
                <w14:ligatures w14:val="none"/>
              </w:rPr>
              <w:t>/kg)</w:t>
            </w:r>
          </w:p>
        </w:tc>
        <w:tc>
          <w:tcPr>
            <w:tcW w:w="0" w:type="auto"/>
            <w:tcBorders>
              <w:top w:val="single" w:sz="4" w:space="0" w:color="auto"/>
              <w:bottom w:val="single" w:sz="4" w:space="0" w:color="auto"/>
            </w:tcBorders>
            <w:vAlign w:val="center"/>
            <w:hideMark/>
          </w:tcPr>
          <w:p w14:paraId="43CADADB" w14:textId="77777777" w:rsidR="00EE51DE" w:rsidRPr="00EE51DE" w:rsidRDefault="00EE51DE" w:rsidP="00E52A83">
            <w:pPr>
              <w:spacing w:after="0" w:line="240" w:lineRule="auto"/>
              <w:jc w:val="both"/>
              <w:rPr>
                <w:rFonts w:ascii="Arial" w:eastAsia="Times New Roman" w:hAnsi="Arial" w:cs="Arial"/>
                <w:b/>
                <w:bCs/>
                <w:kern w:val="0"/>
                <w:sz w:val="20"/>
                <w:szCs w:val="20"/>
                <w14:ligatures w14:val="none"/>
              </w:rPr>
            </w:pPr>
            <w:proofErr w:type="spellStart"/>
            <w:r w:rsidRPr="00EE51DE">
              <w:rPr>
                <w:rFonts w:ascii="Arial" w:eastAsia="Times New Roman" w:hAnsi="Arial" w:cs="Arial"/>
                <w:b/>
                <w:bCs/>
                <w:kern w:val="0"/>
                <w:sz w:val="20"/>
                <w:szCs w:val="20"/>
                <w14:ligatures w14:val="none"/>
              </w:rPr>
              <w:t>BaPeq</w:t>
            </w:r>
            <w:proofErr w:type="spellEnd"/>
            <w:r w:rsidRPr="00EE51DE">
              <w:rPr>
                <w:rFonts w:ascii="Arial" w:eastAsia="Times New Roman" w:hAnsi="Arial" w:cs="Arial"/>
                <w:b/>
                <w:bCs/>
                <w:kern w:val="0"/>
                <w:sz w:val="20"/>
                <w:szCs w:val="20"/>
                <w14:ligatures w14:val="none"/>
              </w:rPr>
              <w:t xml:space="preserve"> (</w:t>
            </w:r>
            <w:proofErr w:type="spellStart"/>
            <w:r w:rsidRPr="00EE51DE">
              <w:rPr>
                <w:rFonts w:ascii="Arial" w:eastAsia="Times New Roman" w:hAnsi="Arial" w:cs="Arial"/>
                <w:b/>
                <w:bCs/>
                <w:kern w:val="0"/>
                <w:sz w:val="20"/>
                <w:szCs w:val="20"/>
                <w14:ligatures w14:val="none"/>
              </w:rPr>
              <w:t>μg</w:t>
            </w:r>
            <w:proofErr w:type="spellEnd"/>
            <w:r w:rsidRPr="00EE51DE">
              <w:rPr>
                <w:rFonts w:ascii="Arial" w:eastAsia="Times New Roman" w:hAnsi="Arial" w:cs="Arial"/>
                <w:b/>
                <w:bCs/>
                <w:kern w:val="0"/>
                <w:sz w:val="20"/>
                <w:szCs w:val="20"/>
                <w14:ligatures w14:val="none"/>
              </w:rPr>
              <w:t>/kg)</w:t>
            </w:r>
          </w:p>
        </w:tc>
      </w:tr>
      <w:tr w:rsidR="00EE51DE" w:rsidRPr="00EE51DE" w14:paraId="33C1D68E" w14:textId="77777777" w:rsidTr="001A6BCA">
        <w:trPr>
          <w:tblCellSpacing w:w="15" w:type="dxa"/>
        </w:trPr>
        <w:tc>
          <w:tcPr>
            <w:tcW w:w="0" w:type="auto"/>
            <w:vAlign w:val="center"/>
            <w:hideMark/>
          </w:tcPr>
          <w:p w14:paraId="6435904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w:t>
            </w:r>
          </w:p>
        </w:tc>
        <w:tc>
          <w:tcPr>
            <w:tcW w:w="0" w:type="auto"/>
            <w:vAlign w:val="center"/>
            <w:hideMark/>
          </w:tcPr>
          <w:p w14:paraId="75EC909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Naphthalene</w:t>
            </w:r>
          </w:p>
        </w:tc>
        <w:tc>
          <w:tcPr>
            <w:tcW w:w="0" w:type="auto"/>
            <w:vAlign w:val="center"/>
            <w:hideMark/>
          </w:tcPr>
          <w:p w14:paraId="0F72DAE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NAP</w:t>
            </w:r>
          </w:p>
        </w:tc>
        <w:tc>
          <w:tcPr>
            <w:tcW w:w="0" w:type="auto"/>
            <w:vAlign w:val="center"/>
            <w:hideMark/>
          </w:tcPr>
          <w:p w14:paraId="44457E4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₁₀</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₈</w:t>
            </w:r>
          </w:p>
        </w:tc>
        <w:tc>
          <w:tcPr>
            <w:tcW w:w="0" w:type="auto"/>
            <w:vAlign w:val="center"/>
            <w:hideMark/>
          </w:tcPr>
          <w:p w14:paraId="39095A6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0.001</w:t>
            </w:r>
          </w:p>
        </w:tc>
        <w:tc>
          <w:tcPr>
            <w:tcW w:w="0" w:type="auto"/>
            <w:vAlign w:val="center"/>
            <w:hideMark/>
          </w:tcPr>
          <w:p w14:paraId="36DD221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45.0</w:t>
            </w:r>
          </w:p>
        </w:tc>
        <w:tc>
          <w:tcPr>
            <w:tcW w:w="0" w:type="auto"/>
            <w:vAlign w:val="center"/>
            <w:hideMark/>
          </w:tcPr>
          <w:p w14:paraId="5C729B6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45.0 × 0.001 = </w:t>
            </w:r>
            <w:r w:rsidRPr="00EE51DE">
              <w:rPr>
                <w:rFonts w:ascii="Arial" w:eastAsia="Times New Roman" w:hAnsi="Arial" w:cs="Arial"/>
                <w:b/>
                <w:bCs/>
                <w:kern w:val="0"/>
                <w:sz w:val="20"/>
                <w:szCs w:val="20"/>
                <w14:ligatures w14:val="none"/>
              </w:rPr>
              <w:t>0.045</w:t>
            </w:r>
          </w:p>
        </w:tc>
      </w:tr>
      <w:tr w:rsidR="00EE51DE" w:rsidRPr="00EE51DE" w14:paraId="2D196B1C" w14:textId="77777777" w:rsidTr="001A6BCA">
        <w:trPr>
          <w:tblCellSpacing w:w="15" w:type="dxa"/>
        </w:trPr>
        <w:tc>
          <w:tcPr>
            <w:tcW w:w="0" w:type="auto"/>
            <w:vAlign w:val="center"/>
            <w:hideMark/>
          </w:tcPr>
          <w:p w14:paraId="2E50C84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w:t>
            </w:r>
          </w:p>
        </w:tc>
        <w:tc>
          <w:tcPr>
            <w:tcW w:w="0" w:type="auto"/>
            <w:vAlign w:val="center"/>
            <w:hideMark/>
          </w:tcPr>
          <w:p w14:paraId="6C1FF23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Acenaphthylene</w:t>
            </w:r>
          </w:p>
        </w:tc>
        <w:tc>
          <w:tcPr>
            <w:tcW w:w="0" w:type="auto"/>
            <w:vAlign w:val="center"/>
            <w:hideMark/>
          </w:tcPr>
          <w:p w14:paraId="209CA23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ACY</w:t>
            </w:r>
          </w:p>
        </w:tc>
        <w:tc>
          <w:tcPr>
            <w:tcW w:w="0" w:type="auto"/>
            <w:vAlign w:val="center"/>
            <w:hideMark/>
          </w:tcPr>
          <w:p w14:paraId="3408F21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₁₂</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₈</w:t>
            </w:r>
          </w:p>
        </w:tc>
        <w:tc>
          <w:tcPr>
            <w:tcW w:w="0" w:type="auto"/>
            <w:vAlign w:val="center"/>
            <w:hideMark/>
          </w:tcPr>
          <w:p w14:paraId="563B9CA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0.001</w:t>
            </w:r>
          </w:p>
        </w:tc>
        <w:tc>
          <w:tcPr>
            <w:tcW w:w="0" w:type="auto"/>
            <w:vAlign w:val="center"/>
            <w:hideMark/>
          </w:tcPr>
          <w:p w14:paraId="47F616D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30.0</w:t>
            </w:r>
          </w:p>
        </w:tc>
        <w:tc>
          <w:tcPr>
            <w:tcW w:w="0" w:type="auto"/>
            <w:vAlign w:val="center"/>
            <w:hideMark/>
          </w:tcPr>
          <w:p w14:paraId="46D67A2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30.0 × 0.001 = </w:t>
            </w:r>
            <w:r w:rsidRPr="00EE51DE">
              <w:rPr>
                <w:rFonts w:ascii="Arial" w:eastAsia="Times New Roman" w:hAnsi="Arial" w:cs="Arial"/>
                <w:b/>
                <w:bCs/>
                <w:kern w:val="0"/>
                <w:sz w:val="20"/>
                <w:szCs w:val="20"/>
                <w14:ligatures w14:val="none"/>
              </w:rPr>
              <w:t>0.030</w:t>
            </w:r>
          </w:p>
        </w:tc>
      </w:tr>
      <w:tr w:rsidR="00EE51DE" w:rsidRPr="00EE51DE" w14:paraId="7C2D237E" w14:textId="77777777" w:rsidTr="001A6BCA">
        <w:trPr>
          <w:tblCellSpacing w:w="15" w:type="dxa"/>
        </w:trPr>
        <w:tc>
          <w:tcPr>
            <w:tcW w:w="0" w:type="auto"/>
            <w:vAlign w:val="center"/>
            <w:hideMark/>
          </w:tcPr>
          <w:p w14:paraId="432EE07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w:t>
            </w:r>
          </w:p>
        </w:tc>
        <w:tc>
          <w:tcPr>
            <w:tcW w:w="0" w:type="auto"/>
            <w:vAlign w:val="center"/>
            <w:hideMark/>
          </w:tcPr>
          <w:p w14:paraId="786555F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Acenaphthene</w:t>
            </w:r>
          </w:p>
        </w:tc>
        <w:tc>
          <w:tcPr>
            <w:tcW w:w="0" w:type="auto"/>
            <w:vAlign w:val="center"/>
            <w:hideMark/>
          </w:tcPr>
          <w:p w14:paraId="62A0F6A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ACE</w:t>
            </w:r>
          </w:p>
        </w:tc>
        <w:tc>
          <w:tcPr>
            <w:tcW w:w="0" w:type="auto"/>
            <w:vAlign w:val="center"/>
            <w:hideMark/>
          </w:tcPr>
          <w:p w14:paraId="5422FE1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₁₂</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₁₀</w:t>
            </w:r>
          </w:p>
        </w:tc>
        <w:tc>
          <w:tcPr>
            <w:tcW w:w="0" w:type="auto"/>
            <w:vAlign w:val="center"/>
            <w:hideMark/>
          </w:tcPr>
          <w:p w14:paraId="5D79C21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0.001</w:t>
            </w:r>
          </w:p>
        </w:tc>
        <w:tc>
          <w:tcPr>
            <w:tcW w:w="0" w:type="auto"/>
            <w:vAlign w:val="center"/>
            <w:hideMark/>
          </w:tcPr>
          <w:p w14:paraId="2318E0F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28.0</w:t>
            </w:r>
          </w:p>
        </w:tc>
        <w:tc>
          <w:tcPr>
            <w:tcW w:w="0" w:type="auto"/>
            <w:vAlign w:val="center"/>
            <w:hideMark/>
          </w:tcPr>
          <w:p w14:paraId="0C7B95C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28.0 × 0.001 = </w:t>
            </w:r>
            <w:r w:rsidRPr="00EE51DE">
              <w:rPr>
                <w:rFonts w:ascii="Arial" w:eastAsia="Times New Roman" w:hAnsi="Arial" w:cs="Arial"/>
                <w:b/>
                <w:bCs/>
                <w:kern w:val="0"/>
                <w:sz w:val="20"/>
                <w:szCs w:val="20"/>
                <w14:ligatures w14:val="none"/>
              </w:rPr>
              <w:t>0.028</w:t>
            </w:r>
          </w:p>
        </w:tc>
      </w:tr>
      <w:tr w:rsidR="00EE51DE" w:rsidRPr="00EE51DE" w14:paraId="1B58B0D6" w14:textId="77777777" w:rsidTr="001A6BCA">
        <w:trPr>
          <w:tblCellSpacing w:w="15" w:type="dxa"/>
        </w:trPr>
        <w:tc>
          <w:tcPr>
            <w:tcW w:w="0" w:type="auto"/>
            <w:vAlign w:val="center"/>
            <w:hideMark/>
          </w:tcPr>
          <w:p w14:paraId="6AB787D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w:t>
            </w:r>
          </w:p>
        </w:tc>
        <w:tc>
          <w:tcPr>
            <w:tcW w:w="0" w:type="auto"/>
            <w:vAlign w:val="center"/>
            <w:hideMark/>
          </w:tcPr>
          <w:p w14:paraId="1DE23E4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Fluorene</w:t>
            </w:r>
          </w:p>
        </w:tc>
        <w:tc>
          <w:tcPr>
            <w:tcW w:w="0" w:type="auto"/>
            <w:vAlign w:val="center"/>
            <w:hideMark/>
          </w:tcPr>
          <w:p w14:paraId="0B7B41F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FLU</w:t>
            </w:r>
          </w:p>
        </w:tc>
        <w:tc>
          <w:tcPr>
            <w:tcW w:w="0" w:type="auto"/>
            <w:vAlign w:val="center"/>
            <w:hideMark/>
          </w:tcPr>
          <w:p w14:paraId="129D9DD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₁₃</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₁₀</w:t>
            </w:r>
          </w:p>
        </w:tc>
        <w:tc>
          <w:tcPr>
            <w:tcW w:w="0" w:type="auto"/>
            <w:vAlign w:val="center"/>
            <w:hideMark/>
          </w:tcPr>
          <w:p w14:paraId="43BCC1B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0.001</w:t>
            </w:r>
          </w:p>
        </w:tc>
        <w:tc>
          <w:tcPr>
            <w:tcW w:w="0" w:type="auto"/>
            <w:vAlign w:val="center"/>
            <w:hideMark/>
          </w:tcPr>
          <w:p w14:paraId="3B60019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25.0</w:t>
            </w:r>
          </w:p>
        </w:tc>
        <w:tc>
          <w:tcPr>
            <w:tcW w:w="0" w:type="auto"/>
            <w:vAlign w:val="center"/>
            <w:hideMark/>
          </w:tcPr>
          <w:p w14:paraId="6D2ABB1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25.0 × 0.001 = </w:t>
            </w:r>
            <w:r w:rsidRPr="00EE51DE">
              <w:rPr>
                <w:rFonts w:ascii="Arial" w:eastAsia="Times New Roman" w:hAnsi="Arial" w:cs="Arial"/>
                <w:b/>
                <w:bCs/>
                <w:kern w:val="0"/>
                <w:sz w:val="20"/>
                <w:szCs w:val="20"/>
                <w14:ligatures w14:val="none"/>
              </w:rPr>
              <w:t>0.025</w:t>
            </w:r>
          </w:p>
        </w:tc>
      </w:tr>
      <w:tr w:rsidR="00EE51DE" w:rsidRPr="00EE51DE" w14:paraId="69A52A62" w14:textId="77777777" w:rsidTr="001A6BCA">
        <w:trPr>
          <w:tblCellSpacing w:w="15" w:type="dxa"/>
        </w:trPr>
        <w:tc>
          <w:tcPr>
            <w:tcW w:w="0" w:type="auto"/>
            <w:vAlign w:val="center"/>
            <w:hideMark/>
          </w:tcPr>
          <w:p w14:paraId="3484B3D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lastRenderedPageBreak/>
              <w:t>5</w:t>
            </w:r>
          </w:p>
        </w:tc>
        <w:tc>
          <w:tcPr>
            <w:tcW w:w="0" w:type="auto"/>
            <w:vAlign w:val="center"/>
            <w:hideMark/>
          </w:tcPr>
          <w:p w14:paraId="61F5395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Phenanthrene</w:t>
            </w:r>
          </w:p>
        </w:tc>
        <w:tc>
          <w:tcPr>
            <w:tcW w:w="0" w:type="auto"/>
            <w:vAlign w:val="center"/>
            <w:hideMark/>
          </w:tcPr>
          <w:p w14:paraId="17A5BBD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PHE</w:t>
            </w:r>
          </w:p>
        </w:tc>
        <w:tc>
          <w:tcPr>
            <w:tcW w:w="0" w:type="auto"/>
            <w:vAlign w:val="center"/>
            <w:hideMark/>
          </w:tcPr>
          <w:p w14:paraId="4C22E20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₁₄</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₁₀</w:t>
            </w:r>
          </w:p>
        </w:tc>
        <w:tc>
          <w:tcPr>
            <w:tcW w:w="0" w:type="auto"/>
            <w:vAlign w:val="center"/>
            <w:hideMark/>
          </w:tcPr>
          <w:p w14:paraId="7146A4C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0.001</w:t>
            </w:r>
          </w:p>
        </w:tc>
        <w:tc>
          <w:tcPr>
            <w:tcW w:w="0" w:type="auto"/>
            <w:vAlign w:val="center"/>
            <w:hideMark/>
          </w:tcPr>
          <w:p w14:paraId="3E2C258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50.0</w:t>
            </w:r>
          </w:p>
        </w:tc>
        <w:tc>
          <w:tcPr>
            <w:tcW w:w="0" w:type="auto"/>
            <w:vAlign w:val="center"/>
            <w:hideMark/>
          </w:tcPr>
          <w:p w14:paraId="3EA8B7E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50.0 × 0.001 = </w:t>
            </w:r>
            <w:r w:rsidRPr="00EE51DE">
              <w:rPr>
                <w:rFonts w:ascii="Arial" w:eastAsia="Times New Roman" w:hAnsi="Arial" w:cs="Arial"/>
                <w:b/>
                <w:bCs/>
                <w:kern w:val="0"/>
                <w:sz w:val="20"/>
                <w:szCs w:val="20"/>
                <w14:ligatures w14:val="none"/>
              </w:rPr>
              <w:t>0.050</w:t>
            </w:r>
          </w:p>
        </w:tc>
      </w:tr>
      <w:tr w:rsidR="00EE51DE" w:rsidRPr="00EE51DE" w14:paraId="4A8D6257" w14:textId="77777777" w:rsidTr="001A6BCA">
        <w:trPr>
          <w:tblCellSpacing w:w="15" w:type="dxa"/>
        </w:trPr>
        <w:tc>
          <w:tcPr>
            <w:tcW w:w="0" w:type="auto"/>
            <w:vAlign w:val="center"/>
            <w:hideMark/>
          </w:tcPr>
          <w:p w14:paraId="0057D44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w:t>
            </w:r>
          </w:p>
        </w:tc>
        <w:tc>
          <w:tcPr>
            <w:tcW w:w="0" w:type="auto"/>
            <w:vAlign w:val="center"/>
            <w:hideMark/>
          </w:tcPr>
          <w:p w14:paraId="4477B07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Anthracene</w:t>
            </w:r>
          </w:p>
        </w:tc>
        <w:tc>
          <w:tcPr>
            <w:tcW w:w="0" w:type="auto"/>
            <w:vAlign w:val="center"/>
            <w:hideMark/>
          </w:tcPr>
          <w:p w14:paraId="3EB984B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ANT</w:t>
            </w:r>
          </w:p>
        </w:tc>
        <w:tc>
          <w:tcPr>
            <w:tcW w:w="0" w:type="auto"/>
            <w:vAlign w:val="center"/>
            <w:hideMark/>
          </w:tcPr>
          <w:p w14:paraId="6E24831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₁₄</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₁₀</w:t>
            </w:r>
          </w:p>
        </w:tc>
        <w:tc>
          <w:tcPr>
            <w:tcW w:w="0" w:type="auto"/>
            <w:vAlign w:val="center"/>
            <w:hideMark/>
          </w:tcPr>
          <w:p w14:paraId="09C709A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0.01</w:t>
            </w:r>
          </w:p>
        </w:tc>
        <w:tc>
          <w:tcPr>
            <w:tcW w:w="0" w:type="auto"/>
            <w:vAlign w:val="center"/>
            <w:hideMark/>
          </w:tcPr>
          <w:p w14:paraId="33CA8AA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20.0</w:t>
            </w:r>
          </w:p>
        </w:tc>
        <w:tc>
          <w:tcPr>
            <w:tcW w:w="0" w:type="auto"/>
            <w:vAlign w:val="center"/>
            <w:hideMark/>
          </w:tcPr>
          <w:p w14:paraId="7C364F4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20.0 × 0.01 = </w:t>
            </w:r>
            <w:r w:rsidRPr="00EE51DE">
              <w:rPr>
                <w:rFonts w:ascii="Arial" w:eastAsia="Times New Roman" w:hAnsi="Arial" w:cs="Arial"/>
                <w:b/>
                <w:bCs/>
                <w:kern w:val="0"/>
                <w:sz w:val="20"/>
                <w:szCs w:val="20"/>
                <w14:ligatures w14:val="none"/>
              </w:rPr>
              <w:t>0.200</w:t>
            </w:r>
          </w:p>
        </w:tc>
      </w:tr>
      <w:tr w:rsidR="00EE51DE" w:rsidRPr="00EE51DE" w14:paraId="332E1E5F" w14:textId="77777777" w:rsidTr="001A6BCA">
        <w:trPr>
          <w:tblCellSpacing w:w="15" w:type="dxa"/>
        </w:trPr>
        <w:tc>
          <w:tcPr>
            <w:tcW w:w="0" w:type="auto"/>
            <w:vAlign w:val="center"/>
            <w:hideMark/>
          </w:tcPr>
          <w:p w14:paraId="2D0278F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w:t>
            </w:r>
          </w:p>
        </w:tc>
        <w:tc>
          <w:tcPr>
            <w:tcW w:w="0" w:type="auto"/>
            <w:vAlign w:val="center"/>
            <w:hideMark/>
          </w:tcPr>
          <w:p w14:paraId="52E6D7D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Fluoranthene</w:t>
            </w:r>
          </w:p>
        </w:tc>
        <w:tc>
          <w:tcPr>
            <w:tcW w:w="0" w:type="auto"/>
            <w:vAlign w:val="center"/>
            <w:hideMark/>
          </w:tcPr>
          <w:p w14:paraId="7CF363F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FLA</w:t>
            </w:r>
          </w:p>
        </w:tc>
        <w:tc>
          <w:tcPr>
            <w:tcW w:w="0" w:type="auto"/>
            <w:vAlign w:val="center"/>
            <w:hideMark/>
          </w:tcPr>
          <w:p w14:paraId="204DF2A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₁₆</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₁₀</w:t>
            </w:r>
          </w:p>
        </w:tc>
        <w:tc>
          <w:tcPr>
            <w:tcW w:w="0" w:type="auto"/>
            <w:vAlign w:val="center"/>
            <w:hideMark/>
          </w:tcPr>
          <w:p w14:paraId="69631CA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0.001</w:t>
            </w:r>
          </w:p>
        </w:tc>
        <w:tc>
          <w:tcPr>
            <w:tcW w:w="0" w:type="auto"/>
            <w:vAlign w:val="center"/>
            <w:hideMark/>
          </w:tcPr>
          <w:p w14:paraId="1A4E212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35.0</w:t>
            </w:r>
          </w:p>
        </w:tc>
        <w:tc>
          <w:tcPr>
            <w:tcW w:w="0" w:type="auto"/>
            <w:vAlign w:val="center"/>
            <w:hideMark/>
          </w:tcPr>
          <w:p w14:paraId="425ADF1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35.0 × 0.001 = </w:t>
            </w:r>
            <w:r w:rsidRPr="00EE51DE">
              <w:rPr>
                <w:rFonts w:ascii="Arial" w:eastAsia="Times New Roman" w:hAnsi="Arial" w:cs="Arial"/>
                <w:b/>
                <w:bCs/>
                <w:kern w:val="0"/>
                <w:sz w:val="20"/>
                <w:szCs w:val="20"/>
                <w14:ligatures w14:val="none"/>
              </w:rPr>
              <w:t>0.035</w:t>
            </w:r>
          </w:p>
        </w:tc>
      </w:tr>
      <w:tr w:rsidR="00EE51DE" w:rsidRPr="00EE51DE" w14:paraId="121BD8DF" w14:textId="77777777" w:rsidTr="001A6BCA">
        <w:trPr>
          <w:tblCellSpacing w:w="15" w:type="dxa"/>
        </w:trPr>
        <w:tc>
          <w:tcPr>
            <w:tcW w:w="0" w:type="auto"/>
            <w:vAlign w:val="center"/>
            <w:hideMark/>
          </w:tcPr>
          <w:p w14:paraId="0B4FFD4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8</w:t>
            </w:r>
          </w:p>
        </w:tc>
        <w:tc>
          <w:tcPr>
            <w:tcW w:w="0" w:type="auto"/>
            <w:vAlign w:val="center"/>
            <w:hideMark/>
          </w:tcPr>
          <w:p w14:paraId="16B358D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Pyrene</w:t>
            </w:r>
          </w:p>
        </w:tc>
        <w:tc>
          <w:tcPr>
            <w:tcW w:w="0" w:type="auto"/>
            <w:vAlign w:val="center"/>
            <w:hideMark/>
          </w:tcPr>
          <w:p w14:paraId="7963183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PYR</w:t>
            </w:r>
          </w:p>
        </w:tc>
        <w:tc>
          <w:tcPr>
            <w:tcW w:w="0" w:type="auto"/>
            <w:vAlign w:val="center"/>
            <w:hideMark/>
          </w:tcPr>
          <w:p w14:paraId="69A53BC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₁₆</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₁₀</w:t>
            </w:r>
          </w:p>
        </w:tc>
        <w:tc>
          <w:tcPr>
            <w:tcW w:w="0" w:type="auto"/>
            <w:vAlign w:val="center"/>
            <w:hideMark/>
          </w:tcPr>
          <w:p w14:paraId="02F3A29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0.001</w:t>
            </w:r>
          </w:p>
        </w:tc>
        <w:tc>
          <w:tcPr>
            <w:tcW w:w="0" w:type="auto"/>
            <w:vAlign w:val="center"/>
            <w:hideMark/>
          </w:tcPr>
          <w:p w14:paraId="57B1CF3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40.0</w:t>
            </w:r>
          </w:p>
        </w:tc>
        <w:tc>
          <w:tcPr>
            <w:tcW w:w="0" w:type="auto"/>
            <w:vAlign w:val="center"/>
            <w:hideMark/>
          </w:tcPr>
          <w:p w14:paraId="5B66CEE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40.0 × 0.001 = </w:t>
            </w:r>
            <w:r w:rsidRPr="00EE51DE">
              <w:rPr>
                <w:rFonts w:ascii="Arial" w:eastAsia="Times New Roman" w:hAnsi="Arial" w:cs="Arial"/>
                <w:b/>
                <w:bCs/>
                <w:kern w:val="0"/>
                <w:sz w:val="20"/>
                <w:szCs w:val="20"/>
                <w14:ligatures w14:val="none"/>
              </w:rPr>
              <w:t>0.040</w:t>
            </w:r>
          </w:p>
        </w:tc>
      </w:tr>
      <w:tr w:rsidR="00EE51DE" w:rsidRPr="00EE51DE" w14:paraId="43CD06D2" w14:textId="77777777" w:rsidTr="001A6BCA">
        <w:trPr>
          <w:tblCellSpacing w:w="15" w:type="dxa"/>
        </w:trPr>
        <w:tc>
          <w:tcPr>
            <w:tcW w:w="0" w:type="auto"/>
            <w:vAlign w:val="center"/>
            <w:hideMark/>
          </w:tcPr>
          <w:p w14:paraId="515BA6E5"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9</w:t>
            </w:r>
          </w:p>
        </w:tc>
        <w:tc>
          <w:tcPr>
            <w:tcW w:w="0" w:type="auto"/>
            <w:vAlign w:val="center"/>
            <w:hideMark/>
          </w:tcPr>
          <w:p w14:paraId="441E8EC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Benzo[a]anthracene</w:t>
            </w:r>
          </w:p>
        </w:tc>
        <w:tc>
          <w:tcPr>
            <w:tcW w:w="0" w:type="auto"/>
            <w:vAlign w:val="center"/>
            <w:hideMark/>
          </w:tcPr>
          <w:p w14:paraId="6357941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roofErr w:type="spellStart"/>
            <w:r w:rsidRPr="00EE51DE">
              <w:rPr>
                <w:rFonts w:ascii="Arial" w:eastAsia="Times New Roman" w:hAnsi="Arial" w:cs="Arial"/>
                <w:kern w:val="0"/>
                <w:sz w:val="20"/>
                <w:szCs w:val="20"/>
                <w14:ligatures w14:val="none"/>
              </w:rPr>
              <w:t>BaA</w:t>
            </w:r>
            <w:proofErr w:type="spellEnd"/>
          </w:p>
        </w:tc>
        <w:tc>
          <w:tcPr>
            <w:tcW w:w="0" w:type="auto"/>
            <w:vAlign w:val="center"/>
            <w:hideMark/>
          </w:tcPr>
          <w:p w14:paraId="31D8707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₁₈</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₁₂</w:t>
            </w:r>
          </w:p>
        </w:tc>
        <w:tc>
          <w:tcPr>
            <w:tcW w:w="0" w:type="auto"/>
            <w:vAlign w:val="center"/>
            <w:hideMark/>
          </w:tcPr>
          <w:p w14:paraId="575EB38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0.1</w:t>
            </w:r>
          </w:p>
        </w:tc>
        <w:tc>
          <w:tcPr>
            <w:tcW w:w="0" w:type="auto"/>
            <w:vAlign w:val="center"/>
            <w:hideMark/>
          </w:tcPr>
          <w:p w14:paraId="671B4F3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12.0</w:t>
            </w:r>
          </w:p>
        </w:tc>
        <w:tc>
          <w:tcPr>
            <w:tcW w:w="0" w:type="auto"/>
            <w:vAlign w:val="center"/>
            <w:hideMark/>
          </w:tcPr>
          <w:p w14:paraId="1DBBAC4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12.0 × 0.1 = </w:t>
            </w:r>
            <w:r w:rsidRPr="00EE51DE">
              <w:rPr>
                <w:rFonts w:ascii="Arial" w:eastAsia="Times New Roman" w:hAnsi="Arial" w:cs="Arial"/>
                <w:b/>
                <w:bCs/>
                <w:kern w:val="0"/>
                <w:sz w:val="20"/>
                <w:szCs w:val="20"/>
                <w14:ligatures w14:val="none"/>
              </w:rPr>
              <w:t>1.200</w:t>
            </w:r>
          </w:p>
        </w:tc>
      </w:tr>
      <w:tr w:rsidR="00EE51DE" w:rsidRPr="00EE51DE" w14:paraId="2BC46FBA" w14:textId="77777777" w:rsidTr="001A6BCA">
        <w:trPr>
          <w:tblCellSpacing w:w="15" w:type="dxa"/>
        </w:trPr>
        <w:tc>
          <w:tcPr>
            <w:tcW w:w="0" w:type="auto"/>
            <w:vAlign w:val="center"/>
            <w:hideMark/>
          </w:tcPr>
          <w:p w14:paraId="2B8B76C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10</w:t>
            </w:r>
          </w:p>
        </w:tc>
        <w:tc>
          <w:tcPr>
            <w:tcW w:w="0" w:type="auto"/>
            <w:vAlign w:val="center"/>
            <w:hideMark/>
          </w:tcPr>
          <w:p w14:paraId="2057F3D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Chrysene</w:t>
            </w:r>
          </w:p>
        </w:tc>
        <w:tc>
          <w:tcPr>
            <w:tcW w:w="0" w:type="auto"/>
            <w:vAlign w:val="center"/>
            <w:hideMark/>
          </w:tcPr>
          <w:p w14:paraId="6931CF7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CHR</w:t>
            </w:r>
          </w:p>
        </w:tc>
        <w:tc>
          <w:tcPr>
            <w:tcW w:w="0" w:type="auto"/>
            <w:vAlign w:val="center"/>
            <w:hideMark/>
          </w:tcPr>
          <w:p w14:paraId="36F05AE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₁₈</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₁₂</w:t>
            </w:r>
          </w:p>
        </w:tc>
        <w:tc>
          <w:tcPr>
            <w:tcW w:w="0" w:type="auto"/>
            <w:vAlign w:val="center"/>
            <w:hideMark/>
          </w:tcPr>
          <w:p w14:paraId="3DDC078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0.01</w:t>
            </w:r>
          </w:p>
        </w:tc>
        <w:tc>
          <w:tcPr>
            <w:tcW w:w="0" w:type="auto"/>
            <w:vAlign w:val="center"/>
            <w:hideMark/>
          </w:tcPr>
          <w:p w14:paraId="3D19244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10.0</w:t>
            </w:r>
          </w:p>
        </w:tc>
        <w:tc>
          <w:tcPr>
            <w:tcW w:w="0" w:type="auto"/>
            <w:vAlign w:val="center"/>
            <w:hideMark/>
          </w:tcPr>
          <w:p w14:paraId="0890882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10.0 × 0.01 = </w:t>
            </w:r>
            <w:r w:rsidRPr="00EE51DE">
              <w:rPr>
                <w:rFonts w:ascii="Arial" w:eastAsia="Times New Roman" w:hAnsi="Arial" w:cs="Arial"/>
                <w:b/>
                <w:bCs/>
                <w:kern w:val="0"/>
                <w:sz w:val="20"/>
                <w:szCs w:val="20"/>
                <w14:ligatures w14:val="none"/>
              </w:rPr>
              <w:t>0.100</w:t>
            </w:r>
          </w:p>
        </w:tc>
      </w:tr>
      <w:tr w:rsidR="00EE51DE" w:rsidRPr="00EE51DE" w14:paraId="1225B867" w14:textId="77777777" w:rsidTr="001A6BCA">
        <w:trPr>
          <w:tblCellSpacing w:w="15" w:type="dxa"/>
        </w:trPr>
        <w:tc>
          <w:tcPr>
            <w:tcW w:w="0" w:type="auto"/>
            <w:vAlign w:val="center"/>
            <w:hideMark/>
          </w:tcPr>
          <w:p w14:paraId="29FEFC7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11</w:t>
            </w:r>
          </w:p>
        </w:tc>
        <w:tc>
          <w:tcPr>
            <w:tcW w:w="0" w:type="auto"/>
            <w:vAlign w:val="center"/>
            <w:hideMark/>
          </w:tcPr>
          <w:p w14:paraId="3627A55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Benzo[b]fluoranthene</w:t>
            </w:r>
          </w:p>
        </w:tc>
        <w:tc>
          <w:tcPr>
            <w:tcW w:w="0" w:type="auto"/>
            <w:vAlign w:val="center"/>
            <w:hideMark/>
          </w:tcPr>
          <w:p w14:paraId="29FFB59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roofErr w:type="spellStart"/>
            <w:r w:rsidRPr="00EE51DE">
              <w:rPr>
                <w:rFonts w:ascii="Arial" w:eastAsia="Times New Roman" w:hAnsi="Arial" w:cs="Arial"/>
                <w:kern w:val="0"/>
                <w:sz w:val="20"/>
                <w:szCs w:val="20"/>
                <w14:ligatures w14:val="none"/>
              </w:rPr>
              <w:t>BbF</w:t>
            </w:r>
            <w:proofErr w:type="spellEnd"/>
          </w:p>
        </w:tc>
        <w:tc>
          <w:tcPr>
            <w:tcW w:w="0" w:type="auto"/>
            <w:vAlign w:val="center"/>
            <w:hideMark/>
          </w:tcPr>
          <w:p w14:paraId="51E6C67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₂₀</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₁₂</w:t>
            </w:r>
          </w:p>
        </w:tc>
        <w:tc>
          <w:tcPr>
            <w:tcW w:w="0" w:type="auto"/>
            <w:vAlign w:val="center"/>
            <w:hideMark/>
          </w:tcPr>
          <w:p w14:paraId="1D587DD4"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0.1</w:t>
            </w:r>
          </w:p>
        </w:tc>
        <w:tc>
          <w:tcPr>
            <w:tcW w:w="0" w:type="auto"/>
            <w:vAlign w:val="center"/>
            <w:hideMark/>
          </w:tcPr>
          <w:p w14:paraId="66DFE32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9.0</w:t>
            </w:r>
          </w:p>
        </w:tc>
        <w:tc>
          <w:tcPr>
            <w:tcW w:w="0" w:type="auto"/>
            <w:vAlign w:val="center"/>
            <w:hideMark/>
          </w:tcPr>
          <w:p w14:paraId="3619AD9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9.0 × 0.1 = </w:t>
            </w:r>
            <w:r w:rsidRPr="00EE51DE">
              <w:rPr>
                <w:rFonts w:ascii="Arial" w:eastAsia="Times New Roman" w:hAnsi="Arial" w:cs="Arial"/>
                <w:b/>
                <w:bCs/>
                <w:kern w:val="0"/>
                <w:sz w:val="20"/>
                <w:szCs w:val="20"/>
                <w14:ligatures w14:val="none"/>
              </w:rPr>
              <w:t>0.900</w:t>
            </w:r>
          </w:p>
        </w:tc>
      </w:tr>
      <w:tr w:rsidR="00EE51DE" w:rsidRPr="00EE51DE" w14:paraId="63EF9714" w14:textId="77777777" w:rsidTr="001A6BCA">
        <w:trPr>
          <w:tblCellSpacing w:w="15" w:type="dxa"/>
        </w:trPr>
        <w:tc>
          <w:tcPr>
            <w:tcW w:w="0" w:type="auto"/>
            <w:vAlign w:val="center"/>
            <w:hideMark/>
          </w:tcPr>
          <w:p w14:paraId="4C1FF786"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12</w:t>
            </w:r>
          </w:p>
        </w:tc>
        <w:tc>
          <w:tcPr>
            <w:tcW w:w="0" w:type="auto"/>
            <w:vAlign w:val="center"/>
            <w:hideMark/>
          </w:tcPr>
          <w:p w14:paraId="01679AB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Benzo[k]fluoranthene</w:t>
            </w:r>
          </w:p>
        </w:tc>
        <w:tc>
          <w:tcPr>
            <w:tcW w:w="0" w:type="auto"/>
            <w:vAlign w:val="center"/>
            <w:hideMark/>
          </w:tcPr>
          <w:p w14:paraId="7EA5FE9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roofErr w:type="spellStart"/>
            <w:r w:rsidRPr="00EE51DE">
              <w:rPr>
                <w:rFonts w:ascii="Arial" w:eastAsia="Times New Roman" w:hAnsi="Arial" w:cs="Arial"/>
                <w:kern w:val="0"/>
                <w:sz w:val="20"/>
                <w:szCs w:val="20"/>
                <w14:ligatures w14:val="none"/>
              </w:rPr>
              <w:t>BkF</w:t>
            </w:r>
            <w:proofErr w:type="spellEnd"/>
          </w:p>
        </w:tc>
        <w:tc>
          <w:tcPr>
            <w:tcW w:w="0" w:type="auto"/>
            <w:vAlign w:val="center"/>
            <w:hideMark/>
          </w:tcPr>
          <w:p w14:paraId="4124F0F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₂₀</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₁₂</w:t>
            </w:r>
          </w:p>
        </w:tc>
        <w:tc>
          <w:tcPr>
            <w:tcW w:w="0" w:type="auto"/>
            <w:vAlign w:val="center"/>
            <w:hideMark/>
          </w:tcPr>
          <w:p w14:paraId="413C76A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0.1</w:t>
            </w:r>
          </w:p>
        </w:tc>
        <w:tc>
          <w:tcPr>
            <w:tcW w:w="0" w:type="auto"/>
            <w:vAlign w:val="center"/>
            <w:hideMark/>
          </w:tcPr>
          <w:p w14:paraId="47A1302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6.0</w:t>
            </w:r>
          </w:p>
        </w:tc>
        <w:tc>
          <w:tcPr>
            <w:tcW w:w="0" w:type="auto"/>
            <w:vAlign w:val="center"/>
            <w:hideMark/>
          </w:tcPr>
          <w:p w14:paraId="0DC1EEB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6.0 × 0.1 = </w:t>
            </w:r>
            <w:r w:rsidRPr="00EE51DE">
              <w:rPr>
                <w:rFonts w:ascii="Arial" w:eastAsia="Times New Roman" w:hAnsi="Arial" w:cs="Arial"/>
                <w:b/>
                <w:bCs/>
                <w:kern w:val="0"/>
                <w:sz w:val="20"/>
                <w:szCs w:val="20"/>
                <w14:ligatures w14:val="none"/>
              </w:rPr>
              <w:t>0.600</w:t>
            </w:r>
          </w:p>
        </w:tc>
      </w:tr>
      <w:tr w:rsidR="00EE51DE" w:rsidRPr="00EE51DE" w14:paraId="28DD428D" w14:textId="77777777" w:rsidTr="001A6BCA">
        <w:trPr>
          <w:tblCellSpacing w:w="15" w:type="dxa"/>
        </w:trPr>
        <w:tc>
          <w:tcPr>
            <w:tcW w:w="0" w:type="auto"/>
            <w:vAlign w:val="center"/>
            <w:hideMark/>
          </w:tcPr>
          <w:p w14:paraId="7983C7B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13</w:t>
            </w:r>
          </w:p>
        </w:tc>
        <w:tc>
          <w:tcPr>
            <w:tcW w:w="0" w:type="auto"/>
            <w:vAlign w:val="center"/>
            <w:hideMark/>
          </w:tcPr>
          <w:p w14:paraId="4F925F99"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Benzo[a]pyrene</w:t>
            </w:r>
          </w:p>
        </w:tc>
        <w:tc>
          <w:tcPr>
            <w:tcW w:w="0" w:type="auto"/>
            <w:vAlign w:val="center"/>
            <w:hideMark/>
          </w:tcPr>
          <w:p w14:paraId="3D6A446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roofErr w:type="spellStart"/>
            <w:r w:rsidRPr="00EE51DE">
              <w:rPr>
                <w:rFonts w:ascii="Arial" w:eastAsia="Times New Roman" w:hAnsi="Arial" w:cs="Arial"/>
                <w:kern w:val="0"/>
                <w:sz w:val="20"/>
                <w:szCs w:val="20"/>
                <w14:ligatures w14:val="none"/>
              </w:rPr>
              <w:t>BaP</w:t>
            </w:r>
            <w:proofErr w:type="spellEnd"/>
          </w:p>
        </w:tc>
        <w:tc>
          <w:tcPr>
            <w:tcW w:w="0" w:type="auto"/>
            <w:vAlign w:val="center"/>
            <w:hideMark/>
          </w:tcPr>
          <w:p w14:paraId="30CFED41"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₂₀</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₁₂</w:t>
            </w:r>
          </w:p>
        </w:tc>
        <w:tc>
          <w:tcPr>
            <w:tcW w:w="0" w:type="auto"/>
            <w:vAlign w:val="center"/>
            <w:hideMark/>
          </w:tcPr>
          <w:p w14:paraId="33CDA06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1.0</w:t>
            </w:r>
          </w:p>
        </w:tc>
        <w:tc>
          <w:tcPr>
            <w:tcW w:w="0" w:type="auto"/>
            <w:vAlign w:val="center"/>
            <w:hideMark/>
          </w:tcPr>
          <w:p w14:paraId="728FFF7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8.0</w:t>
            </w:r>
          </w:p>
        </w:tc>
        <w:tc>
          <w:tcPr>
            <w:tcW w:w="0" w:type="auto"/>
            <w:vAlign w:val="center"/>
            <w:hideMark/>
          </w:tcPr>
          <w:p w14:paraId="1949375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8.0 × 1.0 = </w:t>
            </w:r>
            <w:r w:rsidRPr="00EE51DE">
              <w:rPr>
                <w:rFonts w:ascii="Arial" w:eastAsia="Times New Roman" w:hAnsi="Arial" w:cs="Arial"/>
                <w:b/>
                <w:bCs/>
                <w:kern w:val="0"/>
                <w:sz w:val="20"/>
                <w:szCs w:val="20"/>
                <w14:ligatures w14:val="none"/>
              </w:rPr>
              <w:t>8.000</w:t>
            </w:r>
          </w:p>
        </w:tc>
      </w:tr>
      <w:tr w:rsidR="00EE51DE" w:rsidRPr="00EE51DE" w14:paraId="45141C05" w14:textId="77777777" w:rsidTr="001A6BCA">
        <w:trPr>
          <w:tblCellSpacing w:w="15" w:type="dxa"/>
        </w:trPr>
        <w:tc>
          <w:tcPr>
            <w:tcW w:w="0" w:type="auto"/>
            <w:vAlign w:val="center"/>
            <w:hideMark/>
          </w:tcPr>
          <w:p w14:paraId="4B4EE04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14</w:t>
            </w:r>
          </w:p>
        </w:tc>
        <w:tc>
          <w:tcPr>
            <w:tcW w:w="0" w:type="auto"/>
            <w:vAlign w:val="center"/>
            <w:hideMark/>
          </w:tcPr>
          <w:p w14:paraId="2BFFFC4F"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roofErr w:type="spellStart"/>
            <w:r w:rsidRPr="00EE51DE">
              <w:rPr>
                <w:rFonts w:ascii="Arial" w:eastAsia="Times New Roman" w:hAnsi="Arial" w:cs="Arial"/>
                <w:kern w:val="0"/>
                <w:sz w:val="20"/>
                <w:szCs w:val="20"/>
                <w14:ligatures w14:val="none"/>
              </w:rPr>
              <w:t>Indeno</w:t>
            </w:r>
            <w:proofErr w:type="spellEnd"/>
            <w:r w:rsidRPr="00EE51DE">
              <w:rPr>
                <w:rFonts w:ascii="Arial" w:eastAsia="Times New Roman" w:hAnsi="Arial" w:cs="Arial"/>
                <w:kern w:val="0"/>
                <w:sz w:val="20"/>
                <w:szCs w:val="20"/>
                <w14:ligatures w14:val="none"/>
              </w:rPr>
              <w:t>[1,2,3-</w:t>
            </w:r>
            <w:proofErr w:type="gramStart"/>
            <w:r w:rsidRPr="00EE51DE">
              <w:rPr>
                <w:rFonts w:ascii="Arial" w:eastAsia="Times New Roman" w:hAnsi="Arial" w:cs="Arial"/>
                <w:kern w:val="0"/>
                <w:sz w:val="20"/>
                <w:szCs w:val="20"/>
                <w14:ligatures w14:val="none"/>
              </w:rPr>
              <w:t>cd]pyrene</w:t>
            </w:r>
            <w:proofErr w:type="gramEnd"/>
          </w:p>
        </w:tc>
        <w:tc>
          <w:tcPr>
            <w:tcW w:w="0" w:type="auto"/>
            <w:vAlign w:val="center"/>
            <w:hideMark/>
          </w:tcPr>
          <w:p w14:paraId="167F32BA"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IND</w:t>
            </w:r>
          </w:p>
        </w:tc>
        <w:tc>
          <w:tcPr>
            <w:tcW w:w="0" w:type="auto"/>
            <w:vAlign w:val="center"/>
            <w:hideMark/>
          </w:tcPr>
          <w:p w14:paraId="28C9BCC0"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₂₂</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₁₂</w:t>
            </w:r>
          </w:p>
        </w:tc>
        <w:tc>
          <w:tcPr>
            <w:tcW w:w="0" w:type="auto"/>
            <w:vAlign w:val="center"/>
            <w:hideMark/>
          </w:tcPr>
          <w:p w14:paraId="5E5AC78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0.1</w:t>
            </w:r>
          </w:p>
        </w:tc>
        <w:tc>
          <w:tcPr>
            <w:tcW w:w="0" w:type="auto"/>
            <w:vAlign w:val="center"/>
            <w:hideMark/>
          </w:tcPr>
          <w:p w14:paraId="5BA62FB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4.0</w:t>
            </w:r>
          </w:p>
        </w:tc>
        <w:tc>
          <w:tcPr>
            <w:tcW w:w="0" w:type="auto"/>
            <w:vAlign w:val="center"/>
            <w:hideMark/>
          </w:tcPr>
          <w:p w14:paraId="11820C07"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4.0 × 0.1 = </w:t>
            </w:r>
            <w:r w:rsidRPr="00EE51DE">
              <w:rPr>
                <w:rFonts w:ascii="Arial" w:eastAsia="Times New Roman" w:hAnsi="Arial" w:cs="Arial"/>
                <w:b/>
                <w:bCs/>
                <w:kern w:val="0"/>
                <w:sz w:val="20"/>
                <w:szCs w:val="20"/>
                <w14:ligatures w14:val="none"/>
              </w:rPr>
              <w:t>0.400</w:t>
            </w:r>
          </w:p>
        </w:tc>
      </w:tr>
      <w:tr w:rsidR="00EE51DE" w:rsidRPr="00EE51DE" w14:paraId="30119B92" w14:textId="77777777" w:rsidTr="001A6BCA">
        <w:trPr>
          <w:tblCellSpacing w:w="15" w:type="dxa"/>
        </w:trPr>
        <w:tc>
          <w:tcPr>
            <w:tcW w:w="0" w:type="auto"/>
            <w:vAlign w:val="center"/>
            <w:hideMark/>
          </w:tcPr>
          <w:p w14:paraId="2F83BD7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15</w:t>
            </w:r>
          </w:p>
        </w:tc>
        <w:tc>
          <w:tcPr>
            <w:tcW w:w="0" w:type="auto"/>
            <w:vAlign w:val="center"/>
            <w:hideMark/>
          </w:tcPr>
          <w:p w14:paraId="6C093DC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Dibenzo[</w:t>
            </w:r>
            <w:proofErr w:type="spellStart"/>
            <w:proofErr w:type="gramStart"/>
            <w:r w:rsidRPr="00EE51DE">
              <w:rPr>
                <w:rFonts w:ascii="Arial" w:eastAsia="Times New Roman" w:hAnsi="Arial" w:cs="Arial"/>
                <w:kern w:val="0"/>
                <w:sz w:val="20"/>
                <w:szCs w:val="20"/>
                <w14:ligatures w14:val="none"/>
              </w:rPr>
              <w:t>a,h</w:t>
            </w:r>
            <w:proofErr w:type="spellEnd"/>
            <w:proofErr w:type="gramEnd"/>
            <w:r w:rsidRPr="00EE51DE">
              <w:rPr>
                <w:rFonts w:ascii="Arial" w:eastAsia="Times New Roman" w:hAnsi="Arial" w:cs="Arial"/>
                <w:kern w:val="0"/>
                <w:sz w:val="20"/>
                <w:szCs w:val="20"/>
                <w14:ligatures w14:val="none"/>
              </w:rPr>
              <w:t>]anthracene</w:t>
            </w:r>
          </w:p>
        </w:tc>
        <w:tc>
          <w:tcPr>
            <w:tcW w:w="0" w:type="auto"/>
            <w:vAlign w:val="center"/>
            <w:hideMark/>
          </w:tcPr>
          <w:p w14:paraId="3994AFB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DahA</w:t>
            </w:r>
          </w:p>
        </w:tc>
        <w:tc>
          <w:tcPr>
            <w:tcW w:w="0" w:type="auto"/>
            <w:vAlign w:val="center"/>
            <w:hideMark/>
          </w:tcPr>
          <w:p w14:paraId="182531C8"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₂₂</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₁₄</w:t>
            </w:r>
          </w:p>
        </w:tc>
        <w:tc>
          <w:tcPr>
            <w:tcW w:w="0" w:type="auto"/>
            <w:vAlign w:val="center"/>
            <w:hideMark/>
          </w:tcPr>
          <w:p w14:paraId="65F391A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1.0</w:t>
            </w:r>
          </w:p>
        </w:tc>
        <w:tc>
          <w:tcPr>
            <w:tcW w:w="0" w:type="auto"/>
            <w:vAlign w:val="center"/>
            <w:hideMark/>
          </w:tcPr>
          <w:p w14:paraId="4C26D4B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3.0</w:t>
            </w:r>
          </w:p>
        </w:tc>
        <w:tc>
          <w:tcPr>
            <w:tcW w:w="0" w:type="auto"/>
            <w:vAlign w:val="center"/>
            <w:hideMark/>
          </w:tcPr>
          <w:p w14:paraId="08BC04D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3.0 × 1.0 = </w:t>
            </w:r>
            <w:r w:rsidRPr="00EE51DE">
              <w:rPr>
                <w:rFonts w:ascii="Arial" w:eastAsia="Times New Roman" w:hAnsi="Arial" w:cs="Arial"/>
                <w:b/>
                <w:bCs/>
                <w:kern w:val="0"/>
                <w:sz w:val="20"/>
                <w:szCs w:val="20"/>
                <w14:ligatures w14:val="none"/>
              </w:rPr>
              <w:t>3.000</w:t>
            </w:r>
          </w:p>
        </w:tc>
      </w:tr>
      <w:tr w:rsidR="00EE51DE" w:rsidRPr="00EE51DE" w14:paraId="7ABF5A02" w14:textId="77777777" w:rsidTr="001A6BCA">
        <w:trPr>
          <w:tblCellSpacing w:w="15" w:type="dxa"/>
        </w:trPr>
        <w:tc>
          <w:tcPr>
            <w:tcW w:w="0" w:type="auto"/>
            <w:vAlign w:val="center"/>
            <w:hideMark/>
          </w:tcPr>
          <w:p w14:paraId="2E89FB1E"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16</w:t>
            </w:r>
          </w:p>
        </w:tc>
        <w:tc>
          <w:tcPr>
            <w:tcW w:w="0" w:type="auto"/>
            <w:vAlign w:val="center"/>
            <w:hideMark/>
          </w:tcPr>
          <w:p w14:paraId="7E7387E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Benzo[</w:t>
            </w:r>
            <w:proofErr w:type="spellStart"/>
            <w:r w:rsidRPr="00EE51DE">
              <w:rPr>
                <w:rFonts w:ascii="Arial" w:eastAsia="Times New Roman" w:hAnsi="Arial" w:cs="Arial"/>
                <w:kern w:val="0"/>
                <w:sz w:val="20"/>
                <w:szCs w:val="20"/>
                <w14:ligatures w14:val="none"/>
              </w:rPr>
              <w:t>ghi</w:t>
            </w:r>
            <w:proofErr w:type="spellEnd"/>
            <w:r w:rsidRPr="00EE51DE">
              <w:rPr>
                <w:rFonts w:ascii="Arial" w:eastAsia="Times New Roman" w:hAnsi="Arial" w:cs="Arial"/>
                <w:kern w:val="0"/>
                <w:sz w:val="20"/>
                <w:szCs w:val="20"/>
                <w14:ligatures w14:val="none"/>
              </w:rPr>
              <w:t>]perylene</w:t>
            </w:r>
          </w:p>
        </w:tc>
        <w:tc>
          <w:tcPr>
            <w:tcW w:w="0" w:type="auto"/>
            <w:vAlign w:val="center"/>
            <w:hideMark/>
          </w:tcPr>
          <w:p w14:paraId="3130EF13"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proofErr w:type="spellStart"/>
            <w:r w:rsidRPr="00EE51DE">
              <w:rPr>
                <w:rFonts w:ascii="Arial" w:eastAsia="Times New Roman" w:hAnsi="Arial" w:cs="Arial"/>
                <w:kern w:val="0"/>
                <w:sz w:val="20"/>
                <w:szCs w:val="20"/>
                <w14:ligatures w14:val="none"/>
              </w:rPr>
              <w:t>BghiP</w:t>
            </w:r>
            <w:proofErr w:type="spellEnd"/>
          </w:p>
        </w:tc>
        <w:tc>
          <w:tcPr>
            <w:tcW w:w="0" w:type="auto"/>
            <w:vAlign w:val="center"/>
            <w:hideMark/>
          </w:tcPr>
          <w:p w14:paraId="3D507D0D"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C</w:t>
            </w:r>
            <w:r w:rsidRPr="00EE51DE">
              <w:rPr>
                <w:rFonts w:ascii="Cambria Math" w:eastAsia="Times New Roman" w:hAnsi="Cambria Math" w:cs="Cambria Math"/>
                <w:kern w:val="0"/>
                <w:sz w:val="20"/>
                <w:szCs w:val="20"/>
                <w14:ligatures w14:val="none"/>
              </w:rPr>
              <w:t>₂₂</w:t>
            </w:r>
            <w:r w:rsidRPr="00EE51DE">
              <w:rPr>
                <w:rFonts w:ascii="Arial" w:eastAsia="Times New Roman" w:hAnsi="Arial" w:cs="Arial"/>
                <w:kern w:val="0"/>
                <w:sz w:val="20"/>
                <w:szCs w:val="20"/>
                <w14:ligatures w14:val="none"/>
              </w:rPr>
              <w:t>H</w:t>
            </w:r>
            <w:r w:rsidRPr="00EE51DE">
              <w:rPr>
                <w:rFonts w:ascii="Cambria Math" w:eastAsia="Times New Roman" w:hAnsi="Cambria Math" w:cs="Cambria Math"/>
                <w:kern w:val="0"/>
                <w:sz w:val="20"/>
                <w:szCs w:val="20"/>
                <w14:ligatures w14:val="none"/>
              </w:rPr>
              <w:t>₁₂</w:t>
            </w:r>
          </w:p>
        </w:tc>
        <w:tc>
          <w:tcPr>
            <w:tcW w:w="0" w:type="auto"/>
            <w:vAlign w:val="center"/>
            <w:hideMark/>
          </w:tcPr>
          <w:p w14:paraId="53DA2AB2"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0.01</w:t>
            </w:r>
          </w:p>
        </w:tc>
        <w:tc>
          <w:tcPr>
            <w:tcW w:w="0" w:type="auto"/>
            <w:vAlign w:val="center"/>
            <w:hideMark/>
          </w:tcPr>
          <w:p w14:paraId="73A4D9BC"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7.0</w:t>
            </w:r>
          </w:p>
        </w:tc>
        <w:tc>
          <w:tcPr>
            <w:tcW w:w="0" w:type="auto"/>
            <w:vAlign w:val="center"/>
            <w:hideMark/>
          </w:tcPr>
          <w:p w14:paraId="1641F0CB" w14:textId="77777777" w:rsidR="00EE51DE" w:rsidRPr="00EE51DE" w:rsidRDefault="00EE51DE" w:rsidP="00E52A83">
            <w:pPr>
              <w:spacing w:after="0"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 xml:space="preserve">7.0 × 0.01 = </w:t>
            </w:r>
            <w:r w:rsidRPr="00EE51DE">
              <w:rPr>
                <w:rFonts w:ascii="Arial" w:eastAsia="Times New Roman" w:hAnsi="Arial" w:cs="Arial"/>
                <w:b/>
                <w:bCs/>
                <w:kern w:val="0"/>
                <w:sz w:val="20"/>
                <w:szCs w:val="20"/>
                <w14:ligatures w14:val="none"/>
              </w:rPr>
              <w:t>0.070</w:t>
            </w:r>
          </w:p>
        </w:tc>
      </w:tr>
    </w:tbl>
    <w:p w14:paraId="33A96609" w14:textId="77777777" w:rsidR="00EE51DE" w:rsidRPr="00EE51DE" w:rsidRDefault="00EE51DE" w:rsidP="00E52A83">
      <w:pPr>
        <w:keepNext/>
        <w:keepLines/>
        <w:spacing w:before="160" w:after="80"/>
        <w:jc w:val="both"/>
        <w:outlineLvl w:val="2"/>
        <w:rPr>
          <w:rFonts w:ascii="Arial" w:eastAsia="Times New Roman" w:hAnsi="Arial" w:cs="Arial"/>
          <w:b/>
          <w:bCs/>
          <w:kern w:val="0"/>
          <w:sz w:val="22"/>
          <w:szCs w:val="22"/>
          <w14:ligatures w14:val="none"/>
        </w:rPr>
      </w:pPr>
      <w:r w:rsidRPr="00EE51DE">
        <w:rPr>
          <w:rFonts w:ascii="Arial" w:eastAsia="Times New Roman" w:hAnsi="Arial" w:cs="Arial"/>
          <w:b/>
          <w:bCs/>
          <w:color w:val="2F5496" w:themeColor="accent1" w:themeShade="BF"/>
          <w:kern w:val="0"/>
          <w:sz w:val="22"/>
          <w:szCs w:val="22"/>
          <w14:ligatures w14:val="none"/>
        </w:rPr>
        <w:t>4. DISCUSSION</w:t>
      </w:r>
    </w:p>
    <w:p w14:paraId="04BC2CA8"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t xml:space="preserve">The results from this study clearly demonstrate that chronic administration of smoked fish extract induces multi-organ toxicity in albino rats. The observed elevations in hepatic enzymes—ALT, AST, and —strongly suggest hepatocellular injury, likely triggered by lipid peroxidation and PAH accumulation in hepatocytes (Darwish et al., 2019; Gunter et al., 2007; </w:t>
      </w:r>
      <w:proofErr w:type="spellStart"/>
      <w:r w:rsidRPr="00EE51DE">
        <w:rPr>
          <w:rFonts w:ascii="Times New Roman" w:eastAsia="Times New Roman" w:hAnsi="Times New Roman" w:cs="Times New Roman"/>
          <w:kern w:val="0"/>
          <w:sz w:val="20"/>
          <w:szCs w:val="20"/>
          <w14:ligatures w14:val="none"/>
        </w:rPr>
        <w:t>Douny</w:t>
      </w:r>
      <w:proofErr w:type="spellEnd"/>
      <w:r w:rsidRPr="00EE51DE">
        <w:rPr>
          <w:rFonts w:ascii="Times New Roman" w:eastAsia="Times New Roman" w:hAnsi="Times New Roman" w:cs="Times New Roman"/>
          <w:kern w:val="0"/>
          <w:sz w:val="20"/>
          <w:szCs w:val="20"/>
          <w14:ligatures w14:val="none"/>
        </w:rPr>
        <w:t xml:space="preserve"> et al., 2021). PAHs can bind to cellular DNA, forming adducts that disrupt normal replication and transcription processes (Domingo &amp; Nadal, 2015; EFSA, 2008).</w:t>
      </w:r>
    </w:p>
    <w:p w14:paraId="4209E426" w14:textId="642858D3"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t>These hepatic effects are consistent with other animal studies demonstrating similar biochemical disturbances following exposure to heat-treated animal products rich in PAHs (</w:t>
      </w:r>
      <w:proofErr w:type="spellStart"/>
      <w:r w:rsidRPr="00EE51DE">
        <w:rPr>
          <w:rFonts w:ascii="Times New Roman" w:eastAsia="Times New Roman" w:hAnsi="Times New Roman" w:cs="Times New Roman"/>
          <w:kern w:val="0"/>
          <w:sz w:val="20"/>
          <w:szCs w:val="20"/>
          <w14:ligatures w14:val="none"/>
        </w:rPr>
        <w:t>Eldaly</w:t>
      </w:r>
      <w:proofErr w:type="spellEnd"/>
      <w:r w:rsidRPr="00EE51DE">
        <w:rPr>
          <w:rFonts w:ascii="Times New Roman" w:eastAsia="Times New Roman" w:hAnsi="Times New Roman" w:cs="Times New Roman"/>
          <w:kern w:val="0"/>
          <w:sz w:val="20"/>
          <w:szCs w:val="20"/>
          <w14:ligatures w14:val="none"/>
        </w:rPr>
        <w:t xml:space="preserve"> et al., 2016; Hassan et al., 2017). The increase in bilirubin levels and histopathological liver damage observed in this study further reinforce the liver’s vulnerability to xenobiotic insults from thermally processed foods (</w:t>
      </w:r>
      <w:proofErr w:type="spellStart"/>
      <w:r w:rsidRPr="00EE51DE">
        <w:rPr>
          <w:rFonts w:ascii="Times New Roman" w:eastAsia="Times New Roman" w:hAnsi="Times New Roman" w:cs="Times New Roman"/>
          <w:kern w:val="0"/>
          <w:sz w:val="20"/>
          <w:szCs w:val="20"/>
          <w14:ligatures w14:val="none"/>
        </w:rPr>
        <w:t>Alomirah</w:t>
      </w:r>
      <w:proofErr w:type="spellEnd"/>
      <w:r w:rsidRPr="00EE51DE">
        <w:rPr>
          <w:rFonts w:ascii="Times New Roman" w:eastAsia="Times New Roman" w:hAnsi="Times New Roman" w:cs="Times New Roman"/>
          <w:kern w:val="0"/>
          <w:sz w:val="20"/>
          <w:szCs w:val="20"/>
          <w14:ligatures w14:val="none"/>
        </w:rPr>
        <w:t xml:space="preserve"> et al., 2011; Abbas et al., 2021).</w:t>
      </w:r>
    </w:p>
    <w:p w14:paraId="10826BB6"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t>Renal function biomarkers such as urea and creatinine were significantly elevated in treated rats, indicating nephrotoxicity. This finding corroborates the nephrotoxic effects of lead and cadmium reported in smoked fish by previous researchers (</w:t>
      </w:r>
      <w:proofErr w:type="spellStart"/>
      <w:r w:rsidRPr="00EE51DE">
        <w:rPr>
          <w:rFonts w:ascii="Times New Roman" w:eastAsia="Times New Roman" w:hAnsi="Times New Roman" w:cs="Times New Roman"/>
          <w:kern w:val="0"/>
          <w:sz w:val="20"/>
          <w:szCs w:val="20"/>
          <w14:ligatures w14:val="none"/>
        </w:rPr>
        <w:t>Anigboro</w:t>
      </w:r>
      <w:proofErr w:type="spellEnd"/>
      <w:r w:rsidRPr="00EE51DE">
        <w:rPr>
          <w:rFonts w:ascii="Times New Roman" w:eastAsia="Times New Roman" w:hAnsi="Times New Roman" w:cs="Times New Roman"/>
          <w:kern w:val="0"/>
          <w:sz w:val="20"/>
          <w:szCs w:val="20"/>
          <w14:ligatures w14:val="none"/>
        </w:rPr>
        <w:t xml:space="preserve"> et al., 2011; Hough et al., 2004; Ibanga et al., 2019). Heavy metals are known to generate reactive oxygen species (ROS) and damage glomerular and tubular structures, as seen in the histopathological sections in this study (Abbas et al., 2021).</w:t>
      </w:r>
    </w:p>
    <w:p w14:paraId="766AD9CA"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t xml:space="preserve">The hematological alterations—particularly anemia and leukocytosis—are suggestive of both bone marrow suppression and immune activation (Daniel et al., 2013; Ibanga et al., 2019). Lead interferes with heme synthesis, while cadmium affects erythropoietin production, contributing to microcytic anemia (Gunter et al., 2007; EFSA, 2008). Additionally, PAH-DNA interactions can impair hematopoietic stem cell replication, exacerbating hematological toxicity (Darwish et al., 2019; </w:t>
      </w:r>
      <w:proofErr w:type="spellStart"/>
      <w:r w:rsidRPr="00EE51DE">
        <w:rPr>
          <w:rFonts w:ascii="Times New Roman" w:eastAsia="Times New Roman" w:hAnsi="Times New Roman" w:cs="Times New Roman"/>
          <w:kern w:val="0"/>
          <w:sz w:val="20"/>
          <w:szCs w:val="20"/>
          <w14:ligatures w14:val="none"/>
        </w:rPr>
        <w:t>Douny</w:t>
      </w:r>
      <w:proofErr w:type="spellEnd"/>
      <w:r w:rsidRPr="00EE51DE">
        <w:rPr>
          <w:rFonts w:ascii="Times New Roman" w:eastAsia="Times New Roman" w:hAnsi="Times New Roman" w:cs="Times New Roman"/>
          <w:kern w:val="0"/>
          <w:sz w:val="20"/>
          <w:szCs w:val="20"/>
          <w14:ligatures w14:val="none"/>
        </w:rPr>
        <w:t xml:space="preserve"> et al., 2021).</w:t>
      </w:r>
    </w:p>
    <w:p w14:paraId="7C320ED1" w14:textId="77777777" w:rsid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lastRenderedPageBreak/>
        <w:t>Oxidative stress, as indicated by elevated MDA levels and reduced activities of antioxidant enzymes such as SOD, was another prominent finding. This is aligned with other studies that report increased lipid peroxidation and oxidative damage in animals fed PAH-rich diets (</w:t>
      </w:r>
      <w:proofErr w:type="spellStart"/>
      <w:r w:rsidRPr="00EE51DE">
        <w:rPr>
          <w:rFonts w:ascii="Times New Roman" w:eastAsia="Times New Roman" w:hAnsi="Times New Roman" w:cs="Times New Roman"/>
          <w:kern w:val="0"/>
          <w:sz w:val="20"/>
          <w:szCs w:val="20"/>
          <w14:ligatures w14:val="none"/>
        </w:rPr>
        <w:t>Eldaly</w:t>
      </w:r>
      <w:proofErr w:type="spellEnd"/>
      <w:r w:rsidRPr="00EE51DE">
        <w:rPr>
          <w:rFonts w:ascii="Times New Roman" w:eastAsia="Times New Roman" w:hAnsi="Times New Roman" w:cs="Times New Roman"/>
          <w:kern w:val="0"/>
          <w:sz w:val="20"/>
          <w:szCs w:val="20"/>
          <w14:ligatures w14:val="none"/>
        </w:rPr>
        <w:t xml:space="preserve"> et al., 2016; Gibis, 2016; Hassan et al., 2017). Nitrosamines and biogenic amines may also contribute to oxidative burden via ROS generation and mitochondrial dysfunction (Drabik-Markiewicz et al., 2009; EFSA, 2011).</w:t>
      </w:r>
    </w:p>
    <w:p w14:paraId="3F3F6C39" w14:textId="77777777" w:rsidR="001A6BCA" w:rsidRPr="00EE51DE" w:rsidRDefault="001A6BCA" w:rsidP="00E52A83">
      <w:pPr>
        <w:spacing w:before="100" w:beforeAutospacing="1" w:after="100" w:afterAutospacing="1" w:line="240" w:lineRule="auto"/>
        <w:jc w:val="both"/>
        <w:rPr>
          <w:rFonts w:ascii="News Gothic MT" w:eastAsia="Times New Roman" w:hAnsi="News Gothic MT" w:cs="Times New Roman"/>
          <w:kern w:val="0"/>
          <w:sz w:val="20"/>
          <w:szCs w:val="20"/>
          <w14:ligatures w14:val="none"/>
        </w:rPr>
      </w:pPr>
      <w:r w:rsidRPr="001A6BCA">
        <w:rPr>
          <w:rFonts w:ascii="News Gothic MT" w:hAnsi="News Gothic MT"/>
          <w:sz w:val="20"/>
          <w:szCs w:val="20"/>
        </w:rPr>
        <w:t>GC-MS quantification identified elevated levels of benzo[a]pyrene (4.6</w:t>
      </w:r>
      <w:r w:rsidRPr="001A6BCA">
        <w:rPr>
          <w:rFonts w:ascii="Arial" w:hAnsi="Arial" w:cs="Arial"/>
          <w:sz w:val="20"/>
          <w:szCs w:val="20"/>
        </w:rPr>
        <w:t> </w:t>
      </w:r>
      <w:r w:rsidRPr="001A6BCA">
        <w:rPr>
          <w:rFonts w:ascii="News Gothic MT" w:hAnsi="News Gothic MT" w:cs="News Gothic MT"/>
          <w:sz w:val="20"/>
          <w:szCs w:val="20"/>
        </w:rPr>
        <w:t>µ</w:t>
      </w:r>
      <w:r w:rsidRPr="001A6BCA">
        <w:rPr>
          <w:rFonts w:ascii="News Gothic MT" w:hAnsi="News Gothic MT"/>
          <w:sz w:val="20"/>
          <w:szCs w:val="20"/>
        </w:rPr>
        <w:t>g/kg), chrysene (7.8</w:t>
      </w:r>
      <w:r w:rsidRPr="001A6BCA">
        <w:rPr>
          <w:rFonts w:ascii="Arial" w:hAnsi="Arial" w:cs="Arial"/>
          <w:sz w:val="20"/>
          <w:szCs w:val="20"/>
        </w:rPr>
        <w:t> </w:t>
      </w:r>
      <w:r w:rsidRPr="001A6BCA">
        <w:rPr>
          <w:rFonts w:ascii="News Gothic MT" w:hAnsi="News Gothic MT" w:cs="News Gothic MT"/>
          <w:sz w:val="20"/>
          <w:szCs w:val="20"/>
        </w:rPr>
        <w:t>µ</w:t>
      </w:r>
      <w:r w:rsidRPr="001A6BCA">
        <w:rPr>
          <w:rFonts w:ascii="News Gothic MT" w:hAnsi="News Gothic MT"/>
          <w:sz w:val="20"/>
          <w:szCs w:val="20"/>
        </w:rPr>
        <w:t>g/kg), and benzo[b]fluoranthene (5.1</w:t>
      </w:r>
      <w:r w:rsidRPr="001A6BCA">
        <w:rPr>
          <w:rFonts w:ascii="Arial" w:hAnsi="Arial" w:cs="Arial"/>
          <w:sz w:val="20"/>
          <w:szCs w:val="20"/>
        </w:rPr>
        <w:t> </w:t>
      </w:r>
      <w:r w:rsidRPr="001A6BCA">
        <w:rPr>
          <w:rFonts w:ascii="News Gothic MT" w:hAnsi="News Gothic MT" w:cs="News Gothic MT"/>
          <w:sz w:val="20"/>
          <w:szCs w:val="20"/>
        </w:rPr>
        <w:t>µ</w:t>
      </w:r>
      <w:r w:rsidRPr="001A6BCA">
        <w:rPr>
          <w:rFonts w:ascii="News Gothic MT" w:hAnsi="News Gothic MT"/>
          <w:sz w:val="20"/>
          <w:szCs w:val="20"/>
        </w:rPr>
        <w:t>g/kg). These values exceed EU maximum tolerable levels (e.g., 2</w:t>
      </w:r>
      <w:r w:rsidRPr="001A6BCA">
        <w:rPr>
          <w:rFonts w:ascii="Arial" w:hAnsi="Arial" w:cs="Arial"/>
          <w:sz w:val="20"/>
          <w:szCs w:val="20"/>
        </w:rPr>
        <w:t> </w:t>
      </w:r>
      <w:r w:rsidRPr="001A6BCA">
        <w:rPr>
          <w:rFonts w:ascii="News Gothic MT" w:hAnsi="News Gothic MT" w:cs="News Gothic MT"/>
          <w:sz w:val="20"/>
          <w:szCs w:val="20"/>
        </w:rPr>
        <w:t>µ</w:t>
      </w:r>
      <w:r w:rsidRPr="001A6BCA">
        <w:rPr>
          <w:rFonts w:ascii="News Gothic MT" w:hAnsi="News Gothic MT"/>
          <w:sz w:val="20"/>
          <w:szCs w:val="20"/>
        </w:rPr>
        <w:t>g/kg for benzo[a]pyrene; 12</w:t>
      </w:r>
      <w:r w:rsidRPr="001A6BCA">
        <w:rPr>
          <w:rFonts w:ascii="Arial" w:hAnsi="Arial" w:cs="Arial"/>
          <w:sz w:val="20"/>
          <w:szCs w:val="20"/>
        </w:rPr>
        <w:t> </w:t>
      </w:r>
      <w:r w:rsidRPr="001A6BCA">
        <w:rPr>
          <w:rFonts w:ascii="News Gothic MT" w:hAnsi="News Gothic MT" w:cs="News Gothic MT"/>
          <w:sz w:val="20"/>
          <w:szCs w:val="20"/>
        </w:rPr>
        <w:t>µ</w:t>
      </w:r>
      <w:r w:rsidRPr="001A6BCA">
        <w:rPr>
          <w:rFonts w:ascii="News Gothic MT" w:hAnsi="News Gothic MT"/>
          <w:sz w:val="20"/>
          <w:szCs w:val="20"/>
        </w:rPr>
        <w:t xml:space="preserve">g/kg for total PAHs), aligning with findings from </w:t>
      </w:r>
      <w:proofErr w:type="spellStart"/>
      <w:r w:rsidRPr="001A6BCA">
        <w:rPr>
          <w:rFonts w:ascii="News Gothic MT" w:hAnsi="News Gothic MT"/>
          <w:sz w:val="20"/>
          <w:szCs w:val="20"/>
        </w:rPr>
        <w:t>Akpambang</w:t>
      </w:r>
      <w:proofErr w:type="spellEnd"/>
      <w:r w:rsidRPr="001A6BCA">
        <w:rPr>
          <w:rFonts w:ascii="News Gothic MT" w:hAnsi="News Gothic MT"/>
          <w:sz w:val="20"/>
          <w:szCs w:val="20"/>
        </w:rPr>
        <w:t xml:space="preserve"> et al. (2009) and Assogba et al. (2019), which reported similar exceedances in Nigerian and West African smoked fish. However, regional variability remains evident based on fuel source and species fat content.</w:t>
      </w:r>
    </w:p>
    <w:p w14:paraId="2CCC9366" w14:textId="77777777" w:rsidR="001A6BCA" w:rsidRPr="00EE51DE" w:rsidRDefault="001A6BCA"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p>
    <w:p w14:paraId="276F729F"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t xml:space="preserve">The severity of toxicological outcomes observed in this study may be influenced by the method of fish smoking. For example, Forsberg et al. (2012) and </w:t>
      </w:r>
      <w:proofErr w:type="spellStart"/>
      <w:r w:rsidRPr="00EE51DE">
        <w:rPr>
          <w:rFonts w:ascii="Times New Roman" w:eastAsia="Times New Roman" w:hAnsi="Times New Roman" w:cs="Times New Roman"/>
          <w:kern w:val="0"/>
          <w:sz w:val="20"/>
          <w:szCs w:val="20"/>
          <w14:ligatures w14:val="none"/>
        </w:rPr>
        <w:t>Goulas</w:t>
      </w:r>
      <w:proofErr w:type="spellEnd"/>
      <w:r w:rsidRPr="00EE51DE">
        <w:rPr>
          <w:rFonts w:ascii="Times New Roman" w:eastAsia="Times New Roman" w:hAnsi="Times New Roman" w:cs="Times New Roman"/>
          <w:kern w:val="0"/>
          <w:sz w:val="20"/>
          <w:szCs w:val="20"/>
          <w14:ligatures w14:val="none"/>
        </w:rPr>
        <w:t xml:space="preserve"> &amp; </w:t>
      </w:r>
      <w:proofErr w:type="spellStart"/>
      <w:r w:rsidRPr="00EE51DE">
        <w:rPr>
          <w:rFonts w:ascii="Times New Roman" w:eastAsia="Times New Roman" w:hAnsi="Times New Roman" w:cs="Times New Roman"/>
          <w:kern w:val="0"/>
          <w:sz w:val="20"/>
          <w:szCs w:val="20"/>
          <w14:ligatures w14:val="none"/>
        </w:rPr>
        <w:t>Kontominas</w:t>
      </w:r>
      <w:proofErr w:type="spellEnd"/>
      <w:r w:rsidRPr="00EE51DE">
        <w:rPr>
          <w:rFonts w:ascii="Times New Roman" w:eastAsia="Times New Roman" w:hAnsi="Times New Roman" w:cs="Times New Roman"/>
          <w:kern w:val="0"/>
          <w:sz w:val="20"/>
          <w:szCs w:val="20"/>
          <w14:ligatures w14:val="none"/>
        </w:rPr>
        <w:t xml:space="preserve"> (2005) reported that indirect smoking techniques and the use of clean-burning wood significantly reduce PAH formation. Furthermore, studies like that of </w:t>
      </w:r>
      <w:proofErr w:type="spellStart"/>
      <w:r w:rsidRPr="00EE51DE">
        <w:rPr>
          <w:rFonts w:ascii="Times New Roman" w:eastAsia="Times New Roman" w:hAnsi="Times New Roman" w:cs="Times New Roman"/>
          <w:kern w:val="0"/>
          <w:sz w:val="20"/>
          <w:szCs w:val="20"/>
          <w14:ligatures w14:val="none"/>
        </w:rPr>
        <w:t>Haskaraca</w:t>
      </w:r>
      <w:proofErr w:type="spellEnd"/>
      <w:r w:rsidRPr="00EE51DE">
        <w:rPr>
          <w:rFonts w:ascii="Times New Roman" w:eastAsia="Times New Roman" w:hAnsi="Times New Roman" w:cs="Times New Roman"/>
          <w:kern w:val="0"/>
          <w:sz w:val="20"/>
          <w:szCs w:val="20"/>
          <w14:ligatures w14:val="none"/>
        </w:rPr>
        <w:t xml:space="preserve"> et al. (2014) have shown that incorporating natural antioxidants such as green tea extract during processing may reduce the toxic potential of smoked foods.</w:t>
      </w:r>
    </w:p>
    <w:p w14:paraId="798CF9A0" w14:textId="77777777"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t>Given the evidence from this and other studies, it is clear that public health policies must prioritize safer food processing methods, regular analytical surveillance, and public education on the risks associated with traditional smoking (EFSA, 2008; Duedahl-Olesen et al., 2015; Assogba et al., 2019). Regulatory authorities in developing nations should develop practical guidelines for artisanal fish processors and promote the use of less hazardous techniques (</w:t>
      </w:r>
      <w:proofErr w:type="spellStart"/>
      <w:r w:rsidRPr="00EE51DE">
        <w:rPr>
          <w:rFonts w:ascii="Times New Roman" w:eastAsia="Times New Roman" w:hAnsi="Times New Roman" w:cs="Times New Roman"/>
          <w:kern w:val="0"/>
          <w:sz w:val="20"/>
          <w:szCs w:val="20"/>
          <w14:ligatures w14:val="none"/>
        </w:rPr>
        <w:t>Anigboro</w:t>
      </w:r>
      <w:proofErr w:type="spellEnd"/>
      <w:r w:rsidRPr="00EE51DE">
        <w:rPr>
          <w:rFonts w:ascii="Times New Roman" w:eastAsia="Times New Roman" w:hAnsi="Times New Roman" w:cs="Times New Roman"/>
          <w:kern w:val="0"/>
          <w:sz w:val="20"/>
          <w:szCs w:val="20"/>
          <w14:ligatures w14:val="none"/>
        </w:rPr>
        <w:t xml:space="preserve"> et al., 2011; Daniel et al., 2013).</w:t>
      </w:r>
    </w:p>
    <w:p w14:paraId="30517459" w14:textId="19405861" w:rsidR="00EE51DE" w:rsidRPr="00EE51DE" w:rsidRDefault="00EE51DE" w:rsidP="00E52A83">
      <w:pPr>
        <w:spacing w:before="100" w:beforeAutospacing="1" w:after="100" w:afterAutospacing="1" w:line="240" w:lineRule="auto"/>
        <w:jc w:val="both"/>
        <w:rPr>
          <w:rFonts w:ascii="Times New Roman" w:eastAsia="Times New Roman" w:hAnsi="Times New Roman" w:cs="Times New Roman"/>
          <w:kern w:val="0"/>
          <w:sz w:val="20"/>
          <w:szCs w:val="20"/>
          <w14:ligatures w14:val="none"/>
        </w:rPr>
      </w:pPr>
      <w:r w:rsidRPr="00EE51DE">
        <w:rPr>
          <w:rFonts w:ascii="Times New Roman" w:eastAsia="Times New Roman" w:hAnsi="Times New Roman" w:cs="Times New Roman"/>
          <w:kern w:val="0"/>
          <w:sz w:val="20"/>
          <w:szCs w:val="20"/>
          <w14:ligatures w14:val="none"/>
        </w:rPr>
        <w:t xml:space="preserve">In summary, our findings confirm that the consumption of traditionally smoked fish—though culturally significant—can pose serious health hazards due to the cumulative effects of PAHs, heavy metals, biogenic amines, and nitrosamines. These findings support the growing consensus in the literature that traditional thermal food processing, if unregulated, may have significant implications for public health (Domingo &amp; Nadal, 2015; </w:t>
      </w:r>
      <w:proofErr w:type="spellStart"/>
      <w:r w:rsidRPr="00EE51DE">
        <w:rPr>
          <w:rFonts w:ascii="Times New Roman" w:eastAsia="Times New Roman" w:hAnsi="Times New Roman" w:cs="Times New Roman"/>
          <w:kern w:val="0"/>
          <w:sz w:val="20"/>
          <w:szCs w:val="20"/>
          <w14:ligatures w14:val="none"/>
        </w:rPr>
        <w:t>Douny</w:t>
      </w:r>
      <w:proofErr w:type="spellEnd"/>
      <w:r w:rsidRPr="00EE51DE">
        <w:rPr>
          <w:rFonts w:ascii="Times New Roman" w:eastAsia="Times New Roman" w:hAnsi="Times New Roman" w:cs="Times New Roman"/>
          <w:kern w:val="0"/>
          <w:sz w:val="20"/>
          <w:szCs w:val="20"/>
          <w14:ligatures w14:val="none"/>
        </w:rPr>
        <w:t xml:space="preserve"> et al., 2021; Darwish et al., 2019). Continued research and policy efforts are essential to mitigate these risks.</w:t>
      </w:r>
      <w:r w:rsidR="001A6BCA" w:rsidRPr="001A6BCA">
        <w:rPr>
          <w:sz w:val="20"/>
          <w:szCs w:val="20"/>
        </w:rPr>
        <w:t xml:space="preserve"> While this study did not mechanistically dissect the interactions between PAHs and heavy metals, the observed oxidative stress—marked by elevated MDA and suppressed SOD—suggests potential synergistic toxicity. Literature reports that both PAHs and metals such as Cd and Pb disrupt antioxidant defense pathways, possibly through converging mechanisms involving mitochondrial dysfunction and ROS overproduction. Future studies with co-exposure models and antioxidant intervention are planned to explore these interactions.</w:t>
      </w:r>
    </w:p>
    <w:p w14:paraId="3FE952AC" w14:textId="77777777" w:rsidR="00EE51DE" w:rsidRPr="00EE51DE" w:rsidRDefault="00EE51DE" w:rsidP="00E52A83">
      <w:pPr>
        <w:spacing w:before="100" w:beforeAutospacing="1" w:after="100" w:afterAutospacing="1" w:line="240" w:lineRule="auto"/>
        <w:jc w:val="both"/>
        <w:outlineLvl w:val="2"/>
        <w:rPr>
          <w:rFonts w:ascii="Times New Roman" w:eastAsia="Times New Roman" w:hAnsi="Times New Roman" w:cs="Times New Roman"/>
          <w:kern w:val="0"/>
          <w:sz w:val="20"/>
          <w:szCs w:val="20"/>
          <w14:ligatures w14:val="none"/>
        </w:rPr>
      </w:pPr>
    </w:p>
    <w:p w14:paraId="7515703D"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2"/>
          <w:szCs w:val="22"/>
          <w14:ligatures w14:val="none"/>
        </w:rPr>
      </w:pPr>
      <w:r w:rsidRPr="00EE51DE">
        <w:rPr>
          <w:rFonts w:ascii="Arial" w:eastAsia="Times New Roman" w:hAnsi="Arial" w:cs="Arial"/>
          <w:b/>
          <w:bCs/>
          <w:kern w:val="0"/>
          <w:sz w:val="22"/>
          <w:szCs w:val="22"/>
          <w14:ligatures w14:val="none"/>
        </w:rPr>
        <w:t>5. CONCLUSION</w:t>
      </w:r>
    </w:p>
    <w:p w14:paraId="527FD99B" w14:textId="4105AD98" w:rsidR="00EE51DE" w:rsidRPr="00EE51DE" w:rsidRDefault="00EE51DE"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kern w:val="0"/>
          <w:sz w:val="20"/>
          <w:szCs w:val="20"/>
          <w14:ligatures w14:val="none"/>
        </w:rPr>
        <w:t>This study provides compelling evidence that chronic exposure to smoked fish extract induces significant hematological, hepatic, renal, and oxidative stress alterations in albino rats in a dose-dependent manner. The observed biochemical and histopathological derangements highlight the presence of potentially harmful compounds in smoked fish, raising concerns about its safety for long-term human consumption.</w:t>
      </w:r>
      <w:r w:rsidR="00992386" w:rsidRPr="00992386">
        <w:t xml:space="preserve"> </w:t>
      </w:r>
      <w:r w:rsidR="00992386">
        <w:t>recovery studies are planned for a subsequent phase to determine the reversibility of hepatic, renal, and hematological abnormalities post-exposure. These will involve a 28-day withdrawal period following cessation of extract administration to assess histopathological repair, enzyme normalization, and hematologic recovery. This is essential for evaluating the potential for physiological resilience and for shaping public health recommendations.</w:t>
      </w:r>
    </w:p>
    <w:p w14:paraId="0DCBFC7C" w14:textId="77777777" w:rsidR="00EE51DE" w:rsidRPr="00EE51DE" w:rsidRDefault="00EE51DE" w:rsidP="00E52A83">
      <w:pPr>
        <w:spacing w:after="0" w:line="240" w:lineRule="auto"/>
        <w:jc w:val="both"/>
        <w:rPr>
          <w:rFonts w:ascii="Times New Roman" w:eastAsia="Times New Roman" w:hAnsi="Times New Roman" w:cs="Times New Roman"/>
          <w:kern w:val="0"/>
          <w14:ligatures w14:val="none"/>
        </w:rPr>
      </w:pPr>
    </w:p>
    <w:p w14:paraId="65A1C71C" w14:textId="77777777" w:rsidR="00EE51DE" w:rsidRPr="00EE51DE" w:rsidRDefault="00EE51DE" w:rsidP="00E52A83">
      <w:pPr>
        <w:spacing w:before="100" w:beforeAutospacing="1" w:after="100" w:afterAutospacing="1" w:line="240" w:lineRule="auto"/>
        <w:jc w:val="both"/>
        <w:outlineLvl w:val="2"/>
        <w:rPr>
          <w:rFonts w:ascii="Arial" w:eastAsia="Times New Roman" w:hAnsi="Arial" w:cs="Arial"/>
          <w:b/>
          <w:bCs/>
          <w:kern w:val="0"/>
          <w:sz w:val="22"/>
          <w:szCs w:val="22"/>
          <w14:ligatures w14:val="none"/>
        </w:rPr>
      </w:pPr>
      <w:r w:rsidRPr="00EE51DE">
        <w:rPr>
          <w:rFonts w:ascii="Arial" w:eastAsia="Times New Roman" w:hAnsi="Arial" w:cs="Arial"/>
          <w:b/>
          <w:bCs/>
          <w:kern w:val="0"/>
          <w:sz w:val="22"/>
          <w:szCs w:val="22"/>
          <w14:ligatures w14:val="none"/>
        </w:rPr>
        <w:t>5.2 RECOMMENDATIONS</w:t>
      </w:r>
    </w:p>
    <w:p w14:paraId="0A606181" w14:textId="77777777" w:rsidR="00EE51DE" w:rsidRPr="00EE51DE" w:rsidRDefault="00EE51DE" w:rsidP="00E52A83">
      <w:pPr>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Public Health Awareness:</w:t>
      </w:r>
      <w:r w:rsidRPr="00EE51DE">
        <w:rPr>
          <w:rFonts w:ascii="Arial" w:eastAsia="Times New Roman" w:hAnsi="Arial" w:cs="Arial"/>
          <w:kern w:val="0"/>
          <w:sz w:val="20"/>
          <w:szCs w:val="20"/>
          <w14:ligatures w14:val="none"/>
        </w:rPr>
        <w:t xml:space="preserve"> Governmental and non-governmental agencies should educate the public about the potential health risks associated with consumption of poorly processed smoked fish.</w:t>
      </w:r>
    </w:p>
    <w:p w14:paraId="2E894DA8" w14:textId="77777777" w:rsidR="00EE51DE" w:rsidRPr="00EE51DE" w:rsidRDefault="00EE51DE" w:rsidP="00E52A83">
      <w:pPr>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Regulatory Oversight:</w:t>
      </w:r>
      <w:r w:rsidRPr="00EE51DE">
        <w:rPr>
          <w:rFonts w:ascii="Arial" w:eastAsia="Times New Roman" w:hAnsi="Arial" w:cs="Arial"/>
          <w:kern w:val="0"/>
          <w:sz w:val="20"/>
          <w:szCs w:val="20"/>
          <w14:ligatures w14:val="none"/>
        </w:rPr>
        <w:t xml:space="preserve"> There is a need for regulatory bodies to enforce standards in fish smoking practices, including the use of less toxic wood types and proper ventilation systems to minimize PAH formation.</w:t>
      </w:r>
    </w:p>
    <w:p w14:paraId="6474FDEC" w14:textId="77777777" w:rsidR="00EE51DE" w:rsidRPr="00EE51DE" w:rsidRDefault="00EE51DE" w:rsidP="00E52A83">
      <w:pPr>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Further Research:</w:t>
      </w:r>
      <w:r w:rsidRPr="00EE51DE">
        <w:rPr>
          <w:rFonts w:ascii="Arial" w:eastAsia="Times New Roman" w:hAnsi="Arial" w:cs="Arial"/>
          <w:kern w:val="0"/>
          <w:sz w:val="20"/>
          <w:szCs w:val="20"/>
          <w14:ligatures w14:val="none"/>
        </w:rPr>
        <w:t xml:space="preserve"> Additional studies should investigate the specific chemical constituents in smoked fish and their individual </w:t>
      </w:r>
      <w:proofErr w:type="spellStart"/>
      <w:r w:rsidRPr="00EE51DE">
        <w:rPr>
          <w:rFonts w:ascii="Arial" w:eastAsia="Times New Roman" w:hAnsi="Arial" w:cs="Arial"/>
          <w:kern w:val="0"/>
          <w:sz w:val="20"/>
          <w:szCs w:val="20"/>
          <w14:ligatures w14:val="none"/>
        </w:rPr>
        <w:t>toxicodynamics</w:t>
      </w:r>
      <w:proofErr w:type="spellEnd"/>
      <w:r w:rsidRPr="00EE51DE">
        <w:rPr>
          <w:rFonts w:ascii="Arial" w:eastAsia="Times New Roman" w:hAnsi="Arial" w:cs="Arial"/>
          <w:kern w:val="0"/>
          <w:sz w:val="20"/>
          <w:szCs w:val="20"/>
          <w14:ligatures w14:val="none"/>
        </w:rPr>
        <w:t>, as well as conduct long-term epidemiological studies in human populations.</w:t>
      </w:r>
    </w:p>
    <w:p w14:paraId="773E230B" w14:textId="77777777" w:rsidR="00EE51DE" w:rsidRPr="00EE51DE" w:rsidRDefault="00EE51DE" w:rsidP="00E52A83">
      <w:pPr>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Dietary Moderation:</w:t>
      </w:r>
      <w:r w:rsidRPr="00EE51DE">
        <w:rPr>
          <w:rFonts w:ascii="Arial" w:eastAsia="Times New Roman" w:hAnsi="Arial" w:cs="Arial"/>
          <w:kern w:val="0"/>
          <w:sz w:val="20"/>
          <w:szCs w:val="20"/>
          <w14:ligatures w14:val="none"/>
        </w:rPr>
        <w:t xml:space="preserve"> Consumers should be advised to moderate their intake of traditionally smoked fish and diversify their protein sources.</w:t>
      </w:r>
    </w:p>
    <w:p w14:paraId="25D354CF" w14:textId="6D495E89" w:rsidR="00EE51DE" w:rsidRDefault="00EE51DE" w:rsidP="00E52A83">
      <w:pPr>
        <w:numPr>
          <w:ilvl w:val="0"/>
          <w:numId w:val="1"/>
        </w:numPr>
        <w:spacing w:before="100" w:beforeAutospacing="1" w:after="100" w:afterAutospacing="1" w:line="240" w:lineRule="auto"/>
        <w:jc w:val="both"/>
        <w:rPr>
          <w:rFonts w:ascii="Arial" w:eastAsia="Times New Roman" w:hAnsi="Arial" w:cs="Arial"/>
          <w:kern w:val="0"/>
          <w:sz w:val="20"/>
          <w:szCs w:val="20"/>
          <w14:ligatures w14:val="none"/>
        </w:rPr>
      </w:pPr>
      <w:r w:rsidRPr="00EE51DE">
        <w:rPr>
          <w:rFonts w:ascii="Arial" w:eastAsia="Times New Roman" w:hAnsi="Arial" w:cs="Arial"/>
          <w:b/>
          <w:bCs/>
          <w:kern w:val="0"/>
          <w:sz w:val="20"/>
          <w:szCs w:val="20"/>
          <w14:ligatures w14:val="none"/>
        </w:rPr>
        <w:t>Alternative Methods:</w:t>
      </w:r>
      <w:r w:rsidRPr="00EE51DE">
        <w:rPr>
          <w:rFonts w:ascii="Arial" w:eastAsia="Times New Roman" w:hAnsi="Arial" w:cs="Arial"/>
          <w:kern w:val="0"/>
          <w:sz w:val="20"/>
          <w:szCs w:val="20"/>
          <w14:ligatures w14:val="none"/>
        </w:rPr>
        <w:t xml:space="preserve"> Promotion of improved fish preservation technologies such as solar drying or electric smoking chambers with temperature control and filtration systems is strongly encouraged.</w:t>
      </w:r>
    </w:p>
    <w:p w14:paraId="32BCA95D" w14:textId="33C4DDA0" w:rsid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p>
    <w:p w14:paraId="22770E5B" w14:textId="3AFEFCF2" w:rsidR="00406B40" w:rsidRDefault="00937F0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937F00">
        <w:rPr>
          <w:rFonts w:ascii="Arial" w:eastAsia="Times New Roman" w:hAnsi="Arial" w:cs="Arial"/>
          <w:kern w:val="0"/>
          <w:sz w:val="20"/>
          <w:szCs w:val="20"/>
          <w14:ligatures w14:val="none"/>
        </w:rPr>
        <w:t>ETHICAL APPROVAL</w:t>
      </w:r>
    </w:p>
    <w:p w14:paraId="633AA2EF" w14:textId="39DEA1C9" w:rsidR="00937F00" w:rsidRDefault="00937F0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937F00">
        <w:rPr>
          <w:rFonts w:ascii="Arial" w:eastAsia="Times New Roman" w:hAnsi="Arial" w:cs="Arial"/>
          <w:kern w:val="0"/>
          <w:sz w:val="20"/>
          <w:szCs w:val="20"/>
          <w14:ligatures w14:val="none"/>
        </w:rPr>
        <w:t>The experimental protocol was approved by the Institutional Animal Ethics Committee, and all procedures adhered to international guidelines for laboratory animal care and use.</w:t>
      </w:r>
    </w:p>
    <w:p w14:paraId="0572353E"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Disclaimer (Artificial intelligence)</w:t>
      </w:r>
    </w:p>
    <w:p w14:paraId="09714A78"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 xml:space="preserve">Option 1: </w:t>
      </w:r>
    </w:p>
    <w:p w14:paraId="5A4280E2"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Author(s) hereby declare that NO generative AI technologies such as Large Language Models (</w:t>
      </w:r>
      <w:proofErr w:type="spellStart"/>
      <w:r w:rsidRPr="00406B40">
        <w:rPr>
          <w:rFonts w:ascii="Arial" w:eastAsia="Times New Roman" w:hAnsi="Arial" w:cs="Arial"/>
          <w:kern w:val="0"/>
          <w:sz w:val="20"/>
          <w:szCs w:val="20"/>
          <w14:ligatures w14:val="none"/>
        </w:rPr>
        <w:t>ChatGPT</w:t>
      </w:r>
      <w:proofErr w:type="spellEnd"/>
      <w:r w:rsidRPr="00406B40">
        <w:rPr>
          <w:rFonts w:ascii="Arial" w:eastAsia="Times New Roman" w:hAnsi="Arial" w:cs="Arial"/>
          <w:kern w:val="0"/>
          <w:sz w:val="20"/>
          <w:szCs w:val="20"/>
          <w14:ligatures w14:val="none"/>
        </w:rPr>
        <w:t xml:space="preserve">, COPILOT, etc.) and text-to-image generators have been used during the writing or editing of this manuscript. </w:t>
      </w:r>
    </w:p>
    <w:p w14:paraId="44574D25"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 xml:space="preserve">Option 2: </w:t>
      </w:r>
    </w:p>
    <w:p w14:paraId="6437659F"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C427528"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Details of the AI usage are given below:</w:t>
      </w:r>
    </w:p>
    <w:p w14:paraId="5C9544B0"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1.</w:t>
      </w:r>
    </w:p>
    <w:p w14:paraId="657906E0" w14:textId="77777777" w:rsidR="00406B40" w:rsidRP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2.</w:t>
      </w:r>
    </w:p>
    <w:p w14:paraId="4562FD21" w14:textId="0264242B" w:rsidR="00406B40" w:rsidRDefault="00406B40" w:rsidP="00E52A83">
      <w:pPr>
        <w:spacing w:before="100" w:beforeAutospacing="1" w:after="100" w:afterAutospacing="1" w:line="240" w:lineRule="auto"/>
        <w:jc w:val="both"/>
        <w:rPr>
          <w:rFonts w:ascii="Arial" w:eastAsia="Times New Roman" w:hAnsi="Arial" w:cs="Arial"/>
          <w:kern w:val="0"/>
          <w:sz w:val="20"/>
          <w:szCs w:val="20"/>
          <w14:ligatures w14:val="none"/>
        </w:rPr>
      </w:pPr>
      <w:r w:rsidRPr="00406B40">
        <w:rPr>
          <w:rFonts w:ascii="Arial" w:eastAsia="Times New Roman" w:hAnsi="Arial" w:cs="Arial"/>
          <w:kern w:val="0"/>
          <w:sz w:val="20"/>
          <w:szCs w:val="20"/>
          <w14:ligatures w14:val="none"/>
        </w:rPr>
        <w:t>3.</w:t>
      </w:r>
    </w:p>
    <w:p w14:paraId="56CC34E6" w14:textId="77777777" w:rsidR="00937F00" w:rsidRPr="00EE51DE" w:rsidRDefault="00937F00" w:rsidP="00E52A83">
      <w:pPr>
        <w:spacing w:before="100" w:beforeAutospacing="1" w:after="100" w:afterAutospacing="1" w:line="240" w:lineRule="auto"/>
        <w:jc w:val="both"/>
        <w:rPr>
          <w:rFonts w:ascii="Arial" w:eastAsia="Times New Roman" w:hAnsi="Arial" w:cs="Arial"/>
          <w:kern w:val="0"/>
          <w:sz w:val="20"/>
          <w:szCs w:val="20"/>
          <w14:ligatures w14:val="none"/>
        </w:rPr>
      </w:pPr>
    </w:p>
    <w:p w14:paraId="37694DC2" w14:textId="77777777" w:rsidR="00EE51DE" w:rsidRPr="00EE51DE" w:rsidRDefault="00EE51DE" w:rsidP="00E52A83">
      <w:pPr>
        <w:spacing w:before="100" w:beforeAutospacing="1" w:after="100" w:afterAutospacing="1" w:line="240" w:lineRule="auto"/>
        <w:jc w:val="both"/>
        <w:outlineLvl w:val="2"/>
        <w:rPr>
          <w:rFonts w:ascii="Times New Roman" w:eastAsia="Times New Roman" w:hAnsi="Times New Roman" w:cs="Times New Roman"/>
          <w:b/>
          <w:bCs/>
          <w:kern w:val="0"/>
          <w:sz w:val="27"/>
          <w:szCs w:val="27"/>
          <w14:ligatures w14:val="none"/>
        </w:rPr>
      </w:pPr>
      <w:r w:rsidRPr="00EE51DE">
        <w:rPr>
          <w:rFonts w:ascii="Times New Roman" w:eastAsia="Times New Roman" w:hAnsi="Times New Roman" w:cs="Times New Roman"/>
          <w:b/>
          <w:bCs/>
          <w:kern w:val="0"/>
          <w:sz w:val="27"/>
          <w:szCs w:val="27"/>
          <w14:ligatures w14:val="none"/>
        </w:rPr>
        <w:t xml:space="preserve">REFERENCES </w:t>
      </w:r>
    </w:p>
    <w:p w14:paraId="5DD8ED08" w14:textId="77777777" w:rsidR="00EE51DE" w:rsidRPr="006E244D" w:rsidRDefault="00EE51D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6E244D">
        <w:rPr>
          <w:rFonts w:ascii="Times New Roman" w:eastAsia="Times New Roman" w:hAnsi="Times New Roman" w:cs="Times New Roman"/>
          <w:kern w:val="0"/>
          <w:highlight w:val="yellow"/>
          <w14:ligatures w14:val="none"/>
        </w:rPr>
        <w:lastRenderedPageBreak/>
        <w:t>Abbas, O., Othman, A., Al-</w:t>
      </w:r>
      <w:proofErr w:type="spellStart"/>
      <w:r w:rsidRPr="006E244D">
        <w:rPr>
          <w:rFonts w:ascii="Times New Roman" w:eastAsia="Times New Roman" w:hAnsi="Times New Roman" w:cs="Times New Roman"/>
          <w:kern w:val="0"/>
          <w:highlight w:val="yellow"/>
          <w14:ligatures w14:val="none"/>
        </w:rPr>
        <w:t>Razzuqi</w:t>
      </w:r>
      <w:proofErr w:type="spellEnd"/>
      <w:r w:rsidRPr="006E244D">
        <w:rPr>
          <w:rFonts w:ascii="Times New Roman" w:eastAsia="Times New Roman" w:hAnsi="Times New Roman" w:cs="Times New Roman"/>
          <w:kern w:val="0"/>
          <w:highlight w:val="yellow"/>
          <w14:ligatures w14:val="none"/>
        </w:rPr>
        <w:t xml:space="preserve">, R., &amp; Al-Shammaa, H. (2021). Levels of heavy metals in smoked fish and health risk assessment. </w:t>
      </w:r>
      <w:r w:rsidRPr="006E244D">
        <w:rPr>
          <w:rFonts w:ascii="Times New Roman" w:eastAsia="Times New Roman" w:hAnsi="Times New Roman" w:cs="Times New Roman"/>
          <w:i/>
          <w:iCs/>
          <w:kern w:val="0"/>
          <w:highlight w:val="yellow"/>
          <w14:ligatures w14:val="none"/>
        </w:rPr>
        <w:t>Journal of Food Protection</w:t>
      </w:r>
      <w:r w:rsidRPr="006E244D">
        <w:rPr>
          <w:rFonts w:ascii="Times New Roman" w:eastAsia="Times New Roman" w:hAnsi="Times New Roman" w:cs="Times New Roman"/>
          <w:kern w:val="0"/>
          <w:highlight w:val="yellow"/>
          <w14:ligatures w14:val="none"/>
        </w:rPr>
        <w:t xml:space="preserve">, </w:t>
      </w:r>
      <w:r w:rsidRPr="006E244D">
        <w:rPr>
          <w:rFonts w:ascii="Times New Roman" w:eastAsia="Times New Roman" w:hAnsi="Times New Roman" w:cs="Times New Roman"/>
          <w:i/>
          <w:iCs/>
          <w:kern w:val="0"/>
          <w:highlight w:val="yellow"/>
          <w14:ligatures w14:val="none"/>
        </w:rPr>
        <w:t>84</w:t>
      </w:r>
      <w:r w:rsidRPr="006E244D">
        <w:rPr>
          <w:rFonts w:ascii="Times New Roman" w:eastAsia="Times New Roman" w:hAnsi="Times New Roman" w:cs="Times New Roman"/>
          <w:kern w:val="0"/>
          <w:highlight w:val="yellow"/>
          <w14:ligatures w14:val="none"/>
        </w:rPr>
        <w:t>(6), 970–976. https://doi.org/10.4315/JFP-20-471</w:t>
      </w:r>
    </w:p>
    <w:p w14:paraId="79BAF386" w14:textId="77777777" w:rsidR="00E52A83" w:rsidRPr="00BC0D3B" w:rsidRDefault="00E52A83"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BC0D3B">
        <w:rPr>
          <w:rFonts w:ascii="Times New Roman" w:eastAsia="Times New Roman" w:hAnsi="Times New Roman" w:cs="Times New Roman"/>
          <w:kern w:val="0"/>
          <w:highlight w:val="yellow"/>
          <w14:ligatures w14:val="none"/>
        </w:rPr>
        <w:t>Akpambang</w:t>
      </w:r>
      <w:proofErr w:type="spellEnd"/>
      <w:r w:rsidRPr="00BC0D3B">
        <w:rPr>
          <w:rFonts w:ascii="Times New Roman" w:eastAsia="Times New Roman" w:hAnsi="Times New Roman" w:cs="Times New Roman"/>
          <w:kern w:val="0"/>
          <w:highlight w:val="yellow"/>
          <w14:ligatures w14:val="none"/>
        </w:rPr>
        <w:t xml:space="preserve">, V. O. E., </w:t>
      </w:r>
      <w:proofErr w:type="spellStart"/>
      <w:r w:rsidRPr="00BC0D3B">
        <w:rPr>
          <w:rFonts w:ascii="Times New Roman" w:eastAsia="Times New Roman" w:hAnsi="Times New Roman" w:cs="Times New Roman"/>
          <w:kern w:val="0"/>
          <w:highlight w:val="yellow"/>
          <w14:ligatures w14:val="none"/>
        </w:rPr>
        <w:t>Purcaro</w:t>
      </w:r>
      <w:proofErr w:type="spellEnd"/>
      <w:r w:rsidRPr="00BC0D3B">
        <w:rPr>
          <w:rFonts w:ascii="Times New Roman" w:eastAsia="Times New Roman" w:hAnsi="Times New Roman" w:cs="Times New Roman"/>
          <w:kern w:val="0"/>
          <w:highlight w:val="yellow"/>
          <w14:ligatures w14:val="none"/>
        </w:rPr>
        <w:t xml:space="preserve">, G., </w:t>
      </w:r>
      <w:proofErr w:type="spellStart"/>
      <w:r w:rsidRPr="00BC0D3B">
        <w:rPr>
          <w:rFonts w:ascii="Times New Roman" w:eastAsia="Times New Roman" w:hAnsi="Times New Roman" w:cs="Times New Roman"/>
          <w:kern w:val="0"/>
          <w:highlight w:val="yellow"/>
          <w14:ligatures w14:val="none"/>
        </w:rPr>
        <w:t>Lajide</w:t>
      </w:r>
      <w:proofErr w:type="spellEnd"/>
      <w:r w:rsidRPr="00BC0D3B">
        <w:rPr>
          <w:rFonts w:ascii="Times New Roman" w:eastAsia="Times New Roman" w:hAnsi="Times New Roman" w:cs="Times New Roman"/>
          <w:kern w:val="0"/>
          <w:highlight w:val="yellow"/>
          <w14:ligatures w14:val="none"/>
        </w:rPr>
        <w:t xml:space="preserve">, L., </w:t>
      </w:r>
      <w:proofErr w:type="spellStart"/>
      <w:r w:rsidRPr="00BC0D3B">
        <w:rPr>
          <w:rFonts w:ascii="Times New Roman" w:eastAsia="Times New Roman" w:hAnsi="Times New Roman" w:cs="Times New Roman"/>
          <w:kern w:val="0"/>
          <w:highlight w:val="yellow"/>
          <w14:ligatures w14:val="none"/>
        </w:rPr>
        <w:t>Amoo</w:t>
      </w:r>
      <w:proofErr w:type="spellEnd"/>
      <w:r w:rsidRPr="00BC0D3B">
        <w:rPr>
          <w:rFonts w:ascii="Times New Roman" w:eastAsia="Times New Roman" w:hAnsi="Times New Roman" w:cs="Times New Roman"/>
          <w:kern w:val="0"/>
          <w:highlight w:val="yellow"/>
          <w14:ligatures w14:val="none"/>
        </w:rPr>
        <w:t xml:space="preserve">, I. A., Conte, L. S., &amp; </w:t>
      </w:r>
      <w:proofErr w:type="spellStart"/>
      <w:r w:rsidRPr="00BC0D3B">
        <w:rPr>
          <w:rFonts w:ascii="Times New Roman" w:eastAsia="Times New Roman" w:hAnsi="Times New Roman" w:cs="Times New Roman"/>
          <w:kern w:val="0"/>
          <w:highlight w:val="yellow"/>
          <w14:ligatures w14:val="none"/>
        </w:rPr>
        <w:t>Moret</w:t>
      </w:r>
      <w:proofErr w:type="spellEnd"/>
      <w:r w:rsidRPr="00BC0D3B">
        <w:rPr>
          <w:rFonts w:ascii="Times New Roman" w:eastAsia="Times New Roman" w:hAnsi="Times New Roman" w:cs="Times New Roman"/>
          <w:kern w:val="0"/>
          <w:highlight w:val="yellow"/>
          <w14:ligatures w14:val="none"/>
        </w:rPr>
        <w:t>, S. (2009). Determination of polycyclic aromatic hydrocarbons (PAHs) in commonly consumed Nigerian smoked/grilled fish and meat. Food additives and contaminants, 26(7), 1096-1103.</w:t>
      </w:r>
    </w:p>
    <w:p w14:paraId="31310136" w14:textId="78DE0D8E" w:rsidR="00EE51DE" w:rsidRPr="006E244D" w:rsidRDefault="00EE51D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6E244D">
        <w:rPr>
          <w:rFonts w:ascii="Times New Roman" w:eastAsia="Times New Roman" w:hAnsi="Times New Roman" w:cs="Times New Roman"/>
          <w:kern w:val="0"/>
          <w:highlight w:val="yellow"/>
          <w14:ligatures w14:val="none"/>
        </w:rPr>
        <w:t xml:space="preserve">Al </w:t>
      </w:r>
      <w:proofErr w:type="spellStart"/>
      <w:r w:rsidRPr="006E244D">
        <w:rPr>
          <w:rFonts w:ascii="Times New Roman" w:eastAsia="Times New Roman" w:hAnsi="Times New Roman" w:cs="Times New Roman"/>
          <w:kern w:val="0"/>
          <w:highlight w:val="yellow"/>
          <w14:ligatures w14:val="none"/>
        </w:rPr>
        <w:t>Bulushi</w:t>
      </w:r>
      <w:proofErr w:type="spellEnd"/>
      <w:r w:rsidRPr="006E244D">
        <w:rPr>
          <w:rFonts w:ascii="Times New Roman" w:eastAsia="Times New Roman" w:hAnsi="Times New Roman" w:cs="Times New Roman"/>
          <w:kern w:val="0"/>
          <w:highlight w:val="yellow"/>
          <w14:ligatures w14:val="none"/>
        </w:rPr>
        <w:t xml:space="preserve">, I., Poole, S., Deeth, H. C., &amp; Dykes, G. A. (2009). Biogenic amines in fish: roles in intoxication, spoilage, and nitrosamine formation—A review. </w:t>
      </w:r>
      <w:r w:rsidRPr="006E244D">
        <w:rPr>
          <w:rFonts w:ascii="Times New Roman" w:eastAsia="Times New Roman" w:hAnsi="Times New Roman" w:cs="Times New Roman"/>
          <w:i/>
          <w:iCs/>
          <w:kern w:val="0"/>
          <w:highlight w:val="yellow"/>
          <w14:ligatures w14:val="none"/>
        </w:rPr>
        <w:t>Critical Reviews in Food Science and Nutrition</w:t>
      </w:r>
      <w:r w:rsidRPr="006E244D">
        <w:rPr>
          <w:rFonts w:ascii="Times New Roman" w:eastAsia="Times New Roman" w:hAnsi="Times New Roman" w:cs="Times New Roman"/>
          <w:kern w:val="0"/>
          <w:highlight w:val="yellow"/>
          <w14:ligatures w14:val="none"/>
        </w:rPr>
        <w:t xml:space="preserve">, </w:t>
      </w:r>
      <w:r w:rsidRPr="006E244D">
        <w:rPr>
          <w:rFonts w:ascii="Times New Roman" w:eastAsia="Times New Roman" w:hAnsi="Times New Roman" w:cs="Times New Roman"/>
          <w:i/>
          <w:iCs/>
          <w:kern w:val="0"/>
          <w:highlight w:val="yellow"/>
          <w14:ligatures w14:val="none"/>
        </w:rPr>
        <w:t>49</w:t>
      </w:r>
      <w:r w:rsidRPr="006E244D">
        <w:rPr>
          <w:rFonts w:ascii="Times New Roman" w:eastAsia="Times New Roman" w:hAnsi="Times New Roman" w:cs="Times New Roman"/>
          <w:kern w:val="0"/>
          <w:highlight w:val="yellow"/>
          <w14:ligatures w14:val="none"/>
        </w:rPr>
        <w:t>(4), 369–377. https://doi.org/10.1080/10408390802067514</w:t>
      </w:r>
    </w:p>
    <w:p w14:paraId="40084311" w14:textId="77777777" w:rsidR="00EE51DE" w:rsidRPr="006E244D" w:rsidRDefault="00EE51D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6E244D">
        <w:rPr>
          <w:rFonts w:ascii="Times New Roman" w:eastAsia="Times New Roman" w:hAnsi="Times New Roman" w:cs="Times New Roman"/>
          <w:kern w:val="0"/>
          <w:highlight w:val="yellow"/>
          <w14:ligatures w14:val="none"/>
        </w:rPr>
        <w:t>Alomirah</w:t>
      </w:r>
      <w:proofErr w:type="spellEnd"/>
      <w:r w:rsidRPr="006E244D">
        <w:rPr>
          <w:rFonts w:ascii="Times New Roman" w:eastAsia="Times New Roman" w:hAnsi="Times New Roman" w:cs="Times New Roman"/>
          <w:kern w:val="0"/>
          <w:highlight w:val="yellow"/>
          <w14:ligatures w14:val="none"/>
        </w:rPr>
        <w:t>, H., Al-</w:t>
      </w:r>
      <w:proofErr w:type="spellStart"/>
      <w:r w:rsidRPr="006E244D">
        <w:rPr>
          <w:rFonts w:ascii="Times New Roman" w:eastAsia="Times New Roman" w:hAnsi="Times New Roman" w:cs="Times New Roman"/>
          <w:kern w:val="0"/>
          <w:highlight w:val="yellow"/>
          <w14:ligatures w14:val="none"/>
        </w:rPr>
        <w:t>Zenki</w:t>
      </w:r>
      <w:proofErr w:type="spellEnd"/>
      <w:r w:rsidRPr="006E244D">
        <w:rPr>
          <w:rFonts w:ascii="Times New Roman" w:eastAsia="Times New Roman" w:hAnsi="Times New Roman" w:cs="Times New Roman"/>
          <w:kern w:val="0"/>
          <w:highlight w:val="yellow"/>
          <w14:ligatures w14:val="none"/>
        </w:rPr>
        <w:t>, S., Al-</w:t>
      </w:r>
      <w:proofErr w:type="spellStart"/>
      <w:r w:rsidRPr="006E244D">
        <w:rPr>
          <w:rFonts w:ascii="Times New Roman" w:eastAsia="Times New Roman" w:hAnsi="Times New Roman" w:cs="Times New Roman"/>
          <w:kern w:val="0"/>
          <w:highlight w:val="yellow"/>
          <w14:ligatures w14:val="none"/>
        </w:rPr>
        <w:t>Hooti</w:t>
      </w:r>
      <w:proofErr w:type="spellEnd"/>
      <w:r w:rsidRPr="006E244D">
        <w:rPr>
          <w:rFonts w:ascii="Times New Roman" w:eastAsia="Times New Roman" w:hAnsi="Times New Roman" w:cs="Times New Roman"/>
          <w:kern w:val="0"/>
          <w:highlight w:val="yellow"/>
          <w14:ligatures w14:val="none"/>
        </w:rPr>
        <w:t xml:space="preserve">, S., Zaghloul, S., Sawaya, W., Ahmed, N., &amp; Kannan, K. (2011). Concentrations and dietary exposure to polycyclic aromatic hydrocarbons (PAHs) from grilled and smoked foods. </w:t>
      </w:r>
      <w:r w:rsidRPr="006E244D">
        <w:rPr>
          <w:rFonts w:ascii="Times New Roman" w:eastAsia="Times New Roman" w:hAnsi="Times New Roman" w:cs="Times New Roman"/>
          <w:i/>
          <w:iCs/>
          <w:kern w:val="0"/>
          <w:highlight w:val="yellow"/>
          <w14:ligatures w14:val="none"/>
        </w:rPr>
        <w:t>Food Control</w:t>
      </w:r>
      <w:r w:rsidRPr="006E244D">
        <w:rPr>
          <w:rFonts w:ascii="Times New Roman" w:eastAsia="Times New Roman" w:hAnsi="Times New Roman" w:cs="Times New Roman"/>
          <w:kern w:val="0"/>
          <w:highlight w:val="yellow"/>
          <w14:ligatures w14:val="none"/>
        </w:rPr>
        <w:t xml:space="preserve">, </w:t>
      </w:r>
      <w:r w:rsidRPr="006E244D">
        <w:rPr>
          <w:rFonts w:ascii="Times New Roman" w:eastAsia="Times New Roman" w:hAnsi="Times New Roman" w:cs="Times New Roman"/>
          <w:i/>
          <w:iCs/>
          <w:kern w:val="0"/>
          <w:highlight w:val="yellow"/>
          <w14:ligatures w14:val="none"/>
        </w:rPr>
        <w:t>22</w:t>
      </w:r>
      <w:r w:rsidRPr="006E244D">
        <w:rPr>
          <w:rFonts w:ascii="Times New Roman" w:eastAsia="Times New Roman" w:hAnsi="Times New Roman" w:cs="Times New Roman"/>
          <w:kern w:val="0"/>
          <w:highlight w:val="yellow"/>
          <w14:ligatures w14:val="none"/>
        </w:rPr>
        <w:t>(12), 2028–2035. https://doi.org/10.1016/j.foodcont.2011.05.024</w:t>
      </w:r>
    </w:p>
    <w:p w14:paraId="56EBEE2E" w14:textId="77777777" w:rsidR="00BC0D3B" w:rsidRPr="00A26E63" w:rsidRDefault="00BC0D3B"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A26E63">
        <w:rPr>
          <w:rFonts w:ascii="Times New Roman" w:eastAsia="Times New Roman" w:hAnsi="Times New Roman" w:cs="Times New Roman"/>
          <w:kern w:val="0"/>
          <w:highlight w:val="yellow"/>
          <w14:ligatures w14:val="none"/>
        </w:rPr>
        <w:t>Chukwudi</w:t>
      </w:r>
      <w:proofErr w:type="spellEnd"/>
      <w:r w:rsidRPr="00A26E63">
        <w:rPr>
          <w:rFonts w:ascii="Times New Roman" w:eastAsia="Times New Roman" w:hAnsi="Times New Roman" w:cs="Times New Roman"/>
          <w:kern w:val="0"/>
          <w:highlight w:val="yellow"/>
          <w14:ligatures w14:val="none"/>
        </w:rPr>
        <w:t xml:space="preserve">, O., </w:t>
      </w:r>
      <w:proofErr w:type="spellStart"/>
      <w:r w:rsidRPr="00A26E63">
        <w:rPr>
          <w:rFonts w:ascii="Times New Roman" w:eastAsia="Times New Roman" w:hAnsi="Times New Roman" w:cs="Times New Roman"/>
          <w:kern w:val="0"/>
          <w:highlight w:val="yellow"/>
          <w14:ligatures w14:val="none"/>
        </w:rPr>
        <w:t>Ideh</w:t>
      </w:r>
      <w:proofErr w:type="spellEnd"/>
      <w:r w:rsidRPr="00A26E63">
        <w:rPr>
          <w:rFonts w:ascii="Times New Roman" w:eastAsia="Times New Roman" w:hAnsi="Times New Roman" w:cs="Times New Roman"/>
          <w:kern w:val="0"/>
          <w:highlight w:val="yellow"/>
          <w14:ligatures w14:val="none"/>
        </w:rPr>
        <w:t xml:space="preserve">, V., &amp; </w:t>
      </w:r>
      <w:proofErr w:type="spellStart"/>
      <w:r w:rsidRPr="00A26E63">
        <w:rPr>
          <w:rFonts w:ascii="Times New Roman" w:eastAsia="Times New Roman" w:hAnsi="Times New Roman" w:cs="Times New Roman"/>
          <w:kern w:val="0"/>
          <w:highlight w:val="yellow"/>
          <w14:ligatures w14:val="none"/>
        </w:rPr>
        <w:t>Imobighe</w:t>
      </w:r>
      <w:proofErr w:type="spellEnd"/>
      <w:r w:rsidRPr="00A26E63">
        <w:rPr>
          <w:rFonts w:ascii="Times New Roman" w:eastAsia="Times New Roman" w:hAnsi="Times New Roman" w:cs="Times New Roman"/>
          <w:kern w:val="0"/>
          <w:highlight w:val="yellow"/>
          <w14:ligatures w14:val="none"/>
        </w:rPr>
        <w:t xml:space="preserve">, M. (2022). Bioaccumulation of heavy metals in some pelagic and benthic fish species in selected wetlands in oil-bearing communities of the Niger Delta. Int. J. </w:t>
      </w:r>
      <w:proofErr w:type="spellStart"/>
      <w:r w:rsidRPr="00A26E63">
        <w:rPr>
          <w:rFonts w:ascii="Times New Roman" w:eastAsia="Times New Roman" w:hAnsi="Times New Roman" w:cs="Times New Roman"/>
          <w:kern w:val="0"/>
          <w:highlight w:val="yellow"/>
          <w14:ligatures w14:val="none"/>
        </w:rPr>
        <w:t>Biosci</w:t>
      </w:r>
      <w:proofErr w:type="spellEnd"/>
      <w:r w:rsidRPr="00A26E63">
        <w:rPr>
          <w:rFonts w:ascii="Times New Roman" w:eastAsia="Times New Roman" w:hAnsi="Times New Roman" w:cs="Times New Roman"/>
          <w:kern w:val="0"/>
          <w:highlight w:val="yellow"/>
          <w14:ligatures w14:val="none"/>
        </w:rPr>
        <w:t xml:space="preserve">, 20(6), 128-139. </w:t>
      </w:r>
    </w:p>
    <w:p w14:paraId="2ECB15B3" w14:textId="77777777" w:rsidR="00A26E63" w:rsidRPr="00A26E63" w:rsidRDefault="00A26E63"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A26E63">
        <w:rPr>
          <w:rFonts w:ascii="Times New Roman" w:eastAsia="Times New Roman" w:hAnsi="Times New Roman" w:cs="Times New Roman"/>
          <w:kern w:val="0"/>
          <w:highlight w:val="yellow"/>
          <w:lang w:val="fr-FR"/>
          <w14:ligatures w14:val="none"/>
        </w:rPr>
        <w:t>Assogba</w:t>
      </w:r>
      <w:proofErr w:type="spellEnd"/>
      <w:r w:rsidRPr="00A26E63">
        <w:rPr>
          <w:rFonts w:ascii="Times New Roman" w:eastAsia="Times New Roman" w:hAnsi="Times New Roman" w:cs="Times New Roman"/>
          <w:kern w:val="0"/>
          <w:highlight w:val="yellow"/>
          <w:lang w:val="fr-FR"/>
          <w14:ligatures w14:val="none"/>
        </w:rPr>
        <w:t xml:space="preserve">, M. F., </w:t>
      </w:r>
      <w:proofErr w:type="spellStart"/>
      <w:r w:rsidRPr="00A26E63">
        <w:rPr>
          <w:rFonts w:ascii="Times New Roman" w:eastAsia="Times New Roman" w:hAnsi="Times New Roman" w:cs="Times New Roman"/>
          <w:kern w:val="0"/>
          <w:highlight w:val="yellow"/>
          <w:lang w:val="fr-FR"/>
          <w14:ligatures w14:val="none"/>
        </w:rPr>
        <w:t>Anihouvi</w:t>
      </w:r>
      <w:proofErr w:type="spellEnd"/>
      <w:r w:rsidRPr="00A26E63">
        <w:rPr>
          <w:rFonts w:ascii="Times New Roman" w:eastAsia="Times New Roman" w:hAnsi="Times New Roman" w:cs="Times New Roman"/>
          <w:kern w:val="0"/>
          <w:highlight w:val="yellow"/>
          <w:lang w:val="fr-FR"/>
          <w14:ligatures w14:val="none"/>
        </w:rPr>
        <w:t xml:space="preserve">, D. G. H., </w:t>
      </w:r>
      <w:proofErr w:type="spellStart"/>
      <w:r w:rsidRPr="00A26E63">
        <w:rPr>
          <w:rFonts w:ascii="Times New Roman" w:eastAsia="Times New Roman" w:hAnsi="Times New Roman" w:cs="Times New Roman"/>
          <w:kern w:val="0"/>
          <w:highlight w:val="yellow"/>
          <w:lang w:val="fr-FR"/>
          <w14:ligatures w14:val="none"/>
        </w:rPr>
        <w:t>Iko</w:t>
      </w:r>
      <w:proofErr w:type="spellEnd"/>
      <w:r w:rsidRPr="00A26E63">
        <w:rPr>
          <w:rFonts w:ascii="Times New Roman" w:eastAsia="Times New Roman" w:hAnsi="Times New Roman" w:cs="Times New Roman"/>
          <w:kern w:val="0"/>
          <w:highlight w:val="yellow"/>
          <w:lang w:val="fr-FR"/>
          <w14:ligatures w14:val="none"/>
        </w:rPr>
        <w:t xml:space="preserve"> </w:t>
      </w:r>
      <w:proofErr w:type="spellStart"/>
      <w:r w:rsidRPr="00A26E63">
        <w:rPr>
          <w:rFonts w:ascii="Times New Roman" w:eastAsia="Times New Roman" w:hAnsi="Times New Roman" w:cs="Times New Roman"/>
          <w:kern w:val="0"/>
          <w:highlight w:val="yellow"/>
          <w:lang w:val="fr-FR"/>
          <w14:ligatures w14:val="none"/>
        </w:rPr>
        <w:t>Afé</w:t>
      </w:r>
      <w:proofErr w:type="spellEnd"/>
      <w:r w:rsidRPr="00A26E63">
        <w:rPr>
          <w:rFonts w:ascii="Times New Roman" w:eastAsia="Times New Roman" w:hAnsi="Times New Roman" w:cs="Times New Roman"/>
          <w:kern w:val="0"/>
          <w:highlight w:val="yellow"/>
          <w:lang w:val="fr-FR"/>
          <w14:ligatures w14:val="none"/>
        </w:rPr>
        <w:t xml:space="preserve">, O. H., </w:t>
      </w:r>
      <w:proofErr w:type="spellStart"/>
      <w:r w:rsidRPr="00A26E63">
        <w:rPr>
          <w:rFonts w:ascii="Times New Roman" w:eastAsia="Times New Roman" w:hAnsi="Times New Roman" w:cs="Times New Roman"/>
          <w:kern w:val="0"/>
          <w:highlight w:val="yellow"/>
          <w:lang w:val="fr-FR"/>
          <w14:ligatures w14:val="none"/>
        </w:rPr>
        <w:t>Kpoclou</w:t>
      </w:r>
      <w:proofErr w:type="spellEnd"/>
      <w:r w:rsidRPr="00A26E63">
        <w:rPr>
          <w:rFonts w:ascii="Times New Roman" w:eastAsia="Times New Roman" w:hAnsi="Times New Roman" w:cs="Times New Roman"/>
          <w:kern w:val="0"/>
          <w:highlight w:val="yellow"/>
          <w:lang w:val="fr-FR"/>
          <w14:ligatures w14:val="none"/>
        </w:rPr>
        <w:t xml:space="preserve">, Y. E., </w:t>
      </w:r>
      <w:proofErr w:type="spellStart"/>
      <w:r w:rsidRPr="00A26E63">
        <w:rPr>
          <w:rFonts w:ascii="Times New Roman" w:eastAsia="Times New Roman" w:hAnsi="Times New Roman" w:cs="Times New Roman"/>
          <w:kern w:val="0"/>
          <w:highlight w:val="yellow"/>
          <w:lang w:val="fr-FR"/>
          <w14:ligatures w14:val="none"/>
        </w:rPr>
        <w:t>Mahillon</w:t>
      </w:r>
      <w:proofErr w:type="spellEnd"/>
      <w:r w:rsidRPr="00A26E63">
        <w:rPr>
          <w:rFonts w:ascii="Times New Roman" w:eastAsia="Times New Roman" w:hAnsi="Times New Roman" w:cs="Times New Roman"/>
          <w:kern w:val="0"/>
          <w:highlight w:val="yellow"/>
          <w:lang w:val="fr-FR"/>
          <w14:ligatures w14:val="none"/>
        </w:rPr>
        <w:t xml:space="preserve">, J., </w:t>
      </w:r>
      <w:proofErr w:type="spellStart"/>
      <w:r w:rsidRPr="00A26E63">
        <w:rPr>
          <w:rFonts w:ascii="Times New Roman" w:eastAsia="Times New Roman" w:hAnsi="Times New Roman" w:cs="Times New Roman"/>
          <w:kern w:val="0"/>
          <w:highlight w:val="yellow"/>
          <w:lang w:val="fr-FR"/>
          <w14:ligatures w14:val="none"/>
        </w:rPr>
        <w:t>Scippo</w:t>
      </w:r>
      <w:proofErr w:type="spellEnd"/>
      <w:r w:rsidRPr="00A26E63">
        <w:rPr>
          <w:rFonts w:ascii="Times New Roman" w:eastAsia="Times New Roman" w:hAnsi="Times New Roman" w:cs="Times New Roman"/>
          <w:kern w:val="0"/>
          <w:highlight w:val="yellow"/>
          <w:lang w:val="fr-FR"/>
          <w14:ligatures w14:val="none"/>
        </w:rPr>
        <w:t xml:space="preserve">, M. L., ... &amp; </w:t>
      </w:r>
      <w:proofErr w:type="spellStart"/>
      <w:r w:rsidRPr="00A26E63">
        <w:rPr>
          <w:rFonts w:ascii="Times New Roman" w:eastAsia="Times New Roman" w:hAnsi="Times New Roman" w:cs="Times New Roman"/>
          <w:kern w:val="0"/>
          <w:highlight w:val="yellow"/>
          <w:lang w:val="fr-FR"/>
          <w14:ligatures w14:val="none"/>
        </w:rPr>
        <w:t>Anihouvi</w:t>
      </w:r>
      <w:proofErr w:type="spellEnd"/>
      <w:r w:rsidRPr="00A26E63">
        <w:rPr>
          <w:rFonts w:ascii="Times New Roman" w:eastAsia="Times New Roman" w:hAnsi="Times New Roman" w:cs="Times New Roman"/>
          <w:kern w:val="0"/>
          <w:highlight w:val="yellow"/>
          <w:lang w:val="fr-FR"/>
          <w14:ligatures w14:val="none"/>
        </w:rPr>
        <w:t xml:space="preserve">, V. B. (2019). </w:t>
      </w:r>
      <w:proofErr w:type="spellStart"/>
      <w:r w:rsidRPr="00A26E63">
        <w:rPr>
          <w:rFonts w:ascii="Times New Roman" w:eastAsia="Times New Roman" w:hAnsi="Times New Roman" w:cs="Times New Roman"/>
          <w:kern w:val="0"/>
          <w:highlight w:val="yellow"/>
          <w:lang w:val="fr-FR"/>
          <w14:ligatures w14:val="none"/>
        </w:rPr>
        <w:t>Processing</w:t>
      </w:r>
      <w:proofErr w:type="spellEnd"/>
      <w:r w:rsidRPr="00A26E63">
        <w:rPr>
          <w:rFonts w:ascii="Times New Roman" w:eastAsia="Times New Roman" w:hAnsi="Times New Roman" w:cs="Times New Roman"/>
          <w:kern w:val="0"/>
          <w:highlight w:val="yellow"/>
          <w:lang w:val="fr-FR"/>
          <w14:ligatures w14:val="none"/>
        </w:rPr>
        <w:t xml:space="preserve"> </w:t>
      </w:r>
      <w:proofErr w:type="spellStart"/>
      <w:r w:rsidRPr="00A26E63">
        <w:rPr>
          <w:rFonts w:ascii="Times New Roman" w:eastAsia="Times New Roman" w:hAnsi="Times New Roman" w:cs="Times New Roman"/>
          <w:kern w:val="0"/>
          <w:highlight w:val="yellow"/>
          <w:lang w:val="fr-FR"/>
          <w14:ligatures w14:val="none"/>
        </w:rPr>
        <w:t>methods</w:t>
      </w:r>
      <w:proofErr w:type="spellEnd"/>
      <w:r w:rsidRPr="00A26E63">
        <w:rPr>
          <w:rFonts w:ascii="Times New Roman" w:eastAsia="Times New Roman" w:hAnsi="Times New Roman" w:cs="Times New Roman"/>
          <w:kern w:val="0"/>
          <w:highlight w:val="yellow"/>
          <w:lang w:val="fr-FR"/>
          <w14:ligatures w14:val="none"/>
        </w:rPr>
        <w:t xml:space="preserve">, </w:t>
      </w:r>
      <w:proofErr w:type="spellStart"/>
      <w:r w:rsidRPr="00A26E63">
        <w:rPr>
          <w:rFonts w:ascii="Times New Roman" w:eastAsia="Times New Roman" w:hAnsi="Times New Roman" w:cs="Times New Roman"/>
          <w:kern w:val="0"/>
          <w:highlight w:val="yellow"/>
          <w:lang w:val="fr-FR"/>
          <w14:ligatures w14:val="none"/>
        </w:rPr>
        <w:t>preservation</w:t>
      </w:r>
      <w:proofErr w:type="spellEnd"/>
      <w:r w:rsidRPr="00A26E63">
        <w:rPr>
          <w:rFonts w:ascii="Times New Roman" w:eastAsia="Times New Roman" w:hAnsi="Times New Roman" w:cs="Times New Roman"/>
          <w:kern w:val="0"/>
          <w:highlight w:val="yellow"/>
          <w:lang w:val="fr-FR"/>
          <w14:ligatures w14:val="none"/>
        </w:rPr>
        <w:t xml:space="preserve"> practices and </w:t>
      </w:r>
      <w:proofErr w:type="spellStart"/>
      <w:r w:rsidRPr="00A26E63">
        <w:rPr>
          <w:rFonts w:ascii="Times New Roman" w:eastAsia="Times New Roman" w:hAnsi="Times New Roman" w:cs="Times New Roman"/>
          <w:kern w:val="0"/>
          <w:highlight w:val="yellow"/>
          <w:lang w:val="fr-FR"/>
          <w14:ligatures w14:val="none"/>
        </w:rPr>
        <w:t>quality</w:t>
      </w:r>
      <w:proofErr w:type="spellEnd"/>
      <w:r w:rsidRPr="00A26E63">
        <w:rPr>
          <w:rFonts w:ascii="Times New Roman" w:eastAsia="Times New Roman" w:hAnsi="Times New Roman" w:cs="Times New Roman"/>
          <w:kern w:val="0"/>
          <w:highlight w:val="yellow"/>
          <w:lang w:val="fr-FR"/>
          <w14:ligatures w14:val="none"/>
        </w:rPr>
        <w:t xml:space="preserve"> </w:t>
      </w:r>
      <w:proofErr w:type="spellStart"/>
      <w:r w:rsidRPr="00A26E63">
        <w:rPr>
          <w:rFonts w:ascii="Times New Roman" w:eastAsia="Times New Roman" w:hAnsi="Times New Roman" w:cs="Times New Roman"/>
          <w:kern w:val="0"/>
          <w:highlight w:val="yellow"/>
          <w:lang w:val="fr-FR"/>
          <w14:ligatures w14:val="none"/>
        </w:rPr>
        <w:t>attributes</w:t>
      </w:r>
      <w:proofErr w:type="spellEnd"/>
      <w:r w:rsidRPr="00A26E63">
        <w:rPr>
          <w:rFonts w:ascii="Times New Roman" w:eastAsia="Times New Roman" w:hAnsi="Times New Roman" w:cs="Times New Roman"/>
          <w:kern w:val="0"/>
          <w:highlight w:val="yellow"/>
          <w:lang w:val="fr-FR"/>
          <w14:ligatures w14:val="none"/>
        </w:rPr>
        <w:t xml:space="preserve"> of </w:t>
      </w:r>
      <w:proofErr w:type="spellStart"/>
      <w:r w:rsidRPr="00A26E63">
        <w:rPr>
          <w:rFonts w:ascii="Times New Roman" w:eastAsia="Times New Roman" w:hAnsi="Times New Roman" w:cs="Times New Roman"/>
          <w:kern w:val="0"/>
          <w:highlight w:val="yellow"/>
          <w:lang w:val="fr-FR"/>
          <w14:ligatures w14:val="none"/>
        </w:rPr>
        <w:t>smoked</w:t>
      </w:r>
      <w:proofErr w:type="spellEnd"/>
      <w:r w:rsidRPr="00A26E63">
        <w:rPr>
          <w:rFonts w:ascii="Times New Roman" w:eastAsia="Times New Roman" w:hAnsi="Times New Roman" w:cs="Times New Roman"/>
          <w:kern w:val="0"/>
          <w:highlight w:val="yellow"/>
          <w:lang w:val="fr-FR"/>
          <w14:ligatures w14:val="none"/>
        </w:rPr>
        <w:t xml:space="preserve"> and </w:t>
      </w:r>
      <w:proofErr w:type="spellStart"/>
      <w:r w:rsidRPr="00A26E63">
        <w:rPr>
          <w:rFonts w:ascii="Times New Roman" w:eastAsia="Times New Roman" w:hAnsi="Times New Roman" w:cs="Times New Roman"/>
          <w:kern w:val="0"/>
          <w:highlight w:val="yellow"/>
          <w:lang w:val="fr-FR"/>
          <w14:ligatures w14:val="none"/>
        </w:rPr>
        <w:t>smoked-dried</w:t>
      </w:r>
      <w:proofErr w:type="spellEnd"/>
      <w:r w:rsidRPr="00A26E63">
        <w:rPr>
          <w:rFonts w:ascii="Times New Roman" w:eastAsia="Times New Roman" w:hAnsi="Times New Roman" w:cs="Times New Roman"/>
          <w:kern w:val="0"/>
          <w:highlight w:val="yellow"/>
          <w:lang w:val="fr-FR"/>
          <w14:ligatures w14:val="none"/>
        </w:rPr>
        <w:t xml:space="preserve"> </w:t>
      </w:r>
      <w:proofErr w:type="spellStart"/>
      <w:r w:rsidRPr="00A26E63">
        <w:rPr>
          <w:rFonts w:ascii="Times New Roman" w:eastAsia="Times New Roman" w:hAnsi="Times New Roman" w:cs="Times New Roman"/>
          <w:kern w:val="0"/>
          <w:highlight w:val="yellow"/>
          <w:lang w:val="fr-FR"/>
          <w14:ligatures w14:val="none"/>
        </w:rPr>
        <w:t>fishes</w:t>
      </w:r>
      <w:proofErr w:type="spellEnd"/>
      <w:r w:rsidRPr="00A26E63">
        <w:rPr>
          <w:rFonts w:ascii="Times New Roman" w:eastAsia="Times New Roman" w:hAnsi="Times New Roman" w:cs="Times New Roman"/>
          <w:kern w:val="0"/>
          <w:highlight w:val="yellow"/>
          <w:lang w:val="fr-FR"/>
          <w14:ligatures w14:val="none"/>
        </w:rPr>
        <w:t xml:space="preserve"> </w:t>
      </w:r>
      <w:proofErr w:type="spellStart"/>
      <w:r w:rsidRPr="00A26E63">
        <w:rPr>
          <w:rFonts w:ascii="Times New Roman" w:eastAsia="Times New Roman" w:hAnsi="Times New Roman" w:cs="Times New Roman"/>
          <w:kern w:val="0"/>
          <w:highlight w:val="yellow"/>
          <w:lang w:val="fr-FR"/>
          <w14:ligatures w14:val="none"/>
        </w:rPr>
        <w:t>consumed</w:t>
      </w:r>
      <w:proofErr w:type="spellEnd"/>
      <w:r w:rsidRPr="00A26E63">
        <w:rPr>
          <w:rFonts w:ascii="Times New Roman" w:eastAsia="Times New Roman" w:hAnsi="Times New Roman" w:cs="Times New Roman"/>
          <w:kern w:val="0"/>
          <w:highlight w:val="yellow"/>
          <w:lang w:val="fr-FR"/>
          <w14:ligatures w14:val="none"/>
        </w:rPr>
        <w:t xml:space="preserve"> in Benin. </w:t>
      </w:r>
      <w:proofErr w:type="spellStart"/>
      <w:r w:rsidRPr="00A26E63">
        <w:rPr>
          <w:rFonts w:ascii="Times New Roman" w:eastAsia="Times New Roman" w:hAnsi="Times New Roman" w:cs="Times New Roman"/>
          <w:kern w:val="0"/>
          <w:highlight w:val="yellow"/>
          <w:lang w:val="fr-FR"/>
          <w14:ligatures w14:val="none"/>
        </w:rPr>
        <w:t>Cogent</w:t>
      </w:r>
      <w:proofErr w:type="spellEnd"/>
      <w:r w:rsidRPr="00A26E63">
        <w:rPr>
          <w:rFonts w:ascii="Times New Roman" w:eastAsia="Times New Roman" w:hAnsi="Times New Roman" w:cs="Times New Roman"/>
          <w:kern w:val="0"/>
          <w:highlight w:val="yellow"/>
          <w:lang w:val="fr-FR"/>
          <w14:ligatures w14:val="none"/>
        </w:rPr>
        <w:t xml:space="preserve"> Food &amp; Agriculture, 5(1), 1641255.</w:t>
      </w:r>
    </w:p>
    <w:p w14:paraId="2F801703" w14:textId="77777777" w:rsidR="00E345A3" w:rsidRPr="00E345A3" w:rsidRDefault="00E345A3"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E345A3">
        <w:rPr>
          <w:rFonts w:ascii="Times New Roman" w:eastAsia="Times New Roman" w:hAnsi="Times New Roman" w:cs="Times New Roman"/>
          <w:kern w:val="0"/>
          <w:highlight w:val="yellow"/>
          <w14:ligatures w14:val="none"/>
        </w:rPr>
        <w:t>Daniel, T. O., Stanton, C. M., &amp; Epstein, L. H. (2013). The future is now: reducing impulsivity and energy intake using episodic future thinking. Psychological science, 24(11), 2339-2342.</w:t>
      </w:r>
    </w:p>
    <w:p w14:paraId="7298B6A3" w14:textId="77777777" w:rsidR="00E345A3" w:rsidRPr="00E345A3" w:rsidRDefault="00E345A3"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E345A3">
        <w:rPr>
          <w:rFonts w:ascii="Times New Roman" w:eastAsia="Times New Roman" w:hAnsi="Times New Roman" w:cs="Times New Roman"/>
          <w:kern w:val="0"/>
          <w:highlight w:val="yellow"/>
          <w14:ligatures w14:val="none"/>
        </w:rPr>
        <w:t>Darwish, A. A. A., Rashad, M., &amp; AL-</w:t>
      </w:r>
      <w:proofErr w:type="spellStart"/>
      <w:r w:rsidRPr="00E345A3">
        <w:rPr>
          <w:rFonts w:ascii="Times New Roman" w:eastAsia="Times New Roman" w:hAnsi="Times New Roman" w:cs="Times New Roman"/>
          <w:kern w:val="0"/>
          <w:highlight w:val="yellow"/>
          <w14:ligatures w14:val="none"/>
        </w:rPr>
        <w:t>Aoh</w:t>
      </w:r>
      <w:proofErr w:type="spellEnd"/>
      <w:r w:rsidRPr="00E345A3">
        <w:rPr>
          <w:rFonts w:ascii="Times New Roman" w:eastAsia="Times New Roman" w:hAnsi="Times New Roman" w:cs="Times New Roman"/>
          <w:kern w:val="0"/>
          <w:highlight w:val="yellow"/>
          <w14:ligatures w14:val="none"/>
        </w:rPr>
        <w:t>, H. A. (2019). Methyl orange adsorption comparison on nanoparticles: Isotherm, kinetics, and thermodynamic studies. Dyes and Pigments, 160, 563-571.</w:t>
      </w:r>
    </w:p>
    <w:p w14:paraId="4A78C98B" w14:textId="1EBA77F5" w:rsidR="00EE51DE" w:rsidRPr="006E244D" w:rsidRDefault="00EE51D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6E244D">
        <w:rPr>
          <w:rFonts w:ascii="Times New Roman" w:eastAsia="Times New Roman" w:hAnsi="Times New Roman" w:cs="Times New Roman"/>
          <w:kern w:val="0"/>
          <w:highlight w:val="yellow"/>
          <w14:ligatures w14:val="none"/>
        </w:rPr>
        <w:t xml:space="preserve">Domingo, J. L., &amp; Nadal, M. (2015). Human dietary exposure to polycyclic aromatic hydrocarbons: a review of the scientific literature. </w:t>
      </w:r>
      <w:r w:rsidRPr="006E244D">
        <w:rPr>
          <w:rFonts w:ascii="Times New Roman" w:eastAsia="Times New Roman" w:hAnsi="Times New Roman" w:cs="Times New Roman"/>
          <w:i/>
          <w:iCs/>
          <w:kern w:val="0"/>
          <w:highlight w:val="yellow"/>
          <w14:ligatures w14:val="none"/>
        </w:rPr>
        <w:t>Food and Chemical Toxicology</w:t>
      </w:r>
      <w:r w:rsidRPr="006E244D">
        <w:rPr>
          <w:rFonts w:ascii="Times New Roman" w:eastAsia="Times New Roman" w:hAnsi="Times New Roman" w:cs="Times New Roman"/>
          <w:kern w:val="0"/>
          <w:highlight w:val="yellow"/>
          <w14:ligatures w14:val="none"/>
        </w:rPr>
        <w:t xml:space="preserve">, </w:t>
      </w:r>
      <w:r w:rsidRPr="006E244D">
        <w:rPr>
          <w:rFonts w:ascii="Times New Roman" w:eastAsia="Times New Roman" w:hAnsi="Times New Roman" w:cs="Times New Roman"/>
          <w:i/>
          <w:iCs/>
          <w:kern w:val="0"/>
          <w:highlight w:val="yellow"/>
          <w14:ligatures w14:val="none"/>
        </w:rPr>
        <w:t>86</w:t>
      </w:r>
      <w:r w:rsidRPr="006E244D">
        <w:rPr>
          <w:rFonts w:ascii="Times New Roman" w:eastAsia="Times New Roman" w:hAnsi="Times New Roman" w:cs="Times New Roman"/>
          <w:kern w:val="0"/>
          <w:highlight w:val="yellow"/>
          <w14:ligatures w14:val="none"/>
        </w:rPr>
        <w:t xml:space="preserve">, 144–153. </w:t>
      </w:r>
      <w:hyperlink r:id="rId10" w:tgtFrame="_new" w:history="1">
        <w:r w:rsidRPr="006E244D">
          <w:rPr>
            <w:rFonts w:ascii="Times New Roman" w:eastAsia="Times New Roman" w:hAnsi="Times New Roman" w:cs="Times New Roman"/>
            <w:color w:val="0000FF"/>
            <w:kern w:val="0"/>
            <w:highlight w:val="yellow"/>
            <w:u w:val="single"/>
            <w14:ligatures w14:val="none"/>
          </w:rPr>
          <w:t>https://doi.org/10.1016/j.fct.2015.10.002</w:t>
        </w:r>
      </w:hyperlink>
    </w:p>
    <w:p w14:paraId="41EAD848" w14:textId="77777777" w:rsidR="00176A8E" w:rsidRPr="00176A8E" w:rsidRDefault="00176A8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176A8E">
        <w:rPr>
          <w:rFonts w:ascii="Times New Roman" w:eastAsia="Times New Roman" w:hAnsi="Times New Roman" w:cs="Times New Roman"/>
          <w:kern w:val="0"/>
          <w:highlight w:val="yellow"/>
          <w14:ligatures w14:val="none"/>
        </w:rPr>
        <w:t>Douny</w:t>
      </w:r>
      <w:proofErr w:type="spellEnd"/>
      <w:r w:rsidRPr="00176A8E">
        <w:rPr>
          <w:rFonts w:ascii="Times New Roman" w:eastAsia="Times New Roman" w:hAnsi="Times New Roman" w:cs="Times New Roman"/>
          <w:kern w:val="0"/>
          <w:highlight w:val="yellow"/>
          <w14:ligatures w14:val="none"/>
        </w:rPr>
        <w:t xml:space="preserve">, C., </w:t>
      </w:r>
      <w:proofErr w:type="spellStart"/>
      <w:r w:rsidRPr="00176A8E">
        <w:rPr>
          <w:rFonts w:ascii="Times New Roman" w:eastAsia="Times New Roman" w:hAnsi="Times New Roman" w:cs="Times New Roman"/>
          <w:kern w:val="0"/>
          <w:highlight w:val="yellow"/>
          <w14:ligatures w14:val="none"/>
        </w:rPr>
        <w:t>Mith</w:t>
      </w:r>
      <w:proofErr w:type="spellEnd"/>
      <w:r w:rsidRPr="00176A8E">
        <w:rPr>
          <w:rFonts w:ascii="Times New Roman" w:eastAsia="Times New Roman" w:hAnsi="Times New Roman" w:cs="Times New Roman"/>
          <w:kern w:val="0"/>
          <w:highlight w:val="yellow"/>
          <w14:ligatures w14:val="none"/>
        </w:rPr>
        <w:t xml:space="preserve">, H., </w:t>
      </w:r>
      <w:proofErr w:type="spellStart"/>
      <w:r w:rsidRPr="00176A8E">
        <w:rPr>
          <w:rFonts w:ascii="Times New Roman" w:eastAsia="Times New Roman" w:hAnsi="Times New Roman" w:cs="Times New Roman"/>
          <w:kern w:val="0"/>
          <w:highlight w:val="yellow"/>
          <w14:ligatures w14:val="none"/>
        </w:rPr>
        <w:t>Igout</w:t>
      </w:r>
      <w:proofErr w:type="spellEnd"/>
      <w:r w:rsidRPr="00176A8E">
        <w:rPr>
          <w:rFonts w:ascii="Times New Roman" w:eastAsia="Times New Roman" w:hAnsi="Times New Roman" w:cs="Times New Roman"/>
          <w:kern w:val="0"/>
          <w:highlight w:val="yellow"/>
          <w14:ligatures w14:val="none"/>
        </w:rPr>
        <w:t xml:space="preserve">, A., &amp; </w:t>
      </w:r>
      <w:proofErr w:type="spellStart"/>
      <w:r w:rsidRPr="00176A8E">
        <w:rPr>
          <w:rFonts w:ascii="Times New Roman" w:eastAsia="Times New Roman" w:hAnsi="Times New Roman" w:cs="Times New Roman"/>
          <w:kern w:val="0"/>
          <w:highlight w:val="yellow"/>
          <w14:ligatures w14:val="none"/>
        </w:rPr>
        <w:t>Scippo</w:t>
      </w:r>
      <w:proofErr w:type="spellEnd"/>
      <w:r w:rsidRPr="00176A8E">
        <w:rPr>
          <w:rFonts w:ascii="Times New Roman" w:eastAsia="Times New Roman" w:hAnsi="Times New Roman" w:cs="Times New Roman"/>
          <w:kern w:val="0"/>
          <w:highlight w:val="yellow"/>
          <w14:ligatures w14:val="none"/>
        </w:rPr>
        <w:t xml:space="preserve">, M. L. (2021). Fatty acid intake, biogenic amines and polycyclic aromatic hydrocarbons exposure through the consumption of nine species of smoked freshwater fish from Cambodia. Food Control, 130, 108219. </w:t>
      </w:r>
    </w:p>
    <w:p w14:paraId="11060BB2" w14:textId="306586A3" w:rsidR="00EE51DE" w:rsidRPr="006E244D" w:rsidRDefault="00EE51D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6E244D">
        <w:rPr>
          <w:rFonts w:ascii="Times New Roman" w:eastAsia="Times New Roman" w:hAnsi="Times New Roman" w:cs="Times New Roman"/>
          <w:kern w:val="0"/>
          <w:highlight w:val="yellow"/>
          <w14:ligatures w14:val="none"/>
        </w:rPr>
        <w:t xml:space="preserve">Drabik-Markiewicz, G., </w:t>
      </w:r>
      <w:proofErr w:type="spellStart"/>
      <w:r w:rsidRPr="006E244D">
        <w:rPr>
          <w:rFonts w:ascii="Times New Roman" w:eastAsia="Times New Roman" w:hAnsi="Times New Roman" w:cs="Times New Roman"/>
          <w:kern w:val="0"/>
          <w:highlight w:val="yellow"/>
          <w14:ligatures w14:val="none"/>
        </w:rPr>
        <w:t>Dejaegher</w:t>
      </w:r>
      <w:proofErr w:type="spellEnd"/>
      <w:r w:rsidRPr="006E244D">
        <w:rPr>
          <w:rFonts w:ascii="Times New Roman" w:eastAsia="Times New Roman" w:hAnsi="Times New Roman" w:cs="Times New Roman"/>
          <w:kern w:val="0"/>
          <w:highlight w:val="yellow"/>
          <w14:ligatures w14:val="none"/>
        </w:rPr>
        <w:t xml:space="preserve">, B., De Mey, E., Kowalska, T., </w:t>
      </w:r>
      <w:proofErr w:type="spellStart"/>
      <w:r w:rsidRPr="006E244D">
        <w:rPr>
          <w:rFonts w:ascii="Times New Roman" w:eastAsia="Times New Roman" w:hAnsi="Times New Roman" w:cs="Times New Roman"/>
          <w:kern w:val="0"/>
          <w:highlight w:val="yellow"/>
          <w14:ligatures w14:val="none"/>
        </w:rPr>
        <w:t>Paelinck</w:t>
      </w:r>
      <w:proofErr w:type="spellEnd"/>
      <w:r w:rsidRPr="006E244D">
        <w:rPr>
          <w:rFonts w:ascii="Times New Roman" w:eastAsia="Times New Roman" w:hAnsi="Times New Roman" w:cs="Times New Roman"/>
          <w:kern w:val="0"/>
          <w:highlight w:val="yellow"/>
          <w14:ligatures w14:val="none"/>
        </w:rPr>
        <w:t xml:space="preserve">, H., &amp; Vander Heyden, Y. (2009). Influence of putrescine, cadaverine, spermidine or spermine on the formation of N-nitrosamines in heated cured pork meat. </w:t>
      </w:r>
      <w:r w:rsidRPr="006E244D">
        <w:rPr>
          <w:rFonts w:ascii="Times New Roman" w:eastAsia="Times New Roman" w:hAnsi="Times New Roman" w:cs="Times New Roman"/>
          <w:i/>
          <w:iCs/>
          <w:kern w:val="0"/>
          <w:highlight w:val="yellow"/>
          <w14:ligatures w14:val="none"/>
        </w:rPr>
        <w:t>Food Chemistry</w:t>
      </w:r>
      <w:r w:rsidRPr="006E244D">
        <w:rPr>
          <w:rFonts w:ascii="Times New Roman" w:eastAsia="Times New Roman" w:hAnsi="Times New Roman" w:cs="Times New Roman"/>
          <w:kern w:val="0"/>
          <w:highlight w:val="yellow"/>
          <w14:ligatures w14:val="none"/>
        </w:rPr>
        <w:t xml:space="preserve">, </w:t>
      </w:r>
      <w:r w:rsidRPr="006E244D">
        <w:rPr>
          <w:rFonts w:ascii="Times New Roman" w:eastAsia="Times New Roman" w:hAnsi="Times New Roman" w:cs="Times New Roman"/>
          <w:i/>
          <w:iCs/>
          <w:kern w:val="0"/>
          <w:highlight w:val="yellow"/>
          <w14:ligatures w14:val="none"/>
        </w:rPr>
        <w:t>116</w:t>
      </w:r>
      <w:r w:rsidRPr="006E244D">
        <w:rPr>
          <w:rFonts w:ascii="Times New Roman" w:eastAsia="Times New Roman" w:hAnsi="Times New Roman" w:cs="Times New Roman"/>
          <w:kern w:val="0"/>
          <w:highlight w:val="yellow"/>
          <w14:ligatures w14:val="none"/>
        </w:rPr>
        <w:t>(2), 419–425. https://doi.org/10.1016/j.foodchem.2009.02.060</w:t>
      </w:r>
    </w:p>
    <w:p w14:paraId="64F40666" w14:textId="77777777" w:rsidR="0047013B" w:rsidRPr="00B2197C" w:rsidRDefault="0047013B"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B2197C">
        <w:rPr>
          <w:rFonts w:ascii="Times New Roman" w:eastAsia="Times New Roman" w:hAnsi="Times New Roman" w:cs="Times New Roman"/>
          <w:kern w:val="0"/>
          <w:highlight w:val="yellow"/>
          <w14:ligatures w14:val="none"/>
        </w:rPr>
        <w:t>Duedahl</w:t>
      </w:r>
      <w:proofErr w:type="spellEnd"/>
      <w:r w:rsidRPr="00B2197C">
        <w:rPr>
          <w:rFonts w:ascii="Times New Roman" w:eastAsia="Times New Roman" w:hAnsi="Times New Roman" w:cs="Times New Roman"/>
          <w:kern w:val="0"/>
          <w:highlight w:val="yellow"/>
          <w14:ligatures w14:val="none"/>
        </w:rPr>
        <w:t xml:space="preserve">-Olesen, L., </w:t>
      </w:r>
      <w:proofErr w:type="spellStart"/>
      <w:r w:rsidRPr="00B2197C">
        <w:rPr>
          <w:rFonts w:ascii="Times New Roman" w:eastAsia="Times New Roman" w:hAnsi="Times New Roman" w:cs="Times New Roman"/>
          <w:kern w:val="0"/>
          <w:highlight w:val="yellow"/>
          <w14:ligatures w14:val="none"/>
        </w:rPr>
        <w:t>Aaslyng</w:t>
      </w:r>
      <w:proofErr w:type="spellEnd"/>
      <w:r w:rsidRPr="00B2197C">
        <w:rPr>
          <w:rFonts w:ascii="Times New Roman" w:eastAsia="Times New Roman" w:hAnsi="Times New Roman" w:cs="Times New Roman"/>
          <w:kern w:val="0"/>
          <w:highlight w:val="yellow"/>
          <w14:ligatures w14:val="none"/>
        </w:rPr>
        <w:t xml:space="preserve">, M., </w:t>
      </w:r>
      <w:proofErr w:type="spellStart"/>
      <w:r w:rsidRPr="00B2197C">
        <w:rPr>
          <w:rFonts w:ascii="Times New Roman" w:eastAsia="Times New Roman" w:hAnsi="Times New Roman" w:cs="Times New Roman"/>
          <w:kern w:val="0"/>
          <w:highlight w:val="yellow"/>
          <w14:ligatures w14:val="none"/>
        </w:rPr>
        <w:t>Meinert</w:t>
      </w:r>
      <w:proofErr w:type="spellEnd"/>
      <w:r w:rsidRPr="00B2197C">
        <w:rPr>
          <w:rFonts w:ascii="Times New Roman" w:eastAsia="Times New Roman" w:hAnsi="Times New Roman" w:cs="Times New Roman"/>
          <w:kern w:val="0"/>
          <w:highlight w:val="yellow"/>
          <w14:ligatures w14:val="none"/>
        </w:rPr>
        <w:t xml:space="preserve">, L., Christensen, T., Jensen, A. H., &amp; </w:t>
      </w:r>
      <w:proofErr w:type="spellStart"/>
      <w:r w:rsidRPr="00B2197C">
        <w:rPr>
          <w:rFonts w:ascii="Times New Roman" w:eastAsia="Times New Roman" w:hAnsi="Times New Roman" w:cs="Times New Roman"/>
          <w:kern w:val="0"/>
          <w:highlight w:val="yellow"/>
          <w14:ligatures w14:val="none"/>
        </w:rPr>
        <w:t>Binderup</w:t>
      </w:r>
      <w:proofErr w:type="spellEnd"/>
      <w:r w:rsidRPr="00B2197C">
        <w:rPr>
          <w:rFonts w:ascii="Times New Roman" w:eastAsia="Times New Roman" w:hAnsi="Times New Roman" w:cs="Times New Roman"/>
          <w:kern w:val="0"/>
          <w:highlight w:val="yellow"/>
          <w14:ligatures w14:val="none"/>
        </w:rPr>
        <w:t>, M. L. (2015). Polycyclic aromatic hydrocarbons (PAH) in Danish barbecued meat. Food Control, 57, 169-176.</w:t>
      </w:r>
    </w:p>
    <w:p w14:paraId="5A07B38B" w14:textId="1F7EF7C5" w:rsidR="00EE51DE" w:rsidRPr="006E244D" w:rsidRDefault="00EE51D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6E244D">
        <w:rPr>
          <w:rFonts w:ascii="Times New Roman" w:eastAsia="Times New Roman" w:hAnsi="Times New Roman" w:cs="Times New Roman"/>
          <w:kern w:val="0"/>
          <w:highlight w:val="yellow"/>
          <w14:ligatures w14:val="none"/>
        </w:rPr>
        <w:t xml:space="preserve">EFSA (European Food Safety Authority). (2008). Polycyclic aromatic hydrocarbons in food: scientific opinion of the panel on contaminants in the food chain. </w:t>
      </w:r>
      <w:r w:rsidRPr="006E244D">
        <w:rPr>
          <w:rFonts w:ascii="Times New Roman" w:eastAsia="Times New Roman" w:hAnsi="Times New Roman" w:cs="Times New Roman"/>
          <w:i/>
          <w:iCs/>
          <w:kern w:val="0"/>
          <w:highlight w:val="yellow"/>
          <w14:ligatures w14:val="none"/>
        </w:rPr>
        <w:t>EFSA Journal</w:t>
      </w:r>
      <w:r w:rsidRPr="006E244D">
        <w:rPr>
          <w:rFonts w:ascii="Times New Roman" w:eastAsia="Times New Roman" w:hAnsi="Times New Roman" w:cs="Times New Roman"/>
          <w:kern w:val="0"/>
          <w:highlight w:val="yellow"/>
          <w14:ligatures w14:val="none"/>
        </w:rPr>
        <w:t xml:space="preserve">, </w:t>
      </w:r>
      <w:r w:rsidRPr="006E244D">
        <w:rPr>
          <w:rFonts w:ascii="Times New Roman" w:eastAsia="Times New Roman" w:hAnsi="Times New Roman" w:cs="Times New Roman"/>
          <w:i/>
          <w:iCs/>
          <w:kern w:val="0"/>
          <w:highlight w:val="yellow"/>
          <w14:ligatures w14:val="none"/>
        </w:rPr>
        <w:t>724</w:t>
      </w:r>
      <w:r w:rsidRPr="006E244D">
        <w:rPr>
          <w:rFonts w:ascii="Times New Roman" w:eastAsia="Times New Roman" w:hAnsi="Times New Roman" w:cs="Times New Roman"/>
          <w:kern w:val="0"/>
          <w:highlight w:val="yellow"/>
          <w14:ligatures w14:val="none"/>
        </w:rPr>
        <w:t xml:space="preserve">, 1–114. </w:t>
      </w:r>
      <w:hyperlink r:id="rId11" w:tgtFrame="_new" w:history="1">
        <w:r w:rsidRPr="006E244D">
          <w:rPr>
            <w:rFonts w:ascii="Times New Roman" w:eastAsia="Times New Roman" w:hAnsi="Times New Roman" w:cs="Times New Roman"/>
            <w:color w:val="0000FF"/>
            <w:kern w:val="0"/>
            <w:highlight w:val="yellow"/>
            <w:u w:val="single"/>
            <w14:ligatures w14:val="none"/>
          </w:rPr>
          <w:t>https://doi.org/10.2903/j.efsa.2008.724</w:t>
        </w:r>
      </w:hyperlink>
    </w:p>
    <w:p w14:paraId="747FAEE3" w14:textId="77777777" w:rsidR="00EE51DE" w:rsidRPr="006E244D" w:rsidRDefault="00EE51DE"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6E244D">
        <w:rPr>
          <w:rFonts w:ascii="Times New Roman" w:eastAsia="Times New Roman" w:hAnsi="Times New Roman" w:cs="Times New Roman"/>
          <w:kern w:val="0"/>
          <w:highlight w:val="yellow"/>
          <w14:ligatures w14:val="none"/>
        </w:rPr>
        <w:t xml:space="preserve">EFSA (European Food Safety Authority). (2011). Scientific opinion on </w:t>
      </w:r>
      <w:proofErr w:type="gramStart"/>
      <w:r w:rsidRPr="006E244D">
        <w:rPr>
          <w:rFonts w:ascii="Times New Roman" w:eastAsia="Times New Roman" w:hAnsi="Times New Roman" w:cs="Times New Roman"/>
          <w:kern w:val="0"/>
          <w:highlight w:val="yellow"/>
          <w14:ligatures w14:val="none"/>
        </w:rPr>
        <w:t>risk based</w:t>
      </w:r>
      <w:proofErr w:type="gramEnd"/>
      <w:r w:rsidRPr="006E244D">
        <w:rPr>
          <w:rFonts w:ascii="Times New Roman" w:eastAsia="Times New Roman" w:hAnsi="Times New Roman" w:cs="Times New Roman"/>
          <w:kern w:val="0"/>
          <w:highlight w:val="yellow"/>
          <w14:ligatures w14:val="none"/>
        </w:rPr>
        <w:t xml:space="preserve"> control of biogenic amine formation in fermented foods. </w:t>
      </w:r>
      <w:r w:rsidRPr="006E244D">
        <w:rPr>
          <w:rFonts w:ascii="Times New Roman" w:eastAsia="Times New Roman" w:hAnsi="Times New Roman" w:cs="Times New Roman"/>
          <w:i/>
          <w:iCs/>
          <w:kern w:val="0"/>
          <w:highlight w:val="yellow"/>
          <w14:ligatures w14:val="none"/>
        </w:rPr>
        <w:t>EFSA Journal</w:t>
      </w:r>
      <w:r w:rsidRPr="006E244D">
        <w:rPr>
          <w:rFonts w:ascii="Times New Roman" w:eastAsia="Times New Roman" w:hAnsi="Times New Roman" w:cs="Times New Roman"/>
          <w:kern w:val="0"/>
          <w:highlight w:val="yellow"/>
          <w14:ligatures w14:val="none"/>
        </w:rPr>
        <w:t xml:space="preserve">, </w:t>
      </w:r>
      <w:r w:rsidRPr="006E244D">
        <w:rPr>
          <w:rFonts w:ascii="Times New Roman" w:eastAsia="Times New Roman" w:hAnsi="Times New Roman" w:cs="Times New Roman"/>
          <w:i/>
          <w:iCs/>
          <w:kern w:val="0"/>
          <w:highlight w:val="yellow"/>
          <w14:ligatures w14:val="none"/>
        </w:rPr>
        <w:t>9</w:t>
      </w:r>
      <w:r w:rsidRPr="006E244D">
        <w:rPr>
          <w:rFonts w:ascii="Times New Roman" w:eastAsia="Times New Roman" w:hAnsi="Times New Roman" w:cs="Times New Roman"/>
          <w:kern w:val="0"/>
          <w:highlight w:val="yellow"/>
          <w14:ligatures w14:val="none"/>
        </w:rPr>
        <w:t xml:space="preserve">(10), 2393. </w:t>
      </w:r>
      <w:hyperlink r:id="rId12" w:tgtFrame="_new" w:history="1">
        <w:r w:rsidRPr="006E244D">
          <w:rPr>
            <w:rFonts w:ascii="Times New Roman" w:eastAsia="Times New Roman" w:hAnsi="Times New Roman" w:cs="Times New Roman"/>
            <w:color w:val="0000FF"/>
            <w:kern w:val="0"/>
            <w:highlight w:val="yellow"/>
            <w:u w:val="single"/>
            <w14:ligatures w14:val="none"/>
          </w:rPr>
          <w:t>https://doi.org/10.2903/j.efsa.2011.2393</w:t>
        </w:r>
      </w:hyperlink>
    </w:p>
    <w:p w14:paraId="5775F858" w14:textId="77777777" w:rsidR="00E176E8" w:rsidRPr="00E176E8" w:rsidRDefault="00E176E8"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E176E8">
        <w:rPr>
          <w:rFonts w:ascii="Times New Roman" w:eastAsia="Times New Roman" w:hAnsi="Times New Roman" w:cs="Times New Roman"/>
          <w:kern w:val="0"/>
          <w:highlight w:val="yellow"/>
          <w14:ligatures w14:val="none"/>
        </w:rPr>
        <w:lastRenderedPageBreak/>
        <w:t>Eldaly</w:t>
      </w:r>
      <w:proofErr w:type="spellEnd"/>
      <w:r w:rsidRPr="00E176E8">
        <w:rPr>
          <w:rFonts w:ascii="Times New Roman" w:eastAsia="Times New Roman" w:hAnsi="Times New Roman" w:cs="Times New Roman"/>
          <w:kern w:val="0"/>
          <w:highlight w:val="yellow"/>
          <w14:ligatures w14:val="none"/>
        </w:rPr>
        <w:t xml:space="preserve">, E., Hafez, A. E., Darwish, W., Abd El-Hamid, R., &amp; </w:t>
      </w:r>
      <w:proofErr w:type="spellStart"/>
      <w:r w:rsidRPr="00E176E8">
        <w:rPr>
          <w:rFonts w:ascii="Times New Roman" w:eastAsia="Times New Roman" w:hAnsi="Times New Roman" w:cs="Times New Roman"/>
          <w:kern w:val="0"/>
          <w:highlight w:val="yellow"/>
          <w14:ligatures w14:val="none"/>
        </w:rPr>
        <w:t>Elmalt</w:t>
      </w:r>
      <w:proofErr w:type="spellEnd"/>
      <w:r w:rsidRPr="00E176E8">
        <w:rPr>
          <w:rFonts w:ascii="Times New Roman" w:eastAsia="Times New Roman" w:hAnsi="Times New Roman" w:cs="Times New Roman"/>
          <w:kern w:val="0"/>
          <w:highlight w:val="yellow"/>
          <w14:ligatures w14:val="none"/>
        </w:rPr>
        <w:t xml:space="preserve">, D. (2016). Effect of heat treatments on Polycyclic Aromatic Hydrocarbons formation in meat. </w:t>
      </w:r>
      <w:proofErr w:type="spellStart"/>
      <w:r w:rsidRPr="00E176E8">
        <w:rPr>
          <w:rFonts w:ascii="Times New Roman" w:eastAsia="Times New Roman" w:hAnsi="Times New Roman" w:cs="Times New Roman"/>
          <w:kern w:val="0"/>
          <w:highlight w:val="yellow"/>
          <w14:ligatures w14:val="none"/>
        </w:rPr>
        <w:t>Zagazig</w:t>
      </w:r>
      <w:proofErr w:type="spellEnd"/>
      <w:r w:rsidRPr="00E176E8">
        <w:rPr>
          <w:rFonts w:ascii="Times New Roman" w:eastAsia="Times New Roman" w:hAnsi="Times New Roman" w:cs="Times New Roman"/>
          <w:kern w:val="0"/>
          <w:highlight w:val="yellow"/>
          <w14:ligatures w14:val="none"/>
        </w:rPr>
        <w:t xml:space="preserve"> Veterinary Journal, 44(3), 263-272.</w:t>
      </w:r>
    </w:p>
    <w:p w14:paraId="00215E03" w14:textId="77777777" w:rsidR="00E176E8" w:rsidRPr="00E176E8" w:rsidRDefault="00E176E8"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E176E8">
        <w:rPr>
          <w:rFonts w:ascii="Times New Roman" w:eastAsia="Times New Roman" w:hAnsi="Times New Roman" w:cs="Times New Roman"/>
          <w:kern w:val="0"/>
          <w:highlight w:val="yellow"/>
          <w14:ligatures w14:val="none"/>
        </w:rPr>
        <w:t>Emborg</w:t>
      </w:r>
      <w:proofErr w:type="spellEnd"/>
      <w:r w:rsidRPr="00E176E8">
        <w:rPr>
          <w:rFonts w:ascii="Times New Roman" w:eastAsia="Times New Roman" w:hAnsi="Times New Roman" w:cs="Times New Roman"/>
          <w:kern w:val="0"/>
          <w:highlight w:val="yellow"/>
          <w14:ligatures w14:val="none"/>
        </w:rPr>
        <w:t xml:space="preserve">, J., </w:t>
      </w:r>
      <w:proofErr w:type="spellStart"/>
      <w:r w:rsidRPr="00E176E8">
        <w:rPr>
          <w:rFonts w:ascii="Times New Roman" w:eastAsia="Times New Roman" w:hAnsi="Times New Roman" w:cs="Times New Roman"/>
          <w:kern w:val="0"/>
          <w:highlight w:val="yellow"/>
          <w14:ligatures w14:val="none"/>
        </w:rPr>
        <w:t>Dalgaard</w:t>
      </w:r>
      <w:proofErr w:type="spellEnd"/>
      <w:r w:rsidRPr="00E176E8">
        <w:rPr>
          <w:rFonts w:ascii="Times New Roman" w:eastAsia="Times New Roman" w:hAnsi="Times New Roman" w:cs="Times New Roman"/>
          <w:kern w:val="0"/>
          <w:highlight w:val="yellow"/>
          <w14:ligatures w14:val="none"/>
        </w:rPr>
        <w:t xml:space="preserve">, P., &amp; Ahrens, P. (2006). </w:t>
      </w:r>
      <w:proofErr w:type="spellStart"/>
      <w:r w:rsidRPr="00E176E8">
        <w:rPr>
          <w:rFonts w:ascii="Times New Roman" w:eastAsia="Times New Roman" w:hAnsi="Times New Roman" w:cs="Times New Roman"/>
          <w:kern w:val="0"/>
          <w:highlight w:val="yellow"/>
          <w14:ligatures w14:val="none"/>
        </w:rPr>
        <w:t>Morganella</w:t>
      </w:r>
      <w:proofErr w:type="spellEnd"/>
      <w:r w:rsidRPr="00E176E8">
        <w:rPr>
          <w:rFonts w:ascii="Times New Roman" w:eastAsia="Times New Roman" w:hAnsi="Times New Roman" w:cs="Times New Roman"/>
          <w:kern w:val="0"/>
          <w:highlight w:val="yellow"/>
          <w14:ligatures w14:val="none"/>
        </w:rPr>
        <w:t xml:space="preserve"> </w:t>
      </w:r>
      <w:proofErr w:type="spellStart"/>
      <w:r w:rsidRPr="00E176E8">
        <w:rPr>
          <w:rFonts w:ascii="Times New Roman" w:eastAsia="Times New Roman" w:hAnsi="Times New Roman" w:cs="Times New Roman"/>
          <w:kern w:val="0"/>
          <w:highlight w:val="yellow"/>
          <w14:ligatures w14:val="none"/>
        </w:rPr>
        <w:t>psychrotolerans</w:t>
      </w:r>
      <w:proofErr w:type="spellEnd"/>
      <w:r w:rsidRPr="00E176E8">
        <w:rPr>
          <w:rFonts w:ascii="Times New Roman" w:eastAsia="Times New Roman" w:hAnsi="Times New Roman" w:cs="Times New Roman"/>
          <w:kern w:val="0"/>
          <w:highlight w:val="yellow"/>
          <w14:ligatures w14:val="none"/>
        </w:rPr>
        <w:t xml:space="preserve"> sp. </w:t>
      </w:r>
      <w:proofErr w:type="spellStart"/>
      <w:r w:rsidRPr="00E176E8">
        <w:rPr>
          <w:rFonts w:ascii="Times New Roman" w:eastAsia="Times New Roman" w:hAnsi="Times New Roman" w:cs="Times New Roman"/>
          <w:kern w:val="0"/>
          <w:highlight w:val="yellow"/>
          <w14:ligatures w14:val="none"/>
        </w:rPr>
        <w:t>nov.</w:t>
      </w:r>
      <w:proofErr w:type="spellEnd"/>
      <w:r w:rsidRPr="00E176E8">
        <w:rPr>
          <w:rFonts w:ascii="Times New Roman" w:eastAsia="Times New Roman" w:hAnsi="Times New Roman" w:cs="Times New Roman"/>
          <w:kern w:val="0"/>
          <w:highlight w:val="yellow"/>
          <w14:ligatures w14:val="none"/>
        </w:rPr>
        <w:t>, a histamine-producing bacterium isolated from various seafoods. International Journal of Systematic and Evolutionary Microbiology, 56(10), 2473-2479.</w:t>
      </w:r>
    </w:p>
    <w:p w14:paraId="48DFD623" w14:textId="77777777" w:rsidR="00E176E8" w:rsidRPr="00E176E8" w:rsidRDefault="00E176E8"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E176E8">
        <w:rPr>
          <w:rFonts w:ascii="Times New Roman" w:eastAsia="Times New Roman" w:hAnsi="Times New Roman" w:cs="Times New Roman"/>
          <w:kern w:val="0"/>
          <w:highlight w:val="yellow"/>
          <w14:ligatures w14:val="none"/>
        </w:rPr>
        <w:t xml:space="preserve">Forsberg, K. J., Reyes, A., Wang, B., Selleck, E. M., Sommer, M. O., &amp; </w:t>
      </w:r>
      <w:proofErr w:type="spellStart"/>
      <w:r w:rsidRPr="00E176E8">
        <w:rPr>
          <w:rFonts w:ascii="Times New Roman" w:eastAsia="Times New Roman" w:hAnsi="Times New Roman" w:cs="Times New Roman"/>
          <w:kern w:val="0"/>
          <w:highlight w:val="yellow"/>
          <w14:ligatures w14:val="none"/>
        </w:rPr>
        <w:t>Dantas</w:t>
      </w:r>
      <w:proofErr w:type="spellEnd"/>
      <w:r w:rsidRPr="00E176E8">
        <w:rPr>
          <w:rFonts w:ascii="Times New Roman" w:eastAsia="Times New Roman" w:hAnsi="Times New Roman" w:cs="Times New Roman"/>
          <w:kern w:val="0"/>
          <w:highlight w:val="yellow"/>
          <w14:ligatures w14:val="none"/>
        </w:rPr>
        <w:t xml:space="preserve">, G. (2012). The shared antibiotic </w:t>
      </w:r>
      <w:proofErr w:type="spellStart"/>
      <w:r w:rsidRPr="00E176E8">
        <w:rPr>
          <w:rFonts w:ascii="Times New Roman" w:eastAsia="Times New Roman" w:hAnsi="Times New Roman" w:cs="Times New Roman"/>
          <w:kern w:val="0"/>
          <w:highlight w:val="yellow"/>
          <w14:ligatures w14:val="none"/>
        </w:rPr>
        <w:t>resistome</w:t>
      </w:r>
      <w:proofErr w:type="spellEnd"/>
      <w:r w:rsidRPr="00E176E8">
        <w:rPr>
          <w:rFonts w:ascii="Times New Roman" w:eastAsia="Times New Roman" w:hAnsi="Times New Roman" w:cs="Times New Roman"/>
          <w:kern w:val="0"/>
          <w:highlight w:val="yellow"/>
          <w14:ligatures w14:val="none"/>
        </w:rPr>
        <w:t xml:space="preserve"> of soil bacteria and human pathogens. science, 337(6098), 1107-1111.</w:t>
      </w:r>
    </w:p>
    <w:p w14:paraId="112148DB" w14:textId="77777777" w:rsidR="001E2CFF" w:rsidRPr="001E2CFF" w:rsidRDefault="001E2CFF"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1E2CFF">
        <w:rPr>
          <w:rFonts w:ascii="Times New Roman" w:eastAsia="Times New Roman" w:hAnsi="Times New Roman" w:cs="Times New Roman"/>
          <w:kern w:val="0"/>
          <w:highlight w:val="yellow"/>
          <w14:ligatures w14:val="none"/>
        </w:rPr>
        <w:t>Gibis</w:t>
      </w:r>
      <w:proofErr w:type="spellEnd"/>
      <w:r w:rsidRPr="001E2CFF">
        <w:rPr>
          <w:rFonts w:ascii="Times New Roman" w:eastAsia="Times New Roman" w:hAnsi="Times New Roman" w:cs="Times New Roman"/>
          <w:kern w:val="0"/>
          <w:highlight w:val="yellow"/>
          <w14:ligatures w14:val="none"/>
        </w:rPr>
        <w:t>, M. (2016). Heterocyclic aromatic amines in cooked meat products: Causes, formation, occurrence, and risk assessment. Comprehensive Reviews in Food Science and Food Safety, 15(2), 269-302.</w:t>
      </w:r>
    </w:p>
    <w:p w14:paraId="1A695400" w14:textId="77777777" w:rsidR="007E68DB" w:rsidRPr="00AD1716" w:rsidRDefault="007E68DB"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AD1716">
        <w:rPr>
          <w:rFonts w:ascii="Times New Roman" w:eastAsia="Times New Roman" w:hAnsi="Times New Roman" w:cs="Times New Roman"/>
          <w:kern w:val="0"/>
          <w:highlight w:val="yellow"/>
          <w:lang w:val="fr-FR"/>
          <w14:ligatures w14:val="none"/>
        </w:rPr>
        <w:t>Goulas</w:t>
      </w:r>
      <w:proofErr w:type="spellEnd"/>
      <w:r w:rsidRPr="00AD1716">
        <w:rPr>
          <w:rFonts w:ascii="Times New Roman" w:eastAsia="Times New Roman" w:hAnsi="Times New Roman" w:cs="Times New Roman"/>
          <w:kern w:val="0"/>
          <w:highlight w:val="yellow"/>
          <w:lang w:val="fr-FR"/>
          <w14:ligatures w14:val="none"/>
        </w:rPr>
        <w:t xml:space="preserve">, A. E., &amp; </w:t>
      </w:r>
      <w:proofErr w:type="spellStart"/>
      <w:r w:rsidRPr="00AD1716">
        <w:rPr>
          <w:rFonts w:ascii="Times New Roman" w:eastAsia="Times New Roman" w:hAnsi="Times New Roman" w:cs="Times New Roman"/>
          <w:kern w:val="0"/>
          <w:highlight w:val="yellow"/>
          <w:lang w:val="fr-FR"/>
          <w14:ligatures w14:val="none"/>
        </w:rPr>
        <w:t>Kontominas</w:t>
      </w:r>
      <w:proofErr w:type="spellEnd"/>
      <w:r w:rsidRPr="00AD1716">
        <w:rPr>
          <w:rFonts w:ascii="Times New Roman" w:eastAsia="Times New Roman" w:hAnsi="Times New Roman" w:cs="Times New Roman"/>
          <w:kern w:val="0"/>
          <w:highlight w:val="yellow"/>
          <w:lang w:val="fr-FR"/>
          <w14:ligatures w14:val="none"/>
        </w:rPr>
        <w:t xml:space="preserve">, M. G. (2005). </w:t>
      </w:r>
      <w:proofErr w:type="spellStart"/>
      <w:r w:rsidRPr="00AD1716">
        <w:rPr>
          <w:rFonts w:ascii="Times New Roman" w:eastAsia="Times New Roman" w:hAnsi="Times New Roman" w:cs="Times New Roman"/>
          <w:kern w:val="0"/>
          <w:highlight w:val="yellow"/>
          <w:lang w:val="fr-FR"/>
          <w14:ligatures w14:val="none"/>
        </w:rPr>
        <w:t>Effect</w:t>
      </w:r>
      <w:proofErr w:type="spellEnd"/>
      <w:r w:rsidRPr="00AD1716">
        <w:rPr>
          <w:rFonts w:ascii="Times New Roman" w:eastAsia="Times New Roman" w:hAnsi="Times New Roman" w:cs="Times New Roman"/>
          <w:kern w:val="0"/>
          <w:highlight w:val="yellow"/>
          <w:lang w:val="fr-FR"/>
          <w14:ligatures w14:val="none"/>
        </w:rPr>
        <w:t xml:space="preserve"> of </w:t>
      </w:r>
      <w:proofErr w:type="spellStart"/>
      <w:r w:rsidRPr="00AD1716">
        <w:rPr>
          <w:rFonts w:ascii="Times New Roman" w:eastAsia="Times New Roman" w:hAnsi="Times New Roman" w:cs="Times New Roman"/>
          <w:kern w:val="0"/>
          <w:highlight w:val="yellow"/>
          <w:lang w:val="fr-FR"/>
          <w14:ligatures w14:val="none"/>
        </w:rPr>
        <w:t>salting</w:t>
      </w:r>
      <w:proofErr w:type="spellEnd"/>
      <w:r w:rsidRPr="00AD1716">
        <w:rPr>
          <w:rFonts w:ascii="Times New Roman" w:eastAsia="Times New Roman" w:hAnsi="Times New Roman" w:cs="Times New Roman"/>
          <w:kern w:val="0"/>
          <w:highlight w:val="yellow"/>
          <w:lang w:val="fr-FR"/>
          <w14:ligatures w14:val="none"/>
        </w:rPr>
        <w:t xml:space="preserve"> and smoking-</w:t>
      </w:r>
      <w:proofErr w:type="spellStart"/>
      <w:r w:rsidRPr="00AD1716">
        <w:rPr>
          <w:rFonts w:ascii="Times New Roman" w:eastAsia="Times New Roman" w:hAnsi="Times New Roman" w:cs="Times New Roman"/>
          <w:kern w:val="0"/>
          <w:highlight w:val="yellow"/>
          <w:lang w:val="fr-FR"/>
          <w14:ligatures w14:val="none"/>
        </w:rPr>
        <w:t>method</w:t>
      </w:r>
      <w:proofErr w:type="spellEnd"/>
      <w:r w:rsidRPr="00AD1716">
        <w:rPr>
          <w:rFonts w:ascii="Times New Roman" w:eastAsia="Times New Roman" w:hAnsi="Times New Roman" w:cs="Times New Roman"/>
          <w:kern w:val="0"/>
          <w:highlight w:val="yellow"/>
          <w:lang w:val="fr-FR"/>
          <w14:ligatures w14:val="none"/>
        </w:rPr>
        <w:t xml:space="preserve"> on the </w:t>
      </w:r>
      <w:proofErr w:type="spellStart"/>
      <w:r w:rsidRPr="00AD1716">
        <w:rPr>
          <w:rFonts w:ascii="Times New Roman" w:eastAsia="Times New Roman" w:hAnsi="Times New Roman" w:cs="Times New Roman"/>
          <w:kern w:val="0"/>
          <w:highlight w:val="yellow"/>
          <w:lang w:val="fr-FR"/>
          <w14:ligatures w14:val="none"/>
        </w:rPr>
        <w:t>keeping</w:t>
      </w:r>
      <w:proofErr w:type="spellEnd"/>
      <w:r w:rsidRPr="00AD1716">
        <w:rPr>
          <w:rFonts w:ascii="Times New Roman" w:eastAsia="Times New Roman" w:hAnsi="Times New Roman" w:cs="Times New Roman"/>
          <w:kern w:val="0"/>
          <w:highlight w:val="yellow"/>
          <w:lang w:val="fr-FR"/>
          <w14:ligatures w14:val="none"/>
        </w:rPr>
        <w:t xml:space="preserve"> </w:t>
      </w:r>
      <w:proofErr w:type="spellStart"/>
      <w:r w:rsidRPr="00AD1716">
        <w:rPr>
          <w:rFonts w:ascii="Times New Roman" w:eastAsia="Times New Roman" w:hAnsi="Times New Roman" w:cs="Times New Roman"/>
          <w:kern w:val="0"/>
          <w:highlight w:val="yellow"/>
          <w:lang w:val="fr-FR"/>
          <w14:ligatures w14:val="none"/>
        </w:rPr>
        <w:t>quality</w:t>
      </w:r>
      <w:proofErr w:type="spellEnd"/>
      <w:r w:rsidRPr="00AD1716">
        <w:rPr>
          <w:rFonts w:ascii="Times New Roman" w:eastAsia="Times New Roman" w:hAnsi="Times New Roman" w:cs="Times New Roman"/>
          <w:kern w:val="0"/>
          <w:highlight w:val="yellow"/>
          <w:lang w:val="fr-FR"/>
          <w14:ligatures w14:val="none"/>
        </w:rPr>
        <w:t xml:space="preserve"> of </w:t>
      </w:r>
      <w:proofErr w:type="spellStart"/>
      <w:r w:rsidRPr="00AD1716">
        <w:rPr>
          <w:rFonts w:ascii="Times New Roman" w:eastAsia="Times New Roman" w:hAnsi="Times New Roman" w:cs="Times New Roman"/>
          <w:kern w:val="0"/>
          <w:highlight w:val="yellow"/>
          <w:lang w:val="fr-FR"/>
          <w14:ligatures w14:val="none"/>
        </w:rPr>
        <w:t>chub</w:t>
      </w:r>
      <w:proofErr w:type="spellEnd"/>
      <w:r w:rsidRPr="00AD1716">
        <w:rPr>
          <w:rFonts w:ascii="Times New Roman" w:eastAsia="Times New Roman" w:hAnsi="Times New Roman" w:cs="Times New Roman"/>
          <w:kern w:val="0"/>
          <w:highlight w:val="yellow"/>
          <w:lang w:val="fr-FR"/>
          <w14:ligatures w14:val="none"/>
        </w:rPr>
        <w:t xml:space="preserve"> </w:t>
      </w:r>
      <w:proofErr w:type="spellStart"/>
      <w:r w:rsidRPr="00AD1716">
        <w:rPr>
          <w:rFonts w:ascii="Times New Roman" w:eastAsia="Times New Roman" w:hAnsi="Times New Roman" w:cs="Times New Roman"/>
          <w:kern w:val="0"/>
          <w:highlight w:val="yellow"/>
          <w:lang w:val="fr-FR"/>
          <w14:ligatures w14:val="none"/>
        </w:rPr>
        <w:t>mackerel</w:t>
      </w:r>
      <w:proofErr w:type="spellEnd"/>
      <w:r w:rsidRPr="00AD1716">
        <w:rPr>
          <w:rFonts w:ascii="Times New Roman" w:eastAsia="Times New Roman" w:hAnsi="Times New Roman" w:cs="Times New Roman"/>
          <w:kern w:val="0"/>
          <w:highlight w:val="yellow"/>
          <w:lang w:val="fr-FR"/>
          <w14:ligatures w14:val="none"/>
        </w:rPr>
        <w:t xml:space="preserve"> (</w:t>
      </w:r>
      <w:proofErr w:type="spellStart"/>
      <w:r w:rsidRPr="00AD1716">
        <w:rPr>
          <w:rFonts w:ascii="Times New Roman" w:eastAsia="Times New Roman" w:hAnsi="Times New Roman" w:cs="Times New Roman"/>
          <w:kern w:val="0"/>
          <w:highlight w:val="yellow"/>
          <w:lang w:val="fr-FR"/>
          <w14:ligatures w14:val="none"/>
        </w:rPr>
        <w:t>Scomber</w:t>
      </w:r>
      <w:proofErr w:type="spellEnd"/>
      <w:r w:rsidRPr="00AD1716">
        <w:rPr>
          <w:rFonts w:ascii="Times New Roman" w:eastAsia="Times New Roman" w:hAnsi="Times New Roman" w:cs="Times New Roman"/>
          <w:kern w:val="0"/>
          <w:highlight w:val="yellow"/>
          <w:lang w:val="fr-FR"/>
          <w14:ligatures w14:val="none"/>
        </w:rPr>
        <w:t xml:space="preserve"> </w:t>
      </w:r>
      <w:proofErr w:type="spellStart"/>
      <w:r w:rsidRPr="00AD1716">
        <w:rPr>
          <w:rFonts w:ascii="Times New Roman" w:eastAsia="Times New Roman" w:hAnsi="Times New Roman" w:cs="Times New Roman"/>
          <w:kern w:val="0"/>
          <w:highlight w:val="yellow"/>
          <w:lang w:val="fr-FR"/>
          <w14:ligatures w14:val="none"/>
        </w:rPr>
        <w:t>japonicus</w:t>
      </w:r>
      <w:proofErr w:type="spellEnd"/>
      <w:proofErr w:type="gramStart"/>
      <w:r w:rsidRPr="00AD1716">
        <w:rPr>
          <w:rFonts w:ascii="Times New Roman" w:eastAsia="Times New Roman" w:hAnsi="Times New Roman" w:cs="Times New Roman"/>
          <w:kern w:val="0"/>
          <w:highlight w:val="yellow"/>
          <w:lang w:val="fr-FR"/>
          <w14:ligatures w14:val="none"/>
        </w:rPr>
        <w:t>):</w:t>
      </w:r>
      <w:proofErr w:type="gramEnd"/>
      <w:r w:rsidRPr="00AD1716">
        <w:rPr>
          <w:rFonts w:ascii="Times New Roman" w:eastAsia="Times New Roman" w:hAnsi="Times New Roman" w:cs="Times New Roman"/>
          <w:kern w:val="0"/>
          <w:highlight w:val="yellow"/>
          <w:lang w:val="fr-FR"/>
          <w14:ligatures w14:val="none"/>
        </w:rPr>
        <w:t xml:space="preserve"> </w:t>
      </w:r>
      <w:proofErr w:type="spellStart"/>
      <w:r w:rsidRPr="00AD1716">
        <w:rPr>
          <w:rFonts w:ascii="Times New Roman" w:eastAsia="Times New Roman" w:hAnsi="Times New Roman" w:cs="Times New Roman"/>
          <w:kern w:val="0"/>
          <w:highlight w:val="yellow"/>
          <w:lang w:val="fr-FR"/>
          <w14:ligatures w14:val="none"/>
        </w:rPr>
        <w:t>biochemical</w:t>
      </w:r>
      <w:proofErr w:type="spellEnd"/>
      <w:r w:rsidRPr="00AD1716">
        <w:rPr>
          <w:rFonts w:ascii="Times New Roman" w:eastAsia="Times New Roman" w:hAnsi="Times New Roman" w:cs="Times New Roman"/>
          <w:kern w:val="0"/>
          <w:highlight w:val="yellow"/>
          <w:lang w:val="fr-FR"/>
          <w14:ligatures w14:val="none"/>
        </w:rPr>
        <w:t xml:space="preserve"> and </w:t>
      </w:r>
      <w:proofErr w:type="spellStart"/>
      <w:r w:rsidRPr="00AD1716">
        <w:rPr>
          <w:rFonts w:ascii="Times New Roman" w:eastAsia="Times New Roman" w:hAnsi="Times New Roman" w:cs="Times New Roman"/>
          <w:kern w:val="0"/>
          <w:highlight w:val="yellow"/>
          <w:lang w:val="fr-FR"/>
          <w14:ligatures w14:val="none"/>
        </w:rPr>
        <w:t>sensory</w:t>
      </w:r>
      <w:proofErr w:type="spellEnd"/>
      <w:r w:rsidRPr="00AD1716">
        <w:rPr>
          <w:rFonts w:ascii="Times New Roman" w:eastAsia="Times New Roman" w:hAnsi="Times New Roman" w:cs="Times New Roman"/>
          <w:kern w:val="0"/>
          <w:highlight w:val="yellow"/>
          <w:lang w:val="fr-FR"/>
          <w14:ligatures w14:val="none"/>
        </w:rPr>
        <w:t xml:space="preserve"> </w:t>
      </w:r>
      <w:proofErr w:type="spellStart"/>
      <w:r w:rsidRPr="00AD1716">
        <w:rPr>
          <w:rFonts w:ascii="Times New Roman" w:eastAsia="Times New Roman" w:hAnsi="Times New Roman" w:cs="Times New Roman"/>
          <w:kern w:val="0"/>
          <w:highlight w:val="yellow"/>
          <w:lang w:val="fr-FR"/>
          <w14:ligatures w14:val="none"/>
        </w:rPr>
        <w:t>attributes</w:t>
      </w:r>
      <w:proofErr w:type="spellEnd"/>
      <w:r w:rsidRPr="00AD1716">
        <w:rPr>
          <w:rFonts w:ascii="Times New Roman" w:eastAsia="Times New Roman" w:hAnsi="Times New Roman" w:cs="Times New Roman"/>
          <w:kern w:val="0"/>
          <w:highlight w:val="yellow"/>
          <w:lang w:val="fr-FR"/>
          <w14:ligatures w14:val="none"/>
        </w:rPr>
        <w:t xml:space="preserve">. Food </w:t>
      </w:r>
      <w:proofErr w:type="spellStart"/>
      <w:r w:rsidRPr="00AD1716">
        <w:rPr>
          <w:rFonts w:ascii="Times New Roman" w:eastAsia="Times New Roman" w:hAnsi="Times New Roman" w:cs="Times New Roman"/>
          <w:kern w:val="0"/>
          <w:highlight w:val="yellow"/>
          <w:lang w:val="fr-FR"/>
          <w14:ligatures w14:val="none"/>
        </w:rPr>
        <w:t>chemistry</w:t>
      </w:r>
      <w:proofErr w:type="spellEnd"/>
      <w:r w:rsidRPr="00AD1716">
        <w:rPr>
          <w:rFonts w:ascii="Times New Roman" w:eastAsia="Times New Roman" w:hAnsi="Times New Roman" w:cs="Times New Roman"/>
          <w:kern w:val="0"/>
          <w:highlight w:val="yellow"/>
          <w:lang w:val="fr-FR"/>
          <w14:ligatures w14:val="none"/>
        </w:rPr>
        <w:t>, 93(3), 511-520.</w:t>
      </w:r>
    </w:p>
    <w:p w14:paraId="0F243DA8" w14:textId="77777777" w:rsidR="00AD1716" w:rsidRPr="00AD1716" w:rsidRDefault="00AD1716"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AD1716">
        <w:rPr>
          <w:rFonts w:ascii="Times New Roman" w:eastAsia="Times New Roman" w:hAnsi="Times New Roman" w:cs="Times New Roman"/>
          <w:kern w:val="0"/>
          <w:highlight w:val="yellow"/>
          <w14:ligatures w14:val="none"/>
        </w:rPr>
        <w:t xml:space="preserve">Gunter, M. E., </w:t>
      </w:r>
      <w:proofErr w:type="spellStart"/>
      <w:r w:rsidRPr="00AD1716">
        <w:rPr>
          <w:rFonts w:ascii="Times New Roman" w:eastAsia="Times New Roman" w:hAnsi="Times New Roman" w:cs="Times New Roman"/>
          <w:kern w:val="0"/>
          <w:highlight w:val="yellow"/>
          <w14:ligatures w14:val="none"/>
        </w:rPr>
        <w:t>Belluso</w:t>
      </w:r>
      <w:proofErr w:type="spellEnd"/>
      <w:r w:rsidRPr="00AD1716">
        <w:rPr>
          <w:rFonts w:ascii="Times New Roman" w:eastAsia="Times New Roman" w:hAnsi="Times New Roman" w:cs="Times New Roman"/>
          <w:kern w:val="0"/>
          <w:highlight w:val="yellow"/>
          <w14:ligatures w14:val="none"/>
        </w:rPr>
        <w:t xml:space="preserve">, E., &amp; </w:t>
      </w:r>
      <w:proofErr w:type="spellStart"/>
      <w:r w:rsidRPr="00AD1716">
        <w:rPr>
          <w:rFonts w:ascii="Times New Roman" w:eastAsia="Times New Roman" w:hAnsi="Times New Roman" w:cs="Times New Roman"/>
          <w:kern w:val="0"/>
          <w:highlight w:val="yellow"/>
          <w14:ligatures w14:val="none"/>
        </w:rPr>
        <w:t>Mottana</w:t>
      </w:r>
      <w:proofErr w:type="spellEnd"/>
      <w:r w:rsidRPr="00AD1716">
        <w:rPr>
          <w:rFonts w:ascii="Times New Roman" w:eastAsia="Times New Roman" w:hAnsi="Times New Roman" w:cs="Times New Roman"/>
          <w:kern w:val="0"/>
          <w:highlight w:val="yellow"/>
          <w14:ligatures w14:val="none"/>
        </w:rPr>
        <w:t>, A. (2007). Amphiboles: Environmental and health concerns. Reviews in mineralogy and geochemistry, 67(1), 453-516.</w:t>
      </w:r>
    </w:p>
    <w:p w14:paraId="1D8C61A9" w14:textId="77777777" w:rsidR="00362762" w:rsidRPr="00362762" w:rsidRDefault="00362762"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362762">
        <w:rPr>
          <w:rFonts w:ascii="Times New Roman" w:eastAsia="Times New Roman" w:hAnsi="Times New Roman" w:cs="Times New Roman"/>
          <w:kern w:val="0"/>
          <w:highlight w:val="yellow"/>
          <w14:ligatures w14:val="none"/>
        </w:rPr>
        <w:t xml:space="preserve">Hassan, W., Noreen, H., Rehman, S., Gul, S., Amjad Kamal, M., Paul </w:t>
      </w:r>
      <w:proofErr w:type="spellStart"/>
      <w:r w:rsidRPr="00362762">
        <w:rPr>
          <w:rFonts w:ascii="Times New Roman" w:eastAsia="Times New Roman" w:hAnsi="Times New Roman" w:cs="Times New Roman"/>
          <w:kern w:val="0"/>
          <w:highlight w:val="yellow"/>
          <w14:ligatures w14:val="none"/>
        </w:rPr>
        <w:t>Kamdem</w:t>
      </w:r>
      <w:proofErr w:type="spellEnd"/>
      <w:r w:rsidRPr="00362762">
        <w:rPr>
          <w:rFonts w:ascii="Times New Roman" w:eastAsia="Times New Roman" w:hAnsi="Times New Roman" w:cs="Times New Roman"/>
          <w:kern w:val="0"/>
          <w:highlight w:val="yellow"/>
          <w14:ligatures w14:val="none"/>
        </w:rPr>
        <w:t>, J., ... &amp; BT da Rocha, J. (2017). Oxidative stress and antioxidant potential of one hundred medicinal plants. Current topics in medicinal chemistry, 17(12), 1336-1370.</w:t>
      </w:r>
    </w:p>
    <w:p w14:paraId="3F26E4B4" w14:textId="77777777" w:rsidR="00362762" w:rsidRPr="00362762" w:rsidRDefault="00362762"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362762">
        <w:rPr>
          <w:rFonts w:ascii="Times New Roman" w:eastAsia="Times New Roman" w:hAnsi="Times New Roman" w:cs="Times New Roman"/>
          <w:kern w:val="0"/>
          <w:highlight w:val="yellow"/>
          <w14:ligatures w14:val="none"/>
        </w:rPr>
        <w:t>Haskaraca</w:t>
      </w:r>
      <w:proofErr w:type="spellEnd"/>
      <w:r w:rsidRPr="00362762">
        <w:rPr>
          <w:rFonts w:ascii="Times New Roman" w:eastAsia="Times New Roman" w:hAnsi="Times New Roman" w:cs="Times New Roman"/>
          <w:kern w:val="0"/>
          <w:highlight w:val="yellow"/>
          <w14:ligatures w14:val="none"/>
        </w:rPr>
        <w:t xml:space="preserve">, G., </w:t>
      </w:r>
      <w:proofErr w:type="spellStart"/>
      <w:r w:rsidRPr="00362762">
        <w:rPr>
          <w:rFonts w:ascii="Times New Roman" w:eastAsia="Times New Roman" w:hAnsi="Times New Roman" w:cs="Times New Roman"/>
          <w:kern w:val="0"/>
          <w:highlight w:val="yellow"/>
          <w14:ligatures w14:val="none"/>
        </w:rPr>
        <w:t>Demirok</w:t>
      </w:r>
      <w:proofErr w:type="spellEnd"/>
      <w:r w:rsidRPr="00362762">
        <w:rPr>
          <w:rFonts w:ascii="Times New Roman" w:eastAsia="Times New Roman" w:hAnsi="Times New Roman" w:cs="Times New Roman"/>
          <w:kern w:val="0"/>
          <w:highlight w:val="yellow"/>
          <w14:ligatures w14:val="none"/>
        </w:rPr>
        <w:t xml:space="preserve">, E., </w:t>
      </w:r>
      <w:proofErr w:type="spellStart"/>
      <w:r w:rsidRPr="00362762">
        <w:rPr>
          <w:rFonts w:ascii="Times New Roman" w:eastAsia="Times New Roman" w:hAnsi="Times New Roman" w:cs="Times New Roman"/>
          <w:kern w:val="0"/>
          <w:highlight w:val="yellow"/>
          <w14:ligatures w14:val="none"/>
        </w:rPr>
        <w:t>Kolsarıcı</w:t>
      </w:r>
      <w:proofErr w:type="spellEnd"/>
      <w:r w:rsidRPr="00362762">
        <w:rPr>
          <w:rFonts w:ascii="Times New Roman" w:eastAsia="Times New Roman" w:hAnsi="Times New Roman" w:cs="Times New Roman"/>
          <w:kern w:val="0"/>
          <w:highlight w:val="yellow"/>
          <w14:ligatures w14:val="none"/>
        </w:rPr>
        <w:t xml:space="preserve">, N., </w:t>
      </w:r>
      <w:proofErr w:type="spellStart"/>
      <w:r w:rsidRPr="00362762">
        <w:rPr>
          <w:rFonts w:ascii="Times New Roman" w:eastAsia="Times New Roman" w:hAnsi="Times New Roman" w:cs="Times New Roman"/>
          <w:kern w:val="0"/>
          <w:highlight w:val="yellow"/>
          <w14:ligatures w14:val="none"/>
        </w:rPr>
        <w:t>Öz</w:t>
      </w:r>
      <w:proofErr w:type="spellEnd"/>
      <w:r w:rsidRPr="00362762">
        <w:rPr>
          <w:rFonts w:ascii="Times New Roman" w:eastAsia="Times New Roman" w:hAnsi="Times New Roman" w:cs="Times New Roman"/>
          <w:kern w:val="0"/>
          <w:highlight w:val="yellow"/>
          <w14:ligatures w14:val="none"/>
        </w:rPr>
        <w:t xml:space="preserve">, F., &amp; </w:t>
      </w:r>
      <w:proofErr w:type="spellStart"/>
      <w:r w:rsidRPr="00362762">
        <w:rPr>
          <w:rFonts w:ascii="Times New Roman" w:eastAsia="Times New Roman" w:hAnsi="Times New Roman" w:cs="Times New Roman"/>
          <w:kern w:val="0"/>
          <w:highlight w:val="yellow"/>
          <w14:ligatures w14:val="none"/>
        </w:rPr>
        <w:t>Özsaraç</w:t>
      </w:r>
      <w:proofErr w:type="spellEnd"/>
      <w:r w:rsidRPr="00362762">
        <w:rPr>
          <w:rFonts w:ascii="Times New Roman" w:eastAsia="Times New Roman" w:hAnsi="Times New Roman" w:cs="Times New Roman"/>
          <w:kern w:val="0"/>
          <w:highlight w:val="yellow"/>
          <w14:ligatures w14:val="none"/>
        </w:rPr>
        <w:t>, N. (2014). Effect of green tea extract and microwave pre-cooking on the formation of heterocyclic aromatic amines in fried chicken meat products. Food research international, 63, 373-381.</w:t>
      </w:r>
    </w:p>
    <w:p w14:paraId="3ECC025C" w14:textId="77777777" w:rsidR="00362762" w:rsidRPr="00362762" w:rsidRDefault="00362762"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362762">
        <w:rPr>
          <w:rFonts w:ascii="Times New Roman" w:eastAsia="Times New Roman" w:hAnsi="Times New Roman" w:cs="Times New Roman"/>
          <w:kern w:val="0"/>
          <w:highlight w:val="yellow"/>
          <w14:ligatures w14:val="none"/>
        </w:rPr>
        <w:t xml:space="preserve">Herrmann, M., Sullivan, D. R., </w:t>
      </w:r>
      <w:proofErr w:type="spellStart"/>
      <w:r w:rsidRPr="00362762">
        <w:rPr>
          <w:rFonts w:ascii="Times New Roman" w:eastAsia="Times New Roman" w:hAnsi="Times New Roman" w:cs="Times New Roman"/>
          <w:kern w:val="0"/>
          <w:highlight w:val="yellow"/>
          <w14:ligatures w14:val="none"/>
        </w:rPr>
        <w:t>Veillard</w:t>
      </w:r>
      <w:proofErr w:type="spellEnd"/>
      <w:r w:rsidRPr="00362762">
        <w:rPr>
          <w:rFonts w:ascii="Times New Roman" w:eastAsia="Times New Roman" w:hAnsi="Times New Roman" w:cs="Times New Roman"/>
          <w:kern w:val="0"/>
          <w:highlight w:val="yellow"/>
          <w14:ligatures w14:val="none"/>
        </w:rPr>
        <w:t>, A. S., McCorquodale, T., Straub, I. R., Scott, R., ... &amp; Keech, A. C. (2015). Serum 25-hydroxyvitamin D: a predictor of macrovascular and microvascular complications in patients with type 2 diabetes. Diabetes care, 38(3), 521-528.</w:t>
      </w:r>
    </w:p>
    <w:p w14:paraId="31B5BB12" w14:textId="77777777" w:rsidR="00362762" w:rsidRDefault="00362762"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r w:rsidRPr="00362762">
        <w:rPr>
          <w:rFonts w:ascii="Times New Roman" w:eastAsia="Times New Roman" w:hAnsi="Times New Roman" w:cs="Times New Roman"/>
          <w:kern w:val="0"/>
          <w:highlight w:val="yellow"/>
          <w14:ligatures w14:val="none"/>
        </w:rPr>
        <w:t xml:space="preserve">Hough, R. L., </w:t>
      </w:r>
      <w:proofErr w:type="spellStart"/>
      <w:r w:rsidRPr="00362762">
        <w:rPr>
          <w:rFonts w:ascii="Times New Roman" w:eastAsia="Times New Roman" w:hAnsi="Times New Roman" w:cs="Times New Roman"/>
          <w:kern w:val="0"/>
          <w:highlight w:val="yellow"/>
          <w14:ligatures w14:val="none"/>
        </w:rPr>
        <w:t>Breward</w:t>
      </w:r>
      <w:proofErr w:type="spellEnd"/>
      <w:r w:rsidRPr="00362762">
        <w:rPr>
          <w:rFonts w:ascii="Times New Roman" w:eastAsia="Times New Roman" w:hAnsi="Times New Roman" w:cs="Times New Roman"/>
          <w:kern w:val="0"/>
          <w:highlight w:val="yellow"/>
          <w14:ligatures w14:val="none"/>
        </w:rPr>
        <w:t xml:space="preserve">, N., Young, S. D., </w:t>
      </w:r>
      <w:proofErr w:type="spellStart"/>
      <w:r w:rsidRPr="00362762">
        <w:rPr>
          <w:rFonts w:ascii="Times New Roman" w:eastAsia="Times New Roman" w:hAnsi="Times New Roman" w:cs="Times New Roman"/>
          <w:kern w:val="0"/>
          <w:highlight w:val="yellow"/>
          <w14:ligatures w14:val="none"/>
        </w:rPr>
        <w:t>Crout</w:t>
      </w:r>
      <w:proofErr w:type="spellEnd"/>
      <w:r w:rsidRPr="00362762">
        <w:rPr>
          <w:rFonts w:ascii="Times New Roman" w:eastAsia="Times New Roman" w:hAnsi="Times New Roman" w:cs="Times New Roman"/>
          <w:kern w:val="0"/>
          <w:highlight w:val="yellow"/>
          <w14:ligatures w14:val="none"/>
        </w:rPr>
        <w:t xml:space="preserve">, N. M., </w:t>
      </w:r>
      <w:proofErr w:type="spellStart"/>
      <w:r w:rsidRPr="00362762">
        <w:rPr>
          <w:rFonts w:ascii="Times New Roman" w:eastAsia="Times New Roman" w:hAnsi="Times New Roman" w:cs="Times New Roman"/>
          <w:kern w:val="0"/>
          <w:highlight w:val="yellow"/>
          <w14:ligatures w14:val="none"/>
        </w:rPr>
        <w:t>Tye</w:t>
      </w:r>
      <w:proofErr w:type="spellEnd"/>
      <w:r w:rsidRPr="00362762">
        <w:rPr>
          <w:rFonts w:ascii="Times New Roman" w:eastAsia="Times New Roman" w:hAnsi="Times New Roman" w:cs="Times New Roman"/>
          <w:kern w:val="0"/>
          <w:highlight w:val="yellow"/>
          <w14:ligatures w14:val="none"/>
        </w:rPr>
        <w:t>, A. M., Moir, A. M., &amp; Thornton, I. (2004). Assessing potential risk of heavy metal exposure from consumption of home-produced vegetables by urban populations. Environmental health perspectives, 112(2), 215-221.</w:t>
      </w:r>
    </w:p>
    <w:p w14:paraId="0BD31447" w14:textId="2C4D6F5B" w:rsidR="00EE51DE" w:rsidRPr="00362762" w:rsidRDefault="00362762" w:rsidP="00E52A83">
      <w:pPr>
        <w:numPr>
          <w:ilvl w:val="0"/>
          <w:numId w:val="5"/>
        </w:numPr>
        <w:spacing w:before="100" w:beforeAutospacing="1" w:after="100" w:afterAutospacing="1" w:line="240" w:lineRule="auto"/>
        <w:jc w:val="both"/>
        <w:rPr>
          <w:rFonts w:ascii="Times New Roman" w:eastAsia="Times New Roman" w:hAnsi="Times New Roman" w:cs="Times New Roman"/>
          <w:kern w:val="0"/>
          <w:highlight w:val="yellow"/>
          <w14:ligatures w14:val="none"/>
        </w:rPr>
      </w:pPr>
      <w:proofErr w:type="spellStart"/>
      <w:r w:rsidRPr="00362762">
        <w:rPr>
          <w:rFonts w:ascii="Times New Roman" w:eastAsia="Times New Roman" w:hAnsi="Times New Roman" w:cs="Times New Roman"/>
          <w:kern w:val="0"/>
          <w:highlight w:val="yellow"/>
          <w14:ligatures w14:val="none"/>
        </w:rPr>
        <w:t>Ibanga</w:t>
      </w:r>
      <w:proofErr w:type="spellEnd"/>
      <w:r w:rsidRPr="00362762">
        <w:rPr>
          <w:rFonts w:ascii="Times New Roman" w:eastAsia="Times New Roman" w:hAnsi="Times New Roman" w:cs="Times New Roman"/>
          <w:kern w:val="0"/>
          <w:highlight w:val="yellow"/>
          <w14:ligatures w14:val="none"/>
        </w:rPr>
        <w:t xml:space="preserve">, I. E. (2019). Improving performance of biofilters for bioaerosols and </w:t>
      </w:r>
      <w:proofErr w:type="spellStart"/>
      <w:r w:rsidRPr="00362762">
        <w:rPr>
          <w:rFonts w:ascii="Times New Roman" w:eastAsia="Times New Roman" w:hAnsi="Times New Roman" w:cs="Times New Roman"/>
          <w:kern w:val="0"/>
          <w:highlight w:val="yellow"/>
          <w14:ligatures w14:val="none"/>
        </w:rPr>
        <w:t>odour</w:t>
      </w:r>
      <w:proofErr w:type="spellEnd"/>
      <w:r w:rsidRPr="00362762">
        <w:rPr>
          <w:rFonts w:ascii="Times New Roman" w:eastAsia="Times New Roman" w:hAnsi="Times New Roman" w:cs="Times New Roman"/>
          <w:kern w:val="0"/>
          <w:highlight w:val="yellow"/>
          <w14:ligatures w14:val="none"/>
        </w:rPr>
        <w:t xml:space="preserve"> control in waste management facilities (Doctoral dissertation, University of Leeds).</w:t>
      </w:r>
    </w:p>
    <w:p w14:paraId="5ACA3554" w14:textId="77777777" w:rsidR="00C653CA" w:rsidRDefault="00C653CA" w:rsidP="00E52A83">
      <w:pPr>
        <w:jc w:val="both"/>
      </w:pPr>
      <w:bookmarkStart w:id="0" w:name="_GoBack"/>
      <w:bookmarkEnd w:id="0"/>
    </w:p>
    <w:sectPr w:rsidR="00C653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ews Gothic MT">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B067E"/>
    <w:multiLevelType w:val="multilevel"/>
    <w:tmpl w:val="7BE6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E02C16"/>
    <w:multiLevelType w:val="multilevel"/>
    <w:tmpl w:val="1436B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730FB5"/>
    <w:multiLevelType w:val="multilevel"/>
    <w:tmpl w:val="91F87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BB0D37"/>
    <w:multiLevelType w:val="multilevel"/>
    <w:tmpl w:val="6C349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0557E7"/>
    <w:multiLevelType w:val="multilevel"/>
    <w:tmpl w:val="09F8A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KwNDA2tbQwtzA1sTRT0lEKTi0uzszPAykwrAUAVuxIuywAAAA="/>
  </w:docVars>
  <w:rsids>
    <w:rsidRoot w:val="006C5763"/>
    <w:rsid w:val="00176A8E"/>
    <w:rsid w:val="001A6BCA"/>
    <w:rsid w:val="001E2CFF"/>
    <w:rsid w:val="00362762"/>
    <w:rsid w:val="00406B40"/>
    <w:rsid w:val="0047013B"/>
    <w:rsid w:val="0059771D"/>
    <w:rsid w:val="006C5763"/>
    <w:rsid w:val="006E244D"/>
    <w:rsid w:val="007E68DB"/>
    <w:rsid w:val="00937F00"/>
    <w:rsid w:val="00992386"/>
    <w:rsid w:val="00A26E63"/>
    <w:rsid w:val="00AD1716"/>
    <w:rsid w:val="00B2197C"/>
    <w:rsid w:val="00BC0D3B"/>
    <w:rsid w:val="00C653CA"/>
    <w:rsid w:val="00DD026A"/>
    <w:rsid w:val="00E176E8"/>
    <w:rsid w:val="00E26231"/>
    <w:rsid w:val="00E345A3"/>
    <w:rsid w:val="00E52A83"/>
    <w:rsid w:val="00EE5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1913"/>
  <w15:chartTrackingRefBased/>
  <w15:docId w15:val="{8C4A473F-C5B4-4F6A-910C-40D1D40C8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57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57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57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57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57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57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7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7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7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7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57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57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57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57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57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7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7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763"/>
    <w:rPr>
      <w:rFonts w:eastAsiaTheme="majorEastAsia" w:cstheme="majorBidi"/>
      <w:color w:val="272727" w:themeColor="text1" w:themeTint="D8"/>
    </w:rPr>
  </w:style>
  <w:style w:type="paragraph" w:styleId="Title">
    <w:name w:val="Title"/>
    <w:basedOn w:val="Normal"/>
    <w:next w:val="Normal"/>
    <w:link w:val="TitleChar"/>
    <w:uiPriority w:val="10"/>
    <w:qFormat/>
    <w:rsid w:val="006C57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7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7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7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763"/>
    <w:pPr>
      <w:spacing w:before="160"/>
      <w:jc w:val="center"/>
    </w:pPr>
    <w:rPr>
      <w:i/>
      <w:iCs/>
      <w:color w:val="404040" w:themeColor="text1" w:themeTint="BF"/>
    </w:rPr>
  </w:style>
  <w:style w:type="character" w:customStyle="1" w:styleId="QuoteChar">
    <w:name w:val="Quote Char"/>
    <w:basedOn w:val="DefaultParagraphFont"/>
    <w:link w:val="Quote"/>
    <w:uiPriority w:val="29"/>
    <w:rsid w:val="006C5763"/>
    <w:rPr>
      <w:i/>
      <w:iCs/>
      <w:color w:val="404040" w:themeColor="text1" w:themeTint="BF"/>
    </w:rPr>
  </w:style>
  <w:style w:type="paragraph" w:styleId="ListParagraph">
    <w:name w:val="List Paragraph"/>
    <w:basedOn w:val="Normal"/>
    <w:uiPriority w:val="34"/>
    <w:qFormat/>
    <w:rsid w:val="006C5763"/>
    <w:pPr>
      <w:ind w:left="720"/>
      <w:contextualSpacing/>
    </w:pPr>
  </w:style>
  <w:style w:type="character" w:styleId="IntenseEmphasis">
    <w:name w:val="Intense Emphasis"/>
    <w:basedOn w:val="DefaultParagraphFont"/>
    <w:uiPriority w:val="21"/>
    <w:qFormat/>
    <w:rsid w:val="006C5763"/>
    <w:rPr>
      <w:i/>
      <w:iCs/>
      <w:color w:val="2F5496" w:themeColor="accent1" w:themeShade="BF"/>
    </w:rPr>
  </w:style>
  <w:style w:type="paragraph" w:styleId="IntenseQuote">
    <w:name w:val="Intense Quote"/>
    <w:basedOn w:val="Normal"/>
    <w:next w:val="Normal"/>
    <w:link w:val="IntenseQuoteChar"/>
    <w:uiPriority w:val="30"/>
    <w:qFormat/>
    <w:rsid w:val="006C57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5763"/>
    <w:rPr>
      <w:i/>
      <w:iCs/>
      <w:color w:val="2F5496" w:themeColor="accent1" w:themeShade="BF"/>
    </w:rPr>
  </w:style>
  <w:style w:type="character" w:styleId="IntenseReference">
    <w:name w:val="Intense Reference"/>
    <w:basedOn w:val="DefaultParagraphFont"/>
    <w:uiPriority w:val="32"/>
    <w:qFormat/>
    <w:rsid w:val="006C5763"/>
    <w:rPr>
      <w:b/>
      <w:bCs/>
      <w:smallCaps/>
      <w:color w:val="2F5496" w:themeColor="accent1" w:themeShade="BF"/>
      <w:spacing w:val="5"/>
    </w:rPr>
  </w:style>
  <w:style w:type="character" w:styleId="Emphasis">
    <w:name w:val="Emphasis"/>
    <w:basedOn w:val="DefaultParagraphFont"/>
    <w:uiPriority w:val="20"/>
    <w:qFormat/>
    <w:rsid w:val="001A6BC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354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oi.org/10.2903/j.efsa.2011.239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2903/j.efsa.2008.724" TargetMode="External"/><Relationship Id="rId5" Type="http://schemas.openxmlformats.org/officeDocument/2006/relationships/image" Target="media/image1.png"/><Relationship Id="rId10" Type="http://schemas.openxmlformats.org/officeDocument/2006/relationships/hyperlink" Target="https://doi.org/10.1016/j.fct.2015.10.00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15</Pages>
  <Words>4812</Words>
  <Characters>27431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gift wokocha</dc:creator>
  <cp:keywords/>
  <dc:description/>
  <cp:lastModifiedBy>SDI PC New 16</cp:lastModifiedBy>
  <cp:revision>17</cp:revision>
  <dcterms:created xsi:type="dcterms:W3CDTF">2025-05-24T15:12:00Z</dcterms:created>
  <dcterms:modified xsi:type="dcterms:W3CDTF">2025-05-28T07:28:00Z</dcterms:modified>
</cp:coreProperties>
</file>