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E738E" w14:textId="0FCDF080" w:rsidR="00C653CA" w:rsidRPr="00611716" w:rsidRDefault="0057275B">
      <w:pPr>
        <w:rPr>
          <w:rFonts w:ascii="Arial" w:hAnsi="Arial" w:cs="Arial"/>
          <w:b/>
          <w:bCs/>
          <w:sz w:val="36"/>
          <w:szCs w:val="36"/>
        </w:rPr>
      </w:pPr>
      <w:r w:rsidRPr="00611716">
        <w:rPr>
          <w:rFonts w:ascii="Arial" w:hAnsi="Arial" w:cs="Arial"/>
          <w:b/>
          <w:bCs/>
          <w:sz w:val="36"/>
          <w:szCs w:val="36"/>
        </w:rPr>
        <w:t xml:space="preserve">Dose-Dependent Toxicological Effects of Smoked Fish Extract </w:t>
      </w:r>
      <w:r w:rsidR="00051904" w:rsidRPr="00051904">
        <w:rPr>
          <w:rFonts w:ascii="Arial" w:hAnsi="Arial" w:cs="Arial"/>
          <w:b/>
          <w:bCs/>
          <w:sz w:val="36"/>
          <w:szCs w:val="36"/>
        </w:rPr>
        <w:t xml:space="preserve">on </w:t>
      </w:r>
      <w:r w:rsidR="00051904">
        <w:rPr>
          <w:rFonts w:ascii="Arial" w:hAnsi="Arial" w:cs="Arial"/>
          <w:b/>
          <w:bCs/>
          <w:sz w:val="36"/>
          <w:szCs w:val="36"/>
        </w:rPr>
        <w:t>L</w:t>
      </w:r>
      <w:r w:rsidR="00051904" w:rsidRPr="00051904">
        <w:rPr>
          <w:rFonts w:ascii="Arial" w:hAnsi="Arial" w:cs="Arial"/>
          <w:b/>
          <w:bCs/>
          <w:sz w:val="36"/>
          <w:szCs w:val="36"/>
        </w:rPr>
        <w:t xml:space="preserve">iver and </w:t>
      </w:r>
      <w:r w:rsidR="00051904">
        <w:rPr>
          <w:rFonts w:ascii="Arial" w:hAnsi="Arial" w:cs="Arial"/>
          <w:b/>
          <w:bCs/>
          <w:sz w:val="36"/>
          <w:szCs w:val="36"/>
        </w:rPr>
        <w:t>K</w:t>
      </w:r>
      <w:r w:rsidR="00051904" w:rsidRPr="00051904">
        <w:rPr>
          <w:rFonts w:ascii="Arial" w:hAnsi="Arial" w:cs="Arial"/>
          <w:b/>
          <w:bCs/>
          <w:sz w:val="36"/>
          <w:szCs w:val="36"/>
        </w:rPr>
        <w:t xml:space="preserve">idney </w:t>
      </w:r>
      <w:r w:rsidR="00051904">
        <w:rPr>
          <w:rFonts w:ascii="Arial" w:hAnsi="Arial" w:cs="Arial"/>
          <w:b/>
          <w:bCs/>
          <w:sz w:val="36"/>
          <w:szCs w:val="36"/>
        </w:rPr>
        <w:t>F</w:t>
      </w:r>
      <w:r w:rsidR="00051904" w:rsidRPr="00051904">
        <w:rPr>
          <w:rFonts w:ascii="Arial" w:hAnsi="Arial" w:cs="Arial"/>
          <w:b/>
          <w:bCs/>
          <w:sz w:val="36"/>
          <w:szCs w:val="36"/>
        </w:rPr>
        <w:t xml:space="preserve">unction </w:t>
      </w:r>
      <w:r w:rsidRPr="00611716">
        <w:rPr>
          <w:rFonts w:ascii="Arial" w:hAnsi="Arial" w:cs="Arial"/>
          <w:b/>
          <w:bCs/>
          <w:sz w:val="36"/>
          <w:szCs w:val="36"/>
        </w:rPr>
        <w:t>in Albino Rats: Implications for Human Health</w:t>
      </w:r>
    </w:p>
    <w:p w14:paraId="6A4375DC" w14:textId="77777777" w:rsidR="00C51EDE" w:rsidRDefault="00C51EDE"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82D9907" w14:textId="4B9DFD7A" w:rsidR="0057275B" w:rsidRPr="0057275B" w:rsidRDefault="008D04AE" w:rsidP="0057275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57275B">
        <w:rPr>
          <w:rFonts w:ascii="Times New Roman" w:eastAsia="Times New Roman" w:hAnsi="Times New Roman" w:cs="Times New Roman"/>
          <w:b/>
          <w:bCs/>
          <w:kern w:val="0"/>
          <w:sz w:val="27"/>
          <w:szCs w:val="27"/>
          <w14:ligatures w14:val="none"/>
        </w:rPr>
        <w:t>ABSTRACT</w:t>
      </w:r>
    </w:p>
    <w:p w14:paraId="185473BE" w14:textId="77777777" w:rsidR="0057275B" w:rsidRDefault="0057275B" w:rsidP="0057275B">
      <w:pPr>
        <w:spacing w:before="100" w:beforeAutospacing="1" w:after="100" w:afterAutospacing="1" w:line="240" w:lineRule="auto"/>
        <w:rPr>
          <w:rFonts w:ascii="Times New Roman" w:eastAsia="Times New Roman" w:hAnsi="Times New Roman" w:cs="Times New Roman"/>
          <w:kern w:val="0"/>
          <w14:ligatures w14:val="none"/>
        </w:rPr>
      </w:pPr>
      <w:r w:rsidRPr="0057275B">
        <w:rPr>
          <w:rFonts w:ascii="Times New Roman" w:eastAsia="Times New Roman" w:hAnsi="Times New Roman" w:cs="Times New Roman"/>
          <w:kern w:val="0"/>
          <w14:ligatures w14:val="none"/>
        </w:rPr>
        <w:t>This study evaluated the toxicological impact of smoked fish extract on liver and kidney function in albino rats. Twenty male rats (180–220 g) were randomly divided into four groups: a control and three treatment groups receiving 50, 100, and 200 mg/kg body weight of smoked fish extract intraperitoneally for 28 days. Biochemical analyses revealed dose-dependent increases in liver enzymes—alanine aminotransferase (ALT) and aspartate aminotransferase (AST)—as well as elevated kidney markers, including urea and creatinine (P &lt; 0.0001). Oxidative stress markers showed significantly increased malondialdehyde (MDA) levels and decreased superoxide dismutase (SOD) activity (P &lt; 0.05). Hematological evaluations indicated anemia and leukocytosis in treated groups. Histopathological examination confirmed progressive hepatic and renal damage, with necrosis, inflammatory infiltration, and cellular degeneration more pronounced at higher doses. These adverse effects are attributed to toxic constituents such as polycyclic aromatic hydrocarbons and heavy metals present in smoked fish. The findings suggest that chronic exposure to smoked fish extract may pose significant risks to hematological, hepatic, and renal health.</w:t>
      </w:r>
    </w:p>
    <w:p w14:paraId="02B68A0B" w14:textId="53DCDE2C" w:rsidR="00090861" w:rsidRPr="0057275B" w:rsidRDefault="00090861" w:rsidP="0057275B">
      <w:pPr>
        <w:spacing w:before="100" w:beforeAutospacing="1" w:after="100" w:afterAutospacing="1" w:line="240" w:lineRule="auto"/>
        <w:rPr>
          <w:rFonts w:ascii="Times New Roman" w:eastAsia="Times New Roman" w:hAnsi="Times New Roman" w:cs="Times New Roman"/>
          <w:kern w:val="0"/>
          <w14:ligatures w14:val="none"/>
        </w:rPr>
      </w:pPr>
      <w:r>
        <w:rPr>
          <w:rStyle w:val="Strong"/>
        </w:rPr>
        <w:t>Keywords</w:t>
      </w:r>
      <w:r>
        <w:t xml:space="preserve">: smoked fish extract, liver toxicity, kidney damage, oxidative stress, polycyclic aromatic hydrocarbons, heavy metals, </w:t>
      </w:r>
    </w:p>
    <w:p w14:paraId="39B5B65A" w14:textId="53829296" w:rsidR="00C9607E" w:rsidRPr="00C9607E" w:rsidRDefault="008D04AE" w:rsidP="00C9607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1B5970">
        <w:rPr>
          <w:rFonts w:ascii="Times New Roman" w:eastAsia="Times New Roman" w:hAnsi="Times New Roman" w:cs="Times New Roman"/>
          <w:b/>
          <w:bCs/>
          <w:kern w:val="0"/>
          <w:sz w:val="27"/>
          <w:szCs w:val="27"/>
          <w14:ligatures w14:val="none"/>
        </w:rPr>
        <w:t xml:space="preserve">INTRODUCTION </w:t>
      </w:r>
    </w:p>
    <w:p w14:paraId="33FFB5DF"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kern w:val="0"/>
          <w14:ligatures w14:val="none"/>
        </w:rPr>
        <w:t>Traditional food processing techniques, such as smoking and grilling, are widely employed in preserving fish and enhancing sensory characteristics, especially in developing countries where refrigeration may be unreliable (</w:t>
      </w:r>
      <w:proofErr w:type="spellStart"/>
      <w:r w:rsidRPr="00090861">
        <w:rPr>
          <w:rFonts w:ascii="Times New Roman" w:eastAsia="Times New Roman" w:hAnsi="Times New Roman" w:cs="Times New Roman"/>
          <w:kern w:val="0"/>
          <w14:ligatures w14:val="none"/>
        </w:rPr>
        <w:t>Akpambang</w:t>
      </w:r>
      <w:proofErr w:type="spellEnd"/>
      <w:r w:rsidRPr="00090861">
        <w:rPr>
          <w:rFonts w:ascii="Times New Roman" w:eastAsia="Times New Roman" w:hAnsi="Times New Roman" w:cs="Times New Roman"/>
          <w:kern w:val="0"/>
          <w14:ligatures w14:val="none"/>
        </w:rPr>
        <w:t xml:space="preserve"> et al., 2009; Assogba et al., 2019). However, these thermal processes can inadvertently introduce harmful substances into food products, depending on the fuel source used and the hygiene of the processing environment. Alarmingly, in many informal fish processing settings across sub-Saharan Africa, including Nigeria, fish is often smoked using </w:t>
      </w:r>
      <w:r w:rsidRPr="00090861">
        <w:rPr>
          <w:rFonts w:ascii="Times New Roman" w:eastAsia="Times New Roman" w:hAnsi="Times New Roman" w:cs="Times New Roman"/>
          <w:b/>
          <w:bCs/>
          <w:kern w:val="0"/>
          <w14:ligatures w14:val="none"/>
        </w:rPr>
        <w:t>burnt tires or electrical transformer oils</w:t>
      </w:r>
      <w:r w:rsidRPr="00090861">
        <w:rPr>
          <w:rFonts w:ascii="Times New Roman" w:eastAsia="Times New Roman" w:hAnsi="Times New Roman" w:cs="Times New Roman"/>
          <w:kern w:val="0"/>
          <w14:ligatures w14:val="none"/>
        </w:rPr>
        <w:t>, which release highly toxic emissions.</w:t>
      </w:r>
    </w:p>
    <w:p w14:paraId="73F0EDA5"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b/>
          <w:bCs/>
          <w:kern w:val="0"/>
          <w14:ligatures w14:val="none"/>
        </w:rPr>
        <w:t>Transformer oil smoke</w:t>
      </w:r>
      <w:r w:rsidRPr="00090861">
        <w:rPr>
          <w:rFonts w:ascii="Times New Roman" w:eastAsia="Times New Roman" w:hAnsi="Times New Roman" w:cs="Times New Roman"/>
          <w:kern w:val="0"/>
          <w14:ligatures w14:val="none"/>
        </w:rPr>
        <w:t xml:space="preserve">, especially when burnt, emits a complex mix of </w:t>
      </w:r>
      <w:r w:rsidRPr="00090861">
        <w:rPr>
          <w:rFonts w:ascii="Times New Roman" w:eastAsia="Times New Roman" w:hAnsi="Times New Roman" w:cs="Times New Roman"/>
          <w:b/>
          <w:bCs/>
          <w:kern w:val="0"/>
          <w14:ligatures w14:val="none"/>
        </w:rPr>
        <w:t>polychlorinated biphenyls (PCBs), dioxins, furans, PAHs</w:t>
      </w:r>
      <w:r w:rsidRPr="00090861">
        <w:rPr>
          <w:rFonts w:ascii="Times New Roman" w:eastAsia="Times New Roman" w:hAnsi="Times New Roman" w:cs="Times New Roman"/>
          <w:kern w:val="0"/>
          <w14:ligatures w14:val="none"/>
        </w:rPr>
        <w:t xml:space="preserve">, and </w:t>
      </w:r>
      <w:r w:rsidRPr="00090861">
        <w:rPr>
          <w:rFonts w:ascii="Times New Roman" w:eastAsia="Times New Roman" w:hAnsi="Times New Roman" w:cs="Times New Roman"/>
          <w:b/>
          <w:bCs/>
          <w:kern w:val="0"/>
          <w14:ligatures w14:val="none"/>
        </w:rPr>
        <w:t>volatile heavy metals</w:t>
      </w:r>
      <w:r w:rsidRPr="00090861">
        <w:rPr>
          <w:rFonts w:ascii="Times New Roman" w:eastAsia="Times New Roman" w:hAnsi="Times New Roman" w:cs="Times New Roman"/>
          <w:kern w:val="0"/>
          <w14:ligatures w14:val="none"/>
        </w:rPr>
        <w:t xml:space="preserve">, all of which are environmental pollutants with proven health hazards (WHO, 2010). Studies have shown that chronic exposure to these substances is associated with increased risks of </w:t>
      </w:r>
      <w:r w:rsidRPr="00090861">
        <w:rPr>
          <w:rFonts w:ascii="Times New Roman" w:eastAsia="Times New Roman" w:hAnsi="Times New Roman" w:cs="Times New Roman"/>
          <w:b/>
          <w:bCs/>
          <w:kern w:val="0"/>
          <w14:ligatures w14:val="none"/>
        </w:rPr>
        <w:t>lung cancer (27–35%)</w:t>
      </w:r>
      <w:r w:rsidRPr="00090861">
        <w:rPr>
          <w:rFonts w:ascii="Times New Roman" w:eastAsia="Times New Roman" w:hAnsi="Times New Roman" w:cs="Times New Roman"/>
          <w:kern w:val="0"/>
          <w14:ligatures w14:val="none"/>
        </w:rPr>
        <w:t xml:space="preserve">, </w:t>
      </w:r>
      <w:r w:rsidRPr="00090861">
        <w:rPr>
          <w:rFonts w:ascii="Times New Roman" w:eastAsia="Times New Roman" w:hAnsi="Times New Roman" w:cs="Times New Roman"/>
          <w:b/>
          <w:bCs/>
          <w:kern w:val="0"/>
          <w14:ligatures w14:val="none"/>
        </w:rPr>
        <w:t>liver damage (18–25%)</w:t>
      </w:r>
      <w:r w:rsidRPr="00090861">
        <w:rPr>
          <w:rFonts w:ascii="Times New Roman" w:eastAsia="Times New Roman" w:hAnsi="Times New Roman" w:cs="Times New Roman"/>
          <w:kern w:val="0"/>
          <w14:ligatures w14:val="none"/>
        </w:rPr>
        <w:t xml:space="preserve">, and </w:t>
      </w:r>
      <w:r w:rsidRPr="00090861">
        <w:rPr>
          <w:rFonts w:ascii="Times New Roman" w:eastAsia="Times New Roman" w:hAnsi="Times New Roman" w:cs="Times New Roman"/>
          <w:b/>
          <w:bCs/>
          <w:kern w:val="0"/>
          <w14:ligatures w14:val="none"/>
        </w:rPr>
        <w:t>respiratory diseases (40–50%)</w:t>
      </w:r>
      <w:r w:rsidRPr="00090861">
        <w:rPr>
          <w:rFonts w:ascii="Times New Roman" w:eastAsia="Times New Roman" w:hAnsi="Times New Roman" w:cs="Times New Roman"/>
          <w:kern w:val="0"/>
          <w14:ligatures w14:val="none"/>
        </w:rPr>
        <w:t xml:space="preserve">, especially among workers and individuals living near informal processing sites (Nduka et al., 2008; UNEP, 2013; Obida et al., 2020). In one community-based assessment in Nigeria, over </w:t>
      </w:r>
      <w:r w:rsidRPr="00090861">
        <w:rPr>
          <w:rFonts w:ascii="Times New Roman" w:eastAsia="Times New Roman" w:hAnsi="Times New Roman" w:cs="Times New Roman"/>
          <w:b/>
          <w:bCs/>
          <w:kern w:val="0"/>
          <w14:ligatures w14:val="none"/>
        </w:rPr>
        <w:t>52%</w:t>
      </w:r>
      <w:r w:rsidRPr="00090861">
        <w:rPr>
          <w:rFonts w:ascii="Times New Roman" w:eastAsia="Times New Roman" w:hAnsi="Times New Roman" w:cs="Times New Roman"/>
          <w:kern w:val="0"/>
          <w14:ligatures w14:val="none"/>
        </w:rPr>
        <w:t xml:space="preserve"> of fish processors using </w:t>
      </w:r>
      <w:r w:rsidRPr="00090861">
        <w:rPr>
          <w:rFonts w:ascii="Times New Roman" w:eastAsia="Times New Roman" w:hAnsi="Times New Roman" w:cs="Times New Roman"/>
          <w:kern w:val="0"/>
          <w14:ligatures w14:val="none"/>
        </w:rPr>
        <w:lastRenderedPageBreak/>
        <w:t xml:space="preserve">transformer oil reported chronic respiratory symptoms, while </w:t>
      </w:r>
      <w:r w:rsidRPr="00090861">
        <w:rPr>
          <w:rFonts w:ascii="Times New Roman" w:eastAsia="Times New Roman" w:hAnsi="Times New Roman" w:cs="Times New Roman"/>
          <w:b/>
          <w:bCs/>
          <w:kern w:val="0"/>
          <w14:ligatures w14:val="none"/>
        </w:rPr>
        <w:t>19%</w:t>
      </w:r>
      <w:r w:rsidRPr="00090861">
        <w:rPr>
          <w:rFonts w:ascii="Times New Roman" w:eastAsia="Times New Roman" w:hAnsi="Times New Roman" w:cs="Times New Roman"/>
          <w:kern w:val="0"/>
          <w14:ligatures w14:val="none"/>
        </w:rPr>
        <w:t xml:space="preserve"> showed elevated liver enzymes on routine screening (Ibanga et al., 2019).</w:t>
      </w:r>
    </w:p>
    <w:p w14:paraId="7CD9D7A3"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kern w:val="0"/>
          <w14:ligatures w14:val="none"/>
        </w:rPr>
        <w:t>PAHs, a group of lipophilic and persistent organic pollutants, arise primarily through the incomplete combustion of organic materials such as wood or oil-based materials during fish smoking. They are particularly concerning due to their carcinogenic, mutagenic, and teratogenic effects (Domingo &amp; Nadal, 2015; Darwish et al., 2019). The European Food Safety Authority (EFSA, 2008) has identified benzo[a]pyrene and other PAHs as critical markers for assessing carcinogenic risk in food. These contaminants can accumulate in smoked products depending on several variables, including fish fat content, smoking duration, and the type of fuel used (</w:t>
      </w:r>
      <w:proofErr w:type="spellStart"/>
      <w:r w:rsidRPr="00090861">
        <w:rPr>
          <w:rFonts w:ascii="Times New Roman" w:eastAsia="Times New Roman" w:hAnsi="Times New Roman" w:cs="Times New Roman"/>
          <w:kern w:val="0"/>
          <w14:ligatures w14:val="none"/>
        </w:rPr>
        <w:t>Akpambang</w:t>
      </w:r>
      <w:proofErr w:type="spellEnd"/>
      <w:r w:rsidRPr="00090861">
        <w:rPr>
          <w:rFonts w:ascii="Times New Roman" w:eastAsia="Times New Roman" w:hAnsi="Times New Roman" w:cs="Times New Roman"/>
          <w:kern w:val="0"/>
          <w14:ligatures w14:val="none"/>
        </w:rPr>
        <w:t xml:space="preserve"> et al., 2009; Forsberg et al., 2012; </w:t>
      </w:r>
      <w:proofErr w:type="spellStart"/>
      <w:r w:rsidRPr="00090861">
        <w:rPr>
          <w:rFonts w:ascii="Times New Roman" w:eastAsia="Times New Roman" w:hAnsi="Times New Roman" w:cs="Times New Roman"/>
          <w:kern w:val="0"/>
          <w14:ligatures w14:val="none"/>
        </w:rPr>
        <w:t>Haskaraca</w:t>
      </w:r>
      <w:proofErr w:type="spellEnd"/>
      <w:r w:rsidRPr="00090861">
        <w:rPr>
          <w:rFonts w:ascii="Times New Roman" w:eastAsia="Times New Roman" w:hAnsi="Times New Roman" w:cs="Times New Roman"/>
          <w:kern w:val="0"/>
          <w14:ligatures w14:val="none"/>
        </w:rPr>
        <w:t xml:space="preserve"> et al., 2014).</w:t>
      </w:r>
    </w:p>
    <w:p w14:paraId="4C327C6E"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kern w:val="0"/>
          <w14:ligatures w14:val="none"/>
        </w:rPr>
        <w:t xml:space="preserve">Beyond PAHs, traditional smoking methods can introduce heavy metals such as </w:t>
      </w:r>
      <w:r w:rsidRPr="00090861">
        <w:rPr>
          <w:rFonts w:ascii="Times New Roman" w:eastAsia="Times New Roman" w:hAnsi="Times New Roman" w:cs="Times New Roman"/>
          <w:b/>
          <w:bCs/>
          <w:kern w:val="0"/>
          <w14:ligatures w14:val="none"/>
        </w:rPr>
        <w:t>lead, cadmium, and mercury</w:t>
      </w:r>
      <w:r w:rsidRPr="00090861">
        <w:rPr>
          <w:rFonts w:ascii="Times New Roman" w:eastAsia="Times New Roman" w:hAnsi="Times New Roman" w:cs="Times New Roman"/>
          <w:kern w:val="0"/>
          <w14:ligatures w14:val="none"/>
        </w:rPr>
        <w:t xml:space="preserve"> into fish, which pose significant toxicological risks upon chronic exposure (Abbas et al., 2021; Daniel et al., 2013; </w:t>
      </w:r>
      <w:proofErr w:type="spellStart"/>
      <w:r w:rsidRPr="00090861">
        <w:rPr>
          <w:rFonts w:ascii="Times New Roman" w:eastAsia="Times New Roman" w:hAnsi="Times New Roman" w:cs="Times New Roman"/>
          <w:kern w:val="0"/>
          <w14:ligatures w14:val="none"/>
        </w:rPr>
        <w:t>Anigboro</w:t>
      </w:r>
      <w:proofErr w:type="spellEnd"/>
      <w:r w:rsidRPr="00090861">
        <w:rPr>
          <w:rFonts w:ascii="Times New Roman" w:eastAsia="Times New Roman" w:hAnsi="Times New Roman" w:cs="Times New Roman"/>
          <w:kern w:val="0"/>
          <w14:ligatures w14:val="none"/>
        </w:rPr>
        <w:t xml:space="preserve"> et al., 2011). Lead and cadmium are known to impair renal and hepatic function, induce oxidative stress, and interfere with hematopoiesis (Ibanga et al., 2019; Gunter et al., 2007; Hough et al., 2004).</w:t>
      </w:r>
    </w:p>
    <w:p w14:paraId="47DC574F"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kern w:val="0"/>
          <w14:ligatures w14:val="none"/>
        </w:rPr>
        <w:t xml:space="preserve">Biogenic amines, including </w:t>
      </w:r>
      <w:r w:rsidRPr="00090861">
        <w:rPr>
          <w:rFonts w:ascii="Times New Roman" w:eastAsia="Times New Roman" w:hAnsi="Times New Roman" w:cs="Times New Roman"/>
          <w:b/>
          <w:bCs/>
          <w:kern w:val="0"/>
          <w14:ligatures w14:val="none"/>
        </w:rPr>
        <w:t>histamine</w:t>
      </w:r>
      <w:r w:rsidRPr="00090861">
        <w:rPr>
          <w:rFonts w:ascii="Times New Roman" w:eastAsia="Times New Roman" w:hAnsi="Times New Roman" w:cs="Times New Roman"/>
          <w:kern w:val="0"/>
          <w14:ligatures w14:val="none"/>
        </w:rPr>
        <w:t xml:space="preserve"> and </w:t>
      </w:r>
      <w:r w:rsidRPr="00090861">
        <w:rPr>
          <w:rFonts w:ascii="Times New Roman" w:eastAsia="Times New Roman" w:hAnsi="Times New Roman" w:cs="Times New Roman"/>
          <w:b/>
          <w:bCs/>
          <w:kern w:val="0"/>
          <w14:ligatures w14:val="none"/>
        </w:rPr>
        <w:t>tyramine</w:t>
      </w:r>
      <w:r w:rsidRPr="00090861">
        <w:rPr>
          <w:rFonts w:ascii="Times New Roman" w:eastAsia="Times New Roman" w:hAnsi="Times New Roman" w:cs="Times New Roman"/>
          <w:kern w:val="0"/>
          <w14:ligatures w14:val="none"/>
        </w:rPr>
        <w:t xml:space="preserve">, may also accumulate in smoked fish, especially under poor hygiene or inadequate storage. These amines result from microbial decarboxylation of amino acids and are associated with food spoilage and scombroid poisoning (Al </w:t>
      </w:r>
      <w:proofErr w:type="spellStart"/>
      <w:r w:rsidRPr="00090861">
        <w:rPr>
          <w:rFonts w:ascii="Times New Roman" w:eastAsia="Times New Roman" w:hAnsi="Times New Roman" w:cs="Times New Roman"/>
          <w:kern w:val="0"/>
          <w14:ligatures w14:val="none"/>
        </w:rPr>
        <w:t>Bulushi</w:t>
      </w:r>
      <w:proofErr w:type="spellEnd"/>
      <w:r w:rsidRPr="00090861">
        <w:rPr>
          <w:rFonts w:ascii="Times New Roman" w:eastAsia="Times New Roman" w:hAnsi="Times New Roman" w:cs="Times New Roman"/>
          <w:kern w:val="0"/>
          <w14:ligatures w14:val="none"/>
        </w:rPr>
        <w:t xml:space="preserve"> et al., 2009; Emborg &amp; Dalgaard, 2006; EFSA, 2011). In addition, </w:t>
      </w:r>
      <w:r w:rsidRPr="00090861">
        <w:rPr>
          <w:rFonts w:ascii="Times New Roman" w:eastAsia="Times New Roman" w:hAnsi="Times New Roman" w:cs="Times New Roman"/>
          <w:b/>
          <w:bCs/>
          <w:kern w:val="0"/>
          <w14:ligatures w14:val="none"/>
        </w:rPr>
        <w:t>nitrosamines</w:t>
      </w:r>
      <w:r w:rsidRPr="00090861">
        <w:rPr>
          <w:rFonts w:ascii="Times New Roman" w:eastAsia="Times New Roman" w:hAnsi="Times New Roman" w:cs="Times New Roman"/>
          <w:kern w:val="0"/>
          <w14:ligatures w14:val="none"/>
        </w:rPr>
        <w:t>, which form through reactions involving nitrites and secondary amines during high-heat processing, are potent carcinogens implicated in gastrointestinal cancers (Drabik-Markiewicz et al., 2009; Herrmann et al., 2015).</w:t>
      </w:r>
    </w:p>
    <w:p w14:paraId="6B0E593F"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kern w:val="0"/>
          <w14:ligatures w14:val="none"/>
        </w:rPr>
        <w:t>Several studies in sub-Saharan Africa have documented variable levels of PAHs and heavy metals in smoked fish across different regions and species, with some samples exceeding internationally recommended safety limits (</w:t>
      </w:r>
      <w:proofErr w:type="spellStart"/>
      <w:r w:rsidRPr="00090861">
        <w:rPr>
          <w:rFonts w:ascii="Times New Roman" w:eastAsia="Times New Roman" w:hAnsi="Times New Roman" w:cs="Times New Roman"/>
          <w:kern w:val="0"/>
          <w14:ligatures w14:val="none"/>
        </w:rPr>
        <w:t>Akpambang</w:t>
      </w:r>
      <w:proofErr w:type="spellEnd"/>
      <w:r w:rsidRPr="00090861">
        <w:rPr>
          <w:rFonts w:ascii="Times New Roman" w:eastAsia="Times New Roman" w:hAnsi="Times New Roman" w:cs="Times New Roman"/>
          <w:kern w:val="0"/>
          <w14:ligatures w14:val="none"/>
        </w:rPr>
        <w:t xml:space="preserve"> et al., 2009; </w:t>
      </w:r>
      <w:proofErr w:type="spellStart"/>
      <w:r w:rsidRPr="00090861">
        <w:rPr>
          <w:rFonts w:ascii="Times New Roman" w:eastAsia="Times New Roman" w:hAnsi="Times New Roman" w:cs="Times New Roman"/>
          <w:kern w:val="0"/>
          <w14:ligatures w14:val="none"/>
        </w:rPr>
        <w:t>Anigboro</w:t>
      </w:r>
      <w:proofErr w:type="spellEnd"/>
      <w:r w:rsidRPr="00090861">
        <w:rPr>
          <w:rFonts w:ascii="Times New Roman" w:eastAsia="Times New Roman" w:hAnsi="Times New Roman" w:cs="Times New Roman"/>
          <w:kern w:val="0"/>
          <w14:ligatures w14:val="none"/>
        </w:rPr>
        <w:t xml:space="preserve"> et al., 2011; Assogba et al., 2019). </w:t>
      </w:r>
      <w:proofErr w:type="spellStart"/>
      <w:r w:rsidRPr="00090861">
        <w:rPr>
          <w:rFonts w:ascii="Times New Roman" w:eastAsia="Times New Roman" w:hAnsi="Times New Roman" w:cs="Times New Roman"/>
          <w:kern w:val="0"/>
          <w14:ligatures w14:val="none"/>
        </w:rPr>
        <w:t>Douny</w:t>
      </w:r>
      <w:proofErr w:type="spellEnd"/>
      <w:r w:rsidRPr="00090861">
        <w:rPr>
          <w:rFonts w:ascii="Times New Roman" w:eastAsia="Times New Roman" w:hAnsi="Times New Roman" w:cs="Times New Roman"/>
          <w:kern w:val="0"/>
          <w14:ligatures w14:val="none"/>
        </w:rPr>
        <w:t xml:space="preserve"> et al. (2021) showed that exposure to PAHs and biogenic amines through smoked fish in Cambodia reached toxicologically significant levels. Yet, consumer awareness remains low in countries like Nigeria, where smoked fish is a staple (Daniel et al., 2013).</w:t>
      </w:r>
    </w:p>
    <w:p w14:paraId="2082C724"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kern w:val="0"/>
          <w14:ligatures w14:val="none"/>
        </w:rPr>
        <w:t xml:space="preserve">Despite the growing interest in food toxicology, there is a </w:t>
      </w:r>
      <w:r w:rsidRPr="00090861">
        <w:rPr>
          <w:rFonts w:ascii="Times New Roman" w:eastAsia="Times New Roman" w:hAnsi="Times New Roman" w:cs="Times New Roman"/>
          <w:b/>
          <w:bCs/>
          <w:kern w:val="0"/>
          <w14:ligatures w14:val="none"/>
        </w:rPr>
        <w:t>paucity of comprehensive animal model studies</w:t>
      </w:r>
      <w:r w:rsidRPr="00090861">
        <w:rPr>
          <w:rFonts w:ascii="Times New Roman" w:eastAsia="Times New Roman" w:hAnsi="Times New Roman" w:cs="Times New Roman"/>
          <w:kern w:val="0"/>
          <w14:ligatures w14:val="none"/>
        </w:rPr>
        <w:t xml:space="preserve"> investigating the simultaneous impact of smoked fish constituents on hematological, hepatic, renal, and oxidative biomarkers. Most available research isolates either PAH exposure or heavy metal toxicity without examining their potential synergistic or cumulative effects (Darwish et al., 2019; Gunter et al., 2007).</w:t>
      </w:r>
    </w:p>
    <w:p w14:paraId="541E704A" w14:textId="77777777" w:rsidR="00090861" w:rsidRPr="00090861" w:rsidRDefault="00090861" w:rsidP="00090861">
      <w:pPr>
        <w:spacing w:before="100" w:beforeAutospacing="1" w:after="100" w:afterAutospacing="1" w:line="240" w:lineRule="auto"/>
        <w:rPr>
          <w:rFonts w:ascii="Times New Roman" w:eastAsia="Times New Roman" w:hAnsi="Times New Roman" w:cs="Times New Roman"/>
          <w:kern w:val="0"/>
          <w14:ligatures w14:val="none"/>
        </w:rPr>
      </w:pPr>
      <w:r w:rsidRPr="00090861">
        <w:rPr>
          <w:rFonts w:ascii="Times New Roman" w:eastAsia="Times New Roman" w:hAnsi="Times New Roman" w:cs="Times New Roman"/>
          <w:b/>
          <w:bCs/>
          <w:kern w:val="0"/>
          <w14:ligatures w14:val="none"/>
        </w:rPr>
        <w:t>Therefore, this study investigates the toxicological effects of smoked fish extract on liver and kidney function in albino rats</w:t>
      </w:r>
      <w:r w:rsidRPr="00090861">
        <w:rPr>
          <w:rFonts w:ascii="Times New Roman" w:eastAsia="Times New Roman" w:hAnsi="Times New Roman" w:cs="Times New Roman"/>
          <w:kern w:val="0"/>
          <w14:ligatures w14:val="none"/>
        </w:rPr>
        <w:t xml:space="preserve">, focusing on biochemical, hematological, and oxidative parameters. This research is significant not only for public health surveillance but also for guiding food safety policies. The findings are expected to contribute toward the development of </w:t>
      </w:r>
      <w:r w:rsidRPr="00090861">
        <w:rPr>
          <w:rFonts w:ascii="Times New Roman" w:eastAsia="Times New Roman" w:hAnsi="Times New Roman" w:cs="Times New Roman"/>
          <w:b/>
          <w:bCs/>
          <w:kern w:val="0"/>
          <w14:ligatures w14:val="none"/>
        </w:rPr>
        <w:t>safer traditional processing practices</w:t>
      </w:r>
      <w:r w:rsidRPr="00090861">
        <w:rPr>
          <w:rFonts w:ascii="Times New Roman" w:eastAsia="Times New Roman" w:hAnsi="Times New Roman" w:cs="Times New Roman"/>
          <w:kern w:val="0"/>
          <w14:ligatures w14:val="none"/>
        </w:rPr>
        <w:t xml:space="preserve">, including </w:t>
      </w:r>
      <w:r w:rsidRPr="00090861">
        <w:rPr>
          <w:rFonts w:ascii="Times New Roman" w:eastAsia="Times New Roman" w:hAnsi="Times New Roman" w:cs="Times New Roman"/>
          <w:b/>
          <w:bCs/>
          <w:kern w:val="0"/>
          <w14:ligatures w14:val="none"/>
        </w:rPr>
        <w:t xml:space="preserve">awareness creation, fuel source regulation, </w:t>
      </w:r>
      <w:r w:rsidRPr="00090861">
        <w:rPr>
          <w:rFonts w:ascii="Times New Roman" w:eastAsia="Times New Roman" w:hAnsi="Times New Roman" w:cs="Times New Roman"/>
          <w:b/>
          <w:bCs/>
          <w:kern w:val="0"/>
          <w14:ligatures w14:val="none"/>
        </w:rPr>
        <w:lastRenderedPageBreak/>
        <w:t>and toxicological monitoring</w:t>
      </w:r>
      <w:r w:rsidRPr="00090861">
        <w:rPr>
          <w:rFonts w:ascii="Times New Roman" w:eastAsia="Times New Roman" w:hAnsi="Times New Roman" w:cs="Times New Roman"/>
          <w:kern w:val="0"/>
          <w14:ligatures w14:val="none"/>
        </w:rPr>
        <w:t>, to protect both consumers and processors of smoked fish in resource-limited settings.</w:t>
      </w:r>
    </w:p>
    <w:p w14:paraId="18FBEC6D" w14:textId="77777777" w:rsidR="00696CAD" w:rsidRPr="000E755B" w:rsidRDefault="00696CAD" w:rsidP="00696CAD">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CAD87C6" w14:textId="1E4F77D2" w:rsidR="00696CAD" w:rsidRPr="00611716" w:rsidRDefault="008D04AE" w:rsidP="00696CAD">
      <w:pPr>
        <w:spacing w:before="100" w:beforeAutospacing="1" w:after="100" w:afterAutospacing="1" w:line="240" w:lineRule="auto"/>
        <w:outlineLvl w:val="1"/>
        <w:rPr>
          <w:rFonts w:ascii="Arial" w:eastAsia="Times New Roman" w:hAnsi="Arial" w:cs="Arial"/>
          <w:b/>
          <w:bCs/>
          <w:kern w:val="0"/>
          <w:sz w:val="22"/>
          <w:szCs w:val="22"/>
          <w14:ligatures w14:val="none"/>
        </w:rPr>
      </w:pPr>
      <w:r>
        <w:rPr>
          <w:rFonts w:ascii="Arial" w:eastAsia="Times New Roman" w:hAnsi="Arial" w:cs="Arial"/>
          <w:b/>
          <w:bCs/>
          <w:kern w:val="0"/>
          <w:sz w:val="22"/>
          <w:szCs w:val="22"/>
          <w14:ligatures w14:val="none"/>
        </w:rPr>
        <w:t xml:space="preserve">2. </w:t>
      </w:r>
      <w:r w:rsidRPr="008D04AE">
        <w:rPr>
          <w:rFonts w:ascii="Arial" w:eastAsia="Times New Roman" w:hAnsi="Arial" w:cs="Arial"/>
          <w:b/>
          <w:bCs/>
          <w:kern w:val="0"/>
          <w:sz w:val="22"/>
          <w:szCs w:val="22"/>
          <w14:ligatures w14:val="none"/>
        </w:rPr>
        <w:t>MATERIALS AND METHODS</w:t>
      </w:r>
    </w:p>
    <w:p w14:paraId="283EA47A" w14:textId="4A2C491D"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2.1. SOURCE AND PREPARATION OF SMOKED FISH EXTRACT</w:t>
      </w:r>
    </w:p>
    <w:p w14:paraId="0638A561" w14:textId="5A62C0FE" w:rsidR="00696CAD" w:rsidRPr="00611716" w:rsidRDefault="00696CAD" w:rsidP="00611716">
      <w:pPr>
        <w:spacing w:before="100" w:beforeAutospacing="1" w:after="100" w:afterAutospacing="1" w:line="240" w:lineRule="auto"/>
        <w:jc w:val="both"/>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Commercially smoked fish samples were obtained from local markets and street vendors in Port Harcourt, Nigeria. </w:t>
      </w:r>
      <w:r w:rsidR="0092797C" w:rsidRPr="0092797C">
        <w:t xml:space="preserve"> </w:t>
      </w:r>
      <w:r w:rsidR="0092797C">
        <w:t xml:space="preserve">The smoked fish samples were identified as </w:t>
      </w:r>
      <w:r w:rsidR="0092797C">
        <w:rPr>
          <w:rStyle w:val="Emphasis"/>
        </w:rPr>
        <w:t xml:space="preserve">Clarias </w:t>
      </w:r>
      <w:proofErr w:type="spellStart"/>
      <w:r w:rsidR="0092797C">
        <w:rPr>
          <w:rStyle w:val="Emphasis"/>
        </w:rPr>
        <w:t>gariepinus</w:t>
      </w:r>
      <w:proofErr w:type="spellEnd"/>
      <w:r w:rsidR="0092797C">
        <w:t xml:space="preserve"> (African catfish) and </w:t>
      </w:r>
      <w:proofErr w:type="spellStart"/>
      <w:r w:rsidR="0092797C">
        <w:rPr>
          <w:rStyle w:val="Emphasis"/>
        </w:rPr>
        <w:t>Ethmalosa</w:t>
      </w:r>
      <w:proofErr w:type="spellEnd"/>
      <w:r w:rsidR="0092797C">
        <w:rPr>
          <w:rStyle w:val="Emphasis"/>
        </w:rPr>
        <w:t xml:space="preserve"> fimbriata</w:t>
      </w:r>
      <w:r w:rsidR="0092797C">
        <w:t xml:space="preserve"> (bonga fish), both of which are among the most commonly consumed species in Nigeria. These species are known to exhibit differences in lipid content and habitat, which can significantly influence the concentration and bioaccumulation of polycyclic aromatic hydrocarbons (PAHs) and heavy metals during smoking processes. Their inclusion strengthens the study by ensuring that the findings reflect realistic dietary exposure scenarios relevant to local consumption patterns.</w:t>
      </w:r>
      <w:r w:rsidR="0092797C" w:rsidRPr="0092797C" w:rsidDel="0092797C">
        <w:rPr>
          <w:rFonts w:ascii="Arial" w:eastAsia="Times New Roman" w:hAnsi="Arial" w:cs="Arial"/>
          <w:kern w:val="0"/>
          <w:sz w:val="20"/>
          <w:szCs w:val="20"/>
          <w14:ligatures w14:val="none"/>
        </w:rPr>
        <w:t xml:space="preserve"> </w:t>
      </w:r>
      <w:r w:rsidRPr="00611716">
        <w:rPr>
          <w:rFonts w:ascii="Arial" w:eastAsia="Times New Roman" w:hAnsi="Arial" w:cs="Arial"/>
          <w:kern w:val="0"/>
          <w:sz w:val="20"/>
          <w:szCs w:val="20"/>
          <w14:ligatures w14:val="none"/>
        </w:rPr>
        <w:t xml:space="preserve">were homogenized using a </w:t>
      </w:r>
      <w:proofErr w:type="gramStart"/>
      <w:r w:rsidRPr="00611716">
        <w:rPr>
          <w:rFonts w:ascii="Arial" w:eastAsia="Times New Roman" w:hAnsi="Arial" w:cs="Arial"/>
          <w:kern w:val="0"/>
          <w:sz w:val="20"/>
          <w:szCs w:val="20"/>
          <w14:ligatures w14:val="none"/>
        </w:rPr>
        <w:t>stainless steel</w:t>
      </w:r>
      <w:proofErr w:type="gramEnd"/>
      <w:r w:rsidRPr="00611716">
        <w:rPr>
          <w:rFonts w:ascii="Arial" w:eastAsia="Times New Roman" w:hAnsi="Arial" w:cs="Arial"/>
          <w:kern w:val="0"/>
          <w:sz w:val="20"/>
          <w:szCs w:val="20"/>
          <w14:ligatures w14:val="none"/>
        </w:rPr>
        <w:t xml:space="preserve">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62D3189" w14:textId="3732B842"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2.2. EXPERIMENTAL ANIMALS AND ETHICAL APPROVAL</w:t>
      </w:r>
    </w:p>
    <w:p w14:paraId="759D9BD4" w14:textId="0802AA9E" w:rsidR="0092797C" w:rsidRPr="00611716" w:rsidRDefault="0092797C" w:rsidP="00611716">
      <w:pPr>
        <w:spacing w:before="100" w:beforeAutospacing="1" w:after="100" w:afterAutospacing="1" w:line="240" w:lineRule="auto"/>
        <w:jc w:val="both"/>
        <w:rPr>
          <w:rFonts w:ascii="Arial" w:eastAsia="Times New Roman" w:hAnsi="Arial" w:cs="Arial"/>
          <w:kern w:val="0"/>
          <w:sz w:val="20"/>
          <w:szCs w:val="20"/>
          <w14:ligatures w14:val="none"/>
        </w:rPr>
      </w:pPr>
      <w:r>
        <w:t>Twenty (20) adult male albino rats (mean weight: 199.3 ± 12.4 g; range: 180–220 g) were procured from a certified animal breeding facility. The animals were randomized into four experimental groups (n = 5 per group) such that each group contained rats with comparable mean body weights to minimize variability in dose response and organ weight ratios, including the hepato-somatic index. Rats were housed in standard polypropylene cages, with each cage containing five rats from the same group. They were acclimatized for one week under standard laboratory conditions (22 ± 2 °C; 12-hour light/dark cycle), with ad libitum access to clean drinking water and standard pellet diet. The experimental protocol was approved by the Institutional Animal Ethics Committee, and all procedures adhered to international guidelines for laboratory animal care and use.</w:t>
      </w:r>
    </w:p>
    <w:p w14:paraId="709DA4FB" w14:textId="47DBC137"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2.3. ANIMAL GROUPING AND TREATMENT REGIMEN</w:t>
      </w:r>
    </w:p>
    <w:p w14:paraId="6ACF1283" w14:textId="77777777" w:rsidR="00696CAD" w:rsidRPr="00611716" w:rsidRDefault="00696CAD" w:rsidP="00696CAD">
      <w:p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The rats were randomly assigned into four groups (n = 5 rats per group) as follows:</w:t>
      </w:r>
    </w:p>
    <w:p w14:paraId="250629FF" w14:textId="77777777" w:rsidR="00696CAD" w:rsidRPr="00611716"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Group I (Control):</w:t>
      </w:r>
      <w:r w:rsidRPr="00611716">
        <w:rPr>
          <w:rFonts w:ascii="Arial" w:eastAsia="Times New Roman" w:hAnsi="Arial" w:cs="Arial"/>
          <w:kern w:val="0"/>
          <w:sz w:val="20"/>
          <w:szCs w:val="20"/>
          <w14:ligatures w14:val="none"/>
        </w:rPr>
        <w:t xml:space="preserve"> Received 0.9% normal saline intraperitoneally.</w:t>
      </w:r>
    </w:p>
    <w:p w14:paraId="7885DF98" w14:textId="77777777" w:rsidR="00696CAD" w:rsidRPr="00611716"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Group II (Low Dose):</w:t>
      </w:r>
      <w:r w:rsidRPr="00611716">
        <w:rPr>
          <w:rFonts w:ascii="Arial" w:eastAsia="Times New Roman" w:hAnsi="Arial" w:cs="Arial"/>
          <w:kern w:val="0"/>
          <w:sz w:val="20"/>
          <w:szCs w:val="20"/>
          <w14:ligatures w14:val="none"/>
        </w:rPr>
        <w:t xml:space="preserve"> Received 50 mg/kg body weight of smoked fish extract intraperitoneally.</w:t>
      </w:r>
    </w:p>
    <w:p w14:paraId="42DFC0C1" w14:textId="77777777" w:rsidR="00696CAD" w:rsidRPr="00611716"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Group III (Medium Dose):</w:t>
      </w:r>
      <w:r w:rsidRPr="00611716">
        <w:rPr>
          <w:rFonts w:ascii="Arial" w:eastAsia="Times New Roman" w:hAnsi="Arial" w:cs="Arial"/>
          <w:kern w:val="0"/>
          <w:sz w:val="20"/>
          <w:szCs w:val="20"/>
          <w14:ligatures w14:val="none"/>
        </w:rPr>
        <w:t xml:space="preserve"> Received 100 mg/kg body weight of smoked fish extract intraperitoneally.</w:t>
      </w:r>
    </w:p>
    <w:p w14:paraId="1CF293BE" w14:textId="77777777" w:rsidR="00696CAD" w:rsidRPr="00611716" w:rsidRDefault="00696CAD" w:rsidP="00696CAD">
      <w:pPr>
        <w:numPr>
          <w:ilvl w:val="0"/>
          <w:numId w:val="5"/>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Group IV (High Dose):</w:t>
      </w:r>
      <w:r w:rsidRPr="00611716">
        <w:rPr>
          <w:rFonts w:ascii="Arial" w:eastAsia="Times New Roman" w:hAnsi="Arial" w:cs="Arial"/>
          <w:kern w:val="0"/>
          <w:sz w:val="20"/>
          <w:szCs w:val="20"/>
          <w14:ligatures w14:val="none"/>
        </w:rPr>
        <w:t xml:space="preserve"> Received 200 mg/kg body weight of smoked fish extract intraperitoneally.</w:t>
      </w:r>
    </w:p>
    <w:p w14:paraId="211A9B85" w14:textId="77777777" w:rsidR="00696CAD" w:rsidRPr="009973BB" w:rsidRDefault="00696CAD" w:rsidP="00696CAD">
      <w:pPr>
        <w:spacing w:before="100" w:beforeAutospacing="1" w:after="100" w:afterAutospacing="1" w:line="240" w:lineRule="auto"/>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Treatments were administered once daily for 28 consecutive days.</w:t>
      </w:r>
    </w:p>
    <w:p w14:paraId="14CCF956" w14:textId="7F210A0F"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2.4. BIOCHEMICAL ASSAYS</w:t>
      </w:r>
    </w:p>
    <w:p w14:paraId="16861EAD" w14:textId="77777777" w:rsidR="00696CAD" w:rsidRPr="00611716" w:rsidRDefault="00696CAD" w:rsidP="00611716">
      <w:pPr>
        <w:spacing w:before="100" w:beforeAutospacing="1" w:after="100" w:afterAutospacing="1" w:line="240" w:lineRule="auto"/>
        <w:jc w:val="both"/>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lastRenderedPageBreak/>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(Randox Laboratories, UK):</w:t>
      </w:r>
    </w:p>
    <w:p w14:paraId="3253A2CC" w14:textId="77777777" w:rsidR="00696CAD" w:rsidRPr="00611716" w:rsidRDefault="00696CAD" w:rsidP="00696CAD">
      <w:pPr>
        <w:numPr>
          <w:ilvl w:val="0"/>
          <w:numId w:val="6"/>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Liver Function Tests:</w:t>
      </w:r>
      <w:r w:rsidRPr="00611716">
        <w:rPr>
          <w:rFonts w:ascii="Arial" w:eastAsia="Times New Roman" w:hAnsi="Arial" w:cs="Arial"/>
          <w:kern w:val="0"/>
          <w:sz w:val="20"/>
          <w:szCs w:val="20"/>
          <w14:ligatures w14:val="none"/>
        </w:rPr>
        <w:t xml:space="preserve"> Alanine aminotransferase (ALT), Aspartate aminotransferase (AST)</w:t>
      </w:r>
    </w:p>
    <w:p w14:paraId="4D993EAE" w14:textId="77777777" w:rsidR="00696CAD" w:rsidRPr="00611716" w:rsidRDefault="00696CAD" w:rsidP="00696CAD">
      <w:pPr>
        <w:numPr>
          <w:ilvl w:val="0"/>
          <w:numId w:val="6"/>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Kidney Function Tests:</w:t>
      </w:r>
      <w:r w:rsidRPr="00611716">
        <w:rPr>
          <w:rFonts w:ascii="Arial" w:eastAsia="Times New Roman" w:hAnsi="Arial" w:cs="Arial"/>
          <w:kern w:val="0"/>
          <w:sz w:val="20"/>
          <w:szCs w:val="20"/>
          <w14:ligatures w14:val="none"/>
        </w:rPr>
        <w:t xml:space="preserve"> Urea, Creatinine</w:t>
      </w:r>
    </w:p>
    <w:p w14:paraId="0B06797F" w14:textId="77777777" w:rsidR="00696CAD" w:rsidRPr="00611716" w:rsidRDefault="00696CAD" w:rsidP="00696CAD">
      <w:pPr>
        <w:numPr>
          <w:ilvl w:val="0"/>
          <w:numId w:val="6"/>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Oxidative Stress Markers:</w:t>
      </w:r>
      <w:r w:rsidRPr="00611716">
        <w:rPr>
          <w:rFonts w:ascii="Arial" w:eastAsia="Times New Roman" w:hAnsi="Arial" w:cs="Arial"/>
          <w:kern w:val="0"/>
          <w:sz w:val="20"/>
          <w:szCs w:val="20"/>
          <w14:ligatures w14:val="none"/>
        </w:rPr>
        <w:t xml:space="preserve"> Malondialdehyde (MDA), Superoxide dismutase (SOD)</w:t>
      </w:r>
    </w:p>
    <w:p w14:paraId="126FC047" w14:textId="714A8F63"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2.5. HISTOPATHOLOGICAL EXAMINATION</w:t>
      </w:r>
    </w:p>
    <w:p w14:paraId="64300DAD" w14:textId="77777777" w:rsidR="00696CAD" w:rsidRPr="00611716" w:rsidRDefault="00696CAD" w:rsidP="00611716">
      <w:pPr>
        <w:spacing w:before="100" w:beforeAutospacing="1" w:after="100" w:afterAutospacing="1" w:line="240" w:lineRule="auto"/>
        <w:jc w:val="both"/>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2289944B" w14:textId="621858B7"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2.6. GC-MS ANALYSIS OF POLYCYCLIC AROMATIC HYDROCARBONS (PAHS)</w:t>
      </w:r>
    </w:p>
    <w:p w14:paraId="130AD10C" w14:textId="77777777" w:rsidR="00696CAD" w:rsidRPr="00611716" w:rsidRDefault="00696CAD" w:rsidP="00611716">
      <w:pPr>
        <w:spacing w:before="100" w:beforeAutospacing="1" w:after="100" w:afterAutospacing="1" w:line="240" w:lineRule="auto"/>
        <w:jc w:val="both"/>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280 °C. Identification and quantification of PAHs were based on comparison with a certified 16-PAH EPA standard (Sigma-Aldrich, USA).</w:t>
      </w:r>
    </w:p>
    <w:p w14:paraId="21027DFF" w14:textId="39C856EB" w:rsidR="00696CAD" w:rsidRPr="00611716" w:rsidRDefault="008D04AE"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r w:rsidRPr="008D04AE">
        <w:rPr>
          <w:rFonts w:ascii="Arial" w:eastAsia="Times New Roman" w:hAnsi="Arial" w:cs="Arial"/>
          <w:b/>
          <w:bCs/>
          <w:kern w:val="0"/>
          <w:sz w:val="20"/>
          <w:szCs w:val="20"/>
          <w14:ligatures w14:val="none"/>
        </w:rPr>
        <w:t>2.7. STATISTICAL ANALYSIS</w:t>
      </w:r>
    </w:p>
    <w:p w14:paraId="77A861CC" w14:textId="77777777" w:rsidR="00696CAD" w:rsidRPr="00611716" w:rsidRDefault="00696CAD" w:rsidP="00611716">
      <w:pPr>
        <w:spacing w:before="100" w:beforeAutospacing="1" w:after="100" w:afterAutospacing="1" w:line="240" w:lineRule="auto"/>
        <w:jc w:val="both"/>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674C32DD"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71483C59" w14:textId="5733C826" w:rsidR="00696CAD" w:rsidRPr="00611716" w:rsidRDefault="008D04AE" w:rsidP="00696CAD">
      <w:pPr>
        <w:spacing w:before="100" w:beforeAutospacing="1" w:after="100" w:afterAutospacing="1" w:line="240" w:lineRule="auto"/>
        <w:outlineLvl w:val="1"/>
        <w:rPr>
          <w:rFonts w:ascii="Arial" w:eastAsia="Times New Roman" w:hAnsi="Arial" w:cs="Arial"/>
          <w:b/>
          <w:bCs/>
          <w:kern w:val="0"/>
          <w:sz w:val="22"/>
          <w:szCs w:val="22"/>
          <w14:ligatures w14:val="none"/>
        </w:rPr>
      </w:pPr>
      <w:r w:rsidRPr="008D04AE">
        <w:rPr>
          <w:rFonts w:ascii="Arial" w:eastAsia="Times New Roman" w:hAnsi="Arial" w:cs="Arial"/>
          <w:b/>
          <w:bCs/>
          <w:kern w:val="0"/>
          <w:sz w:val="22"/>
          <w:szCs w:val="22"/>
          <w14:ligatures w14:val="none"/>
        </w:rPr>
        <w:t xml:space="preserve">3. RESULTS </w:t>
      </w:r>
    </w:p>
    <w:p w14:paraId="1D4C952F"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Hematological Indices</w:t>
      </w:r>
    </w:p>
    <w:p w14:paraId="1E03FD86" w14:textId="77777777" w:rsidR="0092797C" w:rsidRPr="0092797C" w:rsidRDefault="0092797C" w:rsidP="0092797C">
      <w:pPr>
        <w:spacing w:before="100" w:beforeAutospacing="1" w:after="100" w:afterAutospacing="1"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Table 1 presents the complete blood count (CBC) results across the four experimental groups. Rats exposed to smoked fish extract showed a significant, dose-dependent increase in WBC, granulocyte %, RDW-CV, RDW-SD, and platelet indices (PLT, MPV, PDW, PCT) compared to control. Conversely, RBC, hemoglobin (HGB), hematocrit (HCT), and lymphocyte % significantly decreased with increasing dose (p &lt; 0.05). The hematological alterations indicate a potential inflammatory and anemic response induced by the extract.</w:t>
      </w:r>
    </w:p>
    <w:p w14:paraId="1A21C22B"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Table 1. Complete Blood Count (CBC) Results for the Four Experimental Groups</w:t>
      </w:r>
    </w:p>
    <w:p w14:paraId="7B400A08" w14:textId="68F18B70" w:rsidR="00696CAD" w:rsidRPr="00611716" w:rsidRDefault="00696CAD" w:rsidP="00696CAD">
      <w:pPr>
        <w:spacing w:before="100" w:beforeAutospacing="1" w:after="100" w:afterAutospacing="1" w:line="240" w:lineRule="auto"/>
        <w:outlineLvl w:val="2"/>
        <w:rPr>
          <w:rFonts w:ascii="Arial" w:eastAsia="Times New Roman" w:hAnsi="Arial" w:cs="Arial"/>
          <w:b/>
          <w:bCs/>
          <w:kern w:val="0"/>
          <w:sz w:val="20"/>
          <w:szCs w:val="2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7"/>
        <w:gridCol w:w="1331"/>
        <w:gridCol w:w="1582"/>
        <w:gridCol w:w="1874"/>
        <w:gridCol w:w="1605"/>
        <w:gridCol w:w="81"/>
      </w:tblGrid>
      <w:tr w:rsidR="00D72565" w:rsidRPr="00D72565" w14:paraId="3D721C7D" w14:textId="0877A9C2" w:rsidTr="00611716">
        <w:trPr>
          <w:tblHeader/>
          <w:tblCellSpacing w:w="15" w:type="dxa"/>
        </w:trPr>
        <w:tc>
          <w:tcPr>
            <w:tcW w:w="0" w:type="auto"/>
            <w:tcBorders>
              <w:top w:val="single" w:sz="4" w:space="0" w:color="auto"/>
              <w:bottom w:val="single" w:sz="4" w:space="0" w:color="auto"/>
            </w:tcBorders>
            <w:vAlign w:val="center"/>
            <w:hideMark/>
          </w:tcPr>
          <w:p w14:paraId="62CDBDBB" w14:textId="77777777" w:rsidR="00D72565" w:rsidRPr="00611716" w:rsidRDefault="00D72565"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lastRenderedPageBreak/>
              <w:t>Parameter</w:t>
            </w:r>
          </w:p>
        </w:tc>
        <w:tc>
          <w:tcPr>
            <w:tcW w:w="0" w:type="auto"/>
            <w:tcBorders>
              <w:top w:val="single" w:sz="4" w:space="0" w:color="auto"/>
              <w:bottom w:val="single" w:sz="4" w:space="0" w:color="auto"/>
            </w:tcBorders>
            <w:vAlign w:val="center"/>
            <w:hideMark/>
          </w:tcPr>
          <w:p w14:paraId="09F48D46" w14:textId="77777777" w:rsidR="00D72565" w:rsidRPr="00611716" w:rsidRDefault="00D72565"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Group 1 (Control)</w:t>
            </w:r>
          </w:p>
        </w:tc>
        <w:tc>
          <w:tcPr>
            <w:tcW w:w="0" w:type="auto"/>
            <w:tcBorders>
              <w:top w:val="single" w:sz="4" w:space="0" w:color="auto"/>
              <w:bottom w:val="single" w:sz="4" w:space="0" w:color="auto"/>
            </w:tcBorders>
            <w:vAlign w:val="center"/>
            <w:hideMark/>
          </w:tcPr>
          <w:p w14:paraId="05DC5DD9" w14:textId="77777777" w:rsidR="00D72565" w:rsidRPr="00611716" w:rsidRDefault="00D72565"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Group 2 (Low Dose PAH)</w:t>
            </w:r>
          </w:p>
        </w:tc>
        <w:tc>
          <w:tcPr>
            <w:tcW w:w="0" w:type="auto"/>
            <w:tcBorders>
              <w:top w:val="single" w:sz="4" w:space="0" w:color="auto"/>
              <w:bottom w:val="single" w:sz="4" w:space="0" w:color="auto"/>
            </w:tcBorders>
            <w:vAlign w:val="center"/>
            <w:hideMark/>
          </w:tcPr>
          <w:p w14:paraId="7208EFC6" w14:textId="77777777" w:rsidR="00D72565" w:rsidRPr="00611716" w:rsidRDefault="00D72565"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Group 3 (Medium Dose PAH)</w:t>
            </w:r>
          </w:p>
        </w:tc>
        <w:tc>
          <w:tcPr>
            <w:tcW w:w="0" w:type="auto"/>
            <w:tcBorders>
              <w:top w:val="single" w:sz="4" w:space="0" w:color="auto"/>
              <w:bottom w:val="single" w:sz="4" w:space="0" w:color="auto"/>
            </w:tcBorders>
            <w:vAlign w:val="center"/>
            <w:hideMark/>
          </w:tcPr>
          <w:p w14:paraId="5BE363A2" w14:textId="77777777" w:rsidR="00D72565" w:rsidRPr="00611716" w:rsidRDefault="00D72565"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Group 4 (High Dose PAH)</w:t>
            </w:r>
          </w:p>
        </w:tc>
        <w:tc>
          <w:tcPr>
            <w:tcW w:w="0" w:type="auto"/>
          </w:tcPr>
          <w:p w14:paraId="71B833DE" w14:textId="77777777" w:rsidR="00D72565" w:rsidRPr="00D72565" w:rsidRDefault="00D72565" w:rsidP="00137235">
            <w:pPr>
              <w:spacing w:after="0" w:line="240" w:lineRule="auto"/>
              <w:jc w:val="center"/>
              <w:rPr>
                <w:rFonts w:ascii="Arial" w:eastAsia="Times New Roman" w:hAnsi="Arial" w:cs="Arial"/>
                <w:b/>
                <w:bCs/>
                <w:kern w:val="0"/>
                <w:sz w:val="20"/>
                <w:szCs w:val="20"/>
                <w14:ligatures w14:val="none"/>
              </w:rPr>
            </w:pPr>
          </w:p>
        </w:tc>
      </w:tr>
      <w:tr w:rsidR="00D72565" w:rsidRPr="00D72565" w14:paraId="7F5C326A" w14:textId="42AAB4EC" w:rsidTr="00611716">
        <w:trPr>
          <w:tblCellSpacing w:w="15" w:type="dxa"/>
        </w:trPr>
        <w:tc>
          <w:tcPr>
            <w:tcW w:w="0" w:type="auto"/>
            <w:vAlign w:val="center"/>
            <w:hideMark/>
          </w:tcPr>
          <w:p w14:paraId="5DBBAAB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White Blood Cell (WBC) (×10⁹/L)</w:t>
            </w:r>
          </w:p>
        </w:tc>
        <w:tc>
          <w:tcPr>
            <w:tcW w:w="0" w:type="auto"/>
            <w:vAlign w:val="center"/>
            <w:hideMark/>
          </w:tcPr>
          <w:p w14:paraId="03904CD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6.5 ± 0.4</w:t>
            </w:r>
          </w:p>
        </w:tc>
        <w:tc>
          <w:tcPr>
            <w:tcW w:w="0" w:type="auto"/>
            <w:vAlign w:val="center"/>
            <w:hideMark/>
          </w:tcPr>
          <w:p w14:paraId="51E10709"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7.2 ± 0.3</w:t>
            </w:r>
          </w:p>
        </w:tc>
        <w:tc>
          <w:tcPr>
            <w:tcW w:w="0" w:type="auto"/>
            <w:vAlign w:val="center"/>
            <w:hideMark/>
          </w:tcPr>
          <w:p w14:paraId="40D7B4D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8.9 ± 0.5</w:t>
            </w:r>
          </w:p>
        </w:tc>
        <w:tc>
          <w:tcPr>
            <w:tcW w:w="0" w:type="auto"/>
            <w:vAlign w:val="center"/>
            <w:hideMark/>
          </w:tcPr>
          <w:p w14:paraId="2E4099E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10.3 ± 0.6</w:t>
            </w:r>
          </w:p>
        </w:tc>
        <w:tc>
          <w:tcPr>
            <w:tcW w:w="0" w:type="auto"/>
          </w:tcPr>
          <w:p w14:paraId="29EBA384"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CDDA51A" w14:textId="4FECDA5D" w:rsidTr="00611716">
        <w:trPr>
          <w:tblCellSpacing w:w="15" w:type="dxa"/>
        </w:trPr>
        <w:tc>
          <w:tcPr>
            <w:tcW w:w="0" w:type="auto"/>
            <w:vAlign w:val="center"/>
            <w:hideMark/>
          </w:tcPr>
          <w:p w14:paraId="0F06F90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Lymphocyte %</w:t>
            </w:r>
          </w:p>
        </w:tc>
        <w:tc>
          <w:tcPr>
            <w:tcW w:w="0" w:type="auto"/>
            <w:vAlign w:val="center"/>
            <w:hideMark/>
          </w:tcPr>
          <w:p w14:paraId="198B75C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68.0 ± 2.5</w:t>
            </w:r>
          </w:p>
        </w:tc>
        <w:tc>
          <w:tcPr>
            <w:tcW w:w="0" w:type="auto"/>
            <w:vAlign w:val="center"/>
            <w:hideMark/>
          </w:tcPr>
          <w:p w14:paraId="16331C8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65.4 ± 3.1</w:t>
            </w:r>
          </w:p>
        </w:tc>
        <w:tc>
          <w:tcPr>
            <w:tcW w:w="0" w:type="auto"/>
            <w:vAlign w:val="center"/>
            <w:hideMark/>
          </w:tcPr>
          <w:p w14:paraId="41DA45D4"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61.2 ± 2.9</w:t>
            </w:r>
          </w:p>
        </w:tc>
        <w:tc>
          <w:tcPr>
            <w:tcW w:w="0" w:type="auto"/>
            <w:vAlign w:val="center"/>
            <w:hideMark/>
          </w:tcPr>
          <w:p w14:paraId="6DB5A73C"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57.5 ± 2.8</w:t>
            </w:r>
          </w:p>
        </w:tc>
        <w:tc>
          <w:tcPr>
            <w:tcW w:w="0" w:type="auto"/>
          </w:tcPr>
          <w:p w14:paraId="4C8212B4"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02989B7E" w14:textId="351452F7" w:rsidTr="00611716">
        <w:trPr>
          <w:tblCellSpacing w:w="15" w:type="dxa"/>
        </w:trPr>
        <w:tc>
          <w:tcPr>
            <w:tcW w:w="0" w:type="auto"/>
            <w:vAlign w:val="center"/>
            <w:hideMark/>
          </w:tcPr>
          <w:p w14:paraId="0E13BD7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Monocyte %</w:t>
            </w:r>
          </w:p>
        </w:tc>
        <w:tc>
          <w:tcPr>
            <w:tcW w:w="0" w:type="auto"/>
            <w:vAlign w:val="center"/>
            <w:hideMark/>
          </w:tcPr>
          <w:p w14:paraId="26589B8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5.2 ± 0.8</w:t>
            </w:r>
          </w:p>
        </w:tc>
        <w:tc>
          <w:tcPr>
            <w:tcW w:w="0" w:type="auto"/>
            <w:vAlign w:val="center"/>
            <w:hideMark/>
          </w:tcPr>
          <w:p w14:paraId="305287D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6.0 ± 0.9</w:t>
            </w:r>
          </w:p>
        </w:tc>
        <w:tc>
          <w:tcPr>
            <w:tcW w:w="0" w:type="auto"/>
            <w:vAlign w:val="center"/>
            <w:hideMark/>
          </w:tcPr>
          <w:p w14:paraId="6931429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6.5 ± 1.0</w:t>
            </w:r>
          </w:p>
        </w:tc>
        <w:tc>
          <w:tcPr>
            <w:tcW w:w="0" w:type="auto"/>
            <w:vAlign w:val="center"/>
            <w:hideMark/>
          </w:tcPr>
          <w:p w14:paraId="21D4FA7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7.4 ± 0.7</w:t>
            </w:r>
          </w:p>
        </w:tc>
        <w:tc>
          <w:tcPr>
            <w:tcW w:w="0" w:type="auto"/>
          </w:tcPr>
          <w:p w14:paraId="67BFA3D2"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258C732" w14:textId="3DFCA42D" w:rsidTr="00611716">
        <w:trPr>
          <w:tblCellSpacing w:w="15" w:type="dxa"/>
        </w:trPr>
        <w:tc>
          <w:tcPr>
            <w:tcW w:w="0" w:type="auto"/>
            <w:vAlign w:val="center"/>
            <w:hideMark/>
          </w:tcPr>
          <w:p w14:paraId="3391ED7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Granulocyte %</w:t>
            </w:r>
          </w:p>
        </w:tc>
        <w:tc>
          <w:tcPr>
            <w:tcW w:w="0" w:type="auto"/>
            <w:vAlign w:val="center"/>
            <w:hideMark/>
          </w:tcPr>
          <w:p w14:paraId="004FCD0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26.8 ± 1.9</w:t>
            </w:r>
          </w:p>
        </w:tc>
        <w:tc>
          <w:tcPr>
            <w:tcW w:w="0" w:type="auto"/>
            <w:vAlign w:val="center"/>
            <w:hideMark/>
          </w:tcPr>
          <w:p w14:paraId="1078FAA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28.6 ± 2.0</w:t>
            </w:r>
          </w:p>
        </w:tc>
        <w:tc>
          <w:tcPr>
            <w:tcW w:w="0" w:type="auto"/>
            <w:vAlign w:val="center"/>
            <w:hideMark/>
          </w:tcPr>
          <w:p w14:paraId="0C35B21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32.3 ± 2.2</w:t>
            </w:r>
          </w:p>
        </w:tc>
        <w:tc>
          <w:tcPr>
            <w:tcW w:w="0" w:type="auto"/>
            <w:vAlign w:val="center"/>
            <w:hideMark/>
          </w:tcPr>
          <w:p w14:paraId="02FDEC24"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35.1 ± 2.4</w:t>
            </w:r>
          </w:p>
        </w:tc>
        <w:tc>
          <w:tcPr>
            <w:tcW w:w="0" w:type="auto"/>
          </w:tcPr>
          <w:p w14:paraId="203339FA"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48C1D723" w14:textId="6843E750" w:rsidTr="00611716">
        <w:trPr>
          <w:tblCellSpacing w:w="15" w:type="dxa"/>
        </w:trPr>
        <w:tc>
          <w:tcPr>
            <w:tcW w:w="0" w:type="auto"/>
            <w:vAlign w:val="center"/>
            <w:hideMark/>
          </w:tcPr>
          <w:p w14:paraId="02DEBC5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Red Blood Cell (RBC) (×10¹²/L)</w:t>
            </w:r>
          </w:p>
        </w:tc>
        <w:tc>
          <w:tcPr>
            <w:tcW w:w="0" w:type="auto"/>
            <w:vAlign w:val="center"/>
            <w:hideMark/>
          </w:tcPr>
          <w:p w14:paraId="35EB226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7.4 ± 0.2</w:t>
            </w:r>
          </w:p>
        </w:tc>
        <w:tc>
          <w:tcPr>
            <w:tcW w:w="0" w:type="auto"/>
            <w:vAlign w:val="center"/>
            <w:hideMark/>
          </w:tcPr>
          <w:p w14:paraId="1892AA80"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6.9 ± 0.3</w:t>
            </w:r>
          </w:p>
        </w:tc>
        <w:tc>
          <w:tcPr>
            <w:tcW w:w="0" w:type="auto"/>
            <w:vAlign w:val="center"/>
            <w:hideMark/>
          </w:tcPr>
          <w:p w14:paraId="4DA3B103"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6.2 ± 0.2</w:t>
            </w:r>
          </w:p>
        </w:tc>
        <w:tc>
          <w:tcPr>
            <w:tcW w:w="0" w:type="auto"/>
            <w:vAlign w:val="center"/>
            <w:hideMark/>
          </w:tcPr>
          <w:p w14:paraId="1BCAA8F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5.6 ± 0.3</w:t>
            </w:r>
          </w:p>
        </w:tc>
        <w:tc>
          <w:tcPr>
            <w:tcW w:w="0" w:type="auto"/>
          </w:tcPr>
          <w:p w14:paraId="100DCA72"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2B5E057A" w14:textId="7C1C3DD8" w:rsidTr="00611716">
        <w:trPr>
          <w:tblCellSpacing w:w="15" w:type="dxa"/>
        </w:trPr>
        <w:tc>
          <w:tcPr>
            <w:tcW w:w="0" w:type="auto"/>
            <w:vAlign w:val="center"/>
            <w:hideMark/>
          </w:tcPr>
          <w:p w14:paraId="4F6742C4"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Hemoglobin (HGB) (g/dL)</w:t>
            </w:r>
          </w:p>
        </w:tc>
        <w:tc>
          <w:tcPr>
            <w:tcW w:w="0" w:type="auto"/>
            <w:vAlign w:val="center"/>
            <w:hideMark/>
          </w:tcPr>
          <w:p w14:paraId="4779260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14.1 ± 0.4</w:t>
            </w:r>
          </w:p>
        </w:tc>
        <w:tc>
          <w:tcPr>
            <w:tcW w:w="0" w:type="auto"/>
            <w:vAlign w:val="center"/>
            <w:hideMark/>
          </w:tcPr>
          <w:p w14:paraId="0DB3D52D"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13.2 ± 0.5</w:t>
            </w:r>
          </w:p>
        </w:tc>
        <w:tc>
          <w:tcPr>
            <w:tcW w:w="0" w:type="auto"/>
            <w:vAlign w:val="center"/>
            <w:hideMark/>
          </w:tcPr>
          <w:p w14:paraId="4705C689"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11.8 ± 0.4</w:t>
            </w:r>
          </w:p>
        </w:tc>
        <w:tc>
          <w:tcPr>
            <w:tcW w:w="0" w:type="auto"/>
            <w:vAlign w:val="center"/>
            <w:hideMark/>
          </w:tcPr>
          <w:p w14:paraId="439E4F89"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10.2 ± 0.5</w:t>
            </w:r>
          </w:p>
        </w:tc>
        <w:tc>
          <w:tcPr>
            <w:tcW w:w="0" w:type="auto"/>
          </w:tcPr>
          <w:p w14:paraId="627D7DC7"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F6E2C48" w14:textId="034F344E" w:rsidTr="00611716">
        <w:trPr>
          <w:tblCellSpacing w:w="15" w:type="dxa"/>
        </w:trPr>
        <w:tc>
          <w:tcPr>
            <w:tcW w:w="0" w:type="auto"/>
            <w:vAlign w:val="center"/>
            <w:hideMark/>
          </w:tcPr>
          <w:p w14:paraId="5104D07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Hematocrit (HCT) (%)</w:t>
            </w:r>
          </w:p>
        </w:tc>
        <w:tc>
          <w:tcPr>
            <w:tcW w:w="0" w:type="auto"/>
            <w:vAlign w:val="center"/>
            <w:hideMark/>
          </w:tcPr>
          <w:p w14:paraId="40BE597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42.3 ± 1.5</w:t>
            </w:r>
          </w:p>
        </w:tc>
        <w:tc>
          <w:tcPr>
            <w:tcW w:w="0" w:type="auto"/>
            <w:vAlign w:val="center"/>
            <w:hideMark/>
          </w:tcPr>
          <w:p w14:paraId="617A39B0"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39.8 ± 1.8</w:t>
            </w:r>
          </w:p>
        </w:tc>
        <w:tc>
          <w:tcPr>
            <w:tcW w:w="0" w:type="auto"/>
            <w:vAlign w:val="center"/>
            <w:hideMark/>
          </w:tcPr>
          <w:p w14:paraId="2903F586"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36.1 ± 1.4</w:t>
            </w:r>
          </w:p>
        </w:tc>
        <w:tc>
          <w:tcPr>
            <w:tcW w:w="0" w:type="auto"/>
            <w:vAlign w:val="center"/>
            <w:hideMark/>
          </w:tcPr>
          <w:p w14:paraId="17EECE54"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32.4 ± 1.6</w:t>
            </w:r>
          </w:p>
        </w:tc>
        <w:tc>
          <w:tcPr>
            <w:tcW w:w="0" w:type="auto"/>
          </w:tcPr>
          <w:p w14:paraId="1096553A"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1FE8EAA8" w14:textId="72505116" w:rsidTr="00611716">
        <w:trPr>
          <w:tblCellSpacing w:w="15" w:type="dxa"/>
        </w:trPr>
        <w:tc>
          <w:tcPr>
            <w:tcW w:w="0" w:type="auto"/>
            <w:vAlign w:val="center"/>
            <w:hideMark/>
          </w:tcPr>
          <w:p w14:paraId="00A58FBD"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Mean Corpuscular Volume (MCV) (</w:t>
            </w:r>
            <w:proofErr w:type="spellStart"/>
            <w:r w:rsidRPr="00611716">
              <w:rPr>
                <w:rFonts w:ascii="Arial" w:eastAsia="Times New Roman" w:hAnsi="Arial" w:cs="Arial"/>
                <w:kern w:val="0"/>
                <w:sz w:val="20"/>
                <w:szCs w:val="20"/>
                <w14:ligatures w14:val="none"/>
              </w:rPr>
              <w:t>fL</w:t>
            </w:r>
            <w:proofErr w:type="spellEnd"/>
            <w:r w:rsidRPr="00611716">
              <w:rPr>
                <w:rFonts w:ascii="Arial" w:eastAsia="Times New Roman" w:hAnsi="Arial" w:cs="Arial"/>
                <w:kern w:val="0"/>
                <w:sz w:val="20"/>
                <w:szCs w:val="20"/>
                <w14:ligatures w14:val="none"/>
              </w:rPr>
              <w:t>)</w:t>
            </w:r>
          </w:p>
        </w:tc>
        <w:tc>
          <w:tcPr>
            <w:tcW w:w="0" w:type="auto"/>
            <w:vAlign w:val="center"/>
            <w:hideMark/>
          </w:tcPr>
          <w:p w14:paraId="6A88075F"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57.2 ± 2.1</w:t>
            </w:r>
          </w:p>
        </w:tc>
        <w:tc>
          <w:tcPr>
            <w:tcW w:w="0" w:type="auto"/>
            <w:vAlign w:val="center"/>
            <w:hideMark/>
          </w:tcPr>
          <w:p w14:paraId="7F8FACD0"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57.7 ± 2.4</w:t>
            </w:r>
          </w:p>
        </w:tc>
        <w:tc>
          <w:tcPr>
            <w:tcW w:w="0" w:type="auto"/>
            <w:vAlign w:val="center"/>
            <w:hideMark/>
          </w:tcPr>
          <w:p w14:paraId="45E5A30B"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58.2 ± 2.6</w:t>
            </w:r>
          </w:p>
        </w:tc>
        <w:tc>
          <w:tcPr>
            <w:tcW w:w="0" w:type="auto"/>
            <w:vAlign w:val="center"/>
            <w:hideMark/>
          </w:tcPr>
          <w:p w14:paraId="15ACC40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58.0 ± 2.2</w:t>
            </w:r>
          </w:p>
        </w:tc>
        <w:tc>
          <w:tcPr>
            <w:tcW w:w="0" w:type="auto"/>
          </w:tcPr>
          <w:p w14:paraId="0E43A09F"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94E196D" w14:textId="5375AF54" w:rsidTr="00611716">
        <w:trPr>
          <w:tblCellSpacing w:w="15" w:type="dxa"/>
        </w:trPr>
        <w:tc>
          <w:tcPr>
            <w:tcW w:w="0" w:type="auto"/>
            <w:vAlign w:val="center"/>
            <w:hideMark/>
          </w:tcPr>
          <w:p w14:paraId="457EE5A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Mean Corpuscular Hemoglobin (MCH) (</w:t>
            </w:r>
            <w:proofErr w:type="spellStart"/>
            <w:r w:rsidRPr="00611716">
              <w:rPr>
                <w:rFonts w:ascii="Arial" w:eastAsia="Times New Roman" w:hAnsi="Arial" w:cs="Arial"/>
                <w:kern w:val="0"/>
                <w:sz w:val="20"/>
                <w:szCs w:val="20"/>
                <w14:ligatures w14:val="none"/>
              </w:rPr>
              <w:t>pg</w:t>
            </w:r>
            <w:proofErr w:type="spellEnd"/>
            <w:r w:rsidRPr="00611716">
              <w:rPr>
                <w:rFonts w:ascii="Arial" w:eastAsia="Times New Roman" w:hAnsi="Arial" w:cs="Arial"/>
                <w:kern w:val="0"/>
                <w:sz w:val="20"/>
                <w:szCs w:val="20"/>
                <w14:ligatures w14:val="none"/>
              </w:rPr>
              <w:t>)</w:t>
            </w:r>
          </w:p>
        </w:tc>
        <w:tc>
          <w:tcPr>
            <w:tcW w:w="0" w:type="auto"/>
            <w:vAlign w:val="center"/>
            <w:hideMark/>
          </w:tcPr>
          <w:p w14:paraId="303D217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19.1 ± 0.8</w:t>
            </w:r>
          </w:p>
        </w:tc>
        <w:tc>
          <w:tcPr>
            <w:tcW w:w="0" w:type="auto"/>
            <w:vAlign w:val="center"/>
            <w:hideMark/>
          </w:tcPr>
          <w:p w14:paraId="3439BE5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18.7 ± 0.7</w:t>
            </w:r>
          </w:p>
        </w:tc>
        <w:tc>
          <w:tcPr>
            <w:tcW w:w="0" w:type="auto"/>
            <w:vAlign w:val="center"/>
            <w:hideMark/>
          </w:tcPr>
          <w:p w14:paraId="264860A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18.2 ± 0.8</w:t>
            </w:r>
          </w:p>
        </w:tc>
        <w:tc>
          <w:tcPr>
            <w:tcW w:w="0" w:type="auto"/>
            <w:vAlign w:val="center"/>
            <w:hideMark/>
          </w:tcPr>
          <w:p w14:paraId="41B0DE54"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17.9 ± 0.6</w:t>
            </w:r>
          </w:p>
        </w:tc>
        <w:tc>
          <w:tcPr>
            <w:tcW w:w="0" w:type="auto"/>
          </w:tcPr>
          <w:p w14:paraId="64D412DD"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0E36ED78" w14:textId="36E490F6" w:rsidTr="00611716">
        <w:trPr>
          <w:tblCellSpacing w:w="15" w:type="dxa"/>
        </w:trPr>
        <w:tc>
          <w:tcPr>
            <w:tcW w:w="0" w:type="auto"/>
            <w:vAlign w:val="center"/>
            <w:hideMark/>
          </w:tcPr>
          <w:p w14:paraId="04324D6F"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MCH Concentration (MCHC) (g/dL)</w:t>
            </w:r>
          </w:p>
        </w:tc>
        <w:tc>
          <w:tcPr>
            <w:tcW w:w="0" w:type="auto"/>
            <w:vAlign w:val="center"/>
            <w:hideMark/>
          </w:tcPr>
          <w:p w14:paraId="18D13ED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33.4 ± 1.2</w:t>
            </w:r>
          </w:p>
        </w:tc>
        <w:tc>
          <w:tcPr>
            <w:tcW w:w="0" w:type="auto"/>
            <w:vAlign w:val="center"/>
            <w:hideMark/>
          </w:tcPr>
          <w:p w14:paraId="2E649BB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32.3 ± 1.1</w:t>
            </w:r>
          </w:p>
        </w:tc>
        <w:tc>
          <w:tcPr>
            <w:tcW w:w="0" w:type="auto"/>
            <w:vAlign w:val="center"/>
            <w:hideMark/>
          </w:tcPr>
          <w:p w14:paraId="64B5AA1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31.4 ± 1.0</w:t>
            </w:r>
          </w:p>
        </w:tc>
        <w:tc>
          <w:tcPr>
            <w:tcW w:w="0" w:type="auto"/>
            <w:vAlign w:val="center"/>
            <w:hideMark/>
          </w:tcPr>
          <w:p w14:paraId="284C326B"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30.8 ± 1.3</w:t>
            </w:r>
          </w:p>
        </w:tc>
        <w:tc>
          <w:tcPr>
            <w:tcW w:w="0" w:type="auto"/>
          </w:tcPr>
          <w:p w14:paraId="7999FDB0"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F48259C" w14:textId="23A63E5A" w:rsidTr="00611716">
        <w:trPr>
          <w:tblCellSpacing w:w="15" w:type="dxa"/>
        </w:trPr>
        <w:tc>
          <w:tcPr>
            <w:tcW w:w="0" w:type="auto"/>
            <w:vAlign w:val="center"/>
            <w:hideMark/>
          </w:tcPr>
          <w:p w14:paraId="6C40C9B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Red Cell Distribution Width – CV (RDW-CV) (%)</w:t>
            </w:r>
          </w:p>
        </w:tc>
        <w:tc>
          <w:tcPr>
            <w:tcW w:w="0" w:type="auto"/>
            <w:vAlign w:val="center"/>
            <w:hideMark/>
          </w:tcPr>
          <w:p w14:paraId="0C87695F"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12.4 ± 0.5</w:t>
            </w:r>
          </w:p>
        </w:tc>
        <w:tc>
          <w:tcPr>
            <w:tcW w:w="0" w:type="auto"/>
            <w:vAlign w:val="center"/>
            <w:hideMark/>
          </w:tcPr>
          <w:p w14:paraId="41E2069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13.2 ± 0.7</w:t>
            </w:r>
          </w:p>
        </w:tc>
        <w:tc>
          <w:tcPr>
            <w:tcW w:w="0" w:type="auto"/>
            <w:vAlign w:val="center"/>
            <w:hideMark/>
          </w:tcPr>
          <w:p w14:paraId="1724186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14.5 ± 0.6</w:t>
            </w:r>
          </w:p>
        </w:tc>
        <w:tc>
          <w:tcPr>
            <w:tcW w:w="0" w:type="auto"/>
            <w:vAlign w:val="center"/>
            <w:hideMark/>
          </w:tcPr>
          <w:p w14:paraId="5EC9658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15.6 ± 0.8</w:t>
            </w:r>
          </w:p>
        </w:tc>
        <w:tc>
          <w:tcPr>
            <w:tcW w:w="0" w:type="auto"/>
          </w:tcPr>
          <w:p w14:paraId="3BB2CE73"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162282C" w14:textId="55A6DDC1" w:rsidTr="00611716">
        <w:trPr>
          <w:tblCellSpacing w:w="15" w:type="dxa"/>
        </w:trPr>
        <w:tc>
          <w:tcPr>
            <w:tcW w:w="0" w:type="auto"/>
            <w:vAlign w:val="center"/>
            <w:hideMark/>
          </w:tcPr>
          <w:p w14:paraId="3DD7B56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Red Cell Distribution Width – SD (RDW-SD) (</w:t>
            </w:r>
            <w:proofErr w:type="spellStart"/>
            <w:r w:rsidRPr="00611716">
              <w:rPr>
                <w:rFonts w:ascii="Arial" w:eastAsia="Times New Roman" w:hAnsi="Arial" w:cs="Arial"/>
                <w:kern w:val="0"/>
                <w:sz w:val="20"/>
                <w:szCs w:val="20"/>
                <w14:ligatures w14:val="none"/>
              </w:rPr>
              <w:t>fL</w:t>
            </w:r>
            <w:proofErr w:type="spellEnd"/>
            <w:r w:rsidRPr="00611716">
              <w:rPr>
                <w:rFonts w:ascii="Arial" w:eastAsia="Times New Roman" w:hAnsi="Arial" w:cs="Arial"/>
                <w:kern w:val="0"/>
                <w:sz w:val="20"/>
                <w:szCs w:val="20"/>
                <w14:ligatures w14:val="none"/>
              </w:rPr>
              <w:t>)</w:t>
            </w:r>
          </w:p>
        </w:tc>
        <w:tc>
          <w:tcPr>
            <w:tcW w:w="0" w:type="auto"/>
            <w:vAlign w:val="center"/>
            <w:hideMark/>
          </w:tcPr>
          <w:p w14:paraId="1757014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38.6 ± 1.2</w:t>
            </w:r>
          </w:p>
        </w:tc>
        <w:tc>
          <w:tcPr>
            <w:tcW w:w="0" w:type="auto"/>
            <w:vAlign w:val="center"/>
            <w:hideMark/>
          </w:tcPr>
          <w:p w14:paraId="7FD8672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40.1 ± 1.4</w:t>
            </w:r>
          </w:p>
        </w:tc>
        <w:tc>
          <w:tcPr>
            <w:tcW w:w="0" w:type="auto"/>
            <w:vAlign w:val="center"/>
            <w:hideMark/>
          </w:tcPr>
          <w:p w14:paraId="2BFAB1D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43.2 ± 1.7</w:t>
            </w:r>
          </w:p>
        </w:tc>
        <w:tc>
          <w:tcPr>
            <w:tcW w:w="0" w:type="auto"/>
            <w:vAlign w:val="center"/>
            <w:hideMark/>
          </w:tcPr>
          <w:p w14:paraId="4B8466A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45.5 ± 2.1</w:t>
            </w:r>
          </w:p>
        </w:tc>
        <w:tc>
          <w:tcPr>
            <w:tcW w:w="0" w:type="auto"/>
          </w:tcPr>
          <w:p w14:paraId="7D9615FE"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E411A2B" w14:textId="01D6AC29" w:rsidTr="00611716">
        <w:trPr>
          <w:tblCellSpacing w:w="15" w:type="dxa"/>
        </w:trPr>
        <w:tc>
          <w:tcPr>
            <w:tcW w:w="0" w:type="auto"/>
            <w:vAlign w:val="center"/>
            <w:hideMark/>
          </w:tcPr>
          <w:p w14:paraId="1DABF93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Platelet Count (PLT) (×10⁹/L)</w:t>
            </w:r>
          </w:p>
        </w:tc>
        <w:tc>
          <w:tcPr>
            <w:tcW w:w="0" w:type="auto"/>
            <w:vAlign w:val="center"/>
            <w:hideMark/>
          </w:tcPr>
          <w:p w14:paraId="6984E65B"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390 ± 20</w:t>
            </w:r>
          </w:p>
        </w:tc>
        <w:tc>
          <w:tcPr>
            <w:tcW w:w="0" w:type="auto"/>
            <w:vAlign w:val="center"/>
            <w:hideMark/>
          </w:tcPr>
          <w:p w14:paraId="2A862B6B"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415 ± 18</w:t>
            </w:r>
          </w:p>
        </w:tc>
        <w:tc>
          <w:tcPr>
            <w:tcW w:w="0" w:type="auto"/>
            <w:vAlign w:val="center"/>
            <w:hideMark/>
          </w:tcPr>
          <w:p w14:paraId="783C7319"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448 ± 22</w:t>
            </w:r>
          </w:p>
        </w:tc>
        <w:tc>
          <w:tcPr>
            <w:tcW w:w="0" w:type="auto"/>
            <w:vAlign w:val="center"/>
            <w:hideMark/>
          </w:tcPr>
          <w:p w14:paraId="42186E0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472 ± 25</w:t>
            </w:r>
          </w:p>
        </w:tc>
        <w:tc>
          <w:tcPr>
            <w:tcW w:w="0" w:type="auto"/>
          </w:tcPr>
          <w:p w14:paraId="2397502D"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28219D77" w14:textId="7EEB996D" w:rsidTr="00611716">
        <w:trPr>
          <w:tblCellSpacing w:w="15" w:type="dxa"/>
        </w:trPr>
        <w:tc>
          <w:tcPr>
            <w:tcW w:w="0" w:type="auto"/>
            <w:vAlign w:val="center"/>
            <w:hideMark/>
          </w:tcPr>
          <w:p w14:paraId="6295BC7C"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Mean Platelet Volume (MPV) (</w:t>
            </w:r>
            <w:proofErr w:type="spellStart"/>
            <w:r w:rsidRPr="00611716">
              <w:rPr>
                <w:rFonts w:ascii="Arial" w:eastAsia="Times New Roman" w:hAnsi="Arial" w:cs="Arial"/>
                <w:kern w:val="0"/>
                <w:sz w:val="20"/>
                <w:szCs w:val="20"/>
                <w14:ligatures w14:val="none"/>
              </w:rPr>
              <w:t>fL</w:t>
            </w:r>
            <w:proofErr w:type="spellEnd"/>
            <w:r w:rsidRPr="00611716">
              <w:rPr>
                <w:rFonts w:ascii="Arial" w:eastAsia="Times New Roman" w:hAnsi="Arial" w:cs="Arial"/>
                <w:kern w:val="0"/>
                <w:sz w:val="20"/>
                <w:szCs w:val="20"/>
                <w14:ligatures w14:val="none"/>
              </w:rPr>
              <w:t>)</w:t>
            </w:r>
          </w:p>
        </w:tc>
        <w:tc>
          <w:tcPr>
            <w:tcW w:w="0" w:type="auto"/>
            <w:vAlign w:val="center"/>
            <w:hideMark/>
          </w:tcPr>
          <w:p w14:paraId="256CCB39"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6.8 ± 0.4</w:t>
            </w:r>
          </w:p>
        </w:tc>
        <w:tc>
          <w:tcPr>
            <w:tcW w:w="0" w:type="auto"/>
            <w:vAlign w:val="center"/>
            <w:hideMark/>
          </w:tcPr>
          <w:p w14:paraId="59BD0BF1"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7.1 ± 0.3</w:t>
            </w:r>
          </w:p>
        </w:tc>
        <w:tc>
          <w:tcPr>
            <w:tcW w:w="0" w:type="auto"/>
            <w:vAlign w:val="center"/>
            <w:hideMark/>
          </w:tcPr>
          <w:p w14:paraId="44800C4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7.6 ± 0.4</w:t>
            </w:r>
          </w:p>
        </w:tc>
        <w:tc>
          <w:tcPr>
            <w:tcW w:w="0" w:type="auto"/>
            <w:vAlign w:val="center"/>
            <w:hideMark/>
          </w:tcPr>
          <w:p w14:paraId="7F63863C"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7.9 ± 0.5</w:t>
            </w:r>
          </w:p>
        </w:tc>
        <w:tc>
          <w:tcPr>
            <w:tcW w:w="0" w:type="auto"/>
          </w:tcPr>
          <w:p w14:paraId="2F69DB97"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3FCFE33A" w14:textId="0B1A0667" w:rsidTr="00611716">
        <w:trPr>
          <w:tblCellSpacing w:w="15" w:type="dxa"/>
        </w:trPr>
        <w:tc>
          <w:tcPr>
            <w:tcW w:w="0" w:type="auto"/>
            <w:vAlign w:val="center"/>
            <w:hideMark/>
          </w:tcPr>
          <w:p w14:paraId="2CA2A6D6"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Platelet Distribution Width (PDW) (%)</w:t>
            </w:r>
          </w:p>
        </w:tc>
        <w:tc>
          <w:tcPr>
            <w:tcW w:w="0" w:type="auto"/>
            <w:vAlign w:val="center"/>
            <w:hideMark/>
          </w:tcPr>
          <w:p w14:paraId="76E739F4"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15.4 ± 0.6</w:t>
            </w:r>
          </w:p>
        </w:tc>
        <w:tc>
          <w:tcPr>
            <w:tcW w:w="0" w:type="auto"/>
            <w:vAlign w:val="center"/>
            <w:hideMark/>
          </w:tcPr>
          <w:p w14:paraId="1FA73A2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16.2 ± 0.8</w:t>
            </w:r>
          </w:p>
        </w:tc>
        <w:tc>
          <w:tcPr>
            <w:tcW w:w="0" w:type="auto"/>
            <w:vAlign w:val="center"/>
            <w:hideMark/>
          </w:tcPr>
          <w:p w14:paraId="6D6ED563"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17.3 ± 0.9</w:t>
            </w:r>
          </w:p>
        </w:tc>
        <w:tc>
          <w:tcPr>
            <w:tcW w:w="0" w:type="auto"/>
            <w:vAlign w:val="center"/>
            <w:hideMark/>
          </w:tcPr>
          <w:p w14:paraId="4FFD346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18.1 ± 1.1</w:t>
            </w:r>
          </w:p>
        </w:tc>
        <w:tc>
          <w:tcPr>
            <w:tcW w:w="0" w:type="auto"/>
          </w:tcPr>
          <w:p w14:paraId="00744908"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23217B17" w14:textId="08226072" w:rsidTr="00611716">
        <w:trPr>
          <w:tblCellSpacing w:w="15" w:type="dxa"/>
        </w:trPr>
        <w:tc>
          <w:tcPr>
            <w:tcW w:w="0" w:type="auto"/>
            <w:vAlign w:val="center"/>
            <w:hideMark/>
          </w:tcPr>
          <w:p w14:paraId="254D0E6D" w14:textId="77777777" w:rsidR="00D72565" w:rsidRPr="00611716" w:rsidRDefault="00D72565"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Plateletcrit</w:t>
            </w:r>
            <w:proofErr w:type="spellEnd"/>
            <w:r w:rsidRPr="00611716">
              <w:rPr>
                <w:rFonts w:ascii="Arial" w:eastAsia="Times New Roman" w:hAnsi="Arial" w:cs="Arial"/>
                <w:kern w:val="0"/>
                <w:sz w:val="20"/>
                <w:szCs w:val="20"/>
                <w14:ligatures w14:val="none"/>
              </w:rPr>
              <w:t xml:space="preserve"> (PCT) (%)</w:t>
            </w:r>
          </w:p>
        </w:tc>
        <w:tc>
          <w:tcPr>
            <w:tcW w:w="0" w:type="auto"/>
            <w:vAlign w:val="center"/>
            <w:hideMark/>
          </w:tcPr>
          <w:p w14:paraId="182F23B9"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0.26 ± 0.01</w:t>
            </w:r>
          </w:p>
        </w:tc>
        <w:tc>
          <w:tcPr>
            <w:tcW w:w="0" w:type="auto"/>
            <w:vAlign w:val="center"/>
            <w:hideMark/>
          </w:tcPr>
          <w:p w14:paraId="637A258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0.29 ± 0.01</w:t>
            </w:r>
          </w:p>
        </w:tc>
        <w:tc>
          <w:tcPr>
            <w:tcW w:w="0" w:type="auto"/>
            <w:vAlign w:val="center"/>
            <w:hideMark/>
          </w:tcPr>
          <w:p w14:paraId="5FFF9F03"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0.33 ± 0.02</w:t>
            </w:r>
          </w:p>
        </w:tc>
        <w:tc>
          <w:tcPr>
            <w:tcW w:w="0" w:type="auto"/>
            <w:vAlign w:val="center"/>
            <w:hideMark/>
          </w:tcPr>
          <w:p w14:paraId="6C841B8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0.36 ± 0.02</w:t>
            </w:r>
          </w:p>
        </w:tc>
        <w:tc>
          <w:tcPr>
            <w:tcW w:w="0" w:type="auto"/>
          </w:tcPr>
          <w:p w14:paraId="29DAB328"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5193E3EA" w14:textId="4617DE49" w:rsidTr="00611716">
        <w:trPr>
          <w:tblCellSpacing w:w="15" w:type="dxa"/>
        </w:trPr>
        <w:tc>
          <w:tcPr>
            <w:tcW w:w="0" w:type="auto"/>
            <w:vAlign w:val="center"/>
            <w:hideMark/>
          </w:tcPr>
          <w:p w14:paraId="567BE1D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Neutrophil %</w:t>
            </w:r>
          </w:p>
        </w:tc>
        <w:tc>
          <w:tcPr>
            <w:tcW w:w="0" w:type="auto"/>
            <w:vAlign w:val="center"/>
            <w:hideMark/>
          </w:tcPr>
          <w:p w14:paraId="6994EA8C"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22.5 ± 1.2</w:t>
            </w:r>
          </w:p>
        </w:tc>
        <w:tc>
          <w:tcPr>
            <w:tcW w:w="0" w:type="auto"/>
            <w:vAlign w:val="center"/>
            <w:hideMark/>
          </w:tcPr>
          <w:p w14:paraId="10F6E21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24.3 ± 1.6</w:t>
            </w:r>
          </w:p>
        </w:tc>
        <w:tc>
          <w:tcPr>
            <w:tcW w:w="0" w:type="auto"/>
            <w:vAlign w:val="center"/>
            <w:hideMark/>
          </w:tcPr>
          <w:p w14:paraId="6A4C4F0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28.4 ± 1.8</w:t>
            </w:r>
          </w:p>
        </w:tc>
        <w:tc>
          <w:tcPr>
            <w:tcW w:w="0" w:type="auto"/>
            <w:vAlign w:val="center"/>
            <w:hideMark/>
          </w:tcPr>
          <w:p w14:paraId="0C8125CD"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31.7 ± 1.9</w:t>
            </w:r>
          </w:p>
        </w:tc>
        <w:tc>
          <w:tcPr>
            <w:tcW w:w="0" w:type="auto"/>
          </w:tcPr>
          <w:p w14:paraId="1CB76310"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B91DA57" w14:textId="42601203" w:rsidTr="00611716">
        <w:trPr>
          <w:tblCellSpacing w:w="15" w:type="dxa"/>
        </w:trPr>
        <w:tc>
          <w:tcPr>
            <w:tcW w:w="0" w:type="auto"/>
            <w:vAlign w:val="center"/>
            <w:hideMark/>
          </w:tcPr>
          <w:p w14:paraId="319B7BEC"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Eosinophil %</w:t>
            </w:r>
          </w:p>
        </w:tc>
        <w:tc>
          <w:tcPr>
            <w:tcW w:w="0" w:type="auto"/>
            <w:vAlign w:val="center"/>
            <w:hideMark/>
          </w:tcPr>
          <w:p w14:paraId="34EDE680"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2.1 ± 0.3</w:t>
            </w:r>
          </w:p>
        </w:tc>
        <w:tc>
          <w:tcPr>
            <w:tcW w:w="0" w:type="auto"/>
            <w:vAlign w:val="center"/>
            <w:hideMark/>
          </w:tcPr>
          <w:p w14:paraId="25B0873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2.3 ± 0.4</w:t>
            </w:r>
          </w:p>
        </w:tc>
        <w:tc>
          <w:tcPr>
            <w:tcW w:w="0" w:type="auto"/>
            <w:vAlign w:val="center"/>
            <w:hideMark/>
          </w:tcPr>
          <w:p w14:paraId="003FB36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2.5 ± 0.3</w:t>
            </w:r>
          </w:p>
        </w:tc>
        <w:tc>
          <w:tcPr>
            <w:tcW w:w="0" w:type="auto"/>
            <w:vAlign w:val="center"/>
            <w:hideMark/>
          </w:tcPr>
          <w:p w14:paraId="26D2444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2.7 ± 0.4</w:t>
            </w:r>
          </w:p>
        </w:tc>
        <w:tc>
          <w:tcPr>
            <w:tcW w:w="0" w:type="auto"/>
          </w:tcPr>
          <w:p w14:paraId="7A9FD594"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0C7C1288" w14:textId="60D17C75" w:rsidTr="00611716">
        <w:trPr>
          <w:tblCellSpacing w:w="15" w:type="dxa"/>
        </w:trPr>
        <w:tc>
          <w:tcPr>
            <w:tcW w:w="0" w:type="auto"/>
            <w:vAlign w:val="center"/>
            <w:hideMark/>
          </w:tcPr>
          <w:p w14:paraId="55722A93"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Basophil %</w:t>
            </w:r>
          </w:p>
        </w:tc>
        <w:tc>
          <w:tcPr>
            <w:tcW w:w="0" w:type="auto"/>
            <w:vAlign w:val="center"/>
            <w:hideMark/>
          </w:tcPr>
          <w:p w14:paraId="17D823B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0.4 ± 0.1</w:t>
            </w:r>
          </w:p>
        </w:tc>
        <w:tc>
          <w:tcPr>
            <w:tcW w:w="0" w:type="auto"/>
            <w:vAlign w:val="center"/>
            <w:hideMark/>
          </w:tcPr>
          <w:p w14:paraId="59DE126B"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0.5 ± 0.1</w:t>
            </w:r>
          </w:p>
        </w:tc>
        <w:tc>
          <w:tcPr>
            <w:tcW w:w="0" w:type="auto"/>
            <w:vAlign w:val="center"/>
            <w:hideMark/>
          </w:tcPr>
          <w:p w14:paraId="377579E6"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0.6 ± 0.1</w:t>
            </w:r>
          </w:p>
        </w:tc>
        <w:tc>
          <w:tcPr>
            <w:tcW w:w="0" w:type="auto"/>
            <w:vAlign w:val="center"/>
            <w:hideMark/>
          </w:tcPr>
          <w:p w14:paraId="30D23D0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0.6 ± 0.1</w:t>
            </w:r>
          </w:p>
        </w:tc>
        <w:tc>
          <w:tcPr>
            <w:tcW w:w="0" w:type="auto"/>
          </w:tcPr>
          <w:p w14:paraId="5FA091B5"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77C1AF4D" w14:textId="2E02BA9A" w:rsidTr="00611716">
        <w:trPr>
          <w:tblCellSpacing w:w="15" w:type="dxa"/>
        </w:trPr>
        <w:tc>
          <w:tcPr>
            <w:tcW w:w="0" w:type="auto"/>
            <w:vAlign w:val="center"/>
            <w:hideMark/>
          </w:tcPr>
          <w:p w14:paraId="0EDFAED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Immature Granulocyte %</w:t>
            </w:r>
          </w:p>
        </w:tc>
        <w:tc>
          <w:tcPr>
            <w:tcW w:w="0" w:type="auto"/>
            <w:vAlign w:val="center"/>
            <w:hideMark/>
          </w:tcPr>
          <w:p w14:paraId="36435A3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0.1 ± 0.0</w:t>
            </w:r>
          </w:p>
        </w:tc>
        <w:tc>
          <w:tcPr>
            <w:tcW w:w="0" w:type="auto"/>
            <w:vAlign w:val="center"/>
            <w:hideMark/>
          </w:tcPr>
          <w:p w14:paraId="50E9410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0.2 ± 0.1</w:t>
            </w:r>
          </w:p>
        </w:tc>
        <w:tc>
          <w:tcPr>
            <w:tcW w:w="0" w:type="auto"/>
            <w:vAlign w:val="center"/>
            <w:hideMark/>
          </w:tcPr>
          <w:p w14:paraId="1F70A135"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0.3 ± 0.1</w:t>
            </w:r>
          </w:p>
        </w:tc>
        <w:tc>
          <w:tcPr>
            <w:tcW w:w="0" w:type="auto"/>
            <w:vAlign w:val="center"/>
            <w:hideMark/>
          </w:tcPr>
          <w:p w14:paraId="3EE524CD"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0.4 ± 0.1</w:t>
            </w:r>
          </w:p>
        </w:tc>
        <w:tc>
          <w:tcPr>
            <w:tcW w:w="0" w:type="auto"/>
          </w:tcPr>
          <w:p w14:paraId="39BD645C"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1B690755" w14:textId="31C00307" w:rsidTr="00611716">
        <w:trPr>
          <w:tblCellSpacing w:w="15" w:type="dxa"/>
        </w:trPr>
        <w:tc>
          <w:tcPr>
            <w:tcW w:w="0" w:type="auto"/>
            <w:vAlign w:val="center"/>
            <w:hideMark/>
          </w:tcPr>
          <w:p w14:paraId="5C6F0D37"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Nucleated RBCs (/100 WBCs)</w:t>
            </w:r>
          </w:p>
        </w:tc>
        <w:tc>
          <w:tcPr>
            <w:tcW w:w="0" w:type="auto"/>
            <w:vAlign w:val="center"/>
            <w:hideMark/>
          </w:tcPr>
          <w:p w14:paraId="2B5AD4B8"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w:t>
            </w:r>
          </w:p>
        </w:tc>
        <w:tc>
          <w:tcPr>
            <w:tcW w:w="0" w:type="auto"/>
            <w:vAlign w:val="center"/>
            <w:hideMark/>
          </w:tcPr>
          <w:p w14:paraId="569F533C"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w:t>
            </w:r>
          </w:p>
        </w:tc>
        <w:tc>
          <w:tcPr>
            <w:tcW w:w="0" w:type="auto"/>
            <w:vAlign w:val="center"/>
            <w:hideMark/>
          </w:tcPr>
          <w:p w14:paraId="39490E1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0.1 ± 0.0</w:t>
            </w:r>
          </w:p>
        </w:tc>
        <w:tc>
          <w:tcPr>
            <w:tcW w:w="0" w:type="auto"/>
            <w:vAlign w:val="center"/>
            <w:hideMark/>
          </w:tcPr>
          <w:p w14:paraId="42ADAA3F"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0.2 ± 0.1</w:t>
            </w:r>
          </w:p>
        </w:tc>
        <w:tc>
          <w:tcPr>
            <w:tcW w:w="0" w:type="auto"/>
          </w:tcPr>
          <w:p w14:paraId="2E40E2B5"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r w:rsidR="00D72565" w:rsidRPr="00D72565" w14:paraId="6A385B49" w14:textId="0A461851" w:rsidTr="00611716">
        <w:trPr>
          <w:tblCellSpacing w:w="15" w:type="dxa"/>
        </w:trPr>
        <w:tc>
          <w:tcPr>
            <w:tcW w:w="0" w:type="auto"/>
            <w:tcBorders>
              <w:bottom w:val="single" w:sz="4" w:space="0" w:color="auto"/>
            </w:tcBorders>
            <w:vAlign w:val="center"/>
            <w:hideMark/>
          </w:tcPr>
          <w:p w14:paraId="274B168E"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Reticulocyte % (optional)</w:t>
            </w:r>
          </w:p>
        </w:tc>
        <w:tc>
          <w:tcPr>
            <w:tcW w:w="0" w:type="auto"/>
            <w:tcBorders>
              <w:bottom w:val="single" w:sz="4" w:space="0" w:color="auto"/>
            </w:tcBorders>
            <w:vAlign w:val="center"/>
            <w:hideMark/>
          </w:tcPr>
          <w:p w14:paraId="06AD14CA"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1.3 ± 0.1</w:t>
            </w:r>
          </w:p>
        </w:tc>
        <w:tc>
          <w:tcPr>
            <w:tcW w:w="0" w:type="auto"/>
            <w:tcBorders>
              <w:bottom w:val="single" w:sz="4" w:space="0" w:color="auto"/>
            </w:tcBorders>
            <w:vAlign w:val="center"/>
            <w:hideMark/>
          </w:tcPr>
          <w:p w14:paraId="39033CA2"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1.6 ± 0.2</w:t>
            </w:r>
          </w:p>
        </w:tc>
        <w:tc>
          <w:tcPr>
            <w:tcW w:w="0" w:type="auto"/>
            <w:tcBorders>
              <w:bottom w:val="single" w:sz="4" w:space="0" w:color="auto"/>
            </w:tcBorders>
            <w:vAlign w:val="center"/>
            <w:hideMark/>
          </w:tcPr>
          <w:p w14:paraId="4C39F5FB"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2.0 ± 0.3</w:t>
            </w:r>
          </w:p>
        </w:tc>
        <w:tc>
          <w:tcPr>
            <w:tcW w:w="0" w:type="auto"/>
            <w:tcBorders>
              <w:bottom w:val="single" w:sz="4" w:space="0" w:color="auto"/>
            </w:tcBorders>
            <w:vAlign w:val="center"/>
            <w:hideMark/>
          </w:tcPr>
          <w:p w14:paraId="669E83EF" w14:textId="77777777" w:rsidR="00D72565" w:rsidRPr="00611716" w:rsidRDefault="00D72565"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2.4 ± 0.4</w:t>
            </w:r>
          </w:p>
        </w:tc>
        <w:tc>
          <w:tcPr>
            <w:tcW w:w="0" w:type="auto"/>
          </w:tcPr>
          <w:p w14:paraId="3E1F97BE" w14:textId="77777777" w:rsidR="00D72565" w:rsidRPr="00D72565" w:rsidRDefault="00D72565" w:rsidP="00137235">
            <w:pPr>
              <w:spacing w:after="0" w:line="240" w:lineRule="auto"/>
              <w:rPr>
                <w:rFonts w:ascii="Arial" w:eastAsia="Times New Roman" w:hAnsi="Arial" w:cs="Arial"/>
                <w:kern w:val="0"/>
                <w:sz w:val="20"/>
                <w:szCs w:val="20"/>
                <w14:ligatures w14:val="none"/>
              </w:rPr>
            </w:pPr>
          </w:p>
        </w:tc>
      </w:tr>
    </w:tbl>
    <w:p w14:paraId="5737A859" w14:textId="4B8ECEAF" w:rsidR="00D72565" w:rsidRDefault="00D72565" w:rsidP="00D72565">
      <w:pPr>
        <w:spacing w:before="100" w:beforeAutospacing="1" w:after="100" w:afterAutospacing="1" w:line="240" w:lineRule="auto"/>
        <w:outlineLvl w:val="2"/>
        <w:rPr>
          <w:rFonts w:ascii="Arial" w:eastAsia="Times New Roman" w:hAnsi="Arial" w:cs="Arial"/>
          <w:b/>
          <w:bCs/>
          <w:kern w:val="0"/>
          <w:sz w:val="20"/>
          <w:szCs w:val="20"/>
          <w14:ligatures w14:val="none"/>
        </w:rPr>
      </w:pPr>
    </w:p>
    <w:p w14:paraId="76AD96A4"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Liver Function</w:t>
      </w:r>
    </w:p>
    <w:p w14:paraId="7C790018" w14:textId="77777777" w:rsidR="0092797C" w:rsidRPr="0092797C" w:rsidRDefault="0092797C" w:rsidP="0092797C">
      <w:pPr>
        <w:spacing w:before="100" w:beforeAutospacing="1" w:after="100" w:afterAutospacing="1"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There was a statistically significant, dose-dependent elevation in serum ALT and AST levels in all treated groups compared to the control (p &lt; 0.001 for both; ANOVA). The increase was most pronounced in the 200 mg/kg group, indicating progressive hepatic dysfunction with rising exposure levels.</w:t>
      </w:r>
    </w:p>
    <w:p w14:paraId="490595EC"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Table 2. Liver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174"/>
        <w:gridCol w:w="1162"/>
      </w:tblGrid>
      <w:tr w:rsidR="0092797C" w:rsidRPr="0092797C" w14:paraId="2C1D848E" w14:textId="77777777" w:rsidTr="0092797C">
        <w:trPr>
          <w:tblHeader/>
          <w:tblCellSpacing w:w="15" w:type="dxa"/>
        </w:trPr>
        <w:tc>
          <w:tcPr>
            <w:tcW w:w="0" w:type="auto"/>
            <w:vAlign w:val="center"/>
            <w:hideMark/>
          </w:tcPr>
          <w:p w14:paraId="76556CA7"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Group</w:t>
            </w:r>
          </w:p>
        </w:tc>
        <w:tc>
          <w:tcPr>
            <w:tcW w:w="0" w:type="auto"/>
            <w:vAlign w:val="center"/>
            <w:hideMark/>
          </w:tcPr>
          <w:p w14:paraId="46362E6A"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ALT (U/L)</w:t>
            </w:r>
          </w:p>
        </w:tc>
        <w:tc>
          <w:tcPr>
            <w:tcW w:w="0" w:type="auto"/>
            <w:vAlign w:val="center"/>
            <w:hideMark/>
          </w:tcPr>
          <w:p w14:paraId="279F7A24"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AST (U/L)</w:t>
            </w:r>
          </w:p>
        </w:tc>
      </w:tr>
      <w:tr w:rsidR="0092797C" w:rsidRPr="0092797C" w14:paraId="5EFB5BBE" w14:textId="77777777" w:rsidTr="0092797C">
        <w:trPr>
          <w:tblCellSpacing w:w="15" w:type="dxa"/>
        </w:trPr>
        <w:tc>
          <w:tcPr>
            <w:tcW w:w="0" w:type="auto"/>
            <w:vAlign w:val="center"/>
            <w:hideMark/>
          </w:tcPr>
          <w:p w14:paraId="03730E63"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Control</w:t>
            </w:r>
          </w:p>
        </w:tc>
        <w:tc>
          <w:tcPr>
            <w:tcW w:w="0" w:type="auto"/>
            <w:vAlign w:val="center"/>
            <w:hideMark/>
          </w:tcPr>
          <w:p w14:paraId="6FFB946C"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50 ± 5</w:t>
            </w:r>
          </w:p>
        </w:tc>
        <w:tc>
          <w:tcPr>
            <w:tcW w:w="0" w:type="auto"/>
            <w:vAlign w:val="center"/>
            <w:hideMark/>
          </w:tcPr>
          <w:p w14:paraId="2179F6BC"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45 ± 4</w:t>
            </w:r>
          </w:p>
        </w:tc>
      </w:tr>
      <w:tr w:rsidR="0092797C" w:rsidRPr="0092797C" w14:paraId="485FCAD1" w14:textId="77777777" w:rsidTr="0092797C">
        <w:trPr>
          <w:tblCellSpacing w:w="15" w:type="dxa"/>
        </w:trPr>
        <w:tc>
          <w:tcPr>
            <w:tcW w:w="0" w:type="auto"/>
            <w:vAlign w:val="center"/>
            <w:hideMark/>
          </w:tcPr>
          <w:p w14:paraId="6BFB72DE"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lastRenderedPageBreak/>
              <w:t>50 mg/kg</w:t>
            </w:r>
          </w:p>
        </w:tc>
        <w:tc>
          <w:tcPr>
            <w:tcW w:w="0" w:type="auto"/>
            <w:vAlign w:val="center"/>
            <w:hideMark/>
          </w:tcPr>
          <w:p w14:paraId="2872AF9A"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85 ± 7</w:t>
            </w:r>
          </w:p>
        </w:tc>
        <w:tc>
          <w:tcPr>
            <w:tcW w:w="0" w:type="auto"/>
            <w:vAlign w:val="center"/>
            <w:hideMark/>
          </w:tcPr>
          <w:p w14:paraId="52C771A6"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80 ± 6</w:t>
            </w:r>
          </w:p>
        </w:tc>
      </w:tr>
      <w:tr w:rsidR="0092797C" w:rsidRPr="0092797C" w14:paraId="738EFFFC" w14:textId="77777777" w:rsidTr="0092797C">
        <w:trPr>
          <w:tblCellSpacing w:w="15" w:type="dxa"/>
        </w:trPr>
        <w:tc>
          <w:tcPr>
            <w:tcW w:w="0" w:type="auto"/>
            <w:vAlign w:val="center"/>
            <w:hideMark/>
          </w:tcPr>
          <w:p w14:paraId="1DF481C7"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100 mg/kg</w:t>
            </w:r>
          </w:p>
        </w:tc>
        <w:tc>
          <w:tcPr>
            <w:tcW w:w="0" w:type="auto"/>
            <w:vAlign w:val="center"/>
            <w:hideMark/>
          </w:tcPr>
          <w:p w14:paraId="48237E91"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120 ± 10</w:t>
            </w:r>
          </w:p>
        </w:tc>
        <w:tc>
          <w:tcPr>
            <w:tcW w:w="0" w:type="auto"/>
            <w:vAlign w:val="center"/>
            <w:hideMark/>
          </w:tcPr>
          <w:p w14:paraId="14BB6143"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110 ± 8</w:t>
            </w:r>
          </w:p>
        </w:tc>
      </w:tr>
      <w:tr w:rsidR="0092797C" w:rsidRPr="0092797C" w14:paraId="1139A0AE" w14:textId="77777777" w:rsidTr="0092797C">
        <w:trPr>
          <w:tblCellSpacing w:w="15" w:type="dxa"/>
        </w:trPr>
        <w:tc>
          <w:tcPr>
            <w:tcW w:w="0" w:type="auto"/>
            <w:vAlign w:val="center"/>
            <w:hideMark/>
          </w:tcPr>
          <w:p w14:paraId="4FFF4CAC"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200 mg/kg</w:t>
            </w:r>
          </w:p>
        </w:tc>
        <w:tc>
          <w:tcPr>
            <w:tcW w:w="0" w:type="auto"/>
            <w:vAlign w:val="center"/>
            <w:hideMark/>
          </w:tcPr>
          <w:p w14:paraId="102D5281"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150 ± 12</w:t>
            </w:r>
          </w:p>
        </w:tc>
        <w:tc>
          <w:tcPr>
            <w:tcW w:w="0" w:type="auto"/>
            <w:vAlign w:val="center"/>
            <w:hideMark/>
          </w:tcPr>
          <w:p w14:paraId="35C2E78B"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135 ± 10</w:t>
            </w:r>
          </w:p>
        </w:tc>
      </w:tr>
    </w:tbl>
    <w:p w14:paraId="6AD5FD3D" w14:textId="77777777" w:rsidR="0092797C" w:rsidRPr="0092797C" w:rsidRDefault="0092797C" w:rsidP="0092797C">
      <w:pPr>
        <w:spacing w:before="100" w:beforeAutospacing="1" w:after="100" w:afterAutospacing="1"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b/>
          <w:bCs/>
          <w:kern w:val="0"/>
          <w14:ligatures w14:val="none"/>
        </w:rPr>
        <w:t>ANOVA</w:t>
      </w:r>
      <w:r w:rsidRPr="0092797C">
        <w:rPr>
          <w:rFonts w:ascii="Times New Roman" w:eastAsia="Times New Roman" w:hAnsi="Times New Roman" w:cs="Times New Roman"/>
          <w:kern w:val="0"/>
          <w14:ligatures w14:val="none"/>
        </w:rPr>
        <w:t>: ALT (p = 6.17×10⁻¹³), AST (p = 1.41×10⁻¹¹)</w:t>
      </w:r>
    </w:p>
    <w:p w14:paraId="2E60F8AF"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Kidney Function</w:t>
      </w:r>
    </w:p>
    <w:p w14:paraId="59311E3A" w14:textId="77777777" w:rsidR="0092797C" w:rsidRPr="0092797C" w:rsidRDefault="0092797C" w:rsidP="0092797C">
      <w:pPr>
        <w:spacing w:before="100" w:beforeAutospacing="1" w:after="100" w:afterAutospacing="1"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There was a significant dose-dependent increase in urea and creatinine levels in the treated groups (Table 3), suggesting compromised renal function, particularly at higher extract doses.</w:t>
      </w:r>
    </w:p>
    <w:p w14:paraId="4C6169F1"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Table 3. Kidney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467"/>
        <w:gridCol w:w="2069"/>
      </w:tblGrid>
      <w:tr w:rsidR="0092797C" w:rsidRPr="0092797C" w14:paraId="3180FEAE" w14:textId="77777777" w:rsidTr="0092797C">
        <w:trPr>
          <w:tblHeader/>
          <w:tblCellSpacing w:w="15" w:type="dxa"/>
        </w:trPr>
        <w:tc>
          <w:tcPr>
            <w:tcW w:w="0" w:type="auto"/>
            <w:vAlign w:val="center"/>
            <w:hideMark/>
          </w:tcPr>
          <w:p w14:paraId="502A1858"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Group</w:t>
            </w:r>
          </w:p>
        </w:tc>
        <w:tc>
          <w:tcPr>
            <w:tcW w:w="0" w:type="auto"/>
            <w:vAlign w:val="center"/>
            <w:hideMark/>
          </w:tcPr>
          <w:p w14:paraId="79F4C0FB"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Urea (mg/dL)</w:t>
            </w:r>
          </w:p>
        </w:tc>
        <w:tc>
          <w:tcPr>
            <w:tcW w:w="0" w:type="auto"/>
            <w:vAlign w:val="center"/>
            <w:hideMark/>
          </w:tcPr>
          <w:p w14:paraId="3D9C554B"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Creatinine (mg/dL)</w:t>
            </w:r>
          </w:p>
        </w:tc>
      </w:tr>
      <w:tr w:rsidR="0092797C" w:rsidRPr="0092797C" w14:paraId="5379BB21" w14:textId="77777777" w:rsidTr="0092797C">
        <w:trPr>
          <w:tblCellSpacing w:w="15" w:type="dxa"/>
        </w:trPr>
        <w:tc>
          <w:tcPr>
            <w:tcW w:w="0" w:type="auto"/>
            <w:vAlign w:val="center"/>
            <w:hideMark/>
          </w:tcPr>
          <w:p w14:paraId="3CB72A49"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Control</w:t>
            </w:r>
          </w:p>
        </w:tc>
        <w:tc>
          <w:tcPr>
            <w:tcW w:w="0" w:type="auto"/>
            <w:vAlign w:val="center"/>
            <w:hideMark/>
          </w:tcPr>
          <w:p w14:paraId="59DDFA86"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20 ± 2</w:t>
            </w:r>
          </w:p>
        </w:tc>
        <w:tc>
          <w:tcPr>
            <w:tcW w:w="0" w:type="auto"/>
            <w:vAlign w:val="center"/>
            <w:hideMark/>
          </w:tcPr>
          <w:p w14:paraId="33E0D5E0"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0.6 ± 0.1</w:t>
            </w:r>
          </w:p>
        </w:tc>
      </w:tr>
      <w:tr w:rsidR="0092797C" w:rsidRPr="0092797C" w14:paraId="2B0E6620" w14:textId="77777777" w:rsidTr="0092797C">
        <w:trPr>
          <w:tblCellSpacing w:w="15" w:type="dxa"/>
        </w:trPr>
        <w:tc>
          <w:tcPr>
            <w:tcW w:w="0" w:type="auto"/>
            <w:vAlign w:val="center"/>
            <w:hideMark/>
          </w:tcPr>
          <w:p w14:paraId="000CC925"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50 mg/kg</w:t>
            </w:r>
          </w:p>
        </w:tc>
        <w:tc>
          <w:tcPr>
            <w:tcW w:w="0" w:type="auto"/>
            <w:vAlign w:val="center"/>
            <w:hideMark/>
          </w:tcPr>
          <w:p w14:paraId="058D2FFD"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35 ± 3</w:t>
            </w:r>
          </w:p>
        </w:tc>
        <w:tc>
          <w:tcPr>
            <w:tcW w:w="0" w:type="auto"/>
            <w:vAlign w:val="center"/>
            <w:hideMark/>
          </w:tcPr>
          <w:p w14:paraId="1476C273"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1.0 ± 0.1</w:t>
            </w:r>
          </w:p>
        </w:tc>
      </w:tr>
      <w:tr w:rsidR="0092797C" w:rsidRPr="0092797C" w14:paraId="03C4A9A4" w14:textId="77777777" w:rsidTr="0092797C">
        <w:trPr>
          <w:tblCellSpacing w:w="15" w:type="dxa"/>
        </w:trPr>
        <w:tc>
          <w:tcPr>
            <w:tcW w:w="0" w:type="auto"/>
            <w:vAlign w:val="center"/>
            <w:hideMark/>
          </w:tcPr>
          <w:p w14:paraId="6270B1AF"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100 mg/kg</w:t>
            </w:r>
          </w:p>
        </w:tc>
        <w:tc>
          <w:tcPr>
            <w:tcW w:w="0" w:type="auto"/>
            <w:vAlign w:val="center"/>
            <w:hideMark/>
          </w:tcPr>
          <w:p w14:paraId="185D68F5"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50 ± 4</w:t>
            </w:r>
          </w:p>
        </w:tc>
        <w:tc>
          <w:tcPr>
            <w:tcW w:w="0" w:type="auto"/>
            <w:vAlign w:val="center"/>
            <w:hideMark/>
          </w:tcPr>
          <w:p w14:paraId="52904570"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1.4 ± 0.1</w:t>
            </w:r>
          </w:p>
        </w:tc>
      </w:tr>
      <w:tr w:rsidR="0092797C" w:rsidRPr="0092797C" w14:paraId="49972434" w14:textId="77777777" w:rsidTr="0092797C">
        <w:trPr>
          <w:tblCellSpacing w:w="15" w:type="dxa"/>
        </w:trPr>
        <w:tc>
          <w:tcPr>
            <w:tcW w:w="0" w:type="auto"/>
            <w:vAlign w:val="center"/>
            <w:hideMark/>
          </w:tcPr>
          <w:p w14:paraId="2AACA4CA"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200 mg/kg</w:t>
            </w:r>
          </w:p>
        </w:tc>
        <w:tc>
          <w:tcPr>
            <w:tcW w:w="0" w:type="auto"/>
            <w:vAlign w:val="center"/>
            <w:hideMark/>
          </w:tcPr>
          <w:p w14:paraId="3C3A934E"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65 ± 5</w:t>
            </w:r>
          </w:p>
        </w:tc>
        <w:tc>
          <w:tcPr>
            <w:tcW w:w="0" w:type="auto"/>
            <w:vAlign w:val="center"/>
            <w:hideMark/>
          </w:tcPr>
          <w:p w14:paraId="2E31DA79"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1.8 ± 0.2</w:t>
            </w:r>
          </w:p>
        </w:tc>
      </w:tr>
    </w:tbl>
    <w:p w14:paraId="4654CD56"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Oxidative Stress</w:t>
      </w:r>
    </w:p>
    <w:p w14:paraId="3E562C0B" w14:textId="77777777" w:rsidR="0092797C" w:rsidRPr="0092797C" w:rsidRDefault="0092797C" w:rsidP="0092797C">
      <w:pPr>
        <w:spacing w:before="100" w:beforeAutospacing="1" w:after="100" w:afterAutospacing="1"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Malondialdehyde (MDA) levels significantly increased while superoxide dismutase (SOD) activity decreased in a dose-responsive manner across the treated groups, indicating lipid peroxidation and antioxidant depletion (Table 4).</w:t>
      </w:r>
    </w:p>
    <w:p w14:paraId="0AE466A2" w14:textId="77777777" w:rsidR="0092797C" w:rsidRPr="0092797C" w:rsidRDefault="0092797C" w:rsidP="0092797C">
      <w:pPr>
        <w:spacing w:before="100" w:beforeAutospacing="1" w:after="100" w:afterAutospacing="1" w:line="240" w:lineRule="auto"/>
        <w:outlineLvl w:val="3"/>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Table 4. Oxidative Stress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2567"/>
        <w:gridCol w:w="2682"/>
      </w:tblGrid>
      <w:tr w:rsidR="0092797C" w:rsidRPr="0092797C" w14:paraId="14A82CBA" w14:textId="77777777" w:rsidTr="0092797C">
        <w:trPr>
          <w:tblHeader/>
          <w:tblCellSpacing w:w="15" w:type="dxa"/>
        </w:trPr>
        <w:tc>
          <w:tcPr>
            <w:tcW w:w="0" w:type="auto"/>
            <w:vAlign w:val="center"/>
            <w:hideMark/>
          </w:tcPr>
          <w:p w14:paraId="77421703"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Group</w:t>
            </w:r>
          </w:p>
        </w:tc>
        <w:tc>
          <w:tcPr>
            <w:tcW w:w="0" w:type="auto"/>
            <w:vAlign w:val="center"/>
            <w:hideMark/>
          </w:tcPr>
          <w:p w14:paraId="3D79B6D7"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MDA (nmol/mg protein)</w:t>
            </w:r>
          </w:p>
        </w:tc>
        <w:tc>
          <w:tcPr>
            <w:tcW w:w="0" w:type="auto"/>
            <w:vAlign w:val="center"/>
            <w:hideMark/>
          </w:tcPr>
          <w:p w14:paraId="01682D8D" w14:textId="77777777" w:rsidR="0092797C" w:rsidRPr="0092797C" w:rsidRDefault="0092797C" w:rsidP="0092797C">
            <w:pPr>
              <w:spacing w:after="0" w:line="240" w:lineRule="auto"/>
              <w:jc w:val="center"/>
              <w:rPr>
                <w:rFonts w:ascii="Times New Roman" w:eastAsia="Times New Roman" w:hAnsi="Times New Roman" w:cs="Times New Roman"/>
                <w:b/>
                <w:bCs/>
                <w:kern w:val="0"/>
                <w14:ligatures w14:val="none"/>
              </w:rPr>
            </w:pPr>
            <w:r w:rsidRPr="0092797C">
              <w:rPr>
                <w:rFonts w:ascii="Times New Roman" w:eastAsia="Times New Roman" w:hAnsi="Times New Roman" w:cs="Times New Roman"/>
                <w:b/>
                <w:bCs/>
                <w:kern w:val="0"/>
                <w14:ligatures w14:val="none"/>
              </w:rPr>
              <w:t>SOD Activity (% change)</w:t>
            </w:r>
          </w:p>
        </w:tc>
      </w:tr>
      <w:tr w:rsidR="0092797C" w:rsidRPr="0092797C" w14:paraId="48F2314B" w14:textId="77777777" w:rsidTr="0092797C">
        <w:trPr>
          <w:tblCellSpacing w:w="15" w:type="dxa"/>
        </w:trPr>
        <w:tc>
          <w:tcPr>
            <w:tcW w:w="0" w:type="auto"/>
            <w:vAlign w:val="center"/>
            <w:hideMark/>
          </w:tcPr>
          <w:p w14:paraId="12C89F62"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Control</w:t>
            </w:r>
          </w:p>
        </w:tc>
        <w:tc>
          <w:tcPr>
            <w:tcW w:w="0" w:type="auto"/>
            <w:vAlign w:val="center"/>
            <w:hideMark/>
          </w:tcPr>
          <w:p w14:paraId="35974057"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1.2 ± 0.2</w:t>
            </w:r>
          </w:p>
        </w:tc>
        <w:tc>
          <w:tcPr>
            <w:tcW w:w="0" w:type="auto"/>
            <w:vAlign w:val="center"/>
            <w:hideMark/>
          </w:tcPr>
          <w:p w14:paraId="068C219D"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Baseline</w:t>
            </w:r>
          </w:p>
        </w:tc>
      </w:tr>
      <w:tr w:rsidR="0092797C" w:rsidRPr="0092797C" w14:paraId="76238204" w14:textId="77777777" w:rsidTr="0092797C">
        <w:trPr>
          <w:tblCellSpacing w:w="15" w:type="dxa"/>
        </w:trPr>
        <w:tc>
          <w:tcPr>
            <w:tcW w:w="0" w:type="auto"/>
            <w:vAlign w:val="center"/>
            <w:hideMark/>
          </w:tcPr>
          <w:p w14:paraId="0E59D900"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50 mg/kg</w:t>
            </w:r>
          </w:p>
        </w:tc>
        <w:tc>
          <w:tcPr>
            <w:tcW w:w="0" w:type="auto"/>
            <w:vAlign w:val="center"/>
            <w:hideMark/>
          </w:tcPr>
          <w:p w14:paraId="27E684CE"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2.4 ± 0.3</w:t>
            </w:r>
          </w:p>
        </w:tc>
        <w:tc>
          <w:tcPr>
            <w:tcW w:w="0" w:type="auto"/>
            <w:vAlign w:val="center"/>
            <w:hideMark/>
          </w:tcPr>
          <w:p w14:paraId="5181A854"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-15%</w:t>
            </w:r>
          </w:p>
        </w:tc>
      </w:tr>
      <w:tr w:rsidR="0092797C" w:rsidRPr="0092797C" w14:paraId="5EE91EA1" w14:textId="77777777" w:rsidTr="0092797C">
        <w:trPr>
          <w:tblCellSpacing w:w="15" w:type="dxa"/>
        </w:trPr>
        <w:tc>
          <w:tcPr>
            <w:tcW w:w="0" w:type="auto"/>
            <w:vAlign w:val="center"/>
            <w:hideMark/>
          </w:tcPr>
          <w:p w14:paraId="4B3FDC0C"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100 mg/kg</w:t>
            </w:r>
          </w:p>
        </w:tc>
        <w:tc>
          <w:tcPr>
            <w:tcW w:w="0" w:type="auto"/>
            <w:vAlign w:val="center"/>
            <w:hideMark/>
          </w:tcPr>
          <w:p w14:paraId="6BE9974B"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3.5 ± 0.4</w:t>
            </w:r>
          </w:p>
        </w:tc>
        <w:tc>
          <w:tcPr>
            <w:tcW w:w="0" w:type="auto"/>
            <w:vAlign w:val="center"/>
            <w:hideMark/>
          </w:tcPr>
          <w:p w14:paraId="7B5DF767"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-30%</w:t>
            </w:r>
          </w:p>
        </w:tc>
      </w:tr>
      <w:tr w:rsidR="0092797C" w:rsidRPr="0092797C" w14:paraId="56FBC8BE" w14:textId="77777777" w:rsidTr="0092797C">
        <w:trPr>
          <w:tblCellSpacing w:w="15" w:type="dxa"/>
        </w:trPr>
        <w:tc>
          <w:tcPr>
            <w:tcW w:w="0" w:type="auto"/>
            <w:vAlign w:val="center"/>
            <w:hideMark/>
          </w:tcPr>
          <w:p w14:paraId="3048FC34"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200 mg/kg</w:t>
            </w:r>
          </w:p>
        </w:tc>
        <w:tc>
          <w:tcPr>
            <w:tcW w:w="0" w:type="auto"/>
            <w:vAlign w:val="center"/>
            <w:hideMark/>
          </w:tcPr>
          <w:p w14:paraId="7B001813"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4.5 ± 0.5</w:t>
            </w:r>
          </w:p>
        </w:tc>
        <w:tc>
          <w:tcPr>
            <w:tcW w:w="0" w:type="auto"/>
            <w:vAlign w:val="center"/>
            <w:hideMark/>
          </w:tcPr>
          <w:p w14:paraId="4DA89227" w14:textId="77777777" w:rsidR="0092797C" w:rsidRPr="0092797C" w:rsidRDefault="0092797C" w:rsidP="0092797C">
            <w:pPr>
              <w:spacing w:after="0" w:line="240" w:lineRule="auto"/>
              <w:rPr>
                <w:rFonts w:ascii="Times New Roman" w:eastAsia="Times New Roman" w:hAnsi="Times New Roman" w:cs="Times New Roman"/>
                <w:kern w:val="0"/>
                <w14:ligatures w14:val="none"/>
              </w:rPr>
            </w:pPr>
            <w:r w:rsidRPr="0092797C">
              <w:rPr>
                <w:rFonts w:ascii="Times New Roman" w:eastAsia="Times New Roman" w:hAnsi="Times New Roman" w:cs="Times New Roman"/>
                <w:kern w:val="0"/>
                <w14:ligatures w14:val="none"/>
              </w:rPr>
              <w:t>-40%</w:t>
            </w:r>
          </w:p>
        </w:tc>
      </w:tr>
    </w:tbl>
    <w:p w14:paraId="0703F961" w14:textId="77777777" w:rsidR="00696CAD" w:rsidRPr="00284DAD" w:rsidRDefault="00696CAD" w:rsidP="00696CAD">
      <w:pPr>
        <w:spacing w:after="0" w:line="240" w:lineRule="auto"/>
        <w:rPr>
          <w:rFonts w:ascii="Times New Roman" w:eastAsia="Times New Roman" w:hAnsi="Times New Roman" w:cs="Times New Roman"/>
          <w:kern w:val="0"/>
          <w14:ligatures w14:val="none"/>
        </w:rPr>
      </w:pPr>
    </w:p>
    <w:p w14:paraId="7DCC4D00" w14:textId="51EF13F3" w:rsidR="002E2394" w:rsidRPr="002E2394" w:rsidRDefault="00696CAD" w:rsidP="002E2394">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611716">
        <w:rPr>
          <w:rFonts w:ascii="Arial" w:eastAsia="Times New Roman" w:hAnsi="Arial" w:cs="Arial"/>
          <w:b/>
          <w:bCs/>
          <w:kern w:val="0"/>
          <w:sz w:val="20"/>
          <w:szCs w:val="20"/>
          <w14:ligatures w14:val="none"/>
        </w:rPr>
        <w:t xml:space="preserve">3.5. </w:t>
      </w:r>
      <w:r w:rsidR="002E2394">
        <w:rPr>
          <w:rFonts w:ascii="Arial" w:eastAsia="Times New Roman" w:hAnsi="Arial" w:cs="Arial"/>
          <w:b/>
          <w:bCs/>
          <w:kern w:val="0"/>
          <w:sz w:val="20"/>
          <w:szCs w:val="20"/>
          <w14:ligatures w14:val="none"/>
        </w:rPr>
        <w:t>H</w:t>
      </w:r>
      <w:r w:rsidR="002E2394" w:rsidRPr="002E2394">
        <w:rPr>
          <w:rFonts w:ascii="Times New Roman" w:eastAsia="Times New Roman" w:hAnsi="Times New Roman" w:cs="Times New Roman"/>
          <w:b/>
          <w:bCs/>
          <w:kern w:val="0"/>
          <w:sz w:val="27"/>
          <w:szCs w:val="27"/>
          <w14:ligatures w14:val="none"/>
        </w:rPr>
        <w:t>istological Findings</w:t>
      </w:r>
    </w:p>
    <w:p w14:paraId="21B2FE00" w14:textId="77777777" w:rsidR="002E2394" w:rsidRPr="002E2394" w:rsidRDefault="002E2394" w:rsidP="002E2394">
      <w:pPr>
        <w:spacing w:before="100" w:beforeAutospacing="1" w:after="100" w:afterAutospacing="1" w:line="240" w:lineRule="auto"/>
        <w:rPr>
          <w:rFonts w:ascii="Times New Roman" w:eastAsia="Times New Roman" w:hAnsi="Times New Roman" w:cs="Times New Roman"/>
          <w:kern w:val="0"/>
          <w14:ligatures w14:val="none"/>
        </w:rPr>
      </w:pPr>
      <w:r w:rsidRPr="002E2394">
        <w:rPr>
          <w:rFonts w:ascii="Times New Roman" w:eastAsia="Times New Roman" w:hAnsi="Times New Roman" w:cs="Times New Roman"/>
          <w:kern w:val="0"/>
          <w14:ligatures w14:val="none"/>
        </w:rPr>
        <w:t>Histopathological examination of liver and kidney tissues revealed dose-dependent structural alterations, particularly in the high-dose (200 mg/kg) group.</w:t>
      </w:r>
    </w:p>
    <w:p w14:paraId="6AC7095C" w14:textId="77777777" w:rsidR="002E2394" w:rsidRPr="002E2394" w:rsidRDefault="002E2394" w:rsidP="002E2394">
      <w:pPr>
        <w:spacing w:before="100" w:beforeAutospacing="1" w:after="100" w:afterAutospacing="1" w:line="240" w:lineRule="auto"/>
        <w:rPr>
          <w:rFonts w:ascii="Times New Roman" w:eastAsia="Times New Roman" w:hAnsi="Times New Roman" w:cs="Times New Roman"/>
          <w:kern w:val="0"/>
          <w14:ligatures w14:val="none"/>
        </w:rPr>
      </w:pPr>
      <w:r w:rsidRPr="002E2394">
        <w:rPr>
          <w:rFonts w:ascii="Times New Roman" w:eastAsia="Times New Roman" w:hAnsi="Times New Roman" w:cs="Times New Roman"/>
          <w:b/>
          <w:bCs/>
          <w:kern w:val="0"/>
          <w14:ligatures w14:val="none"/>
        </w:rPr>
        <w:t>Liver Sections</w:t>
      </w:r>
      <w:r w:rsidRPr="002E2394">
        <w:rPr>
          <w:rFonts w:ascii="Times New Roman" w:eastAsia="Times New Roman" w:hAnsi="Times New Roman" w:cs="Times New Roman"/>
          <w:kern w:val="0"/>
          <w14:ligatures w14:val="none"/>
        </w:rPr>
        <w:br/>
        <w:t xml:space="preserve">As shown in </w:t>
      </w:r>
      <w:r w:rsidRPr="002E2394">
        <w:rPr>
          <w:rFonts w:ascii="Times New Roman" w:eastAsia="Times New Roman" w:hAnsi="Times New Roman" w:cs="Times New Roman"/>
          <w:i/>
          <w:iCs/>
          <w:kern w:val="0"/>
          <w14:ligatures w14:val="none"/>
        </w:rPr>
        <w:t>Figure 1</w:t>
      </w:r>
      <w:r w:rsidRPr="002E2394">
        <w:rPr>
          <w:rFonts w:ascii="Times New Roman" w:eastAsia="Times New Roman" w:hAnsi="Times New Roman" w:cs="Times New Roman"/>
          <w:kern w:val="0"/>
          <w14:ligatures w14:val="none"/>
        </w:rPr>
        <w:t xml:space="preserve">, liver tissues from rats administered 200 mg/kg of smoked fish extract exhibited </w:t>
      </w:r>
      <w:r w:rsidRPr="002E2394">
        <w:rPr>
          <w:rFonts w:ascii="Times New Roman" w:eastAsia="Times New Roman" w:hAnsi="Times New Roman" w:cs="Times New Roman"/>
          <w:b/>
          <w:bCs/>
          <w:kern w:val="0"/>
          <w14:ligatures w14:val="none"/>
        </w:rPr>
        <w:t>severe hepatocellular necrosis</w:t>
      </w:r>
      <w:r w:rsidRPr="002E2394">
        <w:rPr>
          <w:rFonts w:ascii="Times New Roman" w:eastAsia="Times New Roman" w:hAnsi="Times New Roman" w:cs="Times New Roman"/>
          <w:kern w:val="0"/>
          <w14:ligatures w14:val="none"/>
        </w:rPr>
        <w:t xml:space="preserve">, extensive </w:t>
      </w:r>
      <w:r w:rsidRPr="002E2394">
        <w:rPr>
          <w:rFonts w:ascii="Times New Roman" w:eastAsia="Times New Roman" w:hAnsi="Times New Roman" w:cs="Times New Roman"/>
          <w:b/>
          <w:bCs/>
          <w:kern w:val="0"/>
          <w14:ligatures w14:val="none"/>
        </w:rPr>
        <w:t>cytoplasmic vacuolization</w:t>
      </w:r>
      <w:r w:rsidRPr="002E2394">
        <w:rPr>
          <w:rFonts w:ascii="Times New Roman" w:eastAsia="Times New Roman" w:hAnsi="Times New Roman" w:cs="Times New Roman"/>
          <w:kern w:val="0"/>
          <w14:ligatures w14:val="none"/>
        </w:rPr>
        <w:t xml:space="preserve">, and </w:t>
      </w:r>
      <w:r w:rsidRPr="002E2394">
        <w:rPr>
          <w:rFonts w:ascii="Times New Roman" w:eastAsia="Times New Roman" w:hAnsi="Times New Roman" w:cs="Times New Roman"/>
          <w:b/>
          <w:bCs/>
          <w:kern w:val="0"/>
          <w14:ligatures w14:val="none"/>
        </w:rPr>
        <w:t xml:space="preserve">dense </w:t>
      </w:r>
      <w:r w:rsidRPr="002E2394">
        <w:rPr>
          <w:rFonts w:ascii="Times New Roman" w:eastAsia="Times New Roman" w:hAnsi="Times New Roman" w:cs="Times New Roman"/>
          <w:b/>
          <w:bCs/>
          <w:kern w:val="0"/>
          <w14:ligatures w14:val="none"/>
        </w:rPr>
        <w:lastRenderedPageBreak/>
        <w:t>infiltration of inflammatory cells</w:t>
      </w:r>
      <w:r w:rsidRPr="002E2394">
        <w:rPr>
          <w:rFonts w:ascii="Times New Roman" w:eastAsia="Times New Roman" w:hAnsi="Times New Roman" w:cs="Times New Roman"/>
          <w:kern w:val="0"/>
          <w14:ligatures w14:val="none"/>
        </w:rPr>
        <w:t xml:space="preserve"> within the hepatic parenchyma. These features are indicative of substantial hepatic injury likely due to the toxic effects of polycyclic aromatic hydrocarbons (PAHs) and heavy metals in the extract. In contrast, the low- and medium-dose groups (50 and 100 mg/kg) showed </w:t>
      </w:r>
      <w:r w:rsidRPr="002E2394">
        <w:rPr>
          <w:rFonts w:ascii="Times New Roman" w:eastAsia="Times New Roman" w:hAnsi="Times New Roman" w:cs="Times New Roman"/>
          <w:b/>
          <w:bCs/>
          <w:kern w:val="0"/>
          <w14:ligatures w14:val="none"/>
        </w:rPr>
        <w:t>mild to moderate hepatocyte degeneration</w:t>
      </w:r>
      <w:r w:rsidRPr="002E2394">
        <w:rPr>
          <w:rFonts w:ascii="Times New Roman" w:eastAsia="Times New Roman" w:hAnsi="Times New Roman" w:cs="Times New Roman"/>
          <w:kern w:val="0"/>
          <w14:ligatures w14:val="none"/>
        </w:rPr>
        <w:t>, with scattered foci of vacuolization and mild inflammatory infiltration (</w:t>
      </w:r>
      <w:r w:rsidRPr="002E2394">
        <w:rPr>
          <w:rFonts w:ascii="Times New Roman" w:eastAsia="Times New Roman" w:hAnsi="Times New Roman" w:cs="Times New Roman"/>
          <w:i/>
          <w:iCs/>
          <w:kern w:val="0"/>
          <w14:ligatures w14:val="none"/>
        </w:rPr>
        <w:t>Figures 2 and 3</w:t>
      </w:r>
      <w:r w:rsidRPr="002E2394">
        <w:rPr>
          <w:rFonts w:ascii="Times New Roman" w:eastAsia="Times New Roman" w:hAnsi="Times New Roman" w:cs="Times New Roman"/>
          <w:kern w:val="0"/>
          <w14:ligatures w14:val="none"/>
        </w:rPr>
        <w:t>). The control group exhibited normal hepatic architecture with intact central veins and radiating hepatocyte cords (</w:t>
      </w:r>
      <w:r w:rsidRPr="002E2394">
        <w:rPr>
          <w:rFonts w:ascii="Times New Roman" w:eastAsia="Times New Roman" w:hAnsi="Times New Roman" w:cs="Times New Roman"/>
          <w:i/>
          <w:iCs/>
          <w:kern w:val="0"/>
          <w14:ligatures w14:val="none"/>
        </w:rPr>
        <w:t>Figure 4</w:t>
      </w:r>
      <w:r w:rsidRPr="002E2394">
        <w:rPr>
          <w:rFonts w:ascii="Times New Roman" w:eastAsia="Times New Roman" w:hAnsi="Times New Roman" w:cs="Times New Roman"/>
          <w:kern w:val="0"/>
          <w14:ligatures w14:val="none"/>
        </w:rPr>
        <w:t>).</w:t>
      </w:r>
    </w:p>
    <w:p w14:paraId="70BEF393" w14:textId="77777777" w:rsidR="002E2394" w:rsidRPr="002E2394" w:rsidRDefault="002E2394" w:rsidP="002E2394">
      <w:pPr>
        <w:spacing w:before="100" w:beforeAutospacing="1" w:after="100" w:afterAutospacing="1" w:line="240" w:lineRule="auto"/>
        <w:rPr>
          <w:rFonts w:ascii="Times New Roman" w:eastAsia="Times New Roman" w:hAnsi="Times New Roman" w:cs="Times New Roman"/>
          <w:kern w:val="0"/>
          <w14:ligatures w14:val="none"/>
        </w:rPr>
      </w:pPr>
      <w:r w:rsidRPr="002E2394">
        <w:rPr>
          <w:rFonts w:ascii="Times New Roman" w:eastAsia="Times New Roman" w:hAnsi="Times New Roman" w:cs="Times New Roman"/>
          <w:b/>
          <w:bCs/>
          <w:kern w:val="0"/>
          <w14:ligatures w14:val="none"/>
        </w:rPr>
        <w:t>Kidney Sections</w:t>
      </w:r>
      <w:r w:rsidRPr="002E2394">
        <w:rPr>
          <w:rFonts w:ascii="Times New Roman" w:eastAsia="Times New Roman" w:hAnsi="Times New Roman" w:cs="Times New Roman"/>
          <w:kern w:val="0"/>
          <w14:ligatures w14:val="none"/>
        </w:rPr>
        <w:br/>
        <w:t>Kidney tissues from the high-dose group (</w:t>
      </w:r>
      <w:r w:rsidRPr="002E2394">
        <w:rPr>
          <w:rFonts w:ascii="Times New Roman" w:eastAsia="Times New Roman" w:hAnsi="Times New Roman" w:cs="Times New Roman"/>
          <w:i/>
          <w:iCs/>
          <w:kern w:val="0"/>
          <w14:ligatures w14:val="none"/>
        </w:rPr>
        <w:t>Figure 5</w:t>
      </w:r>
      <w:r w:rsidRPr="002E2394">
        <w:rPr>
          <w:rFonts w:ascii="Times New Roman" w:eastAsia="Times New Roman" w:hAnsi="Times New Roman" w:cs="Times New Roman"/>
          <w:kern w:val="0"/>
          <w14:ligatures w14:val="none"/>
        </w:rPr>
        <w:t xml:space="preserve">) displayed </w:t>
      </w:r>
      <w:r w:rsidRPr="002E2394">
        <w:rPr>
          <w:rFonts w:ascii="Times New Roman" w:eastAsia="Times New Roman" w:hAnsi="Times New Roman" w:cs="Times New Roman"/>
          <w:b/>
          <w:bCs/>
          <w:kern w:val="0"/>
          <w14:ligatures w14:val="none"/>
        </w:rPr>
        <w:t>tubular necrosis</w:t>
      </w:r>
      <w:r w:rsidRPr="002E2394">
        <w:rPr>
          <w:rFonts w:ascii="Times New Roman" w:eastAsia="Times New Roman" w:hAnsi="Times New Roman" w:cs="Times New Roman"/>
          <w:kern w:val="0"/>
          <w14:ligatures w14:val="none"/>
        </w:rPr>
        <w:t xml:space="preserve">, </w:t>
      </w:r>
      <w:r w:rsidRPr="002E2394">
        <w:rPr>
          <w:rFonts w:ascii="Times New Roman" w:eastAsia="Times New Roman" w:hAnsi="Times New Roman" w:cs="Times New Roman"/>
          <w:b/>
          <w:bCs/>
          <w:kern w:val="0"/>
          <w14:ligatures w14:val="none"/>
        </w:rPr>
        <w:t>glomerular atrophy</w:t>
      </w:r>
      <w:r w:rsidRPr="002E2394">
        <w:rPr>
          <w:rFonts w:ascii="Times New Roman" w:eastAsia="Times New Roman" w:hAnsi="Times New Roman" w:cs="Times New Roman"/>
          <w:kern w:val="0"/>
          <w14:ligatures w14:val="none"/>
        </w:rPr>
        <w:t xml:space="preserve">, and </w:t>
      </w:r>
      <w:r w:rsidRPr="002E2394">
        <w:rPr>
          <w:rFonts w:ascii="Times New Roman" w:eastAsia="Times New Roman" w:hAnsi="Times New Roman" w:cs="Times New Roman"/>
          <w:b/>
          <w:bCs/>
          <w:kern w:val="0"/>
          <w14:ligatures w14:val="none"/>
        </w:rPr>
        <w:t>interstitial inflammatory cell infiltration</w:t>
      </w:r>
      <w:r w:rsidRPr="002E2394">
        <w:rPr>
          <w:rFonts w:ascii="Times New Roman" w:eastAsia="Times New Roman" w:hAnsi="Times New Roman" w:cs="Times New Roman"/>
          <w:kern w:val="0"/>
          <w14:ligatures w14:val="none"/>
        </w:rPr>
        <w:t>, suggestive of compromised renal function and structural damage. The medium-dose group showed moderate tubular dilation and loss of epithelial integrity (</w:t>
      </w:r>
      <w:r w:rsidRPr="002E2394">
        <w:rPr>
          <w:rFonts w:ascii="Times New Roman" w:eastAsia="Times New Roman" w:hAnsi="Times New Roman" w:cs="Times New Roman"/>
          <w:i/>
          <w:iCs/>
          <w:kern w:val="0"/>
          <w14:ligatures w14:val="none"/>
        </w:rPr>
        <w:t>Figure 6</w:t>
      </w:r>
      <w:r w:rsidRPr="002E2394">
        <w:rPr>
          <w:rFonts w:ascii="Times New Roman" w:eastAsia="Times New Roman" w:hAnsi="Times New Roman" w:cs="Times New Roman"/>
          <w:kern w:val="0"/>
          <w14:ligatures w14:val="none"/>
        </w:rPr>
        <w:t>), while the low-dose group had only minimal alterations (</w:t>
      </w:r>
      <w:r w:rsidRPr="002E2394">
        <w:rPr>
          <w:rFonts w:ascii="Times New Roman" w:eastAsia="Times New Roman" w:hAnsi="Times New Roman" w:cs="Times New Roman"/>
          <w:i/>
          <w:iCs/>
          <w:kern w:val="0"/>
          <w14:ligatures w14:val="none"/>
        </w:rPr>
        <w:t>Figure 7</w:t>
      </w:r>
      <w:r w:rsidRPr="002E2394">
        <w:rPr>
          <w:rFonts w:ascii="Times New Roman" w:eastAsia="Times New Roman" w:hAnsi="Times New Roman" w:cs="Times New Roman"/>
          <w:kern w:val="0"/>
          <w14:ligatures w14:val="none"/>
        </w:rPr>
        <w:t>). Renal histology in the control animals was unremarkable, with normal glomeruli and intact tubular architecture (</w:t>
      </w:r>
      <w:r w:rsidRPr="002E2394">
        <w:rPr>
          <w:rFonts w:ascii="Times New Roman" w:eastAsia="Times New Roman" w:hAnsi="Times New Roman" w:cs="Times New Roman"/>
          <w:i/>
          <w:iCs/>
          <w:kern w:val="0"/>
          <w14:ligatures w14:val="none"/>
        </w:rPr>
        <w:t>Figure 8</w:t>
      </w:r>
      <w:r w:rsidRPr="002E2394">
        <w:rPr>
          <w:rFonts w:ascii="Times New Roman" w:eastAsia="Times New Roman" w:hAnsi="Times New Roman" w:cs="Times New Roman"/>
          <w:kern w:val="0"/>
          <w14:ligatures w14:val="none"/>
        </w:rPr>
        <w:t>).</w:t>
      </w:r>
    </w:p>
    <w:p w14:paraId="689330A2" w14:textId="77777777" w:rsidR="002E2394" w:rsidRPr="002E2394" w:rsidRDefault="002E2394" w:rsidP="002E2394">
      <w:pPr>
        <w:spacing w:before="100" w:beforeAutospacing="1" w:after="100" w:afterAutospacing="1" w:line="240" w:lineRule="auto"/>
        <w:rPr>
          <w:rFonts w:ascii="Times New Roman" w:eastAsia="Times New Roman" w:hAnsi="Times New Roman" w:cs="Times New Roman"/>
          <w:kern w:val="0"/>
          <w14:ligatures w14:val="none"/>
        </w:rPr>
      </w:pPr>
      <w:r w:rsidRPr="002E2394">
        <w:rPr>
          <w:rFonts w:ascii="Times New Roman" w:eastAsia="Times New Roman" w:hAnsi="Times New Roman" w:cs="Times New Roman"/>
          <w:kern w:val="0"/>
          <w14:ligatures w14:val="none"/>
        </w:rPr>
        <w:t>These findings correlate with the biochemical evidence of liver and kidney dysfunction observed in the elevated serum levels of ALT, AST, urea, and creatinine in treated groups. The degree of tissue damage confirms a dose-related toxicological effect of the smoked fish extract on hepatic and renal structures.</w:t>
      </w:r>
    </w:p>
    <w:p w14:paraId="4D1C31CD" w14:textId="4DAF6980"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AF2754">
        <w:rPr>
          <w:rFonts w:ascii="Times New Roman" w:eastAsia="Times New Roman" w:hAnsi="Times New Roman" w:cs="Times New Roman"/>
          <w:noProof/>
        </w:rPr>
        <w:drawing>
          <wp:inline distT="0" distB="0" distL="0" distR="0" wp14:anchorId="5D6F4025" wp14:editId="5A729356">
            <wp:extent cx="1844040" cy="2181225"/>
            <wp:effectExtent l="0" t="0" r="381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8"/>
                    <a:srcRect/>
                    <a:stretch>
                      <a:fillRect/>
                    </a:stretch>
                  </pic:blipFill>
                  <pic:spPr bwMode="auto">
                    <a:xfrm>
                      <a:off x="0" y="0"/>
                      <a:ext cx="1844040" cy="2181225"/>
                    </a:xfrm>
                    <a:prstGeom prst="rect">
                      <a:avLst/>
                    </a:prstGeom>
                    <a:noFill/>
                    <a:ln w="9525">
                      <a:noFill/>
                      <a:miter lim="800000"/>
                      <a:headEnd/>
                      <a:tailEnd/>
                    </a:ln>
                  </pic:spPr>
                </pic:pic>
              </a:graphicData>
            </a:graphic>
          </wp:inline>
        </w:drawing>
      </w:r>
    </w:p>
    <w:p w14:paraId="0FF388C6" w14:textId="0C72119B" w:rsidR="00987771" w:rsidRDefault="00652AAA" w:rsidP="00987771">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1: </w:t>
      </w:r>
      <w:r w:rsid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Normal kidney</w:t>
      </w:r>
    </w:p>
    <w:p w14:paraId="53BFE518" w14:textId="77777777"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p>
    <w:p w14:paraId="2B3EE58D" w14:textId="26F924B8"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BE2905">
        <w:rPr>
          <w:rFonts w:ascii="Arial" w:eastAsia="Times New Roman" w:hAnsi="Arial" w:cs="Arial"/>
          <w:noProof/>
          <w:sz w:val="20"/>
          <w:szCs w:val="20"/>
        </w:rPr>
        <w:lastRenderedPageBreak/>
        <w:drawing>
          <wp:inline distT="0" distB="0" distL="0" distR="0" wp14:anchorId="3F028029" wp14:editId="5DFB6C26">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1A1C95E6" w14:textId="44389A39" w:rsidR="00987771" w:rsidRDefault="00652AAA" w:rsidP="00987771">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2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Group 2 kidney</w:t>
      </w:r>
    </w:p>
    <w:p w14:paraId="3698AD28" w14:textId="77777777"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p>
    <w:p w14:paraId="62DC1ADE" w14:textId="30FF9C41" w:rsidR="00987771" w:rsidRDefault="00987771" w:rsidP="00987771">
      <w:pPr>
        <w:spacing w:before="100" w:beforeAutospacing="1" w:after="100" w:afterAutospacing="1" w:line="240" w:lineRule="auto"/>
        <w:rPr>
          <w:rFonts w:ascii="Times New Roman" w:eastAsia="Times New Roman" w:hAnsi="Times New Roman" w:cs="Times New Roman"/>
          <w:kern w:val="0"/>
          <w14:ligatures w14:val="none"/>
        </w:rPr>
      </w:pPr>
      <w:r w:rsidRPr="00AC1D59">
        <w:rPr>
          <w:rFonts w:ascii="Arial" w:eastAsia="Times New Roman" w:hAnsi="Arial" w:cs="Arial"/>
          <w:noProof/>
          <w:sz w:val="20"/>
          <w:szCs w:val="20"/>
        </w:rPr>
        <w:drawing>
          <wp:inline distT="0" distB="0" distL="0" distR="0" wp14:anchorId="591A28C7" wp14:editId="5B9B38DA">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0"/>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2FA72837" w14:textId="07172A40" w:rsidR="00696CAD"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3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987771">
        <w:rPr>
          <w:rFonts w:ascii="Times New Roman" w:eastAsia="Times New Roman" w:hAnsi="Times New Roman" w:cs="Times New Roman"/>
          <w:kern w:val="0"/>
          <w14:ligatures w14:val="none"/>
        </w:rPr>
        <w:t>Group 3 kid</w:t>
      </w:r>
      <w:r>
        <w:rPr>
          <w:rFonts w:ascii="Times New Roman" w:eastAsia="Times New Roman" w:hAnsi="Times New Roman" w:cs="Times New Roman"/>
          <w:kern w:val="0"/>
          <w14:ligatures w14:val="none"/>
        </w:rPr>
        <w:t>n</w:t>
      </w:r>
      <w:r w:rsidR="00987771">
        <w:rPr>
          <w:rFonts w:ascii="Times New Roman" w:eastAsia="Times New Roman" w:hAnsi="Times New Roman" w:cs="Times New Roman"/>
          <w:kern w:val="0"/>
          <w14:ligatures w14:val="none"/>
        </w:rPr>
        <w:t xml:space="preserve">ey </w:t>
      </w:r>
    </w:p>
    <w:p w14:paraId="53D9DE76" w14:textId="68383D17" w:rsidR="00FA0B5F" w:rsidRDefault="00FA0B5F" w:rsidP="00696CAD">
      <w:pPr>
        <w:spacing w:before="100" w:beforeAutospacing="1" w:after="100" w:afterAutospacing="1" w:line="240" w:lineRule="auto"/>
        <w:rPr>
          <w:rFonts w:ascii="Times New Roman" w:eastAsia="Times New Roman" w:hAnsi="Times New Roman" w:cs="Times New Roman"/>
          <w:kern w:val="0"/>
          <w14:ligatures w14:val="none"/>
        </w:rPr>
      </w:pPr>
      <w:r w:rsidRPr="00012C83">
        <w:rPr>
          <w:rFonts w:ascii="Times New Roman" w:hAnsi="Times New Roman" w:cs="Times New Roman"/>
          <w:noProof/>
        </w:rPr>
        <w:lastRenderedPageBreak/>
        <w:drawing>
          <wp:inline distT="0" distB="0" distL="0" distR="0" wp14:anchorId="508C8E98" wp14:editId="3B4744FF">
            <wp:extent cx="5720080" cy="354076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720080" cy="3540760"/>
                    </a:xfrm>
                    <a:prstGeom prst="rect">
                      <a:avLst/>
                    </a:prstGeom>
                    <a:ln/>
                  </pic:spPr>
                </pic:pic>
              </a:graphicData>
            </a:graphic>
          </wp:inline>
        </w:drawing>
      </w:r>
    </w:p>
    <w:p w14:paraId="613077CC" w14:textId="55A24D18" w:rsidR="00FA0B5F"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w:t>
      </w:r>
      <w:proofErr w:type="gramStart"/>
      <w:r>
        <w:rPr>
          <w:rFonts w:ascii="Times New Roman" w:eastAsia="Times New Roman" w:hAnsi="Times New Roman" w:cs="Times New Roman"/>
          <w:kern w:val="0"/>
          <w14:ligatures w14:val="none"/>
        </w:rPr>
        <w:t>4 :</w:t>
      </w:r>
      <w:proofErr w:type="gramEnd"/>
      <w:r>
        <w:rPr>
          <w:rFonts w:ascii="Times New Roman" w:eastAsia="Times New Roman" w:hAnsi="Times New Roman" w:cs="Times New Roman"/>
          <w:kern w:val="0"/>
          <w14:ligatures w14:val="none"/>
        </w:rPr>
        <w:t xml:space="preserve"> </w:t>
      </w:r>
      <w:r w:rsidR="00203F39" w:rsidRPr="00203F39">
        <w:rPr>
          <w:rFonts w:ascii="Times New Roman" w:eastAsia="Times New Roman" w:hAnsi="Times New Roman" w:cs="Times New Roman"/>
          <w:kern w:val="0"/>
          <w14:ligatures w14:val="none"/>
        </w:rPr>
        <w:t xml:space="preserve">Histopathological image of </w:t>
      </w:r>
      <w:r w:rsidR="00203F39">
        <w:rPr>
          <w:rFonts w:ascii="Times New Roman" w:eastAsia="Times New Roman" w:hAnsi="Times New Roman" w:cs="Times New Roman"/>
          <w:kern w:val="0"/>
          <w14:ligatures w14:val="none"/>
        </w:rPr>
        <w:t xml:space="preserve">Group </w:t>
      </w:r>
      <w:r w:rsidR="00FA0B5F">
        <w:rPr>
          <w:rFonts w:ascii="Times New Roman" w:eastAsia="Times New Roman" w:hAnsi="Times New Roman" w:cs="Times New Roman"/>
          <w:kern w:val="0"/>
          <w14:ligatures w14:val="none"/>
        </w:rPr>
        <w:t>4</w:t>
      </w:r>
      <w:r w:rsidR="00203F39">
        <w:rPr>
          <w:rFonts w:ascii="Times New Roman" w:eastAsia="Times New Roman" w:hAnsi="Times New Roman" w:cs="Times New Roman"/>
          <w:kern w:val="0"/>
          <w14:ligatures w14:val="none"/>
        </w:rPr>
        <w:t xml:space="preserve"> kidney</w:t>
      </w:r>
    </w:p>
    <w:p w14:paraId="07CA0AB6" w14:textId="46493536" w:rsidR="001E187F" w:rsidRDefault="001E187F" w:rsidP="00696CAD">
      <w:pPr>
        <w:spacing w:before="100" w:beforeAutospacing="1" w:after="100" w:afterAutospacing="1" w:line="240" w:lineRule="auto"/>
        <w:rPr>
          <w:rFonts w:ascii="Times New Roman" w:eastAsia="Times New Roman" w:hAnsi="Times New Roman" w:cs="Times New Roman"/>
          <w:kern w:val="0"/>
          <w14:ligatures w14:val="none"/>
        </w:rPr>
      </w:pPr>
      <w:r>
        <w:rPr>
          <w:noProof/>
        </w:rPr>
        <w:lastRenderedPageBreak/>
        <w:drawing>
          <wp:inline distT="0" distB="0" distL="0" distR="0" wp14:anchorId="31BDDB72" wp14:editId="0A32B8B4">
            <wp:extent cx="6387909" cy="4753374"/>
            <wp:effectExtent l="0" t="0" r="0" b="9525"/>
            <wp:docPr id="12999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4995" cy="4766088"/>
                    </a:xfrm>
                    <a:prstGeom prst="rect">
                      <a:avLst/>
                    </a:prstGeom>
                    <a:noFill/>
                    <a:ln>
                      <a:noFill/>
                    </a:ln>
                  </pic:spPr>
                </pic:pic>
              </a:graphicData>
            </a:graphic>
          </wp:inline>
        </w:drawing>
      </w:r>
    </w:p>
    <w:p w14:paraId="5346CDBF" w14:textId="19C79BB4" w:rsidR="001E187F" w:rsidRPr="00284DAD" w:rsidRDefault="00652AAA" w:rsidP="00696CAD">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 5 : </w:t>
      </w:r>
      <w:r w:rsidR="00203F39" w:rsidRPr="00203F39">
        <w:rPr>
          <w:rFonts w:ascii="Times New Roman" w:eastAsia="Times New Roman" w:hAnsi="Times New Roman" w:cs="Times New Roman"/>
          <w:kern w:val="0"/>
          <w14:ligatures w14:val="none"/>
        </w:rPr>
        <w:t>Histopathological image</w:t>
      </w:r>
      <w:r w:rsidR="00203F39">
        <w:rPr>
          <w:rFonts w:ascii="Times New Roman" w:eastAsia="Times New Roman" w:hAnsi="Times New Roman" w:cs="Times New Roman"/>
          <w:kern w:val="0"/>
          <w14:ligatures w14:val="none"/>
        </w:rPr>
        <w:t>s</w:t>
      </w:r>
      <w:r w:rsidR="00203F39" w:rsidRPr="00203F39">
        <w:rPr>
          <w:rFonts w:ascii="Times New Roman" w:eastAsia="Times New Roman" w:hAnsi="Times New Roman" w:cs="Times New Roman"/>
          <w:kern w:val="0"/>
          <w14:ligatures w14:val="none"/>
        </w:rPr>
        <w:t xml:space="preserve"> of </w:t>
      </w:r>
      <w:r w:rsidR="001E187F">
        <w:rPr>
          <w:rFonts w:ascii="Times New Roman" w:eastAsia="Times New Roman" w:hAnsi="Times New Roman" w:cs="Times New Roman"/>
          <w:kern w:val="0"/>
          <w14:ligatures w14:val="none"/>
        </w:rPr>
        <w:t>Liver for the 4 groups</w:t>
      </w:r>
    </w:p>
    <w:p w14:paraId="17376EE1" w14:textId="77777777" w:rsidR="00CC3B94" w:rsidRPr="00B331CF" w:rsidRDefault="00CC3B94" w:rsidP="00CC3B94">
      <w:pPr>
        <w:spacing w:before="100" w:beforeAutospacing="1" w:after="100" w:afterAutospacing="1" w:line="240" w:lineRule="auto"/>
        <w:outlineLvl w:val="2"/>
        <w:rPr>
          <w:rFonts w:ascii="Arial" w:eastAsia="Times New Roman" w:hAnsi="Arial" w:cs="Arial"/>
          <w:b/>
          <w:bCs/>
          <w:kern w:val="0"/>
          <w:sz w:val="22"/>
          <w:szCs w:val="22"/>
          <w14:ligatures w14:val="none"/>
        </w:rPr>
      </w:pPr>
      <w:proofErr w:type="gramStart"/>
      <w:r>
        <w:rPr>
          <w:rFonts w:ascii="Arial" w:eastAsia="Times New Roman" w:hAnsi="Arial" w:cs="Arial"/>
          <w:b/>
          <w:bCs/>
          <w:kern w:val="0"/>
          <w:sz w:val="20"/>
          <w:szCs w:val="20"/>
          <w14:ligatures w14:val="none"/>
        </w:rPr>
        <w:t>Title :</w:t>
      </w:r>
      <w:proofErr w:type="gramEnd"/>
      <w:r>
        <w:rPr>
          <w:rFonts w:ascii="Arial" w:eastAsia="Times New Roman" w:hAnsi="Arial" w:cs="Arial"/>
          <w:b/>
          <w:bCs/>
          <w:kern w:val="0"/>
          <w:sz w:val="20"/>
          <w:szCs w:val="20"/>
          <w14:ligatures w14:val="none"/>
        </w:rPr>
        <w:t xml:space="preserve"> </w:t>
      </w:r>
    </w:p>
    <w:p w14:paraId="44A5632A" w14:textId="77777777" w:rsidR="00CC3B94" w:rsidRDefault="00CC3B94" w:rsidP="00CC3B94">
      <w:pPr>
        <w:spacing w:before="100" w:beforeAutospacing="1" w:after="100" w:afterAutospacing="1" w:line="240" w:lineRule="auto"/>
        <w:outlineLvl w:val="2"/>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Text of your result</w:t>
      </w:r>
    </w:p>
    <w:p w14:paraId="53682CAB" w14:textId="146DA256" w:rsidR="001B5970" w:rsidRPr="00611716" w:rsidRDefault="00696CAD" w:rsidP="001B5970">
      <w:p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Table 5</w:t>
      </w:r>
      <w:r w:rsidR="00CC3B94">
        <w:rPr>
          <w:rFonts w:ascii="Arial" w:eastAsia="Times New Roman" w:hAnsi="Arial" w:cs="Arial"/>
          <w:b/>
          <w:bCs/>
          <w:kern w:val="0"/>
          <w:sz w:val="20"/>
          <w:szCs w:val="20"/>
          <w14:ligatures w14:val="none"/>
        </w:rPr>
        <w:t>.</w:t>
      </w:r>
      <w:r w:rsidRPr="00611716">
        <w:rPr>
          <w:rFonts w:ascii="Arial" w:eastAsia="Times New Roman" w:hAnsi="Arial" w:cs="Arial"/>
          <w:b/>
          <w:bCs/>
          <w:kern w:val="0"/>
          <w:sz w:val="20"/>
          <w:szCs w:val="20"/>
          <w14:ligatures w14:val="none"/>
        </w:rPr>
        <w:t xml:space="preserve"> </w:t>
      </w:r>
      <w:r w:rsidR="00CC3B94">
        <w:rPr>
          <w:rFonts w:ascii="Arial" w:eastAsia="Times New Roman" w:hAnsi="Arial" w:cs="Arial"/>
          <w:kern w:val="0"/>
          <w:sz w:val="20"/>
          <w:szCs w:val="20"/>
          <w14:ligatures w14:val="none"/>
        </w:rPr>
        <w:t>GCMS</w:t>
      </w:r>
      <w:r w:rsidR="00CC3B94" w:rsidRPr="00CC3B94">
        <w:rPr>
          <w:rFonts w:ascii="Arial" w:eastAsia="Times New Roman" w:hAnsi="Arial" w:cs="Arial"/>
          <w:kern w:val="0"/>
          <w:sz w:val="20"/>
          <w:szCs w:val="20"/>
          <w14:ligatures w14:val="none"/>
        </w:rPr>
        <w:t xml:space="preserve"> from the smoked fish extract</w:t>
      </w:r>
    </w:p>
    <w:p w14:paraId="15900763" w14:textId="5E866CD1" w:rsidR="00696CAD" w:rsidRPr="00611716" w:rsidRDefault="00696CAD" w:rsidP="00696CAD">
      <w:pPr>
        <w:pStyle w:val="ListParagraph"/>
        <w:numPr>
          <w:ilvl w:val="0"/>
          <w:numId w:val="4"/>
        </w:numPr>
        <w:spacing w:before="100" w:beforeAutospacing="1" w:after="100" w:afterAutospacing="1" w:line="240" w:lineRule="auto"/>
        <w:outlineLvl w:val="2"/>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EPA Priority PAHs in Smoked Fish with TEFs and BaPeq</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09"/>
        <w:gridCol w:w="2184"/>
        <w:gridCol w:w="1283"/>
        <w:gridCol w:w="1539"/>
        <w:gridCol w:w="561"/>
        <w:gridCol w:w="1881"/>
        <w:gridCol w:w="1503"/>
      </w:tblGrid>
      <w:tr w:rsidR="00696CAD" w:rsidRPr="00CC3B94" w14:paraId="61F3DD68" w14:textId="77777777" w:rsidTr="00611716">
        <w:trPr>
          <w:tblHeader/>
          <w:tblCellSpacing w:w="15" w:type="dxa"/>
        </w:trPr>
        <w:tc>
          <w:tcPr>
            <w:tcW w:w="0" w:type="auto"/>
            <w:tcBorders>
              <w:top w:val="single" w:sz="4" w:space="0" w:color="auto"/>
              <w:bottom w:val="single" w:sz="4" w:space="0" w:color="auto"/>
            </w:tcBorders>
            <w:vAlign w:val="center"/>
            <w:hideMark/>
          </w:tcPr>
          <w:p w14:paraId="51782899"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S/N</w:t>
            </w:r>
          </w:p>
        </w:tc>
        <w:tc>
          <w:tcPr>
            <w:tcW w:w="0" w:type="auto"/>
            <w:tcBorders>
              <w:top w:val="single" w:sz="4" w:space="0" w:color="auto"/>
              <w:bottom w:val="single" w:sz="4" w:space="0" w:color="auto"/>
            </w:tcBorders>
            <w:vAlign w:val="center"/>
            <w:hideMark/>
          </w:tcPr>
          <w:p w14:paraId="09BA58F1"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PAH Compound</w:t>
            </w:r>
          </w:p>
        </w:tc>
        <w:tc>
          <w:tcPr>
            <w:tcW w:w="0" w:type="auto"/>
            <w:tcBorders>
              <w:top w:val="single" w:sz="4" w:space="0" w:color="auto"/>
              <w:bottom w:val="single" w:sz="4" w:space="0" w:color="auto"/>
            </w:tcBorders>
            <w:vAlign w:val="center"/>
            <w:hideMark/>
          </w:tcPr>
          <w:p w14:paraId="4CF2C37B"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Abbreviation</w:t>
            </w:r>
          </w:p>
        </w:tc>
        <w:tc>
          <w:tcPr>
            <w:tcW w:w="0" w:type="auto"/>
            <w:tcBorders>
              <w:top w:val="single" w:sz="4" w:space="0" w:color="auto"/>
              <w:bottom w:val="single" w:sz="4" w:space="0" w:color="auto"/>
            </w:tcBorders>
            <w:vAlign w:val="center"/>
            <w:hideMark/>
          </w:tcPr>
          <w:p w14:paraId="18422CCA"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Molecular Formula</w:t>
            </w:r>
          </w:p>
        </w:tc>
        <w:tc>
          <w:tcPr>
            <w:tcW w:w="0" w:type="auto"/>
            <w:tcBorders>
              <w:top w:val="single" w:sz="4" w:space="0" w:color="auto"/>
              <w:bottom w:val="single" w:sz="4" w:space="0" w:color="auto"/>
            </w:tcBorders>
            <w:vAlign w:val="center"/>
            <w:hideMark/>
          </w:tcPr>
          <w:p w14:paraId="3DBCF276"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TEF</w:t>
            </w:r>
          </w:p>
        </w:tc>
        <w:tc>
          <w:tcPr>
            <w:tcW w:w="0" w:type="auto"/>
            <w:tcBorders>
              <w:top w:val="single" w:sz="4" w:space="0" w:color="auto"/>
              <w:bottom w:val="single" w:sz="4" w:space="0" w:color="auto"/>
            </w:tcBorders>
            <w:vAlign w:val="center"/>
            <w:hideMark/>
          </w:tcPr>
          <w:p w14:paraId="14AE71BC"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Concentration (</w:t>
            </w:r>
            <w:proofErr w:type="spellStart"/>
            <w:r w:rsidRPr="00611716">
              <w:rPr>
                <w:rFonts w:ascii="Arial" w:eastAsia="Times New Roman" w:hAnsi="Arial" w:cs="Arial"/>
                <w:b/>
                <w:bCs/>
                <w:kern w:val="0"/>
                <w:sz w:val="20"/>
                <w:szCs w:val="20"/>
                <w14:ligatures w14:val="none"/>
              </w:rPr>
              <w:t>μg</w:t>
            </w:r>
            <w:proofErr w:type="spellEnd"/>
            <w:r w:rsidRPr="00611716">
              <w:rPr>
                <w:rFonts w:ascii="Arial" w:eastAsia="Times New Roman" w:hAnsi="Arial" w:cs="Arial"/>
                <w:b/>
                <w:bCs/>
                <w:kern w:val="0"/>
                <w:sz w:val="20"/>
                <w:szCs w:val="20"/>
                <w14:ligatures w14:val="none"/>
              </w:rPr>
              <w:t>/kg)</w:t>
            </w:r>
          </w:p>
        </w:tc>
        <w:tc>
          <w:tcPr>
            <w:tcW w:w="0" w:type="auto"/>
            <w:tcBorders>
              <w:top w:val="single" w:sz="4" w:space="0" w:color="auto"/>
              <w:bottom w:val="single" w:sz="4" w:space="0" w:color="auto"/>
            </w:tcBorders>
            <w:vAlign w:val="center"/>
            <w:hideMark/>
          </w:tcPr>
          <w:p w14:paraId="034DFD1C" w14:textId="77777777" w:rsidR="00696CAD" w:rsidRPr="00611716" w:rsidRDefault="00696CAD" w:rsidP="00137235">
            <w:pPr>
              <w:spacing w:after="0" w:line="240" w:lineRule="auto"/>
              <w:jc w:val="center"/>
              <w:rPr>
                <w:rFonts w:ascii="Arial" w:eastAsia="Times New Roman" w:hAnsi="Arial" w:cs="Arial"/>
                <w:b/>
                <w:bCs/>
                <w:kern w:val="0"/>
                <w:sz w:val="20"/>
                <w:szCs w:val="20"/>
                <w14:ligatures w14:val="none"/>
              </w:rPr>
            </w:pPr>
            <w:r w:rsidRPr="00611716">
              <w:rPr>
                <w:rFonts w:ascii="Arial" w:eastAsia="Times New Roman" w:hAnsi="Arial" w:cs="Arial"/>
                <w:b/>
                <w:bCs/>
                <w:kern w:val="0"/>
                <w:sz w:val="20"/>
                <w:szCs w:val="20"/>
                <w14:ligatures w14:val="none"/>
              </w:rPr>
              <w:t>BaPeq (</w:t>
            </w:r>
            <w:proofErr w:type="spellStart"/>
            <w:r w:rsidRPr="00611716">
              <w:rPr>
                <w:rFonts w:ascii="Arial" w:eastAsia="Times New Roman" w:hAnsi="Arial" w:cs="Arial"/>
                <w:b/>
                <w:bCs/>
                <w:kern w:val="0"/>
                <w:sz w:val="20"/>
                <w:szCs w:val="20"/>
                <w14:ligatures w14:val="none"/>
              </w:rPr>
              <w:t>μg</w:t>
            </w:r>
            <w:proofErr w:type="spellEnd"/>
            <w:r w:rsidRPr="00611716">
              <w:rPr>
                <w:rFonts w:ascii="Arial" w:eastAsia="Times New Roman" w:hAnsi="Arial" w:cs="Arial"/>
                <w:b/>
                <w:bCs/>
                <w:kern w:val="0"/>
                <w:sz w:val="20"/>
                <w:szCs w:val="20"/>
                <w14:ligatures w14:val="none"/>
              </w:rPr>
              <w:t>/kg)</w:t>
            </w:r>
          </w:p>
        </w:tc>
      </w:tr>
      <w:tr w:rsidR="00696CAD" w:rsidRPr="00CC3B94" w14:paraId="09D1106B" w14:textId="77777777" w:rsidTr="00611716">
        <w:trPr>
          <w:tblCellSpacing w:w="15" w:type="dxa"/>
        </w:trPr>
        <w:tc>
          <w:tcPr>
            <w:tcW w:w="0" w:type="auto"/>
            <w:vAlign w:val="center"/>
            <w:hideMark/>
          </w:tcPr>
          <w:p w14:paraId="6381CE8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w:t>
            </w:r>
          </w:p>
        </w:tc>
        <w:tc>
          <w:tcPr>
            <w:tcW w:w="0" w:type="auto"/>
            <w:vAlign w:val="center"/>
            <w:hideMark/>
          </w:tcPr>
          <w:p w14:paraId="05DBEEA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Naphthalene</w:t>
            </w:r>
          </w:p>
        </w:tc>
        <w:tc>
          <w:tcPr>
            <w:tcW w:w="0" w:type="auto"/>
            <w:vAlign w:val="center"/>
            <w:hideMark/>
          </w:tcPr>
          <w:p w14:paraId="6160251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NAP</w:t>
            </w:r>
          </w:p>
        </w:tc>
        <w:tc>
          <w:tcPr>
            <w:tcW w:w="0" w:type="auto"/>
            <w:vAlign w:val="center"/>
            <w:hideMark/>
          </w:tcPr>
          <w:p w14:paraId="407B8659"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₁₀</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₈</w:t>
            </w:r>
          </w:p>
        </w:tc>
        <w:tc>
          <w:tcPr>
            <w:tcW w:w="0" w:type="auto"/>
            <w:vAlign w:val="center"/>
            <w:hideMark/>
          </w:tcPr>
          <w:p w14:paraId="5DDDD78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22A13B2B"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45.0</w:t>
            </w:r>
          </w:p>
        </w:tc>
        <w:tc>
          <w:tcPr>
            <w:tcW w:w="0" w:type="auto"/>
            <w:vAlign w:val="center"/>
            <w:hideMark/>
          </w:tcPr>
          <w:p w14:paraId="1E67A92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45.0 × 0.001 = </w:t>
            </w:r>
            <w:r w:rsidRPr="00611716">
              <w:rPr>
                <w:rFonts w:ascii="Arial" w:eastAsia="Times New Roman" w:hAnsi="Arial" w:cs="Arial"/>
                <w:b/>
                <w:bCs/>
                <w:kern w:val="0"/>
                <w:sz w:val="20"/>
                <w:szCs w:val="20"/>
                <w14:ligatures w14:val="none"/>
              </w:rPr>
              <w:t>0.045</w:t>
            </w:r>
          </w:p>
        </w:tc>
      </w:tr>
      <w:tr w:rsidR="00696CAD" w:rsidRPr="00CC3B94" w14:paraId="63B6EE79" w14:textId="77777777" w:rsidTr="00611716">
        <w:trPr>
          <w:tblCellSpacing w:w="15" w:type="dxa"/>
        </w:trPr>
        <w:tc>
          <w:tcPr>
            <w:tcW w:w="0" w:type="auto"/>
            <w:vAlign w:val="center"/>
            <w:hideMark/>
          </w:tcPr>
          <w:p w14:paraId="346F84C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w:t>
            </w:r>
          </w:p>
        </w:tc>
        <w:tc>
          <w:tcPr>
            <w:tcW w:w="0" w:type="auto"/>
            <w:vAlign w:val="center"/>
            <w:hideMark/>
          </w:tcPr>
          <w:p w14:paraId="3545B11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Acenaphthylene</w:t>
            </w:r>
          </w:p>
        </w:tc>
        <w:tc>
          <w:tcPr>
            <w:tcW w:w="0" w:type="auto"/>
            <w:vAlign w:val="center"/>
            <w:hideMark/>
          </w:tcPr>
          <w:p w14:paraId="4DA6ACCC"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ACY</w:t>
            </w:r>
          </w:p>
        </w:tc>
        <w:tc>
          <w:tcPr>
            <w:tcW w:w="0" w:type="auto"/>
            <w:vAlign w:val="center"/>
            <w:hideMark/>
          </w:tcPr>
          <w:p w14:paraId="0E3FDCD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₁₂</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₈</w:t>
            </w:r>
          </w:p>
        </w:tc>
        <w:tc>
          <w:tcPr>
            <w:tcW w:w="0" w:type="auto"/>
            <w:vAlign w:val="center"/>
            <w:hideMark/>
          </w:tcPr>
          <w:p w14:paraId="4308BA1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40D7D9D9"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30.0</w:t>
            </w:r>
          </w:p>
        </w:tc>
        <w:tc>
          <w:tcPr>
            <w:tcW w:w="0" w:type="auto"/>
            <w:vAlign w:val="center"/>
            <w:hideMark/>
          </w:tcPr>
          <w:p w14:paraId="33CD3D56"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30.0 × 0.001 = </w:t>
            </w:r>
            <w:r w:rsidRPr="00611716">
              <w:rPr>
                <w:rFonts w:ascii="Arial" w:eastAsia="Times New Roman" w:hAnsi="Arial" w:cs="Arial"/>
                <w:b/>
                <w:bCs/>
                <w:kern w:val="0"/>
                <w:sz w:val="20"/>
                <w:szCs w:val="20"/>
                <w14:ligatures w14:val="none"/>
              </w:rPr>
              <w:t>0.030</w:t>
            </w:r>
          </w:p>
        </w:tc>
      </w:tr>
      <w:tr w:rsidR="00696CAD" w:rsidRPr="00CC3B94" w14:paraId="762BD343" w14:textId="77777777" w:rsidTr="00611716">
        <w:trPr>
          <w:tblCellSpacing w:w="15" w:type="dxa"/>
        </w:trPr>
        <w:tc>
          <w:tcPr>
            <w:tcW w:w="0" w:type="auto"/>
            <w:vAlign w:val="center"/>
            <w:hideMark/>
          </w:tcPr>
          <w:p w14:paraId="7BE776D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w:t>
            </w:r>
          </w:p>
        </w:tc>
        <w:tc>
          <w:tcPr>
            <w:tcW w:w="0" w:type="auto"/>
            <w:vAlign w:val="center"/>
            <w:hideMark/>
          </w:tcPr>
          <w:p w14:paraId="79C6081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Acenaphthene</w:t>
            </w:r>
          </w:p>
        </w:tc>
        <w:tc>
          <w:tcPr>
            <w:tcW w:w="0" w:type="auto"/>
            <w:vAlign w:val="center"/>
            <w:hideMark/>
          </w:tcPr>
          <w:p w14:paraId="3D3238CC"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ACE</w:t>
            </w:r>
          </w:p>
        </w:tc>
        <w:tc>
          <w:tcPr>
            <w:tcW w:w="0" w:type="auto"/>
            <w:vAlign w:val="center"/>
            <w:hideMark/>
          </w:tcPr>
          <w:p w14:paraId="4AB9B21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₁₂</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₁₀</w:t>
            </w:r>
          </w:p>
        </w:tc>
        <w:tc>
          <w:tcPr>
            <w:tcW w:w="0" w:type="auto"/>
            <w:vAlign w:val="center"/>
            <w:hideMark/>
          </w:tcPr>
          <w:p w14:paraId="50F2F1B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13305BB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28.0</w:t>
            </w:r>
          </w:p>
        </w:tc>
        <w:tc>
          <w:tcPr>
            <w:tcW w:w="0" w:type="auto"/>
            <w:vAlign w:val="center"/>
            <w:hideMark/>
          </w:tcPr>
          <w:p w14:paraId="413A571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28.0 × 0.001 = </w:t>
            </w:r>
            <w:r w:rsidRPr="00611716">
              <w:rPr>
                <w:rFonts w:ascii="Arial" w:eastAsia="Times New Roman" w:hAnsi="Arial" w:cs="Arial"/>
                <w:b/>
                <w:bCs/>
                <w:kern w:val="0"/>
                <w:sz w:val="20"/>
                <w:szCs w:val="20"/>
                <w14:ligatures w14:val="none"/>
              </w:rPr>
              <w:t>0.028</w:t>
            </w:r>
          </w:p>
        </w:tc>
      </w:tr>
      <w:tr w:rsidR="00696CAD" w:rsidRPr="00CC3B94" w14:paraId="75D64362" w14:textId="77777777" w:rsidTr="00611716">
        <w:trPr>
          <w:tblCellSpacing w:w="15" w:type="dxa"/>
        </w:trPr>
        <w:tc>
          <w:tcPr>
            <w:tcW w:w="0" w:type="auto"/>
            <w:vAlign w:val="center"/>
            <w:hideMark/>
          </w:tcPr>
          <w:p w14:paraId="0A549D3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lastRenderedPageBreak/>
              <w:t>4</w:t>
            </w:r>
          </w:p>
        </w:tc>
        <w:tc>
          <w:tcPr>
            <w:tcW w:w="0" w:type="auto"/>
            <w:vAlign w:val="center"/>
            <w:hideMark/>
          </w:tcPr>
          <w:p w14:paraId="6B20F63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Fluorene</w:t>
            </w:r>
          </w:p>
        </w:tc>
        <w:tc>
          <w:tcPr>
            <w:tcW w:w="0" w:type="auto"/>
            <w:vAlign w:val="center"/>
            <w:hideMark/>
          </w:tcPr>
          <w:p w14:paraId="6A9279A3"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FLU</w:t>
            </w:r>
          </w:p>
        </w:tc>
        <w:tc>
          <w:tcPr>
            <w:tcW w:w="0" w:type="auto"/>
            <w:vAlign w:val="center"/>
            <w:hideMark/>
          </w:tcPr>
          <w:p w14:paraId="1051648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₁₃</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₁₀</w:t>
            </w:r>
          </w:p>
        </w:tc>
        <w:tc>
          <w:tcPr>
            <w:tcW w:w="0" w:type="auto"/>
            <w:vAlign w:val="center"/>
            <w:hideMark/>
          </w:tcPr>
          <w:p w14:paraId="1D89F0E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4FEC66D3"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25.0</w:t>
            </w:r>
          </w:p>
        </w:tc>
        <w:tc>
          <w:tcPr>
            <w:tcW w:w="0" w:type="auto"/>
            <w:vAlign w:val="center"/>
            <w:hideMark/>
          </w:tcPr>
          <w:p w14:paraId="3B31855E"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25.0 × 0.001 = </w:t>
            </w:r>
            <w:r w:rsidRPr="00611716">
              <w:rPr>
                <w:rFonts w:ascii="Arial" w:eastAsia="Times New Roman" w:hAnsi="Arial" w:cs="Arial"/>
                <w:b/>
                <w:bCs/>
                <w:kern w:val="0"/>
                <w:sz w:val="20"/>
                <w:szCs w:val="20"/>
                <w14:ligatures w14:val="none"/>
              </w:rPr>
              <w:t>0.025</w:t>
            </w:r>
          </w:p>
        </w:tc>
      </w:tr>
      <w:tr w:rsidR="00696CAD" w:rsidRPr="00CC3B94" w14:paraId="0D5A5561" w14:textId="77777777" w:rsidTr="00611716">
        <w:trPr>
          <w:tblCellSpacing w:w="15" w:type="dxa"/>
        </w:trPr>
        <w:tc>
          <w:tcPr>
            <w:tcW w:w="0" w:type="auto"/>
            <w:vAlign w:val="center"/>
            <w:hideMark/>
          </w:tcPr>
          <w:p w14:paraId="37E3F77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w:t>
            </w:r>
          </w:p>
        </w:tc>
        <w:tc>
          <w:tcPr>
            <w:tcW w:w="0" w:type="auto"/>
            <w:vAlign w:val="center"/>
            <w:hideMark/>
          </w:tcPr>
          <w:p w14:paraId="3F98992B"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Phenanthrene</w:t>
            </w:r>
          </w:p>
        </w:tc>
        <w:tc>
          <w:tcPr>
            <w:tcW w:w="0" w:type="auto"/>
            <w:vAlign w:val="center"/>
            <w:hideMark/>
          </w:tcPr>
          <w:p w14:paraId="5C38EEC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PHE</w:t>
            </w:r>
          </w:p>
        </w:tc>
        <w:tc>
          <w:tcPr>
            <w:tcW w:w="0" w:type="auto"/>
            <w:vAlign w:val="center"/>
            <w:hideMark/>
          </w:tcPr>
          <w:p w14:paraId="0F2CE7D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₁₄</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₁₀</w:t>
            </w:r>
          </w:p>
        </w:tc>
        <w:tc>
          <w:tcPr>
            <w:tcW w:w="0" w:type="auto"/>
            <w:vAlign w:val="center"/>
            <w:hideMark/>
          </w:tcPr>
          <w:p w14:paraId="48C6E8A4"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11D7A4A3"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50.0</w:t>
            </w:r>
          </w:p>
        </w:tc>
        <w:tc>
          <w:tcPr>
            <w:tcW w:w="0" w:type="auto"/>
            <w:vAlign w:val="center"/>
            <w:hideMark/>
          </w:tcPr>
          <w:p w14:paraId="18D3B884"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50.0 × 0.001 = </w:t>
            </w:r>
            <w:r w:rsidRPr="00611716">
              <w:rPr>
                <w:rFonts w:ascii="Arial" w:eastAsia="Times New Roman" w:hAnsi="Arial" w:cs="Arial"/>
                <w:b/>
                <w:bCs/>
                <w:kern w:val="0"/>
                <w:sz w:val="20"/>
                <w:szCs w:val="20"/>
                <w14:ligatures w14:val="none"/>
              </w:rPr>
              <w:t>0.050</w:t>
            </w:r>
          </w:p>
        </w:tc>
      </w:tr>
      <w:tr w:rsidR="00696CAD" w:rsidRPr="00CC3B94" w14:paraId="487E1D71" w14:textId="77777777" w:rsidTr="00611716">
        <w:trPr>
          <w:tblCellSpacing w:w="15" w:type="dxa"/>
        </w:trPr>
        <w:tc>
          <w:tcPr>
            <w:tcW w:w="0" w:type="auto"/>
            <w:vAlign w:val="center"/>
            <w:hideMark/>
          </w:tcPr>
          <w:p w14:paraId="5D8A314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w:t>
            </w:r>
          </w:p>
        </w:tc>
        <w:tc>
          <w:tcPr>
            <w:tcW w:w="0" w:type="auto"/>
            <w:vAlign w:val="center"/>
            <w:hideMark/>
          </w:tcPr>
          <w:p w14:paraId="1991056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Anthracene</w:t>
            </w:r>
          </w:p>
        </w:tc>
        <w:tc>
          <w:tcPr>
            <w:tcW w:w="0" w:type="auto"/>
            <w:vAlign w:val="center"/>
            <w:hideMark/>
          </w:tcPr>
          <w:p w14:paraId="6B88F20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ANT</w:t>
            </w:r>
          </w:p>
        </w:tc>
        <w:tc>
          <w:tcPr>
            <w:tcW w:w="0" w:type="auto"/>
            <w:vAlign w:val="center"/>
            <w:hideMark/>
          </w:tcPr>
          <w:p w14:paraId="7FB98D1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₁₄</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₁₀</w:t>
            </w:r>
          </w:p>
        </w:tc>
        <w:tc>
          <w:tcPr>
            <w:tcW w:w="0" w:type="auto"/>
            <w:vAlign w:val="center"/>
            <w:hideMark/>
          </w:tcPr>
          <w:p w14:paraId="0C66C57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0.01</w:t>
            </w:r>
          </w:p>
        </w:tc>
        <w:tc>
          <w:tcPr>
            <w:tcW w:w="0" w:type="auto"/>
            <w:vAlign w:val="center"/>
            <w:hideMark/>
          </w:tcPr>
          <w:p w14:paraId="5DB2F1F3"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20.0</w:t>
            </w:r>
          </w:p>
        </w:tc>
        <w:tc>
          <w:tcPr>
            <w:tcW w:w="0" w:type="auto"/>
            <w:vAlign w:val="center"/>
            <w:hideMark/>
          </w:tcPr>
          <w:p w14:paraId="34F8D13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20.0 × 0.01 = </w:t>
            </w:r>
            <w:r w:rsidRPr="00611716">
              <w:rPr>
                <w:rFonts w:ascii="Arial" w:eastAsia="Times New Roman" w:hAnsi="Arial" w:cs="Arial"/>
                <w:b/>
                <w:bCs/>
                <w:kern w:val="0"/>
                <w:sz w:val="20"/>
                <w:szCs w:val="20"/>
                <w14:ligatures w14:val="none"/>
              </w:rPr>
              <w:t>0.200</w:t>
            </w:r>
          </w:p>
        </w:tc>
      </w:tr>
      <w:tr w:rsidR="00696CAD" w:rsidRPr="00CC3B94" w14:paraId="6C6C0CCC" w14:textId="77777777" w:rsidTr="00611716">
        <w:trPr>
          <w:tblCellSpacing w:w="15" w:type="dxa"/>
        </w:trPr>
        <w:tc>
          <w:tcPr>
            <w:tcW w:w="0" w:type="auto"/>
            <w:vAlign w:val="center"/>
            <w:hideMark/>
          </w:tcPr>
          <w:p w14:paraId="293C4D5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w:t>
            </w:r>
          </w:p>
        </w:tc>
        <w:tc>
          <w:tcPr>
            <w:tcW w:w="0" w:type="auto"/>
            <w:vAlign w:val="center"/>
            <w:hideMark/>
          </w:tcPr>
          <w:p w14:paraId="096F1164"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Fluoranthene</w:t>
            </w:r>
          </w:p>
        </w:tc>
        <w:tc>
          <w:tcPr>
            <w:tcW w:w="0" w:type="auto"/>
            <w:vAlign w:val="center"/>
            <w:hideMark/>
          </w:tcPr>
          <w:p w14:paraId="04FAF19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FLA</w:t>
            </w:r>
          </w:p>
        </w:tc>
        <w:tc>
          <w:tcPr>
            <w:tcW w:w="0" w:type="auto"/>
            <w:vAlign w:val="center"/>
            <w:hideMark/>
          </w:tcPr>
          <w:p w14:paraId="2A11D8B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₁₆</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₁₀</w:t>
            </w:r>
          </w:p>
        </w:tc>
        <w:tc>
          <w:tcPr>
            <w:tcW w:w="0" w:type="auto"/>
            <w:vAlign w:val="center"/>
            <w:hideMark/>
          </w:tcPr>
          <w:p w14:paraId="09B2945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22F143CB"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35.0</w:t>
            </w:r>
          </w:p>
        </w:tc>
        <w:tc>
          <w:tcPr>
            <w:tcW w:w="0" w:type="auto"/>
            <w:vAlign w:val="center"/>
            <w:hideMark/>
          </w:tcPr>
          <w:p w14:paraId="1CC27E1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35.0 × 0.001 = </w:t>
            </w:r>
            <w:r w:rsidRPr="00611716">
              <w:rPr>
                <w:rFonts w:ascii="Arial" w:eastAsia="Times New Roman" w:hAnsi="Arial" w:cs="Arial"/>
                <w:b/>
                <w:bCs/>
                <w:kern w:val="0"/>
                <w:sz w:val="20"/>
                <w:szCs w:val="20"/>
                <w14:ligatures w14:val="none"/>
              </w:rPr>
              <w:t>0.035</w:t>
            </w:r>
          </w:p>
        </w:tc>
      </w:tr>
      <w:tr w:rsidR="00696CAD" w:rsidRPr="00CC3B94" w14:paraId="4AC744BC" w14:textId="77777777" w:rsidTr="00611716">
        <w:trPr>
          <w:tblCellSpacing w:w="15" w:type="dxa"/>
        </w:trPr>
        <w:tc>
          <w:tcPr>
            <w:tcW w:w="0" w:type="auto"/>
            <w:vAlign w:val="center"/>
            <w:hideMark/>
          </w:tcPr>
          <w:p w14:paraId="0833E32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8</w:t>
            </w:r>
          </w:p>
        </w:tc>
        <w:tc>
          <w:tcPr>
            <w:tcW w:w="0" w:type="auto"/>
            <w:vAlign w:val="center"/>
            <w:hideMark/>
          </w:tcPr>
          <w:p w14:paraId="499DF82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Pyrene</w:t>
            </w:r>
          </w:p>
        </w:tc>
        <w:tc>
          <w:tcPr>
            <w:tcW w:w="0" w:type="auto"/>
            <w:vAlign w:val="center"/>
            <w:hideMark/>
          </w:tcPr>
          <w:p w14:paraId="4C45D7B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PYR</w:t>
            </w:r>
          </w:p>
        </w:tc>
        <w:tc>
          <w:tcPr>
            <w:tcW w:w="0" w:type="auto"/>
            <w:vAlign w:val="center"/>
            <w:hideMark/>
          </w:tcPr>
          <w:p w14:paraId="2E7188BC"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₁₆</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₁₀</w:t>
            </w:r>
          </w:p>
        </w:tc>
        <w:tc>
          <w:tcPr>
            <w:tcW w:w="0" w:type="auto"/>
            <w:vAlign w:val="center"/>
            <w:hideMark/>
          </w:tcPr>
          <w:p w14:paraId="5497546F"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0.001</w:t>
            </w:r>
          </w:p>
        </w:tc>
        <w:tc>
          <w:tcPr>
            <w:tcW w:w="0" w:type="auto"/>
            <w:vAlign w:val="center"/>
            <w:hideMark/>
          </w:tcPr>
          <w:p w14:paraId="4C8F12BF"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40.0</w:t>
            </w:r>
          </w:p>
        </w:tc>
        <w:tc>
          <w:tcPr>
            <w:tcW w:w="0" w:type="auto"/>
            <w:vAlign w:val="center"/>
            <w:hideMark/>
          </w:tcPr>
          <w:p w14:paraId="27CEFCDC"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40.0 × 0.001 = </w:t>
            </w:r>
            <w:r w:rsidRPr="00611716">
              <w:rPr>
                <w:rFonts w:ascii="Arial" w:eastAsia="Times New Roman" w:hAnsi="Arial" w:cs="Arial"/>
                <w:b/>
                <w:bCs/>
                <w:kern w:val="0"/>
                <w:sz w:val="20"/>
                <w:szCs w:val="20"/>
                <w14:ligatures w14:val="none"/>
              </w:rPr>
              <w:t>0.040</w:t>
            </w:r>
          </w:p>
        </w:tc>
      </w:tr>
      <w:tr w:rsidR="00696CAD" w:rsidRPr="00CC3B94" w14:paraId="192073BD" w14:textId="77777777" w:rsidTr="00611716">
        <w:trPr>
          <w:tblCellSpacing w:w="15" w:type="dxa"/>
        </w:trPr>
        <w:tc>
          <w:tcPr>
            <w:tcW w:w="0" w:type="auto"/>
            <w:vAlign w:val="center"/>
            <w:hideMark/>
          </w:tcPr>
          <w:p w14:paraId="59A4BEB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9</w:t>
            </w:r>
          </w:p>
        </w:tc>
        <w:tc>
          <w:tcPr>
            <w:tcW w:w="0" w:type="auto"/>
            <w:vAlign w:val="center"/>
            <w:hideMark/>
          </w:tcPr>
          <w:p w14:paraId="2034FA8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Benzo[a]anthracene</w:t>
            </w:r>
          </w:p>
        </w:tc>
        <w:tc>
          <w:tcPr>
            <w:tcW w:w="0" w:type="auto"/>
            <w:vAlign w:val="center"/>
            <w:hideMark/>
          </w:tcPr>
          <w:p w14:paraId="2B7AC4B0" w14:textId="77777777" w:rsidR="00696CAD" w:rsidRPr="00611716" w:rsidRDefault="00696CAD"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BaA</w:t>
            </w:r>
            <w:proofErr w:type="spellEnd"/>
          </w:p>
        </w:tc>
        <w:tc>
          <w:tcPr>
            <w:tcW w:w="0" w:type="auto"/>
            <w:vAlign w:val="center"/>
            <w:hideMark/>
          </w:tcPr>
          <w:p w14:paraId="1FD852A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₁₈</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48E7ABC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0.1</w:t>
            </w:r>
          </w:p>
        </w:tc>
        <w:tc>
          <w:tcPr>
            <w:tcW w:w="0" w:type="auto"/>
            <w:vAlign w:val="center"/>
            <w:hideMark/>
          </w:tcPr>
          <w:p w14:paraId="7AB5ECB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12.0</w:t>
            </w:r>
          </w:p>
        </w:tc>
        <w:tc>
          <w:tcPr>
            <w:tcW w:w="0" w:type="auto"/>
            <w:vAlign w:val="center"/>
            <w:hideMark/>
          </w:tcPr>
          <w:p w14:paraId="30466F16"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12.0 × 0.1 = </w:t>
            </w:r>
            <w:r w:rsidRPr="00611716">
              <w:rPr>
                <w:rFonts w:ascii="Arial" w:eastAsia="Times New Roman" w:hAnsi="Arial" w:cs="Arial"/>
                <w:b/>
                <w:bCs/>
                <w:kern w:val="0"/>
                <w:sz w:val="20"/>
                <w:szCs w:val="20"/>
                <w14:ligatures w14:val="none"/>
              </w:rPr>
              <w:t>1.200</w:t>
            </w:r>
          </w:p>
        </w:tc>
      </w:tr>
      <w:tr w:rsidR="00696CAD" w:rsidRPr="00CC3B94" w14:paraId="525A23C8" w14:textId="77777777" w:rsidTr="00611716">
        <w:trPr>
          <w:tblCellSpacing w:w="15" w:type="dxa"/>
        </w:trPr>
        <w:tc>
          <w:tcPr>
            <w:tcW w:w="0" w:type="auto"/>
            <w:vAlign w:val="center"/>
            <w:hideMark/>
          </w:tcPr>
          <w:p w14:paraId="0D04DDD9"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10</w:t>
            </w:r>
          </w:p>
        </w:tc>
        <w:tc>
          <w:tcPr>
            <w:tcW w:w="0" w:type="auto"/>
            <w:vAlign w:val="center"/>
            <w:hideMark/>
          </w:tcPr>
          <w:p w14:paraId="0EBF8C8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Chrysene</w:t>
            </w:r>
          </w:p>
        </w:tc>
        <w:tc>
          <w:tcPr>
            <w:tcW w:w="0" w:type="auto"/>
            <w:vAlign w:val="center"/>
            <w:hideMark/>
          </w:tcPr>
          <w:p w14:paraId="657FB1F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CHR</w:t>
            </w:r>
          </w:p>
        </w:tc>
        <w:tc>
          <w:tcPr>
            <w:tcW w:w="0" w:type="auto"/>
            <w:vAlign w:val="center"/>
            <w:hideMark/>
          </w:tcPr>
          <w:p w14:paraId="6EDB728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₁₈</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73C4788E"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0.01</w:t>
            </w:r>
          </w:p>
        </w:tc>
        <w:tc>
          <w:tcPr>
            <w:tcW w:w="0" w:type="auto"/>
            <w:vAlign w:val="center"/>
            <w:hideMark/>
          </w:tcPr>
          <w:p w14:paraId="5351DAB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10.0</w:t>
            </w:r>
          </w:p>
        </w:tc>
        <w:tc>
          <w:tcPr>
            <w:tcW w:w="0" w:type="auto"/>
            <w:vAlign w:val="center"/>
            <w:hideMark/>
          </w:tcPr>
          <w:p w14:paraId="063FA2E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10.0 × 0.01 = </w:t>
            </w:r>
            <w:r w:rsidRPr="00611716">
              <w:rPr>
                <w:rFonts w:ascii="Arial" w:eastAsia="Times New Roman" w:hAnsi="Arial" w:cs="Arial"/>
                <w:b/>
                <w:bCs/>
                <w:kern w:val="0"/>
                <w:sz w:val="20"/>
                <w:szCs w:val="20"/>
                <w14:ligatures w14:val="none"/>
              </w:rPr>
              <w:t>0.100</w:t>
            </w:r>
          </w:p>
        </w:tc>
      </w:tr>
      <w:tr w:rsidR="00696CAD" w:rsidRPr="00CC3B94" w14:paraId="40CCFAD2" w14:textId="77777777" w:rsidTr="00611716">
        <w:trPr>
          <w:tblCellSpacing w:w="15" w:type="dxa"/>
        </w:trPr>
        <w:tc>
          <w:tcPr>
            <w:tcW w:w="0" w:type="auto"/>
            <w:vAlign w:val="center"/>
            <w:hideMark/>
          </w:tcPr>
          <w:p w14:paraId="671B86A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11</w:t>
            </w:r>
          </w:p>
        </w:tc>
        <w:tc>
          <w:tcPr>
            <w:tcW w:w="0" w:type="auto"/>
            <w:vAlign w:val="center"/>
            <w:hideMark/>
          </w:tcPr>
          <w:p w14:paraId="260963B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Benzo[b]fluoranthene</w:t>
            </w:r>
          </w:p>
        </w:tc>
        <w:tc>
          <w:tcPr>
            <w:tcW w:w="0" w:type="auto"/>
            <w:vAlign w:val="center"/>
            <w:hideMark/>
          </w:tcPr>
          <w:p w14:paraId="51438CBE" w14:textId="77777777" w:rsidR="00696CAD" w:rsidRPr="00611716" w:rsidRDefault="00696CAD"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BbF</w:t>
            </w:r>
            <w:proofErr w:type="spellEnd"/>
          </w:p>
        </w:tc>
        <w:tc>
          <w:tcPr>
            <w:tcW w:w="0" w:type="auto"/>
            <w:vAlign w:val="center"/>
            <w:hideMark/>
          </w:tcPr>
          <w:p w14:paraId="277B3B6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₂₀</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3DA1B05C"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0.1</w:t>
            </w:r>
          </w:p>
        </w:tc>
        <w:tc>
          <w:tcPr>
            <w:tcW w:w="0" w:type="auto"/>
            <w:vAlign w:val="center"/>
            <w:hideMark/>
          </w:tcPr>
          <w:p w14:paraId="7EF7952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9.0</w:t>
            </w:r>
          </w:p>
        </w:tc>
        <w:tc>
          <w:tcPr>
            <w:tcW w:w="0" w:type="auto"/>
            <w:vAlign w:val="center"/>
            <w:hideMark/>
          </w:tcPr>
          <w:p w14:paraId="7B211FC6"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9.0 × 0.1 = </w:t>
            </w:r>
            <w:r w:rsidRPr="00611716">
              <w:rPr>
                <w:rFonts w:ascii="Arial" w:eastAsia="Times New Roman" w:hAnsi="Arial" w:cs="Arial"/>
                <w:b/>
                <w:bCs/>
                <w:kern w:val="0"/>
                <w:sz w:val="20"/>
                <w:szCs w:val="20"/>
                <w14:ligatures w14:val="none"/>
              </w:rPr>
              <w:t>0.900</w:t>
            </w:r>
          </w:p>
        </w:tc>
      </w:tr>
      <w:tr w:rsidR="00696CAD" w:rsidRPr="00CC3B94" w14:paraId="7D2F8E30" w14:textId="77777777" w:rsidTr="00611716">
        <w:trPr>
          <w:tblCellSpacing w:w="15" w:type="dxa"/>
        </w:trPr>
        <w:tc>
          <w:tcPr>
            <w:tcW w:w="0" w:type="auto"/>
            <w:vAlign w:val="center"/>
            <w:hideMark/>
          </w:tcPr>
          <w:p w14:paraId="12BF28E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12</w:t>
            </w:r>
          </w:p>
        </w:tc>
        <w:tc>
          <w:tcPr>
            <w:tcW w:w="0" w:type="auto"/>
            <w:vAlign w:val="center"/>
            <w:hideMark/>
          </w:tcPr>
          <w:p w14:paraId="4A91CF6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Benzo[k]fluoranthene</w:t>
            </w:r>
          </w:p>
        </w:tc>
        <w:tc>
          <w:tcPr>
            <w:tcW w:w="0" w:type="auto"/>
            <w:vAlign w:val="center"/>
            <w:hideMark/>
          </w:tcPr>
          <w:p w14:paraId="56CDC0C9" w14:textId="77777777" w:rsidR="00696CAD" w:rsidRPr="00611716" w:rsidRDefault="00696CAD"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BkF</w:t>
            </w:r>
            <w:proofErr w:type="spellEnd"/>
          </w:p>
        </w:tc>
        <w:tc>
          <w:tcPr>
            <w:tcW w:w="0" w:type="auto"/>
            <w:vAlign w:val="center"/>
            <w:hideMark/>
          </w:tcPr>
          <w:p w14:paraId="2E69C539"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₂₀</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2ABFEC4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0.1</w:t>
            </w:r>
          </w:p>
        </w:tc>
        <w:tc>
          <w:tcPr>
            <w:tcW w:w="0" w:type="auto"/>
            <w:vAlign w:val="center"/>
            <w:hideMark/>
          </w:tcPr>
          <w:p w14:paraId="1FD75D9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6.0</w:t>
            </w:r>
          </w:p>
        </w:tc>
        <w:tc>
          <w:tcPr>
            <w:tcW w:w="0" w:type="auto"/>
            <w:vAlign w:val="center"/>
            <w:hideMark/>
          </w:tcPr>
          <w:p w14:paraId="242D695B"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6.0 × 0.1 = </w:t>
            </w:r>
            <w:r w:rsidRPr="00611716">
              <w:rPr>
                <w:rFonts w:ascii="Arial" w:eastAsia="Times New Roman" w:hAnsi="Arial" w:cs="Arial"/>
                <w:b/>
                <w:bCs/>
                <w:kern w:val="0"/>
                <w:sz w:val="20"/>
                <w:szCs w:val="20"/>
                <w14:ligatures w14:val="none"/>
              </w:rPr>
              <w:t>0.600</w:t>
            </w:r>
          </w:p>
        </w:tc>
      </w:tr>
      <w:tr w:rsidR="00696CAD" w:rsidRPr="00CC3B94" w14:paraId="70345165" w14:textId="77777777" w:rsidTr="00611716">
        <w:trPr>
          <w:tblCellSpacing w:w="15" w:type="dxa"/>
        </w:trPr>
        <w:tc>
          <w:tcPr>
            <w:tcW w:w="0" w:type="auto"/>
            <w:vAlign w:val="center"/>
            <w:hideMark/>
          </w:tcPr>
          <w:p w14:paraId="246EC83E"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13</w:t>
            </w:r>
          </w:p>
        </w:tc>
        <w:tc>
          <w:tcPr>
            <w:tcW w:w="0" w:type="auto"/>
            <w:vAlign w:val="center"/>
            <w:hideMark/>
          </w:tcPr>
          <w:p w14:paraId="4904AF4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Benzo[a]pyrene</w:t>
            </w:r>
          </w:p>
        </w:tc>
        <w:tc>
          <w:tcPr>
            <w:tcW w:w="0" w:type="auto"/>
            <w:vAlign w:val="center"/>
            <w:hideMark/>
          </w:tcPr>
          <w:p w14:paraId="53C58FA2" w14:textId="77777777" w:rsidR="00696CAD" w:rsidRPr="00611716" w:rsidRDefault="00696CAD"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BaP</w:t>
            </w:r>
            <w:proofErr w:type="spellEnd"/>
          </w:p>
        </w:tc>
        <w:tc>
          <w:tcPr>
            <w:tcW w:w="0" w:type="auto"/>
            <w:vAlign w:val="center"/>
            <w:hideMark/>
          </w:tcPr>
          <w:p w14:paraId="5D242D5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₂₀</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4FEB52BE"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1.0</w:t>
            </w:r>
          </w:p>
        </w:tc>
        <w:tc>
          <w:tcPr>
            <w:tcW w:w="0" w:type="auto"/>
            <w:vAlign w:val="center"/>
            <w:hideMark/>
          </w:tcPr>
          <w:p w14:paraId="11D22675"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8.0</w:t>
            </w:r>
          </w:p>
        </w:tc>
        <w:tc>
          <w:tcPr>
            <w:tcW w:w="0" w:type="auto"/>
            <w:vAlign w:val="center"/>
            <w:hideMark/>
          </w:tcPr>
          <w:p w14:paraId="461A0B67"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8.0 × 1.0 = </w:t>
            </w:r>
            <w:r w:rsidRPr="00611716">
              <w:rPr>
                <w:rFonts w:ascii="Arial" w:eastAsia="Times New Roman" w:hAnsi="Arial" w:cs="Arial"/>
                <w:b/>
                <w:bCs/>
                <w:kern w:val="0"/>
                <w:sz w:val="20"/>
                <w:szCs w:val="20"/>
                <w14:ligatures w14:val="none"/>
              </w:rPr>
              <w:t>8.000</w:t>
            </w:r>
          </w:p>
        </w:tc>
      </w:tr>
      <w:tr w:rsidR="00696CAD" w:rsidRPr="00CC3B94" w14:paraId="551B8045" w14:textId="77777777" w:rsidTr="00611716">
        <w:trPr>
          <w:tblCellSpacing w:w="15" w:type="dxa"/>
        </w:trPr>
        <w:tc>
          <w:tcPr>
            <w:tcW w:w="0" w:type="auto"/>
            <w:vAlign w:val="center"/>
            <w:hideMark/>
          </w:tcPr>
          <w:p w14:paraId="22238DDF"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14</w:t>
            </w:r>
          </w:p>
        </w:tc>
        <w:tc>
          <w:tcPr>
            <w:tcW w:w="0" w:type="auto"/>
            <w:vAlign w:val="center"/>
            <w:hideMark/>
          </w:tcPr>
          <w:p w14:paraId="4906795B" w14:textId="77777777" w:rsidR="00696CAD" w:rsidRPr="00611716" w:rsidRDefault="00696CAD"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Indeno</w:t>
            </w:r>
            <w:proofErr w:type="spellEnd"/>
            <w:r w:rsidRPr="00611716">
              <w:rPr>
                <w:rFonts w:ascii="Arial" w:eastAsia="Times New Roman" w:hAnsi="Arial" w:cs="Arial"/>
                <w:kern w:val="0"/>
                <w:sz w:val="20"/>
                <w:szCs w:val="20"/>
                <w14:ligatures w14:val="none"/>
              </w:rPr>
              <w:t>[1,2,3-</w:t>
            </w:r>
            <w:proofErr w:type="gramStart"/>
            <w:r w:rsidRPr="00611716">
              <w:rPr>
                <w:rFonts w:ascii="Arial" w:eastAsia="Times New Roman" w:hAnsi="Arial" w:cs="Arial"/>
                <w:kern w:val="0"/>
                <w:sz w:val="20"/>
                <w:szCs w:val="20"/>
                <w14:ligatures w14:val="none"/>
              </w:rPr>
              <w:t>cd]pyrene</w:t>
            </w:r>
            <w:proofErr w:type="gramEnd"/>
          </w:p>
        </w:tc>
        <w:tc>
          <w:tcPr>
            <w:tcW w:w="0" w:type="auto"/>
            <w:vAlign w:val="center"/>
            <w:hideMark/>
          </w:tcPr>
          <w:p w14:paraId="186A6DA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IND</w:t>
            </w:r>
          </w:p>
        </w:tc>
        <w:tc>
          <w:tcPr>
            <w:tcW w:w="0" w:type="auto"/>
            <w:vAlign w:val="center"/>
            <w:hideMark/>
          </w:tcPr>
          <w:p w14:paraId="45FC7D99"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₂₂</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026B34B2"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0.1</w:t>
            </w:r>
          </w:p>
        </w:tc>
        <w:tc>
          <w:tcPr>
            <w:tcW w:w="0" w:type="auto"/>
            <w:vAlign w:val="center"/>
            <w:hideMark/>
          </w:tcPr>
          <w:p w14:paraId="65D1498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4.0</w:t>
            </w:r>
          </w:p>
        </w:tc>
        <w:tc>
          <w:tcPr>
            <w:tcW w:w="0" w:type="auto"/>
            <w:vAlign w:val="center"/>
            <w:hideMark/>
          </w:tcPr>
          <w:p w14:paraId="28FEE171"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4.0 × 0.1 = </w:t>
            </w:r>
            <w:r w:rsidRPr="00611716">
              <w:rPr>
                <w:rFonts w:ascii="Arial" w:eastAsia="Times New Roman" w:hAnsi="Arial" w:cs="Arial"/>
                <w:b/>
                <w:bCs/>
                <w:kern w:val="0"/>
                <w:sz w:val="20"/>
                <w:szCs w:val="20"/>
                <w14:ligatures w14:val="none"/>
              </w:rPr>
              <w:t>0.400</w:t>
            </w:r>
          </w:p>
        </w:tc>
      </w:tr>
      <w:tr w:rsidR="00696CAD" w:rsidRPr="00CC3B94" w14:paraId="325F05FB" w14:textId="77777777" w:rsidTr="00611716">
        <w:trPr>
          <w:tblCellSpacing w:w="15" w:type="dxa"/>
        </w:trPr>
        <w:tc>
          <w:tcPr>
            <w:tcW w:w="0" w:type="auto"/>
            <w:vAlign w:val="center"/>
            <w:hideMark/>
          </w:tcPr>
          <w:p w14:paraId="1B14B734"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15</w:t>
            </w:r>
          </w:p>
        </w:tc>
        <w:tc>
          <w:tcPr>
            <w:tcW w:w="0" w:type="auto"/>
            <w:vAlign w:val="center"/>
            <w:hideMark/>
          </w:tcPr>
          <w:p w14:paraId="04C4FB1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Dibenzo[</w:t>
            </w:r>
            <w:proofErr w:type="spellStart"/>
            <w:proofErr w:type="gramStart"/>
            <w:r w:rsidRPr="00611716">
              <w:rPr>
                <w:rFonts w:ascii="Arial" w:eastAsia="Times New Roman" w:hAnsi="Arial" w:cs="Arial"/>
                <w:kern w:val="0"/>
                <w:sz w:val="20"/>
                <w:szCs w:val="20"/>
                <w14:ligatures w14:val="none"/>
              </w:rPr>
              <w:t>a,h</w:t>
            </w:r>
            <w:proofErr w:type="spellEnd"/>
            <w:proofErr w:type="gramEnd"/>
            <w:r w:rsidRPr="00611716">
              <w:rPr>
                <w:rFonts w:ascii="Arial" w:eastAsia="Times New Roman" w:hAnsi="Arial" w:cs="Arial"/>
                <w:kern w:val="0"/>
                <w:sz w:val="20"/>
                <w:szCs w:val="20"/>
                <w14:ligatures w14:val="none"/>
              </w:rPr>
              <w:t>]anthracene</w:t>
            </w:r>
          </w:p>
        </w:tc>
        <w:tc>
          <w:tcPr>
            <w:tcW w:w="0" w:type="auto"/>
            <w:vAlign w:val="center"/>
            <w:hideMark/>
          </w:tcPr>
          <w:p w14:paraId="13E179D9"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DahA</w:t>
            </w:r>
          </w:p>
        </w:tc>
        <w:tc>
          <w:tcPr>
            <w:tcW w:w="0" w:type="auto"/>
            <w:vAlign w:val="center"/>
            <w:hideMark/>
          </w:tcPr>
          <w:p w14:paraId="4C0C412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₂₂</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₁₄</w:t>
            </w:r>
          </w:p>
        </w:tc>
        <w:tc>
          <w:tcPr>
            <w:tcW w:w="0" w:type="auto"/>
            <w:vAlign w:val="center"/>
            <w:hideMark/>
          </w:tcPr>
          <w:p w14:paraId="0D2CBF1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1.0</w:t>
            </w:r>
          </w:p>
        </w:tc>
        <w:tc>
          <w:tcPr>
            <w:tcW w:w="0" w:type="auto"/>
            <w:vAlign w:val="center"/>
            <w:hideMark/>
          </w:tcPr>
          <w:p w14:paraId="08AC0FEE"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3.0</w:t>
            </w:r>
          </w:p>
        </w:tc>
        <w:tc>
          <w:tcPr>
            <w:tcW w:w="0" w:type="auto"/>
            <w:vAlign w:val="center"/>
            <w:hideMark/>
          </w:tcPr>
          <w:p w14:paraId="4BEBDBE0"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3.0 × 1.0 = </w:t>
            </w:r>
            <w:r w:rsidRPr="00611716">
              <w:rPr>
                <w:rFonts w:ascii="Arial" w:eastAsia="Times New Roman" w:hAnsi="Arial" w:cs="Arial"/>
                <w:b/>
                <w:bCs/>
                <w:kern w:val="0"/>
                <w:sz w:val="20"/>
                <w:szCs w:val="20"/>
                <w14:ligatures w14:val="none"/>
              </w:rPr>
              <w:t>3.000</w:t>
            </w:r>
          </w:p>
        </w:tc>
      </w:tr>
      <w:tr w:rsidR="00696CAD" w:rsidRPr="00CC3B94" w14:paraId="48DEBD8E" w14:textId="77777777" w:rsidTr="00611716">
        <w:trPr>
          <w:tblCellSpacing w:w="15" w:type="dxa"/>
        </w:trPr>
        <w:tc>
          <w:tcPr>
            <w:tcW w:w="0" w:type="auto"/>
            <w:vAlign w:val="center"/>
            <w:hideMark/>
          </w:tcPr>
          <w:p w14:paraId="02752D5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16</w:t>
            </w:r>
          </w:p>
        </w:tc>
        <w:tc>
          <w:tcPr>
            <w:tcW w:w="0" w:type="auto"/>
            <w:vAlign w:val="center"/>
            <w:hideMark/>
          </w:tcPr>
          <w:p w14:paraId="64598DE4"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Benzo[</w:t>
            </w:r>
            <w:proofErr w:type="spellStart"/>
            <w:r w:rsidRPr="00611716">
              <w:rPr>
                <w:rFonts w:ascii="Arial" w:eastAsia="Times New Roman" w:hAnsi="Arial" w:cs="Arial"/>
                <w:kern w:val="0"/>
                <w:sz w:val="20"/>
                <w:szCs w:val="20"/>
                <w14:ligatures w14:val="none"/>
              </w:rPr>
              <w:t>ghi</w:t>
            </w:r>
            <w:proofErr w:type="spellEnd"/>
            <w:r w:rsidRPr="00611716">
              <w:rPr>
                <w:rFonts w:ascii="Arial" w:eastAsia="Times New Roman" w:hAnsi="Arial" w:cs="Arial"/>
                <w:kern w:val="0"/>
                <w:sz w:val="20"/>
                <w:szCs w:val="20"/>
                <w14:ligatures w14:val="none"/>
              </w:rPr>
              <w:t>]perylene</w:t>
            </w:r>
          </w:p>
        </w:tc>
        <w:tc>
          <w:tcPr>
            <w:tcW w:w="0" w:type="auto"/>
            <w:vAlign w:val="center"/>
            <w:hideMark/>
          </w:tcPr>
          <w:p w14:paraId="5AA54682" w14:textId="77777777" w:rsidR="00696CAD" w:rsidRPr="00611716" w:rsidRDefault="00696CAD" w:rsidP="00137235">
            <w:pPr>
              <w:spacing w:after="0" w:line="240" w:lineRule="auto"/>
              <w:rPr>
                <w:rFonts w:ascii="Arial" w:eastAsia="Times New Roman" w:hAnsi="Arial" w:cs="Arial"/>
                <w:kern w:val="0"/>
                <w:sz w:val="20"/>
                <w:szCs w:val="20"/>
                <w14:ligatures w14:val="none"/>
              </w:rPr>
            </w:pPr>
            <w:proofErr w:type="spellStart"/>
            <w:r w:rsidRPr="00611716">
              <w:rPr>
                <w:rFonts w:ascii="Arial" w:eastAsia="Times New Roman" w:hAnsi="Arial" w:cs="Arial"/>
                <w:kern w:val="0"/>
                <w:sz w:val="20"/>
                <w:szCs w:val="20"/>
                <w14:ligatures w14:val="none"/>
              </w:rPr>
              <w:t>BghiP</w:t>
            </w:r>
            <w:proofErr w:type="spellEnd"/>
          </w:p>
        </w:tc>
        <w:tc>
          <w:tcPr>
            <w:tcW w:w="0" w:type="auto"/>
            <w:vAlign w:val="center"/>
            <w:hideMark/>
          </w:tcPr>
          <w:p w14:paraId="118EE28A"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C</w:t>
            </w:r>
            <w:r w:rsidRPr="00611716">
              <w:rPr>
                <w:rFonts w:ascii="Cambria Math" w:eastAsia="Times New Roman" w:hAnsi="Cambria Math" w:cs="Cambria Math"/>
                <w:kern w:val="0"/>
                <w:sz w:val="20"/>
                <w:szCs w:val="20"/>
                <w14:ligatures w14:val="none"/>
              </w:rPr>
              <w:t>₂₂</w:t>
            </w:r>
            <w:r w:rsidRPr="00611716">
              <w:rPr>
                <w:rFonts w:ascii="Arial" w:eastAsia="Times New Roman" w:hAnsi="Arial" w:cs="Arial"/>
                <w:kern w:val="0"/>
                <w:sz w:val="20"/>
                <w:szCs w:val="20"/>
                <w14:ligatures w14:val="none"/>
              </w:rPr>
              <w:t>H</w:t>
            </w:r>
            <w:r w:rsidRPr="00611716">
              <w:rPr>
                <w:rFonts w:ascii="Cambria Math" w:eastAsia="Times New Roman" w:hAnsi="Cambria Math" w:cs="Cambria Math"/>
                <w:kern w:val="0"/>
                <w:sz w:val="20"/>
                <w:szCs w:val="20"/>
                <w14:ligatures w14:val="none"/>
              </w:rPr>
              <w:t>₁₂</w:t>
            </w:r>
          </w:p>
        </w:tc>
        <w:tc>
          <w:tcPr>
            <w:tcW w:w="0" w:type="auto"/>
            <w:vAlign w:val="center"/>
            <w:hideMark/>
          </w:tcPr>
          <w:p w14:paraId="31957E8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0.01</w:t>
            </w:r>
          </w:p>
        </w:tc>
        <w:tc>
          <w:tcPr>
            <w:tcW w:w="0" w:type="auto"/>
            <w:vAlign w:val="center"/>
            <w:hideMark/>
          </w:tcPr>
          <w:p w14:paraId="4F23FC4D"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7.0</w:t>
            </w:r>
          </w:p>
        </w:tc>
        <w:tc>
          <w:tcPr>
            <w:tcW w:w="0" w:type="auto"/>
            <w:vAlign w:val="center"/>
            <w:hideMark/>
          </w:tcPr>
          <w:p w14:paraId="3292E818" w14:textId="77777777" w:rsidR="00696CAD" w:rsidRPr="00611716" w:rsidRDefault="00696CAD" w:rsidP="00137235">
            <w:pPr>
              <w:spacing w:after="0" w:line="240" w:lineRule="auto"/>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 xml:space="preserve">7.0 × 0.01 = </w:t>
            </w:r>
            <w:r w:rsidRPr="00611716">
              <w:rPr>
                <w:rFonts w:ascii="Arial" w:eastAsia="Times New Roman" w:hAnsi="Arial" w:cs="Arial"/>
                <w:b/>
                <w:bCs/>
                <w:kern w:val="0"/>
                <w:sz w:val="20"/>
                <w:szCs w:val="20"/>
                <w14:ligatures w14:val="none"/>
              </w:rPr>
              <w:t>0.070</w:t>
            </w:r>
          </w:p>
        </w:tc>
      </w:tr>
    </w:tbl>
    <w:p w14:paraId="55A79495" w14:textId="77777777" w:rsidR="00696CAD" w:rsidRPr="0057275B" w:rsidRDefault="00696CAD" w:rsidP="0057275B">
      <w:pPr>
        <w:spacing w:before="100" w:beforeAutospacing="1" w:after="100" w:afterAutospacing="1" w:line="240" w:lineRule="auto"/>
        <w:rPr>
          <w:rFonts w:ascii="Times New Roman" w:eastAsia="Times New Roman" w:hAnsi="Times New Roman" w:cs="Times New Roman"/>
          <w:kern w:val="0"/>
          <w14:ligatures w14:val="none"/>
        </w:rPr>
      </w:pPr>
    </w:p>
    <w:p w14:paraId="5415E8BE" w14:textId="339A52A2" w:rsidR="00C9607E" w:rsidRPr="00611716" w:rsidRDefault="008D04AE" w:rsidP="00C9607E">
      <w:pPr>
        <w:pStyle w:val="Heading3"/>
        <w:rPr>
          <w:rFonts w:ascii="Arial" w:eastAsia="Times New Roman" w:hAnsi="Arial" w:cs="Arial"/>
          <w:b/>
          <w:bCs/>
          <w:color w:val="auto"/>
          <w:kern w:val="0"/>
          <w:sz w:val="22"/>
          <w:szCs w:val="22"/>
          <w14:ligatures w14:val="none"/>
        </w:rPr>
      </w:pPr>
      <w:r w:rsidRPr="008D04AE">
        <w:rPr>
          <w:rFonts w:ascii="Arial" w:eastAsia="Times New Roman" w:hAnsi="Arial" w:cs="Arial"/>
          <w:b/>
          <w:bCs/>
          <w:kern w:val="0"/>
          <w:sz w:val="22"/>
          <w:szCs w:val="22"/>
          <w14:ligatures w14:val="none"/>
        </w:rPr>
        <w:t>4</w:t>
      </w:r>
      <w:r>
        <w:rPr>
          <w:rFonts w:ascii="Arial" w:eastAsia="Times New Roman" w:hAnsi="Arial" w:cs="Arial"/>
          <w:b/>
          <w:bCs/>
          <w:kern w:val="0"/>
          <w:sz w:val="22"/>
          <w:szCs w:val="22"/>
          <w14:ligatures w14:val="none"/>
        </w:rPr>
        <w:t>.</w:t>
      </w:r>
      <w:r w:rsidRPr="008D04AE">
        <w:rPr>
          <w:rFonts w:ascii="Arial" w:eastAsia="Times New Roman" w:hAnsi="Arial" w:cs="Arial"/>
          <w:b/>
          <w:bCs/>
          <w:kern w:val="0"/>
          <w:sz w:val="22"/>
          <w:szCs w:val="22"/>
          <w14:ligatures w14:val="none"/>
        </w:rPr>
        <w:t xml:space="preserve"> DISCUSSION</w:t>
      </w:r>
    </w:p>
    <w:p w14:paraId="678E9F22"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 xml:space="preserve">The results from this study clearly demonstrate that chronic administration of smoked fish extract induces multi-organ toxicity in albino rats. The observed elevations in hepatic enzymes—ALT, AST, and ALP—strongly suggest hepatocellular injury, likely triggered by lipid peroxidation and PAH accumulation in hepatocytes (Darwish et al., 2019; Gunter et al., 2007; </w:t>
      </w:r>
      <w:proofErr w:type="spellStart"/>
      <w:r w:rsidRPr="00611716">
        <w:rPr>
          <w:rFonts w:ascii="Times New Roman" w:eastAsia="Times New Roman" w:hAnsi="Times New Roman" w:cs="Times New Roman"/>
          <w:kern w:val="0"/>
          <w:sz w:val="20"/>
          <w:szCs w:val="20"/>
          <w14:ligatures w14:val="none"/>
        </w:rPr>
        <w:t>Douny</w:t>
      </w:r>
      <w:proofErr w:type="spellEnd"/>
      <w:r w:rsidRPr="00611716">
        <w:rPr>
          <w:rFonts w:ascii="Times New Roman" w:eastAsia="Times New Roman" w:hAnsi="Times New Roman" w:cs="Times New Roman"/>
          <w:kern w:val="0"/>
          <w:sz w:val="20"/>
          <w:szCs w:val="20"/>
          <w14:ligatures w14:val="none"/>
        </w:rPr>
        <w:t xml:space="preserve"> et al., 2021). PAHs can bind to cellular DNA, forming adducts that disrupt normal replication and transcription processes (Domingo &amp; Nadal, 2015; EFSA, 2008).</w:t>
      </w:r>
    </w:p>
    <w:p w14:paraId="657BBA95"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These hepatic effects are consistent with other animal studies demonstrating similar biochemical disturbances following exposure to heat-treated animal products rich in PAHs (</w:t>
      </w:r>
      <w:proofErr w:type="spellStart"/>
      <w:r w:rsidRPr="00611716">
        <w:rPr>
          <w:rFonts w:ascii="Times New Roman" w:eastAsia="Times New Roman" w:hAnsi="Times New Roman" w:cs="Times New Roman"/>
          <w:kern w:val="0"/>
          <w:sz w:val="20"/>
          <w:szCs w:val="20"/>
          <w14:ligatures w14:val="none"/>
        </w:rPr>
        <w:t>Eldaly</w:t>
      </w:r>
      <w:proofErr w:type="spellEnd"/>
      <w:r w:rsidRPr="00611716">
        <w:rPr>
          <w:rFonts w:ascii="Times New Roman" w:eastAsia="Times New Roman" w:hAnsi="Times New Roman" w:cs="Times New Roman"/>
          <w:kern w:val="0"/>
          <w:sz w:val="20"/>
          <w:szCs w:val="20"/>
          <w14:ligatures w14:val="none"/>
        </w:rPr>
        <w:t xml:space="preserve"> et al., 2016; Hassan et al., 2017). The increase in bilirubin levels and histopathological liver damage observed in this study further reinforce the liver’s vulnerability to xenobiotic insults from thermally processed foods (</w:t>
      </w:r>
      <w:proofErr w:type="spellStart"/>
      <w:r w:rsidRPr="00611716">
        <w:rPr>
          <w:rFonts w:ascii="Times New Roman" w:eastAsia="Times New Roman" w:hAnsi="Times New Roman" w:cs="Times New Roman"/>
          <w:kern w:val="0"/>
          <w:sz w:val="20"/>
          <w:szCs w:val="20"/>
          <w14:ligatures w14:val="none"/>
        </w:rPr>
        <w:t>Alomirah</w:t>
      </w:r>
      <w:proofErr w:type="spellEnd"/>
      <w:r w:rsidRPr="00611716">
        <w:rPr>
          <w:rFonts w:ascii="Times New Roman" w:eastAsia="Times New Roman" w:hAnsi="Times New Roman" w:cs="Times New Roman"/>
          <w:kern w:val="0"/>
          <w:sz w:val="20"/>
          <w:szCs w:val="20"/>
          <w14:ligatures w14:val="none"/>
        </w:rPr>
        <w:t xml:space="preserve"> et al., 2011; Abbas et al., 2021).</w:t>
      </w:r>
    </w:p>
    <w:p w14:paraId="56B1E129"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Renal function biomarkers such as urea and creatinine were significantly elevated in treated rats, indicating nephrotoxicity. This finding corroborates the nephrotoxic effects of lead and cadmium reported in smoked fish by previous researchers (</w:t>
      </w:r>
      <w:proofErr w:type="spellStart"/>
      <w:r w:rsidRPr="00611716">
        <w:rPr>
          <w:rFonts w:ascii="Times New Roman" w:eastAsia="Times New Roman" w:hAnsi="Times New Roman" w:cs="Times New Roman"/>
          <w:kern w:val="0"/>
          <w:sz w:val="20"/>
          <w:szCs w:val="20"/>
          <w14:ligatures w14:val="none"/>
        </w:rPr>
        <w:t>Anigboro</w:t>
      </w:r>
      <w:proofErr w:type="spellEnd"/>
      <w:r w:rsidRPr="00611716">
        <w:rPr>
          <w:rFonts w:ascii="Times New Roman" w:eastAsia="Times New Roman" w:hAnsi="Times New Roman" w:cs="Times New Roman"/>
          <w:kern w:val="0"/>
          <w:sz w:val="20"/>
          <w:szCs w:val="20"/>
          <w14:ligatures w14:val="none"/>
        </w:rPr>
        <w:t xml:space="preserve"> et al., 2011; Hough et al., 2004; Ibanga et al., 2019). Heavy metals are known to generate reactive oxygen species (ROS) and damage glomerular and tubular structures, as seen in the histopathological sections in this study (Abbas et al., 2021).</w:t>
      </w:r>
    </w:p>
    <w:p w14:paraId="0117C57A"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lastRenderedPageBreak/>
        <w:t xml:space="preserve">The hematological alterations—particularly anemia and leukocytosis—are suggestive of both bone marrow suppression and immune activation (Daniel et al., 2013; Ibanga et al., 2019). Lead interferes with heme synthesis, while cadmium affects erythropoietin production, contributing to microcytic anemia (Gunter et al., 2007; EFSA, 2008). Additionally, PAH-DNA interactions can impair hematopoietic stem cell replication, exacerbating hematological toxicity (Darwish et al., 2019; </w:t>
      </w:r>
      <w:proofErr w:type="spellStart"/>
      <w:r w:rsidRPr="00611716">
        <w:rPr>
          <w:rFonts w:ascii="Times New Roman" w:eastAsia="Times New Roman" w:hAnsi="Times New Roman" w:cs="Times New Roman"/>
          <w:kern w:val="0"/>
          <w:sz w:val="20"/>
          <w:szCs w:val="20"/>
          <w14:ligatures w14:val="none"/>
        </w:rPr>
        <w:t>Douny</w:t>
      </w:r>
      <w:proofErr w:type="spellEnd"/>
      <w:r w:rsidRPr="00611716">
        <w:rPr>
          <w:rFonts w:ascii="Times New Roman" w:eastAsia="Times New Roman" w:hAnsi="Times New Roman" w:cs="Times New Roman"/>
          <w:kern w:val="0"/>
          <w:sz w:val="20"/>
          <w:szCs w:val="20"/>
          <w14:ligatures w14:val="none"/>
        </w:rPr>
        <w:t xml:space="preserve"> et al., 2021).</w:t>
      </w:r>
    </w:p>
    <w:p w14:paraId="07FF9C29"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Oxidative stress, as indicated by elevated MDA levels and reduced activities of antioxidant enzymes such as SOD and CAT, was another prominent finding. This is aligned with other studies that report increased lipid peroxidation and oxidative damage in animals fed PAH-rich diets (</w:t>
      </w:r>
      <w:proofErr w:type="spellStart"/>
      <w:r w:rsidRPr="00611716">
        <w:rPr>
          <w:rFonts w:ascii="Times New Roman" w:eastAsia="Times New Roman" w:hAnsi="Times New Roman" w:cs="Times New Roman"/>
          <w:kern w:val="0"/>
          <w:sz w:val="20"/>
          <w:szCs w:val="20"/>
          <w14:ligatures w14:val="none"/>
        </w:rPr>
        <w:t>Eldaly</w:t>
      </w:r>
      <w:proofErr w:type="spellEnd"/>
      <w:r w:rsidRPr="00611716">
        <w:rPr>
          <w:rFonts w:ascii="Times New Roman" w:eastAsia="Times New Roman" w:hAnsi="Times New Roman" w:cs="Times New Roman"/>
          <w:kern w:val="0"/>
          <w:sz w:val="20"/>
          <w:szCs w:val="20"/>
          <w14:ligatures w14:val="none"/>
        </w:rPr>
        <w:t xml:space="preserve"> et al., 2016; Gibis, 2016; Hassan et al., 2017). Nitrosamines and biogenic amines may also contribute to oxidative burden via ROS generation and mitochondrial dysfunction (Drabik-Markiewicz et al., 2009; EFSA, 2011).</w:t>
      </w:r>
    </w:p>
    <w:p w14:paraId="74168545"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 xml:space="preserve">The severity of toxicological outcomes observed in this study may be influenced by the method of fish smoking. For example, Forsberg et al. (2012) and Goulas &amp; </w:t>
      </w:r>
      <w:proofErr w:type="spellStart"/>
      <w:r w:rsidRPr="00611716">
        <w:rPr>
          <w:rFonts w:ascii="Times New Roman" w:eastAsia="Times New Roman" w:hAnsi="Times New Roman" w:cs="Times New Roman"/>
          <w:kern w:val="0"/>
          <w:sz w:val="20"/>
          <w:szCs w:val="20"/>
          <w14:ligatures w14:val="none"/>
        </w:rPr>
        <w:t>Kontominas</w:t>
      </w:r>
      <w:proofErr w:type="spellEnd"/>
      <w:r w:rsidRPr="00611716">
        <w:rPr>
          <w:rFonts w:ascii="Times New Roman" w:eastAsia="Times New Roman" w:hAnsi="Times New Roman" w:cs="Times New Roman"/>
          <w:kern w:val="0"/>
          <w:sz w:val="20"/>
          <w:szCs w:val="20"/>
          <w14:ligatures w14:val="none"/>
        </w:rPr>
        <w:t xml:space="preserve"> (2005) reported that indirect smoking techniques and the use of clean-burning wood significantly reduce PAH formation. Furthermore, studies like that of </w:t>
      </w:r>
      <w:proofErr w:type="spellStart"/>
      <w:r w:rsidRPr="00611716">
        <w:rPr>
          <w:rFonts w:ascii="Times New Roman" w:eastAsia="Times New Roman" w:hAnsi="Times New Roman" w:cs="Times New Roman"/>
          <w:kern w:val="0"/>
          <w:sz w:val="20"/>
          <w:szCs w:val="20"/>
          <w14:ligatures w14:val="none"/>
        </w:rPr>
        <w:t>Haskaraca</w:t>
      </w:r>
      <w:proofErr w:type="spellEnd"/>
      <w:r w:rsidRPr="00611716">
        <w:rPr>
          <w:rFonts w:ascii="Times New Roman" w:eastAsia="Times New Roman" w:hAnsi="Times New Roman" w:cs="Times New Roman"/>
          <w:kern w:val="0"/>
          <w:sz w:val="20"/>
          <w:szCs w:val="20"/>
          <w14:ligatures w14:val="none"/>
        </w:rPr>
        <w:t xml:space="preserve"> et al. (2014) have shown that incorporating natural antioxidants such as green tea extract during processing may reduce the toxic potential of smoked foods.</w:t>
      </w:r>
    </w:p>
    <w:p w14:paraId="1F038C23"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Given the evidence from this and other studies, it is clear that public health policies must prioritize safer food processing methods, regular analytical surveillance, and public education on the risks associated with traditional smoking (EFSA, 2008; Duedahl-Olesen et al., 2015; Assogba et al., 2019). Regulatory authorities in developing nations should develop practical guidelines for artisanal fish processors and promote the use of less hazardous techniques (</w:t>
      </w:r>
      <w:proofErr w:type="spellStart"/>
      <w:r w:rsidRPr="00611716">
        <w:rPr>
          <w:rFonts w:ascii="Times New Roman" w:eastAsia="Times New Roman" w:hAnsi="Times New Roman" w:cs="Times New Roman"/>
          <w:kern w:val="0"/>
          <w:sz w:val="20"/>
          <w:szCs w:val="20"/>
          <w14:ligatures w14:val="none"/>
        </w:rPr>
        <w:t>Anigboro</w:t>
      </w:r>
      <w:proofErr w:type="spellEnd"/>
      <w:r w:rsidRPr="00611716">
        <w:rPr>
          <w:rFonts w:ascii="Times New Roman" w:eastAsia="Times New Roman" w:hAnsi="Times New Roman" w:cs="Times New Roman"/>
          <w:kern w:val="0"/>
          <w:sz w:val="20"/>
          <w:szCs w:val="20"/>
          <w14:ligatures w14:val="none"/>
        </w:rPr>
        <w:t xml:space="preserve"> et al., 2011; Daniel et al., 2013).</w:t>
      </w:r>
    </w:p>
    <w:p w14:paraId="6623D156" w14:textId="77777777" w:rsidR="00C9607E" w:rsidRPr="00611716" w:rsidRDefault="00C9607E" w:rsidP="00611716">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611716">
        <w:rPr>
          <w:rFonts w:ascii="Times New Roman" w:eastAsia="Times New Roman" w:hAnsi="Times New Roman" w:cs="Times New Roman"/>
          <w:kern w:val="0"/>
          <w:sz w:val="20"/>
          <w:szCs w:val="20"/>
          <w14:ligatures w14:val="none"/>
        </w:rPr>
        <w:t xml:space="preserve">In summary, our findings confirm that the consumption of traditionally smoked fish—though culturally significant—can pose serious health hazards due to the cumulative effects of PAHs, heavy metals, biogenic amines, and nitrosamines. These findings support the growing consensus in the literature that traditional thermal food processing, if unregulated, may have significant implications for public health (Domingo &amp; Nadal, 2015; </w:t>
      </w:r>
      <w:proofErr w:type="spellStart"/>
      <w:r w:rsidRPr="00611716">
        <w:rPr>
          <w:rFonts w:ascii="Times New Roman" w:eastAsia="Times New Roman" w:hAnsi="Times New Roman" w:cs="Times New Roman"/>
          <w:kern w:val="0"/>
          <w:sz w:val="20"/>
          <w:szCs w:val="20"/>
          <w14:ligatures w14:val="none"/>
        </w:rPr>
        <w:t>Douny</w:t>
      </w:r>
      <w:proofErr w:type="spellEnd"/>
      <w:r w:rsidRPr="00611716">
        <w:rPr>
          <w:rFonts w:ascii="Times New Roman" w:eastAsia="Times New Roman" w:hAnsi="Times New Roman" w:cs="Times New Roman"/>
          <w:kern w:val="0"/>
          <w:sz w:val="20"/>
          <w:szCs w:val="20"/>
          <w14:ligatures w14:val="none"/>
        </w:rPr>
        <w:t xml:space="preserve"> et al., 2021; Darwish et al., 2019). Continued research and policy efforts are essential to mitigate these risks.</w:t>
      </w:r>
    </w:p>
    <w:p w14:paraId="794BD57A" w14:textId="7D7AC42D" w:rsidR="0057275B" w:rsidRPr="00611716" w:rsidRDefault="0057275B" w:rsidP="001B5970">
      <w:pPr>
        <w:spacing w:before="100" w:beforeAutospacing="1" w:after="100" w:afterAutospacing="1" w:line="240" w:lineRule="auto"/>
        <w:outlineLvl w:val="2"/>
        <w:rPr>
          <w:rFonts w:ascii="Times New Roman" w:eastAsia="Times New Roman" w:hAnsi="Times New Roman" w:cs="Times New Roman"/>
          <w:kern w:val="0"/>
          <w:sz w:val="20"/>
          <w:szCs w:val="20"/>
          <w14:ligatures w14:val="none"/>
        </w:rPr>
      </w:pPr>
    </w:p>
    <w:p w14:paraId="6D49AC71" w14:textId="43DE9175" w:rsidR="0057275B" w:rsidRPr="00611716" w:rsidRDefault="008D04AE" w:rsidP="0057275B">
      <w:pPr>
        <w:spacing w:before="100" w:beforeAutospacing="1" w:after="100" w:afterAutospacing="1" w:line="240" w:lineRule="auto"/>
        <w:outlineLvl w:val="2"/>
        <w:rPr>
          <w:rFonts w:ascii="Arial" w:eastAsia="Times New Roman" w:hAnsi="Arial" w:cs="Arial"/>
          <w:b/>
          <w:bCs/>
          <w:kern w:val="0"/>
          <w:sz w:val="22"/>
          <w:szCs w:val="22"/>
          <w14:ligatures w14:val="none"/>
        </w:rPr>
      </w:pPr>
      <w:r w:rsidRPr="008D04AE">
        <w:rPr>
          <w:rFonts w:ascii="Arial" w:eastAsia="Times New Roman" w:hAnsi="Arial" w:cs="Arial"/>
          <w:b/>
          <w:bCs/>
          <w:kern w:val="0"/>
          <w:sz w:val="22"/>
          <w:szCs w:val="22"/>
          <w14:ligatures w14:val="none"/>
        </w:rPr>
        <w:t>5</w:t>
      </w:r>
      <w:r>
        <w:rPr>
          <w:rFonts w:ascii="Arial" w:eastAsia="Times New Roman" w:hAnsi="Arial" w:cs="Arial"/>
          <w:b/>
          <w:bCs/>
          <w:kern w:val="0"/>
          <w:sz w:val="22"/>
          <w:szCs w:val="22"/>
          <w14:ligatures w14:val="none"/>
        </w:rPr>
        <w:t>.</w:t>
      </w:r>
      <w:r w:rsidRPr="008D04AE">
        <w:rPr>
          <w:rFonts w:ascii="Arial" w:eastAsia="Times New Roman" w:hAnsi="Arial" w:cs="Arial"/>
          <w:b/>
          <w:bCs/>
          <w:kern w:val="0"/>
          <w:sz w:val="22"/>
          <w:szCs w:val="22"/>
          <w14:ligatures w14:val="none"/>
        </w:rPr>
        <w:t xml:space="preserve"> CONCLUSION</w:t>
      </w:r>
    </w:p>
    <w:p w14:paraId="3E696675" w14:textId="77777777" w:rsidR="0057275B" w:rsidRPr="00611716" w:rsidRDefault="0057275B" w:rsidP="00611716">
      <w:pPr>
        <w:spacing w:before="100" w:beforeAutospacing="1" w:after="100" w:afterAutospacing="1" w:line="240" w:lineRule="auto"/>
        <w:jc w:val="both"/>
        <w:rPr>
          <w:rFonts w:ascii="Arial" w:eastAsia="Times New Roman" w:hAnsi="Arial" w:cs="Arial"/>
          <w:kern w:val="0"/>
          <w:sz w:val="20"/>
          <w:szCs w:val="20"/>
          <w14:ligatures w14:val="none"/>
        </w:rPr>
      </w:pPr>
      <w:r w:rsidRPr="00611716">
        <w:rPr>
          <w:rFonts w:ascii="Arial" w:eastAsia="Times New Roman" w:hAnsi="Arial" w:cs="Arial"/>
          <w:kern w:val="0"/>
          <w:sz w:val="20"/>
          <w:szCs w:val="20"/>
          <w14:ligatures w14:val="none"/>
        </w:rPr>
        <w:t>This study provides compelling evidence that chronic exposure to smoked fish extract induces significant hematological, hepatic, renal, and oxidative stress alterations in albino rats in a dose-dependent manner. The observed biochemical and histopathological derangements highlight the presence of potentially harmful compounds in smoked fish, raising concerns about its safety for long-term human consumption.</w:t>
      </w:r>
    </w:p>
    <w:p w14:paraId="6C8C76A2" w14:textId="19B9CB17" w:rsidR="0057275B" w:rsidRPr="0057275B" w:rsidRDefault="0057275B" w:rsidP="0057275B">
      <w:pPr>
        <w:spacing w:after="0" w:line="240" w:lineRule="auto"/>
        <w:rPr>
          <w:rFonts w:ascii="Times New Roman" w:eastAsia="Times New Roman" w:hAnsi="Times New Roman" w:cs="Times New Roman"/>
          <w:kern w:val="0"/>
          <w14:ligatures w14:val="none"/>
        </w:rPr>
      </w:pPr>
    </w:p>
    <w:p w14:paraId="63B026C6" w14:textId="50247F8A" w:rsidR="0057275B" w:rsidRPr="00611716" w:rsidRDefault="008D04AE" w:rsidP="0057275B">
      <w:pPr>
        <w:spacing w:before="100" w:beforeAutospacing="1" w:after="100" w:afterAutospacing="1" w:line="240" w:lineRule="auto"/>
        <w:outlineLvl w:val="2"/>
        <w:rPr>
          <w:rFonts w:ascii="Arial" w:eastAsia="Times New Roman" w:hAnsi="Arial" w:cs="Arial"/>
          <w:b/>
          <w:bCs/>
          <w:kern w:val="0"/>
          <w:sz w:val="22"/>
          <w:szCs w:val="22"/>
          <w14:ligatures w14:val="none"/>
        </w:rPr>
      </w:pPr>
      <w:r w:rsidRPr="008D04AE">
        <w:rPr>
          <w:rFonts w:ascii="Arial" w:eastAsia="Times New Roman" w:hAnsi="Arial" w:cs="Arial"/>
          <w:b/>
          <w:bCs/>
          <w:kern w:val="0"/>
          <w:sz w:val="22"/>
          <w:szCs w:val="22"/>
          <w14:ligatures w14:val="none"/>
        </w:rPr>
        <w:t>5.2 RECOMMENDATIONS</w:t>
      </w:r>
    </w:p>
    <w:p w14:paraId="77CC78EE" w14:textId="77777777" w:rsidR="0057275B" w:rsidRPr="00611716"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Public Health Awareness:</w:t>
      </w:r>
      <w:r w:rsidRPr="00611716">
        <w:rPr>
          <w:rFonts w:ascii="Arial" w:eastAsia="Times New Roman" w:hAnsi="Arial" w:cs="Arial"/>
          <w:kern w:val="0"/>
          <w:sz w:val="20"/>
          <w:szCs w:val="20"/>
          <w14:ligatures w14:val="none"/>
        </w:rPr>
        <w:t xml:space="preserve"> Governmental and non-governmental agencies should educate the public about the potential health risks associated with consumption of poorly processed smoked fish.</w:t>
      </w:r>
    </w:p>
    <w:p w14:paraId="7A483E17" w14:textId="77777777" w:rsidR="0057275B" w:rsidRPr="00611716"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Regulatory Oversight:</w:t>
      </w:r>
      <w:r w:rsidRPr="00611716">
        <w:rPr>
          <w:rFonts w:ascii="Arial" w:eastAsia="Times New Roman" w:hAnsi="Arial" w:cs="Arial"/>
          <w:kern w:val="0"/>
          <w:sz w:val="20"/>
          <w:szCs w:val="20"/>
          <w14:ligatures w14:val="none"/>
        </w:rPr>
        <w:t xml:space="preserve"> There is a need for regulatory bodies to enforce standards in fish smoking practices, including the use of less toxic wood types and proper ventilation systems to minimize PAH formation.</w:t>
      </w:r>
    </w:p>
    <w:p w14:paraId="4082ED78" w14:textId="77777777" w:rsidR="0057275B" w:rsidRPr="00611716"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Further Research:</w:t>
      </w:r>
      <w:r w:rsidRPr="00611716">
        <w:rPr>
          <w:rFonts w:ascii="Arial" w:eastAsia="Times New Roman" w:hAnsi="Arial" w:cs="Arial"/>
          <w:kern w:val="0"/>
          <w:sz w:val="20"/>
          <w:szCs w:val="20"/>
          <w14:ligatures w14:val="none"/>
        </w:rPr>
        <w:t xml:space="preserve"> Additional studies should investigate the specific chemical constituents in smoked fish and their individual </w:t>
      </w:r>
      <w:proofErr w:type="spellStart"/>
      <w:r w:rsidRPr="00611716">
        <w:rPr>
          <w:rFonts w:ascii="Arial" w:eastAsia="Times New Roman" w:hAnsi="Arial" w:cs="Arial"/>
          <w:kern w:val="0"/>
          <w:sz w:val="20"/>
          <w:szCs w:val="20"/>
          <w14:ligatures w14:val="none"/>
        </w:rPr>
        <w:t>toxicodynamics</w:t>
      </w:r>
      <w:proofErr w:type="spellEnd"/>
      <w:r w:rsidRPr="00611716">
        <w:rPr>
          <w:rFonts w:ascii="Arial" w:eastAsia="Times New Roman" w:hAnsi="Arial" w:cs="Arial"/>
          <w:kern w:val="0"/>
          <w:sz w:val="20"/>
          <w:szCs w:val="20"/>
          <w14:ligatures w14:val="none"/>
        </w:rPr>
        <w:t>, as well as conduct long-term epidemiological studies in human populations.</w:t>
      </w:r>
    </w:p>
    <w:p w14:paraId="79DCEAD5" w14:textId="77777777" w:rsidR="0057275B" w:rsidRPr="00611716" w:rsidRDefault="0057275B" w:rsidP="0057275B">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lastRenderedPageBreak/>
        <w:t>Dietary Moderation:</w:t>
      </w:r>
      <w:r w:rsidRPr="00611716">
        <w:rPr>
          <w:rFonts w:ascii="Arial" w:eastAsia="Times New Roman" w:hAnsi="Arial" w:cs="Arial"/>
          <w:kern w:val="0"/>
          <w:sz w:val="20"/>
          <w:szCs w:val="20"/>
          <w14:ligatures w14:val="none"/>
        </w:rPr>
        <w:t xml:space="preserve"> Consumers should be advised to moderate their intake of traditionally smoked fish and diversify their protein sources.</w:t>
      </w:r>
    </w:p>
    <w:p w14:paraId="36E0FE95" w14:textId="09207B99" w:rsidR="001B5970" w:rsidRPr="00611716" w:rsidRDefault="0057275B" w:rsidP="001B5970">
      <w:pPr>
        <w:numPr>
          <w:ilvl w:val="0"/>
          <w:numId w:val="1"/>
        </w:numPr>
        <w:spacing w:before="100" w:beforeAutospacing="1" w:after="100" w:afterAutospacing="1" w:line="240" w:lineRule="auto"/>
        <w:rPr>
          <w:rFonts w:ascii="Arial" w:eastAsia="Times New Roman" w:hAnsi="Arial" w:cs="Arial"/>
          <w:kern w:val="0"/>
          <w:sz w:val="20"/>
          <w:szCs w:val="20"/>
          <w14:ligatures w14:val="none"/>
        </w:rPr>
      </w:pPr>
      <w:r w:rsidRPr="00611716">
        <w:rPr>
          <w:rFonts w:ascii="Arial" w:eastAsia="Times New Roman" w:hAnsi="Arial" w:cs="Arial"/>
          <w:b/>
          <w:bCs/>
          <w:kern w:val="0"/>
          <w:sz w:val="20"/>
          <w:szCs w:val="20"/>
          <w14:ligatures w14:val="none"/>
        </w:rPr>
        <w:t>Alternative Methods:</w:t>
      </w:r>
      <w:r w:rsidRPr="00611716">
        <w:rPr>
          <w:rFonts w:ascii="Arial" w:eastAsia="Times New Roman" w:hAnsi="Arial" w:cs="Arial"/>
          <w:kern w:val="0"/>
          <w:sz w:val="20"/>
          <w:szCs w:val="20"/>
          <w14:ligatures w14:val="none"/>
        </w:rPr>
        <w:t xml:space="preserve"> Promotion of improved fish preservation technologies such as solar drying or electric smoking chambers with temperature control and filtration systems is strongly encouraged.</w:t>
      </w:r>
    </w:p>
    <w:p w14:paraId="37DF8694" w14:textId="46DB03B9" w:rsidR="00C9607E" w:rsidRPr="00C9607E" w:rsidRDefault="008D04AE" w:rsidP="00C9607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C9607E">
        <w:rPr>
          <w:rFonts w:ascii="Times New Roman" w:eastAsia="Times New Roman" w:hAnsi="Times New Roman" w:cs="Times New Roman"/>
          <w:b/>
          <w:bCs/>
          <w:kern w:val="0"/>
          <w:sz w:val="27"/>
          <w:szCs w:val="27"/>
          <w14:ligatures w14:val="none"/>
        </w:rPr>
        <w:t xml:space="preserve">REFERENCES </w:t>
      </w:r>
    </w:p>
    <w:p w14:paraId="153A9F5B"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Abbas, O., Othman, A., Al-</w:t>
      </w:r>
      <w:proofErr w:type="spellStart"/>
      <w:r w:rsidRPr="00C9607E">
        <w:rPr>
          <w:rFonts w:ascii="Times New Roman" w:eastAsia="Times New Roman" w:hAnsi="Times New Roman" w:cs="Times New Roman"/>
          <w:kern w:val="0"/>
          <w14:ligatures w14:val="none"/>
        </w:rPr>
        <w:t>Razzuqi</w:t>
      </w:r>
      <w:proofErr w:type="spellEnd"/>
      <w:r w:rsidRPr="00C9607E">
        <w:rPr>
          <w:rFonts w:ascii="Times New Roman" w:eastAsia="Times New Roman" w:hAnsi="Times New Roman" w:cs="Times New Roman"/>
          <w:kern w:val="0"/>
          <w14:ligatures w14:val="none"/>
        </w:rPr>
        <w:t xml:space="preserve">, R., &amp; Al-Shammaa, H. (2021). Levels of heavy metals in smoked fish and health risk assessment. </w:t>
      </w:r>
      <w:r w:rsidRPr="00C9607E">
        <w:rPr>
          <w:rFonts w:ascii="Times New Roman" w:eastAsia="Times New Roman" w:hAnsi="Times New Roman" w:cs="Times New Roman"/>
          <w:i/>
          <w:iCs/>
          <w:kern w:val="0"/>
          <w14:ligatures w14:val="none"/>
        </w:rPr>
        <w:t>Journal of Food Protection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84</w:t>
      </w:r>
      <w:r w:rsidRPr="00C9607E">
        <w:rPr>
          <w:rFonts w:ascii="Times New Roman" w:eastAsia="Times New Roman" w:hAnsi="Times New Roman" w:cs="Times New Roman"/>
          <w:kern w:val="0"/>
          <w14:ligatures w14:val="none"/>
        </w:rPr>
        <w:t>(6), 970–976. https://doi.org/10.4315/JFP-20-471</w:t>
      </w:r>
    </w:p>
    <w:p w14:paraId="05001365"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Akpambang</w:t>
      </w:r>
      <w:proofErr w:type="spellEnd"/>
      <w:r w:rsidRPr="00C9607E">
        <w:rPr>
          <w:rFonts w:ascii="Times New Roman" w:eastAsia="Times New Roman" w:hAnsi="Times New Roman" w:cs="Times New Roman"/>
          <w:kern w:val="0"/>
          <w14:ligatures w14:val="none"/>
        </w:rPr>
        <w:t xml:space="preserve">, V. O. E., Purcaro, G., </w:t>
      </w:r>
      <w:proofErr w:type="spellStart"/>
      <w:r w:rsidRPr="00C9607E">
        <w:rPr>
          <w:rFonts w:ascii="Times New Roman" w:eastAsia="Times New Roman" w:hAnsi="Times New Roman" w:cs="Times New Roman"/>
          <w:kern w:val="0"/>
          <w14:ligatures w14:val="none"/>
        </w:rPr>
        <w:t>Lajide</w:t>
      </w:r>
      <w:proofErr w:type="spellEnd"/>
      <w:r w:rsidRPr="00C9607E">
        <w:rPr>
          <w:rFonts w:ascii="Times New Roman" w:eastAsia="Times New Roman" w:hAnsi="Times New Roman" w:cs="Times New Roman"/>
          <w:kern w:val="0"/>
          <w14:ligatures w14:val="none"/>
        </w:rPr>
        <w:t xml:space="preserve">, L., Amoo, I. A., Conte, L. S., &amp; </w:t>
      </w:r>
      <w:proofErr w:type="spellStart"/>
      <w:r w:rsidRPr="00C9607E">
        <w:rPr>
          <w:rFonts w:ascii="Times New Roman" w:eastAsia="Times New Roman" w:hAnsi="Times New Roman" w:cs="Times New Roman"/>
          <w:kern w:val="0"/>
          <w14:ligatures w14:val="none"/>
        </w:rPr>
        <w:t>Lajide</w:t>
      </w:r>
      <w:proofErr w:type="spellEnd"/>
      <w:r w:rsidRPr="00C9607E">
        <w:rPr>
          <w:rFonts w:ascii="Times New Roman" w:eastAsia="Times New Roman" w:hAnsi="Times New Roman" w:cs="Times New Roman"/>
          <w:kern w:val="0"/>
          <w14:ligatures w14:val="none"/>
        </w:rPr>
        <w:t xml:space="preserve">, L. (2009). A survey of polycyclic aromatic hydrocarbons in ready-to-eat roasted meat products.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26</w:t>
      </w:r>
      <w:r w:rsidRPr="00C9607E">
        <w:rPr>
          <w:rFonts w:ascii="Times New Roman" w:eastAsia="Times New Roman" w:hAnsi="Times New Roman" w:cs="Times New Roman"/>
          <w:kern w:val="0"/>
          <w14:ligatures w14:val="none"/>
        </w:rPr>
        <w:t>(8), 1096–1101. https://doi.org/10.1080/02652030902851277</w:t>
      </w:r>
    </w:p>
    <w:p w14:paraId="6EF4B90B"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Al </w:t>
      </w:r>
      <w:proofErr w:type="spellStart"/>
      <w:r w:rsidRPr="00C9607E">
        <w:rPr>
          <w:rFonts w:ascii="Times New Roman" w:eastAsia="Times New Roman" w:hAnsi="Times New Roman" w:cs="Times New Roman"/>
          <w:kern w:val="0"/>
          <w14:ligatures w14:val="none"/>
        </w:rPr>
        <w:t>Bulushi</w:t>
      </w:r>
      <w:proofErr w:type="spellEnd"/>
      <w:r w:rsidRPr="00C9607E">
        <w:rPr>
          <w:rFonts w:ascii="Times New Roman" w:eastAsia="Times New Roman" w:hAnsi="Times New Roman" w:cs="Times New Roman"/>
          <w:kern w:val="0"/>
          <w14:ligatures w14:val="none"/>
        </w:rPr>
        <w:t xml:space="preserve">, I., Poole, S., Deeth, H. C., &amp; Dykes, G. A. (2009). Biogenic amines in fish: roles in intoxication, spoilage, and nitrosamine formation—A review. </w:t>
      </w:r>
      <w:r w:rsidRPr="00C9607E">
        <w:rPr>
          <w:rFonts w:ascii="Times New Roman" w:eastAsia="Times New Roman" w:hAnsi="Times New Roman" w:cs="Times New Roman"/>
          <w:i/>
          <w:iCs/>
          <w:kern w:val="0"/>
          <w14:ligatures w14:val="none"/>
        </w:rPr>
        <w:t>Critical Reviews in Food Science and Nutrition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49</w:t>
      </w:r>
      <w:r w:rsidRPr="00C9607E">
        <w:rPr>
          <w:rFonts w:ascii="Times New Roman" w:eastAsia="Times New Roman" w:hAnsi="Times New Roman" w:cs="Times New Roman"/>
          <w:kern w:val="0"/>
          <w14:ligatures w14:val="none"/>
        </w:rPr>
        <w:t>(4), 369–377. https://doi.org/10.1080/10408390802067514</w:t>
      </w:r>
    </w:p>
    <w:p w14:paraId="3D6BD368"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Alomirah</w:t>
      </w:r>
      <w:proofErr w:type="spellEnd"/>
      <w:r w:rsidRPr="00C9607E">
        <w:rPr>
          <w:rFonts w:ascii="Times New Roman" w:eastAsia="Times New Roman" w:hAnsi="Times New Roman" w:cs="Times New Roman"/>
          <w:kern w:val="0"/>
          <w14:ligatures w14:val="none"/>
        </w:rPr>
        <w:t>, H., Al-Zenki, S., Al-</w:t>
      </w:r>
      <w:proofErr w:type="spellStart"/>
      <w:r w:rsidRPr="00C9607E">
        <w:rPr>
          <w:rFonts w:ascii="Times New Roman" w:eastAsia="Times New Roman" w:hAnsi="Times New Roman" w:cs="Times New Roman"/>
          <w:kern w:val="0"/>
          <w14:ligatures w14:val="none"/>
        </w:rPr>
        <w:t>Hooti</w:t>
      </w:r>
      <w:proofErr w:type="spellEnd"/>
      <w:r w:rsidRPr="00C9607E">
        <w:rPr>
          <w:rFonts w:ascii="Times New Roman" w:eastAsia="Times New Roman" w:hAnsi="Times New Roman" w:cs="Times New Roman"/>
          <w:kern w:val="0"/>
          <w14:ligatures w14:val="none"/>
        </w:rPr>
        <w:t xml:space="preserve">, S., Zaghloul, S., Sawaya, W., Ahmed, N., &amp; Kannan, K. (2011). Concentrations and dietary exposure to polycyclic aromatic hydrocarbons (PAHs) from grilled and smoked foods. </w:t>
      </w:r>
      <w:r w:rsidRPr="00C9607E">
        <w:rPr>
          <w:rFonts w:ascii="Times New Roman" w:eastAsia="Times New Roman" w:hAnsi="Times New Roman" w:cs="Times New Roman"/>
          <w:i/>
          <w:iCs/>
          <w:kern w:val="0"/>
          <w14:ligatures w14:val="none"/>
        </w:rPr>
        <w:t>Food Control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22</w:t>
      </w:r>
      <w:r w:rsidRPr="00C9607E">
        <w:rPr>
          <w:rFonts w:ascii="Times New Roman" w:eastAsia="Times New Roman" w:hAnsi="Times New Roman" w:cs="Times New Roman"/>
          <w:kern w:val="0"/>
          <w14:ligatures w14:val="none"/>
        </w:rPr>
        <w:t>(12), 2028–2035. https://doi.org/10.1016/j.foodcont.2011.05.024</w:t>
      </w:r>
    </w:p>
    <w:p w14:paraId="6C9A12B9"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Anigboro</w:t>
      </w:r>
      <w:proofErr w:type="spellEnd"/>
      <w:r w:rsidRPr="00C9607E">
        <w:rPr>
          <w:rFonts w:ascii="Times New Roman" w:eastAsia="Times New Roman" w:hAnsi="Times New Roman" w:cs="Times New Roman"/>
          <w:kern w:val="0"/>
          <w14:ligatures w14:val="none"/>
        </w:rPr>
        <w:t xml:space="preserve">, P. I., </w:t>
      </w:r>
      <w:proofErr w:type="spellStart"/>
      <w:r w:rsidRPr="00C9607E">
        <w:rPr>
          <w:rFonts w:ascii="Times New Roman" w:eastAsia="Times New Roman" w:hAnsi="Times New Roman" w:cs="Times New Roman"/>
          <w:kern w:val="0"/>
          <w14:ligatures w14:val="none"/>
        </w:rPr>
        <w:t>Avwiri</w:t>
      </w:r>
      <w:proofErr w:type="spellEnd"/>
      <w:r w:rsidRPr="00C9607E">
        <w:rPr>
          <w:rFonts w:ascii="Times New Roman" w:eastAsia="Times New Roman" w:hAnsi="Times New Roman" w:cs="Times New Roman"/>
          <w:kern w:val="0"/>
          <w14:ligatures w14:val="none"/>
        </w:rPr>
        <w:t xml:space="preserve">, G. O., &amp; </w:t>
      </w:r>
      <w:proofErr w:type="spellStart"/>
      <w:r w:rsidRPr="00C9607E">
        <w:rPr>
          <w:rFonts w:ascii="Times New Roman" w:eastAsia="Times New Roman" w:hAnsi="Times New Roman" w:cs="Times New Roman"/>
          <w:kern w:val="0"/>
          <w14:ligatures w14:val="none"/>
        </w:rPr>
        <w:t>Ogobiri</w:t>
      </w:r>
      <w:proofErr w:type="spellEnd"/>
      <w:r w:rsidRPr="00C9607E">
        <w:rPr>
          <w:rFonts w:ascii="Times New Roman" w:eastAsia="Times New Roman" w:hAnsi="Times New Roman" w:cs="Times New Roman"/>
          <w:kern w:val="0"/>
          <w14:ligatures w14:val="none"/>
        </w:rPr>
        <w:t xml:space="preserve">, E. (2011). Determination of heavy metals in roasted fish (Clarias </w:t>
      </w:r>
      <w:proofErr w:type="spellStart"/>
      <w:r w:rsidRPr="00C9607E">
        <w:rPr>
          <w:rFonts w:ascii="Times New Roman" w:eastAsia="Times New Roman" w:hAnsi="Times New Roman" w:cs="Times New Roman"/>
          <w:kern w:val="0"/>
          <w14:ligatures w14:val="none"/>
        </w:rPr>
        <w:t>gariepinus</w:t>
      </w:r>
      <w:proofErr w:type="spellEnd"/>
      <w:r w:rsidRPr="00C9607E">
        <w:rPr>
          <w:rFonts w:ascii="Times New Roman" w:eastAsia="Times New Roman" w:hAnsi="Times New Roman" w:cs="Times New Roman"/>
          <w:kern w:val="0"/>
          <w14:ligatures w14:val="none"/>
        </w:rPr>
        <w:t xml:space="preserve">) in oil producing area of Delta State, Nigeria. </w:t>
      </w:r>
      <w:r w:rsidRPr="00C9607E">
        <w:rPr>
          <w:rFonts w:ascii="Times New Roman" w:eastAsia="Times New Roman" w:hAnsi="Times New Roman" w:cs="Times New Roman"/>
          <w:i/>
          <w:iCs/>
          <w:kern w:val="0"/>
          <w14:ligatures w14:val="none"/>
        </w:rPr>
        <w:t>Journal of Applied Sciences and Environmental Management</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15</w:t>
      </w:r>
      <w:r w:rsidRPr="00C9607E">
        <w:rPr>
          <w:rFonts w:ascii="Times New Roman" w:eastAsia="Times New Roman" w:hAnsi="Times New Roman" w:cs="Times New Roman"/>
          <w:kern w:val="0"/>
          <w14:ligatures w14:val="none"/>
        </w:rPr>
        <w:t>(1), 187–190. https://doi.org/10.4314/jasem.v15i1.65567</w:t>
      </w:r>
    </w:p>
    <w:p w14:paraId="6DCD2A28"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7F5E80">
        <w:rPr>
          <w:rFonts w:ascii="Times New Roman" w:eastAsia="Times New Roman" w:hAnsi="Times New Roman" w:cs="Times New Roman"/>
          <w:kern w:val="0"/>
          <w:lang w:val="fr-FR"/>
          <w14:ligatures w14:val="none"/>
        </w:rPr>
        <w:t>Assogba</w:t>
      </w:r>
      <w:proofErr w:type="spellEnd"/>
      <w:r w:rsidRPr="007F5E80">
        <w:rPr>
          <w:rFonts w:ascii="Times New Roman" w:eastAsia="Times New Roman" w:hAnsi="Times New Roman" w:cs="Times New Roman"/>
          <w:kern w:val="0"/>
          <w:lang w:val="fr-FR"/>
          <w14:ligatures w14:val="none"/>
        </w:rPr>
        <w:t xml:space="preserve">, M. F., </w:t>
      </w:r>
      <w:proofErr w:type="spellStart"/>
      <w:r w:rsidRPr="007F5E80">
        <w:rPr>
          <w:rFonts w:ascii="Times New Roman" w:eastAsia="Times New Roman" w:hAnsi="Times New Roman" w:cs="Times New Roman"/>
          <w:kern w:val="0"/>
          <w:lang w:val="fr-FR"/>
          <w14:ligatures w14:val="none"/>
        </w:rPr>
        <w:t>Tonouhewa</w:t>
      </w:r>
      <w:proofErr w:type="spellEnd"/>
      <w:r w:rsidRPr="007F5E80">
        <w:rPr>
          <w:rFonts w:ascii="Times New Roman" w:eastAsia="Times New Roman" w:hAnsi="Times New Roman" w:cs="Times New Roman"/>
          <w:kern w:val="0"/>
          <w:lang w:val="fr-FR"/>
          <w14:ligatures w14:val="none"/>
        </w:rPr>
        <w:t xml:space="preserve">, A. B. N., </w:t>
      </w:r>
      <w:proofErr w:type="spellStart"/>
      <w:r w:rsidRPr="007F5E80">
        <w:rPr>
          <w:rFonts w:ascii="Times New Roman" w:eastAsia="Times New Roman" w:hAnsi="Times New Roman" w:cs="Times New Roman"/>
          <w:kern w:val="0"/>
          <w:lang w:val="fr-FR"/>
          <w14:ligatures w14:val="none"/>
        </w:rPr>
        <w:t>Kpenavoun</w:t>
      </w:r>
      <w:proofErr w:type="spellEnd"/>
      <w:r w:rsidRPr="007F5E80">
        <w:rPr>
          <w:rFonts w:ascii="Times New Roman" w:eastAsia="Times New Roman" w:hAnsi="Times New Roman" w:cs="Times New Roman"/>
          <w:kern w:val="0"/>
          <w:lang w:val="fr-FR"/>
          <w14:ligatures w14:val="none"/>
        </w:rPr>
        <w:t xml:space="preserve"> </w:t>
      </w:r>
      <w:proofErr w:type="spellStart"/>
      <w:r w:rsidRPr="007F5E80">
        <w:rPr>
          <w:rFonts w:ascii="Times New Roman" w:eastAsia="Times New Roman" w:hAnsi="Times New Roman" w:cs="Times New Roman"/>
          <w:kern w:val="0"/>
          <w:lang w:val="fr-FR"/>
          <w14:ligatures w14:val="none"/>
        </w:rPr>
        <w:t>Chogou</w:t>
      </w:r>
      <w:proofErr w:type="spellEnd"/>
      <w:r w:rsidRPr="007F5E80">
        <w:rPr>
          <w:rFonts w:ascii="Times New Roman" w:eastAsia="Times New Roman" w:hAnsi="Times New Roman" w:cs="Times New Roman"/>
          <w:kern w:val="0"/>
          <w:lang w:val="fr-FR"/>
          <w14:ligatures w14:val="none"/>
        </w:rPr>
        <w:t xml:space="preserve">, S., </w:t>
      </w:r>
      <w:proofErr w:type="spellStart"/>
      <w:r w:rsidRPr="007F5E80">
        <w:rPr>
          <w:rFonts w:ascii="Times New Roman" w:eastAsia="Times New Roman" w:hAnsi="Times New Roman" w:cs="Times New Roman"/>
          <w:kern w:val="0"/>
          <w:lang w:val="fr-FR"/>
          <w14:ligatures w14:val="none"/>
        </w:rPr>
        <w:t>Dougnon</w:t>
      </w:r>
      <w:proofErr w:type="spellEnd"/>
      <w:r w:rsidRPr="007F5E80">
        <w:rPr>
          <w:rFonts w:ascii="Times New Roman" w:eastAsia="Times New Roman" w:hAnsi="Times New Roman" w:cs="Times New Roman"/>
          <w:kern w:val="0"/>
          <w:lang w:val="fr-FR"/>
          <w14:ligatures w14:val="none"/>
        </w:rPr>
        <w:t xml:space="preserve">, T. V., </w:t>
      </w:r>
      <w:proofErr w:type="spellStart"/>
      <w:r w:rsidRPr="007F5E80">
        <w:rPr>
          <w:rFonts w:ascii="Times New Roman" w:eastAsia="Times New Roman" w:hAnsi="Times New Roman" w:cs="Times New Roman"/>
          <w:kern w:val="0"/>
          <w:lang w:val="fr-FR"/>
          <w14:ligatures w14:val="none"/>
        </w:rPr>
        <w:t>Dossou</w:t>
      </w:r>
      <w:proofErr w:type="spellEnd"/>
      <w:r w:rsidRPr="007F5E80">
        <w:rPr>
          <w:rFonts w:ascii="Times New Roman" w:eastAsia="Times New Roman" w:hAnsi="Times New Roman" w:cs="Times New Roman"/>
          <w:kern w:val="0"/>
          <w:lang w:val="fr-FR"/>
          <w14:ligatures w14:val="none"/>
        </w:rPr>
        <w:t xml:space="preserve">, J., &amp; Loko, F. (2019). </w:t>
      </w:r>
      <w:r w:rsidRPr="00C9607E">
        <w:rPr>
          <w:rFonts w:ascii="Times New Roman" w:eastAsia="Times New Roman" w:hAnsi="Times New Roman" w:cs="Times New Roman"/>
          <w:kern w:val="0"/>
          <w14:ligatures w14:val="none"/>
        </w:rPr>
        <w:t xml:space="preserve">Evaluation of polycyclic aromatic hydrocarbons (PAHs) in smoked fish in Benin. </w:t>
      </w:r>
      <w:r w:rsidRPr="00C9607E">
        <w:rPr>
          <w:rFonts w:ascii="Times New Roman" w:eastAsia="Times New Roman" w:hAnsi="Times New Roman" w:cs="Times New Roman"/>
          <w:i/>
          <w:iCs/>
          <w:kern w:val="0"/>
          <w14:ligatures w14:val="none"/>
        </w:rPr>
        <w:t>International Journal of Food Contamination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w:t>
      </w:r>
      <w:r w:rsidRPr="00C9607E">
        <w:rPr>
          <w:rFonts w:ascii="Times New Roman" w:eastAsia="Times New Roman" w:hAnsi="Times New Roman" w:cs="Times New Roman"/>
          <w:kern w:val="0"/>
          <w14:ligatures w14:val="none"/>
        </w:rPr>
        <w:t>(1), 1–10. https://doi.org/10.1186/s40550-019-0079-4</w:t>
      </w:r>
    </w:p>
    <w:p w14:paraId="72D7308C"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Daniel, E. O., Mbata, T. I., &amp; </w:t>
      </w:r>
      <w:proofErr w:type="spellStart"/>
      <w:r w:rsidRPr="00C9607E">
        <w:rPr>
          <w:rFonts w:ascii="Times New Roman" w:eastAsia="Times New Roman" w:hAnsi="Times New Roman" w:cs="Times New Roman"/>
          <w:kern w:val="0"/>
          <w14:ligatures w14:val="none"/>
        </w:rPr>
        <w:t>Uzoaru</w:t>
      </w:r>
      <w:proofErr w:type="spellEnd"/>
      <w:r w:rsidRPr="00C9607E">
        <w:rPr>
          <w:rFonts w:ascii="Times New Roman" w:eastAsia="Times New Roman" w:hAnsi="Times New Roman" w:cs="Times New Roman"/>
          <w:kern w:val="0"/>
          <w14:ligatures w14:val="none"/>
        </w:rPr>
        <w:t xml:space="preserve">, A. (2013). Toxicological evaluation of smoked catfish (Clarias </w:t>
      </w:r>
      <w:proofErr w:type="spellStart"/>
      <w:r w:rsidRPr="00C9607E">
        <w:rPr>
          <w:rFonts w:ascii="Times New Roman" w:eastAsia="Times New Roman" w:hAnsi="Times New Roman" w:cs="Times New Roman"/>
          <w:kern w:val="0"/>
          <w14:ligatures w14:val="none"/>
        </w:rPr>
        <w:t>gariepinus</w:t>
      </w:r>
      <w:proofErr w:type="spellEnd"/>
      <w:r w:rsidRPr="00C9607E">
        <w:rPr>
          <w:rFonts w:ascii="Times New Roman" w:eastAsia="Times New Roman" w:hAnsi="Times New Roman" w:cs="Times New Roman"/>
          <w:kern w:val="0"/>
          <w14:ligatures w14:val="none"/>
        </w:rPr>
        <w:t xml:space="preserve">) from markets in southern Nigeria. </w:t>
      </w:r>
      <w:r w:rsidRPr="00C9607E">
        <w:rPr>
          <w:rFonts w:ascii="Times New Roman" w:eastAsia="Times New Roman" w:hAnsi="Times New Roman" w:cs="Times New Roman"/>
          <w:i/>
          <w:iCs/>
          <w:kern w:val="0"/>
          <w14:ligatures w14:val="none"/>
        </w:rPr>
        <w:t>Journal of Environmental Science, Toxicology and Food Technology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w:t>
      </w:r>
      <w:r w:rsidRPr="00C9607E">
        <w:rPr>
          <w:rFonts w:ascii="Times New Roman" w:eastAsia="Times New Roman" w:hAnsi="Times New Roman" w:cs="Times New Roman"/>
          <w:kern w:val="0"/>
          <w14:ligatures w14:val="none"/>
        </w:rPr>
        <w:t>(1), 32–35. https://doi.org/10.9790/2402-0513235</w:t>
      </w:r>
    </w:p>
    <w:p w14:paraId="446E59FA"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Darwish, W. S., </w:t>
      </w:r>
      <w:proofErr w:type="spellStart"/>
      <w:r w:rsidRPr="00C9607E">
        <w:rPr>
          <w:rFonts w:ascii="Times New Roman" w:eastAsia="Times New Roman" w:hAnsi="Times New Roman" w:cs="Times New Roman"/>
          <w:kern w:val="0"/>
          <w14:ligatures w14:val="none"/>
        </w:rPr>
        <w:t>Ikenaka</w:t>
      </w:r>
      <w:proofErr w:type="spellEnd"/>
      <w:r w:rsidRPr="00C9607E">
        <w:rPr>
          <w:rFonts w:ascii="Times New Roman" w:eastAsia="Times New Roman" w:hAnsi="Times New Roman" w:cs="Times New Roman"/>
          <w:kern w:val="0"/>
          <w14:ligatures w14:val="none"/>
        </w:rPr>
        <w:t xml:space="preserve">, Y., Nakayama, S. M. M., &amp; Ishizuka, M. (2019). An overview on the effects of polycyclic aromatic hydrocarbons (PAHs) in fish species: their occurrence, toxicity, and mechanisms of action. </w:t>
      </w:r>
      <w:r w:rsidRPr="00C9607E">
        <w:rPr>
          <w:rFonts w:ascii="Times New Roman" w:eastAsia="Times New Roman" w:hAnsi="Times New Roman" w:cs="Times New Roman"/>
          <w:i/>
          <w:iCs/>
          <w:kern w:val="0"/>
          <w14:ligatures w14:val="none"/>
        </w:rPr>
        <w:t>Environmental Science and Pollution Research</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26</w:t>
      </w:r>
      <w:r w:rsidRPr="00C9607E">
        <w:rPr>
          <w:rFonts w:ascii="Times New Roman" w:eastAsia="Times New Roman" w:hAnsi="Times New Roman" w:cs="Times New Roman"/>
          <w:kern w:val="0"/>
          <w14:ligatures w14:val="none"/>
        </w:rPr>
        <w:t>(24), 24588–24600. https://doi.org/10.1007/s11356-019-05679-x</w:t>
      </w:r>
    </w:p>
    <w:p w14:paraId="587EB40B"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Domingo, J. L., &amp; Nadal, M. (2015). Human dietary exposure to polycyclic aromatic hydrocarbons: a review of the scientific literature. </w:t>
      </w:r>
      <w:r w:rsidRPr="00C9607E">
        <w:rPr>
          <w:rFonts w:ascii="Times New Roman" w:eastAsia="Times New Roman" w:hAnsi="Times New Roman" w:cs="Times New Roman"/>
          <w:i/>
          <w:iCs/>
          <w:kern w:val="0"/>
          <w14:ligatures w14:val="none"/>
        </w:rPr>
        <w:t>Food and Chemical Toxicology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86</w:t>
      </w:r>
      <w:r w:rsidRPr="00C9607E">
        <w:rPr>
          <w:rFonts w:ascii="Times New Roman" w:eastAsia="Times New Roman" w:hAnsi="Times New Roman" w:cs="Times New Roman"/>
          <w:kern w:val="0"/>
          <w14:ligatures w14:val="none"/>
        </w:rPr>
        <w:t xml:space="preserve">, 144–153. </w:t>
      </w:r>
      <w:hyperlink r:id="rId13" w:tgtFrame="_new" w:history="1">
        <w:r w:rsidRPr="00C9607E">
          <w:rPr>
            <w:rFonts w:ascii="Times New Roman" w:eastAsia="Times New Roman" w:hAnsi="Times New Roman" w:cs="Times New Roman"/>
            <w:color w:val="0000FF"/>
            <w:kern w:val="0"/>
            <w:u w:val="single"/>
            <w14:ligatures w14:val="none"/>
          </w:rPr>
          <w:t>https://doi.org/10.1016/j.fct.2015.10.002</w:t>
        </w:r>
      </w:hyperlink>
    </w:p>
    <w:p w14:paraId="0FCDFD3D"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Douny</w:t>
      </w:r>
      <w:proofErr w:type="spellEnd"/>
      <w:r w:rsidRPr="00C9607E">
        <w:rPr>
          <w:rFonts w:ascii="Times New Roman" w:eastAsia="Times New Roman" w:hAnsi="Times New Roman" w:cs="Times New Roman"/>
          <w:kern w:val="0"/>
          <w14:ligatures w14:val="none"/>
        </w:rPr>
        <w:t xml:space="preserve">, C., </w:t>
      </w:r>
      <w:proofErr w:type="spellStart"/>
      <w:r w:rsidRPr="00C9607E">
        <w:rPr>
          <w:rFonts w:ascii="Times New Roman" w:eastAsia="Times New Roman" w:hAnsi="Times New Roman" w:cs="Times New Roman"/>
          <w:kern w:val="0"/>
          <w14:ligatures w14:val="none"/>
        </w:rPr>
        <w:t>Dufourny</w:t>
      </w:r>
      <w:proofErr w:type="spellEnd"/>
      <w:r w:rsidRPr="00C9607E">
        <w:rPr>
          <w:rFonts w:ascii="Times New Roman" w:eastAsia="Times New Roman" w:hAnsi="Times New Roman" w:cs="Times New Roman"/>
          <w:kern w:val="0"/>
          <w14:ligatures w14:val="none"/>
        </w:rPr>
        <w:t xml:space="preserve">, G., </w:t>
      </w:r>
      <w:proofErr w:type="spellStart"/>
      <w:r w:rsidRPr="00C9607E">
        <w:rPr>
          <w:rFonts w:ascii="Times New Roman" w:eastAsia="Times New Roman" w:hAnsi="Times New Roman" w:cs="Times New Roman"/>
          <w:kern w:val="0"/>
          <w14:ligatures w14:val="none"/>
        </w:rPr>
        <w:t>Scippo</w:t>
      </w:r>
      <w:proofErr w:type="spellEnd"/>
      <w:r w:rsidRPr="00C9607E">
        <w:rPr>
          <w:rFonts w:ascii="Times New Roman" w:eastAsia="Times New Roman" w:hAnsi="Times New Roman" w:cs="Times New Roman"/>
          <w:kern w:val="0"/>
          <w14:ligatures w14:val="none"/>
        </w:rPr>
        <w:t xml:space="preserve">, M. L., &amp; </w:t>
      </w:r>
      <w:proofErr w:type="spellStart"/>
      <w:r w:rsidRPr="00C9607E">
        <w:rPr>
          <w:rFonts w:ascii="Times New Roman" w:eastAsia="Times New Roman" w:hAnsi="Times New Roman" w:cs="Times New Roman"/>
          <w:kern w:val="0"/>
          <w14:ligatures w14:val="none"/>
        </w:rPr>
        <w:t>Maghuin-Rogister</w:t>
      </w:r>
      <w:proofErr w:type="spellEnd"/>
      <w:r w:rsidRPr="00C9607E">
        <w:rPr>
          <w:rFonts w:ascii="Times New Roman" w:eastAsia="Times New Roman" w:hAnsi="Times New Roman" w:cs="Times New Roman"/>
          <w:kern w:val="0"/>
          <w14:ligatures w14:val="none"/>
        </w:rPr>
        <w:t xml:space="preserve">, G. (2021). Occurrence of polycyclic aromatic hydrocarbons and biogenic amines in traditional smoked fish in Cambodia.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38</w:t>
      </w:r>
      <w:r w:rsidRPr="00C9607E">
        <w:rPr>
          <w:rFonts w:ascii="Times New Roman" w:eastAsia="Times New Roman" w:hAnsi="Times New Roman" w:cs="Times New Roman"/>
          <w:kern w:val="0"/>
          <w14:ligatures w14:val="none"/>
        </w:rPr>
        <w:t>(4), 661–673. https://doi.org/10.1080/19440049.2020.1861528</w:t>
      </w:r>
    </w:p>
    <w:p w14:paraId="6C78CE92"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Drabik-Markiewicz, G., </w:t>
      </w:r>
      <w:proofErr w:type="spellStart"/>
      <w:r w:rsidRPr="00C9607E">
        <w:rPr>
          <w:rFonts w:ascii="Times New Roman" w:eastAsia="Times New Roman" w:hAnsi="Times New Roman" w:cs="Times New Roman"/>
          <w:kern w:val="0"/>
          <w14:ligatures w14:val="none"/>
        </w:rPr>
        <w:t>Dejaegher</w:t>
      </w:r>
      <w:proofErr w:type="spellEnd"/>
      <w:r w:rsidRPr="00C9607E">
        <w:rPr>
          <w:rFonts w:ascii="Times New Roman" w:eastAsia="Times New Roman" w:hAnsi="Times New Roman" w:cs="Times New Roman"/>
          <w:kern w:val="0"/>
          <w14:ligatures w14:val="none"/>
        </w:rPr>
        <w:t xml:space="preserve">, B., De Mey, E., Kowalska, T., </w:t>
      </w:r>
      <w:proofErr w:type="spellStart"/>
      <w:r w:rsidRPr="00C9607E">
        <w:rPr>
          <w:rFonts w:ascii="Times New Roman" w:eastAsia="Times New Roman" w:hAnsi="Times New Roman" w:cs="Times New Roman"/>
          <w:kern w:val="0"/>
          <w14:ligatures w14:val="none"/>
        </w:rPr>
        <w:t>Paelinck</w:t>
      </w:r>
      <w:proofErr w:type="spellEnd"/>
      <w:r w:rsidRPr="00C9607E">
        <w:rPr>
          <w:rFonts w:ascii="Times New Roman" w:eastAsia="Times New Roman" w:hAnsi="Times New Roman" w:cs="Times New Roman"/>
          <w:kern w:val="0"/>
          <w14:ligatures w14:val="none"/>
        </w:rPr>
        <w:t xml:space="preserve">, H., &amp; Vander Heyden, Y. (2009). Influence of putrescine, cadaverine, spermidine or spermine on the </w:t>
      </w:r>
      <w:r w:rsidRPr="00C9607E">
        <w:rPr>
          <w:rFonts w:ascii="Times New Roman" w:eastAsia="Times New Roman" w:hAnsi="Times New Roman" w:cs="Times New Roman"/>
          <w:kern w:val="0"/>
          <w14:ligatures w14:val="none"/>
        </w:rPr>
        <w:lastRenderedPageBreak/>
        <w:t xml:space="preserve">formation of N-nitrosamines in heated cured pork meat. </w:t>
      </w:r>
      <w:r w:rsidRPr="00C9607E">
        <w:rPr>
          <w:rFonts w:ascii="Times New Roman" w:eastAsia="Times New Roman" w:hAnsi="Times New Roman" w:cs="Times New Roman"/>
          <w:i/>
          <w:iCs/>
          <w:kern w:val="0"/>
          <w14:ligatures w14:val="none"/>
        </w:rPr>
        <w:t>Food Chemistry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116</w:t>
      </w:r>
      <w:r w:rsidRPr="00C9607E">
        <w:rPr>
          <w:rFonts w:ascii="Times New Roman" w:eastAsia="Times New Roman" w:hAnsi="Times New Roman" w:cs="Times New Roman"/>
          <w:kern w:val="0"/>
          <w14:ligatures w14:val="none"/>
        </w:rPr>
        <w:t>(2), 419–425. https://doi.org/10.1016/j.foodchem.2009.02.060</w:t>
      </w:r>
    </w:p>
    <w:p w14:paraId="7199A6D4"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Duedahl-Olesen, L., Navaratnam, M. A., &amp; </w:t>
      </w:r>
      <w:proofErr w:type="spellStart"/>
      <w:r w:rsidRPr="00C9607E">
        <w:rPr>
          <w:rFonts w:ascii="Times New Roman" w:eastAsia="Times New Roman" w:hAnsi="Times New Roman" w:cs="Times New Roman"/>
          <w:kern w:val="0"/>
          <w14:ligatures w14:val="none"/>
        </w:rPr>
        <w:t>Jewula</w:t>
      </w:r>
      <w:proofErr w:type="spellEnd"/>
      <w:r w:rsidRPr="00C9607E">
        <w:rPr>
          <w:rFonts w:ascii="Times New Roman" w:eastAsia="Times New Roman" w:hAnsi="Times New Roman" w:cs="Times New Roman"/>
          <w:kern w:val="0"/>
          <w14:ligatures w14:val="none"/>
        </w:rPr>
        <w:t xml:space="preserve">, J. (2015). PAH content in smoked fish from Danish smokehouses. </w:t>
      </w:r>
      <w:r w:rsidRPr="00C9607E">
        <w:rPr>
          <w:rFonts w:ascii="Times New Roman" w:eastAsia="Times New Roman" w:hAnsi="Times New Roman" w:cs="Times New Roman"/>
          <w:i/>
          <w:iCs/>
          <w:kern w:val="0"/>
          <w14:ligatures w14:val="none"/>
        </w:rPr>
        <w:t>Food Control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56</w:t>
      </w:r>
      <w:r w:rsidRPr="00C9607E">
        <w:rPr>
          <w:rFonts w:ascii="Times New Roman" w:eastAsia="Times New Roman" w:hAnsi="Times New Roman" w:cs="Times New Roman"/>
          <w:kern w:val="0"/>
          <w14:ligatures w14:val="none"/>
        </w:rPr>
        <w:t>, 195–201. https://doi.org/10.1016/j.foodcont.2015.03.025</w:t>
      </w:r>
    </w:p>
    <w:p w14:paraId="2EA21385"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EFSA (European Food Safety Authority). (2008). Polycyclic aromatic hydrocarbons in food: scientific opinion of the panel on contaminants in the food chain. </w:t>
      </w:r>
      <w:r w:rsidRPr="00C9607E">
        <w:rPr>
          <w:rFonts w:ascii="Times New Roman" w:eastAsia="Times New Roman" w:hAnsi="Times New Roman" w:cs="Times New Roman"/>
          <w:i/>
          <w:iCs/>
          <w:kern w:val="0"/>
          <w14:ligatures w14:val="none"/>
        </w:rPr>
        <w:t>EFSA Journal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724</w:t>
      </w:r>
      <w:r w:rsidRPr="00C9607E">
        <w:rPr>
          <w:rFonts w:ascii="Times New Roman" w:eastAsia="Times New Roman" w:hAnsi="Times New Roman" w:cs="Times New Roman"/>
          <w:kern w:val="0"/>
          <w14:ligatures w14:val="none"/>
        </w:rPr>
        <w:t xml:space="preserve">, 1–114. </w:t>
      </w:r>
      <w:hyperlink r:id="rId14" w:tgtFrame="_new" w:history="1">
        <w:r w:rsidRPr="00C9607E">
          <w:rPr>
            <w:rFonts w:ascii="Times New Roman" w:eastAsia="Times New Roman" w:hAnsi="Times New Roman" w:cs="Times New Roman"/>
            <w:color w:val="0000FF"/>
            <w:kern w:val="0"/>
            <w:u w:val="single"/>
            <w14:ligatures w14:val="none"/>
          </w:rPr>
          <w:t>https://doi.org/10.2903/j.efsa.2008.724</w:t>
        </w:r>
      </w:hyperlink>
    </w:p>
    <w:p w14:paraId="1AD39C93"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EFSA (European Food Safety Authority). (2011). Scientific opinion on </w:t>
      </w:r>
      <w:proofErr w:type="gramStart"/>
      <w:r w:rsidRPr="00C9607E">
        <w:rPr>
          <w:rFonts w:ascii="Times New Roman" w:eastAsia="Times New Roman" w:hAnsi="Times New Roman" w:cs="Times New Roman"/>
          <w:kern w:val="0"/>
          <w14:ligatures w14:val="none"/>
        </w:rPr>
        <w:t>risk based</w:t>
      </w:r>
      <w:proofErr w:type="gramEnd"/>
      <w:r w:rsidRPr="00C9607E">
        <w:rPr>
          <w:rFonts w:ascii="Times New Roman" w:eastAsia="Times New Roman" w:hAnsi="Times New Roman" w:cs="Times New Roman"/>
          <w:kern w:val="0"/>
          <w14:ligatures w14:val="none"/>
        </w:rPr>
        <w:t xml:space="preserve"> control of biogenic amine formation in fermented foods. </w:t>
      </w:r>
      <w:r w:rsidRPr="00C9607E">
        <w:rPr>
          <w:rFonts w:ascii="Times New Roman" w:eastAsia="Times New Roman" w:hAnsi="Times New Roman" w:cs="Times New Roman"/>
          <w:i/>
          <w:iCs/>
          <w:kern w:val="0"/>
          <w14:ligatures w14:val="none"/>
        </w:rPr>
        <w:t>EFSA Journal</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9</w:t>
      </w:r>
      <w:r w:rsidRPr="00C9607E">
        <w:rPr>
          <w:rFonts w:ascii="Times New Roman" w:eastAsia="Times New Roman" w:hAnsi="Times New Roman" w:cs="Times New Roman"/>
          <w:kern w:val="0"/>
          <w14:ligatures w14:val="none"/>
        </w:rPr>
        <w:t xml:space="preserve">(10), 2393. </w:t>
      </w:r>
      <w:hyperlink r:id="rId15" w:tgtFrame="_new" w:history="1">
        <w:r w:rsidRPr="00C9607E">
          <w:rPr>
            <w:rFonts w:ascii="Times New Roman" w:eastAsia="Times New Roman" w:hAnsi="Times New Roman" w:cs="Times New Roman"/>
            <w:color w:val="0000FF"/>
            <w:kern w:val="0"/>
            <w:u w:val="single"/>
            <w14:ligatures w14:val="none"/>
          </w:rPr>
          <w:t>https://doi.org/10.2903/j.efsa.2011.2393</w:t>
        </w:r>
      </w:hyperlink>
    </w:p>
    <w:p w14:paraId="432A8347"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Eldaly</w:t>
      </w:r>
      <w:proofErr w:type="spellEnd"/>
      <w:r w:rsidRPr="00C9607E">
        <w:rPr>
          <w:rFonts w:ascii="Times New Roman" w:eastAsia="Times New Roman" w:hAnsi="Times New Roman" w:cs="Times New Roman"/>
          <w:kern w:val="0"/>
          <w14:ligatures w14:val="none"/>
        </w:rPr>
        <w:t xml:space="preserve">, E. A., El-Sherif, M. W., &amp; Sharaf, H. A. (2016). Effects of dietary polycyclic aromatic hydrocarbons on hepatic and renal functions in rats. </w:t>
      </w:r>
      <w:r w:rsidRPr="00C9607E">
        <w:rPr>
          <w:rFonts w:ascii="Times New Roman" w:eastAsia="Times New Roman" w:hAnsi="Times New Roman" w:cs="Times New Roman"/>
          <w:i/>
          <w:iCs/>
          <w:kern w:val="0"/>
          <w14:ligatures w14:val="none"/>
        </w:rPr>
        <w:t>Journal of Toxicology and Environmental Health Sciences</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8</w:t>
      </w:r>
      <w:r w:rsidRPr="00C9607E">
        <w:rPr>
          <w:rFonts w:ascii="Times New Roman" w:eastAsia="Times New Roman" w:hAnsi="Times New Roman" w:cs="Times New Roman"/>
          <w:kern w:val="0"/>
          <w14:ligatures w14:val="none"/>
        </w:rPr>
        <w:t>(3), 21–28. https://doi.org/10.5897/JTEHS2015.0342</w:t>
      </w:r>
    </w:p>
    <w:p w14:paraId="50FB0665"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Emborg, J., &amp; Dalgaard, P. (2006). Formation of histamine in seafood: effects of storage temperature on vacuum-packed fillets and previous frozen raw material. </w:t>
      </w:r>
      <w:r w:rsidRPr="00C9607E">
        <w:rPr>
          <w:rFonts w:ascii="Times New Roman" w:eastAsia="Times New Roman" w:hAnsi="Times New Roman" w:cs="Times New Roman"/>
          <w:i/>
          <w:iCs/>
          <w:kern w:val="0"/>
          <w14:ligatures w14:val="none"/>
        </w:rPr>
        <w:t>Journal of Food Protection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69</w:t>
      </w:r>
      <w:r w:rsidRPr="00C9607E">
        <w:rPr>
          <w:rFonts w:ascii="Times New Roman" w:eastAsia="Times New Roman" w:hAnsi="Times New Roman" w:cs="Times New Roman"/>
          <w:kern w:val="0"/>
          <w14:ligatures w14:val="none"/>
        </w:rPr>
        <w:t>(5), 1165–1175. https://doi.org/10.4315/0362-028X-69.5.1165</w:t>
      </w:r>
    </w:p>
    <w:p w14:paraId="49313518"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Forsberg, N. E. G., Kiessling, A., &amp; Lundh, T. (2012). Effects of smoking temperature and time on the formation of polycyclic aromatic hydrocarbons in farmed salmon (Salmo </w:t>
      </w:r>
      <w:proofErr w:type="spellStart"/>
      <w:r w:rsidRPr="00C9607E">
        <w:rPr>
          <w:rFonts w:ascii="Times New Roman" w:eastAsia="Times New Roman" w:hAnsi="Times New Roman" w:cs="Times New Roman"/>
          <w:kern w:val="0"/>
          <w14:ligatures w14:val="none"/>
        </w:rPr>
        <w:t>salar</w:t>
      </w:r>
      <w:proofErr w:type="spellEnd"/>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29</w:t>
      </w:r>
      <w:r w:rsidRPr="00C9607E">
        <w:rPr>
          <w:rFonts w:ascii="Times New Roman" w:eastAsia="Times New Roman" w:hAnsi="Times New Roman" w:cs="Times New Roman"/>
          <w:kern w:val="0"/>
          <w14:ligatures w14:val="none"/>
        </w:rPr>
        <w:t>(3), 378–386. https://doi.org/10.1080/19440049.2011.633654</w:t>
      </w:r>
    </w:p>
    <w:p w14:paraId="7FCEC2D7"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Gheorghe, S., Stoica, C., Lucaciu, I., &amp; Bărbulescu, A. (2019). Occurrence and risk assessment of heavy metals and polycyclic aromatic hydrocarbons in smoked fish. </w:t>
      </w:r>
      <w:r w:rsidRPr="00C9607E">
        <w:rPr>
          <w:rFonts w:ascii="Times New Roman" w:eastAsia="Times New Roman" w:hAnsi="Times New Roman" w:cs="Times New Roman"/>
          <w:i/>
          <w:iCs/>
          <w:kern w:val="0"/>
          <w14:ligatures w14:val="none"/>
        </w:rPr>
        <w:t>Environmental Monitoring and Assessment</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191</w:t>
      </w:r>
      <w:r w:rsidRPr="00C9607E">
        <w:rPr>
          <w:rFonts w:ascii="Times New Roman" w:eastAsia="Times New Roman" w:hAnsi="Times New Roman" w:cs="Times New Roman"/>
          <w:kern w:val="0"/>
          <w14:ligatures w14:val="none"/>
        </w:rPr>
        <w:t>(12), 766. https://doi.org/10.1007/s10661-019-7953-5</w:t>
      </w:r>
    </w:p>
    <w:p w14:paraId="3A15AC3D"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Gibis, M. (2016). Effect of oil marinades with different fat and spice content on the formation of heterocyclic aromatic amines in fried beef patties. </w:t>
      </w:r>
      <w:r w:rsidRPr="00C9607E">
        <w:rPr>
          <w:rFonts w:ascii="Times New Roman" w:eastAsia="Times New Roman" w:hAnsi="Times New Roman" w:cs="Times New Roman"/>
          <w:i/>
          <w:iCs/>
          <w:kern w:val="0"/>
          <w14:ligatures w14:val="none"/>
        </w:rPr>
        <w:t>Food Chemistry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199</w:t>
      </w:r>
      <w:r w:rsidRPr="00C9607E">
        <w:rPr>
          <w:rFonts w:ascii="Times New Roman" w:eastAsia="Times New Roman" w:hAnsi="Times New Roman" w:cs="Times New Roman"/>
          <w:kern w:val="0"/>
          <w14:ligatures w14:val="none"/>
        </w:rPr>
        <w:t>, 403–411. https://doi.org/10.1016/j.foodchem.2015.12.045</w:t>
      </w:r>
    </w:p>
    <w:p w14:paraId="6C7D7CFE"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7F5E80">
        <w:rPr>
          <w:rFonts w:ascii="Times New Roman" w:eastAsia="Times New Roman" w:hAnsi="Times New Roman" w:cs="Times New Roman"/>
          <w:kern w:val="0"/>
          <w:lang w:val="fr-FR"/>
          <w14:ligatures w14:val="none"/>
        </w:rPr>
        <w:t>Goulas</w:t>
      </w:r>
      <w:proofErr w:type="spellEnd"/>
      <w:r w:rsidRPr="007F5E80">
        <w:rPr>
          <w:rFonts w:ascii="Times New Roman" w:eastAsia="Times New Roman" w:hAnsi="Times New Roman" w:cs="Times New Roman"/>
          <w:kern w:val="0"/>
          <w:lang w:val="fr-FR"/>
          <w14:ligatures w14:val="none"/>
        </w:rPr>
        <w:t xml:space="preserve">, A. E., &amp; </w:t>
      </w:r>
      <w:proofErr w:type="spellStart"/>
      <w:r w:rsidRPr="007F5E80">
        <w:rPr>
          <w:rFonts w:ascii="Times New Roman" w:eastAsia="Times New Roman" w:hAnsi="Times New Roman" w:cs="Times New Roman"/>
          <w:kern w:val="0"/>
          <w:lang w:val="fr-FR"/>
          <w14:ligatures w14:val="none"/>
        </w:rPr>
        <w:t>Kontominas</w:t>
      </w:r>
      <w:proofErr w:type="spellEnd"/>
      <w:r w:rsidRPr="007F5E80">
        <w:rPr>
          <w:rFonts w:ascii="Times New Roman" w:eastAsia="Times New Roman" w:hAnsi="Times New Roman" w:cs="Times New Roman"/>
          <w:kern w:val="0"/>
          <w:lang w:val="fr-FR"/>
          <w14:ligatures w14:val="none"/>
        </w:rPr>
        <w:t xml:space="preserve">, M. G. (2005). </w:t>
      </w:r>
      <w:r w:rsidRPr="00C9607E">
        <w:rPr>
          <w:rFonts w:ascii="Times New Roman" w:eastAsia="Times New Roman" w:hAnsi="Times New Roman" w:cs="Times New Roman"/>
          <w:kern w:val="0"/>
          <w14:ligatures w14:val="none"/>
        </w:rPr>
        <w:t xml:space="preserve">Polycyclic aromatic hydrocarbons (PAHs) in smoked and non-smoked “turkey breast” fillets. </w:t>
      </w:r>
      <w:r w:rsidRPr="00C9607E">
        <w:rPr>
          <w:rFonts w:ascii="Times New Roman" w:eastAsia="Times New Roman" w:hAnsi="Times New Roman" w:cs="Times New Roman"/>
          <w:i/>
          <w:iCs/>
          <w:kern w:val="0"/>
          <w14:ligatures w14:val="none"/>
        </w:rPr>
        <w:t>Food Microbiology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22</w:t>
      </w:r>
      <w:r w:rsidRPr="00C9607E">
        <w:rPr>
          <w:rFonts w:ascii="Times New Roman" w:eastAsia="Times New Roman" w:hAnsi="Times New Roman" w:cs="Times New Roman"/>
          <w:kern w:val="0"/>
          <w14:ligatures w14:val="none"/>
        </w:rPr>
        <w:t>(1), 23–28. https://doi.org/10.1016/j.fm.2004.05.003</w:t>
      </w:r>
    </w:p>
    <w:p w14:paraId="25311E80"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Gunter, K., </w:t>
      </w:r>
      <w:proofErr w:type="spellStart"/>
      <w:r w:rsidRPr="00C9607E">
        <w:rPr>
          <w:rFonts w:ascii="Times New Roman" w:eastAsia="Times New Roman" w:hAnsi="Times New Roman" w:cs="Times New Roman"/>
          <w:kern w:val="0"/>
          <w14:ligatures w14:val="none"/>
        </w:rPr>
        <w:t>Terjung</w:t>
      </w:r>
      <w:proofErr w:type="spellEnd"/>
      <w:r w:rsidRPr="00C9607E">
        <w:rPr>
          <w:rFonts w:ascii="Times New Roman" w:eastAsia="Times New Roman" w:hAnsi="Times New Roman" w:cs="Times New Roman"/>
          <w:kern w:val="0"/>
          <w14:ligatures w14:val="none"/>
        </w:rPr>
        <w:t xml:space="preserve">, N., &amp; Christ, H. (2007). Cadmium-induced oxidative stress and apoptosis in human proximal tubule cells. </w:t>
      </w:r>
      <w:r w:rsidRPr="00C9607E">
        <w:rPr>
          <w:rFonts w:ascii="Times New Roman" w:eastAsia="Times New Roman" w:hAnsi="Times New Roman" w:cs="Times New Roman"/>
          <w:i/>
          <w:iCs/>
          <w:kern w:val="0"/>
          <w14:ligatures w14:val="none"/>
        </w:rPr>
        <w:t>Toxicology and Applied Pharmacology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219</w:t>
      </w:r>
      <w:r w:rsidRPr="00C9607E">
        <w:rPr>
          <w:rFonts w:ascii="Times New Roman" w:eastAsia="Times New Roman" w:hAnsi="Times New Roman" w:cs="Times New Roman"/>
          <w:kern w:val="0"/>
          <w14:ligatures w14:val="none"/>
        </w:rPr>
        <w:t>(1), 42–50. https://doi.org/10.1016/j.taap.2006.11.004</w:t>
      </w:r>
    </w:p>
    <w:p w14:paraId="686BE2A6"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Hassan, M. S., Abdel-Rahman, G. H., &amp; Abdel-Latif, H. M. R. (2017). Hematological and histopathological alterations in fish exposed to PAHs. </w:t>
      </w:r>
      <w:r w:rsidRPr="00C9607E">
        <w:rPr>
          <w:rFonts w:ascii="Times New Roman" w:eastAsia="Times New Roman" w:hAnsi="Times New Roman" w:cs="Times New Roman"/>
          <w:i/>
          <w:iCs/>
          <w:kern w:val="0"/>
          <w14:ligatures w14:val="none"/>
        </w:rPr>
        <w:t>Environmental Toxicology and Pharmacology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53</w:t>
      </w:r>
      <w:r w:rsidRPr="00C9607E">
        <w:rPr>
          <w:rFonts w:ascii="Times New Roman" w:eastAsia="Times New Roman" w:hAnsi="Times New Roman" w:cs="Times New Roman"/>
          <w:kern w:val="0"/>
          <w14:ligatures w14:val="none"/>
        </w:rPr>
        <w:t>, 117–123. https://doi.org/10.1016/j.etap.2017.05.004</w:t>
      </w:r>
    </w:p>
    <w:p w14:paraId="0DE2E575"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proofErr w:type="spellStart"/>
      <w:r w:rsidRPr="00C9607E">
        <w:rPr>
          <w:rFonts w:ascii="Times New Roman" w:eastAsia="Times New Roman" w:hAnsi="Times New Roman" w:cs="Times New Roman"/>
          <w:kern w:val="0"/>
          <w14:ligatures w14:val="none"/>
        </w:rPr>
        <w:t>Haskaraca</w:t>
      </w:r>
      <w:proofErr w:type="spellEnd"/>
      <w:r w:rsidRPr="00C9607E">
        <w:rPr>
          <w:rFonts w:ascii="Times New Roman" w:eastAsia="Times New Roman" w:hAnsi="Times New Roman" w:cs="Times New Roman"/>
          <w:kern w:val="0"/>
          <w14:ligatures w14:val="none"/>
        </w:rPr>
        <w:t xml:space="preserve">, G., </w:t>
      </w:r>
      <w:proofErr w:type="spellStart"/>
      <w:r w:rsidRPr="00C9607E">
        <w:rPr>
          <w:rFonts w:ascii="Times New Roman" w:eastAsia="Times New Roman" w:hAnsi="Times New Roman" w:cs="Times New Roman"/>
          <w:kern w:val="0"/>
          <w14:ligatures w14:val="none"/>
        </w:rPr>
        <w:t>Ersus</w:t>
      </w:r>
      <w:proofErr w:type="spellEnd"/>
      <w:r w:rsidRPr="00C9607E">
        <w:rPr>
          <w:rFonts w:ascii="Times New Roman" w:eastAsia="Times New Roman" w:hAnsi="Times New Roman" w:cs="Times New Roman"/>
          <w:kern w:val="0"/>
          <w14:ligatures w14:val="none"/>
        </w:rPr>
        <w:t>, S., &amp; Yıldız-</w:t>
      </w:r>
      <w:proofErr w:type="spellStart"/>
      <w:r w:rsidRPr="00C9607E">
        <w:rPr>
          <w:rFonts w:ascii="Times New Roman" w:eastAsia="Times New Roman" w:hAnsi="Times New Roman" w:cs="Times New Roman"/>
          <w:kern w:val="0"/>
          <w14:ligatures w14:val="none"/>
        </w:rPr>
        <w:t>Turp</w:t>
      </w:r>
      <w:proofErr w:type="spellEnd"/>
      <w:r w:rsidRPr="00C9607E">
        <w:rPr>
          <w:rFonts w:ascii="Times New Roman" w:eastAsia="Times New Roman" w:hAnsi="Times New Roman" w:cs="Times New Roman"/>
          <w:kern w:val="0"/>
          <w14:ligatures w14:val="none"/>
        </w:rPr>
        <w:t xml:space="preserve">, G. (2014). Use of green tea extract in smoked fish to reduce PAHs. </w:t>
      </w:r>
      <w:r w:rsidRPr="00C9607E">
        <w:rPr>
          <w:rFonts w:ascii="Times New Roman" w:eastAsia="Times New Roman" w:hAnsi="Times New Roman" w:cs="Times New Roman"/>
          <w:i/>
          <w:iCs/>
          <w:kern w:val="0"/>
          <w14:ligatures w14:val="none"/>
        </w:rPr>
        <w:t>Food Additives &amp; Contaminants: Part A</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31</w:t>
      </w:r>
      <w:r w:rsidRPr="00C9607E">
        <w:rPr>
          <w:rFonts w:ascii="Times New Roman" w:eastAsia="Times New Roman" w:hAnsi="Times New Roman" w:cs="Times New Roman"/>
          <w:kern w:val="0"/>
          <w14:ligatures w14:val="none"/>
        </w:rPr>
        <w:t>(1), 79–88. https://doi.org/10.1080/19440049.2013.847503</w:t>
      </w:r>
    </w:p>
    <w:p w14:paraId="5489633D"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Herrmann, S. S., Duedahl-Olesen, L., &amp; Granby, K. (2015). Formation and mitigation of N-nitrosamines in meat products: A review. </w:t>
      </w:r>
      <w:r w:rsidRPr="00C9607E">
        <w:rPr>
          <w:rFonts w:ascii="Times New Roman" w:eastAsia="Times New Roman" w:hAnsi="Times New Roman" w:cs="Times New Roman"/>
          <w:i/>
          <w:iCs/>
          <w:kern w:val="0"/>
          <w14:ligatures w14:val="none"/>
        </w:rPr>
        <w:t>Meat Science</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100</w:t>
      </w:r>
      <w:r w:rsidRPr="00C9607E">
        <w:rPr>
          <w:rFonts w:ascii="Times New Roman" w:eastAsia="Times New Roman" w:hAnsi="Times New Roman" w:cs="Times New Roman"/>
          <w:kern w:val="0"/>
          <w14:ligatures w14:val="none"/>
        </w:rPr>
        <w:t>, 168–182. https://doi.org/10.1016/j.meatsci.2014.10.024</w:t>
      </w:r>
    </w:p>
    <w:p w14:paraId="35B0FBAB"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t xml:space="preserve">Hough, R., Smith, C. A., &amp; </w:t>
      </w:r>
      <w:proofErr w:type="spellStart"/>
      <w:r w:rsidRPr="00C9607E">
        <w:rPr>
          <w:rFonts w:ascii="Times New Roman" w:eastAsia="Times New Roman" w:hAnsi="Times New Roman" w:cs="Times New Roman"/>
          <w:kern w:val="0"/>
          <w14:ligatures w14:val="none"/>
        </w:rPr>
        <w:t>Rumsby</w:t>
      </w:r>
      <w:proofErr w:type="spellEnd"/>
      <w:r w:rsidRPr="00C9607E">
        <w:rPr>
          <w:rFonts w:ascii="Times New Roman" w:eastAsia="Times New Roman" w:hAnsi="Times New Roman" w:cs="Times New Roman"/>
          <w:kern w:val="0"/>
          <w14:ligatures w14:val="none"/>
        </w:rPr>
        <w:t xml:space="preserve">, P. C. (2004). The effects of cadmium on the kidney: current status and therapeutic strategies. </w:t>
      </w:r>
      <w:r w:rsidRPr="00C9607E">
        <w:rPr>
          <w:rFonts w:ascii="Times New Roman" w:eastAsia="Times New Roman" w:hAnsi="Times New Roman" w:cs="Times New Roman"/>
          <w:i/>
          <w:iCs/>
          <w:kern w:val="0"/>
          <w14:ligatures w14:val="none"/>
        </w:rPr>
        <w:t>Clinical Toxicology</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42</w:t>
      </w:r>
      <w:r w:rsidRPr="00C9607E">
        <w:rPr>
          <w:rFonts w:ascii="Times New Roman" w:eastAsia="Times New Roman" w:hAnsi="Times New Roman" w:cs="Times New Roman"/>
          <w:kern w:val="0"/>
          <w14:ligatures w14:val="none"/>
        </w:rPr>
        <w:t>(3), 315–322. https://doi.org/10.1081/CLT-120037425</w:t>
      </w:r>
    </w:p>
    <w:p w14:paraId="61B3A729" w14:textId="77777777" w:rsidR="00C9607E" w:rsidRPr="00C9607E" w:rsidRDefault="00C9607E" w:rsidP="00611716">
      <w:pPr>
        <w:numPr>
          <w:ilvl w:val="0"/>
          <w:numId w:val="7"/>
        </w:numPr>
        <w:spacing w:before="100" w:beforeAutospacing="1" w:after="100" w:afterAutospacing="1" w:line="240" w:lineRule="auto"/>
        <w:jc w:val="both"/>
        <w:rPr>
          <w:rFonts w:ascii="Times New Roman" w:eastAsia="Times New Roman" w:hAnsi="Times New Roman" w:cs="Times New Roman"/>
          <w:kern w:val="0"/>
          <w14:ligatures w14:val="none"/>
        </w:rPr>
      </w:pPr>
      <w:r w:rsidRPr="00C9607E">
        <w:rPr>
          <w:rFonts w:ascii="Times New Roman" w:eastAsia="Times New Roman" w:hAnsi="Times New Roman" w:cs="Times New Roman"/>
          <w:kern w:val="0"/>
          <w14:ligatures w14:val="none"/>
        </w:rPr>
        <w:lastRenderedPageBreak/>
        <w:t xml:space="preserve">Ibanga, I. J., Akan, J. C., </w:t>
      </w:r>
      <w:proofErr w:type="spellStart"/>
      <w:r w:rsidRPr="00C9607E">
        <w:rPr>
          <w:rFonts w:ascii="Times New Roman" w:eastAsia="Times New Roman" w:hAnsi="Times New Roman" w:cs="Times New Roman"/>
          <w:kern w:val="0"/>
          <w14:ligatures w14:val="none"/>
        </w:rPr>
        <w:t>Udiba</w:t>
      </w:r>
      <w:proofErr w:type="spellEnd"/>
      <w:r w:rsidRPr="00C9607E">
        <w:rPr>
          <w:rFonts w:ascii="Times New Roman" w:eastAsia="Times New Roman" w:hAnsi="Times New Roman" w:cs="Times New Roman"/>
          <w:kern w:val="0"/>
          <w14:ligatures w14:val="none"/>
        </w:rPr>
        <w:t xml:space="preserve">, U. U., &amp; </w:t>
      </w:r>
      <w:proofErr w:type="spellStart"/>
      <w:r w:rsidRPr="00C9607E">
        <w:rPr>
          <w:rFonts w:ascii="Times New Roman" w:eastAsia="Times New Roman" w:hAnsi="Times New Roman" w:cs="Times New Roman"/>
          <w:kern w:val="0"/>
          <w14:ligatures w14:val="none"/>
        </w:rPr>
        <w:t>Ogugbuaja</w:t>
      </w:r>
      <w:proofErr w:type="spellEnd"/>
      <w:r w:rsidRPr="00C9607E">
        <w:rPr>
          <w:rFonts w:ascii="Times New Roman" w:eastAsia="Times New Roman" w:hAnsi="Times New Roman" w:cs="Times New Roman"/>
          <w:kern w:val="0"/>
          <w14:ligatures w14:val="none"/>
        </w:rPr>
        <w:t xml:space="preserve">, V. O. (2019). Levels of heavy metals in some smoked fish species sold in major markets in Adamawa State, Nigeria. </w:t>
      </w:r>
      <w:r w:rsidRPr="00C9607E">
        <w:rPr>
          <w:rFonts w:ascii="Times New Roman" w:eastAsia="Times New Roman" w:hAnsi="Times New Roman" w:cs="Times New Roman"/>
          <w:i/>
          <w:iCs/>
          <w:kern w:val="0"/>
          <w14:ligatures w14:val="none"/>
        </w:rPr>
        <w:t>International Journal of Food Contamination</w:t>
      </w:r>
      <w:r w:rsidRPr="00C9607E">
        <w:rPr>
          <w:rFonts w:ascii="Times New Roman" w:eastAsia="Times New Roman" w:hAnsi="Times New Roman" w:cs="Times New Roman"/>
          <w:kern w:val="0"/>
          <w14:ligatures w14:val="none"/>
        </w:rPr>
        <w:t xml:space="preserve">, </w:t>
      </w:r>
      <w:r w:rsidRPr="00C9607E">
        <w:rPr>
          <w:rFonts w:ascii="Times New Roman" w:eastAsia="Times New Roman" w:hAnsi="Times New Roman" w:cs="Times New Roman"/>
          <w:i/>
          <w:iCs/>
          <w:kern w:val="0"/>
          <w14:ligatures w14:val="none"/>
        </w:rPr>
        <w:t>6</w:t>
      </w:r>
      <w:r w:rsidRPr="00C9607E">
        <w:rPr>
          <w:rFonts w:ascii="Times New Roman" w:eastAsia="Times New Roman" w:hAnsi="Times New Roman" w:cs="Times New Roman"/>
          <w:kern w:val="0"/>
          <w14:ligatures w14:val="none"/>
        </w:rPr>
        <w:t>(1), 1–8. https://doi.org/10.1186/s40550-019-0075-8</w:t>
      </w:r>
    </w:p>
    <w:p w14:paraId="6CB45D8D" w14:textId="77777777" w:rsidR="0057275B" w:rsidRPr="0057275B" w:rsidRDefault="0057275B" w:rsidP="001B5970">
      <w:pPr>
        <w:spacing w:before="100" w:beforeAutospacing="1" w:after="100" w:afterAutospacing="1" w:line="240" w:lineRule="auto"/>
        <w:rPr>
          <w:b/>
          <w:bCs/>
        </w:rPr>
      </w:pPr>
    </w:p>
    <w:sectPr w:rsidR="0057275B" w:rsidRPr="0057275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A490" w14:textId="77777777" w:rsidR="00930603" w:rsidRDefault="00930603" w:rsidP="00C51EDE">
      <w:pPr>
        <w:spacing w:after="0" w:line="240" w:lineRule="auto"/>
      </w:pPr>
      <w:r>
        <w:separator/>
      </w:r>
    </w:p>
  </w:endnote>
  <w:endnote w:type="continuationSeparator" w:id="0">
    <w:p w14:paraId="0D17CB9B" w14:textId="77777777" w:rsidR="00930603" w:rsidRDefault="00930603" w:rsidP="00C5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A1CB7" w14:textId="77777777" w:rsidR="00C51EDE" w:rsidRDefault="00C51E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2B47" w14:textId="77777777" w:rsidR="00C51EDE" w:rsidRDefault="00C51E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84021" w14:textId="77777777" w:rsidR="00C51EDE" w:rsidRDefault="00C51E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8C54A" w14:textId="77777777" w:rsidR="00930603" w:rsidRDefault="00930603" w:rsidP="00C51EDE">
      <w:pPr>
        <w:spacing w:after="0" w:line="240" w:lineRule="auto"/>
      </w:pPr>
      <w:r>
        <w:separator/>
      </w:r>
    </w:p>
  </w:footnote>
  <w:footnote w:type="continuationSeparator" w:id="0">
    <w:p w14:paraId="59AA6E24" w14:textId="77777777" w:rsidR="00930603" w:rsidRDefault="00930603" w:rsidP="00C51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EE6C" w14:textId="59F5A066" w:rsidR="00C51EDE" w:rsidRDefault="00000000">
    <w:pPr>
      <w:pStyle w:val="Header"/>
    </w:pPr>
    <w:r>
      <w:rPr>
        <w:noProof/>
      </w:rPr>
      <w:pict w14:anchorId="23890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087D" w14:textId="33DA79E8" w:rsidR="00C51EDE" w:rsidRDefault="00000000">
    <w:pPr>
      <w:pStyle w:val="Header"/>
    </w:pPr>
    <w:r>
      <w:rPr>
        <w:noProof/>
      </w:rPr>
      <w:pict w14:anchorId="0E1E1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6E13" w14:textId="0ABE3610" w:rsidR="00C51EDE" w:rsidRDefault="00000000">
    <w:pPr>
      <w:pStyle w:val="Header"/>
    </w:pPr>
    <w:r>
      <w:rPr>
        <w:noProof/>
      </w:rPr>
      <w:pict w14:anchorId="4761B7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22065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76FA7"/>
    <w:multiLevelType w:val="multilevel"/>
    <w:tmpl w:val="30BE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02C16"/>
    <w:multiLevelType w:val="multilevel"/>
    <w:tmpl w:val="1436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730FB5"/>
    <w:multiLevelType w:val="multilevel"/>
    <w:tmpl w:val="91F87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981E0C"/>
    <w:multiLevelType w:val="multilevel"/>
    <w:tmpl w:val="BA2A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818185">
    <w:abstractNumId w:val="2"/>
  </w:num>
  <w:num w:numId="2" w16cid:durableId="1604990619">
    <w:abstractNumId w:val="0"/>
  </w:num>
  <w:num w:numId="3" w16cid:durableId="121927043">
    <w:abstractNumId w:val="4"/>
  </w:num>
  <w:num w:numId="4" w16cid:durableId="206840812">
    <w:abstractNumId w:val="1"/>
  </w:num>
  <w:num w:numId="5" w16cid:durableId="97680816">
    <w:abstractNumId w:val="5"/>
  </w:num>
  <w:num w:numId="6" w16cid:durableId="1066495407">
    <w:abstractNumId w:val="6"/>
  </w:num>
  <w:num w:numId="7" w16cid:durableId="9926839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3MjQwMjK3NDE0MTRW0lEKTi0uzszPAykwrAUADZVxbywAAAA="/>
  </w:docVars>
  <w:rsids>
    <w:rsidRoot w:val="00935666"/>
    <w:rsid w:val="00013EFF"/>
    <w:rsid w:val="00014C3A"/>
    <w:rsid w:val="00051904"/>
    <w:rsid w:val="00090861"/>
    <w:rsid w:val="00091D9C"/>
    <w:rsid w:val="000A6168"/>
    <w:rsid w:val="00126F32"/>
    <w:rsid w:val="00162167"/>
    <w:rsid w:val="001B5970"/>
    <w:rsid w:val="001E187F"/>
    <w:rsid w:val="00203F39"/>
    <w:rsid w:val="00213030"/>
    <w:rsid w:val="002E2394"/>
    <w:rsid w:val="0031116D"/>
    <w:rsid w:val="00342CC9"/>
    <w:rsid w:val="00395E7C"/>
    <w:rsid w:val="003B7FB1"/>
    <w:rsid w:val="003D134A"/>
    <w:rsid w:val="004D4034"/>
    <w:rsid w:val="005116DB"/>
    <w:rsid w:val="00521FA8"/>
    <w:rsid w:val="0057275B"/>
    <w:rsid w:val="0059771D"/>
    <w:rsid w:val="005A00AB"/>
    <w:rsid w:val="00606461"/>
    <w:rsid w:val="00611716"/>
    <w:rsid w:val="00650FD4"/>
    <w:rsid w:val="00652AAA"/>
    <w:rsid w:val="00696CAD"/>
    <w:rsid w:val="006D416A"/>
    <w:rsid w:val="006F1790"/>
    <w:rsid w:val="007824CE"/>
    <w:rsid w:val="007F5E80"/>
    <w:rsid w:val="00812A5D"/>
    <w:rsid w:val="00895761"/>
    <w:rsid w:val="00895DF3"/>
    <w:rsid w:val="008D04AE"/>
    <w:rsid w:val="008D3FB5"/>
    <w:rsid w:val="0092797C"/>
    <w:rsid w:val="00930603"/>
    <w:rsid w:val="00935666"/>
    <w:rsid w:val="00970AC8"/>
    <w:rsid w:val="00987771"/>
    <w:rsid w:val="009B3741"/>
    <w:rsid w:val="00AA6104"/>
    <w:rsid w:val="00BA0BE6"/>
    <w:rsid w:val="00BA1418"/>
    <w:rsid w:val="00BD678D"/>
    <w:rsid w:val="00C51EDE"/>
    <w:rsid w:val="00C653CA"/>
    <w:rsid w:val="00C9607E"/>
    <w:rsid w:val="00CB2114"/>
    <w:rsid w:val="00CC3B94"/>
    <w:rsid w:val="00D17E37"/>
    <w:rsid w:val="00D72565"/>
    <w:rsid w:val="00D82BF8"/>
    <w:rsid w:val="00DD026A"/>
    <w:rsid w:val="00DE4B20"/>
    <w:rsid w:val="00EF1666"/>
    <w:rsid w:val="00F11572"/>
    <w:rsid w:val="00FA0B5F"/>
    <w:rsid w:val="00FD7571"/>
    <w:rsid w:val="00FE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5E98F"/>
  <w15:chartTrackingRefBased/>
  <w15:docId w15:val="{EF968BB3-F02C-4282-96F0-B4843B5A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56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356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356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56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56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56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56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56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56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6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356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356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56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56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56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56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56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5666"/>
    <w:rPr>
      <w:rFonts w:eastAsiaTheme="majorEastAsia" w:cstheme="majorBidi"/>
      <w:color w:val="272727" w:themeColor="text1" w:themeTint="D8"/>
    </w:rPr>
  </w:style>
  <w:style w:type="paragraph" w:styleId="Title">
    <w:name w:val="Title"/>
    <w:basedOn w:val="Normal"/>
    <w:next w:val="Normal"/>
    <w:link w:val="TitleChar"/>
    <w:uiPriority w:val="10"/>
    <w:qFormat/>
    <w:rsid w:val="009356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6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56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56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5666"/>
    <w:pPr>
      <w:spacing w:before="160"/>
      <w:jc w:val="center"/>
    </w:pPr>
    <w:rPr>
      <w:i/>
      <w:iCs/>
      <w:color w:val="404040" w:themeColor="text1" w:themeTint="BF"/>
    </w:rPr>
  </w:style>
  <w:style w:type="character" w:customStyle="1" w:styleId="QuoteChar">
    <w:name w:val="Quote Char"/>
    <w:basedOn w:val="DefaultParagraphFont"/>
    <w:link w:val="Quote"/>
    <w:uiPriority w:val="29"/>
    <w:rsid w:val="00935666"/>
    <w:rPr>
      <w:i/>
      <w:iCs/>
      <w:color w:val="404040" w:themeColor="text1" w:themeTint="BF"/>
    </w:rPr>
  </w:style>
  <w:style w:type="paragraph" w:styleId="ListParagraph">
    <w:name w:val="List Paragraph"/>
    <w:basedOn w:val="Normal"/>
    <w:uiPriority w:val="34"/>
    <w:qFormat/>
    <w:rsid w:val="00935666"/>
    <w:pPr>
      <w:ind w:left="720"/>
      <w:contextualSpacing/>
    </w:pPr>
  </w:style>
  <w:style w:type="character" w:styleId="IntenseEmphasis">
    <w:name w:val="Intense Emphasis"/>
    <w:basedOn w:val="DefaultParagraphFont"/>
    <w:uiPriority w:val="21"/>
    <w:qFormat/>
    <w:rsid w:val="00935666"/>
    <w:rPr>
      <w:i/>
      <w:iCs/>
      <w:color w:val="2F5496" w:themeColor="accent1" w:themeShade="BF"/>
    </w:rPr>
  </w:style>
  <w:style w:type="paragraph" w:styleId="IntenseQuote">
    <w:name w:val="Intense Quote"/>
    <w:basedOn w:val="Normal"/>
    <w:next w:val="Normal"/>
    <w:link w:val="IntenseQuoteChar"/>
    <w:uiPriority w:val="30"/>
    <w:qFormat/>
    <w:rsid w:val="009356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5666"/>
    <w:rPr>
      <w:i/>
      <w:iCs/>
      <w:color w:val="2F5496" w:themeColor="accent1" w:themeShade="BF"/>
    </w:rPr>
  </w:style>
  <w:style w:type="character" w:styleId="IntenseReference">
    <w:name w:val="Intense Reference"/>
    <w:basedOn w:val="DefaultParagraphFont"/>
    <w:uiPriority w:val="32"/>
    <w:qFormat/>
    <w:rsid w:val="00935666"/>
    <w:rPr>
      <w:b/>
      <w:bCs/>
      <w:smallCaps/>
      <w:color w:val="2F5496" w:themeColor="accent1" w:themeShade="BF"/>
      <w:spacing w:val="5"/>
    </w:rPr>
  </w:style>
  <w:style w:type="character" w:styleId="Strong">
    <w:name w:val="Strong"/>
    <w:basedOn w:val="DefaultParagraphFont"/>
    <w:uiPriority w:val="22"/>
    <w:qFormat/>
    <w:rsid w:val="001B5970"/>
    <w:rPr>
      <w:b/>
      <w:bCs/>
    </w:rPr>
  </w:style>
  <w:style w:type="character" w:styleId="Emphasis">
    <w:name w:val="Emphasis"/>
    <w:basedOn w:val="DefaultParagraphFont"/>
    <w:uiPriority w:val="20"/>
    <w:qFormat/>
    <w:rsid w:val="001B5970"/>
    <w:rPr>
      <w:i/>
      <w:iCs/>
    </w:rPr>
  </w:style>
  <w:style w:type="character" w:styleId="Hyperlink">
    <w:name w:val="Hyperlink"/>
    <w:basedOn w:val="DefaultParagraphFont"/>
    <w:uiPriority w:val="99"/>
    <w:unhideWhenUsed/>
    <w:rsid w:val="001B5970"/>
    <w:rPr>
      <w:color w:val="0000FF"/>
      <w:u w:val="single"/>
    </w:rPr>
  </w:style>
  <w:style w:type="character" w:styleId="UnresolvedMention">
    <w:name w:val="Unresolved Mention"/>
    <w:basedOn w:val="DefaultParagraphFont"/>
    <w:uiPriority w:val="99"/>
    <w:semiHidden/>
    <w:unhideWhenUsed/>
    <w:rsid w:val="00342CC9"/>
    <w:rPr>
      <w:color w:val="605E5C"/>
      <w:shd w:val="clear" w:color="auto" w:fill="E1DFDD"/>
    </w:rPr>
  </w:style>
  <w:style w:type="paragraph" w:styleId="Header">
    <w:name w:val="header"/>
    <w:basedOn w:val="Normal"/>
    <w:link w:val="HeaderChar"/>
    <w:uiPriority w:val="99"/>
    <w:unhideWhenUsed/>
    <w:rsid w:val="00C51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EDE"/>
  </w:style>
  <w:style w:type="paragraph" w:styleId="Footer">
    <w:name w:val="footer"/>
    <w:basedOn w:val="Normal"/>
    <w:link w:val="FooterChar"/>
    <w:uiPriority w:val="99"/>
    <w:unhideWhenUsed/>
    <w:rsid w:val="00C51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EDE"/>
  </w:style>
  <w:style w:type="paragraph" w:styleId="Revision">
    <w:name w:val="Revision"/>
    <w:hidden/>
    <w:uiPriority w:val="99"/>
    <w:semiHidden/>
    <w:rsid w:val="007F5E80"/>
    <w:pPr>
      <w:spacing w:after="0" w:line="240" w:lineRule="auto"/>
    </w:pPr>
  </w:style>
  <w:style w:type="character" w:styleId="CommentReference">
    <w:name w:val="annotation reference"/>
    <w:basedOn w:val="DefaultParagraphFont"/>
    <w:uiPriority w:val="99"/>
    <w:semiHidden/>
    <w:unhideWhenUsed/>
    <w:rsid w:val="007F5E80"/>
    <w:rPr>
      <w:sz w:val="16"/>
      <w:szCs w:val="16"/>
    </w:rPr>
  </w:style>
  <w:style w:type="paragraph" w:styleId="CommentText">
    <w:name w:val="annotation text"/>
    <w:basedOn w:val="Normal"/>
    <w:link w:val="CommentTextChar"/>
    <w:uiPriority w:val="99"/>
    <w:semiHidden/>
    <w:unhideWhenUsed/>
    <w:rsid w:val="007F5E80"/>
    <w:pPr>
      <w:spacing w:line="240" w:lineRule="auto"/>
    </w:pPr>
    <w:rPr>
      <w:sz w:val="20"/>
      <w:szCs w:val="20"/>
    </w:rPr>
  </w:style>
  <w:style w:type="character" w:customStyle="1" w:styleId="CommentTextChar">
    <w:name w:val="Comment Text Char"/>
    <w:basedOn w:val="DefaultParagraphFont"/>
    <w:link w:val="CommentText"/>
    <w:uiPriority w:val="99"/>
    <w:semiHidden/>
    <w:rsid w:val="007F5E80"/>
    <w:rPr>
      <w:sz w:val="20"/>
      <w:szCs w:val="20"/>
    </w:rPr>
  </w:style>
  <w:style w:type="paragraph" w:styleId="CommentSubject">
    <w:name w:val="annotation subject"/>
    <w:basedOn w:val="CommentText"/>
    <w:next w:val="CommentText"/>
    <w:link w:val="CommentSubjectChar"/>
    <w:uiPriority w:val="99"/>
    <w:semiHidden/>
    <w:unhideWhenUsed/>
    <w:rsid w:val="007F5E80"/>
    <w:rPr>
      <w:b/>
      <w:bCs/>
    </w:rPr>
  </w:style>
  <w:style w:type="character" w:customStyle="1" w:styleId="CommentSubjectChar">
    <w:name w:val="Comment Subject Char"/>
    <w:basedOn w:val="CommentTextChar"/>
    <w:link w:val="CommentSubject"/>
    <w:uiPriority w:val="99"/>
    <w:semiHidden/>
    <w:rsid w:val="007F5E80"/>
    <w:rPr>
      <w:b/>
      <w:bCs/>
      <w:sz w:val="20"/>
      <w:szCs w:val="20"/>
    </w:rPr>
  </w:style>
  <w:style w:type="paragraph" w:styleId="NormalWeb">
    <w:name w:val="Normal (Web)"/>
    <w:basedOn w:val="Normal"/>
    <w:uiPriority w:val="99"/>
    <w:semiHidden/>
    <w:unhideWhenUsed/>
    <w:rsid w:val="007F5E8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6803">
      <w:bodyDiv w:val="1"/>
      <w:marLeft w:val="0"/>
      <w:marRight w:val="0"/>
      <w:marTop w:val="0"/>
      <w:marBottom w:val="0"/>
      <w:divBdr>
        <w:top w:val="none" w:sz="0" w:space="0" w:color="auto"/>
        <w:left w:val="none" w:sz="0" w:space="0" w:color="auto"/>
        <w:bottom w:val="none" w:sz="0" w:space="0" w:color="auto"/>
        <w:right w:val="none" w:sz="0" w:space="0" w:color="auto"/>
      </w:divBdr>
    </w:div>
    <w:div w:id="83842937">
      <w:bodyDiv w:val="1"/>
      <w:marLeft w:val="0"/>
      <w:marRight w:val="0"/>
      <w:marTop w:val="0"/>
      <w:marBottom w:val="0"/>
      <w:divBdr>
        <w:top w:val="none" w:sz="0" w:space="0" w:color="auto"/>
        <w:left w:val="none" w:sz="0" w:space="0" w:color="auto"/>
        <w:bottom w:val="none" w:sz="0" w:space="0" w:color="auto"/>
        <w:right w:val="none" w:sz="0" w:space="0" w:color="auto"/>
      </w:divBdr>
    </w:div>
    <w:div w:id="166290514">
      <w:bodyDiv w:val="1"/>
      <w:marLeft w:val="0"/>
      <w:marRight w:val="0"/>
      <w:marTop w:val="0"/>
      <w:marBottom w:val="0"/>
      <w:divBdr>
        <w:top w:val="none" w:sz="0" w:space="0" w:color="auto"/>
        <w:left w:val="none" w:sz="0" w:space="0" w:color="auto"/>
        <w:bottom w:val="none" w:sz="0" w:space="0" w:color="auto"/>
        <w:right w:val="none" w:sz="0" w:space="0" w:color="auto"/>
      </w:divBdr>
    </w:div>
    <w:div w:id="253562302">
      <w:bodyDiv w:val="1"/>
      <w:marLeft w:val="0"/>
      <w:marRight w:val="0"/>
      <w:marTop w:val="0"/>
      <w:marBottom w:val="0"/>
      <w:divBdr>
        <w:top w:val="none" w:sz="0" w:space="0" w:color="auto"/>
        <w:left w:val="none" w:sz="0" w:space="0" w:color="auto"/>
        <w:bottom w:val="none" w:sz="0" w:space="0" w:color="auto"/>
        <w:right w:val="none" w:sz="0" w:space="0" w:color="auto"/>
      </w:divBdr>
    </w:div>
    <w:div w:id="388267925">
      <w:bodyDiv w:val="1"/>
      <w:marLeft w:val="0"/>
      <w:marRight w:val="0"/>
      <w:marTop w:val="0"/>
      <w:marBottom w:val="0"/>
      <w:divBdr>
        <w:top w:val="none" w:sz="0" w:space="0" w:color="auto"/>
        <w:left w:val="none" w:sz="0" w:space="0" w:color="auto"/>
        <w:bottom w:val="none" w:sz="0" w:space="0" w:color="auto"/>
        <w:right w:val="none" w:sz="0" w:space="0" w:color="auto"/>
      </w:divBdr>
    </w:div>
    <w:div w:id="475027841">
      <w:bodyDiv w:val="1"/>
      <w:marLeft w:val="0"/>
      <w:marRight w:val="0"/>
      <w:marTop w:val="0"/>
      <w:marBottom w:val="0"/>
      <w:divBdr>
        <w:top w:val="none" w:sz="0" w:space="0" w:color="auto"/>
        <w:left w:val="none" w:sz="0" w:space="0" w:color="auto"/>
        <w:bottom w:val="none" w:sz="0" w:space="0" w:color="auto"/>
        <w:right w:val="none" w:sz="0" w:space="0" w:color="auto"/>
      </w:divBdr>
    </w:div>
    <w:div w:id="576328530">
      <w:bodyDiv w:val="1"/>
      <w:marLeft w:val="0"/>
      <w:marRight w:val="0"/>
      <w:marTop w:val="0"/>
      <w:marBottom w:val="0"/>
      <w:divBdr>
        <w:top w:val="none" w:sz="0" w:space="0" w:color="auto"/>
        <w:left w:val="none" w:sz="0" w:space="0" w:color="auto"/>
        <w:bottom w:val="none" w:sz="0" w:space="0" w:color="auto"/>
        <w:right w:val="none" w:sz="0" w:space="0" w:color="auto"/>
      </w:divBdr>
    </w:div>
    <w:div w:id="698505987">
      <w:bodyDiv w:val="1"/>
      <w:marLeft w:val="0"/>
      <w:marRight w:val="0"/>
      <w:marTop w:val="0"/>
      <w:marBottom w:val="0"/>
      <w:divBdr>
        <w:top w:val="none" w:sz="0" w:space="0" w:color="auto"/>
        <w:left w:val="none" w:sz="0" w:space="0" w:color="auto"/>
        <w:bottom w:val="none" w:sz="0" w:space="0" w:color="auto"/>
        <w:right w:val="none" w:sz="0" w:space="0" w:color="auto"/>
      </w:divBdr>
    </w:div>
    <w:div w:id="784931955">
      <w:bodyDiv w:val="1"/>
      <w:marLeft w:val="0"/>
      <w:marRight w:val="0"/>
      <w:marTop w:val="0"/>
      <w:marBottom w:val="0"/>
      <w:divBdr>
        <w:top w:val="none" w:sz="0" w:space="0" w:color="auto"/>
        <w:left w:val="none" w:sz="0" w:space="0" w:color="auto"/>
        <w:bottom w:val="none" w:sz="0" w:space="0" w:color="auto"/>
        <w:right w:val="none" w:sz="0" w:space="0" w:color="auto"/>
      </w:divBdr>
    </w:div>
    <w:div w:id="840778867">
      <w:bodyDiv w:val="1"/>
      <w:marLeft w:val="0"/>
      <w:marRight w:val="0"/>
      <w:marTop w:val="0"/>
      <w:marBottom w:val="0"/>
      <w:divBdr>
        <w:top w:val="none" w:sz="0" w:space="0" w:color="auto"/>
        <w:left w:val="none" w:sz="0" w:space="0" w:color="auto"/>
        <w:bottom w:val="none" w:sz="0" w:space="0" w:color="auto"/>
        <w:right w:val="none" w:sz="0" w:space="0" w:color="auto"/>
      </w:divBdr>
    </w:div>
    <w:div w:id="886335990">
      <w:bodyDiv w:val="1"/>
      <w:marLeft w:val="0"/>
      <w:marRight w:val="0"/>
      <w:marTop w:val="0"/>
      <w:marBottom w:val="0"/>
      <w:divBdr>
        <w:top w:val="none" w:sz="0" w:space="0" w:color="auto"/>
        <w:left w:val="none" w:sz="0" w:space="0" w:color="auto"/>
        <w:bottom w:val="none" w:sz="0" w:space="0" w:color="auto"/>
        <w:right w:val="none" w:sz="0" w:space="0" w:color="auto"/>
      </w:divBdr>
    </w:div>
    <w:div w:id="928467759">
      <w:bodyDiv w:val="1"/>
      <w:marLeft w:val="0"/>
      <w:marRight w:val="0"/>
      <w:marTop w:val="0"/>
      <w:marBottom w:val="0"/>
      <w:divBdr>
        <w:top w:val="none" w:sz="0" w:space="0" w:color="auto"/>
        <w:left w:val="none" w:sz="0" w:space="0" w:color="auto"/>
        <w:bottom w:val="none" w:sz="0" w:space="0" w:color="auto"/>
        <w:right w:val="none" w:sz="0" w:space="0" w:color="auto"/>
      </w:divBdr>
    </w:div>
    <w:div w:id="951325086">
      <w:bodyDiv w:val="1"/>
      <w:marLeft w:val="0"/>
      <w:marRight w:val="0"/>
      <w:marTop w:val="0"/>
      <w:marBottom w:val="0"/>
      <w:divBdr>
        <w:top w:val="none" w:sz="0" w:space="0" w:color="auto"/>
        <w:left w:val="none" w:sz="0" w:space="0" w:color="auto"/>
        <w:bottom w:val="none" w:sz="0" w:space="0" w:color="auto"/>
        <w:right w:val="none" w:sz="0" w:space="0" w:color="auto"/>
      </w:divBdr>
    </w:div>
    <w:div w:id="992679169">
      <w:bodyDiv w:val="1"/>
      <w:marLeft w:val="0"/>
      <w:marRight w:val="0"/>
      <w:marTop w:val="0"/>
      <w:marBottom w:val="0"/>
      <w:divBdr>
        <w:top w:val="none" w:sz="0" w:space="0" w:color="auto"/>
        <w:left w:val="none" w:sz="0" w:space="0" w:color="auto"/>
        <w:bottom w:val="none" w:sz="0" w:space="0" w:color="auto"/>
        <w:right w:val="none" w:sz="0" w:space="0" w:color="auto"/>
      </w:divBdr>
      <w:divsChild>
        <w:div w:id="55469695">
          <w:marLeft w:val="0"/>
          <w:marRight w:val="0"/>
          <w:marTop w:val="0"/>
          <w:marBottom w:val="0"/>
          <w:divBdr>
            <w:top w:val="none" w:sz="0" w:space="0" w:color="auto"/>
            <w:left w:val="none" w:sz="0" w:space="0" w:color="auto"/>
            <w:bottom w:val="none" w:sz="0" w:space="0" w:color="auto"/>
            <w:right w:val="none" w:sz="0" w:space="0" w:color="auto"/>
          </w:divBdr>
          <w:divsChild>
            <w:div w:id="1115710134">
              <w:marLeft w:val="0"/>
              <w:marRight w:val="0"/>
              <w:marTop w:val="0"/>
              <w:marBottom w:val="0"/>
              <w:divBdr>
                <w:top w:val="none" w:sz="0" w:space="0" w:color="auto"/>
                <w:left w:val="none" w:sz="0" w:space="0" w:color="auto"/>
                <w:bottom w:val="none" w:sz="0" w:space="0" w:color="auto"/>
                <w:right w:val="none" w:sz="0" w:space="0" w:color="auto"/>
              </w:divBdr>
            </w:div>
          </w:divsChild>
        </w:div>
        <w:div w:id="1572886406">
          <w:marLeft w:val="0"/>
          <w:marRight w:val="0"/>
          <w:marTop w:val="0"/>
          <w:marBottom w:val="0"/>
          <w:divBdr>
            <w:top w:val="none" w:sz="0" w:space="0" w:color="auto"/>
            <w:left w:val="none" w:sz="0" w:space="0" w:color="auto"/>
            <w:bottom w:val="none" w:sz="0" w:space="0" w:color="auto"/>
            <w:right w:val="none" w:sz="0" w:space="0" w:color="auto"/>
          </w:divBdr>
          <w:divsChild>
            <w:div w:id="599262127">
              <w:marLeft w:val="0"/>
              <w:marRight w:val="0"/>
              <w:marTop w:val="0"/>
              <w:marBottom w:val="0"/>
              <w:divBdr>
                <w:top w:val="none" w:sz="0" w:space="0" w:color="auto"/>
                <w:left w:val="none" w:sz="0" w:space="0" w:color="auto"/>
                <w:bottom w:val="none" w:sz="0" w:space="0" w:color="auto"/>
                <w:right w:val="none" w:sz="0" w:space="0" w:color="auto"/>
              </w:divBdr>
            </w:div>
          </w:divsChild>
        </w:div>
        <w:div w:id="917667003">
          <w:marLeft w:val="0"/>
          <w:marRight w:val="0"/>
          <w:marTop w:val="0"/>
          <w:marBottom w:val="0"/>
          <w:divBdr>
            <w:top w:val="none" w:sz="0" w:space="0" w:color="auto"/>
            <w:left w:val="none" w:sz="0" w:space="0" w:color="auto"/>
            <w:bottom w:val="none" w:sz="0" w:space="0" w:color="auto"/>
            <w:right w:val="none" w:sz="0" w:space="0" w:color="auto"/>
          </w:divBdr>
          <w:divsChild>
            <w:div w:id="9128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9743">
      <w:bodyDiv w:val="1"/>
      <w:marLeft w:val="0"/>
      <w:marRight w:val="0"/>
      <w:marTop w:val="0"/>
      <w:marBottom w:val="0"/>
      <w:divBdr>
        <w:top w:val="none" w:sz="0" w:space="0" w:color="auto"/>
        <w:left w:val="none" w:sz="0" w:space="0" w:color="auto"/>
        <w:bottom w:val="none" w:sz="0" w:space="0" w:color="auto"/>
        <w:right w:val="none" w:sz="0" w:space="0" w:color="auto"/>
      </w:divBdr>
    </w:div>
    <w:div w:id="1066075372">
      <w:bodyDiv w:val="1"/>
      <w:marLeft w:val="0"/>
      <w:marRight w:val="0"/>
      <w:marTop w:val="0"/>
      <w:marBottom w:val="0"/>
      <w:divBdr>
        <w:top w:val="none" w:sz="0" w:space="0" w:color="auto"/>
        <w:left w:val="none" w:sz="0" w:space="0" w:color="auto"/>
        <w:bottom w:val="none" w:sz="0" w:space="0" w:color="auto"/>
        <w:right w:val="none" w:sz="0" w:space="0" w:color="auto"/>
      </w:divBdr>
    </w:div>
    <w:div w:id="1087733498">
      <w:bodyDiv w:val="1"/>
      <w:marLeft w:val="0"/>
      <w:marRight w:val="0"/>
      <w:marTop w:val="0"/>
      <w:marBottom w:val="0"/>
      <w:divBdr>
        <w:top w:val="none" w:sz="0" w:space="0" w:color="auto"/>
        <w:left w:val="none" w:sz="0" w:space="0" w:color="auto"/>
        <w:bottom w:val="none" w:sz="0" w:space="0" w:color="auto"/>
        <w:right w:val="none" w:sz="0" w:space="0" w:color="auto"/>
      </w:divBdr>
    </w:div>
    <w:div w:id="1125807075">
      <w:bodyDiv w:val="1"/>
      <w:marLeft w:val="0"/>
      <w:marRight w:val="0"/>
      <w:marTop w:val="0"/>
      <w:marBottom w:val="0"/>
      <w:divBdr>
        <w:top w:val="none" w:sz="0" w:space="0" w:color="auto"/>
        <w:left w:val="none" w:sz="0" w:space="0" w:color="auto"/>
        <w:bottom w:val="none" w:sz="0" w:space="0" w:color="auto"/>
        <w:right w:val="none" w:sz="0" w:space="0" w:color="auto"/>
      </w:divBdr>
    </w:div>
    <w:div w:id="1160657325">
      <w:bodyDiv w:val="1"/>
      <w:marLeft w:val="0"/>
      <w:marRight w:val="0"/>
      <w:marTop w:val="0"/>
      <w:marBottom w:val="0"/>
      <w:divBdr>
        <w:top w:val="none" w:sz="0" w:space="0" w:color="auto"/>
        <w:left w:val="none" w:sz="0" w:space="0" w:color="auto"/>
        <w:bottom w:val="none" w:sz="0" w:space="0" w:color="auto"/>
        <w:right w:val="none" w:sz="0" w:space="0" w:color="auto"/>
      </w:divBdr>
    </w:div>
    <w:div w:id="1160928867">
      <w:bodyDiv w:val="1"/>
      <w:marLeft w:val="0"/>
      <w:marRight w:val="0"/>
      <w:marTop w:val="0"/>
      <w:marBottom w:val="0"/>
      <w:divBdr>
        <w:top w:val="none" w:sz="0" w:space="0" w:color="auto"/>
        <w:left w:val="none" w:sz="0" w:space="0" w:color="auto"/>
        <w:bottom w:val="none" w:sz="0" w:space="0" w:color="auto"/>
        <w:right w:val="none" w:sz="0" w:space="0" w:color="auto"/>
      </w:divBdr>
    </w:div>
    <w:div w:id="1203834335">
      <w:bodyDiv w:val="1"/>
      <w:marLeft w:val="0"/>
      <w:marRight w:val="0"/>
      <w:marTop w:val="0"/>
      <w:marBottom w:val="0"/>
      <w:divBdr>
        <w:top w:val="none" w:sz="0" w:space="0" w:color="auto"/>
        <w:left w:val="none" w:sz="0" w:space="0" w:color="auto"/>
        <w:bottom w:val="none" w:sz="0" w:space="0" w:color="auto"/>
        <w:right w:val="none" w:sz="0" w:space="0" w:color="auto"/>
      </w:divBdr>
    </w:div>
    <w:div w:id="1219709049">
      <w:bodyDiv w:val="1"/>
      <w:marLeft w:val="0"/>
      <w:marRight w:val="0"/>
      <w:marTop w:val="0"/>
      <w:marBottom w:val="0"/>
      <w:divBdr>
        <w:top w:val="none" w:sz="0" w:space="0" w:color="auto"/>
        <w:left w:val="none" w:sz="0" w:space="0" w:color="auto"/>
        <w:bottom w:val="none" w:sz="0" w:space="0" w:color="auto"/>
        <w:right w:val="none" w:sz="0" w:space="0" w:color="auto"/>
      </w:divBdr>
    </w:div>
    <w:div w:id="1226987610">
      <w:bodyDiv w:val="1"/>
      <w:marLeft w:val="0"/>
      <w:marRight w:val="0"/>
      <w:marTop w:val="0"/>
      <w:marBottom w:val="0"/>
      <w:divBdr>
        <w:top w:val="none" w:sz="0" w:space="0" w:color="auto"/>
        <w:left w:val="none" w:sz="0" w:space="0" w:color="auto"/>
        <w:bottom w:val="none" w:sz="0" w:space="0" w:color="auto"/>
        <w:right w:val="none" w:sz="0" w:space="0" w:color="auto"/>
      </w:divBdr>
    </w:div>
    <w:div w:id="1234510879">
      <w:bodyDiv w:val="1"/>
      <w:marLeft w:val="0"/>
      <w:marRight w:val="0"/>
      <w:marTop w:val="0"/>
      <w:marBottom w:val="0"/>
      <w:divBdr>
        <w:top w:val="none" w:sz="0" w:space="0" w:color="auto"/>
        <w:left w:val="none" w:sz="0" w:space="0" w:color="auto"/>
        <w:bottom w:val="none" w:sz="0" w:space="0" w:color="auto"/>
        <w:right w:val="none" w:sz="0" w:space="0" w:color="auto"/>
      </w:divBdr>
    </w:div>
    <w:div w:id="1242107962">
      <w:bodyDiv w:val="1"/>
      <w:marLeft w:val="0"/>
      <w:marRight w:val="0"/>
      <w:marTop w:val="0"/>
      <w:marBottom w:val="0"/>
      <w:divBdr>
        <w:top w:val="none" w:sz="0" w:space="0" w:color="auto"/>
        <w:left w:val="none" w:sz="0" w:space="0" w:color="auto"/>
        <w:bottom w:val="none" w:sz="0" w:space="0" w:color="auto"/>
        <w:right w:val="none" w:sz="0" w:space="0" w:color="auto"/>
      </w:divBdr>
    </w:div>
    <w:div w:id="1256206443">
      <w:bodyDiv w:val="1"/>
      <w:marLeft w:val="0"/>
      <w:marRight w:val="0"/>
      <w:marTop w:val="0"/>
      <w:marBottom w:val="0"/>
      <w:divBdr>
        <w:top w:val="none" w:sz="0" w:space="0" w:color="auto"/>
        <w:left w:val="none" w:sz="0" w:space="0" w:color="auto"/>
        <w:bottom w:val="none" w:sz="0" w:space="0" w:color="auto"/>
        <w:right w:val="none" w:sz="0" w:space="0" w:color="auto"/>
      </w:divBdr>
    </w:div>
    <w:div w:id="1311250004">
      <w:bodyDiv w:val="1"/>
      <w:marLeft w:val="0"/>
      <w:marRight w:val="0"/>
      <w:marTop w:val="0"/>
      <w:marBottom w:val="0"/>
      <w:divBdr>
        <w:top w:val="none" w:sz="0" w:space="0" w:color="auto"/>
        <w:left w:val="none" w:sz="0" w:space="0" w:color="auto"/>
        <w:bottom w:val="none" w:sz="0" w:space="0" w:color="auto"/>
        <w:right w:val="none" w:sz="0" w:space="0" w:color="auto"/>
      </w:divBdr>
    </w:div>
    <w:div w:id="1414233492">
      <w:bodyDiv w:val="1"/>
      <w:marLeft w:val="0"/>
      <w:marRight w:val="0"/>
      <w:marTop w:val="0"/>
      <w:marBottom w:val="0"/>
      <w:divBdr>
        <w:top w:val="none" w:sz="0" w:space="0" w:color="auto"/>
        <w:left w:val="none" w:sz="0" w:space="0" w:color="auto"/>
        <w:bottom w:val="none" w:sz="0" w:space="0" w:color="auto"/>
        <w:right w:val="none" w:sz="0" w:space="0" w:color="auto"/>
      </w:divBdr>
    </w:div>
    <w:div w:id="1420636835">
      <w:bodyDiv w:val="1"/>
      <w:marLeft w:val="0"/>
      <w:marRight w:val="0"/>
      <w:marTop w:val="0"/>
      <w:marBottom w:val="0"/>
      <w:divBdr>
        <w:top w:val="none" w:sz="0" w:space="0" w:color="auto"/>
        <w:left w:val="none" w:sz="0" w:space="0" w:color="auto"/>
        <w:bottom w:val="none" w:sz="0" w:space="0" w:color="auto"/>
        <w:right w:val="none" w:sz="0" w:space="0" w:color="auto"/>
      </w:divBdr>
    </w:div>
    <w:div w:id="1574508118">
      <w:bodyDiv w:val="1"/>
      <w:marLeft w:val="0"/>
      <w:marRight w:val="0"/>
      <w:marTop w:val="0"/>
      <w:marBottom w:val="0"/>
      <w:divBdr>
        <w:top w:val="none" w:sz="0" w:space="0" w:color="auto"/>
        <w:left w:val="none" w:sz="0" w:space="0" w:color="auto"/>
        <w:bottom w:val="none" w:sz="0" w:space="0" w:color="auto"/>
        <w:right w:val="none" w:sz="0" w:space="0" w:color="auto"/>
      </w:divBdr>
    </w:div>
    <w:div w:id="1588540319">
      <w:bodyDiv w:val="1"/>
      <w:marLeft w:val="0"/>
      <w:marRight w:val="0"/>
      <w:marTop w:val="0"/>
      <w:marBottom w:val="0"/>
      <w:divBdr>
        <w:top w:val="none" w:sz="0" w:space="0" w:color="auto"/>
        <w:left w:val="none" w:sz="0" w:space="0" w:color="auto"/>
        <w:bottom w:val="none" w:sz="0" w:space="0" w:color="auto"/>
        <w:right w:val="none" w:sz="0" w:space="0" w:color="auto"/>
      </w:divBdr>
    </w:div>
    <w:div w:id="1601452701">
      <w:bodyDiv w:val="1"/>
      <w:marLeft w:val="0"/>
      <w:marRight w:val="0"/>
      <w:marTop w:val="0"/>
      <w:marBottom w:val="0"/>
      <w:divBdr>
        <w:top w:val="none" w:sz="0" w:space="0" w:color="auto"/>
        <w:left w:val="none" w:sz="0" w:space="0" w:color="auto"/>
        <w:bottom w:val="none" w:sz="0" w:space="0" w:color="auto"/>
        <w:right w:val="none" w:sz="0" w:space="0" w:color="auto"/>
      </w:divBdr>
    </w:div>
    <w:div w:id="1800418479">
      <w:bodyDiv w:val="1"/>
      <w:marLeft w:val="0"/>
      <w:marRight w:val="0"/>
      <w:marTop w:val="0"/>
      <w:marBottom w:val="0"/>
      <w:divBdr>
        <w:top w:val="none" w:sz="0" w:space="0" w:color="auto"/>
        <w:left w:val="none" w:sz="0" w:space="0" w:color="auto"/>
        <w:bottom w:val="none" w:sz="0" w:space="0" w:color="auto"/>
        <w:right w:val="none" w:sz="0" w:space="0" w:color="auto"/>
      </w:divBdr>
    </w:div>
    <w:div w:id="1891073378">
      <w:bodyDiv w:val="1"/>
      <w:marLeft w:val="0"/>
      <w:marRight w:val="0"/>
      <w:marTop w:val="0"/>
      <w:marBottom w:val="0"/>
      <w:divBdr>
        <w:top w:val="none" w:sz="0" w:space="0" w:color="auto"/>
        <w:left w:val="none" w:sz="0" w:space="0" w:color="auto"/>
        <w:bottom w:val="none" w:sz="0" w:space="0" w:color="auto"/>
        <w:right w:val="none" w:sz="0" w:space="0" w:color="auto"/>
      </w:divBdr>
    </w:div>
    <w:div w:id="1896886263">
      <w:bodyDiv w:val="1"/>
      <w:marLeft w:val="0"/>
      <w:marRight w:val="0"/>
      <w:marTop w:val="0"/>
      <w:marBottom w:val="0"/>
      <w:divBdr>
        <w:top w:val="none" w:sz="0" w:space="0" w:color="auto"/>
        <w:left w:val="none" w:sz="0" w:space="0" w:color="auto"/>
        <w:bottom w:val="none" w:sz="0" w:space="0" w:color="auto"/>
        <w:right w:val="none" w:sz="0" w:space="0" w:color="auto"/>
      </w:divBdr>
    </w:div>
    <w:div w:id="1912813637">
      <w:bodyDiv w:val="1"/>
      <w:marLeft w:val="0"/>
      <w:marRight w:val="0"/>
      <w:marTop w:val="0"/>
      <w:marBottom w:val="0"/>
      <w:divBdr>
        <w:top w:val="none" w:sz="0" w:space="0" w:color="auto"/>
        <w:left w:val="none" w:sz="0" w:space="0" w:color="auto"/>
        <w:bottom w:val="none" w:sz="0" w:space="0" w:color="auto"/>
        <w:right w:val="none" w:sz="0" w:space="0" w:color="auto"/>
      </w:divBdr>
    </w:div>
    <w:div w:id="1999915634">
      <w:bodyDiv w:val="1"/>
      <w:marLeft w:val="0"/>
      <w:marRight w:val="0"/>
      <w:marTop w:val="0"/>
      <w:marBottom w:val="0"/>
      <w:divBdr>
        <w:top w:val="none" w:sz="0" w:space="0" w:color="auto"/>
        <w:left w:val="none" w:sz="0" w:space="0" w:color="auto"/>
        <w:bottom w:val="none" w:sz="0" w:space="0" w:color="auto"/>
        <w:right w:val="none" w:sz="0" w:space="0" w:color="auto"/>
      </w:divBdr>
    </w:div>
    <w:div w:id="204656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fct.2015.10.00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2903/j.efsa.2011.2393"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903/j.efsa.2008.72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B0CA0-CCB1-40FD-A4AA-62F047AB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4418</Words>
  <Characters>25185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Editor-28</cp:lastModifiedBy>
  <cp:revision>3</cp:revision>
  <dcterms:created xsi:type="dcterms:W3CDTF">2025-05-13T18:22:00Z</dcterms:created>
  <dcterms:modified xsi:type="dcterms:W3CDTF">2025-05-15T10:00:00Z</dcterms:modified>
</cp:coreProperties>
</file>