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195D" w14:textId="77777777" w:rsidR="00754C9A" w:rsidRDefault="00754C9A" w:rsidP="00441B6F">
      <w:pPr>
        <w:pStyle w:val="Title"/>
        <w:spacing w:after="0"/>
        <w:jc w:val="both"/>
        <w:rPr>
          <w:rFonts w:ascii="Arial" w:hAnsi="Arial" w:cs="Arial"/>
        </w:rPr>
      </w:pPr>
    </w:p>
    <w:p w14:paraId="3A91FB06" w14:textId="309328D1" w:rsidR="00163BC4" w:rsidRPr="00AD5BCA" w:rsidRDefault="000C010F" w:rsidP="00441B6F">
      <w:pPr>
        <w:pStyle w:val="Author"/>
        <w:spacing w:line="240" w:lineRule="auto"/>
        <w:rPr>
          <w:rFonts w:ascii="Arial" w:hAnsi="Arial" w:cs="Arial"/>
          <w:bCs/>
          <w:iCs/>
          <w:kern w:val="28"/>
          <w:sz w:val="36"/>
          <w:lang w:val="id"/>
        </w:rPr>
      </w:pPr>
      <w:bookmarkStart w:id="0" w:name="_Hlk197453834"/>
      <w:r w:rsidRPr="000C010F">
        <w:rPr>
          <w:rFonts w:ascii="Arial" w:hAnsi="Arial" w:cs="Arial"/>
          <w:bCs/>
          <w:iCs/>
          <w:kern w:val="28"/>
          <w:sz w:val="36"/>
        </w:rPr>
        <w:t xml:space="preserve">Micropropagation of </w:t>
      </w:r>
      <w:r w:rsidRPr="000C010F">
        <w:rPr>
          <w:rFonts w:ascii="Arial" w:hAnsi="Arial" w:cs="Arial"/>
          <w:bCs/>
          <w:i/>
          <w:kern w:val="28"/>
          <w:sz w:val="36"/>
        </w:rPr>
        <w:t>Ficus racemosa</w:t>
      </w:r>
      <w:r w:rsidRPr="000C010F">
        <w:rPr>
          <w:rFonts w:ascii="Arial" w:hAnsi="Arial" w:cs="Arial"/>
          <w:bCs/>
          <w:iCs/>
          <w:kern w:val="28"/>
          <w:sz w:val="36"/>
        </w:rPr>
        <w:t xml:space="preserve"> </w:t>
      </w:r>
      <w:r w:rsidR="00482E44">
        <w:rPr>
          <w:rFonts w:ascii="Arial" w:hAnsi="Arial" w:cs="Arial"/>
          <w:bCs/>
          <w:iCs/>
          <w:kern w:val="28"/>
          <w:sz w:val="36"/>
        </w:rPr>
        <w:t xml:space="preserve">- </w:t>
      </w:r>
      <w:r w:rsidR="00482E44" w:rsidRPr="00F95813">
        <w:rPr>
          <w:rFonts w:ascii="Arial" w:hAnsi="Arial" w:cs="Arial"/>
          <w:bCs/>
          <w:iCs/>
          <w:color w:val="000000" w:themeColor="text1"/>
          <w:kern w:val="28"/>
          <w:sz w:val="36"/>
        </w:rPr>
        <w:t xml:space="preserve">an </w:t>
      </w:r>
      <w:r w:rsidR="00F95813">
        <w:rPr>
          <w:rFonts w:ascii="Arial" w:hAnsi="Arial" w:cs="Arial"/>
          <w:bCs/>
          <w:iCs/>
          <w:color w:val="000000" w:themeColor="text1"/>
          <w:kern w:val="28"/>
          <w:sz w:val="36"/>
        </w:rPr>
        <w:t>I</w:t>
      </w:r>
      <w:r w:rsidR="00482E44" w:rsidRPr="00F95813">
        <w:rPr>
          <w:rFonts w:ascii="Arial" w:hAnsi="Arial" w:cs="Arial"/>
          <w:bCs/>
          <w:iCs/>
          <w:color w:val="000000" w:themeColor="text1"/>
          <w:kern w:val="28"/>
          <w:sz w:val="36"/>
        </w:rPr>
        <w:t xml:space="preserve">mportant Forest Tree </w:t>
      </w:r>
    </w:p>
    <w:bookmarkEnd w:id="0"/>
    <w:p w14:paraId="0D57E0C9" w14:textId="77777777" w:rsidR="00A258C3" w:rsidRPr="00790ADA" w:rsidRDefault="00A258C3" w:rsidP="00441B6F">
      <w:pPr>
        <w:pStyle w:val="Author"/>
        <w:spacing w:line="240" w:lineRule="auto"/>
        <w:jc w:val="both"/>
        <w:rPr>
          <w:rFonts w:ascii="Arial" w:hAnsi="Arial" w:cs="Arial"/>
          <w:sz w:val="36"/>
        </w:rPr>
      </w:pPr>
    </w:p>
    <w:p w14:paraId="3F1C2297" w14:textId="77777777" w:rsidR="00790ADA" w:rsidRDefault="00790ADA" w:rsidP="00441B6F">
      <w:pPr>
        <w:pStyle w:val="Affiliation"/>
        <w:spacing w:after="0" w:line="240" w:lineRule="auto"/>
        <w:jc w:val="both"/>
        <w:rPr>
          <w:rFonts w:ascii="Arial" w:hAnsi="Arial" w:cs="Arial"/>
        </w:rPr>
      </w:pPr>
    </w:p>
    <w:p w14:paraId="6B3503E3" w14:textId="3E744E4C" w:rsidR="00B01FCD" w:rsidRPr="00FB3A86" w:rsidRDefault="006816B3" w:rsidP="00441B6F">
      <w:pPr>
        <w:pStyle w:val="Copyright"/>
        <w:spacing w:after="0" w:line="240" w:lineRule="auto"/>
        <w:jc w:val="both"/>
        <w:rPr>
          <w:rFonts w:ascii="Arial" w:hAnsi="Arial" w:cs="Arial"/>
        </w:rPr>
        <w:sectPr w:rsidR="00B01FCD" w:rsidRPr="00FB3A86" w:rsidSect="00E51903">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504AEF" wp14:editId="53B0BDF5">
                <wp:extent cx="5303520" cy="635"/>
                <wp:effectExtent l="17145" t="15240" r="13335" b="13335"/>
                <wp:docPr id="2081329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5859E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BE2FFF1" w14:textId="050AE6C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E81B0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C68B6" w14:paraId="05F197EB" w14:textId="77777777" w:rsidTr="001E44FE">
        <w:tc>
          <w:tcPr>
            <w:tcW w:w="9576" w:type="dxa"/>
            <w:shd w:val="clear" w:color="auto" w:fill="F2F2F2"/>
          </w:tcPr>
          <w:p w14:paraId="64BEC753" w14:textId="76F03BA0" w:rsidR="00505F06" w:rsidRPr="007A286A" w:rsidRDefault="007A286A" w:rsidP="00441B6F">
            <w:pPr>
              <w:pStyle w:val="Body"/>
              <w:spacing w:after="0"/>
              <w:rPr>
                <w:rFonts w:ascii="Arial" w:eastAsia="Calibri" w:hAnsi="Arial" w:cs="Arial"/>
                <w:szCs w:val="22"/>
                <w:lang w:val="en-ID"/>
              </w:rPr>
            </w:pPr>
            <w:r w:rsidRPr="007A286A">
              <w:rPr>
                <w:rFonts w:ascii="Arial" w:eastAsia="Calibri" w:hAnsi="Arial" w:cs="Arial"/>
                <w:i/>
                <w:iCs/>
                <w:szCs w:val="22"/>
                <w:lang w:val="en-ID"/>
              </w:rPr>
              <w:t xml:space="preserve">Ficus racemosa </w:t>
            </w:r>
            <w:r w:rsidR="00D11A77">
              <w:rPr>
                <w:rFonts w:ascii="Arial" w:eastAsia="Calibri" w:hAnsi="Arial" w:cs="Arial"/>
                <w:szCs w:val="22"/>
                <w:lang w:val="en-ID"/>
              </w:rPr>
              <w:t xml:space="preserve">is a member of </w:t>
            </w:r>
            <w:proofErr w:type="spellStart"/>
            <w:r w:rsidR="00D11A77">
              <w:rPr>
                <w:rFonts w:ascii="Arial" w:eastAsia="Calibri" w:hAnsi="Arial" w:cs="Arial"/>
                <w:szCs w:val="22"/>
                <w:lang w:val="en-ID"/>
              </w:rPr>
              <w:t>Moraceae</w:t>
            </w:r>
            <w:proofErr w:type="spellEnd"/>
            <w:r w:rsidR="00D11A77">
              <w:rPr>
                <w:rFonts w:ascii="Arial" w:eastAsia="Calibri" w:hAnsi="Arial" w:cs="Arial"/>
                <w:szCs w:val="22"/>
                <w:lang w:val="en-ID"/>
              </w:rPr>
              <w:t xml:space="preserve"> which not only has</w:t>
            </w:r>
            <w:r w:rsidRPr="007A286A">
              <w:rPr>
                <w:rFonts w:ascii="Arial" w:eastAsia="Calibri" w:hAnsi="Arial" w:cs="Arial"/>
                <w:szCs w:val="22"/>
                <w:lang w:val="en-ID"/>
              </w:rPr>
              <w:t xml:space="preserve"> many pharmacological benefits </w:t>
            </w:r>
            <w:r w:rsidR="00D11A77">
              <w:rPr>
                <w:rFonts w:ascii="Arial" w:eastAsia="Calibri" w:hAnsi="Arial" w:cs="Arial"/>
                <w:szCs w:val="22"/>
                <w:lang w:val="en-ID"/>
              </w:rPr>
              <w:t xml:space="preserve">but </w:t>
            </w:r>
            <w:r w:rsidRPr="007A286A">
              <w:rPr>
                <w:rFonts w:ascii="Arial" w:eastAsia="Calibri" w:hAnsi="Arial" w:cs="Arial"/>
                <w:szCs w:val="22"/>
                <w:lang w:val="en-ID"/>
              </w:rPr>
              <w:t xml:space="preserve">also has ecological potential especially for water spring conservation. </w:t>
            </w:r>
            <w:r w:rsidR="00D46AAC" w:rsidRPr="00D46AAC">
              <w:rPr>
                <w:rFonts w:ascii="Arial" w:eastAsia="Calibri" w:hAnsi="Arial" w:cs="Arial"/>
                <w:szCs w:val="22"/>
                <w:lang w:val="en-ID"/>
              </w:rPr>
              <w:t>Reforestation is necessary to support the sustainability of the function and role of forest resources in the long term.</w:t>
            </w:r>
            <w:r w:rsidR="00D46AAC">
              <w:rPr>
                <w:rFonts w:ascii="Arial" w:eastAsia="Calibri" w:hAnsi="Arial" w:cs="Arial"/>
                <w:szCs w:val="22"/>
                <w:lang w:val="en-ID"/>
              </w:rPr>
              <w:t xml:space="preserve"> </w:t>
            </w:r>
            <w:r w:rsidRPr="007A286A">
              <w:rPr>
                <w:rFonts w:ascii="Arial" w:eastAsia="Calibri" w:hAnsi="Arial" w:cs="Arial"/>
                <w:szCs w:val="22"/>
                <w:lang w:val="en-ID"/>
              </w:rPr>
              <w:t xml:space="preserve">However, conventional propagation </w:t>
            </w:r>
            <w:r w:rsidR="008C5EBF">
              <w:rPr>
                <w:rFonts w:ascii="Arial" w:eastAsia="Calibri" w:hAnsi="Arial" w:cs="Arial"/>
                <w:szCs w:val="22"/>
                <w:lang w:val="en-ID"/>
              </w:rPr>
              <w:t xml:space="preserve">of forest trees </w:t>
            </w:r>
            <w:r w:rsidRPr="007A286A">
              <w:rPr>
                <w:rFonts w:ascii="Arial" w:eastAsia="Calibri" w:hAnsi="Arial" w:cs="Arial"/>
                <w:szCs w:val="22"/>
                <w:lang w:val="en-ID"/>
              </w:rPr>
              <w:t xml:space="preserve">using seeds has many obstacles. In vitro culture technique is an alternative propagation method that has been widely applied to tree or woody plant species. Therefore, this study aims to develop an efficient micropropagation protocol to produce </w:t>
            </w:r>
            <w:r w:rsidRPr="007A286A">
              <w:rPr>
                <w:rFonts w:ascii="Arial" w:eastAsia="Calibri" w:hAnsi="Arial" w:cs="Arial"/>
                <w:i/>
                <w:iCs/>
                <w:szCs w:val="22"/>
                <w:lang w:val="en-ID"/>
              </w:rPr>
              <w:t>F. racemosa</w:t>
            </w:r>
            <w:r w:rsidRPr="007A286A">
              <w:rPr>
                <w:rFonts w:ascii="Arial" w:eastAsia="Calibri" w:hAnsi="Arial" w:cs="Arial"/>
                <w:szCs w:val="22"/>
                <w:lang w:val="en-ID"/>
              </w:rPr>
              <w:t xml:space="preserve"> seedlings on a large scale. </w:t>
            </w:r>
            <w:r w:rsidR="000E4B81" w:rsidRPr="000E4B81">
              <w:rPr>
                <w:rFonts w:ascii="Arial" w:eastAsia="Calibri" w:hAnsi="Arial" w:cs="Arial"/>
                <w:szCs w:val="22"/>
                <w:lang w:val="en-ID"/>
              </w:rPr>
              <w:t xml:space="preserve">Seeds </w:t>
            </w:r>
            <w:r w:rsidR="000E4B81">
              <w:rPr>
                <w:rFonts w:ascii="Arial" w:eastAsia="Calibri" w:hAnsi="Arial" w:cs="Arial"/>
                <w:szCs w:val="22"/>
                <w:lang w:val="en-ID"/>
              </w:rPr>
              <w:t>derived</w:t>
            </w:r>
            <w:r w:rsidR="000E4B81" w:rsidRPr="000E4B81">
              <w:rPr>
                <w:rFonts w:ascii="Arial" w:eastAsia="Calibri" w:hAnsi="Arial" w:cs="Arial"/>
                <w:szCs w:val="22"/>
                <w:lang w:val="en-ID"/>
              </w:rPr>
              <w:t xml:space="preserve"> from fresh fruit were germinated in vitro to obtain </w:t>
            </w:r>
            <w:r w:rsidR="000E4B81">
              <w:rPr>
                <w:rFonts w:ascii="Arial" w:eastAsia="Calibri" w:hAnsi="Arial" w:cs="Arial"/>
                <w:szCs w:val="22"/>
                <w:lang w:val="en-ID"/>
              </w:rPr>
              <w:t>seedlings</w:t>
            </w:r>
            <w:r w:rsidR="000E4B81" w:rsidRPr="000E4B81">
              <w:rPr>
                <w:rFonts w:ascii="Arial" w:eastAsia="Calibri" w:hAnsi="Arial" w:cs="Arial"/>
                <w:szCs w:val="22"/>
                <w:lang w:val="en-ID"/>
              </w:rPr>
              <w:t xml:space="preserve"> as a source of explants. Cotyledon</w:t>
            </w:r>
            <w:r w:rsidR="000E4B81">
              <w:rPr>
                <w:rFonts w:ascii="Arial" w:eastAsia="Calibri" w:hAnsi="Arial" w:cs="Arial"/>
                <w:szCs w:val="22"/>
                <w:lang w:val="en-ID"/>
              </w:rPr>
              <w:t>ary</w:t>
            </w:r>
            <w:r w:rsidR="000E4B81" w:rsidRPr="000E4B81">
              <w:rPr>
                <w:rFonts w:ascii="Arial" w:eastAsia="Calibri" w:hAnsi="Arial" w:cs="Arial"/>
                <w:szCs w:val="22"/>
                <w:lang w:val="en-ID"/>
              </w:rPr>
              <w:t xml:space="preserve"> node explants were taken from 4</w:t>
            </w:r>
            <w:r w:rsidR="000E4B81">
              <w:rPr>
                <w:rFonts w:ascii="Arial" w:eastAsia="Calibri" w:hAnsi="Arial" w:cs="Arial"/>
                <w:szCs w:val="22"/>
                <w:lang w:val="en-ID"/>
              </w:rPr>
              <w:t>-</w:t>
            </w:r>
            <w:r w:rsidR="000E4B81" w:rsidRPr="000E4B81">
              <w:rPr>
                <w:rFonts w:ascii="Arial" w:eastAsia="Calibri" w:hAnsi="Arial" w:cs="Arial"/>
                <w:szCs w:val="22"/>
                <w:lang w:val="en-ID"/>
              </w:rPr>
              <w:t xml:space="preserve"> and 7-week-old seedlings. </w:t>
            </w:r>
            <w:r w:rsidR="000E4B81" w:rsidRPr="000E4B81">
              <w:rPr>
                <w:rFonts w:ascii="Arial" w:eastAsia="Calibri" w:hAnsi="Arial" w:cs="Arial"/>
                <w:szCs w:val="22"/>
              </w:rPr>
              <w:t>Shoot induction from cotyledon</w:t>
            </w:r>
            <w:r w:rsidR="000E4B81">
              <w:rPr>
                <w:rFonts w:ascii="Arial" w:eastAsia="Calibri" w:hAnsi="Arial" w:cs="Arial"/>
                <w:szCs w:val="22"/>
              </w:rPr>
              <w:t>ary</w:t>
            </w:r>
            <w:r w:rsidR="000E4B81" w:rsidRPr="000E4B81">
              <w:rPr>
                <w:rFonts w:ascii="Arial" w:eastAsia="Calibri" w:hAnsi="Arial" w:cs="Arial"/>
                <w:szCs w:val="22"/>
              </w:rPr>
              <w:t xml:space="preserve"> node explants used</w:t>
            </w:r>
            <w:r w:rsidR="000E4B81">
              <w:rPr>
                <w:rFonts w:ascii="Arial" w:eastAsia="Calibri" w:hAnsi="Arial" w:cs="Arial"/>
                <w:szCs w:val="22"/>
              </w:rPr>
              <w:t xml:space="preserve"> </w:t>
            </w:r>
            <w:r w:rsidR="000E4B81" w:rsidRPr="000E4B81">
              <w:rPr>
                <w:rFonts w:ascii="Arial" w:eastAsia="Calibri" w:hAnsi="Arial" w:cs="Arial"/>
                <w:szCs w:val="22"/>
                <w:lang w:val="en-ID"/>
              </w:rPr>
              <w:t xml:space="preserve">two basal media MS and WPM, </w:t>
            </w:r>
            <w:r w:rsidR="000E4B81">
              <w:rPr>
                <w:rFonts w:ascii="Arial" w:eastAsia="Calibri" w:hAnsi="Arial" w:cs="Arial"/>
                <w:szCs w:val="22"/>
                <w:lang w:val="en-ID"/>
              </w:rPr>
              <w:t>which</w:t>
            </w:r>
            <w:r w:rsidR="000E4B81" w:rsidRPr="000E4B81">
              <w:rPr>
                <w:rFonts w:ascii="Arial" w:eastAsia="Calibri" w:hAnsi="Arial" w:cs="Arial"/>
                <w:szCs w:val="22"/>
                <w:lang w:val="en-ID"/>
              </w:rPr>
              <w:t xml:space="preserve"> supplemented with </w:t>
            </w:r>
            <w:proofErr w:type="gramStart"/>
            <w:r w:rsidR="000E4B81" w:rsidRPr="000E4B81">
              <w:rPr>
                <w:rFonts w:ascii="Arial" w:eastAsia="Calibri" w:hAnsi="Arial" w:cs="Arial"/>
                <w:szCs w:val="22"/>
                <w:lang w:val="en-ID"/>
              </w:rPr>
              <w:t>0.5;</w:t>
            </w:r>
            <w:proofErr w:type="gramEnd"/>
            <w:r w:rsidR="000E4B81" w:rsidRPr="000E4B81">
              <w:rPr>
                <w:rFonts w:ascii="Arial" w:eastAsia="Calibri" w:hAnsi="Arial" w:cs="Arial"/>
                <w:szCs w:val="22"/>
                <w:lang w:val="en-ID"/>
              </w:rPr>
              <w:t xml:space="preserve"> 1 and 2 mg/l</w:t>
            </w:r>
            <w:r w:rsidR="008F2FD0" w:rsidRPr="000E4B81">
              <w:rPr>
                <w:rFonts w:ascii="Arial" w:eastAsia="Calibri" w:hAnsi="Arial" w:cs="Arial"/>
                <w:szCs w:val="22"/>
                <w:lang w:val="en-ID"/>
              </w:rPr>
              <w:t xml:space="preserve"> </w:t>
            </w:r>
            <w:r w:rsidR="008F2FD0" w:rsidRPr="000E4B81">
              <w:rPr>
                <w:rFonts w:ascii="Arial" w:eastAsia="Calibri" w:hAnsi="Arial" w:cs="Arial"/>
                <w:szCs w:val="22"/>
                <w:lang w:val="en-ID"/>
              </w:rPr>
              <w:t>BAP</w:t>
            </w:r>
            <w:r w:rsidR="000E4B81" w:rsidRPr="000E4B81">
              <w:rPr>
                <w:rFonts w:ascii="Arial" w:eastAsia="Calibri" w:hAnsi="Arial" w:cs="Arial"/>
                <w:szCs w:val="22"/>
                <w:lang w:val="en-ID"/>
              </w:rPr>
              <w:t xml:space="preserve">. The induced shoots were multiplied and then transferred to a rooting medium that also used MS and WPM </w:t>
            </w:r>
            <w:r w:rsidR="000E4B81">
              <w:rPr>
                <w:rFonts w:ascii="Arial" w:eastAsia="Calibri" w:hAnsi="Arial" w:cs="Arial"/>
                <w:szCs w:val="22"/>
                <w:lang w:val="en-ID"/>
              </w:rPr>
              <w:t xml:space="preserve">basal media </w:t>
            </w:r>
            <w:r w:rsidR="000E4B81" w:rsidRPr="000E4B81">
              <w:rPr>
                <w:rFonts w:ascii="Arial" w:eastAsia="Calibri" w:hAnsi="Arial" w:cs="Arial"/>
                <w:szCs w:val="22"/>
                <w:lang w:val="en-ID"/>
              </w:rPr>
              <w:t>with and without the addition of 0.1 mg/l</w:t>
            </w:r>
            <w:r w:rsidR="008F2FD0" w:rsidRPr="000E4B81">
              <w:rPr>
                <w:rFonts w:ascii="Arial" w:eastAsia="Calibri" w:hAnsi="Arial" w:cs="Arial"/>
                <w:szCs w:val="22"/>
                <w:lang w:val="en-ID"/>
              </w:rPr>
              <w:t xml:space="preserve"> </w:t>
            </w:r>
            <w:r w:rsidR="008F2FD0" w:rsidRPr="000E4B81">
              <w:rPr>
                <w:rFonts w:ascii="Arial" w:eastAsia="Calibri" w:hAnsi="Arial" w:cs="Arial"/>
                <w:szCs w:val="22"/>
                <w:lang w:val="en-ID"/>
              </w:rPr>
              <w:t>NAA</w:t>
            </w:r>
            <w:r w:rsidR="000E4B81" w:rsidRPr="000E4B81">
              <w:rPr>
                <w:rFonts w:ascii="Arial" w:eastAsia="Calibri" w:hAnsi="Arial" w:cs="Arial"/>
                <w:szCs w:val="22"/>
                <w:lang w:val="en-ID"/>
              </w:rPr>
              <w:t xml:space="preserve">. </w:t>
            </w:r>
            <w:r w:rsidR="000E4B81">
              <w:rPr>
                <w:rFonts w:ascii="Arial" w:eastAsia="Calibri" w:hAnsi="Arial" w:cs="Arial"/>
                <w:szCs w:val="22"/>
                <w:lang w:val="en-ID"/>
              </w:rPr>
              <w:t>Subsequently</w:t>
            </w:r>
            <w:r w:rsidR="000E4B81" w:rsidRPr="000E4B81">
              <w:rPr>
                <w:rFonts w:ascii="Arial" w:eastAsia="Calibri" w:hAnsi="Arial" w:cs="Arial"/>
                <w:szCs w:val="22"/>
                <w:lang w:val="en-ID"/>
              </w:rPr>
              <w:t xml:space="preserve">, the plantlets were removed from the culture to be transferred to the acclimatization stage. The results showed that </w:t>
            </w:r>
            <w:r w:rsidR="000E4B81" w:rsidRPr="000E4B81">
              <w:rPr>
                <w:rFonts w:ascii="Arial" w:eastAsia="Calibri" w:hAnsi="Arial" w:cs="Arial"/>
                <w:i/>
                <w:iCs/>
                <w:szCs w:val="22"/>
                <w:lang w:val="en-ID"/>
              </w:rPr>
              <w:t>F. racemosa</w:t>
            </w:r>
            <w:r w:rsidR="000E4B81" w:rsidRPr="000E4B81">
              <w:rPr>
                <w:rFonts w:ascii="Arial" w:eastAsia="Calibri" w:hAnsi="Arial" w:cs="Arial"/>
                <w:szCs w:val="22"/>
                <w:lang w:val="en-ID"/>
              </w:rPr>
              <w:t xml:space="preserve"> seeds on in vitro agar media had a germination rate of &gt; 95%. More shoots were produced from explants taken from 7-week-old seedlings. MS and WPM </w:t>
            </w:r>
            <w:r w:rsidR="00C105D0">
              <w:rPr>
                <w:rFonts w:ascii="Arial" w:eastAsia="Calibri" w:hAnsi="Arial" w:cs="Arial"/>
                <w:szCs w:val="22"/>
                <w:lang w:val="en-ID"/>
              </w:rPr>
              <w:t>basal</w:t>
            </w:r>
            <w:r w:rsidR="00C105D0" w:rsidRPr="000E4B81">
              <w:rPr>
                <w:rFonts w:ascii="Arial" w:eastAsia="Calibri" w:hAnsi="Arial" w:cs="Arial"/>
                <w:szCs w:val="22"/>
                <w:lang w:val="en-ID"/>
              </w:rPr>
              <w:t xml:space="preserve"> media </w:t>
            </w:r>
            <w:r w:rsidR="000E4B81" w:rsidRPr="000E4B81">
              <w:rPr>
                <w:rFonts w:ascii="Arial" w:eastAsia="Calibri" w:hAnsi="Arial" w:cs="Arial"/>
                <w:szCs w:val="22"/>
                <w:lang w:val="en-ID"/>
              </w:rPr>
              <w:t>were able to induce shoots with not significantly different</w:t>
            </w:r>
            <w:r w:rsidR="00C105D0">
              <w:rPr>
                <w:rFonts w:ascii="Arial" w:eastAsia="Calibri" w:hAnsi="Arial" w:cs="Arial"/>
                <w:szCs w:val="22"/>
                <w:lang w:val="en-ID"/>
              </w:rPr>
              <w:t xml:space="preserve"> in number</w:t>
            </w:r>
            <w:r w:rsidR="000E4B81" w:rsidRPr="000E4B81">
              <w:rPr>
                <w:rFonts w:ascii="Arial" w:eastAsia="Calibri" w:hAnsi="Arial" w:cs="Arial"/>
                <w:szCs w:val="22"/>
                <w:lang w:val="en-ID"/>
              </w:rPr>
              <w:t xml:space="preserve">. </w:t>
            </w:r>
            <w:r w:rsidR="00C105D0" w:rsidRPr="00C105D0">
              <w:rPr>
                <w:rFonts w:ascii="Arial" w:eastAsia="Calibri" w:hAnsi="Arial" w:cs="Arial"/>
                <w:szCs w:val="22"/>
              </w:rPr>
              <w:t>While more roots were produced on WPM media</w:t>
            </w:r>
            <w:r w:rsidR="000E4B81" w:rsidRPr="000E4B81">
              <w:rPr>
                <w:rFonts w:ascii="Arial" w:eastAsia="Calibri" w:hAnsi="Arial" w:cs="Arial"/>
                <w:szCs w:val="22"/>
                <w:lang w:val="en-ID"/>
              </w:rPr>
              <w:t xml:space="preserve">. Plantlets grown in media consisting of a mixture of compost soil: rice husk charcoal in a ratio of 1:2 have a survival rate of &gt;95%. This shows that the in vitro propagation has great potential for providing </w:t>
            </w:r>
            <w:r w:rsidR="000E4B81" w:rsidRPr="00C105D0">
              <w:rPr>
                <w:rFonts w:ascii="Arial" w:eastAsia="Calibri" w:hAnsi="Arial" w:cs="Arial"/>
                <w:i/>
                <w:iCs/>
                <w:szCs w:val="22"/>
                <w:lang w:val="en-ID"/>
              </w:rPr>
              <w:t>F. racemosa</w:t>
            </w:r>
            <w:r w:rsidR="000E4B81" w:rsidRPr="000E4B81">
              <w:rPr>
                <w:rFonts w:ascii="Arial" w:eastAsia="Calibri" w:hAnsi="Arial" w:cs="Arial"/>
                <w:szCs w:val="22"/>
                <w:lang w:val="en-ID"/>
              </w:rPr>
              <w:t xml:space="preserve"> seedlings to support conservation. Both MS and WPM were promising basal media to produce this forest tree on a large scale.</w:t>
            </w:r>
          </w:p>
        </w:tc>
      </w:tr>
    </w:tbl>
    <w:p w14:paraId="205DC0E7" w14:textId="77777777" w:rsidR="00636EB2" w:rsidRPr="007A286A" w:rsidRDefault="00636EB2" w:rsidP="00441B6F">
      <w:pPr>
        <w:pStyle w:val="Body"/>
        <w:spacing w:after="0"/>
        <w:rPr>
          <w:rFonts w:ascii="Arial" w:hAnsi="Arial" w:cs="Arial"/>
          <w:i/>
          <w:lang w:val="en-ID"/>
        </w:rPr>
      </w:pPr>
    </w:p>
    <w:p w14:paraId="47BE300A" w14:textId="44EB6C4A" w:rsidR="00A24E7E" w:rsidRDefault="00A24E7E" w:rsidP="00441B6F">
      <w:pPr>
        <w:pStyle w:val="Body"/>
        <w:spacing w:after="0"/>
        <w:rPr>
          <w:rFonts w:ascii="Arial" w:hAnsi="Arial" w:cs="Arial"/>
          <w:i/>
        </w:rPr>
      </w:pPr>
      <w:r>
        <w:rPr>
          <w:rFonts w:ascii="Arial" w:hAnsi="Arial" w:cs="Arial"/>
          <w:i/>
        </w:rPr>
        <w:t xml:space="preserve">Keywords: </w:t>
      </w:r>
      <w:r w:rsidR="00943269">
        <w:rPr>
          <w:rFonts w:ascii="Arial" w:hAnsi="Arial" w:cs="Arial"/>
          <w:i/>
        </w:rPr>
        <w:t xml:space="preserve">conservation, Ficus racemosa, in vitro culture, </w:t>
      </w:r>
      <w:r w:rsidR="007C36D2">
        <w:rPr>
          <w:rFonts w:ascii="Arial" w:hAnsi="Arial" w:cs="Arial"/>
          <w:i/>
        </w:rPr>
        <w:t>cotyledon nodes</w:t>
      </w:r>
    </w:p>
    <w:p w14:paraId="6645CC78" w14:textId="77777777" w:rsidR="00790ADA" w:rsidRDefault="00790ADA" w:rsidP="00441B6F">
      <w:pPr>
        <w:pStyle w:val="Body"/>
        <w:spacing w:after="0"/>
        <w:rPr>
          <w:rFonts w:ascii="Arial" w:hAnsi="Arial" w:cs="Arial"/>
          <w:i/>
        </w:rPr>
      </w:pPr>
    </w:p>
    <w:p w14:paraId="2F710B3E" w14:textId="6EBCE0BE" w:rsidR="007F7B32" w:rsidRDefault="00902823" w:rsidP="00441B6F">
      <w:pPr>
        <w:pStyle w:val="AbstHead"/>
        <w:spacing w:after="0"/>
        <w:jc w:val="both"/>
        <w:rPr>
          <w:rFonts w:ascii="Arial" w:hAnsi="Arial" w:cs="Arial"/>
        </w:rPr>
      </w:pPr>
      <w:bookmarkStart w:id="1" w:name="_Hlk198562977"/>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19D119" w14:textId="1E53582B" w:rsidR="008C7DBC" w:rsidRDefault="007A286A" w:rsidP="00BA736B">
      <w:pPr>
        <w:jc w:val="both"/>
        <w:rPr>
          <w:rFonts w:ascii="Arial" w:hAnsi="Arial" w:cs="Arial"/>
          <w:lang w:val="en-ID"/>
        </w:rPr>
      </w:pPr>
      <w:r w:rsidRPr="007A286A">
        <w:rPr>
          <w:rFonts w:ascii="Arial" w:hAnsi="Arial" w:cs="Arial"/>
          <w:i/>
          <w:iCs/>
        </w:rPr>
        <w:t xml:space="preserve">Ficus racemosa </w:t>
      </w:r>
      <w:r w:rsidRPr="007A286A">
        <w:rPr>
          <w:rFonts w:ascii="Arial" w:hAnsi="Arial" w:cs="Arial"/>
        </w:rPr>
        <w:t xml:space="preserve">(Loa tree) is a species of tree belonging to the genus Ficus from the </w:t>
      </w:r>
      <w:proofErr w:type="spellStart"/>
      <w:r w:rsidRPr="007A286A">
        <w:rPr>
          <w:rFonts w:ascii="Arial" w:hAnsi="Arial" w:cs="Arial"/>
        </w:rPr>
        <w:t>Moraceae</w:t>
      </w:r>
      <w:proofErr w:type="spellEnd"/>
      <w:r w:rsidRPr="007A286A">
        <w:rPr>
          <w:rFonts w:ascii="Arial" w:hAnsi="Arial" w:cs="Arial"/>
        </w:rPr>
        <w:t xml:space="preserve"> family which is a local plant in Indonesia</w:t>
      </w:r>
      <w:r w:rsidR="000C68B6">
        <w:rPr>
          <w:rFonts w:ascii="Arial" w:hAnsi="Arial" w:cs="Arial"/>
        </w:rPr>
        <w:t xml:space="preserve"> </w:t>
      </w:r>
      <w:r w:rsidR="000C68B6">
        <w:rPr>
          <w:rFonts w:ascii="Arial" w:hAnsi="Arial" w:cs="Arial"/>
        </w:rPr>
        <w:fldChar w:fldCharType="begin" w:fldLock="1"/>
      </w:r>
      <w:r w:rsidR="001E61FF">
        <w:rPr>
          <w:rFonts w:ascii="Arial" w:hAnsi="Arial" w:cs="Arial"/>
        </w:rPr>
        <w:instrText>ADDIN CSL_CITATION {"citationItems":[{"id":"ITEM-1","itemData":{"DOI":"10.34312/jebj.v1i2.2476","abstract":"Indonesian local fruit is a type of local fruit that grows naturally and originated from the Indonesian region. The research aimed at determined the diversity of Indonesian local fruits that can be consumed by humans so that they can be the basis for management and policy making related to the creating of route-tracking and thematic gardens of local fruit in Purwodadi Botanical Gardens. The data was collected using direct observation method, while the utilization and potential species data are based on interviews and literature studies. The result showed, there are 96 species of local fruit that are included in 24 families.","author":[{"dropping-particle":"","family":"Angio","given":"Melisnawati H","non-dropping-particle":"","parse-names":false,"suffix":""},{"dropping-particle":"","family":"Irawanto","given":"Rony","non-dropping-particle":"","parse-names":false,"suffix":""}],"container-title":"Jambura Edu Biosfer Journal","id":"ITEM-1","issue":"2","issued":{"date-parts":[["2019"]]},"page":"41-46","title":"Data Collection on Local Indonesian Fruit Types from Purwodadi Botanical Garden Collection","type":"article-journal","volume":"1"},"uris":["http://www.mendeley.com/documents/?uuid=0c0f2064-191a-452d-8c1e-a76638d08778"]}],"mendeley":{"formattedCitation":"(1)","plainTextFormattedCitation":"(1)","previouslyFormattedCitation":"(1)"},"properties":{"noteIndex":0},"schema":"https://github.com/citation-style-language/schema/raw/master/csl-citation.json"}</w:instrText>
      </w:r>
      <w:r w:rsidR="000C68B6">
        <w:rPr>
          <w:rFonts w:ascii="Arial" w:hAnsi="Arial" w:cs="Arial"/>
        </w:rPr>
        <w:fldChar w:fldCharType="separate"/>
      </w:r>
      <w:r w:rsidR="001039A5" w:rsidRPr="001039A5">
        <w:rPr>
          <w:rFonts w:ascii="Arial" w:hAnsi="Arial" w:cs="Arial"/>
          <w:noProof/>
        </w:rPr>
        <w:t>(1)</w:t>
      </w:r>
      <w:r w:rsidR="000C68B6">
        <w:rPr>
          <w:rFonts w:ascii="Arial" w:hAnsi="Arial" w:cs="Arial"/>
        </w:rPr>
        <w:fldChar w:fldCharType="end"/>
      </w:r>
      <w:r w:rsidR="008C7DBC" w:rsidRPr="008C7DBC">
        <w:rPr>
          <w:rFonts w:ascii="Arial" w:hAnsi="Arial" w:cs="Arial"/>
        </w:rPr>
        <w:t xml:space="preserve">. </w:t>
      </w:r>
      <w:r>
        <w:rPr>
          <w:rFonts w:ascii="Arial" w:hAnsi="Arial" w:cs="Arial"/>
        </w:rPr>
        <w:t>This pl</w:t>
      </w:r>
      <w:r w:rsidRPr="007A286A">
        <w:rPr>
          <w:rFonts w:ascii="Arial" w:hAnsi="Arial" w:cs="Arial"/>
          <w:lang w:val="en-ID"/>
        </w:rPr>
        <w:t>ant from the genus Ficus have the potential as a source of food and natural medicine</w:t>
      </w:r>
      <w:r w:rsidR="000C68B6">
        <w:rPr>
          <w:rFonts w:ascii="Arial" w:hAnsi="Arial" w:cs="Arial"/>
          <w:lang w:val="en-ID"/>
        </w:rPr>
        <w:t xml:space="preserve"> </w:t>
      </w:r>
      <w:r w:rsidR="000C68B6">
        <w:rPr>
          <w:rFonts w:ascii="Arial" w:hAnsi="Arial" w:cs="Arial"/>
          <w:lang w:val="en-ID"/>
        </w:rPr>
        <w:fldChar w:fldCharType="begin" w:fldLock="1"/>
      </w:r>
      <w:r w:rsidR="001E61FF">
        <w:rPr>
          <w:rFonts w:ascii="Arial" w:hAnsi="Arial" w:cs="Arial"/>
          <w:lang w:val="en-ID"/>
        </w:rPr>
        <w:instrText>ADDIN CSL_CITATION {"citationItems":[{"id":"ITEM-1","itemData":{"DOI":"10.29244/medkon.24.3.278-286","abstract":"Masyarakat Suku Bentong hidup di Desa Bulo-Bulo, Kabupaten Barru Sulawesi Selatan. Sekitar 50 tahun yang lalu, masyarakat tersebut masih hidup nomaden, namun saat ini masyarakat tersebut telah hidup menetap. Pengetahuan tentang pemanfaatan tumbuhan sebagai bahan pangan oleh masyarakat Suku Bentong belum tercatat. Penelitian ini bertujuan mendata dan menguraikan pemanfaatan spesies tumbuhan bahan pangan masyarakat Suku Bentong. Pengumpulan data melalui wawancara informan, observasi, dan pengambilan spesimen herbarium untuk diidentifikasi. Data dianalisis secara deskriptif dengan mengkaji spesies tumbuhan yang digunakan sebagai bahan pangan serta analisis secara kuantitatif menggunakan persamaan indeks kepentingan budaya. Masyarakat Suku bentong menggunakan 70 spesies tumbuhan sebagai bahan pangan meliputi: 1) sebagai makanan pokok terdiri dari 4 jenis yaitu buah ‘kenrang’ (Ficus racemosa) dan umbi ‘sikapa’ (Dioscorea hispida) pada saat masih nomaden serta tanaman padi (Oryza sativa) dan jagung (Zea mays) setelah tinggal menetap; 2) sebagai sayuran 34 spesies; 3) sebagai buah-buahan 33 spesies; dan 4) sebagai minuman 5 spesies. Hasil analisis ICS menunjukkan spesies yang memiliki nilai indeks kepentingan budaya tertinggi adalah tanaman padi (100) diikuti oleh lontar (83), pisang (78), kelapa (48) dan aren (44).","author":[{"dropping-particle":"","family":"Amboupe","given":"D","non-dropping-particle":"","parse-names":false,"suffix":""},{"dropping-particle":"","family":"Hartana","given":"A","non-dropping-particle":"","parse-names":false,"suffix":""},{"dropping-particle":"","family":"Purwanto","given":"Y","non-dropping-particle":"","parse-names":false,"suffix":""}],"container-title":"Media Konservasi","id":"ITEM-1","issue":"3","issued":{"date-parts":[["2019"]]},"page":"278-286","title":"Ethnobotanical Study of Food Plant in Bentong Community from Barru Regency, South Sulawesi-Indonesia","type":"article-journal","volume":"24"},"uris":["http://www.mendeley.com/documents/?uuid=3ddbd43c-4fb6-40c0-9b70-af2b0d088358"]},{"id":"ITEM-2","itemData":{"abstract":"We intended to develop a desired ointment for treatment of wound. Main objective of this study was to formulate the ointment with different ointment bases having good consistency, better diffusion and antiseptic properties. To assess the efficacy of uniformity, viscosity, diffusivity, rheology, stability, spreadability, permeability and other physical characteristics were evaluated. Two Formulations, formulation A (Aq. extract of Ficus racemosa) and B (Aqueous extract of Ficus benghalensis) were prepared with same bases. Both the Formulation A and B contains hard paraffin, cetostearyl alcohol, Light liquid paraffin and microcrystalline wax. Formulation B was found better than formulation A in all aspects like spreadability, viscosity, consistency, stability, diffusibility. In conclusion, it was clearly observed that Formulation B was better than formulation A.","author":[{"dropping-particle":"","family":"Murti","given":"Krishna","non-dropping-particle":"","parse-names":false,"suffix":""},{"dropping-particle":"","family":"Kumar","given":"Upendra","non-dropping-particle":"","parse-names":false,"suffix":""},{"dropping-particle":"","family":"Kiran","given":"Divya","non-dropping-particle":"","parse-names":false,"suffix":""},{"dropping-particle":"","family":"Kaushik","given":"Manish","non-dropping-particle":"","parse-names":false,"suffix":""}],"id":"ITEM-2","issued":{"date-parts":[["2013"]]},"page":"219-223","title":"Formulation and Evaluation of Ficus benghalensis and Ficus racemosa Aquoues Extracts","type":"article"},"uris":["http://www.mendeley.com/documents/?uuid=36084fd0-c523-4171-8894-bd363e997739"]}],"mendeley":{"formattedCitation":"(2,3)","plainTextFormattedCitation":"(2,3)","previouslyFormattedCitation":"(2,3)"},"properties":{"noteIndex":0},"schema":"https://github.com/citation-style-language/schema/raw/master/csl-citation.json"}</w:instrText>
      </w:r>
      <w:r w:rsidR="000C68B6">
        <w:rPr>
          <w:rFonts w:ascii="Arial" w:hAnsi="Arial" w:cs="Arial"/>
          <w:lang w:val="en-ID"/>
        </w:rPr>
        <w:fldChar w:fldCharType="separate"/>
      </w:r>
      <w:r w:rsidR="001039A5" w:rsidRPr="001039A5">
        <w:rPr>
          <w:rFonts w:ascii="Arial" w:hAnsi="Arial" w:cs="Arial"/>
          <w:noProof/>
          <w:lang w:val="en-ID"/>
        </w:rPr>
        <w:t>(2,3)</w:t>
      </w:r>
      <w:r w:rsidR="000C68B6">
        <w:rPr>
          <w:rFonts w:ascii="Arial" w:hAnsi="Arial" w:cs="Arial"/>
          <w:lang w:val="en-ID"/>
        </w:rPr>
        <w:fldChar w:fldCharType="end"/>
      </w:r>
      <w:r w:rsidR="008C7DBC" w:rsidRPr="007A286A">
        <w:rPr>
          <w:rFonts w:ascii="Arial" w:hAnsi="Arial" w:cs="Arial"/>
          <w:lang w:val="en-ID"/>
        </w:rPr>
        <w:t xml:space="preserve">. </w:t>
      </w:r>
      <w:r w:rsidR="009F1A00" w:rsidRPr="007A286A">
        <w:rPr>
          <w:rFonts w:ascii="Arial" w:hAnsi="Arial" w:cs="Arial"/>
          <w:i/>
          <w:iCs/>
          <w:lang w:val="en-ID"/>
        </w:rPr>
        <w:t>F</w:t>
      </w:r>
      <w:r w:rsidR="007C0B96" w:rsidRPr="007A286A">
        <w:rPr>
          <w:rFonts w:ascii="Arial" w:hAnsi="Arial" w:cs="Arial"/>
          <w:i/>
          <w:iCs/>
          <w:lang w:val="en-ID"/>
        </w:rPr>
        <w:t>.</w:t>
      </w:r>
      <w:r w:rsidR="009F1A00" w:rsidRPr="007A286A">
        <w:rPr>
          <w:rFonts w:ascii="Arial" w:hAnsi="Arial" w:cs="Arial"/>
          <w:i/>
          <w:iCs/>
          <w:lang w:val="en-ID"/>
        </w:rPr>
        <w:t xml:space="preserve"> racemosa</w:t>
      </w:r>
      <w:r w:rsidR="009F1A00" w:rsidRPr="007A286A">
        <w:rPr>
          <w:rFonts w:ascii="Arial" w:hAnsi="Arial" w:cs="Arial"/>
          <w:lang w:val="en-ID"/>
        </w:rPr>
        <w:t xml:space="preserve"> </w:t>
      </w:r>
      <w:r w:rsidRPr="007A286A">
        <w:rPr>
          <w:rFonts w:ascii="Arial" w:hAnsi="Arial" w:cs="Arial"/>
          <w:lang w:val="en-ID"/>
        </w:rPr>
        <w:t>has long been used in traditional herbal medicine for various diseases</w:t>
      </w:r>
      <w:r w:rsidR="000C68B6">
        <w:rPr>
          <w:rFonts w:ascii="Arial" w:hAnsi="Arial" w:cs="Arial"/>
          <w:lang w:val="en-ID"/>
        </w:rPr>
        <w:t xml:space="preserve"> </w:t>
      </w:r>
      <w:r w:rsidR="000C68B6">
        <w:rPr>
          <w:rFonts w:ascii="Arial" w:hAnsi="Arial" w:cs="Arial"/>
          <w:lang w:val="en-ID"/>
        </w:rPr>
        <w:fldChar w:fldCharType="begin" w:fldLock="1"/>
      </w:r>
      <w:r w:rsidR="001E61FF">
        <w:rPr>
          <w:rFonts w:ascii="Arial" w:hAnsi="Arial" w:cs="Arial"/>
          <w:lang w:val="en-ID"/>
        </w:rPr>
        <w:instrText>ADDIN CSL_CITATION {"citationItems":[{"id":"ITEM-1","itemData":{"DOI":"10.26480/mjsa.01.2020.26.28","ISSN":"25212931","author":[{"dropping-particle":"","family":"Azhar","given":"Nur Atikah","non-dropping-particle":"","parse-names":false,"suffix":""},{"dropping-particle":"","family":"Zainuddin","given":"Zarina","non-dropping-particle":"","parse-names":false,"suffix":""}],"container-title":"Malaysian Journal of Sustainable Agriculture","id":"ITEM-1","issue":"1","issued":{"date-parts":[["2020"]]},"page":"26-28","title":"Tissue culture of Ficus carica Variety BTM-6","type":"article-journal","volume":"4"},"uris":["http://www.mendeley.com/documents/?uuid=64ef7edc-ce62-486f-8ac5-bf7005839323"]}],"mendeley":{"formattedCitation":"(4)","plainTextFormattedCitation":"(4)","previouslyFormattedCitation":"(4)"},"properties":{"noteIndex":0},"schema":"https://github.com/citation-style-language/schema/raw/master/csl-citation.json"}</w:instrText>
      </w:r>
      <w:r w:rsidR="000C68B6">
        <w:rPr>
          <w:rFonts w:ascii="Arial" w:hAnsi="Arial" w:cs="Arial"/>
          <w:lang w:val="en-ID"/>
        </w:rPr>
        <w:fldChar w:fldCharType="separate"/>
      </w:r>
      <w:r w:rsidR="001039A5" w:rsidRPr="001039A5">
        <w:rPr>
          <w:rFonts w:ascii="Arial" w:hAnsi="Arial" w:cs="Arial"/>
          <w:noProof/>
          <w:lang w:val="en-ID"/>
        </w:rPr>
        <w:t>(4)</w:t>
      </w:r>
      <w:r w:rsidR="000C68B6">
        <w:rPr>
          <w:rFonts w:ascii="Arial" w:hAnsi="Arial" w:cs="Arial"/>
          <w:lang w:val="en-ID"/>
        </w:rPr>
        <w:fldChar w:fldCharType="end"/>
      </w:r>
      <w:r w:rsidR="008C7DBC" w:rsidRPr="007A286A">
        <w:rPr>
          <w:rFonts w:ascii="Arial" w:hAnsi="Arial" w:cs="Arial"/>
          <w:lang w:val="en-ID"/>
        </w:rPr>
        <w:t xml:space="preserve">. </w:t>
      </w:r>
      <w:r w:rsidRPr="007A286A">
        <w:rPr>
          <w:rFonts w:ascii="Arial" w:hAnsi="Arial" w:cs="Arial"/>
          <w:lang w:val="en-ID"/>
        </w:rPr>
        <w:t xml:space="preserve">The therapeutic potential of </w:t>
      </w:r>
      <w:r w:rsidRPr="007A286A">
        <w:rPr>
          <w:rFonts w:ascii="Arial" w:hAnsi="Arial" w:cs="Arial"/>
          <w:i/>
          <w:iCs/>
          <w:lang w:val="en-ID"/>
        </w:rPr>
        <w:t>F. racemosa</w:t>
      </w:r>
      <w:r w:rsidRPr="007A286A">
        <w:rPr>
          <w:rFonts w:ascii="Arial" w:hAnsi="Arial" w:cs="Arial"/>
          <w:lang w:val="en-ID"/>
        </w:rPr>
        <w:t xml:space="preserve"> in the field of ethnopsychopharmacology has been explored and has shown a wide spectrum of biological activities. </w:t>
      </w:r>
      <w:r w:rsidRPr="007A286A">
        <w:rPr>
          <w:rFonts w:ascii="Arial" w:hAnsi="Arial" w:cs="Arial"/>
          <w:i/>
          <w:iCs/>
          <w:lang w:val="en-ID"/>
        </w:rPr>
        <w:t>F. racemosa</w:t>
      </w:r>
      <w:r w:rsidRPr="007A286A">
        <w:rPr>
          <w:rFonts w:ascii="Arial" w:hAnsi="Arial" w:cs="Arial"/>
          <w:lang w:val="en-ID"/>
        </w:rPr>
        <w:t xml:space="preserve"> Linn. has pharmacological significance in all its parts</w:t>
      </w:r>
      <w:r w:rsidR="000C68B6">
        <w:rPr>
          <w:rFonts w:ascii="Arial" w:hAnsi="Arial" w:cs="Arial"/>
          <w:lang w:val="en-ID"/>
        </w:rPr>
        <w:t xml:space="preserve"> </w:t>
      </w:r>
      <w:r w:rsidR="000C68B6">
        <w:rPr>
          <w:rFonts w:ascii="Arial" w:hAnsi="Arial" w:cs="Arial"/>
          <w:lang w:val="en-ID"/>
        </w:rPr>
        <w:fldChar w:fldCharType="begin" w:fldLock="1"/>
      </w:r>
      <w:r w:rsidR="001E61FF">
        <w:rPr>
          <w:rFonts w:ascii="Arial" w:hAnsi="Arial" w:cs="Arial"/>
          <w:lang w:val="en-ID"/>
        </w:rPr>
        <w:instrText>ADDIN CSL_CITATION {"citationItems":[{"id":"ITEM-1","itemData":{"DOI":"10.47583/ijpsrr.2024.v84i04.013","author":[{"dropping-particle":"","family":"Sahoo","given":"Rabinarayan","non-dropping-particle":"","parse-names":false,"suffix":""},{"dropping-particle":"","family":"Behera","given":"Saloman","non-dropping-particle":"","parse-names":false,"suffix":""}],"container-title":"International Journal of Pharmaceutical Sciences Review and Research","id":"ITEM-1","issue":"4","issued":{"date-parts":[["2024"]]},"page":"92-99","title":"Exploring the Therapeutic Potential of Ficus racemosa: A Comprehensive Re-view","type":"article-journal","volume":"84"},"uris":["http://www.mendeley.com/documents/?uuid=76683c53-90a5-4171-a3b4-a26b73142f90"]}],"mendeley":{"formattedCitation":"(5)","plainTextFormattedCitation":"(5)","previouslyFormattedCitation":"(5)"},"properties":{"noteIndex":0},"schema":"https://github.com/citation-style-language/schema/raw/master/csl-citation.json"}</w:instrText>
      </w:r>
      <w:r w:rsidR="000C68B6">
        <w:rPr>
          <w:rFonts w:ascii="Arial" w:hAnsi="Arial" w:cs="Arial"/>
          <w:lang w:val="en-ID"/>
        </w:rPr>
        <w:fldChar w:fldCharType="separate"/>
      </w:r>
      <w:r w:rsidR="001039A5" w:rsidRPr="001039A5">
        <w:rPr>
          <w:rFonts w:ascii="Arial" w:hAnsi="Arial" w:cs="Arial"/>
          <w:noProof/>
          <w:lang w:val="en-ID"/>
        </w:rPr>
        <w:t>(5)</w:t>
      </w:r>
      <w:r w:rsidR="000C68B6">
        <w:rPr>
          <w:rFonts w:ascii="Arial" w:hAnsi="Arial" w:cs="Arial"/>
          <w:lang w:val="en-ID"/>
        </w:rPr>
        <w:fldChar w:fldCharType="end"/>
      </w:r>
      <w:r w:rsidR="008C7DBC" w:rsidRPr="007A286A">
        <w:rPr>
          <w:rFonts w:ascii="Arial" w:hAnsi="Arial" w:cs="Arial"/>
          <w:lang w:val="en-ID"/>
        </w:rPr>
        <w:t>.</w:t>
      </w:r>
    </w:p>
    <w:p w14:paraId="77742C92" w14:textId="77777777" w:rsidR="00BA736B" w:rsidRPr="007A286A" w:rsidRDefault="00BA736B" w:rsidP="00BA736B">
      <w:pPr>
        <w:jc w:val="both"/>
        <w:rPr>
          <w:rFonts w:ascii="Arial" w:hAnsi="Arial" w:cs="Arial"/>
          <w:lang w:val="en-ID"/>
        </w:rPr>
      </w:pPr>
    </w:p>
    <w:p w14:paraId="51778206" w14:textId="344EF032" w:rsidR="008C7DBC" w:rsidRDefault="00F22917" w:rsidP="00BA736B">
      <w:pPr>
        <w:jc w:val="both"/>
        <w:rPr>
          <w:rFonts w:ascii="Arial" w:hAnsi="Arial" w:cs="Arial"/>
          <w:lang w:val="en-ID"/>
        </w:rPr>
      </w:pPr>
      <w:r w:rsidRPr="00F22917">
        <w:rPr>
          <w:rFonts w:ascii="Arial" w:hAnsi="Arial" w:cs="Arial"/>
          <w:lang w:val="en-ID"/>
        </w:rPr>
        <w:t xml:space="preserve">In addition to pharmacological potential, </w:t>
      </w:r>
      <w:r w:rsidRPr="00F22917">
        <w:rPr>
          <w:rFonts w:ascii="Arial" w:hAnsi="Arial" w:cs="Arial"/>
          <w:i/>
          <w:iCs/>
          <w:lang w:val="en-ID"/>
        </w:rPr>
        <w:t>F. racemosa</w:t>
      </w:r>
      <w:r w:rsidRPr="00F22917">
        <w:rPr>
          <w:rFonts w:ascii="Arial" w:hAnsi="Arial" w:cs="Arial"/>
          <w:lang w:val="en-ID"/>
        </w:rPr>
        <w:t xml:space="preserve"> also has ecological potential. The </w:t>
      </w:r>
      <w:proofErr w:type="spellStart"/>
      <w:r w:rsidRPr="00F22917">
        <w:rPr>
          <w:rFonts w:ascii="Arial" w:hAnsi="Arial" w:cs="Arial"/>
          <w:lang w:val="en-ID"/>
        </w:rPr>
        <w:t>Moraceae</w:t>
      </w:r>
      <w:proofErr w:type="spellEnd"/>
      <w:r w:rsidRPr="00F22917">
        <w:rPr>
          <w:rFonts w:ascii="Arial" w:hAnsi="Arial" w:cs="Arial"/>
          <w:lang w:val="en-ID"/>
        </w:rPr>
        <w:t xml:space="preserve"> family is widely used for spring conservation. In Indonesia, the genus Ficus grows around springs or along rivers in lowland forests, riverbank forests, mountain forests, and rocky forests with varying altitudes ranging from 100-700 meters above sea level.</w:t>
      </w:r>
      <w:r w:rsidR="008C7DBC" w:rsidRPr="009F1A00">
        <w:rPr>
          <w:rFonts w:ascii="Arial" w:hAnsi="Arial" w:cs="Arial"/>
          <w:lang w:val="id"/>
        </w:rPr>
        <w:t xml:space="preserve"> </w:t>
      </w:r>
      <w:r w:rsidRPr="000C68B6">
        <w:rPr>
          <w:rFonts w:ascii="Arial" w:hAnsi="Arial" w:cs="Arial"/>
          <w:lang w:val="id"/>
        </w:rPr>
        <w:t xml:space="preserve">The large </w:t>
      </w:r>
      <w:r w:rsidR="00E513F5" w:rsidRPr="000C68B6">
        <w:rPr>
          <w:rFonts w:ascii="Arial" w:hAnsi="Arial" w:cs="Arial"/>
          <w:lang w:val="id"/>
        </w:rPr>
        <w:t>growth</w:t>
      </w:r>
      <w:r w:rsidRPr="000C68B6">
        <w:rPr>
          <w:rFonts w:ascii="Arial" w:hAnsi="Arial" w:cs="Arial"/>
          <w:lang w:val="id"/>
        </w:rPr>
        <w:t xml:space="preserve"> form of </w:t>
      </w:r>
      <w:r w:rsidRPr="000C68B6">
        <w:rPr>
          <w:rFonts w:ascii="Arial" w:hAnsi="Arial" w:cs="Arial"/>
          <w:i/>
          <w:iCs/>
          <w:lang w:val="id"/>
        </w:rPr>
        <w:t>F. racemosa</w:t>
      </w:r>
      <w:r w:rsidRPr="000C68B6">
        <w:rPr>
          <w:rFonts w:ascii="Arial" w:hAnsi="Arial" w:cs="Arial"/>
          <w:lang w:val="id"/>
        </w:rPr>
        <w:t xml:space="preserve"> makes this plant have a role in protecting several types </w:t>
      </w:r>
      <w:r w:rsidRPr="00F22917">
        <w:rPr>
          <w:rFonts w:ascii="Arial" w:hAnsi="Arial" w:cs="Arial"/>
          <w:lang w:val="id"/>
        </w:rPr>
        <w:t>of animals that inhabit the tree</w:t>
      </w:r>
      <w:r w:rsidR="000C68B6">
        <w:rPr>
          <w:rFonts w:ascii="Arial" w:hAnsi="Arial" w:cs="Arial"/>
          <w:lang w:val="id"/>
        </w:rPr>
        <w:t xml:space="preserve"> </w:t>
      </w:r>
      <w:r w:rsidR="000C68B6">
        <w:rPr>
          <w:rFonts w:ascii="Arial" w:hAnsi="Arial" w:cs="Arial"/>
          <w:lang w:val="id"/>
        </w:rPr>
        <w:fldChar w:fldCharType="begin" w:fldLock="1"/>
      </w:r>
      <w:r w:rsidR="001E61FF">
        <w:rPr>
          <w:rFonts w:ascii="Arial" w:hAnsi="Arial" w:cs="Arial"/>
          <w:lang w:val="id"/>
        </w:rPr>
        <w:instrText>ADDIN CSL_CITATION {"citationItems":[{"id":"ITEM-1","itemData":{"DOI":"10.21009/bioma12(2).2","ISSN":"0126-3552","abstract":"River is the most important things for the human life, one of the components environmental especially for whom whose living in the city and Ciliwung river is one of the major river beside of others 13 rivers. Bamboo trees, bananas, cotton, gempol and elo are the common flora were dominate plants along the riverbanks (gempol and elo taken from the local people words). Based from interview with some local citizens in the Ciliwung riverbank which pas through the district of Pangadegan (South Jakarta), Ficus racemosa L (elo tree) is the most important plant which can withstand river erosion and could maintained the riverbanks during flood and continued by taking sample that plant on that district for need of analysis and identification. From the calculation Gigantochloa apus types stake has the highest INP value to the over all plot of 65.43% while INP Ficus racemosa is still low, but Ficus racemosa can be one alternative plant for conservation in the Ciliwung river, because Ficus racemosa has strong roots. However the selection of other plants such as bamboo trees is more effective because it has fast growth. Therefore, by combining the types of plants that role as conservation may be a solution.","author":[{"dropping-particle":"","family":"Zaharah","given":"Puteri","non-dropping-particle":"","parse-names":false,"suffix":""},{"dropping-particle":"","family":"Noriko","given":"Nita","non-dropping-particle":"","parse-names":false,"suffix":""},{"dropping-particle":"","family":"Pambudi","given":"Arief","non-dropping-particle":"","parse-names":false,"suffix":""}],"container-title":"Bioma","id":"ITEM-1","issue":"2","issued":{"date-parts":[["2017"]]},"page":"74","title":"Analisis Vegetasi Ficus Racemosa L. di Bantaran Sungai Ciliwung Wilayah Pangadegan Jakarta Selatan","type":"article-journal","volume":"12"},"uris":["http://www.mendeley.com/documents/?uuid=9ef9be23-2396-432f-9205-8c5395362f75"]}],"mendeley":{"formattedCitation":"(6)","plainTextFormattedCitation":"(6)","previouslyFormattedCitation":"(6)"},"properties":{"noteIndex":0},"schema":"https://github.com/citation-style-language/schema/raw/master/csl-citation.json"}</w:instrText>
      </w:r>
      <w:r w:rsidR="000C68B6">
        <w:rPr>
          <w:rFonts w:ascii="Arial" w:hAnsi="Arial" w:cs="Arial"/>
          <w:lang w:val="id"/>
        </w:rPr>
        <w:fldChar w:fldCharType="separate"/>
      </w:r>
      <w:r w:rsidR="001039A5" w:rsidRPr="001039A5">
        <w:rPr>
          <w:rFonts w:ascii="Arial" w:hAnsi="Arial" w:cs="Arial"/>
          <w:noProof/>
          <w:lang w:val="id"/>
        </w:rPr>
        <w:t>(6)</w:t>
      </w:r>
      <w:r w:rsidR="000C68B6">
        <w:rPr>
          <w:rFonts w:ascii="Arial" w:hAnsi="Arial" w:cs="Arial"/>
          <w:lang w:val="id"/>
        </w:rPr>
        <w:fldChar w:fldCharType="end"/>
      </w:r>
      <w:r w:rsidR="008C7DBC" w:rsidRPr="00394670">
        <w:rPr>
          <w:rFonts w:ascii="Arial" w:hAnsi="Arial" w:cs="Arial"/>
          <w:lang w:val="id"/>
        </w:rPr>
        <w:t xml:space="preserve">, </w:t>
      </w:r>
      <w:r w:rsidRPr="00F22917">
        <w:rPr>
          <w:rFonts w:ascii="Arial" w:hAnsi="Arial" w:cs="Arial"/>
          <w:lang w:val="id"/>
        </w:rPr>
        <w:t>the leaves of the lush tree are able to produce oxygen and absorb carbon dioxide with a large capacity</w:t>
      </w:r>
      <w:r w:rsidR="008C7DBC" w:rsidRPr="000C68B6">
        <w:rPr>
          <w:rFonts w:ascii="Arial" w:hAnsi="Arial" w:cs="Arial"/>
          <w:lang w:val="id"/>
        </w:rPr>
        <w:t xml:space="preserve">. </w:t>
      </w:r>
      <w:r w:rsidR="00E00FE8" w:rsidRPr="00E00FE8">
        <w:rPr>
          <w:rFonts w:ascii="Arial" w:hAnsi="Arial" w:cs="Arial"/>
          <w:lang w:val="en-ID"/>
        </w:rPr>
        <w:t xml:space="preserve">The large number of branches with a dense crown so that it can break up the raindrops that reach the ground. This species has a strong, deep and </w:t>
      </w:r>
      <w:r w:rsidR="00E00FE8" w:rsidRPr="00E00FE8">
        <w:rPr>
          <w:rFonts w:ascii="Arial" w:hAnsi="Arial" w:cs="Arial"/>
          <w:lang w:val="en-ID"/>
        </w:rPr>
        <w:lastRenderedPageBreak/>
        <w:t>widespread root system.</w:t>
      </w:r>
      <w:r w:rsidR="009333CD">
        <w:rPr>
          <w:rFonts w:ascii="Arial" w:hAnsi="Arial" w:cs="Arial"/>
          <w:lang w:val="en-ID"/>
        </w:rPr>
        <w:t xml:space="preserve"> </w:t>
      </w:r>
      <w:r w:rsidR="009333CD" w:rsidRPr="009333CD">
        <w:rPr>
          <w:rFonts w:ascii="Arial" w:hAnsi="Arial" w:cs="Arial"/>
          <w:lang w:val="en-ID"/>
        </w:rPr>
        <w:t>This type of root not only helps keep slopes stable</w:t>
      </w:r>
      <w:r w:rsidR="008C7DBC" w:rsidRPr="00E00FE8">
        <w:rPr>
          <w:rFonts w:ascii="Arial" w:hAnsi="Arial" w:cs="Arial"/>
          <w:lang w:val="en-ID"/>
        </w:rPr>
        <w:t xml:space="preserve"> </w:t>
      </w:r>
      <w:r w:rsidR="00E23098">
        <w:rPr>
          <w:rFonts w:ascii="Arial" w:hAnsi="Arial" w:cs="Arial"/>
          <w:lang w:val="en-ID"/>
        </w:rPr>
        <w:fldChar w:fldCharType="begin" w:fldLock="1"/>
      </w:r>
      <w:r w:rsidR="001E61FF">
        <w:rPr>
          <w:rFonts w:ascii="Arial" w:hAnsi="Arial" w:cs="Arial"/>
          <w:lang w:val="en-ID"/>
        </w:rPr>
        <w:instrText>ADDIN CSL_CITATION {"citationItems":[{"id":"ITEM-1","itemData":{"DOI":"10.11594/jtls.02.03.10","ISSN":"20875517","abstract":"The aim of the research was to find out the composition of trees grown surrounding water springs at two areas in Purwosari, Pasuruan, East Java. Eleven plots for each area were observed. The data were analyzed using Mueller-Domboiss method to calculate their importance value indexes, while Shannon-Wieners formula was used for determining the diversity index. The coordinate and altitude of every water spring or its groups site was determined using Geographical Position System (GPS) to know their positions on the map. The result indicated that there were at least 30 families, 49 genera which consisted of 68 species of trees grown surrounding water springs at the first area with 5.49 of diversity index, while the second area, consisted of 34 families, 63 genera and 79 species of trees with 5.24 diversity index. The diversity of trees species from Moraceae was the highest among other families, both at the first and the second area, whereas, trees species having a significant important value index included Bambusa blumeana, Dendrocalamus asper, Ficus racemosa, Horsfieldia irya and Ficus virens. The position of the springs in the two areas within the sub-districts of Purwosari is in the range of 7º44'448 \" south latitude; 112º44'353\" east longitude up to 7º46'339 \" south latitude; 112º41190\" east longitude at an altitude between 251 and 522 m above sea level. We hope that the information can be used as an alternative guidance to restore or to conserve such areas in order to save and sustain trees diversity and their habitat.Keywords: composition, trees, water springs, Purwosari, Pasuruan.","author":[{"dropping-particle":"","family":"Soejono","given":"Soejono","non-dropping-particle":"","parse-names":false,"suffix":""}],"container-title":"Journal of Tropical Life Science","id":"ITEM-1","issue":"3","issued":{"date-parts":[["2012"]]},"page":"110-118","title":"Composition of Trees Grown Surrounding Water Springs at Two Areas in Purwosari Pasuruan, East Java","type":"article-journal","volume":"2"},"uris":["http://www.mendeley.com/documents/?uuid=21222b57-6daa-47fb-8297-2d77e88f3985"]}],"mendeley":{"formattedCitation":"(7)","plainTextFormattedCitation":"(7)","previouslyFormattedCitation":"(7)"},"properties":{"noteIndex":0},"schema":"https://github.com/citation-style-language/schema/raw/master/csl-citation.json"}</w:instrText>
      </w:r>
      <w:r w:rsidR="00E23098">
        <w:rPr>
          <w:rFonts w:ascii="Arial" w:hAnsi="Arial" w:cs="Arial"/>
          <w:lang w:val="en-ID"/>
        </w:rPr>
        <w:fldChar w:fldCharType="separate"/>
      </w:r>
      <w:r w:rsidR="001039A5" w:rsidRPr="001039A5">
        <w:rPr>
          <w:rFonts w:ascii="Arial" w:hAnsi="Arial" w:cs="Arial"/>
          <w:noProof/>
          <w:lang w:val="en-ID"/>
        </w:rPr>
        <w:t>(7)</w:t>
      </w:r>
      <w:r w:rsidR="00E23098">
        <w:rPr>
          <w:rFonts w:ascii="Arial" w:hAnsi="Arial" w:cs="Arial"/>
          <w:lang w:val="en-ID"/>
        </w:rPr>
        <w:fldChar w:fldCharType="end"/>
      </w:r>
      <w:r w:rsidR="009333CD" w:rsidRPr="00E23098">
        <w:rPr>
          <w:rFonts w:ascii="Arial" w:hAnsi="Arial" w:cs="Arial"/>
          <w:lang w:val="en-ID"/>
        </w:rPr>
        <w:t>, but also keeps water available in the grows area</w:t>
      </w:r>
      <w:r w:rsidR="00E23098" w:rsidRPr="00E23098">
        <w:rPr>
          <w:rFonts w:ascii="Arial" w:hAnsi="Arial" w:cs="Arial"/>
          <w:lang w:val="en-ID"/>
        </w:rPr>
        <w:t xml:space="preserve"> </w:t>
      </w:r>
      <w:r w:rsidR="00E23098">
        <w:rPr>
          <w:rFonts w:ascii="Arial" w:hAnsi="Arial" w:cs="Arial"/>
          <w:lang w:val="en-ID"/>
        </w:rPr>
        <w:fldChar w:fldCharType="begin" w:fldLock="1"/>
      </w:r>
      <w:r w:rsidR="001E61FF">
        <w:rPr>
          <w:rFonts w:ascii="Arial" w:hAnsi="Arial" w:cs="Arial"/>
          <w:lang w:val="en-ID"/>
        </w:rPr>
        <w:instrText>ADDIN CSL_CITATION {"citationItems":[{"id":"ITEM-1","itemData":{"DOI":"10.13057/psnmbi/m010306","abstract":"Water is a natural resource used by living things, including humans. The management of water resources is required to make it useful and sustainable for the long-term. Local knowledge of people in Karangmanggis, Boja, Kendal, Central Java in conserving water resources is interesting to study. The research was used qualitative descriptive study. The study was conducted in August until October 2014. Data collection was used interview, observation, and tracking of primary data. The results showed that the local plants which were potential to store water in Karangmanggis, namely: Erythrina fusca, Metroxylon sagu, Ficus racemosa, Ficus sp., and Artocarpus elastica. The plants have lush tree canopy and able to hold rainwater, and prevent soil erosion. These plants has also strong taproot and a lot of branched to bind the soil which prevent erosion and absorb water.","author":[{"dropping-particle":"","family":"Ulfah","given":"Maria","non-dropping-particle":"","parse-names":false,"suffix":""}],"id":"ITEM-1","issued":{"date-parts":[["2015"]]},"page":"418-422","title":"Morphological study of local plant species with water storage potential: Water conservation in Karangmanggis, Boja, Kendal, Central Java.","type":"article-journal","volume":"1"},"uris":["http://www.mendeley.com/documents/?uuid=25772ef7-4e80-4c38-9868-701b364971be"]}],"mendeley":{"formattedCitation":"(8)","plainTextFormattedCitation":"(8)","previouslyFormattedCitation":"(8)"},"properties":{"noteIndex":0},"schema":"https://github.com/citation-style-language/schema/raw/master/csl-citation.json"}</w:instrText>
      </w:r>
      <w:r w:rsidR="00E23098">
        <w:rPr>
          <w:rFonts w:ascii="Arial" w:hAnsi="Arial" w:cs="Arial"/>
          <w:lang w:val="en-ID"/>
        </w:rPr>
        <w:fldChar w:fldCharType="separate"/>
      </w:r>
      <w:r w:rsidR="001039A5" w:rsidRPr="001039A5">
        <w:rPr>
          <w:rFonts w:ascii="Arial" w:hAnsi="Arial" w:cs="Arial"/>
          <w:noProof/>
          <w:lang w:val="en-ID"/>
        </w:rPr>
        <w:t>(8)</w:t>
      </w:r>
      <w:r w:rsidR="00E23098">
        <w:rPr>
          <w:rFonts w:ascii="Arial" w:hAnsi="Arial" w:cs="Arial"/>
          <w:lang w:val="en-ID"/>
        </w:rPr>
        <w:fldChar w:fldCharType="end"/>
      </w:r>
      <w:r w:rsidR="008C7DBC" w:rsidRPr="00031329">
        <w:rPr>
          <w:rFonts w:ascii="Arial" w:hAnsi="Arial" w:cs="Arial"/>
          <w:lang w:val="en-ID"/>
        </w:rPr>
        <w:t xml:space="preserve"> </w:t>
      </w:r>
      <w:r w:rsidR="009333CD" w:rsidRPr="009333CD">
        <w:rPr>
          <w:rFonts w:ascii="Arial" w:hAnsi="Arial" w:cs="Arial"/>
          <w:lang w:val="en-ID"/>
        </w:rPr>
        <w:t>which helps prevent soil erosion</w:t>
      </w:r>
      <w:r w:rsidR="00E23098">
        <w:rPr>
          <w:rFonts w:ascii="Arial" w:hAnsi="Arial" w:cs="Arial"/>
          <w:lang w:val="en-ID"/>
        </w:rPr>
        <w:t xml:space="preserve"> </w:t>
      </w:r>
      <w:r w:rsidR="00E23098">
        <w:rPr>
          <w:rFonts w:ascii="Arial" w:hAnsi="Arial" w:cs="Arial"/>
          <w:lang w:val="en-ID"/>
        </w:rPr>
        <w:fldChar w:fldCharType="begin" w:fldLock="1"/>
      </w:r>
      <w:r w:rsidR="001E61FF">
        <w:rPr>
          <w:rFonts w:ascii="Arial" w:hAnsi="Arial" w:cs="Arial"/>
          <w:lang w:val="en-ID"/>
        </w:rPr>
        <w:instrText>ADDIN CSL_CITATION {"citationItems":[{"id":"ITEM-1","itemData":{"DOI":"10.14421/jbs.3973","author":[{"dropping-particle":"","family":"Aji","given":"Taufik","non-dropping-particle":"","parse-names":false,"suffix":""},{"dropping-particle":"","family":"Sutriyono","given":"","non-dropping-particle":"","parse-names":false,"suffix":""},{"dropping-particle":"","family":"Qudratullah","given":"Muhammad Farhan","non-dropping-particle":"","parse-names":false,"suffix":""},{"dropping-particle":"","family":"Gunawan","given":"Win Indra","non-dropping-particle":"","parse-names":false,"suffix":""}],"container-title":"Jurnal Bakti Saintek","id":"ITEM-1","issue":"2","issued":{"date-parts":[["2022"]]},"page":"59-65","title":"Ficus sp. Local for Water Conservation in the Merapi Tourism Area","type":"article-journal","volume":"6"},"uris":["http://www.mendeley.com/documents/?uuid=f1193816-f879-49be-9736-90de601d0983"]}],"mendeley":{"formattedCitation":"(9)","plainTextFormattedCitation":"(9)","previouslyFormattedCitation":"(9)"},"properties":{"noteIndex":0},"schema":"https://github.com/citation-style-language/schema/raw/master/csl-citation.json"}</w:instrText>
      </w:r>
      <w:r w:rsidR="00E23098">
        <w:rPr>
          <w:rFonts w:ascii="Arial" w:hAnsi="Arial" w:cs="Arial"/>
          <w:lang w:val="en-ID"/>
        </w:rPr>
        <w:fldChar w:fldCharType="separate"/>
      </w:r>
      <w:r w:rsidR="001039A5" w:rsidRPr="001039A5">
        <w:rPr>
          <w:rFonts w:ascii="Arial" w:hAnsi="Arial" w:cs="Arial"/>
          <w:noProof/>
          <w:lang w:val="en-ID"/>
        </w:rPr>
        <w:t>(9)</w:t>
      </w:r>
      <w:r w:rsidR="00E23098">
        <w:rPr>
          <w:rFonts w:ascii="Arial" w:hAnsi="Arial" w:cs="Arial"/>
          <w:lang w:val="en-ID"/>
        </w:rPr>
        <w:fldChar w:fldCharType="end"/>
      </w:r>
      <w:r w:rsidR="008C7DBC" w:rsidRPr="00031329">
        <w:rPr>
          <w:rFonts w:ascii="Arial" w:hAnsi="Arial" w:cs="Arial"/>
          <w:lang w:val="en-ID"/>
        </w:rPr>
        <w:t xml:space="preserve">. </w:t>
      </w:r>
      <w:r w:rsidR="00031329" w:rsidRPr="00031329">
        <w:rPr>
          <w:rFonts w:ascii="Arial" w:hAnsi="Arial" w:cs="Arial"/>
          <w:lang w:val="en-ID"/>
        </w:rPr>
        <w:t xml:space="preserve">However, the increasing rate of deforestation currently causes many important forest plants to be reduced. </w:t>
      </w:r>
      <w:r w:rsidR="00AA2485" w:rsidRPr="00031329">
        <w:rPr>
          <w:rFonts w:ascii="Arial" w:hAnsi="Arial" w:cs="Arial"/>
          <w:lang w:val="en-ID"/>
        </w:rPr>
        <w:t>To</w:t>
      </w:r>
      <w:r w:rsidR="00031329" w:rsidRPr="00031329">
        <w:rPr>
          <w:rFonts w:ascii="Arial" w:hAnsi="Arial" w:cs="Arial"/>
          <w:lang w:val="en-ID"/>
        </w:rPr>
        <w:t xml:space="preserve"> support the sustainability of the function and role of forest resources in the long term, mitigation by reforestation of forest plants is important.</w:t>
      </w:r>
    </w:p>
    <w:p w14:paraId="6C4D5E41" w14:textId="77777777" w:rsidR="00BA736B" w:rsidRPr="00031329" w:rsidRDefault="00BA736B" w:rsidP="00BA736B">
      <w:pPr>
        <w:jc w:val="both"/>
        <w:rPr>
          <w:rFonts w:ascii="Arial" w:hAnsi="Arial" w:cs="Arial"/>
          <w:lang w:val="en-ID"/>
        </w:rPr>
      </w:pPr>
    </w:p>
    <w:p w14:paraId="70C40721" w14:textId="15AE75C9" w:rsidR="008C7DBC" w:rsidRDefault="00AA2485" w:rsidP="00BA736B">
      <w:pPr>
        <w:jc w:val="both"/>
        <w:rPr>
          <w:rFonts w:ascii="Arial" w:hAnsi="Arial" w:cs="Arial"/>
          <w:lang w:val="id"/>
        </w:rPr>
      </w:pPr>
      <w:r w:rsidRPr="00AA2485">
        <w:rPr>
          <w:rFonts w:ascii="Arial" w:hAnsi="Arial" w:cs="Arial"/>
          <w:lang w:val="en-ID"/>
        </w:rPr>
        <w:t xml:space="preserve">The propagation of </w:t>
      </w:r>
      <w:r w:rsidRPr="00523A22">
        <w:rPr>
          <w:rFonts w:ascii="Arial" w:hAnsi="Arial" w:cs="Arial"/>
          <w:i/>
          <w:iCs/>
          <w:lang w:val="en-ID"/>
        </w:rPr>
        <w:t>Ficus</w:t>
      </w:r>
      <w:r w:rsidRPr="00AA2485">
        <w:rPr>
          <w:rFonts w:ascii="Arial" w:hAnsi="Arial" w:cs="Arial"/>
          <w:lang w:val="en-ID"/>
        </w:rPr>
        <w:t xml:space="preserve"> spp. is generally by seeds and vegetative methods. Generative propagation using seeds is often constrained by the limited number of seeds formed because natural pollination requires special bees. On the other hand, vegetative propagation of forest plants generally takes a long time so that conventional propagation methods for increasing plant stock are considered less efficient in producing healthy plant stock in large quantities. Micropropagation offers mass production of plantlets (in vitro cultured plants) that are genetically identical, physiologically uniform, develop normally, and are free of pathogens, which can be acclimatized in a shorter </w:t>
      </w:r>
      <w:r w:rsidR="00392735" w:rsidRPr="00AA2485">
        <w:rPr>
          <w:rFonts w:ascii="Arial" w:hAnsi="Arial" w:cs="Arial"/>
          <w:lang w:val="en-ID"/>
        </w:rPr>
        <w:t>period</w:t>
      </w:r>
      <w:r w:rsidRPr="00AA2485">
        <w:rPr>
          <w:rFonts w:ascii="Arial" w:hAnsi="Arial" w:cs="Arial"/>
          <w:lang w:val="en-ID"/>
        </w:rPr>
        <w:t>. In vitro cultivation of woody plant species often uses WPM.</w:t>
      </w:r>
      <w:r w:rsidR="008C7DBC" w:rsidRPr="00AA2485">
        <w:rPr>
          <w:rFonts w:ascii="Arial" w:hAnsi="Arial" w:cs="Arial"/>
          <w:lang w:val="en-ID"/>
        </w:rPr>
        <w:t xml:space="preserve"> </w:t>
      </w:r>
      <w:r w:rsidRPr="00AA2485">
        <w:rPr>
          <w:rFonts w:ascii="Arial" w:hAnsi="Arial" w:cs="Arial"/>
          <w:lang w:val="en-ID"/>
        </w:rPr>
        <w:t>However, Murashige and Skoog (</w:t>
      </w:r>
      <w:r w:rsidRPr="00977C57">
        <w:rPr>
          <w:rFonts w:ascii="Arial" w:hAnsi="Arial" w:cs="Arial"/>
          <w:lang w:val="en-ID"/>
        </w:rPr>
        <w:t xml:space="preserve">MS) culture media </w:t>
      </w:r>
      <w:r w:rsidR="008C7DBC" w:rsidRPr="00977C57">
        <w:rPr>
          <w:rFonts w:ascii="Arial" w:hAnsi="Arial" w:cs="Arial"/>
          <w:lang w:val="en-ID"/>
        </w:rPr>
        <w:t xml:space="preserve">(1962) </w:t>
      </w:r>
      <w:r w:rsidRPr="00977C57">
        <w:rPr>
          <w:rFonts w:ascii="Arial" w:hAnsi="Arial" w:cs="Arial"/>
          <w:lang w:val="en-ID"/>
        </w:rPr>
        <w:t xml:space="preserve">which is widely used for plant tissue culture has also been successful for </w:t>
      </w:r>
      <w:r w:rsidR="00AE7616" w:rsidRPr="00977C57">
        <w:rPr>
          <w:rFonts w:ascii="Arial" w:hAnsi="Arial" w:cs="Arial"/>
          <w:lang w:val="en-ID"/>
        </w:rPr>
        <w:t xml:space="preserve">indirect organogenesis through seedling-derived leaf segment of </w:t>
      </w:r>
      <w:r w:rsidR="00AE7616" w:rsidRPr="00977C57">
        <w:rPr>
          <w:rFonts w:ascii="Arial" w:hAnsi="Arial" w:cs="Arial"/>
          <w:i/>
          <w:iCs/>
          <w:lang w:val="en-ID"/>
        </w:rPr>
        <w:t>F. religiosa</w:t>
      </w:r>
      <w:r w:rsidR="00AE7616" w:rsidRPr="00977C57">
        <w:rPr>
          <w:rFonts w:ascii="Arial" w:hAnsi="Arial" w:cs="Arial"/>
          <w:lang w:val="en-ID"/>
        </w:rPr>
        <w:t xml:space="preserve"> </w:t>
      </w:r>
      <w:r w:rsidR="005F1EC6">
        <w:rPr>
          <w:rFonts w:ascii="Arial" w:hAnsi="Arial" w:cs="Arial"/>
          <w:lang w:val="en-ID"/>
        </w:rPr>
        <w:fldChar w:fldCharType="begin" w:fldLock="1"/>
      </w:r>
      <w:r w:rsidR="001E61FF">
        <w:rPr>
          <w:rFonts w:ascii="Arial" w:hAnsi="Arial" w:cs="Arial"/>
          <w:lang w:val="en-ID"/>
        </w:rPr>
        <w:instrText>ADDIN CSL_CITATION {"citationItems":[{"id":"ITEM-1","itemData":{"DOI":"10.1007/s12892-018-0024-0","ISSN":"20058276","abstract":"The aim of this study is to introduce the suitable protocol for indirect regeneration from seedling-derived leaf segment of Ficus religiosa. The leaf explant successfully produced callus on MS medium containing various concentrations of auxin in combination with BAP. The maximum callus induction (100%) was achieved in MS medium containing 0.5 mg/l 2,4-D plus 0.05 mg/l BAP and MS medium containing 1.5 mg/l NAA plus 0.15 mg/l BAP as well. MS medium consisting of 2,4-D produced yellow-brownish and friable callus (type I) while the yellowish and compact calli (type II) were obtained in MS medium consisting of NAA. On the other hand, MS medium supplemented with IBA formed greenish and compact calli (type Ш). The regeneration rate in type II callus was less than the type I, and there was no shoot induction observed on type Ш calli. MS medium supplemented with 1.5 mg/l BAP in combination with 0.15 mg/l IBA had the highest regeneration frequency (100%) and maximum shoot numbers (5.16) as well as shoot length (2.56 cm) in type I callus. A maximum of 93.33% root induction was observed in MS medium supplemented with 2.0 mg/l IBA plus 0.1mg/l NAA. The plantlets were successfully transferred to the greenhouse. This system could be utilized for large-scale multiplication of Ficus religiosa.","author":[{"dropping-particle":"","family":"Hesami","given":"Mohsen","non-dropping-particle":"","parse-names":false,"suffix":""},{"dropping-particle":"","family":"Daneshvar","given":"Mohammad Hosein","non-dropping-particle":"","parse-names":false,"suffix":""}],"container-title":"Journal of Crop Science and Biotechnology","id":"ITEM-1","issue":"2","issued":{"date-parts":[["2018"]]},"page":"129-136","title":"Indirect Organogenesis through Seedling-Derived Leaf Segments of Ficus Religiosa - a Multipurpose Woody Medicinal Plant","type":"article-journal","volume":"21"},"uris":["http://www.mendeley.com/documents/?uuid=333fef51-a96a-4eca-a37b-4ecb0d619dfa"]}],"mendeley":{"formattedCitation":"(10)","plainTextFormattedCitation":"(10)","previouslyFormattedCitation":"(10)"},"properties":{"noteIndex":0},"schema":"https://github.com/citation-style-language/schema/raw/master/csl-citation.json"}</w:instrText>
      </w:r>
      <w:r w:rsidR="005F1EC6">
        <w:rPr>
          <w:rFonts w:ascii="Arial" w:hAnsi="Arial" w:cs="Arial"/>
          <w:lang w:val="en-ID"/>
        </w:rPr>
        <w:fldChar w:fldCharType="separate"/>
      </w:r>
      <w:r w:rsidR="001039A5" w:rsidRPr="001039A5">
        <w:rPr>
          <w:rFonts w:ascii="Arial" w:hAnsi="Arial" w:cs="Arial"/>
          <w:noProof/>
          <w:lang w:val="en-ID"/>
        </w:rPr>
        <w:t>(10)</w:t>
      </w:r>
      <w:r w:rsidR="005F1EC6">
        <w:rPr>
          <w:rFonts w:ascii="Arial" w:hAnsi="Arial" w:cs="Arial"/>
          <w:lang w:val="en-ID"/>
        </w:rPr>
        <w:fldChar w:fldCharType="end"/>
      </w:r>
      <w:r w:rsidR="008C7DBC" w:rsidRPr="00977C57">
        <w:rPr>
          <w:rFonts w:ascii="Arial" w:hAnsi="Arial" w:cs="Arial"/>
          <w:lang w:val="en-ID"/>
        </w:rPr>
        <w:t xml:space="preserve">. </w:t>
      </w:r>
      <w:r w:rsidR="00392735" w:rsidRPr="00977C57">
        <w:rPr>
          <w:rFonts w:ascii="Arial" w:hAnsi="Arial" w:cs="Arial"/>
          <w:lang w:val="en-ID"/>
        </w:rPr>
        <w:t>These two types of bas</w:t>
      </w:r>
      <w:r w:rsidR="005D287C" w:rsidRPr="00977C57">
        <w:rPr>
          <w:rFonts w:ascii="Arial" w:hAnsi="Arial" w:cs="Arial"/>
          <w:lang w:val="en-ID"/>
        </w:rPr>
        <w:t>al</w:t>
      </w:r>
      <w:r w:rsidR="00392735" w:rsidRPr="00977C57">
        <w:rPr>
          <w:rFonts w:ascii="Arial" w:hAnsi="Arial" w:cs="Arial"/>
          <w:lang w:val="en-ID"/>
        </w:rPr>
        <w:t xml:space="preserve"> media have </w:t>
      </w:r>
      <w:r w:rsidR="00752C38" w:rsidRPr="00977C57">
        <w:rPr>
          <w:rFonts w:ascii="Arial" w:hAnsi="Arial" w:cs="Arial"/>
          <w:lang w:val="en-ID"/>
        </w:rPr>
        <w:t xml:space="preserve">also </w:t>
      </w:r>
      <w:r w:rsidR="00392735" w:rsidRPr="00977C57">
        <w:rPr>
          <w:rFonts w:ascii="Arial" w:hAnsi="Arial" w:cs="Arial"/>
          <w:lang w:val="en-ID"/>
        </w:rPr>
        <w:t xml:space="preserve">been used in </w:t>
      </w:r>
      <w:r w:rsidR="00392735" w:rsidRPr="00977C57">
        <w:rPr>
          <w:rFonts w:ascii="Arial" w:hAnsi="Arial" w:cs="Arial"/>
          <w:i/>
          <w:iCs/>
          <w:lang w:val="en-ID"/>
        </w:rPr>
        <w:t>F. carica</w:t>
      </w:r>
      <w:r w:rsidR="00392735" w:rsidRPr="00977C57">
        <w:rPr>
          <w:rFonts w:ascii="Arial" w:hAnsi="Arial" w:cs="Arial"/>
          <w:lang w:val="en-ID"/>
        </w:rPr>
        <w:t xml:space="preserve"> micropropagation</w:t>
      </w:r>
      <w:r w:rsidR="005F1EC6">
        <w:rPr>
          <w:rFonts w:ascii="Arial" w:hAnsi="Arial" w:cs="Arial"/>
          <w:lang w:val="en-ID"/>
        </w:rPr>
        <w:t xml:space="preserve"> </w:t>
      </w:r>
      <w:r w:rsidR="005F1EC6">
        <w:rPr>
          <w:rFonts w:ascii="Arial" w:hAnsi="Arial" w:cs="Arial"/>
          <w:lang w:val="en-ID"/>
        </w:rPr>
        <w:fldChar w:fldCharType="begin" w:fldLock="1"/>
      </w:r>
      <w:r w:rsidR="001E61FF">
        <w:rPr>
          <w:rFonts w:ascii="Arial" w:hAnsi="Arial" w:cs="Arial"/>
          <w:lang w:val="en-ID"/>
        </w:rPr>
        <w:instrText>ADDIN CSL_CITATION {"citationItems":[{"id":"ITEM-1","itemData":{"DOI":"10.1134/S1021443724605585","ISSN":"16083407","abstract":"Abstract: Micropropagation of fig is playing an interesting role in the rapid multiplication of varieties with important characters and the regeneration of virus-free plants. FMD (Fig Mosaic Disease) is the viral disorder the most spread all over the world and considered as a serious problem for healthy fig plant propagation and high fig production. During the last four decades, many efficient protocols have been established for in vitro large-scale propagation of female figs and caprifigs for plant material sanitation. Successful micropropagation of figs using meristematic tissues (nodal segments or apical buds) is dependant to several external and internal factors including in vitro conditions (media components essentially) and ex vitro (genotype and physiological state, etc.). Specific requirements during all steps of plant regeneration, such as the initiation of in vitro cultures, shoot multiplication, plantlet rooting and acclimatization are summarized in this review. The efficacy of meristem and tip culture in the eradication of viruses from fig vitroplants is also reported. New approaches for the improvement of shoot multiplication and fig vitroplant quality (bioreactors, Arbuscular mycorrhizal fungi, etc.) and the genetic stability and conformity of micropropagated plantlets are discussed.","author":[{"dropping-particle":"","family":"Bayoudh","given":"C.","non-dropping-particle":"","parse-names":false,"suffix":""},{"dropping-particle":"","family":"Haouala","given":"F.","non-dropping-particle":"","parse-names":false,"suffix":""},{"dropping-particle":"","family":"Mars","given":"M.","non-dropping-particle":"","parse-names":false,"suffix":""}],"container-title":"Russian Journal of Plant Physiology","id":"ITEM-1","issue":"4","issued":{"date-parts":[["2024"]]},"title":"Micropropagation and In Vitro Sanitation of Fig (Ficus carica L.)—a Review","type":"article-journal","volume":"71"},"uris":["http://www.mendeley.com/documents/?uuid=af919386-e739-43a2-a9bf-0a37e2ff0376"]}],"mendeley":{"formattedCitation":"(11)","plainTextFormattedCitation":"(11)","previouslyFormattedCitation":"(11)"},"properties":{"noteIndex":0},"schema":"https://github.com/citation-style-language/schema/raw/master/csl-citation.json"}</w:instrText>
      </w:r>
      <w:r w:rsidR="005F1EC6">
        <w:rPr>
          <w:rFonts w:ascii="Arial" w:hAnsi="Arial" w:cs="Arial"/>
          <w:lang w:val="en-ID"/>
        </w:rPr>
        <w:fldChar w:fldCharType="separate"/>
      </w:r>
      <w:r w:rsidR="001039A5" w:rsidRPr="001039A5">
        <w:rPr>
          <w:rFonts w:ascii="Arial" w:hAnsi="Arial" w:cs="Arial"/>
          <w:noProof/>
          <w:lang w:val="en-ID"/>
        </w:rPr>
        <w:t>(11)</w:t>
      </w:r>
      <w:r w:rsidR="005F1EC6">
        <w:rPr>
          <w:rFonts w:ascii="Arial" w:hAnsi="Arial" w:cs="Arial"/>
          <w:lang w:val="en-ID"/>
        </w:rPr>
        <w:fldChar w:fldCharType="end"/>
      </w:r>
      <w:r w:rsidR="008C7DBC" w:rsidRPr="00977C57">
        <w:rPr>
          <w:rFonts w:ascii="Arial" w:hAnsi="Arial" w:cs="Arial"/>
          <w:lang w:val="en-ID"/>
        </w:rPr>
        <w:t xml:space="preserve">. </w:t>
      </w:r>
      <w:r w:rsidR="00392735" w:rsidRPr="00977C57">
        <w:rPr>
          <w:rFonts w:ascii="Arial" w:hAnsi="Arial" w:cs="Arial"/>
          <w:lang w:val="id"/>
        </w:rPr>
        <w:t xml:space="preserve">Based on the limitations of conventional vegetative reproduction systems, the provision of Moraceae plant seeds </w:t>
      </w:r>
      <w:r w:rsidR="00392735" w:rsidRPr="00392735">
        <w:rPr>
          <w:rFonts w:ascii="Arial" w:hAnsi="Arial" w:cs="Arial"/>
          <w:lang w:val="id"/>
        </w:rPr>
        <w:t>using in vitro culture techniques is important.</w:t>
      </w:r>
    </w:p>
    <w:p w14:paraId="0B0ABB4B" w14:textId="77777777" w:rsidR="00BA736B" w:rsidRPr="00F77B31" w:rsidRDefault="00BA736B" w:rsidP="00BA736B">
      <w:pPr>
        <w:jc w:val="both"/>
        <w:rPr>
          <w:rFonts w:ascii="Arial" w:hAnsi="Arial" w:cs="Arial"/>
          <w:lang w:val="id"/>
        </w:rPr>
      </w:pPr>
    </w:p>
    <w:p w14:paraId="63790C77" w14:textId="13FD54EF" w:rsidR="009308FF" w:rsidRPr="00B17784" w:rsidRDefault="009333CD" w:rsidP="00BA736B">
      <w:pPr>
        <w:jc w:val="both"/>
        <w:rPr>
          <w:rFonts w:ascii="Arial" w:hAnsi="Arial" w:cs="Arial"/>
          <w:lang w:val="en-ID"/>
        </w:rPr>
      </w:pPr>
      <w:r>
        <w:rPr>
          <w:rFonts w:ascii="Arial" w:hAnsi="Arial" w:cs="Arial"/>
          <w:lang w:val="id"/>
        </w:rPr>
        <w:t>M</w:t>
      </w:r>
      <w:r w:rsidR="00B17784" w:rsidRPr="00B17784">
        <w:rPr>
          <w:rFonts w:ascii="Arial" w:hAnsi="Arial" w:cs="Arial"/>
          <w:lang w:val="id"/>
        </w:rPr>
        <w:t xml:space="preserve">icropropagation of </w:t>
      </w:r>
      <w:r w:rsidR="00B17784" w:rsidRPr="004A160C">
        <w:rPr>
          <w:rFonts w:ascii="Arial" w:hAnsi="Arial" w:cs="Arial"/>
          <w:i/>
          <w:iCs/>
          <w:lang w:val="id"/>
        </w:rPr>
        <w:t>Ficus</w:t>
      </w:r>
      <w:r w:rsidR="00B17784" w:rsidRPr="00B17784">
        <w:rPr>
          <w:rFonts w:ascii="Arial" w:hAnsi="Arial" w:cs="Arial"/>
          <w:lang w:val="id"/>
        </w:rPr>
        <w:t xml:space="preserve"> was initiated in </w:t>
      </w:r>
      <w:r w:rsidR="00523A22">
        <w:rPr>
          <w:rFonts w:ascii="Arial" w:hAnsi="Arial" w:cs="Arial"/>
          <w:lang w:val="id"/>
        </w:rPr>
        <w:t>e</w:t>
      </w:r>
      <w:r w:rsidR="00B17784" w:rsidRPr="00B17784">
        <w:rPr>
          <w:rFonts w:ascii="Arial" w:hAnsi="Arial" w:cs="Arial"/>
          <w:lang w:val="id"/>
        </w:rPr>
        <w:t>dible fig (</w:t>
      </w:r>
      <w:r w:rsidR="00B17784" w:rsidRPr="00DA5C89">
        <w:rPr>
          <w:rFonts w:ascii="Arial" w:hAnsi="Arial" w:cs="Arial"/>
          <w:i/>
          <w:iCs/>
          <w:lang w:val="id"/>
        </w:rPr>
        <w:t>F. carica</w:t>
      </w:r>
      <w:r w:rsidR="00B17784" w:rsidRPr="00B17784">
        <w:rPr>
          <w:rFonts w:ascii="Arial" w:hAnsi="Arial" w:cs="Arial"/>
          <w:lang w:val="id"/>
        </w:rPr>
        <w:t>) in 1982 using shoot tips with 3 or 4 leaf primordia</w:t>
      </w:r>
      <w:r w:rsidR="005F1EC6">
        <w:rPr>
          <w:rFonts w:ascii="Arial" w:hAnsi="Arial" w:cs="Arial"/>
          <w:lang w:val="id"/>
        </w:rPr>
        <w:t xml:space="preserve"> </w:t>
      </w:r>
      <w:r w:rsidR="005F1EC6">
        <w:rPr>
          <w:rFonts w:ascii="Arial" w:hAnsi="Arial" w:cs="Arial"/>
          <w:lang w:val="id"/>
        </w:rPr>
        <w:fldChar w:fldCharType="begin" w:fldLock="1"/>
      </w:r>
      <w:r w:rsidR="001E61FF">
        <w:rPr>
          <w:rFonts w:ascii="Arial" w:hAnsi="Arial" w:cs="Arial"/>
          <w:lang w:val="id"/>
        </w:rPr>
        <w:instrText>ADDIN CSL_CITATION {"citationItems":[{"id":"ITEM-1","itemData":{"abstract":"This research was carried out to investigate the possibilities of propagating Bursa Siyahi fig cultivar, which is one of the most important table figs in Turkey, by the meristem culture. Meristems have several advantages, including their greater genetic stability, the possibility of producing virus-free plants and the relative ease of in vitro propagation of many species. Meristematic cells are small, thin walled, highly cytoplasmic and non-vacuolated. In this study, excised meristems from 10-year-old trees were kept on Murashige-Skoog (MS) medium containing 7 g agar, 30 g sucrose, 100 mg myoinositol, 1.5 mg thiamine, 2 mg pyridoxine, 0.5 mg nicotinic acid and 2 mg glycine per litre for one week in the dark to avoid oxidation. The hormone added to the basic medium (mg/l) included benzyladenine (BA) 1 mg and naphthylacetic acid (NAA) 1 mg. The medium pH was adjusted to 5.8. After 6 weeks of culture, 3 mg/l gibberellic acid (GA) was added in the nutrient medium. Meristems grew, but shoots did not, except one.","author":[{"dropping-particle":"","family":"Günver","given":"G.","non-dropping-particle":"","parse-names":false,"suffix":""},{"dropping-particle":"","family":"Ertan","given":"E.","non-dropping-particle":"","parse-names":false,"suffix":""}],"container-title":"Acta Hortic.","id":"ITEM-1","issued":{"date-parts":[["1998"]]},"page":"169-172","title":"Günver, G., &amp; Ertan, E. (1998). A Study on The Propagation of Figs by The Tissue Culture Techniques","type":"article-journal"},"uris":["http://www.mendeley.com/documents/?uuid=770c19f6-d834-401b-a164-46f41742207b"]},{"id":"ITEM-2","itemData":{"abstract":"Shoot tips excised from cultivars of Ficus carica L. with symptoms of fig mosaicvirus, on Murashige and Skoog (MS) medium supplemented with 0.18 mg/liternaphthaleneacetic acid (NAA), 0.1 mg/liter 6-benzylamino purine (BA) and 0.03 mg/litergibberellic acid (GA) developed into shoots. These shoots were induced to root on MS con­taining 0.5 mg/liter NAA and 0.5 mg/liter indolebutyric acid (IBA) and subsequentlytransferred to soil, maintained in the green house, and were free of virus symptoms, evenafter 15 months (PDF) In Vitro Propagation of Fig through Shoot Tip Culture1. Available from: https://www.researchgate.net/publication/292410243_In_vitro_propagation_of_fig_through_shoot_tip_culture [accessed May 02 2025].","author":[{"dropping-particle":"","family":"Muriithi","given":"L.M.","non-dropping-particle":"","parse-names":false,"suffix":""},{"dropping-particle":"","family":"Rangan","given":"T.S.","non-dropping-particle":"","parse-names":false,"suffix":""},{"dropping-particle":"","family":"Waite","given":"B.H.","non-dropping-particle":"","parse-names":false,"suffix":""}],"container-title":"HortScience","id":"ITEM-2","issued":{"date-parts":[["1982"]]},"page":"86-87","title":"In vitro propagation of fig through shoot tip culture","type":"article-journal","volume":"17"},"uris":["http://www.mendeley.com/documents/?uuid=a23dc450-8d48-44b0-8d5d-98f96c9e2198"]}],"mendeley":{"formattedCitation":"(12,13)","plainTextFormattedCitation":"(12,13)","previouslyFormattedCitation":"(12,13)"},"properties":{"noteIndex":0},"schema":"https://github.com/citation-style-language/schema/raw/master/csl-citation.json"}</w:instrText>
      </w:r>
      <w:r w:rsidR="005F1EC6">
        <w:rPr>
          <w:rFonts w:ascii="Arial" w:hAnsi="Arial" w:cs="Arial"/>
          <w:lang w:val="id"/>
        </w:rPr>
        <w:fldChar w:fldCharType="separate"/>
      </w:r>
      <w:r w:rsidR="001039A5" w:rsidRPr="001039A5">
        <w:rPr>
          <w:rFonts w:ascii="Arial" w:hAnsi="Arial" w:cs="Arial"/>
          <w:noProof/>
          <w:lang w:val="id"/>
        </w:rPr>
        <w:t>(12,13)</w:t>
      </w:r>
      <w:r w:rsidR="005F1EC6">
        <w:rPr>
          <w:rFonts w:ascii="Arial" w:hAnsi="Arial" w:cs="Arial"/>
          <w:lang w:val="id"/>
        </w:rPr>
        <w:fldChar w:fldCharType="end"/>
      </w:r>
      <w:r w:rsidR="009308FF" w:rsidRPr="009308FF">
        <w:rPr>
          <w:rFonts w:ascii="Arial" w:hAnsi="Arial" w:cs="Arial"/>
          <w:lang w:val="id"/>
        </w:rPr>
        <w:t xml:space="preserve"> </w:t>
      </w:r>
      <w:r w:rsidR="00B17784" w:rsidRPr="00B17784">
        <w:rPr>
          <w:rFonts w:ascii="Arial" w:hAnsi="Arial" w:cs="Arial"/>
          <w:lang w:val="id"/>
        </w:rPr>
        <w:t>to produce mosaic virus-free plants</w:t>
      </w:r>
      <w:r w:rsidR="005F1EC6">
        <w:rPr>
          <w:rFonts w:ascii="Arial" w:hAnsi="Arial" w:cs="Arial"/>
          <w:lang w:val="id"/>
        </w:rPr>
        <w:t xml:space="preserve"> </w:t>
      </w:r>
      <w:r w:rsidR="005F1EC6">
        <w:rPr>
          <w:rFonts w:ascii="Arial" w:hAnsi="Arial" w:cs="Arial"/>
          <w:lang w:val="id"/>
        </w:rPr>
        <w:fldChar w:fldCharType="begin" w:fldLock="1"/>
      </w:r>
      <w:r w:rsidR="001E61FF">
        <w:rPr>
          <w:rFonts w:ascii="Arial" w:hAnsi="Arial" w:cs="Arial"/>
          <w:lang w:val="id"/>
        </w:rPr>
        <w:instrText>ADDIN CSL_CITATION {"citationItems":[{"id":"ITEM-1","itemData":{"author":[{"dropping-particle":"","family":"Demiralay","given":"A.","non-dropping-particle":"","parse-names":false,"suffix":""},{"dropping-particle":"","family":"Yalçin-Mendi","given":"Y.","non-dropping-particle":"","parse-names":false,"suffix":""},{"dropping-particle":"","family":"Aka-Kaçar","given":"Y.","non-dropping-particle":"","parse-names":false,"suffix":""},{"dropping-particle":"","family":"Çetiner","given":"S.","non-dropping-particle":"","parse-names":false,"suffix":""}],"container-title":"Acta Hortic.","id":"ITEM-1","issued":{"date-parts":[["1998"]]},"page":"165-167","title":"In Vitro Propagation of Ficus carica L. Var. Bursa Siyahi through Meristem Culture","type":"article-journal"},"uris":["http://www.mendeley.com/documents/?uuid=9b47f2db-984d-44a9-965b-6d1d678e95da"]}],"mendeley":{"formattedCitation":"(14)","plainTextFormattedCitation":"(14)","previouslyFormattedCitation":"(14)"},"properties":{"noteIndex":0},"schema":"https://github.com/citation-style-language/schema/raw/master/csl-citation.json"}</w:instrText>
      </w:r>
      <w:r w:rsidR="005F1EC6">
        <w:rPr>
          <w:rFonts w:ascii="Arial" w:hAnsi="Arial" w:cs="Arial"/>
          <w:lang w:val="id"/>
        </w:rPr>
        <w:fldChar w:fldCharType="separate"/>
      </w:r>
      <w:r w:rsidR="001039A5" w:rsidRPr="001039A5">
        <w:rPr>
          <w:rFonts w:ascii="Arial" w:hAnsi="Arial" w:cs="Arial"/>
          <w:noProof/>
          <w:lang w:val="id"/>
        </w:rPr>
        <w:t>(14)</w:t>
      </w:r>
      <w:r w:rsidR="005F1EC6">
        <w:rPr>
          <w:rFonts w:ascii="Arial" w:hAnsi="Arial" w:cs="Arial"/>
          <w:lang w:val="id"/>
        </w:rPr>
        <w:fldChar w:fldCharType="end"/>
      </w:r>
      <w:r w:rsidR="009308FF" w:rsidRPr="009308FF">
        <w:rPr>
          <w:rFonts w:ascii="Arial" w:hAnsi="Arial" w:cs="Arial"/>
          <w:lang w:val="id"/>
        </w:rPr>
        <w:t xml:space="preserve">. </w:t>
      </w:r>
      <w:r w:rsidR="00B17784" w:rsidRPr="00B17784">
        <w:rPr>
          <w:rFonts w:ascii="Arial" w:hAnsi="Arial" w:cs="Arial"/>
          <w:lang w:val="id"/>
        </w:rPr>
        <w:t xml:space="preserve">Single apical bud explants of </w:t>
      </w:r>
      <w:r w:rsidR="00B17784" w:rsidRPr="00B17784">
        <w:rPr>
          <w:rFonts w:ascii="Arial" w:hAnsi="Arial" w:cs="Arial"/>
          <w:i/>
          <w:iCs/>
          <w:lang w:val="id"/>
        </w:rPr>
        <w:t>F. carica</w:t>
      </w:r>
      <w:r w:rsidR="00B17784" w:rsidRPr="00B17784">
        <w:rPr>
          <w:rFonts w:ascii="Arial" w:hAnsi="Arial" w:cs="Arial"/>
          <w:lang w:val="id"/>
        </w:rPr>
        <w:t xml:space="preserve"> var. Black Jack cultured on WPN medium with BAP addition were able to produce disease-free plantlets in large numbers</w:t>
      </w:r>
      <w:r w:rsidR="005F1EC6">
        <w:rPr>
          <w:rFonts w:ascii="Arial" w:hAnsi="Arial" w:cs="Arial"/>
          <w:lang w:val="id"/>
        </w:rPr>
        <w:t xml:space="preserve"> </w:t>
      </w:r>
      <w:r w:rsidR="005F1EC6">
        <w:rPr>
          <w:rFonts w:ascii="Arial" w:hAnsi="Arial" w:cs="Arial"/>
          <w:lang w:val="id"/>
        </w:rPr>
        <w:fldChar w:fldCharType="begin" w:fldLock="1"/>
      </w:r>
      <w:r w:rsidR="001E61FF">
        <w:rPr>
          <w:rFonts w:ascii="Arial" w:hAnsi="Arial" w:cs="Arial"/>
          <w:lang w:val="id"/>
        </w:rPr>
        <w:instrText>ADDIN CSL_CITATION {"citationItems":[{"id":"ITEM-1","itemData":{"DOI":"10.1016/j.ejbt.2021.10.001","ISSN":"07173458","abstract":"Background: Plant tissue culture involves the use of explants obtained from plants to induce organogenesis with the help of plant growth regulators (PGRs). Micropropagation techniques provide a faster and economical solution to the limitations associated with traditional methods of plant cultivation. The present study focuses on the multiple shoot induction and proliferation of Ficus carica var. Black Jack. Factors that influence the growth of in vitro multiple shoots on the apical buds, which include growth media and PGRs, were investigated in this study. Different concentrations of cytokinins like 6-benzylaminopurine (BAP), Thidiazuron (TDZ), and Kinetin (Kin) were used on woody plant medium (WPM) for the optimization of media for multiple shoot induction and proliferation. Results: Apical buds of Ficus carica var. Black Jack growing in WPM supplemented with BAP produced the healthiest plantlets, with the highest number of multiple shoots. The most efficient medium composition which produced the highest number of multiple shoots (37.8) per growing explant was WPM supplemented with 20 µM BAP. Proliferated multiple shoots were efficiently rooted using WPM + 20 µM BAP + 8 µM indole-3-acetic acid (IAA). This optimized medium composition significantly enhanced the production of multiple, disease-free plantlets using single apical bud explants of Ficus carica var. Black Jack. Conclusions: In the present study the observations indicate that WPM supplemented with 20 µM BAP is the best-suited medium for organogenesis and multiple shoot culture of Ficus carica var. Black Jack, and this technique can be potentially applied for commercialization of the plant. How to cite: Parab AR, Chew BL, Yeow LC, et al. Organogenesis on apical buds in common fig (Ficus carica) var. Black Jack. Electron J Biotechnol 2021;54. https://doi.org/10.1016/j.ejbt.2020.01.010","author":[{"dropping-particle":"","family":"Parab","given":"Ankita Rajendra","non-dropping-particle":"","parse-names":false,"suffix":""},{"dropping-particle":"","family":"Chew","given":"Bee Lynn","non-dropping-particle":"","parse-names":false,"suffix":""},{"dropping-particle":"","family":"Yeow","given":"Lit Chow","non-dropping-particle":"","parse-names":false,"suffix":""},{"dropping-particle":"","family":"Subramaniam","given":"Sreeramanan","non-dropping-particle":"","parse-names":false,"suffix":""}],"container-title":"Electronic Journal of Biotechnology","id":"ITEM-1","issued":{"date-parts":[["2021"]]},"page":"69-76","publisher":"Pontificia Universidad Católica de Valparaíso","title":"Organogenesis on apical buds in common fig (Ficus carica) var. Black Jack","type":"article-journal","volume":"54"},"uris":["http://www.mendeley.com/documents/?uuid=79a858d0-3639-48e2-a1b6-79f3cad1b160"]}],"mendeley":{"formattedCitation":"(15)","plainTextFormattedCitation":"(15)","previouslyFormattedCitation":"(15)"},"properties":{"noteIndex":0},"schema":"https://github.com/citation-style-language/schema/raw/master/csl-citation.json"}</w:instrText>
      </w:r>
      <w:r w:rsidR="005F1EC6">
        <w:rPr>
          <w:rFonts w:ascii="Arial" w:hAnsi="Arial" w:cs="Arial"/>
          <w:lang w:val="id"/>
        </w:rPr>
        <w:fldChar w:fldCharType="separate"/>
      </w:r>
      <w:r w:rsidR="001039A5" w:rsidRPr="001039A5">
        <w:rPr>
          <w:rFonts w:ascii="Arial" w:hAnsi="Arial" w:cs="Arial"/>
          <w:noProof/>
          <w:lang w:val="id"/>
        </w:rPr>
        <w:t>(15)</w:t>
      </w:r>
      <w:r w:rsidR="005F1EC6">
        <w:rPr>
          <w:rFonts w:ascii="Arial" w:hAnsi="Arial" w:cs="Arial"/>
          <w:lang w:val="id"/>
        </w:rPr>
        <w:fldChar w:fldCharType="end"/>
      </w:r>
      <w:r w:rsidR="00B17784">
        <w:rPr>
          <w:rFonts w:ascii="Arial" w:hAnsi="Arial" w:cs="Arial"/>
          <w:lang w:val="id"/>
        </w:rPr>
        <w:t>.</w:t>
      </w:r>
      <w:r w:rsidR="009308FF" w:rsidRPr="009308FF">
        <w:rPr>
          <w:rFonts w:ascii="Arial" w:hAnsi="Arial" w:cs="Arial"/>
          <w:lang w:val="id"/>
        </w:rPr>
        <w:t xml:space="preserve"> </w:t>
      </w:r>
      <w:r w:rsidR="005D287C" w:rsidRPr="005D287C">
        <w:rPr>
          <w:rFonts w:ascii="Arial" w:hAnsi="Arial" w:cs="Arial"/>
          <w:lang w:val="id"/>
        </w:rPr>
        <w:t xml:space="preserve">An efficient micropropagation using sterile node bud explants of </w:t>
      </w:r>
      <w:r w:rsidR="005D287C" w:rsidRPr="005D287C">
        <w:rPr>
          <w:rFonts w:ascii="Arial" w:hAnsi="Arial" w:cs="Arial"/>
          <w:i/>
          <w:iCs/>
          <w:lang w:val="id"/>
        </w:rPr>
        <w:t>F. carica</w:t>
      </w:r>
      <w:r w:rsidR="005D287C" w:rsidRPr="005D287C">
        <w:rPr>
          <w:rFonts w:ascii="Arial" w:hAnsi="Arial" w:cs="Arial"/>
          <w:lang w:val="id"/>
        </w:rPr>
        <w:t xml:space="preserve"> cv. Golden Orphan in MS basal medium has been obtain for rapid plant stock production</w:t>
      </w:r>
      <w:r w:rsidR="005F1EC6">
        <w:rPr>
          <w:rFonts w:ascii="Arial" w:hAnsi="Arial" w:cs="Arial"/>
          <w:lang w:val="id"/>
        </w:rPr>
        <w:t xml:space="preserve"> </w:t>
      </w:r>
      <w:r w:rsidR="005F1EC6">
        <w:rPr>
          <w:rFonts w:ascii="Arial" w:hAnsi="Arial" w:cs="Arial"/>
          <w:lang w:val="id"/>
        </w:rPr>
        <w:fldChar w:fldCharType="begin" w:fldLock="1"/>
      </w:r>
      <w:r w:rsidR="001E61FF">
        <w:rPr>
          <w:rFonts w:ascii="Arial" w:hAnsi="Arial" w:cs="Arial"/>
          <w:lang w:val="id"/>
        </w:rPr>
        <w:instrText>ADDIN CSL_CITATION {"citationItems":[{"id":"ITEM-1","itemData":{"DOI":"10.1016/j.bcab.2021.102225","ISSN":"18788181","abstract":"Fig (Ficus carica L.) is from the Moraceae family and is rich in essential nutrients, natural fiber and vitamins. The Golden Orphan cultivar is a yellow fig that is sweet, firm and can thrive in tropical climates. Current conventional propagation methods for the multiplication of plant stocks were found to be less efficient in producing healthy plant stocks. Micropropagation offers an alternative in the production of plant stocks resembling the quality of mother plants. The current study aims to fine tune the micropropagation protocol of the Golden Orphan cultivar for efficient production of plant stocks. Sterile nodal bud explants were subjected to different media treatments, carbon source and combinations of auxin and cytokinin. Rooting of explants was induced in auxin and rooted explants were acclimatized in cocopeat. The optimal basal medium for shoot elongation was Murashige and Skoog (MS) Medium, whereas 20 g/L sucrose resulted in the highest shoot length (2.00 ± 0.22 cm) facilitating the production of nodal segments for subsequent multiplication. The highest shoot induction (4.15 ± 0.43 shoots/explant) was observed in the treatment of 0.8 mg/L 6-Benzylaminopurine (BAP), whereas the combination of 0.8 mg/L BAP and 0.5 mg/L indole-3-acetic acid (IAA) resulted in the highest shoot length (2.23 ± 0.09 cm). Treatment of 0.4 mg/L indole-3-butyric acid (IBA) produced the optimal percentage of rooting (83.33%) whereas acclimatization with cocopeat resulted in maximum survival rate. The present study has successfully optimised the crucial aspects of micropropagation for the Golden Orphan cultivar suitable for rapid plant stock production.","author":[{"dropping-particle":"","family":"Sriskanda","given":"Dahmendra","non-dropping-particle":"","parse-names":false,"suffix":""},{"dropping-particle":"","family":"Liew","given":"Yoon Xuan","non-dropping-particle":"","parse-names":false,"suffix":""},{"dropping-particle":"","family":"Khor","given":"Soo Ping","non-dropping-particle":"","parse-names":false,"suffix":""},{"dropping-particle":"","family":"Merican","given":"Faradina","non-dropping-particle":"","parse-names":false,"suffix":""},{"dropping-particle":"","family":"Subramaniam","given":"Sreeramanan","non-dropping-particle":"","parse-names":false,"suffix":""},{"dropping-particle":"","family":"Chew","given":"Bee Lynn","non-dropping-particle":"","parse-names":false,"suffix":""}],"container-title":"Biocatalysis and Agricultural Biotechnology","id":"ITEM-1","issue":"November","issued":{"date-parts":[["2021"]]},"page":"102225","publisher":"Elsevier Ltd","title":"An efficient micropropagation protocol for Ficus carica cv. Golden Orphan suitable for mass propagation","type":"article-journal","volume":"38"},"uris":["http://www.mendeley.com/documents/?uuid=96775d23-9400-4a93-b0f3-0662b4b024c6"]}],"mendeley":{"formattedCitation":"(16)","plainTextFormattedCitation":"(16)","previouslyFormattedCitation":"(16)"},"properties":{"noteIndex":0},"schema":"https://github.com/citation-style-language/schema/raw/master/csl-citation.json"}</w:instrText>
      </w:r>
      <w:r w:rsidR="005F1EC6">
        <w:rPr>
          <w:rFonts w:ascii="Arial" w:hAnsi="Arial" w:cs="Arial"/>
          <w:lang w:val="id"/>
        </w:rPr>
        <w:fldChar w:fldCharType="separate"/>
      </w:r>
      <w:r w:rsidR="001039A5" w:rsidRPr="001039A5">
        <w:rPr>
          <w:rFonts w:ascii="Arial" w:hAnsi="Arial" w:cs="Arial"/>
          <w:noProof/>
          <w:lang w:val="id"/>
        </w:rPr>
        <w:t>(16)</w:t>
      </w:r>
      <w:r w:rsidR="005F1EC6">
        <w:rPr>
          <w:rFonts w:ascii="Arial" w:hAnsi="Arial" w:cs="Arial"/>
          <w:lang w:val="id"/>
        </w:rPr>
        <w:fldChar w:fldCharType="end"/>
      </w:r>
      <w:r w:rsidR="009308FF" w:rsidRPr="009308FF">
        <w:rPr>
          <w:rFonts w:ascii="Arial" w:hAnsi="Arial" w:cs="Arial"/>
          <w:lang w:val="id"/>
        </w:rPr>
        <w:t xml:space="preserve">. </w:t>
      </w:r>
      <w:r w:rsidR="00C04466">
        <w:rPr>
          <w:rFonts w:ascii="Arial" w:hAnsi="Arial" w:cs="Arial"/>
          <w:lang w:val="id"/>
        </w:rPr>
        <w:t>The effect of p</w:t>
      </w:r>
      <w:r w:rsidR="005F1EC6">
        <w:rPr>
          <w:rFonts w:ascii="Arial" w:hAnsi="Arial" w:cs="Arial"/>
          <w:lang w:val="id"/>
        </w:rPr>
        <w:t>h</w:t>
      </w:r>
      <w:r w:rsidR="00C04466">
        <w:rPr>
          <w:rFonts w:ascii="Arial" w:hAnsi="Arial" w:cs="Arial"/>
          <w:lang w:val="id"/>
        </w:rPr>
        <w:t>ot</w:t>
      </w:r>
      <w:r w:rsidR="00103CC6">
        <w:rPr>
          <w:rFonts w:ascii="Arial" w:hAnsi="Arial" w:cs="Arial"/>
          <w:lang w:val="id"/>
        </w:rPr>
        <w:t>o</w:t>
      </w:r>
      <w:r w:rsidR="00C04466">
        <w:rPr>
          <w:rFonts w:ascii="Arial" w:hAnsi="Arial" w:cs="Arial"/>
          <w:lang w:val="id"/>
        </w:rPr>
        <w:t>periodism and gravitropism on plantlet had been studied in</w:t>
      </w:r>
      <w:r w:rsidR="00B17784" w:rsidRPr="00B17784">
        <w:rPr>
          <w:rFonts w:ascii="Arial" w:hAnsi="Arial" w:cs="Arial"/>
          <w:lang w:val="id"/>
        </w:rPr>
        <w:t xml:space="preserve"> </w:t>
      </w:r>
      <w:r w:rsidR="00B17784" w:rsidRPr="00B17784">
        <w:rPr>
          <w:rFonts w:ascii="Arial" w:hAnsi="Arial" w:cs="Arial"/>
          <w:i/>
          <w:iCs/>
          <w:lang w:val="id"/>
        </w:rPr>
        <w:t xml:space="preserve">F. </w:t>
      </w:r>
      <w:r w:rsidR="005F1EC6">
        <w:rPr>
          <w:rFonts w:ascii="Arial" w:hAnsi="Arial" w:cs="Arial"/>
          <w:i/>
          <w:iCs/>
          <w:lang w:val="id"/>
        </w:rPr>
        <w:t>c</w:t>
      </w:r>
      <w:r w:rsidR="00B17784" w:rsidRPr="00B17784">
        <w:rPr>
          <w:rFonts w:ascii="Arial" w:hAnsi="Arial" w:cs="Arial"/>
          <w:i/>
          <w:iCs/>
          <w:lang w:val="id"/>
        </w:rPr>
        <w:t>arica</w:t>
      </w:r>
      <w:r w:rsidR="005F1EC6">
        <w:rPr>
          <w:rFonts w:ascii="Arial" w:hAnsi="Arial" w:cs="Arial"/>
          <w:lang w:val="id"/>
        </w:rPr>
        <w:t xml:space="preserve"> </w:t>
      </w:r>
      <w:r w:rsidR="005F1EC6">
        <w:rPr>
          <w:rFonts w:ascii="Arial" w:hAnsi="Arial" w:cs="Arial"/>
          <w:lang w:val="id"/>
        </w:rPr>
        <w:fldChar w:fldCharType="begin" w:fldLock="1"/>
      </w:r>
      <w:r w:rsidR="001E61FF">
        <w:rPr>
          <w:rFonts w:ascii="Arial" w:hAnsi="Arial" w:cs="Arial"/>
          <w:lang w:val="id"/>
        </w:rPr>
        <w:instrText>ADDIN CSL_CITATION {"citationItems":[{"id":"ITEM-1","itemData":{"DOI":"10.1016/j.bcab.2020.101697","ISSN":"18788181","abstract":"Fig (Ficus carica L.) is a dioecious fruiting tree. However, Fig improvement was found challenging and time-consuming through conventional plant propagation methods due to low survival rate. Development of plant tissue culture technology through optimum regeneration pathway would offer many advantages especially on the mass production of elite and true to type planting materials. In this study, it was found that 24 h of incubation in the absence of light with the abaxial surface of the in vitro leaves contacting the media produced the highest mean of regeneration rate at 6.67 ± 4.63%. Histological sections revealed direct organogenic shoot regeneration was more prominent rather than indirect organogenic and embryogenic pathways. This is the first study on the effect of photoperiod and gravitropism on plantlet regeneration of F. carica. Micropropagation of F. carica involved various factors in photoperiodism and gravitropism on the development of plantlet's regeneration pathway.","author":[{"dropping-particle":"","family":"Chan Hong","given":"Eyu","non-dropping-particle":"","parse-names":false,"suffix":""},{"dropping-particle":"","family":"Lynn","given":"Chew Bee","non-dropping-particle":"","parse-names":false,"suffix":""},{"dropping-particle":"","family":"Subramaniam","given":"Sreeramanan","non-dropping-particle":"","parse-names":false,"suffix":""}],"container-title":"Biocatalysis and Agricultural Biotechnology","id":"ITEM-1","issue":"June","issued":{"date-parts":[["2020"]]},"page":"101697","publisher":"Elsevier Ltd","title":"Development of plantlet regeneration pathway using in vitro leaf of Ficus carica L. cv. Panachee supported with histological analysis","type":"article-journal","volume":"27"},"uris":["http://www.mendeley.com/documents/?uuid=b84d7b7e-5f04-4471-86ec-83bfa5320b26"]}],"mendeley":{"formattedCitation":"(17)","plainTextFormattedCitation":"(17)","previouslyFormattedCitation":"(17)"},"properties":{"noteIndex":0},"schema":"https://github.com/citation-style-language/schema/raw/master/csl-citation.json"}</w:instrText>
      </w:r>
      <w:r w:rsidR="005F1EC6">
        <w:rPr>
          <w:rFonts w:ascii="Arial" w:hAnsi="Arial" w:cs="Arial"/>
          <w:lang w:val="id"/>
        </w:rPr>
        <w:fldChar w:fldCharType="separate"/>
      </w:r>
      <w:r w:rsidR="001039A5" w:rsidRPr="001039A5">
        <w:rPr>
          <w:rFonts w:ascii="Arial" w:hAnsi="Arial" w:cs="Arial"/>
          <w:noProof/>
          <w:lang w:val="id"/>
        </w:rPr>
        <w:t>(17)</w:t>
      </w:r>
      <w:r w:rsidR="005F1EC6">
        <w:rPr>
          <w:rFonts w:ascii="Arial" w:hAnsi="Arial" w:cs="Arial"/>
          <w:lang w:val="id"/>
        </w:rPr>
        <w:fldChar w:fldCharType="end"/>
      </w:r>
      <w:r w:rsidR="009308FF" w:rsidRPr="009308FF">
        <w:rPr>
          <w:rFonts w:ascii="Arial" w:hAnsi="Arial" w:cs="Arial"/>
          <w:lang w:val="id"/>
        </w:rPr>
        <w:t xml:space="preserve">. </w:t>
      </w:r>
      <w:r w:rsidR="00B17784" w:rsidRPr="00B17784">
        <w:rPr>
          <w:rFonts w:ascii="Arial" w:hAnsi="Arial" w:cs="Arial"/>
          <w:lang w:val="id"/>
        </w:rPr>
        <w:t xml:space="preserve">The success of regeneration and transgenic systems using stem layer explants of </w:t>
      </w:r>
      <w:r w:rsidR="00B17784" w:rsidRPr="00523A22">
        <w:rPr>
          <w:rFonts w:ascii="Arial" w:hAnsi="Arial" w:cs="Arial"/>
          <w:i/>
          <w:iCs/>
          <w:lang w:val="id"/>
        </w:rPr>
        <w:t xml:space="preserve">F. </w:t>
      </w:r>
      <w:r w:rsidR="00523A22">
        <w:rPr>
          <w:rFonts w:ascii="Arial" w:hAnsi="Arial" w:cs="Arial"/>
          <w:i/>
          <w:iCs/>
          <w:lang w:val="id"/>
        </w:rPr>
        <w:t>c</w:t>
      </w:r>
      <w:r w:rsidR="00B17784" w:rsidRPr="00523A22">
        <w:rPr>
          <w:rFonts w:ascii="Arial" w:hAnsi="Arial" w:cs="Arial"/>
          <w:i/>
          <w:iCs/>
          <w:lang w:val="id"/>
        </w:rPr>
        <w:t>arica</w:t>
      </w:r>
      <w:r w:rsidR="00B17784" w:rsidRPr="00B17784">
        <w:rPr>
          <w:rFonts w:ascii="Arial" w:hAnsi="Arial" w:cs="Arial"/>
          <w:lang w:val="id"/>
        </w:rPr>
        <w:t xml:space="preserve"> </w:t>
      </w:r>
      <w:r w:rsidR="00523A22">
        <w:rPr>
          <w:rFonts w:ascii="Arial" w:hAnsi="Arial" w:cs="Arial"/>
          <w:lang w:val="id"/>
        </w:rPr>
        <w:t>has been reported</w:t>
      </w:r>
      <w:r w:rsidR="00B17784" w:rsidRPr="00B17784">
        <w:rPr>
          <w:rFonts w:ascii="Arial" w:hAnsi="Arial" w:cs="Arial"/>
          <w:lang w:val="id"/>
        </w:rPr>
        <w:t xml:space="preserve"> </w:t>
      </w:r>
      <w:r w:rsidR="00B17784" w:rsidRPr="00977C57">
        <w:rPr>
          <w:rFonts w:ascii="Arial" w:hAnsi="Arial" w:cs="Arial"/>
          <w:lang w:val="id"/>
        </w:rPr>
        <w:t>for validating the genetic function of fruit trees and improving their agronomic properties</w:t>
      </w:r>
      <w:r w:rsidR="005F1EC6">
        <w:rPr>
          <w:rFonts w:ascii="Arial" w:hAnsi="Arial" w:cs="Arial"/>
          <w:lang w:val="id"/>
        </w:rPr>
        <w:t xml:space="preserve"> </w:t>
      </w:r>
      <w:r w:rsidR="005F1EC6">
        <w:rPr>
          <w:rFonts w:ascii="Arial" w:hAnsi="Arial" w:cs="Arial"/>
          <w:lang w:val="id"/>
        </w:rPr>
        <w:fldChar w:fldCharType="begin" w:fldLock="1"/>
      </w:r>
      <w:r w:rsidR="001E61FF">
        <w:rPr>
          <w:rFonts w:ascii="Arial" w:hAnsi="Arial" w:cs="Arial"/>
          <w:lang w:val="id"/>
        </w:rPr>
        <w:instrText>ADDIN CSL_CITATION {"citationItems":[{"id":"ITEM-1","itemData":{"DOI":"https://doi.org/10.1016/j.hpj.2024.11.006","abstract":"In this study, a rapid, efficient, and stable Agrobacterium-mediated genetic transformation system was successfully developed using stem slices of fig cultivar ‘117D’ as explants. In the Murashige and Skoog basal medium supplemented with 2 mg · L</w:instrText>
      </w:r>
      <w:r w:rsidR="001E61FF">
        <w:rPr>
          <w:rFonts w:ascii="Cambria Math" w:hAnsi="Cambria Math" w:cs="Cambria Math"/>
          <w:lang w:val="id"/>
        </w:rPr>
        <w:instrText>⁻</w:instrText>
      </w:r>
      <w:r w:rsidR="001E61FF">
        <w:rPr>
          <w:rFonts w:ascii="Arial" w:hAnsi="Arial" w:cs="Arial"/>
          <w:lang w:val="id"/>
        </w:rPr>
        <w:instrText>1 thidiazuron (TDZ) and 0.05 mg · L</w:instrText>
      </w:r>
      <w:r w:rsidR="001E61FF">
        <w:rPr>
          <w:rFonts w:ascii="Cambria Math" w:hAnsi="Cambria Math" w:cs="Cambria Math"/>
          <w:lang w:val="id"/>
        </w:rPr>
        <w:instrText>⁻</w:instrText>
      </w:r>
      <w:r w:rsidR="001E61FF">
        <w:rPr>
          <w:rFonts w:ascii="Arial" w:hAnsi="Arial" w:cs="Arial"/>
          <w:lang w:val="id"/>
        </w:rPr>
        <w:instrText>1 1-naphthaleneacetic acid (NAA), the highest shoot-induction rate was 53.33%, while the medium with a hormone ratio of 3 mg · L</w:instrText>
      </w:r>
      <w:r w:rsidR="001E61FF">
        <w:rPr>
          <w:rFonts w:ascii="Cambria Math" w:hAnsi="Cambria Math" w:cs="Cambria Math"/>
          <w:lang w:val="id"/>
        </w:rPr>
        <w:instrText>⁻</w:instrText>
      </w:r>
      <w:r w:rsidR="001E61FF">
        <w:rPr>
          <w:rFonts w:ascii="Arial" w:hAnsi="Arial" w:cs="Arial"/>
          <w:lang w:val="id"/>
        </w:rPr>
        <w:instrText>1 TDZ and 0.05 mg · L</w:instrText>
      </w:r>
      <w:r w:rsidR="001E61FF">
        <w:rPr>
          <w:rFonts w:ascii="Cambria Math" w:hAnsi="Cambria Math" w:cs="Cambria Math"/>
          <w:lang w:val="id"/>
        </w:rPr>
        <w:instrText>⁻</w:instrText>
      </w:r>
      <w:r w:rsidR="001E61FF">
        <w:rPr>
          <w:rFonts w:ascii="Arial" w:hAnsi="Arial" w:cs="Arial"/>
          <w:lang w:val="id"/>
        </w:rPr>
        <w:instrText>1 NAA achieved a maximum callus-induction rate of 78.89%. The optimal infection parameters for fig callus and stem slices were obtained by infecting thin cell layers (TCLs) with Agrobacterium tumefaciens K599 (OD600 = 0.6) under vacuum for 10 min, and shaking at 120 r · min-1, 28 °C for 30 min. Finally, transgenic callus and plants were identified through green fluorescent protein screening, β-glucuronidase staining, PCR analysis, and Western blot analysis, successfully obtaining positive FcMYB114-overexpressing (OE) callus and three transgenic plants. Utilizing these FcMYB114 transgenic callus and plants allows us to gain deeper insights into their roles in the growth, development, and metabolism of fig. In the future, we aim to identify new regulatory factors and leverage this efficient transgenic technology to investigate the regulatory mechanisms of key molecules in fig. The advancement of fig regeneration and transgenic systems provides a valuable tool for validating genetic functions in fruit trees and enhancing the agronomic traits of fig.","author":[{"dropping-particle":"","family":"Gu","given":"Xiaojiao","non-dropping-particle":"","parse-names":false,"suffix":""},{"dropping-particle":"","family":"He","given":"Jiajun","non-dropping-particle":"","parse-names":false,"suffix":""},{"dropping-particle":"","family":"He","given":"Huaying","non-dropping-particle":"","parse-names":false,"suffix":""},{"dropping-particle":"","family":"Wang","given":"Yuan","non-dropping-particle":"","parse-names":false,"suffix":""},{"dropping-particle":"","family":"Fan","given":"Zhiyi","non-dropping-particle":"","parse-names":false,"suffix":""},{"dropping-particle":"","family":"Zhao","given":"Dan","non-dropping-particle":"","parse-names":false,"suffix":""},{"dropping-particle":"","family":"Sun","given":"Kairong","non-dropping-particle":"","parse-names":false,"suffix":""},{"dropping-particle":"","family":"Zheng","given":"Chuanlin","non-dropping-particle":"","parse-names":false,"suffix":""},{"dropping-particle":"","family":"Ma","given":"Huiqin","non-dropping-particle":"","parse-names":false,"suffix":""}],"container-title":"Horticultural Plant Journal","id":"ITEM-1","issued":{"date-parts":[["2025"]]},"title":"Efficient regeneration and genetic transformation of fig (Ficus carica) from stem thin cell layer explants","type":"article-journal"},"uris":["http://www.mendeley.com/documents/?uuid=d85f4f5c-d37a-4284-8990-6b7c0b8f4e64"]}],"mendeley":{"formattedCitation":"(18)","plainTextFormattedCitation":"(18)","previouslyFormattedCitation":"(18)"},"properties":{"noteIndex":0},"schema":"https://github.com/citation-style-language/schema/raw/master/csl-citation.json"}</w:instrText>
      </w:r>
      <w:r w:rsidR="005F1EC6">
        <w:rPr>
          <w:rFonts w:ascii="Arial" w:hAnsi="Arial" w:cs="Arial"/>
          <w:lang w:val="id"/>
        </w:rPr>
        <w:fldChar w:fldCharType="separate"/>
      </w:r>
      <w:r w:rsidR="001039A5" w:rsidRPr="001039A5">
        <w:rPr>
          <w:rFonts w:ascii="Arial" w:hAnsi="Arial" w:cs="Arial"/>
          <w:noProof/>
          <w:lang w:val="id"/>
        </w:rPr>
        <w:t>(18)</w:t>
      </w:r>
      <w:r w:rsidR="005F1EC6">
        <w:rPr>
          <w:rFonts w:ascii="Arial" w:hAnsi="Arial" w:cs="Arial"/>
          <w:lang w:val="id"/>
        </w:rPr>
        <w:fldChar w:fldCharType="end"/>
      </w:r>
      <w:r w:rsidR="009308FF" w:rsidRPr="00977C57">
        <w:rPr>
          <w:rFonts w:ascii="Arial" w:hAnsi="Arial" w:cs="Arial"/>
          <w:lang w:val="id"/>
        </w:rPr>
        <w:t xml:space="preserve">. </w:t>
      </w:r>
      <w:r w:rsidR="00B17784" w:rsidRPr="00977C57">
        <w:rPr>
          <w:rFonts w:ascii="Arial" w:hAnsi="Arial" w:cs="Arial"/>
          <w:lang w:val="id"/>
        </w:rPr>
        <w:t>Micropropagation</w:t>
      </w:r>
      <w:r w:rsidR="008D04A2" w:rsidRPr="00977C57">
        <w:rPr>
          <w:rFonts w:ascii="Arial" w:hAnsi="Arial" w:cs="Arial"/>
          <w:lang w:val="id"/>
        </w:rPr>
        <w:t xml:space="preserve">, rooting, and germplasm conservation of </w:t>
      </w:r>
      <w:r w:rsidR="008D04A2" w:rsidRPr="00977C57">
        <w:rPr>
          <w:rFonts w:ascii="Arial" w:hAnsi="Arial" w:cs="Arial"/>
          <w:i/>
          <w:iCs/>
          <w:lang w:val="id"/>
        </w:rPr>
        <w:t>F. americana</w:t>
      </w:r>
      <w:r w:rsidR="008D04A2" w:rsidRPr="00977C57">
        <w:rPr>
          <w:rFonts w:ascii="Arial" w:hAnsi="Arial" w:cs="Arial"/>
          <w:lang w:val="id"/>
        </w:rPr>
        <w:t xml:space="preserve"> Aubl. and </w:t>
      </w:r>
      <w:r w:rsidR="008D04A2" w:rsidRPr="00977C57">
        <w:rPr>
          <w:rFonts w:ascii="Arial" w:hAnsi="Arial" w:cs="Arial"/>
          <w:i/>
          <w:iCs/>
          <w:lang w:val="id"/>
        </w:rPr>
        <w:t>F. obtusifolia</w:t>
      </w:r>
      <w:r w:rsidR="008D04A2" w:rsidRPr="00977C57">
        <w:rPr>
          <w:rFonts w:ascii="Arial" w:hAnsi="Arial" w:cs="Arial"/>
          <w:lang w:val="id"/>
        </w:rPr>
        <w:t xml:space="preserve"> Kunth was effective in Piper </w:t>
      </w:r>
      <w:r w:rsidR="00AF5D06">
        <w:rPr>
          <w:rFonts w:ascii="Arial" w:hAnsi="Arial" w:cs="Arial"/>
          <w:lang w:val="id"/>
        </w:rPr>
        <w:t>c</w:t>
      </w:r>
      <w:r w:rsidR="008D04A2" w:rsidRPr="00977C57">
        <w:rPr>
          <w:rFonts w:ascii="Arial" w:hAnsi="Arial" w:cs="Arial"/>
          <w:lang w:val="id"/>
        </w:rPr>
        <w:t>ulture medium which was constituted by MS mineral salts with 0.02 mg.L-1 IAA and 0.02 mg.L-1 GA3</w:t>
      </w:r>
      <w:r w:rsidR="00AF5D06">
        <w:rPr>
          <w:rFonts w:ascii="Arial" w:hAnsi="Arial" w:cs="Arial"/>
          <w:lang w:val="id"/>
        </w:rPr>
        <w:t xml:space="preserve"> </w:t>
      </w:r>
      <w:r w:rsidR="00AF5D06">
        <w:rPr>
          <w:rFonts w:ascii="Arial" w:hAnsi="Arial" w:cs="Arial"/>
          <w:lang w:val="id"/>
        </w:rPr>
        <w:fldChar w:fldCharType="begin" w:fldLock="1"/>
      </w:r>
      <w:r w:rsidR="001E61FF">
        <w:rPr>
          <w:rFonts w:ascii="Arial" w:hAnsi="Arial" w:cs="Arial"/>
          <w:lang w:val="id"/>
        </w:rPr>
        <w:instrText>ADDIN CSL_CITATION {"citationItems":[{"id":"ITEM-1","itemData":{"DOI":"10.14483/2256201X.19114","ISSN":"2256201X","abstract":"Ficus americana and F. obtusifolia are among the most important tree species in Seasonally Dry Tropical Forests (SDTF) due to their evergreen condition and high levels of biomass. However, the SDTF of Lambayeque and northern Peru is greatly diminishing due to the advance of migratory agriculture, illegal mining, and deforestation. The objective of this work was to study the taxonomic aspects of both species, as well as seed germination, micropropagation, and in vitro germplasm conservation. Seed germination was 100% for both species up to three months after collection. As for micropropagation, rooting, and germplasm conservation, the Piper culture medium was effective, as it was constituted by MS mineral salts with 0.02 mg.L-1 IAA and 0.02 mg.L-' GAr In vitro germplasm conservation lasted more than 24 months for both species. Acclimatization under greenhouse conditions reached 50% survival for both species.","author":[{"dropping-particle":"","family":"Delgado-Paredes","given":"Guillermo E.","non-dropping-particle":"","parse-names":false,"suffix":""},{"dropping-particle":"","family":"Rojas-Idrogo","given":"Consuelo","non-dropping-particle":"","parse-names":false,"suffix":""},{"dropping-particle":"","family":"Esquerre-Ibañez","given":"Boris","non-dropping-particle":"","parse-names":false,"suffix":""},{"dropping-particle":"","family":"Vásquez-Díaz","given":"Cecilia","non-dropping-particle":"","parse-names":false,"suffix":""},{"dropping-particle":"","family":"Zuñe-Da Silva","given":"Felipe","non-dropping-particle":"","parse-names":false,"suffix":""},{"dropping-particle":"","family":"Kuethe","given":"J. R.","non-dropping-particle":"","parse-names":false,"suffix":""}],"container-title":"Colombia Forestal","id":"ITEM-1","issue":"1","issued":{"date-parts":[["2023"]]},"page":"92-108","title":"Micropropagation and Germplasm Conservation of Ficus americana Aubl. and F. obtusifolia Kunth from Lambayeque (Peru)","type":"article-journal","volume":"26"},"uris":["http://www.mendeley.com/documents/?uuid=4bc3c336-9847-4491-864c-662dfbe1c3a1"]}],"mendeley":{"formattedCitation":"(19)","plainTextFormattedCitation":"(19)","previouslyFormattedCitation":"(19)"},"properties":{"noteIndex":0},"schema":"https://github.com/citation-style-language/schema/raw/master/csl-citation.json"}</w:instrText>
      </w:r>
      <w:r w:rsidR="00AF5D06">
        <w:rPr>
          <w:rFonts w:ascii="Arial" w:hAnsi="Arial" w:cs="Arial"/>
          <w:lang w:val="id"/>
        </w:rPr>
        <w:fldChar w:fldCharType="separate"/>
      </w:r>
      <w:r w:rsidR="001039A5" w:rsidRPr="001039A5">
        <w:rPr>
          <w:rFonts w:ascii="Arial" w:hAnsi="Arial" w:cs="Arial"/>
          <w:noProof/>
          <w:lang w:val="id"/>
        </w:rPr>
        <w:t>(19)</w:t>
      </w:r>
      <w:r w:rsidR="00AF5D06">
        <w:rPr>
          <w:rFonts w:ascii="Arial" w:hAnsi="Arial" w:cs="Arial"/>
          <w:lang w:val="id"/>
        </w:rPr>
        <w:fldChar w:fldCharType="end"/>
      </w:r>
      <w:r w:rsidR="008D04A2" w:rsidRPr="00977C57">
        <w:rPr>
          <w:rFonts w:ascii="Arial" w:hAnsi="Arial" w:cs="Arial"/>
          <w:lang w:val="id"/>
        </w:rPr>
        <w:t>.</w:t>
      </w:r>
      <w:r w:rsidR="009308FF" w:rsidRPr="00977C57">
        <w:rPr>
          <w:rFonts w:ascii="Arial" w:hAnsi="Arial" w:cs="Arial"/>
          <w:lang w:val="id"/>
        </w:rPr>
        <w:t xml:space="preserve"> </w:t>
      </w:r>
      <w:r w:rsidR="00264FB2" w:rsidRPr="00977C57">
        <w:rPr>
          <w:rFonts w:ascii="Arial" w:hAnsi="Arial" w:cs="Arial"/>
          <w:lang w:val="id"/>
        </w:rPr>
        <w:t>High frequency in vitro regeneration has been successfully obtained from fully developed mature leaf segment explants of</w:t>
      </w:r>
      <w:r w:rsidR="00264FB2" w:rsidRPr="00977C57">
        <w:rPr>
          <w:rFonts w:ascii="Arial" w:hAnsi="Arial" w:cs="Arial"/>
          <w:i/>
          <w:iCs/>
          <w:lang w:val="id"/>
        </w:rPr>
        <w:t xml:space="preserve"> F</w:t>
      </w:r>
      <w:r w:rsidR="008D04A2" w:rsidRPr="00977C57">
        <w:rPr>
          <w:rFonts w:ascii="Arial" w:hAnsi="Arial" w:cs="Arial"/>
          <w:i/>
          <w:iCs/>
          <w:lang w:val="id"/>
        </w:rPr>
        <w:t>.</w:t>
      </w:r>
      <w:r w:rsidR="00264FB2" w:rsidRPr="00977C57">
        <w:rPr>
          <w:rFonts w:ascii="Arial" w:hAnsi="Arial" w:cs="Arial"/>
          <w:i/>
          <w:iCs/>
          <w:lang w:val="id"/>
        </w:rPr>
        <w:t xml:space="preserve"> religiosa</w:t>
      </w:r>
      <w:r w:rsidR="009308FF" w:rsidRPr="00977C57">
        <w:rPr>
          <w:rFonts w:ascii="Arial" w:hAnsi="Arial" w:cs="Arial"/>
          <w:lang w:val="id"/>
        </w:rPr>
        <w:t xml:space="preserve"> </w:t>
      </w:r>
      <w:r w:rsidR="00AF5D06">
        <w:rPr>
          <w:rFonts w:ascii="Arial" w:hAnsi="Arial" w:cs="Arial"/>
          <w:lang w:val="id"/>
        </w:rPr>
        <w:fldChar w:fldCharType="begin" w:fldLock="1"/>
      </w:r>
      <w:r w:rsidR="001E61FF">
        <w:rPr>
          <w:rFonts w:ascii="Arial" w:hAnsi="Arial" w:cs="Arial"/>
          <w:lang w:val="id"/>
        </w:rPr>
        <w:instrText>ADDIN CSL_CITATION {"citationItems":[{"id":"ITEM-1","itemData":{"DOI":"10.1007/s13205-013-0175-8","ISBN":"1320501301758","ISSN":"21905738","abstract":"A high-frequency, season-independent, in vitro regeneration of Ficusreligiosa was developed, followed by comparative acetylcholinesterase inhibitory (AChEI) activity assay of the in vitro raised and conventionally grown plants. The use of AChEI activity is the most accepted strategy for the treatment of Alzheimer disease. Fully expanded, mature leaves were cut into different segments to initiate the cultures. The middle section of the leaf in vertical orientation with cut portion inserted inside the medium was found most suitable for direct shoot regeneration. Leaf explants responded with nearly consistent frequency (60–66.67 %) throughout the year. To obtain high frequency response with enhanced shoot multiplication rate, 32 plant growth regulator regimes were screened amongst which benzylaminopurine at 5.0 mg/l was found most suitable, yielding 100 % response and maximum number of shoots per explant (7.93); same concentration was also most supportive for repeated multiplication (6.53 shoots). The quality of the shoots and multiplication rate could be significantly enhanced (24.35 shoots) when adenine sulphate, glutamine and phloroglucinol, in an optimised concentration, were additionally supplemented. The clonal nature of the micropropagated plants was confirmed by random amplified polymorphic DNA analysis. A comparative analysis of AChEI activity was carried out amongst the methanolic extracts of stem segments of the mother plant, randomly selected seedlings of different age (4 and 6 months old) of the same mother plant and randomly selected micropropagated plants of different age (3 and 6 months age). The mother plant sample showed effective AChEI activity, with IC50 of 66.46 μg/ml while seedlings, of different age groups, performed poorly (6-month-old seedlings, Se-16M, yielded IC50 of 20,538.46 μg/ml, while two randomly selected 4 months’ aged seedlings, Se-24M and Se-34M exhibited IC50 of 19,341.03 and 24,281.70 μg/ml). On the other hand, various micropropagated plants, 2 of 3 months (MiP-13M, MiP-23M) and 2 of 6 months (MiP-36M and MiP-46M) age behaved like the mother plant, exhibiting IC50 values of 71.87, 72.91, 67.65 and 69.65 μg/ml, respectively.","author":[{"dropping-particle":"","family":"Siwach","given":"Priyanka","non-dropping-particle":"","parse-names":false,"suffix":""},{"dropping-particle":"","family":"Gill","given":"Anita Rani","non-dropping-particle":"","parse-names":false,"suffix":""}],"container-title":"3 Biotech","id":"ITEM-1","issue":"5","issued":{"date-parts":[["2014"]]},"page":"477-491","title":"Micropropagation of Ficus religiosa L. via leaf explants and comparative evaluation of acetylcholinesterase inhibitory activity in the micropropagated and conventionally grown plants","type":"article-journal","volume":"4"},"uris":["http://www.mendeley.com/documents/?uuid=c65ccccf-07fe-4d46-be64-ce53d173f3a6"]}],"mendeley":{"formattedCitation":"(20)","plainTextFormattedCitation":"(20)","previouslyFormattedCitation":"(20)"},"properties":{"noteIndex":0},"schema":"https://github.com/citation-style-language/schema/raw/master/csl-citation.json"}</w:instrText>
      </w:r>
      <w:r w:rsidR="00AF5D06">
        <w:rPr>
          <w:rFonts w:ascii="Arial" w:hAnsi="Arial" w:cs="Arial"/>
          <w:lang w:val="id"/>
        </w:rPr>
        <w:fldChar w:fldCharType="separate"/>
      </w:r>
      <w:r w:rsidR="001039A5" w:rsidRPr="001039A5">
        <w:rPr>
          <w:rFonts w:ascii="Arial" w:hAnsi="Arial" w:cs="Arial"/>
          <w:noProof/>
          <w:lang w:val="id"/>
        </w:rPr>
        <w:t>(20)</w:t>
      </w:r>
      <w:r w:rsidR="00AF5D06">
        <w:rPr>
          <w:rFonts w:ascii="Arial" w:hAnsi="Arial" w:cs="Arial"/>
          <w:lang w:val="id"/>
        </w:rPr>
        <w:fldChar w:fldCharType="end"/>
      </w:r>
      <w:r w:rsidR="00483DFD" w:rsidRPr="00977C57">
        <w:rPr>
          <w:rFonts w:ascii="Arial" w:hAnsi="Arial" w:cs="Arial"/>
          <w:lang w:val="id"/>
        </w:rPr>
        <w:t>. This protocol overcomes high frequency contamination which is often influenced by the season during explant collection</w:t>
      </w:r>
      <w:r w:rsidR="009308FF" w:rsidRPr="00977C57">
        <w:rPr>
          <w:rFonts w:ascii="Arial" w:hAnsi="Arial" w:cs="Arial"/>
          <w:lang w:val="id"/>
        </w:rPr>
        <w:t>.</w:t>
      </w:r>
      <w:r w:rsidR="00FC36E4" w:rsidRPr="00977C57">
        <w:rPr>
          <w:rFonts w:ascii="Arial" w:hAnsi="Arial" w:cs="Arial"/>
          <w:lang w:val="id"/>
        </w:rPr>
        <w:t xml:space="preserve"> The regeneration system through indirect organogenesis has also been successfully carried out on </w:t>
      </w:r>
      <w:r w:rsidR="00FC36E4" w:rsidRPr="00977C57">
        <w:rPr>
          <w:rFonts w:ascii="Arial" w:hAnsi="Arial" w:cs="Arial"/>
          <w:i/>
          <w:iCs/>
          <w:lang w:val="id"/>
        </w:rPr>
        <w:t>F. tikoua</w:t>
      </w:r>
      <w:r w:rsidR="00FC36E4" w:rsidRPr="00977C57">
        <w:rPr>
          <w:rFonts w:ascii="Arial" w:hAnsi="Arial" w:cs="Arial"/>
          <w:lang w:val="id"/>
        </w:rPr>
        <w:t xml:space="preserve">. Callus induced from bud explants on free-disease stem segments was able to produce adventitious buds. The maximum number of indirectly regenerated shoots was obtained in the medium supplemented with 0.5 mg L−1 TDZ and 2.0 mg L−1 BA (61.11%) but not significantly different from the medium supplemented with 0.1 mg L−1 TDZ, 2.0 mg L−1 BA, and 0.5 mg L−1 2,4-D (60.00%). The results of adventitious bud multiplication were able to produce plantlets that after being planted in a medium containing garden soil, perlite, and vermiculite with a ratio of 2:1:1 had the highest survival rate (86.17%) </w:t>
      </w:r>
      <w:r w:rsidR="00FC36E4" w:rsidRPr="00977C57">
        <w:rPr>
          <w:rFonts w:ascii="Arial" w:hAnsi="Arial" w:cs="Arial"/>
          <w:lang w:val="id"/>
        </w:rPr>
        <w:fldChar w:fldCharType="begin" w:fldLock="1"/>
      </w:r>
      <w:r w:rsidR="001E61FF">
        <w:rPr>
          <w:rFonts w:ascii="Arial" w:hAnsi="Arial" w:cs="Arial"/>
          <w:lang w:val="id"/>
        </w:rPr>
        <w:instrText>ADDIN CSL_CITATION {"citationItems":[{"id":"ITEM-1","itemData":{"DOI":"10.1007/s11627-024-10414-3","ISSN":"14752689","abstract":"Ficus tikoua Bureau is an ecologically functional perennial vine that belongs to the Moraceae family. Tissue culture is a common method for the rapid propagation of plants and is suitable for the rapid propagation of F. tikoua. The objective of the current study was to evaluate the process of F. tikoua organogenesis in vitro utilizing stem explants. An efficient tissue culture propagation method was developed by manipulating several plant growth regulators (PGRs) and their proportions, as well as evaluating alternative medium options for specific phases of differentiation. Explants were cultured on MS medium, supplemented with various thidiazuron (TDZ) concentrations with 6-benzylaminopurine (BA) and naphthaleneacetic acid (NAA), to investigate their efficacy during in vitro shoot organogenesis. The results demonstrated that the combination of 0.5 mg L−1 BA, 1.0 mg L−1 NAA, and 1.0 mg L−1 TDZ was the most effective for callus formation (91.1%) and that the combination of 2.0 mg L−1 BA and 0.5 mg L−1 TDZ was the most suited for adventitious shoot induction (61.11%). The medium supplemented with 1.0 mg L−1 BA, 1.0 mg L−1 NAA, and 0.5 mg L−1 TDZ yielded the highest bud multiplication number with a 6.05 proliferation factor. The cultured shoots rooted easily on half-strength MS medium containing 1.0 mg L−1 IBA and 0.1 mg L−1 NAA (68.52%). The subsequent regenerated plants were grown in a mixture of garden soil, perlite, and vermiculite in a ratio of 2:1:1, resulting in a survival rate of 86.17%.","author":[{"dropping-particle":"","family":"Li","given":"Xufei","non-dropping-particle":"","parse-names":false,"suffix":""},{"dropping-particle":"","family":"Li","given":"Qianxia","non-dropping-particle":"","parse-names":false,"suffix":""},{"dropping-particle":"","family":"Cui","given":"Ying","non-dropping-particle":"","parse-names":false,"suffix":""},{"dropping-particle":"","family":"Liu","given":"Tongfei","non-dropping-particle":"","parse-names":false,"suffix":""},{"dropping-particle":"","family":"Zhang","given":"Yanni","non-dropping-particle":"","parse-names":false,"suffix":""}],"container-title":"In Vitro Cellular and Developmental Biology - Plant","id":"ITEM-1","issue":"2","issued":{"date-parts":[["2024"]]},"page":"194-201","publisher":"Springer US","title":"Establishment of tissue culture regeneration system of Ficus tikoua","type":"article-journal","volume":"60"},"uris":["http://www.mendeley.com/documents/?uuid=cf4b1940-edf4-49b9-8a06-f67d92045c40"]}],"mendeley":{"formattedCitation":"(21)","plainTextFormattedCitation":"(21)","previouslyFormattedCitation":"(21)"},"properties":{"noteIndex":0},"schema":"https://github.com/citation-style-language/schema/raw/master/csl-citation.json"}</w:instrText>
      </w:r>
      <w:r w:rsidR="00FC36E4" w:rsidRPr="00977C57">
        <w:rPr>
          <w:rFonts w:ascii="Arial" w:hAnsi="Arial" w:cs="Arial"/>
          <w:lang w:val="id"/>
        </w:rPr>
        <w:fldChar w:fldCharType="separate"/>
      </w:r>
      <w:r w:rsidR="001039A5" w:rsidRPr="001039A5">
        <w:rPr>
          <w:rFonts w:ascii="Arial" w:hAnsi="Arial" w:cs="Arial"/>
          <w:noProof/>
          <w:lang w:val="id"/>
        </w:rPr>
        <w:t>(21)</w:t>
      </w:r>
      <w:r w:rsidR="00FC36E4" w:rsidRPr="00977C57">
        <w:rPr>
          <w:rFonts w:ascii="Arial" w:hAnsi="Arial" w:cs="Arial"/>
          <w:lang w:val="id"/>
        </w:rPr>
        <w:fldChar w:fldCharType="end"/>
      </w:r>
      <w:r w:rsidR="00FC36E4" w:rsidRPr="00977C57">
        <w:rPr>
          <w:rFonts w:ascii="Arial" w:hAnsi="Arial" w:cs="Arial"/>
          <w:lang w:val="id"/>
        </w:rPr>
        <w:t xml:space="preserve">. </w:t>
      </w:r>
      <w:r w:rsidR="00B17784" w:rsidRPr="00977C57">
        <w:rPr>
          <w:rFonts w:ascii="Arial" w:hAnsi="Arial" w:cs="Arial"/>
          <w:lang w:val="en-ID"/>
        </w:rPr>
        <w:t xml:space="preserve">However, so far in vitro micropropagation in </w:t>
      </w:r>
      <w:r w:rsidR="00B17784" w:rsidRPr="00977C57">
        <w:rPr>
          <w:rFonts w:ascii="Arial" w:hAnsi="Arial" w:cs="Arial"/>
          <w:i/>
          <w:iCs/>
          <w:lang w:val="en-ID"/>
        </w:rPr>
        <w:t>F. racemosa</w:t>
      </w:r>
      <w:r w:rsidR="00B17784" w:rsidRPr="00977C57">
        <w:rPr>
          <w:rFonts w:ascii="Arial" w:hAnsi="Arial" w:cs="Arial"/>
          <w:lang w:val="en-ID"/>
        </w:rPr>
        <w:t xml:space="preserve"> has never been reported. Therefore, this </w:t>
      </w:r>
      <w:r w:rsidR="00B17784" w:rsidRPr="00B17784">
        <w:rPr>
          <w:rFonts w:ascii="Arial" w:hAnsi="Arial" w:cs="Arial"/>
          <w:lang w:val="en-ID"/>
        </w:rPr>
        <w:t xml:space="preserve">study aims to determine the potential for in vitro regeneration of </w:t>
      </w:r>
      <w:r w:rsidR="00B17784" w:rsidRPr="00B17784">
        <w:rPr>
          <w:rFonts w:ascii="Arial" w:hAnsi="Arial" w:cs="Arial"/>
          <w:i/>
          <w:iCs/>
          <w:lang w:val="en-ID"/>
        </w:rPr>
        <w:t>F. racemosa</w:t>
      </w:r>
      <w:r w:rsidR="00B17784" w:rsidRPr="00B17784">
        <w:rPr>
          <w:rFonts w:ascii="Arial" w:hAnsi="Arial" w:cs="Arial"/>
          <w:lang w:val="en-ID"/>
        </w:rPr>
        <w:t xml:space="preserve"> explants to provide woody plant stocks to support forest conservation.</w:t>
      </w:r>
    </w:p>
    <w:bookmarkEnd w:id="1"/>
    <w:p w14:paraId="02E98C41" w14:textId="77777777" w:rsidR="00F77B31" w:rsidRPr="00B17784" w:rsidRDefault="00F77B31" w:rsidP="00441B6F">
      <w:pPr>
        <w:pStyle w:val="Body"/>
        <w:spacing w:after="0"/>
        <w:rPr>
          <w:rFonts w:ascii="Arial" w:hAnsi="Arial" w:cs="Arial"/>
          <w:lang w:val="en-ID"/>
        </w:rPr>
      </w:pPr>
    </w:p>
    <w:p w14:paraId="689586FF" w14:textId="5DC7FBDF" w:rsidR="007F7B32" w:rsidRPr="00394670" w:rsidRDefault="00902823" w:rsidP="00441B6F">
      <w:pPr>
        <w:pStyle w:val="AbstHead"/>
        <w:spacing w:after="0"/>
        <w:jc w:val="both"/>
        <w:rPr>
          <w:rFonts w:ascii="Arial" w:hAnsi="Arial" w:cs="Arial"/>
          <w:lang w:val="id"/>
        </w:rPr>
      </w:pPr>
      <w:bookmarkStart w:id="2" w:name="_Hlk198563003"/>
      <w:r w:rsidRPr="00394670">
        <w:rPr>
          <w:rFonts w:ascii="Arial" w:hAnsi="Arial" w:cs="Arial"/>
          <w:lang w:val="id"/>
        </w:rPr>
        <w:t>2. material and method</w:t>
      </w:r>
      <w:r w:rsidR="00000F8F" w:rsidRPr="00394670">
        <w:rPr>
          <w:rFonts w:ascii="Arial" w:hAnsi="Arial" w:cs="Arial"/>
          <w:lang w:val="id"/>
        </w:rPr>
        <w:t>s</w:t>
      </w:r>
    </w:p>
    <w:p w14:paraId="650AE725" w14:textId="5EBFCC90" w:rsidR="00D21BB5" w:rsidRDefault="00D21BB5" w:rsidP="00441B6F">
      <w:pPr>
        <w:pStyle w:val="Body"/>
        <w:spacing w:after="0"/>
        <w:rPr>
          <w:rFonts w:ascii="Arial" w:hAnsi="Arial" w:cs="Arial"/>
          <w:b/>
          <w:bCs/>
          <w:sz w:val="22"/>
          <w:szCs w:val="22"/>
          <w:lang w:val="id"/>
        </w:rPr>
      </w:pPr>
      <w:r w:rsidRPr="0010779A">
        <w:rPr>
          <w:rFonts w:ascii="Arial" w:hAnsi="Arial" w:cs="Arial"/>
          <w:b/>
          <w:bCs/>
          <w:sz w:val="22"/>
          <w:szCs w:val="22"/>
          <w:lang w:val="id"/>
        </w:rPr>
        <w:t>2.1 Plant Materials</w:t>
      </w:r>
      <w:r w:rsidR="007C0B96" w:rsidRPr="0010779A">
        <w:rPr>
          <w:rFonts w:ascii="Arial" w:hAnsi="Arial" w:cs="Arial"/>
          <w:b/>
          <w:bCs/>
          <w:sz w:val="22"/>
          <w:szCs w:val="22"/>
          <w:lang w:val="id"/>
        </w:rPr>
        <w:t xml:space="preserve"> and sterilization</w:t>
      </w:r>
    </w:p>
    <w:p w14:paraId="03D4531D" w14:textId="77777777" w:rsidR="00BA736B" w:rsidRPr="0010779A" w:rsidRDefault="00BA736B" w:rsidP="00441B6F">
      <w:pPr>
        <w:pStyle w:val="Body"/>
        <w:spacing w:after="0"/>
        <w:rPr>
          <w:rFonts w:ascii="Arial" w:hAnsi="Arial" w:cs="Arial"/>
          <w:b/>
          <w:bCs/>
          <w:sz w:val="22"/>
          <w:szCs w:val="22"/>
          <w:lang w:val="id"/>
        </w:rPr>
      </w:pPr>
    </w:p>
    <w:p w14:paraId="41EB6104" w14:textId="15403C00" w:rsidR="00BA736B" w:rsidRDefault="00F33C52" w:rsidP="00BA736B">
      <w:pPr>
        <w:jc w:val="both"/>
        <w:rPr>
          <w:rFonts w:ascii="Arial" w:hAnsi="Arial" w:cs="Arial"/>
        </w:rPr>
      </w:pPr>
      <w:r w:rsidRPr="00F33C52">
        <w:rPr>
          <w:rFonts w:ascii="Arial" w:hAnsi="Arial" w:cs="Arial"/>
          <w:i/>
          <w:iCs/>
        </w:rPr>
        <w:t>F. racemosa</w:t>
      </w:r>
      <w:r w:rsidRPr="00F33C52">
        <w:rPr>
          <w:rFonts w:ascii="Arial" w:hAnsi="Arial" w:cs="Arial"/>
        </w:rPr>
        <w:t xml:space="preserve"> fruit was obtained from wild plants in </w:t>
      </w:r>
      <w:proofErr w:type="spellStart"/>
      <w:r w:rsidRPr="00F33C52">
        <w:rPr>
          <w:rFonts w:ascii="Arial" w:hAnsi="Arial" w:cs="Arial"/>
        </w:rPr>
        <w:t>Bedengan</w:t>
      </w:r>
      <w:proofErr w:type="spellEnd"/>
      <w:r w:rsidRPr="00F33C52">
        <w:rPr>
          <w:rFonts w:ascii="Arial" w:hAnsi="Arial" w:cs="Arial"/>
        </w:rPr>
        <w:t xml:space="preserve"> Camping Ground </w:t>
      </w:r>
      <w:proofErr w:type="spellStart"/>
      <w:r w:rsidRPr="00F33C52">
        <w:rPr>
          <w:rFonts w:ascii="Arial" w:hAnsi="Arial" w:cs="Arial"/>
        </w:rPr>
        <w:t>Selorejo</w:t>
      </w:r>
      <w:proofErr w:type="spellEnd"/>
      <w:r w:rsidRPr="00F33C52">
        <w:rPr>
          <w:rFonts w:ascii="Arial" w:hAnsi="Arial" w:cs="Arial"/>
        </w:rPr>
        <w:t xml:space="preserve">, East Java. Small cream-colored seeds were removed from fresh fruit and washed and then air-dried. Surface sterilization of the seeds began by soaking the seeds in 70% alcohol for 1 </w:t>
      </w:r>
      <w:r w:rsidRPr="00F33C52">
        <w:rPr>
          <w:rFonts w:ascii="Arial" w:hAnsi="Arial" w:cs="Arial"/>
        </w:rPr>
        <w:lastRenderedPageBreak/>
        <w:t xml:space="preserve">minute, followed by soaking in a solution of two drops of </w:t>
      </w:r>
      <w:proofErr w:type="spellStart"/>
      <w:r w:rsidRPr="00F33C52">
        <w:rPr>
          <w:rFonts w:ascii="Arial" w:hAnsi="Arial" w:cs="Arial"/>
        </w:rPr>
        <w:t>bactocyn</w:t>
      </w:r>
      <w:proofErr w:type="spellEnd"/>
      <w:r w:rsidRPr="00F33C52">
        <w:rPr>
          <w:rFonts w:ascii="Arial" w:hAnsi="Arial" w:cs="Arial"/>
        </w:rPr>
        <w:t xml:space="preserve"> (fungicide) in 20 ml of sterile </w:t>
      </w:r>
      <w:proofErr w:type="spellStart"/>
      <w:r w:rsidRPr="00F33C52">
        <w:rPr>
          <w:rFonts w:ascii="Arial" w:hAnsi="Arial" w:cs="Arial"/>
        </w:rPr>
        <w:t>aquadest</w:t>
      </w:r>
      <w:proofErr w:type="spellEnd"/>
      <w:r w:rsidRPr="00F33C52">
        <w:rPr>
          <w:rFonts w:ascii="Arial" w:hAnsi="Arial" w:cs="Arial"/>
        </w:rPr>
        <w:t xml:space="preserve"> for 20 minutes. </w:t>
      </w:r>
      <w:r w:rsidR="00103CC6">
        <w:rPr>
          <w:rFonts w:ascii="Arial" w:hAnsi="Arial" w:cs="Arial"/>
        </w:rPr>
        <w:t>Afterward</w:t>
      </w:r>
      <w:r w:rsidRPr="00F33C52">
        <w:rPr>
          <w:rFonts w:ascii="Arial" w:hAnsi="Arial" w:cs="Arial"/>
        </w:rPr>
        <w:t xml:space="preserve"> the seeds were shaken in a 30% </w:t>
      </w:r>
      <w:proofErr w:type="spellStart"/>
      <w:r w:rsidRPr="00F33C52">
        <w:rPr>
          <w:rFonts w:ascii="Arial" w:hAnsi="Arial" w:cs="Arial"/>
        </w:rPr>
        <w:t>Bayclin</w:t>
      </w:r>
      <w:proofErr w:type="spellEnd"/>
      <w:r w:rsidRPr="00F33C52">
        <w:rPr>
          <w:rFonts w:ascii="Arial" w:hAnsi="Arial" w:cs="Arial"/>
        </w:rPr>
        <w:t xml:space="preserve"> solution for 10 minutes. After being rinsed again with sterile </w:t>
      </w:r>
      <w:proofErr w:type="spellStart"/>
      <w:r w:rsidRPr="00F33C52">
        <w:rPr>
          <w:rFonts w:ascii="Arial" w:hAnsi="Arial" w:cs="Arial"/>
        </w:rPr>
        <w:t>aquadest</w:t>
      </w:r>
      <w:proofErr w:type="spellEnd"/>
      <w:r w:rsidRPr="00F33C52">
        <w:rPr>
          <w:rFonts w:ascii="Arial" w:hAnsi="Arial" w:cs="Arial"/>
        </w:rPr>
        <w:t xml:space="preserve"> three times for five minutes each, the seeds were ready to be germinated in vitro.</w:t>
      </w:r>
    </w:p>
    <w:p w14:paraId="3D8D48D6" w14:textId="79DB5C1B" w:rsidR="00D21BB5" w:rsidRDefault="00BA736B" w:rsidP="00BA736B">
      <w:pPr>
        <w:pStyle w:val="Body"/>
        <w:spacing w:after="0"/>
        <w:rPr>
          <w:rFonts w:ascii="Arial" w:hAnsi="Arial" w:cs="Arial"/>
        </w:rPr>
      </w:pPr>
      <w:r w:rsidRPr="00BA736B">
        <w:rPr>
          <w:rFonts w:ascii="Arial" w:hAnsi="Arial" w:cs="Arial"/>
        </w:rPr>
        <w:t xml:space="preserve">Sterile seeds were germinated on agar medium without the addition of </w:t>
      </w:r>
      <w:r w:rsidR="006A63E1">
        <w:rPr>
          <w:rFonts w:ascii="Arial" w:hAnsi="Arial" w:cs="Arial"/>
        </w:rPr>
        <w:t xml:space="preserve">plant </w:t>
      </w:r>
      <w:r w:rsidRPr="00BA736B">
        <w:rPr>
          <w:rFonts w:ascii="Arial" w:hAnsi="Arial" w:cs="Arial"/>
        </w:rPr>
        <w:t xml:space="preserve">growth regulators </w:t>
      </w:r>
      <w:r w:rsidR="006A63E1">
        <w:rPr>
          <w:rFonts w:ascii="Arial" w:hAnsi="Arial" w:cs="Arial"/>
        </w:rPr>
        <w:t xml:space="preserve">(PGR) </w:t>
      </w:r>
      <w:r w:rsidRPr="00BA736B">
        <w:rPr>
          <w:rFonts w:ascii="Arial" w:hAnsi="Arial" w:cs="Arial"/>
        </w:rPr>
        <w:t>under a light intensity of 600 lux at a temperature of 24 ± 2 °C. The cotyledon</w:t>
      </w:r>
      <w:r w:rsidR="00103CC6">
        <w:rPr>
          <w:rFonts w:ascii="Arial" w:hAnsi="Arial" w:cs="Arial"/>
        </w:rPr>
        <w:t>ary</w:t>
      </w:r>
      <w:r w:rsidRPr="00BA736B">
        <w:rPr>
          <w:rFonts w:ascii="Arial" w:hAnsi="Arial" w:cs="Arial"/>
        </w:rPr>
        <w:t xml:space="preserve"> node</w:t>
      </w:r>
      <w:r w:rsidR="00103CC6">
        <w:rPr>
          <w:rFonts w:ascii="Arial" w:hAnsi="Arial" w:cs="Arial"/>
        </w:rPr>
        <w:t xml:space="preserve">s </w:t>
      </w:r>
      <w:r w:rsidR="006A63E1">
        <w:rPr>
          <w:rFonts w:ascii="Arial" w:hAnsi="Arial" w:cs="Arial"/>
        </w:rPr>
        <w:fldChar w:fldCharType="begin" w:fldLock="1"/>
      </w:r>
      <w:r w:rsidR="001E61FF">
        <w:rPr>
          <w:rFonts w:ascii="Arial" w:hAnsi="Arial" w:cs="Arial"/>
        </w:rPr>
        <w:instrText>ADDIN CSL_CITATION {"citationItems":[{"id":"ITEM-1","itemData":{"DOI":"10.1186/s12870-014-0235-1","ISSN":"14712229","PMID":"25195944","abstract":"Background: Crambe abyssinica (crambe) is a non-food oil seed crop. Its seed oil is widely used in the chemical industry because of the high erucic acid content. Furthermore, it is a potential platform for various feedstock oils for industrial uses based on genetic modification. Here, we describe the development of a series of protocols for all steps required in the process of generating genetically modified crambe.Results: Different explant types from crambe seedlings were tested for shoot regeneration using different hormone-combinations. Cotyledonary nodes on basic medium with 0.5 μM NAA and 2.2 μM BAP gave the highest regeneration percentages. For propagation by tissue culture, explants of stems, petioles, leaves and axillary buds of in vitro plantlets were tested using the optimized medium. Axillary buds showed the highest shoot proliferation efficiency. Cotyledonary nodes were used to test the proper concentration of kanamycin for selection of transformation events, and 10 to 25 mg · L-1 were identified as effective. The cotyledonary nodes and cotyledons from 7-day-old seedlings were used in Agrobacterium-mediated transformations with two kinds of selection strategies, shifting or consistent. Using the shifting selection method (10 mg · L-1 kanamycin, 25 mg · L-1, then back to 10 mg · L-1) cotyledonary nodes gave 10% transformation frequency, and cotyledons 4%, while with the consistent method (25 mg · L-1) lower frequencies were found, 1% for cotyledonary nodes and 0% for cotyledons). Later, in vitro plant axillary buds were tried as explants for transformation, however, transformation frequency was low ranging from 0.5 to 2%. Overall, testing six different vectors and two kinds of Agrobacterium strains, the average transformation frequency using the shifting method was 4.4%. Determining T-DNA insertion numbers by Southern blotting showed that approximately 50% of the transgenic lines had a single-copy insertion.Conclusions: Present research revealed the potential of using crambe meristematic tissue for genetic transformation and in vitro propagation. The most efficient method of transformation used cotyledonary node explants from 7-days-old seedlings with a shifting kanamycin selection. Meristematic tissues (cotyledonary node or axillary bud) had the highest ability for shoot proliferation. Single-copy T-DNA insert lines could be efficiently and reproducibly generated.","author":[{"dropping-particle":"","family":"Qi","given":"Weicong","non-dropping-particle":"","parse-names":false,"suffix":""},{"dropping-particle":"","family":"Tinnenbroek-Capel","given":"Iris E.M.","non-dropping-particle":"","parse-names":false,"suffix":""},{"dropping-particle":"","family":"Schaart","given":"Jan G.","non-dropping-particle":"","parse-names":false,"suffix":""},{"dropping-particle":"","family":"Huang","given":"Bangquan","non-dropping-particle":"","parse-names":false,"suffix":""},{"dropping-particle":"","family":"Cheng","given":"Jihua","non-dropping-particle":"","parse-names":false,"suffix":""},{"dropping-particle":"","family":"Visser","given":"Richard G.F.","non-dropping-particle":"","parse-names":false,"suffix":""},{"dropping-particle":"","family":"Loo","given":"Eibertus N.","non-dropping-particle":"Van","parse-names":false,"suffix":""},{"dropping-particle":"","family":"Krens","given":"Frans A.","non-dropping-particle":"","parse-names":false,"suffix":""}],"container-title":"BMC Plant Biology","id":"ITEM-1","issue":"1","issued":{"date-parts":[["2014"]]},"page":"1-12","title":"Regeneration and transformation of Crambe abyssinica","type":"article-journal","volume":"14"},"uris":["http://www.mendeley.com/documents/?uuid=29c0b5ed-25f0-490f-a6b7-a754f4213e69"]}],"mendeley":{"formattedCitation":"(22)","plainTextFormattedCitation":"(22)","previouslyFormattedCitation":"(22)"},"properties":{"noteIndex":0},"schema":"https://github.com/citation-style-language/schema/raw/master/csl-citation.json"}</w:instrText>
      </w:r>
      <w:r w:rsidR="006A63E1">
        <w:rPr>
          <w:rFonts w:ascii="Arial" w:hAnsi="Arial" w:cs="Arial"/>
        </w:rPr>
        <w:fldChar w:fldCharType="separate"/>
      </w:r>
      <w:r w:rsidR="001039A5" w:rsidRPr="001039A5">
        <w:rPr>
          <w:rFonts w:ascii="Arial" w:hAnsi="Arial" w:cs="Arial"/>
          <w:noProof/>
        </w:rPr>
        <w:t>(22)</w:t>
      </w:r>
      <w:r w:rsidR="006A63E1">
        <w:rPr>
          <w:rFonts w:ascii="Arial" w:hAnsi="Arial" w:cs="Arial"/>
        </w:rPr>
        <w:fldChar w:fldCharType="end"/>
      </w:r>
      <w:r w:rsidRPr="00BA736B">
        <w:rPr>
          <w:rFonts w:ascii="Arial" w:hAnsi="Arial" w:cs="Arial"/>
        </w:rPr>
        <w:t xml:space="preserve"> of 4 and 7-week-old seedlings was ready to be used as an explant for shoot induction.</w:t>
      </w:r>
    </w:p>
    <w:p w14:paraId="648792F1" w14:textId="77777777" w:rsidR="00BA736B" w:rsidRPr="00BA736B" w:rsidRDefault="00BA736B" w:rsidP="00BA736B">
      <w:pPr>
        <w:pStyle w:val="Body"/>
        <w:spacing w:after="0"/>
        <w:rPr>
          <w:rFonts w:ascii="Arial" w:hAnsi="Arial" w:cs="Arial"/>
          <w:b/>
          <w:bCs/>
        </w:rPr>
      </w:pPr>
    </w:p>
    <w:p w14:paraId="286C5882" w14:textId="11C74620" w:rsidR="00D21BB5" w:rsidRPr="007C36D2" w:rsidRDefault="00D21BB5" w:rsidP="00441B6F">
      <w:pPr>
        <w:pStyle w:val="Body"/>
        <w:spacing w:after="0"/>
        <w:rPr>
          <w:rFonts w:ascii="Arial" w:hAnsi="Arial" w:cs="Arial"/>
          <w:b/>
          <w:bCs/>
          <w:sz w:val="22"/>
          <w:szCs w:val="22"/>
          <w:lang w:val="en-ID"/>
        </w:rPr>
      </w:pPr>
      <w:r w:rsidRPr="007C36D2">
        <w:rPr>
          <w:rFonts w:ascii="Arial" w:hAnsi="Arial" w:cs="Arial"/>
          <w:b/>
          <w:bCs/>
          <w:sz w:val="22"/>
          <w:szCs w:val="22"/>
          <w:lang w:val="en-ID"/>
        </w:rPr>
        <w:t xml:space="preserve">2.2 Medium </w:t>
      </w:r>
      <w:r w:rsidR="00855DB6" w:rsidRPr="007C36D2">
        <w:rPr>
          <w:rFonts w:ascii="Arial" w:hAnsi="Arial" w:cs="Arial"/>
          <w:b/>
          <w:bCs/>
          <w:sz w:val="22"/>
          <w:szCs w:val="22"/>
          <w:lang w:val="en-ID"/>
        </w:rPr>
        <w:t>and culture condition</w:t>
      </w:r>
    </w:p>
    <w:p w14:paraId="02186431" w14:textId="77777777" w:rsidR="00BA736B" w:rsidRPr="007C36D2" w:rsidRDefault="00BA736B" w:rsidP="00441B6F">
      <w:pPr>
        <w:pStyle w:val="Body"/>
        <w:spacing w:after="0"/>
        <w:rPr>
          <w:rFonts w:ascii="Arial" w:hAnsi="Arial" w:cs="Arial"/>
          <w:b/>
          <w:bCs/>
          <w:sz w:val="22"/>
          <w:szCs w:val="22"/>
          <w:lang w:val="en-ID"/>
        </w:rPr>
      </w:pPr>
    </w:p>
    <w:p w14:paraId="6B0175EC" w14:textId="55259C46" w:rsidR="003F724F" w:rsidRDefault="006A63E1" w:rsidP="00855DB6">
      <w:pPr>
        <w:jc w:val="both"/>
        <w:rPr>
          <w:rFonts w:ascii="Arial" w:hAnsi="Arial" w:cs="Arial"/>
          <w:lang w:val="en-ID"/>
        </w:rPr>
      </w:pPr>
      <w:r w:rsidRPr="006A63E1">
        <w:rPr>
          <w:rFonts w:ascii="Arial" w:hAnsi="Arial" w:cs="Arial"/>
          <w:lang w:val="en-ID"/>
        </w:rPr>
        <w:t>Two types of basal media, Murashige &amp; Skoog (MS) and Woody Plant Medium (WPM) with the addition of 30% sucrose were observed for their effects on shoot and root induction.</w:t>
      </w:r>
      <w:r>
        <w:rPr>
          <w:rFonts w:ascii="Arial" w:hAnsi="Arial" w:cs="Arial"/>
          <w:lang w:val="en-ID"/>
        </w:rPr>
        <w:t xml:space="preserve"> </w:t>
      </w:r>
      <w:r w:rsidR="003F724F" w:rsidRPr="003F724F">
        <w:rPr>
          <w:rFonts w:ascii="Arial" w:hAnsi="Arial" w:cs="Arial"/>
          <w:lang w:val="en-ID"/>
        </w:rPr>
        <w:t xml:space="preserve">After PGR was added to the medium, the pH of the medium was adjusted to 5.8 ± 0.2 by adding 0.1 N KOH or 0.1 N HCl. </w:t>
      </w:r>
      <w:r w:rsidRPr="006A63E1">
        <w:rPr>
          <w:rFonts w:ascii="Arial" w:hAnsi="Arial" w:cs="Arial"/>
          <w:lang w:val="en-ID"/>
        </w:rPr>
        <w:t>The medium was solidified by adding 11% commercial agar</w:t>
      </w:r>
      <w:r w:rsidR="00E437B7">
        <w:rPr>
          <w:rFonts w:ascii="Arial" w:hAnsi="Arial" w:cs="Arial"/>
          <w:lang w:val="en-ID"/>
        </w:rPr>
        <w:t xml:space="preserve"> and then </w:t>
      </w:r>
      <w:r w:rsidR="00E623B3" w:rsidRPr="00E623B3">
        <w:rPr>
          <w:rFonts w:ascii="Arial" w:hAnsi="Arial" w:cs="Arial"/>
          <w:lang w:val="en-ID"/>
        </w:rPr>
        <w:t xml:space="preserve">was sterilized using autoclave at a temperature of 121 °C with a pressure of 1.5 </w:t>
      </w:r>
      <w:proofErr w:type="spellStart"/>
      <w:r w:rsidR="00E623B3" w:rsidRPr="00E623B3">
        <w:rPr>
          <w:rFonts w:ascii="Arial" w:hAnsi="Arial" w:cs="Arial"/>
          <w:lang w:val="en-ID"/>
        </w:rPr>
        <w:t>atm</w:t>
      </w:r>
      <w:proofErr w:type="spellEnd"/>
      <w:r w:rsidR="00E623B3" w:rsidRPr="00E623B3">
        <w:rPr>
          <w:rFonts w:ascii="Arial" w:hAnsi="Arial" w:cs="Arial"/>
          <w:lang w:val="en-ID"/>
        </w:rPr>
        <w:t xml:space="preserve"> for 15 minutes</w:t>
      </w:r>
      <w:r w:rsidR="003F724F" w:rsidRPr="003F724F">
        <w:rPr>
          <w:rFonts w:ascii="Arial" w:hAnsi="Arial" w:cs="Arial"/>
          <w:lang w:val="en-ID"/>
        </w:rPr>
        <w:t>.</w:t>
      </w:r>
      <w:r w:rsidR="003F724F">
        <w:rPr>
          <w:rFonts w:ascii="Arial" w:hAnsi="Arial" w:cs="Arial"/>
          <w:lang w:val="en-ID"/>
        </w:rPr>
        <w:t xml:space="preserve"> </w:t>
      </w:r>
      <w:r w:rsidR="00BA736B" w:rsidRPr="00BA736B">
        <w:rPr>
          <w:rFonts w:ascii="Arial" w:hAnsi="Arial" w:cs="Arial"/>
          <w:lang w:val="en-ID"/>
        </w:rPr>
        <w:t xml:space="preserve">All cultures were kept in a culture room at 24 ± 2°C with a 24-hour </w:t>
      </w:r>
      <w:r w:rsidR="00E623B3">
        <w:rPr>
          <w:rFonts w:ascii="Arial" w:hAnsi="Arial" w:cs="Arial"/>
          <w:lang w:val="en-ID"/>
        </w:rPr>
        <w:t>photoperiodism</w:t>
      </w:r>
      <w:r w:rsidR="00BA736B" w:rsidRPr="00BA736B">
        <w:rPr>
          <w:rFonts w:ascii="Arial" w:hAnsi="Arial" w:cs="Arial"/>
          <w:lang w:val="en-ID"/>
        </w:rPr>
        <w:t xml:space="preserve"> at an intensity of 600 lux.</w:t>
      </w:r>
    </w:p>
    <w:p w14:paraId="37F7EE2A" w14:textId="77777777" w:rsidR="00D21BB5" w:rsidRPr="007C36D2" w:rsidRDefault="00D21BB5" w:rsidP="00441B6F">
      <w:pPr>
        <w:pStyle w:val="Body"/>
        <w:spacing w:after="0"/>
        <w:rPr>
          <w:rFonts w:ascii="Arial" w:hAnsi="Arial" w:cs="Arial"/>
          <w:b/>
          <w:bCs/>
          <w:lang w:val="en-ID"/>
        </w:rPr>
      </w:pPr>
    </w:p>
    <w:p w14:paraId="01E1D33E" w14:textId="59922CD3" w:rsidR="00D21BB5" w:rsidRPr="007C36D2" w:rsidRDefault="00D21BB5" w:rsidP="00441B6F">
      <w:pPr>
        <w:pStyle w:val="Body"/>
        <w:spacing w:after="0"/>
        <w:rPr>
          <w:rFonts w:ascii="Arial" w:hAnsi="Arial" w:cs="Arial"/>
          <w:b/>
          <w:bCs/>
          <w:sz w:val="22"/>
          <w:szCs w:val="22"/>
          <w:lang w:val="en-ID"/>
        </w:rPr>
      </w:pPr>
      <w:r w:rsidRPr="007C36D2">
        <w:rPr>
          <w:rFonts w:ascii="Arial" w:hAnsi="Arial" w:cs="Arial"/>
          <w:b/>
          <w:bCs/>
          <w:sz w:val="22"/>
          <w:szCs w:val="22"/>
          <w:lang w:val="en-ID"/>
        </w:rPr>
        <w:t>2.</w:t>
      </w:r>
      <w:r w:rsidR="0010779A" w:rsidRPr="007C36D2">
        <w:rPr>
          <w:rFonts w:ascii="Arial" w:hAnsi="Arial" w:cs="Arial"/>
          <w:b/>
          <w:bCs/>
          <w:sz w:val="22"/>
          <w:szCs w:val="22"/>
          <w:lang w:val="en-ID"/>
        </w:rPr>
        <w:t>3</w:t>
      </w:r>
      <w:r w:rsidRPr="007C36D2">
        <w:rPr>
          <w:rFonts w:ascii="Arial" w:hAnsi="Arial" w:cs="Arial"/>
          <w:b/>
          <w:bCs/>
          <w:sz w:val="22"/>
          <w:szCs w:val="22"/>
          <w:lang w:val="en-ID"/>
        </w:rPr>
        <w:t xml:space="preserve"> Shoot Induction and multiplication</w:t>
      </w:r>
    </w:p>
    <w:p w14:paraId="612CF600" w14:textId="77777777" w:rsidR="00D00071" w:rsidRPr="007C36D2" w:rsidRDefault="00D00071" w:rsidP="00441B6F">
      <w:pPr>
        <w:pStyle w:val="Body"/>
        <w:spacing w:after="0"/>
        <w:rPr>
          <w:rFonts w:ascii="Arial" w:hAnsi="Arial" w:cs="Arial"/>
          <w:b/>
          <w:bCs/>
          <w:sz w:val="22"/>
          <w:szCs w:val="22"/>
          <w:lang w:val="en-ID"/>
        </w:rPr>
      </w:pPr>
    </w:p>
    <w:p w14:paraId="710D42BA" w14:textId="5E356E1C" w:rsidR="00D21BB5" w:rsidRDefault="003F724F" w:rsidP="00441B6F">
      <w:pPr>
        <w:pStyle w:val="Body"/>
        <w:spacing w:after="0"/>
        <w:rPr>
          <w:rFonts w:ascii="Arial" w:hAnsi="Arial" w:cs="Arial"/>
          <w:lang w:val="en-ID"/>
        </w:rPr>
      </w:pPr>
      <w:r w:rsidRPr="003F724F">
        <w:rPr>
          <w:rFonts w:ascii="Arial" w:hAnsi="Arial" w:cs="Arial"/>
          <w:lang w:val="en-ID"/>
        </w:rPr>
        <w:t>Cotyledon</w:t>
      </w:r>
      <w:r w:rsidR="004A160C">
        <w:rPr>
          <w:rFonts w:ascii="Arial" w:hAnsi="Arial" w:cs="Arial"/>
          <w:lang w:val="en-ID"/>
        </w:rPr>
        <w:t>ary</w:t>
      </w:r>
      <w:r w:rsidRPr="003F724F">
        <w:rPr>
          <w:rFonts w:ascii="Arial" w:hAnsi="Arial" w:cs="Arial"/>
          <w:lang w:val="en-ID"/>
        </w:rPr>
        <w:t xml:space="preserve"> nodes </w:t>
      </w:r>
      <w:r w:rsidR="004A160C">
        <w:rPr>
          <w:rFonts w:ascii="Arial" w:hAnsi="Arial" w:cs="Arial"/>
          <w:lang w:val="en-ID"/>
        </w:rPr>
        <w:t xml:space="preserve">derived </w:t>
      </w:r>
      <w:r w:rsidRPr="003F724F">
        <w:rPr>
          <w:rFonts w:ascii="Arial" w:hAnsi="Arial" w:cs="Arial"/>
          <w:lang w:val="en-ID"/>
        </w:rPr>
        <w:t xml:space="preserve">from 4- and 7-week-old seedlings were used as shoot induction explants. Shoot induction </w:t>
      </w:r>
      <w:r w:rsidR="004A160C">
        <w:rPr>
          <w:rFonts w:ascii="Arial" w:hAnsi="Arial" w:cs="Arial"/>
          <w:lang w:val="en-ID"/>
        </w:rPr>
        <w:t>using</w:t>
      </w:r>
      <w:r w:rsidRPr="003F724F">
        <w:rPr>
          <w:rFonts w:ascii="Arial" w:hAnsi="Arial" w:cs="Arial"/>
          <w:lang w:val="en-ID"/>
        </w:rPr>
        <w:t xml:space="preserve"> MS and WPM </w:t>
      </w:r>
      <w:r w:rsidR="004A160C" w:rsidRPr="003F724F">
        <w:rPr>
          <w:rFonts w:ascii="Arial" w:hAnsi="Arial" w:cs="Arial"/>
          <w:lang w:val="en-ID"/>
        </w:rPr>
        <w:t xml:space="preserve">media </w:t>
      </w:r>
      <w:r w:rsidRPr="003F724F">
        <w:rPr>
          <w:rFonts w:ascii="Arial" w:hAnsi="Arial" w:cs="Arial"/>
          <w:lang w:val="en-ID"/>
        </w:rPr>
        <w:t>which were added with 0, 0.5, 1.0 and 2.0 mg/l BAP</w:t>
      </w:r>
      <w:r w:rsidR="003E51B7">
        <w:rPr>
          <w:rFonts w:ascii="Arial" w:hAnsi="Arial" w:cs="Arial"/>
          <w:lang w:val="en-ID"/>
        </w:rPr>
        <w:t xml:space="preserve"> (</w:t>
      </w:r>
      <w:r w:rsidR="003E51B7" w:rsidRPr="003E51B7">
        <w:rPr>
          <w:rFonts w:ascii="Arial" w:hAnsi="Arial" w:cs="Arial"/>
          <w:lang w:val="en-ID"/>
        </w:rPr>
        <w:t>6-Benzylaminopurine</w:t>
      </w:r>
      <w:r w:rsidR="003E51B7">
        <w:rPr>
          <w:rFonts w:ascii="Arial" w:hAnsi="Arial" w:cs="Arial"/>
          <w:lang w:val="en-ID"/>
        </w:rPr>
        <w:t>)</w:t>
      </w:r>
      <w:r w:rsidRPr="003F724F">
        <w:rPr>
          <w:rFonts w:ascii="Arial" w:hAnsi="Arial" w:cs="Arial"/>
          <w:lang w:val="en-ID"/>
        </w:rPr>
        <w:t xml:space="preserve"> respectively. The time when adventitious shoots first appeared was recorded. After 6 weeks of culture, the number of shoots, shoot </w:t>
      </w:r>
      <w:r w:rsidR="00750E5E">
        <w:rPr>
          <w:rFonts w:ascii="Arial" w:hAnsi="Arial" w:cs="Arial"/>
          <w:lang w:val="en-ID"/>
        </w:rPr>
        <w:t>length</w:t>
      </w:r>
      <w:r w:rsidRPr="003F724F">
        <w:rPr>
          <w:rFonts w:ascii="Arial" w:hAnsi="Arial" w:cs="Arial"/>
          <w:lang w:val="en-ID"/>
        </w:rPr>
        <w:t>, number of leaves and number of roots were recorded.</w:t>
      </w:r>
    </w:p>
    <w:p w14:paraId="125833E2" w14:textId="77777777" w:rsidR="003F724F" w:rsidRPr="003F724F" w:rsidRDefault="003F724F" w:rsidP="00441B6F">
      <w:pPr>
        <w:pStyle w:val="Body"/>
        <w:spacing w:after="0"/>
        <w:rPr>
          <w:rFonts w:ascii="Arial" w:hAnsi="Arial" w:cs="Arial"/>
          <w:b/>
          <w:bCs/>
          <w:lang w:val="en-ID"/>
        </w:rPr>
      </w:pPr>
    </w:p>
    <w:p w14:paraId="1620EBEB" w14:textId="69DA5F13" w:rsidR="00D21BB5" w:rsidRPr="007C36D2" w:rsidRDefault="00D21BB5" w:rsidP="00441B6F">
      <w:pPr>
        <w:pStyle w:val="Body"/>
        <w:spacing w:after="0"/>
        <w:rPr>
          <w:rFonts w:ascii="Arial" w:hAnsi="Arial" w:cs="Arial"/>
          <w:b/>
          <w:bCs/>
          <w:sz w:val="22"/>
          <w:szCs w:val="22"/>
          <w:lang w:val="en-ID"/>
        </w:rPr>
      </w:pPr>
      <w:r w:rsidRPr="007C36D2">
        <w:rPr>
          <w:rFonts w:ascii="Arial" w:hAnsi="Arial" w:cs="Arial"/>
          <w:b/>
          <w:bCs/>
          <w:sz w:val="22"/>
          <w:szCs w:val="22"/>
          <w:lang w:val="en-ID"/>
        </w:rPr>
        <w:t>2.</w:t>
      </w:r>
      <w:r w:rsidR="0010779A" w:rsidRPr="007C36D2">
        <w:rPr>
          <w:rFonts w:ascii="Arial" w:hAnsi="Arial" w:cs="Arial"/>
          <w:b/>
          <w:bCs/>
          <w:sz w:val="22"/>
          <w:szCs w:val="22"/>
          <w:lang w:val="en-ID"/>
        </w:rPr>
        <w:t>4</w:t>
      </w:r>
      <w:r w:rsidRPr="007C36D2">
        <w:rPr>
          <w:rFonts w:ascii="Arial" w:hAnsi="Arial" w:cs="Arial"/>
          <w:b/>
          <w:bCs/>
          <w:sz w:val="22"/>
          <w:szCs w:val="22"/>
          <w:lang w:val="en-ID"/>
        </w:rPr>
        <w:t xml:space="preserve"> </w:t>
      </w:r>
      <w:r w:rsidR="00855DB6" w:rsidRPr="007C36D2">
        <w:rPr>
          <w:rFonts w:ascii="Arial" w:hAnsi="Arial" w:cs="Arial"/>
          <w:b/>
          <w:bCs/>
          <w:sz w:val="22"/>
          <w:szCs w:val="22"/>
          <w:lang w:val="en-ID"/>
        </w:rPr>
        <w:t>Root induction an</w:t>
      </w:r>
      <w:r w:rsidR="0010779A" w:rsidRPr="007C36D2">
        <w:rPr>
          <w:rFonts w:ascii="Arial" w:hAnsi="Arial" w:cs="Arial"/>
          <w:b/>
          <w:bCs/>
          <w:sz w:val="22"/>
          <w:szCs w:val="22"/>
          <w:lang w:val="en-ID"/>
        </w:rPr>
        <w:t>d</w:t>
      </w:r>
      <w:r w:rsidR="00855DB6" w:rsidRPr="007C36D2">
        <w:rPr>
          <w:rFonts w:ascii="Arial" w:hAnsi="Arial" w:cs="Arial"/>
          <w:b/>
          <w:bCs/>
          <w:sz w:val="22"/>
          <w:szCs w:val="22"/>
          <w:lang w:val="en-ID"/>
        </w:rPr>
        <w:t xml:space="preserve"> </w:t>
      </w:r>
      <w:r w:rsidRPr="007C36D2">
        <w:rPr>
          <w:rFonts w:ascii="Arial" w:hAnsi="Arial" w:cs="Arial"/>
          <w:b/>
          <w:bCs/>
          <w:sz w:val="22"/>
          <w:szCs w:val="22"/>
          <w:lang w:val="en-ID"/>
        </w:rPr>
        <w:t>Acclimatization</w:t>
      </w:r>
    </w:p>
    <w:p w14:paraId="1E4381C2" w14:textId="77777777" w:rsidR="00D00071" w:rsidRPr="007C36D2" w:rsidRDefault="00D00071" w:rsidP="00441B6F">
      <w:pPr>
        <w:pStyle w:val="Body"/>
        <w:spacing w:after="0"/>
        <w:rPr>
          <w:rFonts w:ascii="Arial" w:hAnsi="Arial" w:cs="Arial"/>
          <w:b/>
          <w:bCs/>
          <w:sz w:val="22"/>
          <w:szCs w:val="22"/>
          <w:lang w:val="en-ID"/>
        </w:rPr>
      </w:pPr>
    </w:p>
    <w:p w14:paraId="5A3E0B8A" w14:textId="452E6C0E" w:rsidR="003F724F" w:rsidRDefault="00E057FD" w:rsidP="00855DB6">
      <w:pPr>
        <w:jc w:val="both"/>
        <w:rPr>
          <w:rFonts w:ascii="Arial" w:hAnsi="Arial" w:cs="Arial"/>
          <w:lang w:val="en-ID"/>
        </w:rPr>
      </w:pPr>
      <w:r w:rsidRPr="00E057FD">
        <w:rPr>
          <w:rFonts w:ascii="Arial" w:hAnsi="Arial" w:cs="Arial"/>
          <w:lang w:val="en-ID"/>
        </w:rPr>
        <w:t xml:space="preserve">The regenerated shoots were separated individually and </w:t>
      </w:r>
      <w:proofErr w:type="spellStart"/>
      <w:r w:rsidR="002617D5" w:rsidRPr="00E057FD">
        <w:rPr>
          <w:rFonts w:ascii="Arial" w:hAnsi="Arial" w:cs="Arial"/>
          <w:lang w:val="en-ID"/>
        </w:rPr>
        <w:t>subcultured</w:t>
      </w:r>
      <w:proofErr w:type="spellEnd"/>
      <w:r w:rsidRPr="00E057FD">
        <w:rPr>
          <w:rFonts w:ascii="Arial" w:hAnsi="Arial" w:cs="Arial"/>
          <w:lang w:val="en-ID"/>
        </w:rPr>
        <w:t xml:space="preserve"> into two types of root induction media, MS and WPM, with and without the addition of 0.1 mg/l NAA (1-Naphthaleneacetic acid), respectively.</w:t>
      </w:r>
      <w:r>
        <w:rPr>
          <w:rFonts w:ascii="Arial" w:hAnsi="Arial" w:cs="Arial"/>
          <w:lang w:val="en-ID"/>
        </w:rPr>
        <w:t xml:space="preserve"> </w:t>
      </w:r>
      <w:r w:rsidR="003F724F" w:rsidRPr="003F724F">
        <w:rPr>
          <w:rFonts w:ascii="Arial" w:hAnsi="Arial" w:cs="Arial"/>
          <w:lang w:val="en-ID"/>
        </w:rPr>
        <w:t xml:space="preserve">The time the roots first appeared was recorded. The percentage of root induction and the number of roots per shoot were recorded after 2 weeks. </w:t>
      </w:r>
    </w:p>
    <w:p w14:paraId="32700A98" w14:textId="15B04690" w:rsidR="00855DB6" w:rsidRPr="003F724F" w:rsidRDefault="002617D5" w:rsidP="00855DB6">
      <w:pPr>
        <w:jc w:val="both"/>
        <w:rPr>
          <w:rFonts w:ascii="Arial" w:hAnsi="Arial" w:cs="Arial"/>
          <w:lang w:val="en-ID"/>
        </w:rPr>
      </w:pPr>
      <w:r w:rsidRPr="002617D5">
        <w:rPr>
          <w:rFonts w:ascii="Arial" w:hAnsi="Arial" w:cs="Arial"/>
          <w:lang w:val="en-ID"/>
        </w:rPr>
        <w:t>The plantlets are removed from the rooting medium to be planted in the acclimatization medium.</w:t>
      </w:r>
      <w:r w:rsidR="003F724F" w:rsidRPr="003F724F">
        <w:rPr>
          <w:rFonts w:ascii="Arial" w:hAnsi="Arial" w:cs="Arial"/>
          <w:lang w:val="en-ID"/>
        </w:rPr>
        <w:t xml:space="preserve"> </w:t>
      </w:r>
      <w:r w:rsidR="00481ECB" w:rsidRPr="00481ECB">
        <w:rPr>
          <w:rFonts w:ascii="Arial" w:hAnsi="Arial" w:cs="Arial"/>
          <w:lang w:val="en-ID"/>
        </w:rPr>
        <w:t xml:space="preserve">After the roots were washed with running tap water to remove the agar, the </w:t>
      </w:r>
      <w:r w:rsidR="00481ECB">
        <w:rPr>
          <w:rFonts w:ascii="Arial" w:hAnsi="Arial" w:cs="Arial"/>
          <w:lang w:val="en-ID"/>
        </w:rPr>
        <w:t>plantlet</w:t>
      </w:r>
      <w:r w:rsidR="00481ECB" w:rsidRPr="00481ECB">
        <w:rPr>
          <w:rFonts w:ascii="Arial" w:hAnsi="Arial" w:cs="Arial"/>
          <w:lang w:val="en-ID"/>
        </w:rPr>
        <w:t xml:space="preserve"> </w:t>
      </w:r>
      <w:r w:rsidR="00F861B5" w:rsidRPr="00481ECB">
        <w:rPr>
          <w:rFonts w:ascii="Arial" w:hAnsi="Arial" w:cs="Arial"/>
          <w:lang w:val="en-ID"/>
        </w:rPr>
        <w:t>was</w:t>
      </w:r>
      <w:r w:rsidR="00481ECB" w:rsidRPr="00481ECB">
        <w:rPr>
          <w:rFonts w:ascii="Arial" w:hAnsi="Arial" w:cs="Arial"/>
          <w:lang w:val="en-ID"/>
        </w:rPr>
        <w:t xml:space="preserve"> transferred to a tray containing an acclimatization medium consisting of a mixture of compost soil: rice husk charcoal in a ratio of 1:2.</w:t>
      </w:r>
      <w:r w:rsidR="00481ECB">
        <w:rPr>
          <w:rFonts w:ascii="Arial" w:hAnsi="Arial" w:cs="Arial"/>
          <w:lang w:val="en-ID"/>
        </w:rPr>
        <w:t xml:space="preserve"> </w:t>
      </w:r>
      <w:r w:rsidR="003F724F" w:rsidRPr="003F724F">
        <w:rPr>
          <w:rFonts w:ascii="Arial" w:hAnsi="Arial" w:cs="Arial"/>
          <w:lang w:val="en-ID"/>
        </w:rPr>
        <w:t xml:space="preserve">For the first two weeks, the plantlets were covered with plastic with a </w:t>
      </w:r>
      <w:r w:rsidR="00E057FD">
        <w:rPr>
          <w:rFonts w:ascii="Arial" w:hAnsi="Arial" w:cs="Arial"/>
          <w:lang w:val="en-ID"/>
        </w:rPr>
        <w:t>photoperiodism</w:t>
      </w:r>
      <w:r w:rsidR="003F724F" w:rsidRPr="003F724F">
        <w:rPr>
          <w:rFonts w:ascii="Arial" w:hAnsi="Arial" w:cs="Arial"/>
          <w:lang w:val="en-ID"/>
        </w:rPr>
        <w:t xml:space="preserve"> of 16 h</w:t>
      </w:r>
      <w:r w:rsidR="00E057FD">
        <w:rPr>
          <w:rFonts w:ascii="Arial" w:hAnsi="Arial" w:cs="Arial"/>
          <w:lang w:val="en-ID"/>
        </w:rPr>
        <w:t xml:space="preserve"> light and 8 h dark</w:t>
      </w:r>
      <w:r w:rsidR="003F724F" w:rsidRPr="003F724F">
        <w:rPr>
          <w:rFonts w:ascii="Arial" w:hAnsi="Arial" w:cs="Arial"/>
          <w:lang w:val="en-ID"/>
        </w:rPr>
        <w:t xml:space="preserve">. The next two weeks, the plastic cover was opened periodically to reduce relative humidity. </w:t>
      </w:r>
      <w:r w:rsidR="003F724F">
        <w:rPr>
          <w:rFonts w:ascii="Arial" w:hAnsi="Arial" w:cs="Arial"/>
          <w:lang w:val="en-ID"/>
        </w:rPr>
        <w:t>Subsequently</w:t>
      </w:r>
      <w:r w:rsidR="003F724F" w:rsidRPr="003F724F">
        <w:rPr>
          <w:rFonts w:ascii="Arial" w:hAnsi="Arial" w:cs="Arial"/>
          <w:lang w:val="en-ID"/>
        </w:rPr>
        <w:t xml:space="preserve">, each individual plant was transferred to a polybag with the same growing </w:t>
      </w:r>
      <w:r w:rsidR="003F724F" w:rsidRPr="0092335E">
        <w:rPr>
          <w:rFonts w:ascii="Arial" w:hAnsi="Arial" w:cs="Arial"/>
          <w:lang w:val="en-ID"/>
        </w:rPr>
        <w:t xml:space="preserve">media. </w:t>
      </w:r>
      <w:r w:rsidR="00855DB6" w:rsidRPr="0092335E">
        <w:rPr>
          <w:rFonts w:ascii="Arial" w:hAnsi="Arial" w:cs="Arial"/>
          <w:lang w:val="en-ID"/>
        </w:rPr>
        <w:t>Plant survival was recorded.</w:t>
      </w:r>
    </w:p>
    <w:p w14:paraId="5AEFDAAD" w14:textId="77777777" w:rsidR="00D21BB5" w:rsidRPr="003F724F" w:rsidRDefault="00D21BB5" w:rsidP="00441B6F">
      <w:pPr>
        <w:pStyle w:val="Body"/>
        <w:spacing w:after="0"/>
        <w:rPr>
          <w:rFonts w:ascii="Arial" w:hAnsi="Arial" w:cs="Arial"/>
          <w:b/>
          <w:bCs/>
          <w:lang w:val="en-ID"/>
        </w:rPr>
      </w:pPr>
    </w:p>
    <w:p w14:paraId="3380408C" w14:textId="2A5C11D9" w:rsidR="00855DB6" w:rsidRDefault="00855DB6" w:rsidP="00855DB6">
      <w:pPr>
        <w:pStyle w:val="Body"/>
        <w:spacing w:after="0"/>
        <w:rPr>
          <w:rFonts w:ascii="Arial" w:hAnsi="Arial" w:cs="Arial"/>
          <w:b/>
          <w:bCs/>
          <w:sz w:val="22"/>
          <w:szCs w:val="22"/>
          <w:lang w:val="en-ID"/>
        </w:rPr>
      </w:pPr>
      <w:r w:rsidRPr="0092335E">
        <w:rPr>
          <w:rFonts w:ascii="Arial" w:hAnsi="Arial" w:cs="Arial"/>
          <w:b/>
          <w:bCs/>
          <w:sz w:val="22"/>
          <w:szCs w:val="22"/>
          <w:lang w:val="en-ID"/>
        </w:rPr>
        <w:t>2.</w:t>
      </w:r>
      <w:r w:rsidR="0010779A" w:rsidRPr="0092335E">
        <w:rPr>
          <w:rFonts w:ascii="Arial" w:hAnsi="Arial" w:cs="Arial"/>
          <w:b/>
          <w:bCs/>
          <w:sz w:val="22"/>
          <w:szCs w:val="22"/>
          <w:lang w:val="en-ID"/>
        </w:rPr>
        <w:t>5</w:t>
      </w:r>
      <w:r w:rsidRPr="0092335E">
        <w:rPr>
          <w:rFonts w:ascii="Arial" w:hAnsi="Arial" w:cs="Arial"/>
          <w:b/>
          <w:bCs/>
          <w:sz w:val="22"/>
          <w:szCs w:val="22"/>
          <w:lang w:val="en-ID"/>
        </w:rPr>
        <w:t xml:space="preserve"> </w:t>
      </w:r>
      <w:r w:rsidR="0092335E" w:rsidRPr="0092335E">
        <w:rPr>
          <w:rFonts w:ascii="Arial" w:hAnsi="Arial" w:cs="Arial"/>
          <w:b/>
          <w:bCs/>
          <w:sz w:val="22"/>
          <w:szCs w:val="22"/>
          <w:lang w:val="en-ID"/>
        </w:rPr>
        <w:t>Statistical Analysis</w:t>
      </w:r>
    </w:p>
    <w:p w14:paraId="39970804" w14:textId="77777777" w:rsidR="00D00071" w:rsidRPr="0092335E" w:rsidRDefault="00D00071" w:rsidP="00855DB6">
      <w:pPr>
        <w:pStyle w:val="Body"/>
        <w:spacing w:after="0"/>
        <w:rPr>
          <w:rFonts w:ascii="Arial" w:hAnsi="Arial" w:cs="Arial"/>
          <w:b/>
          <w:bCs/>
          <w:sz w:val="22"/>
          <w:szCs w:val="22"/>
          <w:lang w:val="en-ID"/>
        </w:rPr>
      </w:pPr>
    </w:p>
    <w:p w14:paraId="5DE46F9C" w14:textId="2E773702" w:rsidR="00855DB6" w:rsidRPr="007C36D2" w:rsidRDefault="009A356F" w:rsidP="00855DB6">
      <w:pPr>
        <w:pStyle w:val="Body"/>
        <w:spacing w:after="0"/>
        <w:rPr>
          <w:rFonts w:ascii="Arial" w:hAnsi="Arial" w:cs="Arial"/>
          <w:lang w:val="en-ID"/>
        </w:rPr>
      </w:pPr>
      <w:r w:rsidRPr="009A356F">
        <w:rPr>
          <w:rFonts w:ascii="Arial" w:hAnsi="Arial" w:cs="Arial"/>
          <w:lang w:val="en-ID"/>
        </w:rPr>
        <w:t xml:space="preserve">The experiment was conducted using a randomized block design (RBD) and each treatment was repeated 5 times for shoot induction and 10 times for root induction. Each treatment was repeated three times. Shoot data were tested for normality using Kolmogorov-Smirnov while root data were tested for normality using Shapiro-Wilk. Non-parametric tests using Kruskal-Wallis followed by post hoc tests (P &lt; 0.05). </w:t>
      </w:r>
      <w:r w:rsidRPr="007C36D2">
        <w:rPr>
          <w:rFonts w:ascii="Arial" w:hAnsi="Arial" w:cs="Arial"/>
          <w:lang w:val="en-ID"/>
        </w:rPr>
        <w:t>Data analysis used IBM SPSS Statistics version 30.0.0.0 (172).</w:t>
      </w:r>
    </w:p>
    <w:p w14:paraId="537D0A9E" w14:textId="77777777" w:rsidR="009A356F" w:rsidRPr="00394670" w:rsidRDefault="009A356F" w:rsidP="00855DB6">
      <w:pPr>
        <w:pStyle w:val="Body"/>
        <w:spacing w:after="0"/>
        <w:rPr>
          <w:rFonts w:ascii="Arial" w:hAnsi="Arial" w:cs="Arial"/>
          <w:b/>
          <w:bCs/>
          <w:lang w:val="en-ID"/>
        </w:rPr>
      </w:pPr>
    </w:p>
    <w:p w14:paraId="422A507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D1DF87" w14:textId="3DB11545" w:rsidR="00855DB6" w:rsidRDefault="00855DB6" w:rsidP="00855DB6">
      <w:pPr>
        <w:jc w:val="both"/>
        <w:rPr>
          <w:rFonts w:ascii="Arial" w:hAnsi="Arial" w:cs="Arial"/>
          <w:b/>
          <w:bCs/>
          <w:sz w:val="22"/>
          <w:szCs w:val="22"/>
        </w:rPr>
      </w:pPr>
      <w:r w:rsidRPr="0010779A">
        <w:rPr>
          <w:rFonts w:ascii="Arial" w:hAnsi="Arial" w:cs="Arial"/>
          <w:b/>
          <w:bCs/>
          <w:sz w:val="22"/>
          <w:szCs w:val="22"/>
        </w:rPr>
        <w:t xml:space="preserve">3.1 </w:t>
      </w:r>
      <w:r w:rsidR="00105765">
        <w:rPr>
          <w:rFonts w:ascii="Arial" w:hAnsi="Arial" w:cs="Arial"/>
          <w:b/>
          <w:bCs/>
          <w:sz w:val="22"/>
          <w:szCs w:val="22"/>
        </w:rPr>
        <w:t>Seed germination</w:t>
      </w:r>
    </w:p>
    <w:p w14:paraId="226109DC" w14:textId="77777777" w:rsidR="00D00071" w:rsidRPr="0010779A" w:rsidRDefault="00D00071" w:rsidP="00855DB6">
      <w:pPr>
        <w:jc w:val="both"/>
        <w:rPr>
          <w:rFonts w:ascii="Arial" w:hAnsi="Arial" w:cs="Arial"/>
          <w:b/>
          <w:bCs/>
          <w:sz w:val="22"/>
          <w:szCs w:val="22"/>
        </w:rPr>
      </w:pPr>
    </w:p>
    <w:p w14:paraId="2ABBA444" w14:textId="0EC0B765" w:rsidR="00274D73" w:rsidRDefault="008D7992" w:rsidP="00D00071">
      <w:pPr>
        <w:jc w:val="both"/>
        <w:rPr>
          <w:rFonts w:ascii="Arial" w:hAnsi="Arial" w:cs="Arial"/>
          <w:lang w:val="en-ID"/>
        </w:rPr>
      </w:pPr>
      <w:r>
        <w:rPr>
          <w:rFonts w:ascii="Arial" w:hAnsi="Arial" w:cs="Arial"/>
          <w:lang w:val="en-ID"/>
        </w:rPr>
        <w:t xml:space="preserve">At 3 days of culture </w:t>
      </w:r>
      <w:r w:rsidR="00E7518F" w:rsidRPr="00E7518F">
        <w:rPr>
          <w:rFonts w:ascii="Arial" w:hAnsi="Arial" w:cs="Arial"/>
          <w:i/>
          <w:iCs/>
          <w:lang w:val="en-ID"/>
        </w:rPr>
        <w:t xml:space="preserve">F. racemosa </w:t>
      </w:r>
      <w:r w:rsidR="00E7518F" w:rsidRPr="00E7518F">
        <w:rPr>
          <w:rFonts w:ascii="Arial" w:hAnsi="Arial" w:cs="Arial"/>
          <w:lang w:val="en-ID"/>
        </w:rPr>
        <w:t xml:space="preserve">seeds </w:t>
      </w:r>
      <w:r>
        <w:rPr>
          <w:rFonts w:ascii="Arial" w:hAnsi="Arial" w:cs="Arial"/>
          <w:lang w:val="en-ID"/>
        </w:rPr>
        <w:t xml:space="preserve">were germinated indicated by </w:t>
      </w:r>
      <w:r w:rsidRPr="008D7992">
        <w:rPr>
          <w:rFonts w:ascii="Arial" w:hAnsi="Arial" w:cs="Arial"/>
        </w:rPr>
        <w:t>the protrusion of the radicle out of the seed</w:t>
      </w:r>
      <w:r>
        <w:rPr>
          <w:rFonts w:ascii="Arial" w:hAnsi="Arial" w:cs="Arial"/>
          <w:lang w:val="en-ID"/>
        </w:rPr>
        <w:t xml:space="preserve">. </w:t>
      </w:r>
      <w:r w:rsidR="00B83AEF" w:rsidRPr="00B83AEF">
        <w:rPr>
          <w:rFonts w:ascii="Arial" w:hAnsi="Arial" w:cs="Arial"/>
          <w:lang w:val="en-ID"/>
        </w:rPr>
        <w:t xml:space="preserve">The germination rate of the seeds was high (&gt;95%). Two weeks of culture all the seeds fully germinated of seed showing  green coleoptile of </w:t>
      </w:r>
      <w:r w:rsidR="007B586B" w:rsidRPr="00B83AEF">
        <w:rPr>
          <w:rFonts w:ascii="Arial" w:hAnsi="Arial" w:cs="Arial"/>
          <w:lang w:val="en-ID"/>
        </w:rPr>
        <w:t>seedling,</w:t>
      </w:r>
      <w:r w:rsidR="001043F2" w:rsidRPr="001043F2">
        <w:rPr>
          <w:rFonts w:ascii="Arial" w:hAnsi="Arial" w:cs="Arial"/>
          <w:lang w:val="en-ID"/>
        </w:rPr>
        <w:t xml:space="preserve"> but their size was small, less than 0.5 cm</w:t>
      </w:r>
      <w:r w:rsidR="001043F2">
        <w:rPr>
          <w:rFonts w:ascii="Arial" w:hAnsi="Arial" w:cs="Arial"/>
          <w:lang w:val="en-ID"/>
        </w:rPr>
        <w:t xml:space="preserve"> </w:t>
      </w:r>
      <w:r w:rsidR="009A356F" w:rsidRPr="009A356F">
        <w:rPr>
          <w:rFonts w:ascii="Arial" w:hAnsi="Arial" w:cs="Arial"/>
          <w:lang w:val="en-ID"/>
        </w:rPr>
        <w:t>(</w:t>
      </w:r>
      <w:r w:rsidR="009A356F" w:rsidRPr="00F3521B">
        <w:rPr>
          <w:rFonts w:ascii="Arial" w:hAnsi="Arial" w:cs="Arial"/>
          <w:lang w:val="en-ID"/>
        </w:rPr>
        <w:t>Fig</w:t>
      </w:r>
      <w:r w:rsidR="004425C5">
        <w:rPr>
          <w:rFonts w:ascii="Arial" w:hAnsi="Arial" w:cs="Arial"/>
          <w:lang w:val="en-ID"/>
        </w:rPr>
        <w:t>.</w:t>
      </w:r>
      <w:r w:rsidR="009A356F" w:rsidRPr="00F3521B">
        <w:rPr>
          <w:rFonts w:ascii="Arial" w:hAnsi="Arial" w:cs="Arial"/>
          <w:lang w:val="en-ID"/>
        </w:rPr>
        <w:t xml:space="preserve"> 1A</w:t>
      </w:r>
      <w:r w:rsidR="009A356F" w:rsidRPr="009A356F">
        <w:rPr>
          <w:rFonts w:ascii="Arial" w:hAnsi="Arial" w:cs="Arial"/>
          <w:lang w:val="en-ID"/>
        </w:rPr>
        <w:t xml:space="preserve">). </w:t>
      </w:r>
      <w:r w:rsidR="00724BB8" w:rsidRPr="00724BB8">
        <w:rPr>
          <w:rFonts w:ascii="Arial" w:hAnsi="Arial" w:cs="Arial"/>
          <w:lang w:val="en-ID"/>
        </w:rPr>
        <w:t>This result is very different with conventional germination process without soaking, which F. racemosa seeds had a low germination rate (5%)</w:t>
      </w:r>
      <w:r w:rsidR="00846360">
        <w:rPr>
          <w:rFonts w:ascii="Arial" w:hAnsi="Arial" w:cs="Arial"/>
          <w:lang w:val="en-ID"/>
        </w:rPr>
        <w:t xml:space="preserve"> </w:t>
      </w:r>
      <w:r w:rsidR="00846360">
        <w:rPr>
          <w:rFonts w:ascii="Arial" w:hAnsi="Arial" w:cs="Arial"/>
          <w:lang w:val="en-ID"/>
        </w:rPr>
        <w:fldChar w:fldCharType="begin" w:fldLock="1"/>
      </w:r>
      <w:r w:rsidR="001E61FF">
        <w:rPr>
          <w:rFonts w:ascii="Arial" w:hAnsi="Arial" w:cs="Arial"/>
          <w:lang w:val="en-ID"/>
        </w:rPr>
        <w:instrText>ADDIN CSL_CITATION {"citationItems":[{"id":"ITEM-1","itemData":{"ISBN":"0484265822","ISSN":"09760504","abstract":"The four Ficus species, viz. Ficus racemosa Linn. (Cluster fig), Ficus microcarpa Linn.f. (Chinese or Malayan banyan), Ficus religiosa Linn. (Peepal tree) and Ficus benghalensis Linn. (Banyan tree) belonging to the 'Nalpamara' group of medicinal trees possess immense medicinal values. The barks of these four Ficus species make a unique formulation to cure various uterine problems in women. Germination percentages of seeds of F. racemosa, F. microcarpa, F. religiosa and F. benghalensis are reported to be 5.0, 2.3, 27.7 and 82.0%, respectively. Therefore, studies were undertaken to standardise and compare various propagation methods for these species. Various seed treatments showed improvement in germination percentage. In F. racemosa and F. microcarpa there was drastic decrease in seed viability after six months. In F. religiosa viability started declining only after 12 months whereas F. benghalensis seeds retained satisfactory germination even after 18 months. Studies on vegetative propagation showed that all the four species showed poor rooting of stem cuttings. The percentage success of rooting was 10-12% in F. racemosa and F. religiosa and 18-20% in F. microcarpa and F. benghalensis. Air layering was found very successful in all the four species and the percentage success achieved was 80-90%. In F. racemosa success rate during May-June was only 40% whereas it was 90% during August-September.","author":[{"dropping-particle":"","family":"Mathew","given":"Gracy","non-dropping-particle":"","parse-names":false,"suffix":""},{"dropping-particle":"","family":"Skaria","given":"Baby P.","non-dropping-particle":"","parse-names":false,"suffix":""},{"dropping-particle":"","family":"Joseph","given":"Ancy","non-dropping-particle":"","parse-names":false,"suffix":""}],"container-title":"Indian Journal of Natural Products and Resources","id":"ITEM-1","issue":"1","issued":{"date-parts":[["2011"]]},"page":"88-96","title":"Standardization of conventional propagation techniques for four medicinal species of genus Ficus Linn","type":"article-journal","volume":"2"},"uris":["http://www.mendeley.com/documents/?uuid=1d6aa774-96fd-4458-92c0-b9abef554321"]}],"mendeley":{"formattedCitation":"(23)","plainTextFormattedCitation":"(23)","previouslyFormattedCitation":"(23)"},"properties":{"noteIndex":0},"schema":"https://github.com/citation-style-language/schema/raw/master/csl-citation.json"}</w:instrText>
      </w:r>
      <w:r w:rsidR="00846360">
        <w:rPr>
          <w:rFonts w:ascii="Arial" w:hAnsi="Arial" w:cs="Arial"/>
          <w:lang w:val="en-ID"/>
        </w:rPr>
        <w:fldChar w:fldCharType="separate"/>
      </w:r>
      <w:r w:rsidR="001039A5" w:rsidRPr="001039A5">
        <w:rPr>
          <w:rFonts w:ascii="Arial" w:hAnsi="Arial" w:cs="Arial"/>
          <w:noProof/>
          <w:lang w:val="en-ID"/>
        </w:rPr>
        <w:t>(23)</w:t>
      </w:r>
      <w:r w:rsidR="00846360">
        <w:rPr>
          <w:rFonts w:ascii="Arial" w:hAnsi="Arial" w:cs="Arial"/>
          <w:lang w:val="en-ID"/>
        </w:rPr>
        <w:fldChar w:fldCharType="end"/>
      </w:r>
      <w:r w:rsidR="00724BB8" w:rsidRPr="009A356F">
        <w:rPr>
          <w:rFonts w:ascii="Arial" w:hAnsi="Arial" w:cs="Arial"/>
          <w:lang w:val="en-ID"/>
        </w:rPr>
        <w:t>.</w:t>
      </w:r>
      <w:r w:rsidR="00724BB8" w:rsidRPr="00724BB8">
        <w:rPr>
          <w:rFonts w:ascii="Arial" w:hAnsi="Arial" w:cs="Arial"/>
          <w:lang w:val="en-ID"/>
        </w:rPr>
        <w:t xml:space="preserve"> Soaking the seeds in hot water for 10 minutes followed by soaking in 100 ppm gibberellic acid for 24 hours only increases the germination rate of F. racemosa seed to 12%. Conventional germination of F. racemosa seeds requires 10-15 days in humid conditions under sunlight. </w:t>
      </w:r>
      <w:r w:rsidR="00274D73" w:rsidRPr="00274D73">
        <w:rPr>
          <w:rFonts w:ascii="Arial" w:hAnsi="Arial" w:cs="Arial"/>
          <w:lang w:val="en-ID"/>
        </w:rPr>
        <w:t>In vitro seed germination in agar media has an external environment with high water content.</w:t>
      </w:r>
      <w:r w:rsidR="00274D73">
        <w:rPr>
          <w:rFonts w:ascii="Arial" w:hAnsi="Arial" w:cs="Arial"/>
          <w:lang w:val="en-ID"/>
        </w:rPr>
        <w:t xml:space="preserve"> </w:t>
      </w:r>
      <w:r w:rsidR="00274D73" w:rsidRPr="00274D73">
        <w:rPr>
          <w:rFonts w:ascii="Arial" w:hAnsi="Arial" w:cs="Arial"/>
          <w:lang w:val="en-ID"/>
        </w:rPr>
        <w:t xml:space="preserve">In vitro seed germination in agar media has an external environment with high water content. In addition, in vitro conditions with relatively constant environmental temperatures greatly contribute to high germination rates. </w:t>
      </w:r>
      <w:r w:rsidR="00274D73" w:rsidRPr="00724BB8">
        <w:rPr>
          <w:rFonts w:ascii="Arial" w:hAnsi="Arial" w:cs="Arial"/>
          <w:lang w:val="en-ID"/>
        </w:rPr>
        <w:t>This shows that in vitro seed germination is more effective and efficient.</w:t>
      </w:r>
    </w:p>
    <w:p w14:paraId="1AE73532" w14:textId="5948BEA6" w:rsidR="00855DB6" w:rsidRDefault="00274D73" w:rsidP="00D00071">
      <w:pPr>
        <w:jc w:val="both"/>
        <w:rPr>
          <w:rFonts w:ascii="Arial" w:hAnsi="Arial" w:cs="Arial"/>
          <w:lang w:val="en-ID"/>
        </w:rPr>
      </w:pPr>
      <w:r w:rsidRPr="00274D73">
        <w:rPr>
          <w:rFonts w:ascii="Arial" w:hAnsi="Arial" w:cs="Arial"/>
          <w:lang w:val="en-ID"/>
        </w:rPr>
        <w:t xml:space="preserve">Germination is a crucial stage for successful plant propagation. Environmental factors greatly influence seed germination for plant formation. </w:t>
      </w:r>
      <w:r>
        <w:rPr>
          <w:rFonts w:ascii="Arial" w:hAnsi="Arial" w:cs="Arial"/>
          <w:lang w:val="en-ID"/>
        </w:rPr>
        <w:t>Sufficient</w:t>
      </w:r>
      <w:r w:rsidRPr="00274D73">
        <w:rPr>
          <w:rFonts w:ascii="Arial" w:hAnsi="Arial" w:cs="Arial"/>
          <w:lang w:val="en-ID"/>
        </w:rPr>
        <w:t xml:space="preserve"> water is needed to initiate enzymatic activity and seed metabolism. Optimal germination is a crucial factor that leads to successful plant formation and growth and crop yields</w:t>
      </w:r>
      <w:r>
        <w:rPr>
          <w:rFonts w:ascii="Arial" w:hAnsi="Arial" w:cs="Arial"/>
          <w:lang w:val="en-ID"/>
        </w:rPr>
        <w:t xml:space="preserve"> </w:t>
      </w:r>
      <w:r>
        <w:rPr>
          <w:rFonts w:ascii="Arial" w:hAnsi="Arial" w:cs="Arial"/>
          <w:lang w:val="en-ID"/>
        </w:rPr>
        <w:fldChar w:fldCharType="begin" w:fldLock="1"/>
      </w:r>
      <w:r w:rsidR="001E61FF">
        <w:rPr>
          <w:rFonts w:ascii="Arial" w:hAnsi="Arial" w:cs="Arial"/>
          <w:lang w:val="en-ID"/>
        </w:rPr>
        <w:instrText>ADDIN CSL_CITATION {"citationItems":[{"id":"ITEM-1","itemData":{"DOI":"10.3390/agronomy12061291","ISSN":"20734395","abstract":"Temperature is one the most influential environmental factors for the germination and establishment of grass species. The specific objective of this study was to determine the effects of low constant temperature on the time needed to express the full germination capacity of nondormant seedlots. Fifteen accessions, comprising seven of Lolium perenne L., three of Festuca arundinacea Schreb., three of Dactylis glomerata L. and two of Triticum aestivum L., were evaluated at constant temperatures of 5 and 21°C. As expected, the germination rates were faster at 21°C than at 5°C. Indeed, at 5°C seeds needed up to twenty-one times longer to reach the maximum germination than when tested at 21°C. The genotypic variability found for the ratio of germination rates between the two temperatures (i.e., germination rate at 5°C/germination rate at 21°C) was much more variable than what is found in the literature for perennial cool-season grasses. On the other hand, in most cases, no significant differences were observed in the germinability (the capacity to germinate) response to 5°C and 21°C. Within the four species, twelve of the fifteen studied accessions expressed the same germinability at 5°C and 21°C, when given enough time. Only three accessions had final germination percentages higher at 21°C than at 5°C. Our results suggest that, in general, nondormant seeds at low temperatures germinate as well as nondormant seeds at near-optimal temperatures, provided they have enough time to express their germination capacity. These findings cast doubts on the validity of conclusions drawn in many studies where germination experiments were performed for a period insufficient to obtain full germination at low temperatures. Another major finding in this work concerns the risk of wrongly estimating germinability at low temperatures.","author":[{"dropping-particle":"","family":"Ghaleb","given":"Wagdi","non-dropping-particle":"","parse-names":false,"suffix":""},{"dropping-particle":"","family":"Ahmed","given":"Lina Q.","non-dropping-particle":"","parse-names":false,"suffix":""},{"dropping-particle":"","family":"Wagner","given":"Marie Hélène","non-dropping-particle":"","parse-names":false,"suffix":""},{"dropping-particle":"","family":"Eprinchard-Ciesla","given":"Annie","non-dropping-particle":"","parse-names":false,"suffix":""},{"dropping-particle":"","family":"Olivares-Rodríguez","given":"Wendy E.","non-dropping-particle":"","parse-names":false,"suffix":""},{"dropping-particle":"","family":"Perrot","given":"Cédric","non-dropping-particle":"","parse-names":false,"suffix":""},{"dropping-particle":"","family":"Chenu","given":"Karine","non-dropping-particle":"","parse-names":false,"suffix":""},{"dropping-particle":"","family":"Norton","given":"Mark","non-dropping-particle":"","parse-names":false,"suffix":""},{"dropping-particle":"","family":"Escobar-Gutiérrez","given":"Abraham J.","non-dropping-particle":"","parse-names":false,"suffix":""}],"container-title":"Agronomy","id":"ITEM-1","issue":"6","issued":{"date-parts":[["2022"]]},"title":"The Concepts of Seed Germination Rate and Germinability: A Re-Evaluation for Cool-Season Grasses","type":"article-journal","volume":"12"},"uris":["http://www.mendeley.com/documents/?uuid=e0ef77d2-9cb4-4c73-bbc6-9680e75db420"]}],"mendeley":{"formattedCitation":"(24)","plainTextFormattedCitation":"(24)","previouslyFormattedCitation":"(24)"},"properties":{"noteIndex":0},"schema":"https://github.com/citation-style-language/schema/raw/master/csl-citation.json"}</w:instrText>
      </w:r>
      <w:r>
        <w:rPr>
          <w:rFonts w:ascii="Arial" w:hAnsi="Arial" w:cs="Arial"/>
          <w:lang w:val="en-ID"/>
        </w:rPr>
        <w:fldChar w:fldCharType="separate"/>
      </w:r>
      <w:r w:rsidR="001039A5" w:rsidRPr="001039A5">
        <w:rPr>
          <w:rFonts w:ascii="Arial" w:hAnsi="Arial" w:cs="Arial"/>
          <w:noProof/>
          <w:lang w:val="en-ID"/>
        </w:rPr>
        <w:t>(24)</w:t>
      </w:r>
      <w:r>
        <w:rPr>
          <w:rFonts w:ascii="Arial" w:hAnsi="Arial" w:cs="Arial"/>
          <w:lang w:val="en-ID"/>
        </w:rPr>
        <w:fldChar w:fldCharType="end"/>
      </w:r>
      <w:r w:rsidRPr="00274D73">
        <w:rPr>
          <w:rFonts w:ascii="Arial" w:hAnsi="Arial" w:cs="Arial"/>
          <w:lang w:val="en-ID"/>
        </w:rPr>
        <w:t>.</w:t>
      </w:r>
      <w:r>
        <w:rPr>
          <w:rFonts w:ascii="Arial" w:hAnsi="Arial" w:cs="Arial"/>
          <w:lang w:val="en-ID"/>
        </w:rPr>
        <w:t xml:space="preserve"> </w:t>
      </w:r>
    </w:p>
    <w:p w14:paraId="53E5009F" w14:textId="77777777" w:rsidR="009A356F" w:rsidRPr="009A356F" w:rsidRDefault="009A356F" w:rsidP="009A356F">
      <w:pPr>
        <w:ind w:firstLine="567"/>
        <w:jc w:val="both"/>
        <w:rPr>
          <w:rFonts w:ascii="Arial" w:hAnsi="Arial" w:cs="Arial"/>
          <w:lang w:val="en-ID"/>
        </w:rPr>
      </w:pPr>
    </w:p>
    <w:p w14:paraId="32F07B55" w14:textId="0F53C05E" w:rsidR="00855DB6" w:rsidRDefault="00855DB6" w:rsidP="00855DB6">
      <w:pPr>
        <w:jc w:val="both"/>
        <w:rPr>
          <w:rFonts w:ascii="Arial" w:hAnsi="Arial" w:cs="Arial"/>
          <w:b/>
          <w:bCs/>
          <w:sz w:val="22"/>
          <w:szCs w:val="22"/>
          <w:lang w:val="en-ID"/>
        </w:rPr>
      </w:pPr>
      <w:r w:rsidRPr="00130200">
        <w:rPr>
          <w:rFonts w:ascii="Arial" w:hAnsi="Arial" w:cs="Arial"/>
          <w:b/>
          <w:bCs/>
          <w:sz w:val="22"/>
          <w:szCs w:val="22"/>
          <w:lang w:val="en-ID"/>
        </w:rPr>
        <w:t xml:space="preserve">3.2 </w:t>
      </w:r>
      <w:r w:rsidR="00130200" w:rsidRPr="00130200">
        <w:rPr>
          <w:rFonts w:ascii="Arial" w:hAnsi="Arial" w:cs="Arial"/>
          <w:b/>
          <w:bCs/>
          <w:sz w:val="22"/>
          <w:szCs w:val="22"/>
          <w:lang w:val="en-ID"/>
        </w:rPr>
        <w:t>Shoot induction</w:t>
      </w:r>
    </w:p>
    <w:p w14:paraId="071FC94C" w14:textId="77777777" w:rsidR="00D00071" w:rsidRPr="00130200" w:rsidRDefault="00D00071" w:rsidP="00855DB6">
      <w:pPr>
        <w:jc w:val="both"/>
        <w:rPr>
          <w:rFonts w:ascii="Arial" w:hAnsi="Arial" w:cs="Arial"/>
          <w:b/>
          <w:bCs/>
          <w:sz w:val="22"/>
          <w:szCs w:val="22"/>
          <w:lang w:val="en-ID"/>
        </w:rPr>
      </w:pPr>
    </w:p>
    <w:p w14:paraId="0355C212" w14:textId="09E0A862" w:rsidR="002E526C" w:rsidRDefault="00130200" w:rsidP="00D00071">
      <w:pPr>
        <w:jc w:val="both"/>
        <w:rPr>
          <w:rFonts w:ascii="Arial" w:hAnsi="Arial" w:cs="Arial"/>
          <w:lang w:val="en-ID"/>
        </w:rPr>
      </w:pPr>
      <w:r w:rsidRPr="00130200">
        <w:rPr>
          <w:rFonts w:ascii="Arial" w:hAnsi="Arial" w:cs="Arial"/>
          <w:lang w:val="en-ID"/>
        </w:rPr>
        <w:t>Cotyledon</w:t>
      </w:r>
      <w:r w:rsidR="00F861B5">
        <w:rPr>
          <w:rFonts w:ascii="Arial" w:hAnsi="Arial" w:cs="Arial"/>
          <w:lang w:val="en-ID"/>
        </w:rPr>
        <w:t>ary</w:t>
      </w:r>
      <w:r w:rsidRPr="00130200">
        <w:rPr>
          <w:rFonts w:ascii="Arial" w:hAnsi="Arial" w:cs="Arial"/>
          <w:lang w:val="en-ID"/>
        </w:rPr>
        <w:t xml:space="preserve"> node explants </w:t>
      </w:r>
      <w:r w:rsidR="00F861B5">
        <w:rPr>
          <w:rFonts w:ascii="Arial" w:hAnsi="Arial" w:cs="Arial"/>
          <w:lang w:val="en-ID"/>
        </w:rPr>
        <w:t xml:space="preserve">derived </w:t>
      </w:r>
      <w:r w:rsidRPr="00130200">
        <w:rPr>
          <w:rFonts w:ascii="Arial" w:hAnsi="Arial" w:cs="Arial"/>
          <w:lang w:val="en-ID"/>
        </w:rPr>
        <w:t xml:space="preserve">from both 4- and 7-week-old seedlings were able to produce shoots. The difference in the age of the </w:t>
      </w:r>
      <w:r w:rsidRPr="00DA5C89">
        <w:rPr>
          <w:rFonts w:ascii="Arial" w:hAnsi="Arial" w:cs="Arial"/>
          <w:lang w:val="en-ID"/>
        </w:rPr>
        <w:t xml:space="preserve">seedlings as a source of explants significantly affected shoots and roots </w:t>
      </w:r>
      <w:r w:rsidR="00090B4A" w:rsidRPr="00DA5C89">
        <w:rPr>
          <w:rFonts w:ascii="Arial" w:hAnsi="Arial" w:cs="Arial"/>
          <w:lang w:val="en-ID"/>
        </w:rPr>
        <w:t xml:space="preserve">number </w:t>
      </w:r>
      <w:r w:rsidRPr="00DA5C89">
        <w:rPr>
          <w:rFonts w:ascii="Arial" w:hAnsi="Arial" w:cs="Arial"/>
          <w:lang w:val="en-ID"/>
        </w:rPr>
        <w:t xml:space="preserve">produced in the shoot induction medium (Table 1). At 6 weeks of culture, explants from 7-week-old seedlings produced </w:t>
      </w:r>
      <w:r w:rsidR="00565212">
        <w:rPr>
          <w:rFonts w:ascii="Arial" w:hAnsi="Arial" w:cs="Arial"/>
          <w:lang w:val="en-ID"/>
        </w:rPr>
        <w:t>significant higher</w:t>
      </w:r>
      <w:r w:rsidRPr="00DA5C89">
        <w:rPr>
          <w:rFonts w:ascii="Arial" w:hAnsi="Arial" w:cs="Arial"/>
          <w:lang w:val="en-ID"/>
        </w:rPr>
        <w:t xml:space="preserve"> shoot</w:t>
      </w:r>
      <w:r w:rsidR="00565212">
        <w:rPr>
          <w:rFonts w:ascii="Arial" w:hAnsi="Arial" w:cs="Arial"/>
          <w:lang w:val="en-ID"/>
        </w:rPr>
        <w:t xml:space="preserve"> number</w:t>
      </w:r>
      <w:r w:rsidRPr="00DA5C89">
        <w:rPr>
          <w:rFonts w:ascii="Arial" w:hAnsi="Arial" w:cs="Arial"/>
          <w:lang w:val="en-ID"/>
        </w:rPr>
        <w:t xml:space="preserve"> than explants from 4-week-old seedlings (Fig</w:t>
      </w:r>
      <w:r w:rsidR="004425C5" w:rsidRPr="00DA5C89">
        <w:rPr>
          <w:rFonts w:ascii="Arial" w:hAnsi="Arial" w:cs="Arial"/>
          <w:lang w:val="en-ID"/>
        </w:rPr>
        <w:t>.</w:t>
      </w:r>
      <w:r w:rsidRPr="00DA5C89">
        <w:rPr>
          <w:rFonts w:ascii="Arial" w:hAnsi="Arial" w:cs="Arial"/>
          <w:lang w:val="en-ID"/>
        </w:rPr>
        <w:t xml:space="preserve"> 1B). Meanwhile, the shoot</w:t>
      </w:r>
      <w:r w:rsidR="00F95813">
        <w:rPr>
          <w:rFonts w:ascii="Arial" w:hAnsi="Arial" w:cs="Arial"/>
          <w:lang w:val="en-ID"/>
        </w:rPr>
        <w:t xml:space="preserve"> length</w:t>
      </w:r>
      <w:r w:rsidRPr="00DA5C89">
        <w:rPr>
          <w:rFonts w:ascii="Arial" w:hAnsi="Arial" w:cs="Arial"/>
          <w:lang w:val="en-ID"/>
        </w:rPr>
        <w:t xml:space="preserve"> and the </w:t>
      </w:r>
      <w:r w:rsidR="00F95813">
        <w:rPr>
          <w:rFonts w:ascii="Arial" w:hAnsi="Arial" w:cs="Arial"/>
          <w:lang w:val="en-ID"/>
        </w:rPr>
        <w:t xml:space="preserve">leaf </w:t>
      </w:r>
      <w:r w:rsidRPr="00DA5C89">
        <w:rPr>
          <w:rFonts w:ascii="Arial" w:hAnsi="Arial" w:cs="Arial"/>
          <w:lang w:val="en-ID"/>
        </w:rPr>
        <w:t xml:space="preserve">number were not significantly different. The effect of explant </w:t>
      </w:r>
      <w:r w:rsidRPr="00130200">
        <w:rPr>
          <w:rFonts w:ascii="Arial" w:hAnsi="Arial" w:cs="Arial"/>
          <w:lang w:val="en-ID"/>
        </w:rPr>
        <w:t xml:space="preserve">age on shoot regeneration has been widely reported. The age of </w:t>
      </w:r>
      <w:proofErr w:type="spellStart"/>
      <w:r w:rsidRPr="00130200">
        <w:rPr>
          <w:rFonts w:ascii="Arial" w:hAnsi="Arial" w:cs="Arial"/>
          <w:i/>
          <w:iCs/>
          <w:lang w:val="en-ID"/>
        </w:rPr>
        <w:t>Jatropa</w:t>
      </w:r>
      <w:proofErr w:type="spellEnd"/>
      <w:r w:rsidRPr="00130200">
        <w:rPr>
          <w:rFonts w:ascii="Arial" w:hAnsi="Arial" w:cs="Arial"/>
          <w:i/>
          <w:iCs/>
          <w:lang w:val="en-ID"/>
        </w:rPr>
        <w:t xml:space="preserve"> </w:t>
      </w:r>
      <w:proofErr w:type="spellStart"/>
      <w:r w:rsidRPr="00130200">
        <w:rPr>
          <w:rFonts w:ascii="Arial" w:hAnsi="Arial" w:cs="Arial"/>
          <w:i/>
          <w:iCs/>
          <w:lang w:val="en-ID"/>
        </w:rPr>
        <w:t>curcas</w:t>
      </w:r>
      <w:proofErr w:type="spellEnd"/>
      <w:r w:rsidRPr="00130200">
        <w:rPr>
          <w:rFonts w:ascii="Arial" w:hAnsi="Arial" w:cs="Arial"/>
          <w:lang w:val="en-ID"/>
        </w:rPr>
        <w:t xml:space="preserve"> L. cotyledon leaf explants affected the induction of multiple shoots. The increasing age of the explants further decreased the average number of shoots produced and the frequency of plant regeneration </w:t>
      </w:r>
      <w:r w:rsidR="00846360">
        <w:rPr>
          <w:rFonts w:ascii="Arial" w:hAnsi="Arial" w:cs="Arial"/>
          <w:lang w:val="en-ID"/>
        </w:rPr>
        <w:fldChar w:fldCharType="begin" w:fldLock="1"/>
      </w:r>
      <w:r w:rsidR="001E61FF">
        <w:rPr>
          <w:rFonts w:ascii="Arial" w:hAnsi="Arial" w:cs="Arial"/>
          <w:lang w:val="en-ID"/>
        </w:rPr>
        <w:instrText>ADDIN CSL_CITATION {"citationItems":[{"id":"ITEM-1","itemData":{"DOI":"https://doi.org/10.1016/j.sajb.2010.01.001","abstract":"Effects of age and orientation of the explant on callus induction and de novo shoot regeneration from cotyledonary leaf segments of Jatropha curcas were studied. The callus induction and shoot regeneration capacity of cotyledonary leaf segments were found significantly related to the age of the explants and their orientation in culture medium. The youngest explant, derived from the cotyledonary leaf of germinated seed induced the highest regeneration response as compared to one- and two-week-old explants. A gradient response with age of the explant was observed in percentage of callus induction, shoot regeneration from callus and the number of shoots per regenerating callus. The explants cultured with their abaxial side in medium showed significantly higher regeneration response. The youngest explant was found to be most amenable to Agrobacterium-mediated transformation as compared to older explants. The fact that callus induced from the edges of the explant followed by de novo shoot induction, and strong transient gus expression observed in the edges of the explant are significant for routine Agrobacterium-mediated transformation and generation of stable transgenic plants in J. curcas.","author":[{"dropping-particle":"","family":"Mazumdar","given":"P.","non-dropping-particle":"","parse-names":false,"suffix":""},{"dropping-particle":"","family":"Basu","given":"A.","non-dropping-particle":"","parse-names":false,"suffix":""},{"dropping-particle":"","family":"Paul","given":"A.","non-dropping-particle":"","parse-names":false,"suffix":""},{"dropping-particle":"","family":"Mahanta","given":"C.","non-dropping-particle":"","parse-names":false,"suffix":""},{"dropping-particle":"","family":"Sahoo","given":"L.","non-dropping-particle":"","parse-names":false,"suffix":""}],"container-title":"South African Journal of Botany","id":"ITEM-1","issue":"2","issued":{"date-parts":[["2010"]]},"page":"337-344","title":"Age and orientation of the cotyledonary leaf explants determine the efficiency of de novo plant regeneration and Agrobacterium tumefaciens-mediated transformation in Jatropha curcas L.","type":"article-journal","volume":"76"},"uris":["http://www.mendeley.com/documents/?uuid=2211a0ac-adc0-4bfb-809c-7961becd3d36"]}],"mendeley":{"formattedCitation":"(25)","plainTextFormattedCitation":"(25)","previouslyFormattedCitation":"(25)"},"properties":{"noteIndex":0},"schema":"https://github.com/citation-style-language/schema/raw/master/csl-citation.json"}</w:instrText>
      </w:r>
      <w:r w:rsidR="00846360">
        <w:rPr>
          <w:rFonts w:ascii="Arial" w:hAnsi="Arial" w:cs="Arial"/>
          <w:lang w:val="en-ID"/>
        </w:rPr>
        <w:fldChar w:fldCharType="separate"/>
      </w:r>
      <w:r w:rsidR="001039A5" w:rsidRPr="001039A5">
        <w:rPr>
          <w:rFonts w:ascii="Arial" w:hAnsi="Arial" w:cs="Arial"/>
          <w:noProof/>
          <w:lang w:val="en-ID"/>
        </w:rPr>
        <w:t>(25)</w:t>
      </w:r>
      <w:r w:rsidR="00846360">
        <w:rPr>
          <w:rFonts w:ascii="Arial" w:hAnsi="Arial" w:cs="Arial"/>
          <w:lang w:val="en-ID"/>
        </w:rPr>
        <w:fldChar w:fldCharType="end"/>
      </w:r>
      <w:r w:rsidR="00855DB6" w:rsidRPr="00A57087">
        <w:rPr>
          <w:rFonts w:ascii="Arial" w:hAnsi="Arial" w:cs="Arial"/>
          <w:lang w:val="en-ID"/>
        </w:rPr>
        <w:t xml:space="preserve">. </w:t>
      </w:r>
      <w:r w:rsidRPr="00130200">
        <w:rPr>
          <w:rFonts w:ascii="Arial" w:hAnsi="Arial" w:cs="Arial"/>
          <w:lang w:val="en-ID"/>
        </w:rPr>
        <w:t>Mulberry cotyledons aged 14 days produced more shoots per explant than cotyledons aged 7 and 21 days</w:t>
      </w:r>
      <w:r w:rsidR="00846360">
        <w:rPr>
          <w:rFonts w:ascii="Arial" w:hAnsi="Arial" w:cs="Arial"/>
          <w:lang w:val="en-ID"/>
        </w:rPr>
        <w:t xml:space="preserve"> </w:t>
      </w:r>
      <w:r w:rsidR="00846360">
        <w:rPr>
          <w:rFonts w:ascii="Arial" w:hAnsi="Arial" w:cs="Arial"/>
          <w:lang w:val="en-ID"/>
        </w:rPr>
        <w:fldChar w:fldCharType="begin" w:fldLock="1"/>
      </w:r>
      <w:r w:rsidR="001E61FF">
        <w:rPr>
          <w:rFonts w:ascii="Arial" w:hAnsi="Arial" w:cs="Arial"/>
          <w:lang w:val="en-ID"/>
        </w:rPr>
        <w:instrText>ADDIN CSL_CITATION {"citationItems":[{"id":"ITEM-1","itemData":{"author":[{"dropping-particle":"","family":"Thomas","given":"T. Dhenis","non-dropping-particle":"","parse-names":false,"suffix":""}],"container-title":"Biologia Plantarum","id":"ITEM-1","issue":"4","issued":{"date-parts":[["2003"]]},"page":"529-533","title":"Thidiazuron induced multiple shoot induction and plant regeneration from cotyledonary explants of mulberry","type":"article-journal","volume":"46"},"uris":["http://www.mendeley.com/documents/?uuid=10d8416d-010e-4768-9a41-13f332c27202"]}],"mendeley":{"formattedCitation":"(26)","plainTextFormattedCitation":"(26)","previouslyFormattedCitation":"(26)"},"properties":{"noteIndex":0},"schema":"https://github.com/citation-style-language/schema/raw/master/csl-citation.json"}</w:instrText>
      </w:r>
      <w:r w:rsidR="00846360">
        <w:rPr>
          <w:rFonts w:ascii="Arial" w:hAnsi="Arial" w:cs="Arial"/>
          <w:lang w:val="en-ID"/>
        </w:rPr>
        <w:fldChar w:fldCharType="separate"/>
      </w:r>
      <w:r w:rsidR="001039A5" w:rsidRPr="001039A5">
        <w:rPr>
          <w:rFonts w:ascii="Arial" w:hAnsi="Arial" w:cs="Arial"/>
          <w:noProof/>
          <w:lang w:val="en-ID"/>
        </w:rPr>
        <w:t>(26)</w:t>
      </w:r>
      <w:r w:rsidR="00846360">
        <w:rPr>
          <w:rFonts w:ascii="Arial" w:hAnsi="Arial" w:cs="Arial"/>
          <w:lang w:val="en-ID"/>
        </w:rPr>
        <w:fldChar w:fldCharType="end"/>
      </w:r>
      <w:r w:rsidR="00855DB6" w:rsidRPr="00130200">
        <w:rPr>
          <w:rFonts w:ascii="Arial" w:hAnsi="Arial" w:cs="Arial"/>
          <w:lang w:val="en-ID"/>
        </w:rPr>
        <w:t xml:space="preserve">. </w:t>
      </w:r>
      <w:r w:rsidRPr="00130200">
        <w:rPr>
          <w:rFonts w:ascii="Arial" w:hAnsi="Arial" w:cs="Arial"/>
          <w:lang w:val="en-ID"/>
        </w:rPr>
        <w:t>In eggplant, the frequency of shoot regeneration decreases with increasing age of the hypocotyl explant, while the efficiency of shoot regeneration increases with increasing age of the hypocotyl explant</w:t>
      </w:r>
      <w:r w:rsidR="00846360">
        <w:rPr>
          <w:rFonts w:ascii="Arial" w:hAnsi="Arial" w:cs="Arial"/>
          <w:lang w:val="en-ID"/>
        </w:rPr>
        <w:t xml:space="preserve"> </w:t>
      </w:r>
      <w:r w:rsidR="00846360">
        <w:rPr>
          <w:rFonts w:ascii="Arial" w:hAnsi="Arial" w:cs="Arial"/>
          <w:lang w:val="en-ID"/>
        </w:rPr>
        <w:fldChar w:fldCharType="begin" w:fldLock="1"/>
      </w:r>
      <w:r w:rsidR="001E61FF">
        <w:rPr>
          <w:rFonts w:ascii="Arial" w:hAnsi="Arial" w:cs="Arial"/>
          <w:lang w:val="en-ID"/>
        </w:rPr>
        <w:instrText>ADDIN CSL_CITATION {"citationItems":[{"id":"ITEM-1","itemData":{"DOI":"10.24154/jhs.v7i2.376","ISSN":"0973-354X","abstract":"In the present study, effect of size and age of hypocotyl explant on in vitro organogenetic responses was assessed in eggplant cv. Manjarigota. Size and age did not affect callus-initiation response, but showed marked influence on shoot regeneration response. Hypocotyl explants 1.5cm long showed highest shoot regeneration response (77.4%); either increase or decrease in size resulted in reduced response. Five to 15 day old hypocotyl explants showed direct shoot regeneration from cut ends, whereas 20-30 day old hypocotyl explants showed indirect shoot regeneration from callus produced on cut ends. Five day old explants were most responsive, with highest (91.23%) and thirty day old explants least responsive with reference to shoot regeneration response (20.85%). Shoot regeneration frequency decreased with increasing age, whereas shoot regeneration efficiency increased with increasing age of hypocotyl explants.","author":[{"dropping-particle":"","family":"Prakash","given":"D P","non-dropping-particle":"","parse-names":false,"suffix":""},{"dropping-particle":"","family":"Deepali","given":"B S","non-dropping-particle":"","parse-names":false,"suffix":""},{"dropping-particle":"","family":"Ramachandra","given":"Y L","non-dropping-particle":"","parse-names":false,"suffix":""},{"dropping-particle":"","family":"Anand","given":"Lalitha","non-dropping-particle":"","parse-names":false,"suffix":""},{"dropping-particle":"","family":"Hanur","given":"Vageeshbabu S","non-dropping-particle":"","parse-names":false,"suffix":""}],"container-title":"Journal of Horticultural Sciences","id":"ITEM-1","issue":"2","issued":{"date-parts":[["2012"]]},"page":"203-205","title":"Effect of Age and Size of Hypocotyl Explant on in vitro Shoot Regeneration in Eggplant","type":"article-journal","volume":"7"},"uris":["http://www.mendeley.com/documents/?uuid=f075fafa-3aa0-482d-abee-8d600bc282cb"]}],"mendeley":{"formattedCitation":"(27)","plainTextFormattedCitation":"(27)","previouslyFormattedCitation":"(27)"},"properties":{"noteIndex":0},"schema":"https://github.com/citation-style-language/schema/raw/master/csl-citation.json"}</w:instrText>
      </w:r>
      <w:r w:rsidR="00846360">
        <w:rPr>
          <w:rFonts w:ascii="Arial" w:hAnsi="Arial" w:cs="Arial"/>
          <w:lang w:val="en-ID"/>
        </w:rPr>
        <w:fldChar w:fldCharType="separate"/>
      </w:r>
      <w:r w:rsidR="001039A5" w:rsidRPr="001039A5">
        <w:rPr>
          <w:rFonts w:ascii="Arial" w:hAnsi="Arial" w:cs="Arial"/>
          <w:noProof/>
          <w:lang w:val="en-ID"/>
        </w:rPr>
        <w:t>(27)</w:t>
      </w:r>
      <w:r w:rsidR="00846360">
        <w:rPr>
          <w:rFonts w:ascii="Arial" w:hAnsi="Arial" w:cs="Arial"/>
          <w:lang w:val="en-ID"/>
        </w:rPr>
        <w:fldChar w:fldCharType="end"/>
      </w:r>
      <w:r w:rsidR="00855DB6" w:rsidRPr="00130200">
        <w:rPr>
          <w:rFonts w:ascii="Arial" w:hAnsi="Arial" w:cs="Arial"/>
          <w:lang w:val="en-ID"/>
        </w:rPr>
        <w:t xml:space="preserve">. </w:t>
      </w:r>
      <w:r w:rsidRPr="00130200">
        <w:rPr>
          <w:rFonts w:ascii="Arial" w:hAnsi="Arial" w:cs="Arial"/>
          <w:lang w:val="en-ID"/>
        </w:rPr>
        <w:t xml:space="preserve">The effect of the age of leaf stalk explants on </w:t>
      </w:r>
      <w:r w:rsidRPr="00F3521B">
        <w:rPr>
          <w:rFonts w:ascii="Arial" w:hAnsi="Arial" w:cs="Arial"/>
          <w:i/>
          <w:iCs/>
          <w:lang w:val="en-ID"/>
        </w:rPr>
        <w:t>B</w:t>
      </w:r>
      <w:r w:rsidR="00F3521B">
        <w:rPr>
          <w:rFonts w:ascii="Arial" w:hAnsi="Arial" w:cs="Arial"/>
          <w:i/>
          <w:iCs/>
          <w:lang w:val="en-ID"/>
        </w:rPr>
        <w:t>rassica</w:t>
      </w:r>
      <w:r w:rsidRPr="00F3521B">
        <w:rPr>
          <w:rFonts w:ascii="Arial" w:hAnsi="Arial" w:cs="Arial"/>
          <w:i/>
          <w:iCs/>
          <w:lang w:val="en-ID"/>
        </w:rPr>
        <w:t xml:space="preserve"> juncea</w:t>
      </w:r>
      <w:r w:rsidRPr="00130200">
        <w:rPr>
          <w:rFonts w:ascii="Arial" w:hAnsi="Arial" w:cs="Arial"/>
          <w:lang w:val="en-ID"/>
        </w:rPr>
        <w:t xml:space="preserve"> L. aged 5 days produced the highest percentage of shoot regeneration when compared to ages 7 and 9 days after planting</w:t>
      </w:r>
      <w:r w:rsidR="00846360">
        <w:rPr>
          <w:rFonts w:ascii="Arial" w:hAnsi="Arial" w:cs="Arial"/>
          <w:lang w:val="en-ID"/>
        </w:rPr>
        <w:t xml:space="preserve"> </w:t>
      </w:r>
      <w:r w:rsidR="00846360">
        <w:rPr>
          <w:rFonts w:ascii="Arial" w:hAnsi="Arial" w:cs="Arial"/>
          <w:lang w:val="en-ID"/>
        </w:rPr>
        <w:fldChar w:fldCharType="begin" w:fldLock="1"/>
      </w:r>
      <w:r w:rsidR="001E61FF">
        <w:rPr>
          <w:rFonts w:ascii="Arial" w:hAnsi="Arial" w:cs="Arial"/>
          <w:lang w:val="en-ID"/>
        </w:rPr>
        <w:instrText>ADDIN CSL_CITATION {"citationItems":[{"id":"ITEM-1","itemData":{"DOI":"10.5010/JPB.2013.40.2.072","ISSN":"12292818","abstract":"To establish an efficient protocol for plant regeneration of Brassica juncea L. Czern, the effects of explant types, explant ages and cytokinins on shoot regeneration were examined in this study. Shoot regeneration was markedly affected by the explant types used in the following order: cotyledon with petiole&gt; hypocotyl&gt; leaf with petiole&gt; cotyledon&gt; leaf. Five-day-old seedlings of cotyledon with petiole explants showed the maximum shoot regeneration frequency. Of the six cytokinins-6-γ-γ- Dimethylallylaminopurine (2-ip), 6-γ-γ-Dimethylallylamino-purine riboside (2-ip riboside), 6-Benzyl amino-purine (BAP), Thidiazuron (TDZ), Zeatin, Zeatin riboside-TDZ (8 μM) was found to be the best cytokinin for shoot regeneration with the highest shoot induction frequency (80%) from cotyledon with petiole after 4 weeks. All the regenerated plantlets were developed well and they produced morphologically normal flowers. © Korean Society for Plant Biotechnology.","author":[{"dropping-particle":"","family":"Roh","given":"Kyung Hee","non-dropping-particle":"","parse-names":false,"suffix":""},{"dropping-particle":"","family":"Kwak","given":"Bo Kyung","non-dropping-particle":"","parse-names":false,"suffix":""},{"dropping-particle":"","family":"Kim","given":"Jong Bum","non-dropping-particle":"","parse-names":false,"suffix":""},{"dropping-particle":"","family":"Lee","given":"Kyeong Ryeol","non-dropping-particle":"","parse-names":false,"suffix":""},{"dropping-particle":"","family":"Kim","given":"Hyun Uk","non-dropping-particle":"","parse-names":false,"suffix":""},{"dropping-particle":"","family":"Kim","given":"Sun Hee","non-dropping-particle":"","parse-names":false,"suffix":""},{"dropping-particle":"","family":"Kang","given":"Han Chul","non-dropping-particle":"","parse-names":false,"suffix":""}],"container-title":"Journal of Plant Biotechnology","id":"ITEM-1","issue":"2","issued":{"date-parts":[["2013"]]},"page":"72-78","title":"Effects of different types and ages of explants and cytokinins on shoot regeneration in Brassica juncea L.","type":"article-journal","volume":"40"},"uris":["http://www.mendeley.com/documents/?uuid=f42ea185-80cc-4264-a0c9-d46deb4c3797"]}],"mendeley":{"formattedCitation":"(28)","plainTextFormattedCitation":"(28)","previouslyFormattedCitation":"(28)"},"properties":{"noteIndex":0},"schema":"https://github.com/citation-style-language/schema/raw/master/csl-citation.json"}</w:instrText>
      </w:r>
      <w:r w:rsidR="00846360">
        <w:rPr>
          <w:rFonts w:ascii="Arial" w:hAnsi="Arial" w:cs="Arial"/>
          <w:lang w:val="en-ID"/>
        </w:rPr>
        <w:fldChar w:fldCharType="separate"/>
      </w:r>
      <w:r w:rsidR="001039A5" w:rsidRPr="001039A5">
        <w:rPr>
          <w:rFonts w:ascii="Arial" w:hAnsi="Arial" w:cs="Arial"/>
          <w:noProof/>
          <w:lang w:val="en-ID"/>
        </w:rPr>
        <w:t>(28)</w:t>
      </w:r>
      <w:r w:rsidR="00846360">
        <w:rPr>
          <w:rFonts w:ascii="Arial" w:hAnsi="Arial" w:cs="Arial"/>
          <w:lang w:val="en-ID"/>
        </w:rPr>
        <w:fldChar w:fldCharType="end"/>
      </w:r>
      <w:r w:rsidR="00855DB6" w:rsidRPr="00130200">
        <w:rPr>
          <w:rFonts w:ascii="Arial" w:hAnsi="Arial" w:cs="Arial"/>
          <w:lang w:val="en-ID"/>
        </w:rPr>
        <w:t xml:space="preserve">. </w:t>
      </w:r>
      <w:bookmarkStart w:id="3" w:name="_Hlk198575051"/>
      <w:r w:rsidR="001E61FF">
        <w:rPr>
          <w:rFonts w:ascii="Arial" w:hAnsi="Arial" w:cs="Arial"/>
          <w:lang w:val="en-ID"/>
        </w:rPr>
        <w:t xml:space="preserve">In this study, </w:t>
      </w:r>
      <w:r w:rsidR="001E61FF" w:rsidRPr="001E61FF">
        <w:rPr>
          <w:rFonts w:ascii="Arial" w:hAnsi="Arial" w:cs="Arial"/>
          <w:lang w:val="en-ID"/>
        </w:rPr>
        <w:t xml:space="preserve">4 weeks </w:t>
      </w:r>
      <w:r w:rsidR="001E61FF">
        <w:rPr>
          <w:rFonts w:ascii="Arial" w:hAnsi="Arial" w:cs="Arial"/>
          <w:lang w:val="en-ID"/>
        </w:rPr>
        <w:t xml:space="preserve">old seedlings </w:t>
      </w:r>
      <w:r w:rsidR="001E61FF" w:rsidRPr="001E61FF">
        <w:rPr>
          <w:rFonts w:ascii="Arial" w:hAnsi="Arial" w:cs="Arial"/>
          <w:lang w:val="en-ID"/>
        </w:rPr>
        <w:t xml:space="preserve">are thought to be too young to form adventitious shoots. Nutrients absorbed from the media </w:t>
      </w:r>
      <w:r w:rsidR="001E61FF">
        <w:rPr>
          <w:rFonts w:ascii="Arial" w:hAnsi="Arial" w:cs="Arial"/>
          <w:lang w:val="en-ID"/>
        </w:rPr>
        <w:t>might be</w:t>
      </w:r>
      <w:r w:rsidR="001E61FF" w:rsidRPr="001E61FF">
        <w:rPr>
          <w:rFonts w:ascii="Arial" w:hAnsi="Arial" w:cs="Arial"/>
          <w:lang w:val="en-ID"/>
        </w:rPr>
        <w:t xml:space="preserve"> still prioritized for seedling growth. This is the same as the induction of adventitious shoots from </w:t>
      </w:r>
      <w:r w:rsidR="001E61FF" w:rsidRPr="001E61FF">
        <w:rPr>
          <w:rFonts w:ascii="Arial" w:hAnsi="Arial" w:cs="Arial"/>
          <w:i/>
          <w:iCs/>
          <w:lang w:val="en-ID"/>
        </w:rPr>
        <w:t xml:space="preserve">Acacia </w:t>
      </w:r>
      <w:proofErr w:type="spellStart"/>
      <w:r w:rsidR="001E61FF" w:rsidRPr="001E61FF">
        <w:rPr>
          <w:rFonts w:ascii="Arial" w:hAnsi="Arial" w:cs="Arial"/>
          <w:i/>
          <w:iCs/>
          <w:lang w:val="en-ID"/>
        </w:rPr>
        <w:t>mangium</w:t>
      </w:r>
      <w:proofErr w:type="spellEnd"/>
      <w:r w:rsidR="001E61FF" w:rsidRPr="001E61FF">
        <w:rPr>
          <w:rFonts w:ascii="Arial" w:hAnsi="Arial" w:cs="Arial"/>
          <w:lang w:val="en-ID"/>
        </w:rPr>
        <w:t xml:space="preserve"> Willd. seedlings with different age groups. Of the four groups of explant source seedlings, age group II (14-15 days) showed the highest response in producing shoots (100%)</w:t>
      </w:r>
      <w:r w:rsidR="004E3048">
        <w:rPr>
          <w:rFonts w:ascii="Arial" w:hAnsi="Arial" w:cs="Arial"/>
          <w:lang w:val="en-ID"/>
        </w:rPr>
        <w:t xml:space="preserve"> </w:t>
      </w:r>
      <w:r w:rsidR="004E3048">
        <w:rPr>
          <w:rFonts w:ascii="Arial" w:hAnsi="Arial" w:cs="Arial"/>
          <w:lang w:val="en-ID"/>
        </w:rPr>
        <w:fldChar w:fldCharType="begin" w:fldLock="1"/>
      </w:r>
      <w:r w:rsidR="004E3048">
        <w:rPr>
          <w:rFonts w:ascii="Arial" w:hAnsi="Arial" w:cs="Arial"/>
          <w:lang w:val="en-ID"/>
        </w:rPr>
        <w:instrText>ADDIN CSL_CITATION {"citationItems":[{"id":"ITEM-1","itemData":{"ISSN":"09738916","abstract":"Using cotyledons of 2-week old in vitro germinated seedlings, a rapid and efficient regeneration protocol was established for A. mangium on Murashige and Skoog (MS) basal medium. Cotyledons showed better direct shoot organogenesis producing maximum 10.88 ± 0.35 shoots per explant when cultured on MS medium supplemented with 2.0 μM BA and 1.0 μM NAA. Full strength of MS medium supplemented with IBA (8.0 μM) was found best for rooting of in vitro shoots. The rooted plantlets were then transferred to small pots containing a sterilized mixture of sand, garden soil and compost (1:1:1) for acclimatization where plantlets grew well with 65% survival rate.","author":[{"dropping-particle":"","family":"Shahinozzaman","given":"M.","non-dropping-particle":"","parse-names":false,"suffix":""},{"dropping-particle":"","family":"Faruq","given":"M. O.","non-dropping-particle":"","parse-names":false,"suffix":""},{"dropping-particle":"","family":"Ferdous","given":"M. M.","non-dropping-particle":"","parse-names":false,"suffix":""},{"dropping-particle":"","family":"Azad","given":"M. A.K.","non-dropping-particle":"","parse-names":false,"suffix":""},{"dropping-particle":"","family":"Amin","given":"M. N.","non-dropping-particle":"","parse-names":false,"suffix":""}],"container-title":"Current Trends in Biotechnology and Pharmacy","id":"ITEM-1","issue":"1","issued":{"date-parts":[["2013"]]},"page":"511-517","title":"Direct Organogenesis and Plant Regeneration from Cotyledons of a Multipurpose Tree, Acacia mangium Willd","type":"article-journal","volume":"7"},"uris":["http://www.mendeley.com/documents/?uuid=6f8c5ad7-9b70-4716-8a82-081da36a7318"]}],"mendeley":{"formattedCitation":"(29)","plainTextFormattedCitation":"(29)"},"properties":{"noteIndex":0},"schema":"https://github.com/citation-style-language/schema/raw/master/csl-citation.json"}</w:instrText>
      </w:r>
      <w:r w:rsidR="004E3048">
        <w:rPr>
          <w:rFonts w:ascii="Arial" w:hAnsi="Arial" w:cs="Arial"/>
          <w:lang w:val="en-ID"/>
        </w:rPr>
        <w:fldChar w:fldCharType="separate"/>
      </w:r>
      <w:r w:rsidR="004E3048" w:rsidRPr="004E3048">
        <w:rPr>
          <w:rFonts w:ascii="Arial" w:hAnsi="Arial" w:cs="Arial"/>
          <w:noProof/>
          <w:lang w:val="en-ID"/>
        </w:rPr>
        <w:t>(29)</w:t>
      </w:r>
      <w:r w:rsidR="004E3048">
        <w:rPr>
          <w:rFonts w:ascii="Arial" w:hAnsi="Arial" w:cs="Arial"/>
          <w:lang w:val="en-ID"/>
        </w:rPr>
        <w:fldChar w:fldCharType="end"/>
      </w:r>
      <w:r w:rsidR="001E61FF" w:rsidRPr="001E61FF">
        <w:rPr>
          <w:rFonts w:ascii="Arial" w:hAnsi="Arial" w:cs="Arial"/>
          <w:lang w:val="en-ID"/>
        </w:rPr>
        <w:t>. While age group I, which is &gt; 10 days, produced fewer shoots.</w:t>
      </w:r>
    </w:p>
    <w:bookmarkEnd w:id="3"/>
    <w:p w14:paraId="7C237963" w14:textId="5E30706C" w:rsidR="00855DB6" w:rsidRDefault="00130200" w:rsidP="00D00071">
      <w:pPr>
        <w:jc w:val="both"/>
        <w:rPr>
          <w:rFonts w:ascii="Arial" w:hAnsi="Arial" w:cs="Arial"/>
          <w:lang w:val="en-ID"/>
        </w:rPr>
      </w:pPr>
      <w:r w:rsidRPr="00130200">
        <w:rPr>
          <w:rFonts w:ascii="Arial" w:hAnsi="Arial" w:cs="Arial"/>
          <w:lang w:val="en-ID"/>
        </w:rPr>
        <w:t xml:space="preserve">These results indicate that explants from 7-week-old </w:t>
      </w:r>
      <w:r w:rsidR="00E513F5">
        <w:rPr>
          <w:rFonts w:ascii="Arial" w:hAnsi="Arial" w:cs="Arial"/>
          <w:lang w:val="en-ID"/>
        </w:rPr>
        <w:t>seedling</w:t>
      </w:r>
      <w:r w:rsidRPr="00130200">
        <w:rPr>
          <w:rFonts w:ascii="Arial" w:hAnsi="Arial" w:cs="Arial"/>
          <w:lang w:val="en-ID"/>
        </w:rPr>
        <w:t xml:space="preserve">s produce better shoot and root regeneration. Regeneration of shoots in large quantities is prioritized for propagation purposes. Therefore, the effect of media on the response </w:t>
      </w:r>
      <w:r w:rsidRPr="00090B4A">
        <w:rPr>
          <w:rFonts w:ascii="Arial" w:hAnsi="Arial" w:cs="Arial"/>
          <w:color w:val="000000"/>
          <w:lang w:val="en-ID"/>
        </w:rPr>
        <w:t xml:space="preserve">of </w:t>
      </w:r>
      <w:r w:rsidR="00750E5E" w:rsidRPr="00090B4A">
        <w:rPr>
          <w:rFonts w:ascii="Arial" w:hAnsi="Arial" w:cs="Arial"/>
          <w:color w:val="000000"/>
          <w:lang w:val="en-ID"/>
        </w:rPr>
        <w:t>cotyledon</w:t>
      </w:r>
      <w:r w:rsidR="00090B4A" w:rsidRPr="00090B4A">
        <w:rPr>
          <w:rFonts w:ascii="Arial" w:hAnsi="Arial" w:cs="Arial"/>
          <w:color w:val="000000"/>
          <w:lang w:val="en-ID"/>
        </w:rPr>
        <w:t>ary node</w:t>
      </w:r>
      <w:r w:rsidR="00750E5E" w:rsidRPr="00130200">
        <w:rPr>
          <w:rFonts w:ascii="Arial" w:hAnsi="Arial" w:cs="Arial"/>
          <w:lang w:val="en-ID"/>
        </w:rPr>
        <w:t xml:space="preserve"> </w:t>
      </w:r>
      <w:r w:rsidRPr="00130200">
        <w:rPr>
          <w:rFonts w:ascii="Arial" w:hAnsi="Arial" w:cs="Arial"/>
          <w:lang w:val="en-ID"/>
        </w:rPr>
        <w:t xml:space="preserve">explants </w:t>
      </w:r>
      <w:r w:rsidR="00750E5E">
        <w:rPr>
          <w:rFonts w:ascii="Arial" w:hAnsi="Arial" w:cs="Arial"/>
          <w:lang w:val="en-ID"/>
        </w:rPr>
        <w:t>derived</w:t>
      </w:r>
      <w:r w:rsidRPr="00130200">
        <w:rPr>
          <w:rFonts w:ascii="Arial" w:hAnsi="Arial" w:cs="Arial"/>
          <w:lang w:val="en-ID"/>
        </w:rPr>
        <w:t xml:space="preserve"> from 7-week-old </w:t>
      </w:r>
      <w:r w:rsidR="00E513F5">
        <w:rPr>
          <w:rFonts w:ascii="Arial" w:hAnsi="Arial" w:cs="Arial"/>
          <w:lang w:val="en-ID"/>
        </w:rPr>
        <w:t>seedling</w:t>
      </w:r>
      <w:r w:rsidRPr="00130200">
        <w:rPr>
          <w:rFonts w:ascii="Arial" w:hAnsi="Arial" w:cs="Arial"/>
          <w:lang w:val="en-ID"/>
        </w:rPr>
        <w:t>s was further observed.</w:t>
      </w:r>
    </w:p>
    <w:bookmarkEnd w:id="2"/>
    <w:p w14:paraId="2A7855B6" w14:textId="77777777" w:rsidR="00130200" w:rsidRPr="00130200" w:rsidRDefault="00130200" w:rsidP="00855DB6">
      <w:pPr>
        <w:ind w:firstLine="567"/>
        <w:jc w:val="both"/>
        <w:rPr>
          <w:rFonts w:ascii="Arial" w:hAnsi="Arial" w:cs="Arial"/>
          <w:lang w:val="en-ID"/>
        </w:rPr>
      </w:pPr>
    </w:p>
    <w:p w14:paraId="77F4D7FA" w14:textId="26505026" w:rsidR="00855DB6" w:rsidRPr="00A8022F" w:rsidRDefault="00A8022F" w:rsidP="00CA33BE">
      <w:pPr>
        <w:spacing w:after="240"/>
        <w:jc w:val="both"/>
        <w:rPr>
          <w:rFonts w:ascii="Arial" w:hAnsi="Arial" w:cs="Arial"/>
          <w:b/>
          <w:bCs/>
          <w:lang w:val="en-ID"/>
        </w:rPr>
      </w:pPr>
      <w:r w:rsidRPr="00A8022F">
        <w:rPr>
          <w:rFonts w:ascii="Arial" w:hAnsi="Arial" w:cs="Arial"/>
          <w:b/>
          <w:bCs/>
          <w:lang w:val="en-ID"/>
        </w:rPr>
        <w:t xml:space="preserve">Table 1. </w:t>
      </w:r>
      <w:r w:rsidR="001E7010">
        <w:rPr>
          <w:rFonts w:ascii="Arial" w:hAnsi="Arial" w:cs="Arial"/>
          <w:b/>
          <w:bCs/>
          <w:lang w:val="en-ID"/>
        </w:rPr>
        <w:t>Effect of seedling age on g</w:t>
      </w:r>
      <w:r w:rsidRPr="00A8022F">
        <w:rPr>
          <w:rFonts w:ascii="Arial" w:hAnsi="Arial" w:cs="Arial"/>
          <w:b/>
          <w:bCs/>
          <w:lang w:val="en-ID"/>
        </w:rPr>
        <w:t xml:space="preserve">rowth response of </w:t>
      </w:r>
      <w:bookmarkStart w:id="4" w:name="_Hlk198325645"/>
      <w:r w:rsidR="00750E5E" w:rsidRPr="00090B4A">
        <w:rPr>
          <w:rFonts w:ascii="Arial" w:hAnsi="Arial" w:cs="Arial"/>
          <w:b/>
          <w:bCs/>
          <w:lang w:val="en-ID"/>
        </w:rPr>
        <w:t>cotyledon</w:t>
      </w:r>
      <w:bookmarkEnd w:id="4"/>
      <w:r w:rsidR="00090B4A" w:rsidRPr="00090B4A">
        <w:rPr>
          <w:rFonts w:ascii="Arial" w:hAnsi="Arial" w:cs="Arial"/>
          <w:b/>
          <w:bCs/>
          <w:lang w:val="en-ID"/>
        </w:rPr>
        <w:t>ary node</w:t>
      </w:r>
      <w:r w:rsidR="00750E5E" w:rsidRPr="00090B4A">
        <w:rPr>
          <w:rFonts w:ascii="Arial" w:hAnsi="Arial" w:cs="Arial"/>
          <w:b/>
          <w:bCs/>
          <w:lang w:val="en-ID"/>
        </w:rPr>
        <w:t xml:space="preserve"> </w:t>
      </w:r>
      <w:r w:rsidRPr="00090B4A">
        <w:rPr>
          <w:rFonts w:ascii="Arial" w:hAnsi="Arial" w:cs="Arial"/>
          <w:b/>
          <w:bCs/>
          <w:lang w:val="en-ID"/>
        </w:rPr>
        <w:t xml:space="preserve">explants </w:t>
      </w:r>
      <w:r w:rsidR="001E7010">
        <w:rPr>
          <w:rFonts w:ascii="Arial" w:hAnsi="Arial" w:cs="Arial"/>
          <w:b/>
          <w:bCs/>
          <w:lang w:val="en-ID"/>
        </w:rPr>
        <w:t>in shoot induction medium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418"/>
        <w:gridCol w:w="1842"/>
        <w:gridCol w:w="1560"/>
        <w:gridCol w:w="1540"/>
      </w:tblGrid>
      <w:tr w:rsidR="00CA33BE" w:rsidRPr="00855DB6" w14:paraId="677166FB" w14:textId="77777777" w:rsidTr="00725F2F">
        <w:tc>
          <w:tcPr>
            <w:tcW w:w="1838" w:type="dxa"/>
            <w:tcBorders>
              <w:top w:val="single" w:sz="6" w:space="0" w:color="auto"/>
              <w:bottom w:val="single" w:sz="6" w:space="0" w:color="auto"/>
            </w:tcBorders>
          </w:tcPr>
          <w:p w14:paraId="070E8C55" w14:textId="2EC26C1F" w:rsidR="00855DB6" w:rsidRPr="0034375A" w:rsidRDefault="00750E5E" w:rsidP="00CA33BE">
            <w:pPr>
              <w:jc w:val="center"/>
              <w:rPr>
                <w:rFonts w:ascii="Arial" w:hAnsi="Arial" w:cs="Arial"/>
                <w:b/>
                <w:bCs/>
                <w:sz w:val="20"/>
                <w:lang w:val="sv-SE"/>
              </w:rPr>
            </w:pPr>
            <w:r>
              <w:rPr>
                <w:rFonts w:ascii="Arial" w:hAnsi="Arial" w:cs="Arial"/>
                <w:b/>
                <w:bCs/>
                <w:sz w:val="20"/>
                <w:lang w:val="sv-SE"/>
              </w:rPr>
              <w:t>Seedling age</w:t>
            </w:r>
            <w:r w:rsidR="00CA33BE" w:rsidRPr="0034375A">
              <w:rPr>
                <w:rFonts w:ascii="Arial" w:hAnsi="Arial" w:cs="Arial"/>
                <w:b/>
                <w:bCs/>
                <w:sz w:val="20"/>
                <w:lang w:val="sv-SE"/>
              </w:rPr>
              <w:t xml:space="preserve"> (weeks)</w:t>
            </w:r>
          </w:p>
        </w:tc>
        <w:tc>
          <w:tcPr>
            <w:tcW w:w="1418" w:type="dxa"/>
            <w:tcBorders>
              <w:top w:val="single" w:sz="6" w:space="0" w:color="auto"/>
              <w:bottom w:val="single" w:sz="6" w:space="0" w:color="auto"/>
            </w:tcBorders>
          </w:tcPr>
          <w:p w14:paraId="542A4BC1" w14:textId="41896F11"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Shoot number</w:t>
            </w:r>
          </w:p>
        </w:tc>
        <w:tc>
          <w:tcPr>
            <w:tcW w:w="1842" w:type="dxa"/>
            <w:tcBorders>
              <w:top w:val="single" w:sz="6" w:space="0" w:color="auto"/>
              <w:bottom w:val="single" w:sz="6" w:space="0" w:color="auto"/>
            </w:tcBorders>
          </w:tcPr>
          <w:p w14:paraId="75A911C3" w14:textId="6B38C80D"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 xml:space="preserve">Shoot </w:t>
            </w:r>
            <w:r w:rsidR="00750E5E">
              <w:rPr>
                <w:rFonts w:ascii="Arial" w:hAnsi="Arial" w:cs="Arial"/>
                <w:b/>
                <w:bCs/>
                <w:sz w:val="20"/>
                <w:lang w:val="sv-SE"/>
              </w:rPr>
              <w:t>length</w:t>
            </w:r>
            <w:r w:rsidR="00855DB6" w:rsidRPr="0034375A">
              <w:rPr>
                <w:rFonts w:ascii="Arial" w:hAnsi="Arial" w:cs="Arial"/>
                <w:b/>
                <w:bCs/>
                <w:sz w:val="20"/>
                <w:lang w:val="sv-SE"/>
              </w:rPr>
              <w:t xml:space="preserve"> (cm)</w:t>
            </w:r>
          </w:p>
        </w:tc>
        <w:tc>
          <w:tcPr>
            <w:tcW w:w="1560" w:type="dxa"/>
            <w:tcBorders>
              <w:top w:val="single" w:sz="6" w:space="0" w:color="auto"/>
              <w:bottom w:val="single" w:sz="6" w:space="0" w:color="auto"/>
            </w:tcBorders>
          </w:tcPr>
          <w:p w14:paraId="721B6032" w14:textId="6396599E"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Leaf number</w:t>
            </w:r>
          </w:p>
        </w:tc>
        <w:tc>
          <w:tcPr>
            <w:tcW w:w="1540" w:type="dxa"/>
            <w:tcBorders>
              <w:top w:val="single" w:sz="6" w:space="0" w:color="auto"/>
              <w:bottom w:val="single" w:sz="6" w:space="0" w:color="auto"/>
            </w:tcBorders>
          </w:tcPr>
          <w:p w14:paraId="1F464FD5" w14:textId="25E2E7A7" w:rsidR="00855DB6" w:rsidRPr="0034375A" w:rsidRDefault="00F3521B" w:rsidP="00CA33BE">
            <w:pPr>
              <w:jc w:val="center"/>
              <w:rPr>
                <w:rFonts w:ascii="Arial" w:hAnsi="Arial" w:cs="Arial"/>
                <w:b/>
                <w:bCs/>
                <w:sz w:val="20"/>
                <w:lang w:val="sv-SE"/>
              </w:rPr>
            </w:pPr>
            <w:r w:rsidRPr="0034375A">
              <w:rPr>
                <w:rFonts w:ascii="Arial" w:hAnsi="Arial" w:cs="Arial"/>
                <w:b/>
                <w:bCs/>
                <w:sz w:val="20"/>
                <w:lang w:val="sv-SE"/>
              </w:rPr>
              <w:t>Root number</w:t>
            </w:r>
          </w:p>
        </w:tc>
      </w:tr>
      <w:tr w:rsidR="00CA33BE" w:rsidRPr="00855DB6" w14:paraId="7808A230" w14:textId="77777777" w:rsidTr="00725F2F">
        <w:tc>
          <w:tcPr>
            <w:tcW w:w="1838" w:type="dxa"/>
            <w:tcBorders>
              <w:top w:val="single" w:sz="6" w:space="0" w:color="auto"/>
            </w:tcBorders>
          </w:tcPr>
          <w:p w14:paraId="0488ABC4" w14:textId="77777777" w:rsidR="00855DB6" w:rsidRPr="00855DB6" w:rsidRDefault="00855DB6" w:rsidP="00CA33BE">
            <w:pPr>
              <w:jc w:val="center"/>
              <w:rPr>
                <w:rFonts w:ascii="Arial" w:hAnsi="Arial" w:cs="Arial"/>
                <w:sz w:val="20"/>
                <w:lang w:val="sv-SE"/>
              </w:rPr>
            </w:pPr>
            <w:r w:rsidRPr="00855DB6">
              <w:rPr>
                <w:rFonts w:ascii="Arial" w:hAnsi="Arial" w:cs="Arial"/>
                <w:sz w:val="20"/>
                <w:lang w:val="sv-SE"/>
              </w:rPr>
              <w:t>4</w:t>
            </w:r>
          </w:p>
        </w:tc>
        <w:tc>
          <w:tcPr>
            <w:tcW w:w="1418" w:type="dxa"/>
            <w:tcBorders>
              <w:top w:val="single" w:sz="6" w:space="0" w:color="auto"/>
            </w:tcBorders>
          </w:tcPr>
          <w:p w14:paraId="0A3225FE" w14:textId="30DCDF23" w:rsidR="00855DB6" w:rsidRPr="00855DB6" w:rsidRDefault="00855DB6" w:rsidP="00D21FAE">
            <w:pPr>
              <w:jc w:val="center"/>
              <w:rPr>
                <w:rFonts w:ascii="Arial" w:hAnsi="Arial" w:cs="Arial"/>
                <w:sz w:val="20"/>
                <w:lang w:val="sv-SE"/>
              </w:rPr>
            </w:pPr>
            <w:r w:rsidRPr="00855DB6">
              <w:rPr>
                <w:rFonts w:ascii="Calibri" w:hAnsi="Calibri"/>
                <w:lang w:val="sv-SE"/>
              </w:rPr>
              <w:t>2,2</w:t>
            </w:r>
            <w:r w:rsidR="00725F2F">
              <w:rPr>
                <w:rFonts w:ascii="Calibri" w:hAnsi="Calibri"/>
                <w:lang w:val="sv-SE"/>
              </w:rPr>
              <w:t>4</w:t>
            </w:r>
            <w:r w:rsidRPr="00855DB6">
              <w:rPr>
                <w:rFonts w:ascii="Calibri" w:hAnsi="Calibri"/>
                <w:lang w:val="sv-SE"/>
              </w:rPr>
              <w:t>a</w:t>
            </w:r>
          </w:p>
        </w:tc>
        <w:tc>
          <w:tcPr>
            <w:tcW w:w="1842" w:type="dxa"/>
            <w:tcBorders>
              <w:top w:val="single" w:sz="6" w:space="0" w:color="auto"/>
            </w:tcBorders>
          </w:tcPr>
          <w:p w14:paraId="40E8460F" w14:textId="6CC6659D" w:rsidR="00855DB6" w:rsidRPr="00855DB6" w:rsidRDefault="00855DB6" w:rsidP="00D21FAE">
            <w:pPr>
              <w:jc w:val="center"/>
              <w:rPr>
                <w:rFonts w:ascii="Arial" w:hAnsi="Arial" w:cs="Arial"/>
                <w:sz w:val="20"/>
                <w:lang w:val="sv-SE"/>
              </w:rPr>
            </w:pPr>
            <w:r w:rsidRPr="00855DB6">
              <w:rPr>
                <w:rFonts w:ascii="Calibri" w:hAnsi="Calibri"/>
                <w:lang w:val="sv-SE"/>
              </w:rPr>
              <w:t>0,89a</w:t>
            </w:r>
          </w:p>
        </w:tc>
        <w:tc>
          <w:tcPr>
            <w:tcW w:w="1560" w:type="dxa"/>
            <w:tcBorders>
              <w:top w:val="single" w:sz="6" w:space="0" w:color="auto"/>
            </w:tcBorders>
          </w:tcPr>
          <w:p w14:paraId="29D47D8D" w14:textId="1B20977F" w:rsidR="00855DB6" w:rsidRPr="00855DB6" w:rsidRDefault="00855DB6" w:rsidP="00D21FAE">
            <w:pPr>
              <w:jc w:val="center"/>
              <w:rPr>
                <w:rFonts w:ascii="Arial" w:hAnsi="Arial" w:cs="Arial"/>
                <w:sz w:val="20"/>
                <w:lang w:val="sv-SE"/>
              </w:rPr>
            </w:pPr>
            <w:r w:rsidRPr="00855DB6">
              <w:rPr>
                <w:rFonts w:ascii="Calibri" w:hAnsi="Calibri"/>
                <w:lang w:val="sv-SE"/>
              </w:rPr>
              <w:t>7,14a</w:t>
            </w:r>
          </w:p>
        </w:tc>
        <w:tc>
          <w:tcPr>
            <w:tcW w:w="1540" w:type="dxa"/>
            <w:tcBorders>
              <w:top w:val="single" w:sz="6" w:space="0" w:color="auto"/>
            </w:tcBorders>
          </w:tcPr>
          <w:p w14:paraId="57E1445E" w14:textId="4C60B69B" w:rsidR="00855DB6" w:rsidRPr="00855DB6" w:rsidRDefault="00855DB6" w:rsidP="00D21FAE">
            <w:pPr>
              <w:jc w:val="center"/>
              <w:rPr>
                <w:rFonts w:ascii="Calibri" w:hAnsi="Calibri"/>
                <w:lang w:val="sv-SE"/>
              </w:rPr>
            </w:pPr>
            <w:r w:rsidRPr="00855DB6">
              <w:rPr>
                <w:rFonts w:ascii="Calibri" w:hAnsi="Calibri"/>
                <w:lang w:val="sv-SE"/>
              </w:rPr>
              <w:t>0,62a</w:t>
            </w:r>
          </w:p>
        </w:tc>
      </w:tr>
      <w:tr w:rsidR="00CA33BE" w:rsidRPr="00855DB6" w14:paraId="3EF59730" w14:textId="77777777" w:rsidTr="00725F2F">
        <w:tc>
          <w:tcPr>
            <w:tcW w:w="1838" w:type="dxa"/>
            <w:tcBorders>
              <w:bottom w:val="single" w:sz="6" w:space="0" w:color="auto"/>
            </w:tcBorders>
          </w:tcPr>
          <w:p w14:paraId="7E42F5AF" w14:textId="77777777" w:rsidR="00855DB6" w:rsidRPr="00855DB6" w:rsidRDefault="00855DB6" w:rsidP="00CA33BE">
            <w:pPr>
              <w:jc w:val="center"/>
              <w:rPr>
                <w:rFonts w:ascii="Arial" w:hAnsi="Arial" w:cs="Arial"/>
                <w:sz w:val="20"/>
                <w:lang w:val="sv-SE"/>
              </w:rPr>
            </w:pPr>
            <w:r w:rsidRPr="00855DB6">
              <w:rPr>
                <w:rFonts w:ascii="Arial" w:hAnsi="Arial" w:cs="Arial"/>
                <w:sz w:val="20"/>
                <w:lang w:val="sv-SE"/>
              </w:rPr>
              <w:lastRenderedPageBreak/>
              <w:t>7</w:t>
            </w:r>
          </w:p>
        </w:tc>
        <w:tc>
          <w:tcPr>
            <w:tcW w:w="1418" w:type="dxa"/>
            <w:tcBorders>
              <w:bottom w:val="single" w:sz="6" w:space="0" w:color="auto"/>
            </w:tcBorders>
          </w:tcPr>
          <w:p w14:paraId="69D82A4A" w14:textId="24690A8C" w:rsidR="00855DB6" w:rsidRPr="00855DB6" w:rsidRDefault="00855DB6" w:rsidP="00D21FAE">
            <w:pPr>
              <w:jc w:val="center"/>
              <w:rPr>
                <w:rFonts w:ascii="Arial" w:hAnsi="Arial" w:cs="Arial"/>
                <w:sz w:val="20"/>
                <w:lang w:val="sv-SE"/>
              </w:rPr>
            </w:pPr>
            <w:r w:rsidRPr="00855DB6">
              <w:rPr>
                <w:rFonts w:ascii="Calibri" w:hAnsi="Calibri"/>
                <w:lang w:val="sv-SE"/>
              </w:rPr>
              <w:t>2,56b</w:t>
            </w:r>
          </w:p>
        </w:tc>
        <w:tc>
          <w:tcPr>
            <w:tcW w:w="1842" w:type="dxa"/>
            <w:tcBorders>
              <w:bottom w:val="single" w:sz="6" w:space="0" w:color="auto"/>
            </w:tcBorders>
          </w:tcPr>
          <w:p w14:paraId="24DB527E" w14:textId="12352030" w:rsidR="00855DB6" w:rsidRPr="00855DB6" w:rsidRDefault="00855DB6" w:rsidP="00D21FAE">
            <w:pPr>
              <w:jc w:val="center"/>
              <w:rPr>
                <w:rFonts w:ascii="Arial" w:hAnsi="Arial" w:cs="Arial"/>
                <w:sz w:val="20"/>
                <w:lang w:val="sv-SE"/>
              </w:rPr>
            </w:pPr>
            <w:r w:rsidRPr="00855DB6">
              <w:rPr>
                <w:rFonts w:ascii="Calibri" w:hAnsi="Calibri"/>
                <w:lang w:val="sv-SE"/>
              </w:rPr>
              <w:t>0,78a</w:t>
            </w:r>
          </w:p>
        </w:tc>
        <w:tc>
          <w:tcPr>
            <w:tcW w:w="1560" w:type="dxa"/>
            <w:tcBorders>
              <w:bottom w:val="single" w:sz="6" w:space="0" w:color="auto"/>
            </w:tcBorders>
          </w:tcPr>
          <w:p w14:paraId="0CF87E0C" w14:textId="77777777" w:rsidR="00855DB6" w:rsidRPr="00855DB6" w:rsidRDefault="00855DB6" w:rsidP="00D21FAE">
            <w:pPr>
              <w:jc w:val="center"/>
              <w:rPr>
                <w:rFonts w:ascii="Arial" w:hAnsi="Arial" w:cs="Arial"/>
                <w:sz w:val="20"/>
                <w:lang w:val="sv-SE"/>
              </w:rPr>
            </w:pPr>
            <w:r w:rsidRPr="00855DB6">
              <w:rPr>
                <w:rFonts w:ascii="Calibri" w:hAnsi="Calibri"/>
                <w:lang w:val="sv-SE"/>
              </w:rPr>
              <w:t>6,97a</w:t>
            </w:r>
          </w:p>
        </w:tc>
        <w:tc>
          <w:tcPr>
            <w:tcW w:w="1540" w:type="dxa"/>
            <w:tcBorders>
              <w:bottom w:val="single" w:sz="6" w:space="0" w:color="auto"/>
            </w:tcBorders>
          </w:tcPr>
          <w:p w14:paraId="340856C5" w14:textId="496B9B3F" w:rsidR="00855DB6" w:rsidRPr="00855DB6" w:rsidRDefault="00855DB6" w:rsidP="00D21FAE">
            <w:pPr>
              <w:jc w:val="center"/>
              <w:rPr>
                <w:rFonts w:ascii="Calibri" w:hAnsi="Calibri"/>
                <w:lang w:val="sv-SE"/>
              </w:rPr>
            </w:pPr>
            <w:r w:rsidRPr="00855DB6">
              <w:rPr>
                <w:rFonts w:ascii="Calibri" w:hAnsi="Calibri"/>
                <w:lang w:val="sv-SE"/>
              </w:rPr>
              <w:t>1,2</w:t>
            </w:r>
            <w:r w:rsidR="00725F2F">
              <w:rPr>
                <w:rFonts w:ascii="Calibri" w:hAnsi="Calibri"/>
                <w:lang w:val="sv-SE"/>
              </w:rPr>
              <w:t>2</w:t>
            </w:r>
            <w:r w:rsidRPr="00855DB6">
              <w:rPr>
                <w:rFonts w:ascii="Calibri" w:hAnsi="Calibri"/>
                <w:lang w:val="sv-SE"/>
              </w:rPr>
              <w:t>b</w:t>
            </w:r>
          </w:p>
        </w:tc>
      </w:tr>
    </w:tbl>
    <w:p w14:paraId="51A6969B" w14:textId="00D66BAE" w:rsidR="00855DB6" w:rsidRPr="00A8022F" w:rsidRDefault="00A8022F" w:rsidP="0092335E">
      <w:pPr>
        <w:jc w:val="both"/>
        <w:rPr>
          <w:rFonts w:ascii="Arial" w:hAnsi="Arial" w:cs="Arial"/>
          <w:lang w:val="en-ID"/>
        </w:rPr>
      </w:pPr>
      <w:r>
        <w:rPr>
          <w:rFonts w:ascii="Arial" w:hAnsi="Arial" w:cs="Arial"/>
          <w:lang w:val="en-ID"/>
        </w:rPr>
        <w:t>Note</w:t>
      </w:r>
      <w:r w:rsidR="00855DB6" w:rsidRPr="00A8022F">
        <w:rPr>
          <w:rFonts w:ascii="Arial" w:hAnsi="Arial" w:cs="Arial"/>
          <w:lang w:val="en-ID"/>
        </w:rPr>
        <w:t xml:space="preserve">: </w:t>
      </w:r>
      <w:r w:rsidRPr="00A8022F">
        <w:rPr>
          <w:rFonts w:ascii="Arial" w:hAnsi="Arial" w:cs="Arial"/>
          <w:lang w:val="en-ID"/>
        </w:rPr>
        <w:t>numbers followed by the same letter in the same column do not show significant differences.</w:t>
      </w:r>
    </w:p>
    <w:p w14:paraId="7EEC8DF3" w14:textId="77777777" w:rsidR="00855DB6" w:rsidRPr="00A8022F" w:rsidRDefault="00855DB6" w:rsidP="00855DB6">
      <w:pPr>
        <w:ind w:firstLine="567"/>
        <w:jc w:val="both"/>
        <w:rPr>
          <w:rFonts w:ascii="Arial" w:hAnsi="Arial" w:cs="Arial"/>
          <w:lang w:val="en-ID"/>
        </w:rPr>
      </w:pPr>
    </w:p>
    <w:p w14:paraId="540E94B8" w14:textId="77777777" w:rsidR="00855DB6" w:rsidRPr="00855DB6" w:rsidRDefault="00855DB6" w:rsidP="00855DB6">
      <w:pPr>
        <w:jc w:val="both"/>
        <w:rPr>
          <w:rFonts w:ascii="Arial" w:hAnsi="Arial" w:cs="Arial"/>
          <w:lang w:val="sv-SE"/>
        </w:rPr>
      </w:pPr>
      <w:r w:rsidRPr="00855DB6">
        <w:rPr>
          <w:rFonts w:ascii="Arial" w:hAnsi="Arial" w:cs="Arial"/>
          <w:noProof/>
          <w:lang w:val="sv-SE"/>
          <w14:ligatures w14:val="standardContextual"/>
        </w:rPr>
        <w:drawing>
          <wp:inline distT="0" distB="0" distL="0" distR="0" wp14:anchorId="51A3FDED" wp14:editId="3CFA1CA0">
            <wp:extent cx="5203679" cy="3459126"/>
            <wp:effectExtent l="0" t="0" r="0" b="8255"/>
            <wp:docPr id="548263456" name="Picture 1" descr="A collage of pla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263456" name="Picture 1" descr="A collage of plan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203679" cy="3459126"/>
                    </a:xfrm>
                    <a:prstGeom prst="rect">
                      <a:avLst/>
                    </a:prstGeom>
                  </pic:spPr>
                </pic:pic>
              </a:graphicData>
            </a:graphic>
          </wp:inline>
        </w:drawing>
      </w:r>
    </w:p>
    <w:p w14:paraId="4E6C30FB" w14:textId="2C6032E6" w:rsidR="00855DB6" w:rsidRPr="00C86C41" w:rsidRDefault="00CA33BE" w:rsidP="00CA33BE">
      <w:pPr>
        <w:spacing w:before="240"/>
        <w:jc w:val="both"/>
        <w:rPr>
          <w:rFonts w:ascii="Arial" w:hAnsi="Arial" w:cs="Arial"/>
          <w:lang w:val="en-ID"/>
        </w:rPr>
      </w:pPr>
      <w:r w:rsidRPr="007C36D2">
        <w:rPr>
          <w:rFonts w:ascii="Arial" w:hAnsi="Arial" w:cs="Arial"/>
          <w:b/>
          <w:bCs/>
          <w:lang w:val="en-ID"/>
        </w:rPr>
        <w:t>Fig.</w:t>
      </w:r>
      <w:r w:rsidR="00855DB6" w:rsidRPr="007C36D2">
        <w:rPr>
          <w:rFonts w:ascii="Arial" w:hAnsi="Arial" w:cs="Arial"/>
          <w:b/>
          <w:bCs/>
          <w:lang w:val="en-ID"/>
        </w:rPr>
        <w:t xml:space="preserve"> 1. </w:t>
      </w:r>
      <w:r w:rsidR="00C86C41" w:rsidRPr="00C86C41">
        <w:rPr>
          <w:rFonts w:ascii="Arial" w:hAnsi="Arial" w:cs="Arial"/>
          <w:b/>
          <w:bCs/>
          <w:lang w:val="en-ID"/>
        </w:rPr>
        <w:t>Plant r</w:t>
      </w:r>
      <w:r w:rsidR="00855DB6" w:rsidRPr="00C86C41">
        <w:rPr>
          <w:rFonts w:ascii="Arial" w:hAnsi="Arial" w:cs="Arial"/>
          <w:b/>
          <w:bCs/>
          <w:lang w:val="en-ID"/>
        </w:rPr>
        <w:t>egenera</w:t>
      </w:r>
      <w:r w:rsidR="00C86C41" w:rsidRPr="00C86C41">
        <w:rPr>
          <w:rFonts w:ascii="Arial" w:hAnsi="Arial" w:cs="Arial"/>
          <w:b/>
          <w:bCs/>
          <w:lang w:val="en-ID"/>
        </w:rPr>
        <w:t>tion of</w:t>
      </w:r>
      <w:r w:rsidR="00855DB6" w:rsidRPr="00C86C41">
        <w:rPr>
          <w:rFonts w:ascii="Arial" w:hAnsi="Arial" w:cs="Arial"/>
          <w:b/>
          <w:bCs/>
          <w:lang w:val="en-ID"/>
        </w:rPr>
        <w:t xml:space="preserve"> </w:t>
      </w:r>
      <w:r w:rsidR="00855DB6" w:rsidRPr="00C86C41">
        <w:rPr>
          <w:rFonts w:ascii="Arial" w:hAnsi="Arial" w:cs="Arial"/>
          <w:b/>
          <w:bCs/>
          <w:i/>
          <w:iCs/>
          <w:lang w:val="en-ID"/>
        </w:rPr>
        <w:t>F. racemosa</w:t>
      </w:r>
      <w:r w:rsidR="00855DB6" w:rsidRPr="00C86C41">
        <w:rPr>
          <w:rFonts w:ascii="Arial" w:hAnsi="Arial" w:cs="Arial"/>
          <w:b/>
          <w:bCs/>
          <w:lang w:val="en-ID"/>
        </w:rPr>
        <w:t xml:space="preserve"> </w:t>
      </w:r>
      <w:r w:rsidR="00C86C41" w:rsidRPr="00C86C41">
        <w:rPr>
          <w:rFonts w:ascii="Arial" w:hAnsi="Arial" w:cs="Arial"/>
          <w:b/>
          <w:bCs/>
          <w:lang w:val="en-ID"/>
        </w:rPr>
        <w:t xml:space="preserve">from cotyledon node explants of in vitro </w:t>
      </w:r>
      <w:r w:rsidR="00E513F5">
        <w:rPr>
          <w:rFonts w:ascii="Arial" w:hAnsi="Arial" w:cs="Arial"/>
          <w:b/>
          <w:bCs/>
          <w:lang w:val="en-ID"/>
        </w:rPr>
        <w:t>seedling</w:t>
      </w:r>
      <w:r w:rsidR="00C86C41" w:rsidRPr="00C86C41">
        <w:rPr>
          <w:rFonts w:ascii="Arial" w:hAnsi="Arial" w:cs="Arial"/>
          <w:b/>
          <w:bCs/>
          <w:lang w:val="en-ID"/>
        </w:rPr>
        <w:t>s</w:t>
      </w:r>
      <w:r w:rsidR="00855DB6" w:rsidRPr="00C86C41">
        <w:rPr>
          <w:rFonts w:ascii="Arial" w:hAnsi="Arial" w:cs="Arial"/>
          <w:lang w:val="en-ID"/>
        </w:rPr>
        <w:t xml:space="preserve">. </w:t>
      </w:r>
      <w:r w:rsidR="00855DB6" w:rsidRPr="00C86C41">
        <w:rPr>
          <w:rFonts w:ascii="Arial" w:hAnsi="Arial" w:cs="Arial"/>
          <w:b/>
          <w:bCs/>
          <w:lang w:val="en-ID"/>
        </w:rPr>
        <w:t>A</w:t>
      </w:r>
      <w:r w:rsidR="00855DB6" w:rsidRPr="00C86C41">
        <w:rPr>
          <w:rFonts w:ascii="Arial" w:hAnsi="Arial" w:cs="Arial"/>
          <w:lang w:val="en-ID"/>
        </w:rPr>
        <w:t xml:space="preserve">. </w:t>
      </w:r>
      <w:r w:rsidR="00C86C41" w:rsidRPr="00C86C41">
        <w:rPr>
          <w:rFonts w:ascii="Arial" w:hAnsi="Arial" w:cs="Arial"/>
          <w:lang w:val="en-ID"/>
        </w:rPr>
        <w:t>Results of 2-week-old seed germination</w:t>
      </w:r>
      <w:r w:rsidR="00855DB6" w:rsidRPr="00C86C41">
        <w:rPr>
          <w:rFonts w:ascii="Arial" w:hAnsi="Arial" w:cs="Arial"/>
          <w:lang w:val="en-ID"/>
        </w:rPr>
        <w:t xml:space="preserve">, </w:t>
      </w:r>
      <w:r w:rsidR="00855DB6" w:rsidRPr="00C86C41">
        <w:rPr>
          <w:rFonts w:ascii="Arial" w:hAnsi="Arial" w:cs="Arial"/>
          <w:b/>
          <w:bCs/>
          <w:lang w:val="en-ID"/>
        </w:rPr>
        <w:t>B</w:t>
      </w:r>
      <w:r w:rsidR="00855DB6" w:rsidRPr="00C86C41">
        <w:rPr>
          <w:rFonts w:ascii="Arial" w:hAnsi="Arial" w:cs="Arial"/>
          <w:lang w:val="en-ID"/>
        </w:rPr>
        <w:t xml:space="preserve">. </w:t>
      </w:r>
      <w:r w:rsidR="00C86C41" w:rsidRPr="00C86C41">
        <w:rPr>
          <w:rFonts w:ascii="Arial" w:hAnsi="Arial" w:cs="Arial"/>
          <w:lang w:val="en-ID"/>
        </w:rPr>
        <w:t>Results of 6-week-old shoot regeneration</w:t>
      </w:r>
      <w:r w:rsidR="00855DB6" w:rsidRPr="00C86C41">
        <w:rPr>
          <w:rFonts w:ascii="Arial" w:hAnsi="Arial" w:cs="Arial"/>
          <w:lang w:val="en-ID"/>
        </w:rPr>
        <w:t xml:space="preserve">, </w:t>
      </w:r>
      <w:r w:rsidR="00855DB6" w:rsidRPr="00C86C41">
        <w:rPr>
          <w:rFonts w:ascii="Arial" w:hAnsi="Arial" w:cs="Arial"/>
          <w:b/>
          <w:bCs/>
          <w:lang w:val="en-ID"/>
        </w:rPr>
        <w:t>C</w:t>
      </w:r>
      <w:r w:rsidR="00855DB6" w:rsidRPr="00C86C41">
        <w:rPr>
          <w:rFonts w:ascii="Arial" w:hAnsi="Arial" w:cs="Arial"/>
          <w:lang w:val="en-ID"/>
        </w:rPr>
        <w:t xml:space="preserve">. </w:t>
      </w:r>
      <w:r w:rsidR="00C86C41" w:rsidRPr="00C86C41">
        <w:rPr>
          <w:rFonts w:ascii="Arial" w:hAnsi="Arial" w:cs="Arial"/>
          <w:lang w:val="en-ID"/>
        </w:rPr>
        <w:t>Rooting in in vitro culture</w:t>
      </w:r>
      <w:r w:rsidR="00855DB6" w:rsidRPr="00C86C41">
        <w:rPr>
          <w:rFonts w:ascii="Arial" w:hAnsi="Arial" w:cs="Arial"/>
          <w:lang w:val="en-ID"/>
        </w:rPr>
        <w:t xml:space="preserve">, </w:t>
      </w:r>
      <w:r w:rsidR="00855DB6" w:rsidRPr="00C86C41">
        <w:rPr>
          <w:rFonts w:ascii="Arial" w:hAnsi="Arial" w:cs="Arial"/>
          <w:b/>
          <w:bCs/>
          <w:lang w:val="en-ID"/>
        </w:rPr>
        <w:t>D-E</w:t>
      </w:r>
      <w:r w:rsidR="00855DB6" w:rsidRPr="00C86C41">
        <w:rPr>
          <w:rFonts w:ascii="Arial" w:hAnsi="Arial" w:cs="Arial"/>
          <w:lang w:val="en-ID"/>
        </w:rPr>
        <w:t xml:space="preserve">. </w:t>
      </w:r>
      <w:r w:rsidR="00C86C41" w:rsidRPr="00C86C41">
        <w:rPr>
          <w:rFonts w:ascii="Arial" w:hAnsi="Arial" w:cs="Arial"/>
          <w:lang w:val="en-ID"/>
        </w:rPr>
        <w:t>Plantlets at the acclimatization stage</w:t>
      </w:r>
      <w:r w:rsidR="00855DB6" w:rsidRPr="00C86C41">
        <w:rPr>
          <w:rFonts w:ascii="Arial" w:hAnsi="Arial" w:cs="Arial"/>
          <w:lang w:val="en-ID"/>
        </w:rPr>
        <w:t xml:space="preserve">, </w:t>
      </w:r>
      <w:r w:rsidR="00855DB6" w:rsidRPr="00C86C41">
        <w:rPr>
          <w:rFonts w:ascii="Arial" w:hAnsi="Arial" w:cs="Arial"/>
          <w:b/>
          <w:bCs/>
          <w:lang w:val="en-ID"/>
        </w:rPr>
        <w:t>F</w:t>
      </w:r>
      <w:r w:rsidR="00855DB6" w:rsidRPr="00C86C41">
        <w:rPr>
          <w:rFonts w:ascii="Arial" w:hAnsi="Arial" w:cs="Arial"/>
          <w:lang w:val="en-ID"/>
        </w:rPr>
        <w:t xml:space="preserve">. </w:t>
      </w:r>
      <w:r w:rsidR="00C86C41" w:rsidRPr="00C86C41">
        <w:rPr>
          <w:rFonts w:ascii="Arial" w:hAnsi="Arial" w:cs="Arial"/>
          <w:lang w:val="en-ID"/>
        </w:rPr>
        <w:t>Plant survival at the 7-month acclimatization stage of in vitro seed germination</w:t>
      </w:r>
      <w:r w:rsidR="00855DB6" w:rsidRPr="00C86C41">
        <w:rPr>
          <w:rFonts w:ascii="Arial" w:hAnsi="Arial" w:cs="Arial"/>
          <w:lang w:val="en-ID"/>
        </w:rPr>
        <w:t>.</w:t>
      </w:r>
    </w:p>
    <w:p w14:paraId="279FFABB" w14:textId="77777777" w:rsidR="00855DB6" w:rsidRPr="00C86C41" w:rsidRDefault="00855DB6" w:rsidP="00855DB6">
      <w:pPr>
        <w:jc w:val="both"/>
        <w:rPr>
          <w:rFonts w:ascii="Arial" w:hAnsi="Arial" w:cs="Arial"/>
          <w:lang w:val="en-ID"/>
        </w:rPr>
      </w:pPr>
    </w:p>
    <w:p w14:paraId="38CEB7A2" w14:textId="22DED3D4" w:rsidR="0075373B" w:rsidRDefault="009D1F9F" w:rsidP="00D00071">
      <w:pPr>
        <w:jc w:val="both"/>
        <w:rPr>
          <w:rFonts w:ascii="Arial" w:hAnsi="Arial" w:cs="Arial"/>
          <w:lang w:val="en-ID"/>
        </w:rPr>
      </w:pPr>
      <w:bookmarkStart w:id="5" w:name="_Hlk198563022"/>
      <w:r w:rsidRPr="009D1F9F">
        <w:rPr>
          <w:rFonts w:ascii="Arial" w:hAnsi="Arial" w:cs="Arial"/>
          <w:lang w:val="en-ID"/>
        </w:rPr>
        <w:t>In this study, MS bas</w:t>
      </w:r>
      <w:r w:rsidR="00565212">
        <w:rPr>
          <w:rFonts w:ascii="Arial" w:hAnsi="Arial" w:cs="Arial"/>
          <w:lang w:val="en-ID"/>
        </w:rPr>
        <w:t>al</w:t>
      </w:r>
      <w:r w:rsidRPr="009D1F9F">
        <w:rPr>
          <w:rFonts w:ascii="Arial" w:hAnsi="Arial" w:cs="Arial"/>
          <w:lang w:val="en-ID"/>
        </w:rPr>
        <w:t xml:space="preserve"> media was able to </w:t>
      </w:r>
      <w:r w:rsidR="0075373B">
        <w:rPr>
          <w:rFonts w:ascii="Arial" w:hAnsi="Arial" w:cs="Arial"/>
          <w:lang w:val="en-ID"/>
        </w:rPr>
        <w:t>induce</w:t>
      </w:r>
      <w:r w:rsidRPr="009D1F9F">
        <w:rPr>
          <w:rFonts w:ascii="Arial" w:hAnsi="Arial" w:cs="Arial"/>
          <w:lang w:val="en-ID"/>
        </w:rPr>
        <w:t xml:space="preserve"> shoot as well as WPM media which is widely used for woody plant species. </w:t>
      </w:r>
      <w:r w:rsidR="0075373B" w:rsidRPr="0075373B">
        <w:rPr>
          <w:rFonts w:ascii="Arial" w:hAnsi="Arial" w:cs="Arial"/>
          <w:lang w:val="en-ID"/>
        </w:rPr>
        <w:t>In both basal media, the higher the concentration of BAP added, the greater the number of shoots produced</w:t>
      </w:r>
      <w:r w:rsidR="0075373B">
        <w:rPr>
          <w:rFonts w:ascii="Arial" w:hAnsi="Arial" w:cs="Arial"/>
          <w:lang w:val="en-ID"/>
        </w:rPr>
        <w:t xml:space="preserve"> </w:t>
      </w:r>
      <w:r w:rsidRPr="009D1F9F">
        <w:rPr>
          <w:rFonts w:ascii="Arial" w:hAnsi="Arial" w:cs="Arial"/>
          <w:lang w:val="en-ID"/>
        </w:rPr>
        <w:t>(</w:t>
      </w:r>
      <w:r w:rsidRPr="007A5F8C">
        <w:rPr>
          <w:rFonts w:ascii="Arial" w:hAnsi="Arial" w:cs="Arial"/>
          <w:lang w:val="en-ID"/>
        </w:rPr>
        <w:t>Table 2</w:t>
      </w:r>
      <w:r w:rsidRPr="009D1F9F">
        <w:rPr>
          <w:rFonts w:ascii="Arial" w:hAnsi="Arial" w:cs="Arial"/>
          <w:lang w:val="en-ID"/>
        </w:rPr>
        <w:t xml:space="preserve">). </w:t>
      </w:r>
      <w:r w:rsidR="00E2291B" w:rsidRPr="00E2291B">
        <w:rPr>
          <w:rFonts w:ascii="Arial" w:hAnsi="Arial" w:cs="Arial"/>
          <w:lang w:val="en-ID"/>
        </w:rPr>
        <w:t xml:space="preserve">The use of BAP 1 and 2 mg/L produced a significantly higher number of shoots compared to the control (without the addition of BAP). However, both concentrations did not produce significantly different number </w:t>
      </w:r>
      <w:r w:rsidR="00E2291B">
        <w:rPr>
          <w:rFonts w:ascii="Arial" w:hAnsi="Arial" w:cs="Arial"/>
          <w:lang w:val="en-ID"/>
        </w:rPr>
        <w:t xml:space="preserve">of </w:t>
      </w:r>
      <w:r w:rsidR="00E2291B" w:rsidRPr="00E2291B">
        <w:rPr>
          <w:rFonts w:ascii="Arial" w:hAnsi="Arial" w:cs="Arial"/>
          <w:lang w:val="en-ID"/>
        </w:rPr>
        <w:t>shoots.</w:t>
      </w:r>
      <w:r w:rsidR="00435965">
        <w:rPr>
          <w:rFonts w:ascii="Arial" w:hAnsi="Arial" w:cs="Arial"/>
          <w:lang w:val="en-ID"/>
        </w:rPr>
        <w:t xml:space="preserve"> </w:t>
      </w:r>
      <w:r w:rsidR="00435965" w:rsidRPr="00435965">
        <w:rPr>
          <w:rFonts w:ascii="Arial" w:hAnsi="Arial" w:cs="Arial"/>
          <w:lang w:val="en-ID"/>
        </w:rPr>
        <w:t xml:space="preserve">Therefore, </w:t>
      </w:r>
      <w:r w:rsidR="009F439A">
        <w:rPr>
          <w:rFonts w:ascii="Arial" w:hAnsi="Arial" w:cs="Arial"/>
          <w:lang w:val="en-ID"/>
        </w:rPr>
        <w:t xml:space="preserve">in this study </w:t>
      </w:r>
      <w:r w:rsidR="00435965" w:rsidRPr="00435965">
        <w:rPr>
          <w:rFonts w:ascii="Arial" w:hAnsi="Arial" w:cs="Arial"/>
          <w:lang w:val="en-ID"/>
        </w:rPr>
        <w:t xml:space="preserve">the addition of 1 mg/l BAP is the maximum concentration and is considered more efficient for </w:t>
      </w:r>
      <w:r w:rsidR="00D17288">
        <w:rPr>
          <w:rFonts w:ascii="Arial" w:hAnsi="Arial" w:cs="Arial"/>
          <w:lang w:val="en-ID"/>
        </w:rPr>
        <w:t xml:space="preserve">promoting </w:t>
      </w:r>
      <w:r w:rsidR="00435965" w:rsidRPr="00435965">
        <w:rPr>
          <w:rFonts w:ascii="Arial" w:hAnsi="Arial" w:cs="Arial"/>
          <w:lang w:val="en-ID"/>
        </w:rPr>
        <w:t xml:space="preserve">shoot </w:t>
      </w:r>
      <w:r w:rsidR="00D17288">
        <w:rPr>
          <w:rFonts w:ascii="Arial" w:hAnsi="Arial" w:cs="Arial"/>
          <w:lang w:val="en-ID"/>
        </w:rPr>
        <w:t>growth</w:t>
      </w:r>
      <w:r w:rsidR="00435965" w:rsidRPr="00435965">
        <w:rPr>
          <w:rFonts w:ascii="Arial" w:hAnsi="Arial" w:cs="Arial"/>
          <w:lang w:val="en-ID"/>
        </w:rPr>
        <w:t>.</w:t>
      </w:r>
      <w:r w:rsidR="009F439A">
        <w:rPr>
          <w:rFonts w:ascii="Arial" w:hAnsi="Arial" w:cs="Arial"/>
          <w:lang w:val="en-ID"/>
        </w:rPr>
        <w:t xml:space="preserve"> </w:t>
      </w:r>
      <w:r w:rsidR="009F439A" w:rsidRPr="009F439A">
        <w:rPr>
          <w:rFonts w:ascii="Arial" w:hAnsi="Arial" w:cs="Arial"/>
          <w:lang w:val="en-ID"/>
        </w:rPr>
        <w:t xml:space="preserve">The addition of BAP in the in vitro shoot induction media of several Ficus species </w:t>
      </w:r>
      <w:r w:rsidR="00E47705" w:rsidRPr="00E47705">
        <w:rPr>
          <w:rFonts w:ascii="Arial" w:hAnsi="Arial" w:cs="Arial"/>
          <w:lang w:val="en-ID"/>
        </w:rPr>
        <w:t>is not more than 2 mg/l,</w:t>
      </w:r>
      <w:r w:rsidR="009F439A" w:rsidRPr="009F439A">
        <w:rPr>
          <w:rFonts w:ascii="Arial" w:hAnsi="Arial" w:cs="Arial"/>
          <w:lang w:val="en-ID"/>
        </w:rPr>
        <w:t xml:space="preserve"> namely 0.5 mg/ and 1 mg/l in </w:t>
      </w:r>
      <w:r w:rsidR="009F439A" w:rsidRPr="00E47705">
        <w:rPr>
          <w:rFonts w:ascii="Arial" w:hAnsi="Arial" w:cs="Arial"/>
          <w:i/>
          <w:iCs/>
          <w:lang w:val="en-ID"/>
        </w:rPr>
        <w:t xml:space="preserve">F. </w:t>
      </w:r>
      <w:proofErr w:type="spellStart"/>
      <w:r w:rsidR="009F439A" w:rsidRPr="00E47705">
        <w:rPr>
          <w:rFonts w:ascii="Arial" w:hAnsi="Arial" w:cs="Arial"/>
          <w:i/>
          <w:iCs/>
          <w:lang w:val="en-ID"/>
        </w:rPr>
        <w:t>tikoua</w:t>
      </w:r>
      <w:proofErr w:type="spellEnd"/>
      <w:r w:rsidR="009F439A">
        <w:rPr>
          <w:rFonts w:ascii="Arial" w:hAnsi="Arial" w:cs="Arial"/>
          <w:lang w:val="en-ID"/>
        </w:rPr>
        <w:t xml:space="preserve"> </w:t>
      </w:r>
      <w:r w:rsidR="009F439A">
        <w:rPr>
          <w:rFonts w:ascii="Arial" w:hAnsi="Arial" w:cs="Arial"/>
          <w:lang w:val="en-ID"/>
        </w:rPr>
        <w:fldChar w:fldCharType="begin" w:fldLock="1"/>
      </w:r>
      <w:r w:rsidR="001E61FF">
        <w:rPr>
          <w:rFonts w:ascii="Arial" w:hAnsi="Arial" w:cs="Arial"/>
          <w:lang w:val="en-ID"/>
        </w:rPr>
        <w:instrText>ADDIN CSL_CITATION {"citationItems":[{"id":"ITEM-1","itemData":{"DOI":"10.1007/s11627-024-10414-3","ISSN":"14752689","abstract":"Ficus tikoua Bureau is an ecologically functional perennial vine that belongs to the Moraceae family. Tissue culture is a common method for the rapid propagation of plants and is suitable for the rapid propagation of F. tikoua. The objective of the current study was to evaluate the process of F. tikoua organogenesis in vitro utilizing stem explants. An efficient tissue culture propagation method was developed by manipulating several plant growth regulators (PGRs) and their proportions, as well as evaluating alternative medium options for specific phases of differentiation. Explants were cultured on MS medium, supplemented with various thidiazuron (TDZ) concentrations with 6-benzylaminopurine (BA) and naphthaleneacetic acid (NAA), to investigate their efficacy during in vitro shoot organogenesis. The results demonstrated that the combination of 0.5 mg L−1 BA, 1.0 mg L−1 NAA, and 1.0 mg L−1 TDZ was the most effective for callus formation (91.1%) and that the combination of 2.0 mg L−1 BA and 0.5 mg L−1 TDZ was the most suited for adventitious shoot induction (61.11%). The medium supplemented with 1.0 mg L−1 BA, 1.0 mg L−1 NAA, and 0.5 mg L−1 TDZ yielded the highest bud multiplication number with a 6.05 proliferation factor. The cultured shoots rooted easily on half-strength MS medium containing 1.0 mg L−1 IBA and 0.1 mg L−1 NAA (68.52%). The subsequent regenerated plants were grown in a mixture of garden soil, perlite, and vermiculite in a ratio of 2:1:1, resulting in a survival rate of 86.17%.","author":[{"dropping-particle":"","family":"Li","given":"Xufei","non-dropping-particle":"","parse-names":false,"suffix":""},{"dropping-particle":"","family":"Li","given":"Qianxia","non-dropping-particle":"","parse-names":false,"suffix":""},{"dropping-particle":"","family":"Cui","given":"Ying","non-dropping-particle":"","parse-names":false,"suffix":""},{"dropping-particle":"","family":"Liu","given":"Tongfei","non-dropping-particle":"","parse-names":false,"suffix":""},{"dropping-particle":"","family":"Zhang","given":"Yanni","non-dropping-particle":"","parse-names":false,"suffix":""}],"container-title":"In Vitro Cellular and Developmental Biology - Plant","id":"ITEM-1","issue":"2","issued":{"date-parts":[["2024"]]},"page":"194-201","publisher":"Springer US","title":"Establishment of tissue culture regeneration system of Ficus tikoua","type":"article-journal","volume":"60"},"uris":["http://www.mendeley.com/documents/?uuid=cf4b1940-edf4-49b9-8a06-f67d92045c40"]}],"mendeley":{"formattedCitation":"(21)","plainTextFormattedCitation":"(21)","previouslyFormattedCitation":"(21)"},"properties":{"noteIndex":0},"schema":"https://github.com/citation-style-language/schema/raw/master/csl-citation.json"}</w:instrText>
      </w:r>
      <w:r w:rsidR="009F439A">
        <w:rPr>
          <w:rFonts w:ascii="Arial" w:hAnsi="Arial" w:cs="Arial"/>
          <w:lang w:val="en-ID"/>
        </w:rPr>
        <w:fldChar w:fldCharType="separate"/>
      </w:r>
      <w:r w:rsidR="001039A5" w:rsidRPr="001039A5">
        <w:rPr>
          <w:rFonts w:ascii="Arial" w:hAnsi="Arial" w:cs="Arial"/>
          <w:noProof/>
          <w:lang w:val="sv-SE"/>
        </w:rPr>
        <w:t>(21)</w:t>
      </w:r>
      <w:r w:rsidR="009F439A">
        <w:rPr>
          <w:rFonts w:ascii="Arial" w:hAnsi="Arial" w:cs="Arial"/>
          <w:lang w:val="en-ID"/>
        </w:rPr>
        <w:fldChar w:fldCharType="end"/>
      </w:r>
      <w:r w:rsidR="009F439A" w:rsidRPr="000C68B6">
        <w:rPr>
          <w:rFonts w:ascii="Arial" w:hAnsi="Arial" w:cs="Arial"/>
          <w:lang w:val="sv-SE"/>
        </w:rPr>
        <w:t xml:space="preserve">, 1.5 mg/l in </w:t>
      </w:r>
      <w:r w:rsidR="009F439A" w:rsidRPr="000C68B6">
        <w:rPr>
          <w:rFonts w:ascii="Arial" w:hAnsi="Arial" w:cs="Arial"/>
          <w:i/>
          <w:iCs/>
          <w:lang w:val="sv-SE"/>
        </w:rPr>
        <w:t>F. religiosa</w:t>
      </w:r>
      <w:r w:rsidR="009F439A" w:rsidRPr="000C68B6">
        <w:rPr>
          <w:rFonts w:ascii="Arial" w:hAnsi="Arial" w:cs="Arial"/>
          <w:lang w:val="sv-SE"/>
        </w:rPr>
        <w:t xml:space="preserve"> </w:t>
      </w:r>
      <w:r w:rsidR="009F439A">
        <w:rPr>
          <w:rFonts w:ascii="Arial" w:hAnsi="Arial" w:cs="Arial"/>
          <w:lang w:val="en-ID"/>
        </w:rPr>
        <w:fldChar w:fldCharType="begin" w:fldLock="1"/>
      </w:r>
      <w:r w:rsidR="001E61FF">
        <w:rPr>
          <w:rFonts w:ascii="Arial" w:hAnsi="Arial" w:cs="Arial"/>
          <w:lang w:val="sv-SE"/>
        </w:rPr>
        <w:instrText>ADDIN CSL_CITATION {"citationItems":[{"id":"ITEM-1","itemData":{"DOI":"10.1007/s12892-018-0024-0","ISSN":"20058276","abstract":"The aim of this study is to introduce the suitable protocol for indirect regeneration from seedling-derived leaf segment of Ficus religiosa. The leaf explant successfully produced callus on MS medium containing various concentrations of auxin in combination with BAP. The maximum callus induction (100%) was achieved in MS medium containing 0.5 mg/l 2,4-D plus 0.05 mg/l BAP and MS medium containing 1.5 mg/l NAA plus 0.15 mg/l BAP as well. MS medium consisting of 2,4-D produced yellow-brownish and friable callus (type I) while the yellowish and compact calli (type II) were obtained in MS medium consisting of NAA. On the other hand, MS medium supplemented with IBA formed greenish and compact calli (type Ш). The regeneration rate in type II callus was less than the type I, and there was no shoot induction observed on type Ш calli. MS medium supplemented with 1.5 mg/l BAP in combination with 0.15 mg/l IBA had the highest regeneration frequency (100%) and maximum shoot numbers (5.16) as well as shoot length (2.56 cm) in type I callus. A maximum of 93.33% root induction was observed in MS medium supplemented with 2.0 mg/l IBA plus 0.1mg/l NAA. The plantlets were successfully transferred to the greenhouse. This system could be utilized for large-scale multiplication of Ficus religiosa.","author":[{"dropping-particle":"","family":"Hesami","given":"Mohsen","non-dropping-particle":"","parse-names":false,"suffix":""},{"dropping-particle":"","family":"Daneshvar","given":"Mohammad Hosein","non-dropping-particle":"","parse-names":false,"suffix":""}],"container-title":"Journal of Crop Science and Biotechnology","id":"ITEM-1","issue":"2","issued":{"date-parts":[["2018"]]},"page":"129-136","title":"Indirect Organogenesis through Seedling-Derived Leaf Segments of Ficus Religiosa - a Multipurpose Woody Medicinal Plant","type":"article-journal","volume":"21"},"uris":["http://www.mendeley.com/documents/?uuid=333fef51-a96a-4eca-a37b-4ecb0d619dfa"]}],"mendeley":{"formattedCitation":"(10)","plainTextFormattedCitation":"(10)","previouslyFormattedCitation":"(10)"},"properties":{"noteIndex":0},"schema":"https://github.com/citation-style-language/schema/raw/master/csl-citation.json"}</w:instrText>
      </w:r>
      <w:r w:rsidR="009F439A">
        <w:rPr>
          <w:rFonts w:ascii="Arial" w:hAnsi="Arial" w:cs="Arial"/>
          <w:lang w:val="en-ID"/>
        </w:rPr>
        <w:fldChar w:fldCharType="separate"/>
      </w:r>
      <w:r w:rsidR="001039A5" w:rsidRPr="001039A5">
        <w:rPr>
          <w:rFonts w:ascii="Arial" w:hAnsi="Arial" w:cs="Arial"/>
          <w:noProof/>
          <w:lang w:val="sv-SE"/>
        </w:rPr>
        <w:t>(10)</w:t>
      </w:r>
      <w:r w:rsidR="009F439A">
        <w:rPr>
          <w:rFonts w:ascii="Arial" w:hAnsi="Arial" w:cs="Arial"/>
          <w:lang w:val="en-ID"/>
        </w:rPr>
        <w:fldChar w:fldCharType="end"/>
      </w:r>
      <w:r w:rsidR="009F439A" w:rsidRPr="000C68B6">
        <w:rPr>
          <w:rFonts w:ascii="Arial" w:hAnsi="Arial" w:cs="Arial"/>
          <w:lang w:val="sv-SE"/>
        </w:rPr>
        <w:t>, 0.5 - 2 mg/l in</w:t>
      </w:r>
      <w:r w:rsidR="009F439A" w:rsidRPr="000C68B6">
        <w:rPr>
          <w:rFonts w:ascii="Arial" w:hAnsi="Arial" w:cs="Arial"/>
          <w:i/>
          <w:iCs/>
          <w:lang w:val="sv-SE"/>
        </w:rPr>
        <w:t xml:space="preserve"> F.</w:t>
      </w:r>
      <w:r w:rsidR="00682772" w:rsidRPr="000C68B6">
        <w:rPr>
          <w:rFonts w:ascii="Arial" w:hAnsi="Arial" w:cs="Arial"/>
          <w:i/>
          <w:iCs/>
          <w:lang w:val="sv-SE"/>
        </w:rPr>
        <w:t xml:space="preserve"> </w:t>
      </w:r>
      <w:r w:rsidR="009F439A" w:rsidRPr="000C68B6">
        <w:rPr>
          <w:rFonts w:ascii="Arial" w:hAnsi="Arial" w:cs="Arial"/>
          <w:i/>
          <w:iCs/>
          <w:lang w:val="sv-SE"/>
        </w:rPr>
        <w:t>carica</w:t>
      </w:r>
      <w:r w:rsidR="009F439A" w:rsidRPr="000C68B6">
        <w:rPr>
          <w:rFonts w:ascii="Arial" w:hAnsi="Arial" w:cs="Arial"/>
          <w:lang w:val="sv-SE"/>
        </w:rPr>
        <w:t xml:space="preserve"> </w:t>
      </w:r>
      <w:r w:rsidR="009F439A">
        <w:rPr>
          <w:rFonts w:ascii="Arial" w:hAnsi="Arial" w:cs="Arial"/>
          <w:lang w:val="en-ID"/>
        </w:rPr>
        <w:fldChar w:fldCharType="begin" w:fldLock="1"/>
      </w:r>
      <w:r w:rsidR="001E61FF">
        <w:rPr>
          <w:rFonts w:ascii="Arial" w:hAnsi="Arial" w:cs="Arial"/>
          <w:lang w:val="sv-SE"/>
        </w:rPr>
        <w:instrText>ADDIN CSL_CITATION {"citationItems":[{"id":"ITEM-1","itemData":{"DOI":"10.26480/mjsa.01.2020.26.28","ISSN":"25212931","author":[{"dropping-particle":"","family":"Azhar","given":"Nur Atikah","non-dropping-particle":"","parse-names":false,"suffix":""},{"dropping-particle":"","family":"Zainuddin","given":"Zarina","non-dropping-particle":"","parse-names":false,"suffix":""}],"container-title":"Malaysian Journal of Sustainable Agriculture","id":"ITEM-1","issue":"1","issued":{"date-parts":[["2020"]]},"page":"26-28","title":"Tissue culture of Ficus carica Variety BTM-6","type":"article-journal","volume":"4"},"uris":["http://www.mendeley.com/documents/?uuid=64ef7edc-ce62-486f-8ac5-bf7005839323"]}],"mendeley":{"formattedCitation":"(4)","plainTextFormattedCitation":"(4)","previouslyFormattedCitation":"(4)"},"properties":{"noteIndex":0},"schema":"https://github.com/citation-style-language/schema/raw/master/csl-citation.json"}</w:instrText>
      </w:r>
      <w:r w:rsidR="009F439A">
        <w:rPr>
          <w:rFonts w:ascii="Arial" w:hAnsi="Arial" w:cs="Arial"/>
          <w:lang w:val="en-ID"/>
        </w:rPr>
        <w:fldChar w:fldCharType="separate"/>
      </w:r>
      <w:r w:rsidR="001039A5" w:rsidRPr="001039A5">
        <w:rPr>
          <w:rFonts w:ascii="Arial" w:hAnsi="Arial" w:cs="Arial"/>
          <w:noProof/>
          <w:lang w:val="sv-SE"/>
        </w:rPr>
        <w:t>(4)</w:t>
      </w:r>
      <w:r w:rsidR="009F439A">
        <w:rPr>
          <w:rFonts w:ascii="Arial" w:hAnsi="Arial" w:cs="Arial"/>
          <w:lang w:val="en-ID"/>
        </w:rPr>
        <w:fldChar w:fldCharType="end"/>
      </w:r>
      <w:r w:rsidR="00590BEA" w:rsidRPr="000C68B6">
        <w:rPr>
          <w:rFonts w:ascii="Arial" w:hAnsi="Arial" w:cs="Arial"/>
          <w:lang w:val="sv-SE"/>
        </w:rPr>
        <w:t xml:space="preserve"> and </w:t>
      </w:r>
      <w:r w:rsidR="00590BEA" w:rsidRPr="000C68B6">
        <w:rPr>
          <w:rFonts w:ascii="Arial" w:hAnsi="Arial" w:cs="Arial"/>
          <w:i/>
          <w:iCs/>
          <w:lang w:val="sv-SE"/>
        </w:rPr>
        <w:t>F. americana</w:t>
      </w:r>
      <w:r w:rsidR="00590BEA" w:rsidRPr="000C68B6">
        <w:rPr>
          <w:rFonts w:ascii="Arial" w:hAnsi="Arial" w:cs="Arial"/>
          <w:lang w:val="sv-SE"/>
        </w:rPr>
        <w:t xml:space="preserve"> </w:t>
      </w:r>
      <w:r w:rsidR="00590BEA">
        <w:rPr>
          <w:rFonts w:ascii="Arial" w:hAnsi="Arial" w:cs="Arial"/>
          <w:lang w:val="en-ID"/>
        </w:rPr>
        <w:fldChar w:fldCharType="begin" w:fldLock="1"/>
      </w:r>
      <w:r w:rsidR="001E61FF">
        <w:rPr>
          <w:rFonts w:ascii="Arial" w:hAnsi="Arial" w:cs="Arial"/>
          <w:lang w:val="sv-SE"/>
        </w:rPr>
        <w:instrText>ADDIN CSL_CITATION {"citationItems":[{"id":"ITEM-1","itemData":{"DOI":"10.14483/2256201X.19114","ISSN":"2256201X","abstract":"Ficus americana and F. obtusifolia are among the most important tree species in Seasonally Dry Tropical Forests (SDTF) due to their evergreen condition and high levels of biomass. However, the SDTF of Lambayeque and northern Peru is greatly diminishing due to the advance of migratory agriculture, illegal mining, and deforestation. The objective of this work was to study the taxonomic aspects of both species, as well as seed germination, micropropagation, and in vitro germplasm conservation. Seed germination was 100% for both species up to three months after collection. As for micropropagation, rooting, and germplasm conservation, the Piper culture medium was effective, as it was constituted by MS mineral salts with 0.02 mg.L-1 IAA and 0.02 mg.L-' GAr In vitro germplasm conservation lasted more than 24 months for both species. Acclimatization under greenhouse conditions reached 50% survival for both species.","author":[{"dropping-particle":"","family":"Delgado-Paredes","given":"Guillermo E.","non-dropping-particle":"","parse-names":false,"suffix":""},{"dropping-particle":"","family":"Rojas-Idrogo","given":"Consuelo","non-dropping-particle":"","parse-names":false,"suffix":""},{"dropping-particle":"","family":"Esquerre-Ibañez","given":"Boris","non-dropping-particle":"","parse-names":false,"suffix":""},{"dropping-particle":"","family":"Vásquez-Díaz","given":"Cecilia","non-dropping-particle":"","parse-names":false,"suffix":""},{"dropping-particle":"","family":"Zuñe-Da Silva","given":"Felipe","non-dropping-particle":"","parse-names":false,"suffix":""},{"dropping-particle":"","family":"Kuethe","given":"J. R.","non-dropping-particle":"","parse-names":false,"suffix":""}],"container-title":"Colombia Forestal","id":"ITEM-1","issue":"1","issued":{"date-parts":[["2023"]]},"page":"92-108","title":"Micropropagation and Germplasm Conservation of Ficus americana Aubl. and F. obtusifolia Kunth from Lambayeque (Peru)","type":"article-journal","volume":"26"},"uris":["http://www.mendeley.com/documents/?uuid=4a303483-1cf4-45b3-bd34-7f769d540364"]}],"mendeley":{"formattedCitation":"(19)","plainTextFormattedCitation":"(19)","previouslyFormattedCitation":"(19)"},"properties":{"noteIndex":0},"schema":"https://github.com/citation-style-language/schema/raw/master/csl-citation.json"}</w:instrText>
      </w:r>
      <w:r w:rsidR="00590BEA">
        <w:rPr>
          <w:rFonts w:ascii="Arial" w:hAnsi="Arial" w:cs="Arial"/>
          <w:lang w:val="en-ID"/>
        </w:rPr>
        <w:fldChar w:fldCharType="separate"/>
      </w:r>
      <w:r w:rsidR="001039A5" w:rsidRPr="001039A5">
        <w:rPr>
          <w:rFonts w:ascii="Arial" w:hAnsi="Arial" w:cs="Arial"/>
          <w:noProof/>
          <w:lang w:val="en-ID"/>
        </w:rPr>
        <w:t>(19)</w:t>
      </w:r>
      <w:r w:rsidR="00590BEA">
        <w:rPr>
          <w:rFonts w:ascii="Arial" w:hAnsi="Arial" w:cs="Arial"/>
          <w:lang w:val="en-ID"/>
        </w:rPr>
        <w:fldChar w:fldCharType="end"/>
      </w:r>
      <w:r w:rsidR="009F439A" w:rsidRPr="009F439A">
        <w:rPr>
          <w:rFonts w:ascii="Arial" w:hAnsi="Arial" w:cs="Arial"/>
          <w:lang w:val="en-ID"/>
        </w:rPr>
        <w:t xml:space="preserve">, and BAP 1 mg/l in </w:t>
      </w:r>
      <w:r w:rsidR="009F439A" w:rsidRPr="00E47705">
        <w:rPr>
          <w:rFonts w:ascii="Arial" w:hAnsi="Arial" w:cs="Arial"/>
          <w:i/>
          <w:iCs/>
          <w:lang w:val="en-ID"/>
        </w:rPr>
        <w:t>F. carica</w:t>
      </w:r>
      <w:r w:rsidR="009F439A">
        <w:rPr>
          <w:rFonts w:ascii="Arial" w:hAnsi="Arial" w:cs="Arial"/>
          <w:lang w:val="en-ID"/>
        </w:rPr>
        <w:t xml:space="preserve"> </w:t>
      </w:r>
      <w:r w:rsidR="009F439A">
        <w:rPr>
          <w:rFonts w:ascii="Arial" w:hAnsi="Arial" w:cs="Arial"/>
          <w:lang w:val="en-ID"/>
        </w:rPr>
        <w:fldChar w:fldCharType="begin" w:fldLock="1"/>
      </w:r>
      <w:r w:rsidR="001E61FF">
        <w:rPr>
          <w:rFonts w:ascii="Arial" w:hAnsi="Arial" w:cs="Arial"/>
          <w:lang w:val="en-ID"/>
        </w:rPr>
        <w:instrText>ADDIN CSL_CITATION {"citationItems":[{"id":"ITEM-1","itemData":{"DOI":"10.1016/j.bcab.2021.102225","ISSN":"18788181","abstract":"Fig (Ficus carica L.) is from the Moraceae family and is rich in essential nutrients, natural fiber and vitamins. The Golden Orphan cultivar is a yellow fig that is sweet, firm and can thrive in tropical climates. Current conventional propagation methods for the multiplication of plant stocks were found to be less efficient in producing healthy plant stocks. Micropropagation offers an alternative in the production of plant stocks resembling the quality of mother plants. The current study aims to fine tune the micropropagation protocol of the Golden Orphan cultivar for efficient production of plant stocks. Sterile nodal bud explants were subjected to different media treatments, carbon source and combinations of auxin and cytokinin. Rooting of explants was induced in auxin and rooted explants were acclimatized in cocopeat. The optimal basal medium for shoot elongation was Murashige and Skoog (MS) Medium, whereas 20 g/L sucrose resulted in the highest shoot length (2.00 ± 0.22 cm) facilitating the production of nodal segments for subsequent multiplication. The highest shoot induction (4.15 ± 0.43 shoots/explant) was observed in the treatment of 0.8 mg/L 6-Benzylaminopurine (BAP), whereas the combination of 0.8 mg/L BAP and 0.5 mg/L indole-3-acetic acid (IAA) resulted in the highest shoot length (2.23 ± 0.09 cm). Treatment of 0.4 mg/L indole-3-butyric acid (IBA) produced the optimal percentage of rooting (83.33%) whereas acclimatization with cocopeat resulted in maximum survival rate. The present study has successfully optimised the crucial aspects of micropropagation for the Golden Orphan cultivar suitable for rapid plant stock production.","author":[{"dropping-particle":"","family":"Sriskanda","given":"Dahmendra","non-dropping-particle":"","parse-names":false,"suffix":""},{"dropping-particle":"","family":"Liew","given":"Yoon Xuan","non-dropping-particle":"","parse-names":false,"suffix":""},{"dropping-particle":"","family":"Khor","given":"Soo Ping","non-dropping-particle":"","parse-names":false,"suffix":""},{"dropping-particle":"","family":"Merican","given":"Faradina","non-dropping-particle":"","parse-names":false,"suffix":""},{"dropping-particle":"","family":"Subramaniam","given":"Sreeramanan","non-dropping-particle":"","parse-names":false,"suffix":""},{"dropping-particle":"","family":"Chew","given":"Bee Lynn","non-dropping-particle":"","parse-names":false,"suffix":""}],"container-title":"Biocatalysis and Agricultural Biotechnology","id":"ITEM-1","issue":"November","issued":{"date-parts":[["2021"]]},"page":"102225","publisher":"Elsevier Ltd","title":"An efficient micropropagation protocol for Ficus carica cv. Golden Orphan suitable for mass propagation","type":"article-journal","volume":"38"},"uris":["http://www.mendeley.com/documents/?uuid=96775d23-9400-4a93-b0f3-0662b4b024c6"]}],"mendeley":{"formattedCitation":"(16)","plainTextFormattedCitation":"(16)","previouslyFormattedCitation":"(16)"},"properties":{"noteIndex":0},"schema":"https://github.com/citation-style-language/schema/raw/master/csl-citation.json"}</w:instrText>
      </w:r>
      <w:r w:rsidR="009F439A">
        <w:rPr>
          <w:rFonts w:ascii="Arial" w:hAnsi="Arial" w:cs="Arial"/>
          <w:lang w:val="en-ID"/>
        </w:rPr>
        <w:fldChar w:fldCharType="separate"/>
      </w:r>
      <w:r w:rsidR="001039A5" w:rsidRPr="001039A5">
        <w:rPr>
          <w:rFonts w:ascii="Arial" w:hAnsi="Arial" w:cs="Arial"/>
          <w:noProof/>
          <w:lang w:val="en-ID"/>
        </w:rPr>
        <w:t>(16)</w:t>
      </w:r>
      <w:r w:rsidR="009F439A">
        <w:rPr>
          <w:rFonts w:ascii="Arial" w:hAnsi="Arial" w:cs="Arial"/>
          <w:lang w:val="en-ID"/>
        </w:rPr>
        <w:fldChar w:fldCharType="end"/>
      </w:r>
      <w:r w:rsidR="009F439A">
        <w:rPr>
          <w:rFonts w:ascii="Arial" w:hAnsi="Arial" w:cs="Arial"/>
          <w:lang w:val="en-ID"/>
        </w:rPr>
        <w:t xml:space="preserve"> </w:t>
      </w:r>
      <w:r w:rsidR="00E47705">
        <w:rPr>
          <w:rFonts w:ascii="Arial" w:hAnsi="Arial" w:cs="Arial"/>
          <w:lang w:val="en-ID"/>
        </w:rPr>
        <w:t>and</w:t>
      </w:r>
      <w:r w:rsidR="009F439A">
        <w:rPr>
          <w:rFonts w:ascii="Arial" w:hAnsi="Arial" w:cs="Arial"/>
          <w:lang w:val="en-ID"/>
        </w:rPr>
        <w:t xml:space="preserve"> </w:t>
      </w:r>
      <w:r w:rsidR="009F439A" w:rsidRPr="00E47705">
        <w:rPr>
          <w:rFonts w:ascii="Arial" w:hAnsi="Arial" w:cs="Arial"/>
          <w:i/>
          <w:iCs/>
          <w:lang w:val="en-ID"/>
        </w:rPr>
        <w:t>F. religiosa</w:t>
      </w:r>
      <w:r w:rsidR="009F439A">
        <w:rPr>
          <w:rFonts w:ascii="Arial" w:hAnsi="Arial" w:cs="Arial"/>
          <w:lang w:val="en-ID"/>
        </w:rPr>
        <w:t xml:space="preserve"> </w:t>
      </w:r>
      <w:r w:rsidR="009F439A">
        <w:rPr>
          <w:rFonts w:ascii="Arial" w:hAnsi="Arial" w:cs="Arial"/>
          <w:lang w:val="en-ID"/>
        </w:rPr>
        <w:fldChar w:fldCharType="begin" w:fldLock="1"/>
      </w:r>
      <w:r w:rsidR="001E61FF">
        <w:rPr>
          <w:rFonts w:ascii="Arial" w:hAnsi="Arial" w:cs="Arial"/>
          <w:lang w:val="en-ID"/>
        </w:rPr>
        <w:instrText>ADDIN CSL_CITATION {"citationItems":[{"id":"ITEM-1","itemData":{"DOI":"10.1007/s13205-013-0175-8","ISBN":"1320501301758","ISSN":"21905738","abstract":"A high-frequency, season-independent, in vitro regeneration of Ficusreligiosa was developed, followed by comparative acetylcholinesterase inhibitory (AChEI) activity assay of the in vitro raised and conventionally grown plants. The use of AChEI activity is the most accepted strategy for the treatment of Alzheimer disease. Fully expanded, mature leaves were cut into different segments to initiate the cultures. The middle section of the leaf in vertical orientation with cut portion inserted inside the medium was found most suitable for direct shoot regeneration. Leaf explants responded with nearly consistent frequency (60–66.67 %) throughout the year. To obtain high frequency response with enhanced shoot multiplication rate, 32 plant growth regulator regimes were screened amongst which benzylaminopurine at 5.0 mg/l was found most suitable, yielding 100 % response and maximum number of shoots per explant (7.93); same concentration was also most supportive for repeated multiplication (6.53 shoots). The quality of the shoots and multiplication rate could be significantly enhanced (24.35 shoots) when adenine sulphate, glutamine and phloroglucinol, in an optimised concentration, were additionally supplemented. The clonal nature of the micropropagated plants was confirmed by random amplified polymorphic DNA analysis. A comparative analysis of AChEI activity was carried out amongst the methanolic extracts of stem segments of the mother plant, randomly selected seedlings of different age (4 and 6 months old) of the same mother plant and randomly selected micropropagated plants of different age (3 and 6 months age). The mother plant sample showed effective AChEI activity, with IC50 of 66.46 μg/ml while seedlings, of different age groups, performed poorly (6-month-old seedlings, Se-16M, yielded IC50 of 20,538.46 μg/ml, while two randomly selected 4 months’ aged seedlings, Se-24M and Se-34M exhibited IC50 of 19,341.03 and 24,281.70 μg/ml). On the other hand, various micropropagated plants, 2 of 3 months (MiP-13M, MiP-23M) and 2 of 6 months (MiP-36M and MiP-46M) age behaved like the mother plant, exhibiting IC50 values of 71.87, 72.91, 67.65 and 69.65 μg/ml, respectively.","author":[{"dropping-particle":"","family":"Siwach","given":"Priyanka","non-dropping-particle":"","parse-names":false,"suffix":""},{"dropping-particle":"","family":"Gill","given":"Anita Rani","non-dropping-particle":"","parse-names":false,"suffix":""}],"container-title":"3 Biotech","id":"ITEM-1","issue":"5","issued":{"date-parts":[["2014"]]},"page":"477-491","title":"Micropropagation of Ficus religiosa L. via leaf explants and comparative evaluation of acetylcholinesterase inhibitory activity in the micropropagated and conventionally grown plants","type":"article-journal","volume":"4"},"uris":["http://www.mendeley.com/documents/?uuid=c65ccccf-07fe-4d46-be64-ce53d173f3a6"]}],"mendeley":{"formattedCitation":"(20)","plainTextFormattedCitation":"(20)","previouslyFormattedCitation":"(20)"},"properties":{"noteIndex":0},"schema":"https://github.com/citation-style-language/schema/raw/master/csl-citation.json"}</w:instrText>
      </w:r>
      <w:r w:rsidR="009F439A">
        <w:rPr>
          <w:rFonts w:ascii="Arial" w:hAnsi="Arial" w:cs="Arial"/>
          <w:lang w:val="en-ID"/>
        </w:rPr>
        <w:fldChar w:fldCharType="separate"/>
      </w:r>
      <w:r w:rsidR="001039A5" w:rsidRPr="001039A5">
        <w:rPr>
          <w:rFonts w:ascii="Arial" w:hAnsi="Arial" w:cs="Arial"/>
          <w:noProof/>
          <w:lang w:val="en-ID"/>
        </w:rPr>
        <w:t>(20)</w:t>
      </w:r>
      <w:r w:rsidR="009F439A">
        <w:rPr>
          <w:rFonts w:ascii="Arial" w:hAnsi="Arial" w:cs="Arial"/>
          <w:lang w:val="en-ID"/>
        </w:rPr>
        <w:fldChar w:fldCharType="end"/>
      </w:r>
      <w:r w:rsidR="009F439A" w:rsidRPr="009F439A">
        <w:rPr>
          <w:rFonts w:ascii="Arial" w:hAnsi="Arial" w:cs="Arial"/>
          <w:lang w:val="en-ID"/>
        </w:rPr>
        <w:t>.</w:t>
      </w:r>
      <w:r w:rsidR="002D3A3A">
        <w:rPr>
          <w:rFonts w:ascii="Arial" w:hAnsi="Arial" w:cs="Arial"/>
          <w:lang w:val="en-ID"/>
        </w:rPr>
        <w:t xml:space="preserve"> </w:t>
      </w:r>
      <w:r w:rsidR="002D3A3A" w:rsidRPr="002D3A3A">
        <w:rPr>
          <w:rFonts w:ascii="Arial" w:hAnsi="Arial" w:cs="Arial"/>
          <w:lang w:val="en-ID"/>
        </w:rPr>
        <w:t>It appears that BAP at a concentration of no more than 2 mg/l is appropriate for shoot induction in Ficus species.</w:t>
      </w:r>
    </w:p>
    <w:p w14:paraId="1462B9AF" w14:textId="77777777" w:rsidR="00450FE2" w:rsidRDefault="00450FE2" w:rsidP="00D00071">
      <w:pPr>
        <w:jc w:val="both"/>
        <w:rPr>
          <w:rFonts w:ascii="Arial" w:hAnsi="Arial" w:cs="Arial"/>
          <w:lang w:val="en-ID"/>
        </w:rPr>
      </w:pPr>
    </w:p>
    <w:p w14:paraId="1905315C" w14:textId="10A677B6" w:rsidR="00132C37" w:rsidRDefault="009D1F9F" w:rsidP="00D00071">
      <w:pPr>
        <w:jc w:val="both"/>
        <w:rPr>
          <w:rFonts w:ascii="Arial" w:hAnsi="Arial" w:cs="Arial"/>
          <w:lang w:val="en-ID"/>
        </w:rPr>
      </w:pPr>
      <w:r w:rsidRPr="009D1F9F">
        <w:rPr>
          <w:rFonts w:ascii="Arial" w:hAnsi="Arial" w:cs="Arial"/>
          <w:lang w:val="en-ID"/>
        </w:rPr>
        <w:t xml:space="preserve">At 6 weeks of culture, the average </w:t>
      </w:r>
      <w:r w:rsidR="00132C37">
        <w:rPr>
          <w:rFonts w:ascii="Arial" w:hAnsi="Arial" w:cs="Arial"/>
          <w:lang w:val="en-ID"/>
        </w:rPr>
        <w:t xml:space="preserve">of </w:t>
      </w:r>
      <w:r w:rsidRPr="009D1F9F">
        <w:rPr>
          <w:rFonts w:ascii="Arial" w:hAnsi="Arial" w:cs="Arial"/>
          <w:lang w:val="en-ID"/>
        </w:rPr>
        <w:t xml:space="preserve">shoot </w:t>
      </w:r>
      <w:r w:rsidR="0038234C">
        <w:rPr>
          <w:rFonts w:ascii="Arial" w:hAnsi="Arial" w:cs="Arial"/>
          <w:lang w:val="en-ID"/>
        </w:rPr>
        <w:t>length</w:t>
      </w:r>
      <w:r w:rsidRPr="009D1F9F">
        <w:rPr>
          <w:rFonts w:ascii="Arial" w:hAnsi="Arial" w:cs="Arial"/>
          <w:lang w:val="en-ID"/>
        </w:rPr>
        <w:t xml:space="preserve"> ranged from 0.67 to 0.95 cm. </w:t>
      </w:r>
      <w:r w:rsidR="0038234C">
        <w:rPr>
          <w:rFonts w:ascii="Arial" w:hAnsi="Arial" w:cs="Arial"/>
          <w:lang w:val="en-ID"/>
        </w:rPr>
        <w:t xml:space="preserve">The lowest and highest shoot length was obtained on WPM + 1 mg/l BAP and MS </w:t>
      </w:r>
      <w:r w:rsidR="00132C37">
        <w:rPr>
          <w:rFonts w:ascii="Arial" w:hAnsi="Arial" w:cs="Arial"/>
          <w:lang w:val="en-ID"/>
        </w:rPr>
        <w:t>+ 0 mg/l</w:t>
      </w:r>
      <w:r w:rsidR="0038234C">
        <w:rPr>
          <w:rFonts w:ascii="Arial" w:hAnsi="Arial" w:cs="Arial"/>
          <w:lang w:val="en-ID"/>
        </w:rPr>
        <w:t xml:space="preserve"> BAP, respectively. </w:t>
      </w:r>
      <w:r w:rsidR="00132C37" w:rsidRPr="00132C37">
        <w:rPr>
          <w:rFonts w:ascii="Arial" w:hAnsi="Arial" w:cs="Arial"/>
          <w:lang w:val="en-ID"/>
        </w:rPr>
        <w:t xml:space="preserve">However, the </w:t>
      </w:r>
      <w:r w:rsidR="00450FE2">
        <w:rPr>
          <w:rFonts w:ascii="Arial" w:hAnsi="Arial" w:cs="Arial"/>
          <w:lang w:val="en-ID"/>
        </w:rPr>
        <w:t>high</w:t>
      </w:r>
      <w:r w:rsidR="00132C37" w:rsidRPr="00132C37">
        <w:rPr>
          <w:rFonts w:ascii="Arial" w:hAnsi="Arial" w:cs="Arial"/>
          <w:lang w:val="en-ID"/>
        </w:rPr>
        <w:t>est shoot length in MS + 0 mg/l BAP was not significantly different from the shoot length in WPM + 2 mg/L</w:t>
      </w:r>
      <w:r w:rsidR="00132C37">
        <w:rPr>
          <w:rFonts w:ascii="Arial" w:hAnsi="Arial" w:cs="Arial"/>
          <w:lang w:val="en-ID"/>
        </w:rPr>
        <w:t>. While the others combination of basal media and BAP concentration di</w:t>
      </w:r>
      <w:r w:rsidR="00C268A3">
        <w:rPr>
          <w:rFonts w:ascii="Arial" w:hAnsi="Arial" w:cs="Arial"/>
          <w:lang w:val="en-ID"/>
        </w:rPr>
        <w:t>d not</w:t>
      </w:r>
      <w:r w:rsidR="00132C37">
        <w:rPr>
          <w:rFonts w:ascii="Arial" w:hAnsi="Arial" w:cs="Arial"/>
          <w:lang w:val="en-ID"/>
        </w:rPr>
        <w:t xml:space="preserve"> produce significant different shoot length.</w:t>
      </w:r>
      <w:r w:rsidR="00C268A3">
        <w:rPr>
          <w:rFonts w:ascii="Arial" w:hAnsi="Arial" w:cs="Arial"/>
          <w:lang w:val="en-ID"/>
        </w:rPr>
        <w:t xml:space="preserve"> </w:t>
      </w:r>
      <w:r w:rsidR="00C268A3" w:rsidRPr="00C268A3">
        <w:rPr>
          <w:rFonts w:ascii="Arial" w:hAnsi="Arial" w:cs="Arial"/>
          <w:lang w:val="en-ID"/>
        </w:rPr>
        <w:t xml:space="preserve">This shows that this parameter is less able to reflect the </w:t>
      </w:r>
      <w:r w:rsidR="00D17288">
        <w:rPr>
          <w:rFonts w:ascii="Arial" w:hAnsi="Arial" w:cs="Arial"/>
          <w:lang w:val="en-ID"/>
        </w:rPr>
        <w:t>effect</w:t>
      </w:r>
      <w:r w:rsidR="00C268A3" w:rsidRPr="00C268A3">
        <w:rPr>
          <w:rFonts w:ascii="Arial" w:hAnsi="Arial" w:cs="Arial"/>
          <w:lang w:val="en-ID"/>
        </w:rPr>
        <w:t xml:space="preserve"> of media and PGR.</w:t>
      </w:r>
      <w:r w:rsidR="009C0E4C">
        <w:rPr>
          <w:rFonts w:ascii="Arial" w:hAnsi="Arial" w:cs="Arial"/>
          <w:lang w:val="en-ID"/>
        </w:rPr>
        <w:t xml:space="preserve"> </w:t>
      </w:r>
      <w:r w:rsidR="009C0E4C" w:rsidRPr="009C0E4C">
        <w:rPr>
          <w:rFonts w:ascii="Arial" w:hAnsi="Arial" w:cs="Arial"/>
          <w:lang w:val="en-ID"/>
        </w:rPr>
        <w:t xml:space="preserve">However, on the other hand, </w:t>
      </w:r>
      <w:r w:rsidR="009C0E4C">
        <w:rPr>
          <w:rFonts w:ascii="Arial" w:hAnsi="Arial" w:cs="Arial"/>
          <w:lang w:val="en-ID"/>
        </w:rPr>
        <w:lastRenderedPageBreak/>
        <w:t>the</w:t>
      </w:r>
      <w:r w:rsidR="009C0E4C" w:rsidRPr="009C0E4C">
        <w:rPr>
          <w:rFonts w:ascii="Arial" w:hAnsi="Arial" w:cs="Arial"/>
          <w:lang w:val="en-ID"/>
        </w:rPr>
        <w:t xml:space="preserve"> combination of </w:t>
      </w:r>
      <w:r w:rsidR="009C0E4C">
        <w:rPr>
          <w:rFonts w:ascii="Arial" w:hAnsi="Arial" w:cs="Arial"/>
          <w:lang w:val="en-ID"/>
        </w:rPr>
        <w:t>MS/WPM</w:t>
      </w:r>
      <w:r w:rsidR="009C0E4C" w:rsidRPr="009C0E4C">
        <w:rPr>
          <w:rFonts w:ascii="Arial" w:hAnsi="Arial" w:cs="Arial"/>
          <w:lang w:val="en-ID"/>
        </w:rPr>
        <w:t xml:space="preserve"> basal media with BAP has the same ability to elongate shoots which facilitates the production of nodal segments for subsequent multiplication.</w:t>
      </w:r>
    </w:p>
    <w:p w14:paraId="3995E0EF" w14:textId="77777777" w:rsidR="00450FE2" w:rsidRDefault="00450FE2" w:rsidP="00D00071">
      <w:pPr>
        <w:jc w:val="both"/>
        <w:rPr>
          <w:rFonts w:ascii="Arial" w:hAnsi="Arial" w:cs="Arial"/>
          <w:lang w:val="en-ID"/>
        </w:rPr>
      </w:pPr>
    </w:p>
    <w:p w14:paraId="7B66721E" w14:textId="1BE9A639" w:rsidR="009D1F9F" w:rsidRDefault="00450FE2" w:rsidP="00D00071">
      <w:pPr>
        <w:jc w:val="both"/>
        <w:rPr>
          <w:rFonts w:ascii="Arial" w:hAnsi="Arial" w:cs="Arial"/>
          <w:lang w:val="en-ID"/>
        </w:rPr>
      </w:pPr>
      <w:r w:rsidRPr="009D1F9F">
        <w:rPr>
          <w:rFonts w:ascii="Arial" w:hAnsi="Arial" w:cs="Arial"/>
          <w:lang w:val="en-ID"/>
        </w:rPr>
        <w:t>The average of lea</w:t>
      </w:r>
      <w:r>
        <w:rPr>
          <w:rFonts w:ascii="Arial" w:hAnsi="Arial" w:cs="Arial"/>
          <w:lang w:val="en-ID"/>
        </w:rPr>
        <w:t>f</w:t>
      </w:r>
      <w:r w:rsidRPr="009D1F9F">
        <w:rPr>
          <w:rFonts w:ascii="Arial" w:hAnsi="Arial" w:cs="Arial"/>
          <w:lang w:val="en-ID"/>
        </w:rPr>
        <w:t xml:space="preserve"> number </w:t>
      </w:r>
      <w:r>
        <w:rPr>
          <w:rFonts w:ascii="Arial" w:hAnsi="Arial" w:cs="Arial"/>
          <w:lang w:val="en-ID"/>
        </w:rPr>
        <w:t>r</w:t>
      </w:r>
      <w:r w:rsidRPr="009D1F9F">
        <w:rPr>
          <w:rFonts w:ascii="Arial" w:hAnsi="Arial" w:cs="Arial"/>
          <w:lang w:val="en-ID"/>
        </w:rPr>
        <w:t xml:space="preserve">anged from 4.92 </w:t>
      </w:r>
      <w:r>
        <w:rPr>
          <w:rFonts w:ascii="Arial" w:hAnsi="Arial" w:cs="Arial"/>
          <w:lang w:val="en-ID"/>
        </w:rPr>
        <w:t xml:space="preserve">(WPM + 0 mg/l BAP)  </w:t>
      </w:r>
      <w:r w:rsidRPr="009D1F9F">
        <w:rPr>
          <w:rFonts w:ascii="Arial" w:hAnsi="Arial" w:cs="Arial"/>
          <w:lang w:val="en-ID"/>
        </w:rPr>
        <w:t>to 8.00</w:t>
      </w:r>
      <w:r>
        <w:rPr>
          <w:rFonts w:ascii="Arial" w:hAnsi="Arial" w:cs="Arial"/>
          <w:lang w:val="en-ID"/>
        </w:rPr>
        <w:t xml:space="preserve"> (MS + 2 mg/l BAP)</w:t>
      </w:r>
      <w:r w:rsidRPr="009D1F9F">
        <w:rPr>
          <w:rFonts w:ascii="Arial" w:hAnsi="Arial" w:cs="Arial"/>
          <w:lang w:val="en-ID"/>
        </w:rPr>
        <w:t xml:space="preserve">. </w:t>
      </w:r>
      <w:r w:rsidRPr="00E6151F">
        <w:rPr>
          <w:rFonts w:ascii="Arial" w:hAnsi="Arial" w:cs="Arial"/>
          <w:lang w:val="en-ID"/>
        </w:rPr>
        <w:t xml:space="preserve">However, the highest number of leaves produced </w:t>
      </w:r>
      <w:r>
        <w:rPr>
          <w:rFonts w:ascii="Arial" w:hAnsi="Arial" w:cs="Arial"/>
          <w:lang w:val="en-ID"/>
        </w:rPr>
        <w:t>i</w:t>
      </w:r>
      <w:r w:rsidRPr="00E6151F">
        <w:rPr>
          <w:rFonts w:ascii="Arial" w:hAnsi="Arial" w:cs="Arial"/>
          <w:lang w:val="en-ID"/>
        </w:rPr>
        <w:t xml:space="preserve">n MS + 2 mg/l BAP media was not significantly different from that produced on WPM + 1.5 mg/l BAP or WPM + 2 mg/l BAP media. </w:t>
      </w:r>
      <w:r w:rsidR="006A7660" w:rsidRPr="006A7660">
        <w:rPr>
          <w:rFonts w:ascii="Arial" w:hAnsi="Arial" w:cs="Arial"/>
          <w:lang w:val="en-ID"/>
        </w:rPr>
        <w:t xml:space="preserve">The higher the concentration of BAP, the greater the number of </w:t>
      </w:r>
      <w:r w:rsidR="00E6151F" w:rsidRPr="006A7660">
        <w:rPr>
          <w:rFonts w:ascii="Arial" w:hAnsi="Arial" w:cs="Arial"/>
          <w:lang w:val="en-ID"/>
        </w:rPr>
        <w:t>lea</w:t>
      </w:r>
      <w:r w:rsidR="00E6151F">
        <w:rPr>
          <w:rFonts w:ascii="Arial" w:hAnsi="Arial" w:cs="Arial"/>
          <w:lang w:val="en-ID"/>
        </w:rPr>
        <w:t>ves</w:t>
      </w:r>
      <w:r w:rsidR="003E3182">
        <w:rPr>
          <w:rFonts w:ascii="Arial" w:hAnsi="Arial" w:cs="Arial"/>
          <w:lang w:val="en-ID"/>
        </w:rPr>
        <w:t xml:space="preserve">. </w:t>
      </w:r>
      <w:r w:rsidR="003E3182" w:rsidRPr="003E3182">
        <w:rPr>
          <w:rFonts w:ascii="Arial" w:hAnsi="Arial" w:cs="Arial"/>
          <w:lang w:val="en-ID"/>
        </w:rPr>
        <w:t>However, kind of basal media affected the significance of the produced leaves number.</w:t>
      </w:r>
      <w:r w:rsidR="003E3182">
        <w:rPr>
          <w:rFonts w:ascii="Arial" w:hAnsi="Arial" w:cs="Arial"/>
          <w:lang w:val="en-ID"/>
        </w:rPr>
        <w:t xml:space="preserve"> I</w:t>
      </w:r>
      <w:r w:rsidR="003E3182" w:rsidRPr="006A7660">
        <w:rPr>
          <w:rFonts w:ascii="Arial" w:hAnsi="Arial" w:cs="Arial"/>
          <w:lang w:val="en-ID"/>
        </w:rPr>
        <w:t xml:space="preserve">n MS media </w:t>
      </w:r>
      <w:r w:rsidR="003E3182">
        <w:rPr>
          <w:rFonts w:ascii="Arial" w:hAnsi="Arial" w:cs="Arial"/>
          <w:lang w:val="en-ID"/>
        </w:rPr>
        <w:t>t</w:t>
      </w:r>
      <w:r w:rsidR="006A7660" w:rsidRPr="006A7660">
        <w:rPr>
          <w:rFonts w:ascii="Arial" w:hAnsi="Arial" w:cs="Arial"/>
          <w:lang w:val="en-ID"/>
        </w:rPr>
        <w:t xml:space="preserve">he number of leaves produced at all BAP concentrations was not significantly different. While in WPM + 1.5 mg/l or 2 mg/l BA media it was significantly different from WPM + 0 mg/l BAP media. The </w:t>
      </w:r>
      <w:r w:rsidR="003E3182">
        <w:rPr>
          <w:rFonts w:ascii="Arial" w:hAnsi="Arial" w:cs="Arial"/>
          <w:lang w:val="en-ID"/>
        </w:rPr>
        <w:t xml:space="preserve">effect of BA concentration on </w:t>
      </w:r>
      <w:r w:rsidR="006A7660" w:rsidRPr="006A7660">
        <w:rPr>
          <w:rFonts w:ascii="Arial" w:hAnsi="Arial" w:cs="Arial"/>
          <w:lang w:val="en-ID"/>
        </w:rPr>
        <w:t xml:space="preserve">the </w:t>
      </w:r>
      <w:r w:rsidR="003E3182" w:rsidRPr="006A7660">
        <w:rPr>
          <w:rFonts w:ascii="Arial" w:hAnsi="Arial" w:cs="Arial"/>
          <w:lang w:val="en-ID"/>
        </w:rPr>
        <w:t xml:space="preserve">leaves </w:t>
      </w:r>
      <w:r w:rsidR="006A7660" w:rsidRPr="006A7660">
        <w:rPr>
          <w:rFonts w:ascii="Arial" w:hAnsi="Arial" w:cs="Arial"/>
          <w:lang w:val="en-ID"/>
        </w:rPr>
        <w:t xml:space="preserve">number showed the same trend as the </w:t>
      </w:r>
      <w:r w:rsidR="003E3182">
        <w:rPr>
          <w:rFonts w:ascii="Arial" w:hAnsi="Arial" w:cs="Arial"/>
          <w:lang w:val="en-ID"/>
        </w:rPr>
        <w:t>effect on</w:t>
      </w:r>
      <w:r w:rsidR="006A7660" w:rsidRPr="006A7660">
        <w:rPr>
          <w:rFonts w:ascii="Arial" w:hAnsi="Arial" w:cs="Arial"/>
          <w:lang w:val="en-ID"/>
        </w:rPr>
        <w:t xml:space="preserve"> the </w:t>
      </w:r>
      <w:r w:rsidR="003E3182" w:rsidRPr="006A7660">
        <w:rPr>
          <w:rFonts w:ascii="Arial" w:hAnsi="Arial" w:cs="Arial"/>
          <w:lang w:val="en-ID"/>
        </w:rPr>
        <w:t xml:space="preserve">shoots </w:t>
      </w:r>
      <w:r w:rsidR="006A7660" w:rsidRPr="006A7660">
        <w:rPr>
          <w:rFonts w:ascii="Arial" w:hAnsi="Arial" w:cs="Arial"/>
          <w:lang w:val="en-ID"/>
        </w:rPr>
        <w:t>number.</w:t>
      </w:r>
      <w:r>
        <w:rPr>
          <w:rFonts w:ascii="Arial" w:hAnsi="Arial" w:cs="Arial"/>
          <w:lang w:val="en-ID"/>
        </w:rPr>
        <w:t xml:space="preserve"> </w:t>
      </w:r>
      <w:r w:rsidR="00E6151F" w:rsidRPr="00E6151F">
        <w:rPr>
          <w:rFonts w:ascii="Arial" w:hAnsi="Arial" w:cs="Arial"/>
          <w:lang w:val="en-ID"/>
        </w:rPr>
        <w:t xml:space="preserve">This shows that both basal media have the same potential in leaf formation. </w:t>
      </w:r>
    </w:p>
    <w:p w14:paraId="12D096A5" w14:textId="77777777" w:rsidR="00855DB6" w:rsidRPr="009D1F9F" w:rsidRDefault="00855DB6" w:rsidP="00855DB6">
      <w:pPr>
        <w:jc w:val="both"/>
        <w:rPr>
          <w:rFonts w:ascii="Arial" w:hAnsi="Arial" w:cs="Arial"/>
          <w:lang w:val="en-ID"/>
        </w:rPr>
      </w:pPr>
    </w:p>
    <w:bookmarkEnd w:id="5"/>
    <w:p w14:paraId="672FF9F3" w14:textId="7C93707D" w:rsidR="00855DB6" w:rsidRPr="00351B54" w:rsidRDefault="00351B54" w:rsidP="00CA33BE">
      <w:pPr>
        <w:spacing w:after="240"/>
        <w:jc w:val="both"/>
        <w:rPr>
          <w:rFonts w:ascii="Arial" w:hAnsi="Arial" w:cs="Arial"/>
          <w:b/>
          <w:bCs/>
          <w:lang w:val="en-ID"/>
        </w:rPr>
      </w:pPr>
      <w:r w:rsidRPr="00351B54">
        <w:rPr>
          <w:rFonts w:ascii="Arial" w:hAnsi="Arial" w:cs="Arial"/>
          <w:b/>
          <w:bCs/>
          <w:lang w:val="en-ID"/>
        </w:rPr>
        <w:t xml:space="preserve">Table 2. </w:t>
      </w:r>
      <w:r w:rsidR="000719EE" w:rsidRPr="000719EE">
        <w:rPr>
          <w:rFonts w:ascii="Arial" w:hAnsi="Arial" w:cs="Arial"/>
          <w:b/>
          <w:bCs/>
          <w:lang w:val="en-ID"/>
        </w:rPr>
        <w:t>Effect of shoot induction media on growth of explants derived from 7-week-old seedlings after 6-week of culture</w:t>
      </w:r>
    </w:p>
    <w:tbl>
      <w:tblPr>
        <w:tblW w:w="7524" w:type="dxa"/>
        <w:tblLook w:val="04A0" w:firstRow="1" w:lastRow="0" w:firstColumn="1" w:lastColumn="0" w:noHBand="0" w:noVBand="1"/>
      </w:tblPr>
      <w:tblGrid>
        <w:gridCol w:w="709"/>
        <w:gridCol w:w="851"/>
        <w:gridCol w:w="1463"/>
        <w:gridCol w:w="1329"/>
        <w:gridCol w:w="1586"/>
        <w:gridCol w:w="1586"/>
      </w:tblGrid>
      <w:tr w:rsidR="00CA33BE" w:rsidRPr="00855DB6" w14:paraId="071893AA" w14:textId="77777777" w:rsidTr="00725F2F">
        <w:trPr>
          <w:trHeight w:val="260"/>
        </w:trPr>
        <w:tc>
          <w:tcPr>
            <w:tcW w:w="1560" w:type="dxa"/>
            <w:gridSpan w:val="2"/>
            <w:tcBorders>
              <w:top w:val="single" w:sz="6" w:space="0" w:color="auto"/>
              <w:left w:val="nil"/>
              <w:bottom w:val="single" w:sz="6" w:space="0" w:color="auto"/>
              <w:right w:val="nil"/>
            </w:tcBorders>
            <w:shd w:val="clear" w:color="auto" w:fill="auto"/>
            <w:noWrap/>
            <w:vAlign w:val="center"/>
            <w:hideMark/>
          </w:tcPr>
          <w:p w14:paraId="3694E074" w14:textId="61F2CEFC" w:rsidR="00855DB6" w:rsidRPr="00855DB6" w:rsidRDefault="000719EE" w:rsidP="00855DB6">
            <w:pPr>
              <w:jc w:val="center"/>
              <w:rPr>
                <w:rFonts w:ascii="Arial" w:hAnsi="Arial" w:cs="Arial"/>
                <w:b/>
                <w:bCs/>
                <w:sz w:val="18"/>
                <w:szCs w:val="18"/>
                <w:lang w:val="sv-SE" w:eastAsia="en-ID"/>
              </w:rPr>
            </w:pPr>
            <w:r>
              <w:rPr>
                <w:rFonts w:ascii="Arial" w:hAnsi="Arial" w:cs="Arial"/>
                <w:b/>
                <w:bCs/>
                <w:sz w:val="18"/>
                <w:szCs w:val="18"/>
                <w:lang w:val="en-ID" w:eastAsia="en-ID"/>
              </w:rPr>
              <w:t xml:space="preserve">Shoot Induction </w:t>
            </w:r>
            <w:r w:rsidR="00351B54">
              <w:rPr>
                <w:rFonts w:ascii="Arial" w:hAnsi="Arial" w:cs="Arial"/>
                <w:b/>
                <w:bCs/>
                <w:sz w:val="18"/>
                <w:szCs w:val="18"/>
                <w:lang w:val="sv-SE" w:eastAsia="en-ID"/>
              </w:rPr>
              <w:t>Media</w:t>
            </w:r>
          </w:p>
        </w:tc>
        <w:tc>
          <w:tcPr>
            <w:tcW w:w="1463" w:type="dxa"/>
            <w:tcBorders>
              <w:top w:val="single" w:sz="6" w:space="0" w:color="auto"/>
              <w:left w:val="nil"/>
              <w:bottom w:val="single" w:sz="6" w:space="0" w:color="auto"/>
              <w:right w:val="nil"/>
            </w:tcBorders>
            <w:vAlign w:val="center"/>
          </w:tcPr>
          <w:p w14:paraId="0873A1AE" w14:textId="59897B38"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Shoot number</w:t>
            </w:r>
          </w:p>
        </w:tc>
        <w:tc>
          <w:tcPr>
            <w:tcW w:w="1329" w:type="dxa"/>
            <w:tcBorders>
              <w:top w:val="single" w:sz="6" w:space="0" w:color="auto"/>
              <w:left w:val="nil"/>
              <w:bottom w:val="single" w:sz="6" w:space="0" w:color="auto"/>
              <w:right w:val="nil"/>
            </w:tcBorders>
            <w:vAlign w:val="center"/>
          </w:tcPr>
          <w:p w14:paraId="570E3407" w14:textId="79EF5EE9"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 xml:space="preserve">Shoot </w:t>
            </w:r>
            <w:r w:rsidR="00E2291B">
              <w:rPr>
                <w:rFonts w:ascii="Arial" w:hAnsi="Arial" w:cs="Arial"/>
                <w:b/>
                <w:bCs/>
                <w:sz w:val="18"/>
                <w:szCs w:val="18"/>
                <w:lang w:val="en-ID" w:eastAsia="en-ID"/>
              </w:rPr>
              <w:t>leng</w:t>
            </w:r>
            <w:r>
              <w:rPr>
                <w:rFonts w:ascii="Arial" w:hAnsi="Arial" w:cs="Arial"/>
                <w:b/>
                <w:bCs/>
                <w:sz w:val="18"/>
                <w:szCs w:val="18"/>
                <w:lang w:val="en-ID" w:eastAsia="en-ID"/>
              </w:rPr>
              <w:t>t</w:t>
            </w:r>
            <w:r w:rsidR="00E2291B">
              <w:rPr>
                <w:rFonts w:ascii="Arial" w:hAnsi="Arial" w:cs="Arial"/>
                <w:b/>
                <w:bCs/>
                <w:sz w:val="18"/>
                <w:szCs w:val="18"/>
                <w:lang w:val="en-ID" w:eastAsia="en-ID"/>
              </w:rPr>
              <w:t>h</w:t>
            </w:r>
          </w:p>
        </w:tc>
        <w:tc>
          <w:tcPr>
            <w:tcW w:w="1586" w:type="dxa"/>
            <w:tcBorders>
              <w:top w:val="single" w:sz="6" w:space="0" w:color="auto"/>
              <w:left w:val="nil"/>
              <w:bottom w:val="single" w:sz="6" w:space="0" w:color="auto"/>
              <w:right w:val="nil"/>
            </w:tcBorders>
            <w:vAlign w:val="center"/>
          </w:tcPr>
          <w:p w14:paraId="56EEC3A3" w14:textId="55C1614C"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Le</w:t>
            </w:r>
            <w:r w:rsidR="00E6151F">
              <w:rPr>
                <w:rFonts w:ascii="Arial" w:hAnsi="Arial" w:cs="Arial"/>
                <w:b/>
                <w:bCs/>
                <w:sz w:val="18"/>
                <w:szCs w:val="18"/>
                <w:lang w:val="en-ID" w:eastAsia="en-ID"/>
              </w:rPr>
              <w:t>aves</w:t>
            </w:r>
            <w:r>
              <w:rPr>
                <w:rFonts w:ascii="Arial" w:hAnsi="Arial" w:cs="Arial"/>
                <w:b/>
                <w:bCs/>
                <w:sz w:val="18"/>
                <w:szCs w:val="18"/>
                <w:lang w:val="en-ID" w:eastAsia="en-ID"/>
              </w:rPr>
              <w:t xml:space="preserve"> number</w:t>
            </w:r>
          </w:p>
        </w:tc>
        <w:tc>
          <w:tcPr>
            <w:tcW w:w="1586" w:type="dxa"/>
            <w:tcBorders>
              <w:top w:val="single" w:sz="6" w:space="0" w:color="auto"/>
              <w:left w:val="nil"/>
              <w:bottom w:val="single" w:sz="6" w:space="0" w:color="auto"/>
              <w:right w:val="nil"/>
            </w:tcBorders>
            <w:vAlign w:val="center"/>
          </w:tcPr>
          <w:p w14:paraId="20D42EEA" w14:textId="60F01AB8" w:rsidR="00855DB6" w:rsidRPr="00855DB6" w:rsidRDefault="00351B54" w:rsidP="00855DB6">
            <w:pPr>
              <w:jc w:val="center"/>
              <w:rPr>
                <w:rFonts w:ascii="Arial" w:hAnsi="Arial" w:cs="Arial"/>
                <w:b/>
                <w:bCs/>
                <w:sz w:val="18"/>
                <w:szCs w:val="18"/>
                <w:lang w:val="en-ID" w:eastAsia="en-ID"/>
              </w:rPr>
            </w:pPr>
            <w:r>
              <w:rPr>
                <w:rFonts w:ascii="Arial" w:hAnsi="Arial" w:cs="Arial"/>
                <w:b/>
                <w:bCs/>
                <w:sz w:val="18"/>
                <w:szCs w:val="18"/>
                <w:lang w:val="en-ID" w:eastAsia="en-ID"/>
              </w:rPr>
              <w:t>Root number</w:t>
            </w:r>
          </w:p>
        </w:tc>
      </w:tr>
      <w:tr w:rsidR="00CA33BE" w:rsidRPr="00855DB6" w14:paraId="1B5173BE" w14:textId="77777777" w:rsidTr="00725F2F">
        <w:trPr>
          <w:trHeight w:val="250"/>
        </w:trPr>
        <w:tc>
          <w:tcPr>
            <w:tcW w:w="709" w:type="dxa"/>
            <w:vMerge w:val="restart"/>
            <w:tcBorders>
              <w:top w:val="single" w:sz="6" w:space="0" w:color="auto"/>
              <w:left w:val="nil"/>
              <w:right w:val="nil"/>
            </w:tcBorders>
            <w:shd w:val="clear" w:color="auto" w:fill="auto"/>
            <w:noWrap/>
            <w:vAlign w:val="center"/>
          </w:tcPr>
          <w:p w14:paraId="54E58D44" w14:textId="77777777" w:rsidR="00855DB6" w:rsidRPr="00855DB6" w:rsidRDefault="00855DB6" w:rsidP="00855DB6">
            <w:pPr>
              <w:rPr>
                <w:rFonts w:ascii="Arial" w:hAnsi="Arial" w:cs="Arial"/>
                <w:sz w:val="18"/>
                <w:szCs w:val="18"/>
                <w:lang w:val="en-ID" w:eastAsia="en-ID"/>
              </w:rPr>
            </w:pPr>
            <w:r w:rsidRPr="00855DB6">
              <w:rPr>
                <w:rFonts w:ascii="Arial" w:hAnsi="Arial" w:cs="Arial"/>
                <w:sz w:val="18"/>
                <w:szCs w:val="18"/>
                <w:lang w:val="en-ID" w:eastAsia="en-ID"/>
              </w:rPr>
              <w:t xml:space="preserve">MS </w:t>
            </w:r>
          </w:p>
        </w:tc>
        <w:tc>
          <w:tcPr>
            <w:tcW w:w="851" w:type="dxa"/>
            <w:tcBorders>
              <w:top w:val="single" w:sz="6" w:space="0" w:color="auto"/>
              <w:left w:val="nil"/>
              <w:bottom w:val="nil"/>
              <w:right w:val="nil"/>
            </w:tcBorders>
          </w:tcPr>
          <w:p w14:paraId="05693F80"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w:t>
            </w:r>
          </w:p>
        </w:tc>
        <w:tc>
          <w:tcPr>
            <w:tcW w:w="1463" w:type="dxa"/>
            <w:tcBorders>
              <w:top w:val="single" w:sz="6" w:space="0" w:color="auto"/>
              <w:left w:val="nil"/>
              <w:bottom w:val="nil"/>
              <w:right w:val="nil"/>
            </w:tcBorders>
            <w:vAlign w:val="bottom"/>
          </w:tcPr>
          <w:p w14:paraId="31B5C427"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2,16 a</w:t>
            </w:r>
          </w:p>
        </w:tc>
        <w:tc>
          <w:tcPr>
            <w:tcW w:w="1329" w:type="dxa"/>
            <w:tcBorders>
              <w:top w:val="single" w:sz="6" w:space="0" w:color="auto"/>
              <w:left w:val="nil"/>
              <w:bottom w:val="nil"/>
              <w:right w:val="nil"/>
            </w:tcBorders>
            <w:shd w:val="clear" w:color="auto" w:fill="auto"/>
            <w:vAlign w:val="bottom"/>
          </w:tcPr>
          <w:p w14:paraId="2532DDEB"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0,95 b</w:t>
            </w:r>
          </w:p>
        </w:tc>
        <w:tc>
          <w:tcPr>
            <w:tcW w:w="1586" w:type="dxa"/>
            <w:tcBorders>
              <w:top w:val="single" w:sz="6" w:space="0" w:color="auto"/>
              <w:left w:val="nil"/>
              <w:bottom w:val="nil"/>
              <w:right w:val="nil"/>
            </w:tcBorders>
            <w:vAlign w:val="bottom"/>
          </w:tcPr>
          <w:p w14:paraId="2B783A5E"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6,96 b</w:t>
            </w:r>
          </w:p>
        </w:tc>
        <w:tc>
          <w:tcPr>
            <w:tcW w:w="1586" w:type="dxa"/>
            <w:tcBorders>
              <w:top w:val="single" w:sz="6" w:space="0" w:color="auto"/>
              <w:left w:val="nil"/>
              <w:bottom w:val="nil"/>
              <w:right w:val="nil"/>
            </w:tcBorders>
            <w:shd w:val="clear" w:color="auto" w:fill="auto"/>
            <w:vAlign w:val="bottom"/>
          </w:tcPr>
          <w:p w14:paraId="3E63F241"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4,00 b</w:t>
            </w:r>
          </w:p>
        </w:tc>
      </w:tr>
      <w:tr w:rsidR="00CA33BE" w:rsidRPr="00855DB6" w14:paraId="67AA4B32" w14:textId="77777777" w:rsidTr="00D20EBB">
        <w:trPr>
          <w:trHeight w:val="250"/>
        </w:trPr>
        <w:tc>
          <w:tcPr>
            <w:tcW w:w="709" w:type="dxa"/>
            <w:vMerge/>
            <w:tcBorders>
              <w:left w:val="nil"/>
              <w:right w:val="nil"/>
            </w:tcBorders>
            <w:shd w:val="clear" w:color="auto" w:fill="auto"/>
            <w:noWrap/>
            <w:vAlign w:val="center"/>
          </w:tcPr>
          <w:p w14:paraId="1ED2087B"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7A9C22F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B0.5</w:t>
            </w:r>
          </w:p>
        </w:tc>
        <w:tc>
          <w:tcPr>
            <w:tcW w:w="1463" w:type="dxa"/>
            <w:tcBorders>
              <w:top w:val="nil"/>
              <w:left w:val="nil"/>
              <w:bottom w:val="nil"/>
              <w:right w:val="nil"/>
            </w:tcBorders>
            <w:vAlign w:val="bottom"/>
          </w:tcPr>
          <w:p w14:paraId="52F60DC2"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2,47 ab</w:t>
            </w:r>
          </w:p>
        </w:tc>
        <w:tc>
          <w:tcPr>
            <w:tcW w:w="1329" w:type="dxa"/>
            <w:tcBorders>
              <w:top w:val="nil"/>
              <w:left w:val="nil"/>
              <w:bottom w:val="nil"/>
              <w:right w:val="nil"/>
            </w:tcBorders>
            <w:shd w:val="clear" w:color="auto" w:fill="auto"/>
            <w:vAlign w:val="bottom"/>
          </w:tcPr>
          <w:p w14:paraId="447AB5F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0,73 ab</w:t>
            </w:r>
          </w:p>
        </w:tc>
        <w:tc>
          <w:tcPr>
            <w:tcW w:w="1586" w:type="dxa"/>
            <w:tcBorders>
              <w:top w:val="nil"/>
              <w:left w:val="nil"/>
              <w:bottom w:val="nil"/>
              <w:right w:val="nil"/>
            </w:tcBorders>
            <w:vAlign w:val="bottom"/>
          </w:tcPr>
          <w:p w14:paraId="32A3096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6,70 ab</w:t>
            </w:r>
          </w:p>
        </w:tc>
        <w:tc>
          <w:tcPr>
            <w:tcW w:w="1586" w:type="dxa"/>
            <w:tcBorders>
              <w:top w:val="nil"/>
              <w:left w:val="nil"/>
              <w:bottom w:val="nil"/>
              <w:right w:val="nil"/>
            </w:tcBorders>
            <w:shd w:val="clear" w:color="auto" w:fill="auto"/>
            <w:vAlign w:val="bottom"/>
          </w:tcPr>
          <w:p w14:paraId="33ABFA3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1,07 ab</w:t>
            </w:r>
          </w:p>
        </w:tc>
      </w:tr>
      <w:tr w:rsidR="00CA33BE" w:rsidRPr="00855DB6" w14:paraId="6B7C2B6C" w14:textId="77777777" w:rsidTr="00D20EBB">
        <w:trPr>
          <w:trHeight w:val="250"/>
        </w:trPr>
        <w:tc>
          <w:tcPr>
            <w:tcW w:w="709" w:type="dxa"/>
            <w:vMerge/>
            <w:tcBorders>
              <w:left w:val="nil"/>
              <w:right w:val="nil"/>
            </w:tcBorders>
            <w:shd w:val="clear" w:color="auto" w:fill="auto"/>
            <w:noWrap/>
            <w:vAlign w:val="center"/>
          </w:tcPr>
          <w:p w14:paraId="0B13A0BF"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0B0A823A"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B1</w:t>
            </w:r>
          </w:p>
        </w:tc>
        <w:tc>
          <w:tcPr>
            <w:tcW w:w="1463" w:type="dxa"/>
            <w:tcBorders>
              <w:top w:val="nil"/>
              <w:left w:val="nil"/>
              <w:bottom w:val="nil"/>
              <w:right w:val="nil"/>
            </w:tcBorders>
            <w:vAlign w:val="bottom"/>
          </w:tcPr>
          <w:p w14:paraId="2D329F72"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2,80 b</w:t>
            </w:r>
          </w:p>
        </w:tc>
        <w:tc>
          <w:tcPr>
            <w:tcW w:w="1329" w:type="dxa"/>
            <w:tcBorders>
              <w:top w:val="nil"/>
              <w:left w:val="nil"/>
              <w:bottom w:val="nil"/>
              <w:right w:val="nil"/>
            </w:tcBorders>
            <w:shd w:val="clear" w:color="auto" w:fill="auto"/>
            <w:vAlign w:val="bottom"/>
          </w:tcPr>
          <w:p w14:paraId="0A1BB0FC"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0,69 ab</w:t>
            </w:r>
          </w:p>
        </w:tc>
        <w:tc>
          <w:tcPr>
            <w:tcW w:w="1586" w:type="dxa"/>
            <w:tcBorders>
              <w:top w:val="nil"/>
              <w:left w:val="nil"/>
              <w:bottom w:val="nil"/>
              <w:right w:val="nil"/>
            </w:tcBorders>
            <w:vAlign w:val="bottom"/>
          </w:tcPr>
          <w:p w14:paraId="63615B7B" w14:textId="5BC347DE"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 xml:space="preserve">6,60 </w:t>
            </w:r>
            <w:r w:rsidR="00CA33BE" w:rsidRPr="00CA33BE">
              <w:rPr>
                <w:rFonts w:ascii="Arial" w:hAnsi="Arial" w:cs="Arial"/>
                <w:sz w:val="18"/>
                <w:szCs w:val="18"/>
                <w:lang w:val="en-ID" w:eastAsia="en-ID"/>
              </w:rPr>
              <w:t>a</w:t>
            </w:r>
            <w:r w:rsidRPr="00855DB6">
              <w:rPr>
                <w:rFonts w:ascii="Arial" w:hAnsi="Arial" w:cs="Arial"/>
                <w:sz w:val="18"/>
                <w:szCs w:val="18"/>
                <w:lang w:val="en-ID" w:eastAsia="en-ID"/>
              </w:rPr>
              <w:t>b</w:t>
            </w:r>
          </w:p>
        </w:tc>
        <w:tc>
          <w:tcPr>
            <w:tcW w:w="1586" w:type="dxa"/>
            <w:tcBorders>
              <w:top w:val="nil"/>
              <w:left w:val="nil"/>
              <w:bottom w:val="nil"/>
              <w:right w:val="nil"/>
            </w:tcBorders>
            <w:shd w:val="clear" w:color="auto" w:fill="auto"/>
            <w:vAlign w:val="bottom"/>
          </w:tcPr>
          <w:p w14:paraId="28FF76C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0,52 ab</w:t>
            </w:r>
          </w:p>
        </w:tc>
      </w:tr>
      <w:tr w:rsidR="00CA33BE" w:rsidRPr="00855DB6" w14:paraId="102EB735" w14:textId="77777777" w:rsidTr="00725F2F">
        <w:trPr>
          <w:trHeight w:val="250"/>
        </w:trPr>
        <w:tc>
          <w:tcPr>
            <w:tcW w:w="709" w:type="dxa"/>
            <w:vMerge/>
            <w:tcBorders>
              <w:left w:val="nil"/>
              <w:bottom w:val="single" w:sz="6" w:space="0" w:color="auto"/>
              <w:right w:val="nil"/>
            </w:tcBorders>
            <w:shd w:val="clear" w:color="auto" w:fill="auto"/>
            <w:noWrap/>
            <w:vAlign w:val="center"/>
            <w:hideMark/>
          </w:tcPr>
          <w:p w14:paraId="159AAF7F"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single" w:sz="6" w:space="0" w:color="auto"/>
              <w:right w:val="nil"/>
            </w:tcBorders>
          </w:tcPr>
          <w:p w14:paraId="6A4B45EB"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B2</w:t>
            </w:r>
          </w:p>
        </w:tc>
        <w:tc>
          <w:tcPr>
            <w:tcW w:w="1463" w:type="dxa"/>
            <w:tcBorders>
              <w:top w:val="nil"/>
              <w:left w:val="nil"/>
              <w:bottom w:val="single" w:sz="6" w:space="0" w:color="auto"/>
              <w:right w:val="nil"/>
            </w:tcBorders>
            <w:vAlign w:val="bottom"/>
          </w:tcPr>
          <w:p w14:paraId="64C63DB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2,94 b</w:t>
            </w:r>
          </w:p>
        </w:tc>
        <w:tc>
          <w:tcPr>
            <w:tcW w:w="1329" w:type="dxa"/>
            <w:tcBorders>
              <w:top w:val="nil"/>
              <w:left w:val="nil"/>
              <w:bottom w:val="single" w:sz="6" w:space="0" w:color="auto"/>
              <w:right w:val="nil"/>
            </w:tcBorders>
            <w:shd w:val="clear" w:color="auto" w:fill="auto"/>
            <w:vAlign w:val="bottom"/>
          </w:tcPr>
          <w:p w14:paraId="243A33D4"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0,72 ab</w:t>
            </w:r>
          </w:p>
        </w:tc>
        <w:tc>
          <w:tcPr>
            <w:tcW w:w="1586" w:type="dxa"/>
            <w:tcBorders>
              <w:top w:val="nil"/>
              <w:left w:val="nil"/>
              <w:bottom w:val="single" w:sz="6" w:space="0" w:color="auto"/>
              <w:right w:val="nil"/>
            </w:tcBorders>
            <w:vAlign w:val="bottom"/>
          </w:tcPr>
          <w:p w14:paraId="67E3152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8,00 b</w:t>
            </w:r>
          </w:p>
        </w:tc>
        <w:tc>
          <w:tcPr>
            <w:tcW w:w="1586" w:type="dxa"/>
            <w:tcBorders>
              <w:top w:val="nil"/>
              <w:left w:val="nil"/>
              <w:bottom w:val="single" w:sz="6" w:space="0" w:color="auto"/>
              <w:right w:val="nil"/>
            </w:tcBorders>
            <w:shd w:val="clear" w:color="auto" w:fill="auto"/>
            <w:vAlign w:val="bottom"/>
          </w:tcPr>
          <w:p w14:paraId="0DAF1113"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0,09 a</w:t>
            </w:r>
          </w:p>
        </w:tc>
      </w:tr>
      <w:tr w:rsidR="00CA33BE" w:rsidRPr="00855DB6" w14:paraId="51B3BA98" w14:textId="77777777" w:rsidTr="00725F2F">
        <w:trPr>
          <w:trHeight w:val="250"/>
        </w:trPr>
        <w:tc>
          <w:tcPr>
            <w:tcW w:w="709" w:type="dxa"/>
            <w:vMerge w:val="restart"/>
            <w:tcBorders>
              <w:top w:val="single" w:sz="6" w:space="0" w:color="auto"/>
              <w:left w:val="nil"/>
              <w:right w:val="nil"/>
            </w:tcBorders>
            <w:shd w:val="clear" w:color="auto" w:fill="auto"/>
            <w:noWrap/>
            <w:vAlign w:val="center"/>
            <w:hideMark/>
          </w:tcPr>
          <w:p w14:paraId="6B3733A9" w14:textId="77777777" w:rsidR="00855DB6" w:rsidRPr="00855DB6" w:rsidRDefault="00855DB6" w:rsidP="00855DB6">
            <w:pPr>
              <w:rPr>
                <w:rFonts w:ascii="Arial" w:hAnsi="Arial" w:cs="Arial"/>
                <w:sz w:val="18"/>
                <w:szCs w:val="18"/>
                <w:lang w:val="en-ID" w:eastAsia="en-ID"/>
              </w:rPr>
            </w:pPr>
            <w:r w:rsidRPr="00855DB6">
              <w:rPr>
                <w:rFonts w:ascii="Arial" w:hAnsi="Arial" w:cs="Arial"/>
                <w:sz w:val="18"/>
                <w:szCs w:val="18"/>
                <w:lang w:val="en-ID" w:eastAsia="en-ID"/>
              </w:rPr>
              <w:t xml:space="preserve">WPM </w:t>
            </w:r>
          </w:p>
        </w:tc>
        <w:tc>
          <w:tcPr>
            <w:tcW w:w="851" w:type="dxa"/>
            <w:tcBorders>
              <w:top w:val="single" w:sz="6" w:space="0" w:color="auto"/>
              <w:left w:val="nil"/>
              <w:bottom w:val="nil"/>
              <w:right w:val="nil"/>
            </w:tcBorders>
          </w:tcPr>
          <w:p w14:paraId="3FC5B83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w:t>
            </w:r>
          </w:p>
        </w:tc>
        <w:tc>
          <w:tcPr>
            <w:tcW w:w="1463" w:type="dxa"/>
            <w:tcBorders>
              <w:top w:val="single" w:sz="6" w:space="0" w:color="auto"/>
              <w:left w:val="nil"/>
              <w:bottom w:val="nil"/>
              <w:right w:val="nil"/>
            </w:tcBorders>
            <w:vAlign w:val="bottom"/>
          </w:tcPr>
          <w:p w14:paraId="1F388C9E"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2,00 a</w:t>
            </w:r>
          </w:p>
        </w:tc>
        <w:tc>
          <w:tcPr>
            <w:tcW w:w="1329" w:type="dxa"/>
            <w:tcBorders>
              <w:top w:val="single" w:sz="6" w:space="0" w:color="auto"/>
              <w:left w:val="nil"/>
              <w:bottom w:val="nil"/>
              <w:right w:val="nil"/>
            </w:tcBorders>
            <w:shd w:val="clear" w:color="auto" w:fill="auto"/>
            <w:vAlign w:val="bottom"/>
          </w:tcPr>
          <w:p w14:paraId="57774830"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0,82 ab</w:t>
            </w:r>
          </w:p>
        </w:tc>
        <w:tc>
          <w:tcPr>
            <w:tcW w:w="1586" w:type="dxa"/>
            <w:tcBorders>
              <w:top w:val="single" w:sz="6" w:space="0" w:color="auto"/>
              <w:left w:val="nil"/>
              <w:bottom w:val="nil"/>
              <w:right w:val="nil"/>
            </w:tcBorders>
            <w:vAlign w:val="bottom"/>
          </w:tcPr>
          <w:p w14:paraId="16193B86"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4,92 a</w:t>
            </w:r>
          </w:p>
        </w:tc>
        <w:tc>
          <w:tcPr>
            <w:tcW w:w="1586" w:type="dxa"/>
            <w:tcBorders>
              <w:top w:val="single" w:sz="6" w:space="0" w:color="auto"/>
              <w:left w:val="nil"/>
              <w:bottom w:val="nil"/>
              <w:right w:val="nil"/>
            </w:tcBorders>
            <w:shd w:val="clear" w:color="auto" w:fill="auto"/>
            <w:vAlign w:val="bottom"/>
          </w:tcPr>
          <w:p w14:paraId="610D2E3D" w14:textId="4731451B"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3,08 b</w:t>
            </w:r>
          </w:p>
        </w:tc>
      </w:tr>
      <w:tr w:rsidR="00CA33BE" w:rsidRPr="00855DB6" w14:paraId="563E3A02" w14:textId="77777777" w:rsidTr="00D20EBB">
        <w:trPr>
          <w:trHeight w:val="250"/>
        </w:trPr>
        <w:tc>
          <w:tcPr>
            <w:tcW w:w="709" w:type="dxa"/>
            <w:vMerge/>
            <w:tcBorders>
              <w:left w:val="nil"/>
              <w:right w:val="nil"/>
            </w:tcBorders>
            <w:shd w:val="clear" w:color="auto" w:fill="auto"/>
            <w:noWrap/>
            <w:vAlign w:val="bottom"/>
          </w:tcPr>
          <w:p w14:paraId="770A2A4A"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5C054740"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B0.5</w:t>
            </w:r>
          </w:p>
        </w:tc>
        <w:tc>
          <w:tcPr>
            <w:tcW w:w="1463" w:type="dxa"/>
            <w:tcBorders>
              <w:top w:val="nil"/>
              <w:left w:val="nil"/>
              <w:bottom w:val="nil"/>
              <w:right w:val="nil"/>
            </w:tcBorders>
            <w:vAlign w:val="bottom"/>
          </w:tcPr>
          <w:p w14:paraId="518B5185"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2,34 a</w:t>
            </w:r>
          </w:p>
        </w:tc>
        <w:tc>
          <w:tcPr>
            <w:tcW w:w="1329" w:type="dxa"/>
            <w:tcBorders>
              <w:top w:val="nil"/>
              <w:left w:val="nil"/>
              <w:bottom w:val="nil"/>
              <w:right w:val="nil"/>
            </w:tcBorders>
            <w:shd w:val="clear" w:color="auto" w:fill="auto"/>
            <w:vAlign w:val="bottom"/>
          </w:tcPr>
          <w:p w14:paraId="68C32B0A"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0,79 ab</w:t>
            </w:r>
          </w:p>
        </w:tc>
        <w:tc>
          <w:tcPr>
            <w:tcW w:w="1586" w:type="dxa"/>
            <w:tcBorders>
              <w:top w:val="nil"/>
              <w:left w:val="nil"/>
              <w:bottom w:val="nil"/>
              <w:right w:val="nil"/>
            </w:tcBorders>
            <w:vAlign w:val="bottom"/>
          </w:tcPr>
          <w:p w14:paraId="225702AA"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6,71 ab</w:t>
            </w:r>
          </w:p>
        </w:tc>
        <w:tc>
          <w:tcPr>
            <w:tcW w:w="1586" w:type="dxa"/>
            <w:tcBorders>
              <w:top w:val="nil"/>
              <w:left w:val="nil"/>
              <w:bottom w:val="nil"/>
              <w:right w:val="nil"/>
            </w:tcBorders>
            <w:shd w:val="clear" w:color="auto" w:fill="auto"/>
            <w:vAlign w:val="bottom"/>
          </w:tcPr>
          <w:p w14:paraId="7F0DFA0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1,11 ab</w:t>
            </w:r>
          </w:p>
        </w:tc>
      </w:tr>
      <w:tr w:rsidR="00CA33BE" w:rsidRPr="00855DB6" w14:paraId="16E9E092" w14:textId="77777777" w:rsidTr="00D20EBB">
        <w:trPr>
          <w:trHeight w:val="250"/>
        </w:trPr>
        <w:tc>
          <w:tcPr>
            <w:tcW w:w="709" w:type="dxa"/>
            <w:vMerge/>
            <w:tcBorders>
              <w:left w:val="nil"/>
              <w:right w:val="nil"/>
            </w:tcBorders>
            <w:shd w:val="clear" w:color="auto" w:fill="auto"/>
            <w:noWrap/>
            <w:vAlign w:val="bottom"/>
          </w:tcPr>
          <w:p w14:paraId="2C44399E"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nil"/>
              <w:right w:val="nil"/>
            </w:tcBorders>
          </w:tcPr>
          <w:p w14:paraId="5063228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B1</w:t>
            </w:r>
          </w:p>
        </w:tc>
        <w:tc>
          <w:tcPr>
            <w:tcW w:w="1463" w:type="dxa"/>
            <w:tcBorders>
              <w:top w:val="nil"/>
              <w:left w:val="nil"/>
              <w:bottom w:val="nil"/>
              <w:right w:val="nil"/>
            </w:tcBorders>
            <w:vAlign w:val="bottom"/>
          </w:tcPr>
          <w:p w14:paraId="0630CE32"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2,84 b</w:t>
            </w:r>
          </w:p>
        </w:tc>
        <w:tc>
          <w:tcPr>
            <w:tcW w:w="1329" w:type="dxa"/>
            <w:tcBorders>
              <w:top w:val="nil"/>
              <w:left w:val="nil"/>
              <w:bottom w:val="nil"/>
              <w:right w:val="nil"/>
            </w:tcBorders>
            <w:shd w:val="clear" w:color="auto" w:fill="auto"/>
            <w:vAlign w:val="bottom"/>
          </w:tcPr>
          <w:p w14:paraId="19630146"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0,67 a</w:t>
            </w:r>
          </w:p>
        </w:tc>
        <w:tc>
          <w:tcPr>
            <w:tcW w:w="1586" w:type="dxa"/>
            <w:tcBorders>
              <w:top w:val="nil"/>
              <w:left w:val="nil"/>
              <w:bottom w:val="nil"/>
              <w:right w:val="nil"/>
            </w:tcBorders>
            <w:vAlign w:val="bottom"/>
          </w:tcPr>
          <w:p w14:paraId="06349B3F"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7,44 b</w:t>
            </w:r>
          </w:p>
        </w:tc>
        <w:tc>
          <w:tcPr>
            <w:tcW w:w="1586" w:type="dxa"/>
            <w:tcBorders>
              <w:top w:val="nil"/>
              <w:left w:val="nil"/>
              <w:bottom w:val="nil"/>
              <w:right w:val="nil"/>
            </w:tcBorders>
            <w:shd w:val="clear" w:color="auto" w:fill="auto"/>
            <w:vAlign w:val="bottom"/>
          </w:tcPr>
          <w:p w14:paraId="2B3477EF"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0,40 ab</w:t>
            </w:r>
          </w:p>
        </w:tc>
      </w:tr>
      <w:tr w:rsidR="00CA33BE" w:rsidRPr="00855DB6" w14:paraId="07D58B95" w14:textId="77777777" w:rsidTr="00725F2F">
        <w:trPr>
          <w:trHeight w:val="250"/>
        </w:trPr>
        <w:tc>
          <w:tcPr>
            <w:tcW w:w="709" w:type="dxa"/>
            <w:vMerge/>
            <w:tcBorders>
              <w:left w:val="nil"/>
              <w:bottom w:val="single" w:sz="6" w:space="0" w:color="auto"/>
              <w:right w:val="nil"/>
            </w:tcBorders>
            <w:shd w:val="clear" w:color="auto" w:fill="auto"/>
            <w:noWrap/>
            <w:vAlign w:val="bottom"/>
          </w:tcPr>
          <w:p w14:paraId="2559053A" w14:textId="77777777" w:rsidR="00855DB6" w:rsidRPr="00855DB6" w:rsidRDefault="00855DB6" w:rsidP="00855DB6">
            <w:pPr>
              <w:rPr>
                <w:rFonts w:ascii="Arial" w:hAnsi="Arial" w:cs="Arial"/>
                <w:sz w:val="18"/>
                <w:szCs w:val="18"/>
                <w:lang w:val="en-ID" w:eastAsia="en-ID"/>
              </w:rPr>
            </w:pPr>
          </w:p>
        </w:tc>
        <w:tc>
          <w:tcPr>
            <w:tcW w:w="851" w:type="dxa"/>
            <w:tcBorders>
              <w:top w:val="nil"/>
              <w:left w:val="nil"/>
              <w:bottom w:val="single" w:sz="6" w:space="0" w:color="auto"/>
              <w:right w:val="nil"/>
            </w:tcBorders>
          </w:tcPr>
          <w:p w14:paraId="632A40C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B2</w:t>
            </w:r>
          </w:p>
        </w:tc>
        <w:tc>
          <w:tcPr>
            <w:tcW w:w="1463" w:type="dxa"/>
            <w:tcBorders>
              <w:top w:val="nil"/>
              <w:left w:val="nil"/>
              <w:bottom w:val="single" w:sz="6" w:space="0" w:color="auto"/>
              <w:right w:val="nil"/>
            </w:tcBorders>
            <w:vAlign w:val="bottom"/>
          </w:tcPr>
          <w:p w14:paraId="67043A21"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2,87 b</w:t>
            </w:r>
          </w:p>
        </w:tc>
        <w:tc>
          <w:tcPr>
            <w:tcW w:w="1329" w:type="dxa"/>
            <w:tcBorders>
              <w:top w:val="nil"/>
              <w:left w:val="nil"/>
              <w:bottom w:val="single" w:sz="6" w:space="0" w:color="auto"/>
              <w:right w:val="nil"/>
            </w:tcBorders>
            <w:shd w:val="clear" w:color="auto" w:fill="auto"/>
            <w:vAlign w:val="bottom"/>
          </w:tcPr>
          <w:p w14:paraId="2836FF66"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0,86 b</w:t>
            </w:r>
          </w:p>
        </w:tc>
        <w:tc>
          <w:tcPr>
            <w:tcW w:w="1586" w:type="dxa"/>
            <w:tcBorders>
              <w:top w:val="nil"/>
              <w:left w:val="nil"/>
              <w:bottom w:val="single" w:sz="6" w:space="0" w:color="auto"/>
              <w:right w:val="nil"/>
            </w:tcBorders>
            <w:vAlign w:val="bottom"/>
          </w:tcPr>
          <w:p w14:paraId="60F0A5BF"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7,93 b</w:t>
            </w:r>
          </w:p>
        </w:tc>
        <w:tc>
          <w:tcPr>
            <w:tcW w:w="1586" w:type="dxa"/>
            <w:tcBorders>
              <w:top w:val="nil"/>
              <w:left w:val="nil"/>
              <w:bottom w:val="single" w:sz="6" w:space="0" w:color="auto"/>
              <w:right w:val="nil"/>
            </w:tcBorders>
            <w:shd w:val="clear" w:color="auto" w:fill="auto"/>
            <w:vAlign w:val="bottom"/>
          </w:tcPr>
          <w:p w14:paraId="0B138B59" w14:textId="77777777" w:rsidR="00855DB6" w:rsidRPr="00855DB6" w:rsidRDefault="00855DB6" w:rsidP="00855DB6">
            <w:pPr>
              <w:jc w:val="right"/>
              <w:rPr>
                <w:rFonts w:ascii="Arial" w:hAnsi="Arial" w:cs="Arial"/>
                <w:sz w:val="18"/>
                <w:szCs w:val="18"/>
                <w:lang w:val="en-ID" w:eastAsia="en-ID"/>
              </w:rPr>
            </w:pPr>
            <w:r w:rsidRPr="00855DB6">
              <w:rPr>
                <w:rFonts w:ascii="Arial" w:hAnsi="Arial" w:cs="Arial"/>
                <w:sz w:val="18"/>
                <w:szCs w:val="18"/>
                <w:lang w:val="en-ID" w:eastAsia="en-ID"/>
              </w:rPr>
              <w:t>0,20 ab</w:t>
            </w:r>
          </w:p>
        </w:tc>
      </w:tr>
    </w:tbl>
    <w:p w14:paraId="26589A17" w14:textId="339DF579" w:rsidR="00855DB6" w:rsidRDefault="00351B54" w:rsidP="00855DB6">
      <w:pPr>
        <w:jc w:val="both"/>
        <w:rPr>
          <w:rFonts w:ascii="Arial" w:hAnsi="Arial" w:cs="Arial"/>
          <w:lang w:val="en-ID"/>
        </w:rPr>
      </w:pPr>
      <w:r>
        <w:rPr>
          <w:rFonts w:ascii="Arial" w:hAnsi="Arial" w:cs="Arial"/>
          <w:lang w:val="en-ID"/>
        </w:rPr>
        <w:t>Note</w:t>
      </w:r>
      <w:r w:rsidR="00855DB6" w:rsidRPr="00351B54">
        <w:rPr>
          <w:rFonts w:ascii="Arial" w:hAnsi="Arial" w:cs="Arial"/>
          <w:lang w:val="en-ID"/>
        </w:rPr>
        <w:t xml:space="preserve">: </w:t>
      </w:r>
      <w:r w:rsidRPr="00351B54">
        <w:rPr>
          <w:rFonts w:ascii="Arial" w:hAnsi="Arial" w:cs="Arial"/>
          <w:lang w:val="en-ID"/>
        </w:rPr>
        <w:t>numbers followed by the same letter in each growth parameter indicate no significant difference.</w:t>
      </w:r>
    </w:p>
    <w:p w14:paraId="20C29AAA" w14:textId="77777777" w:rsidR="00565212" w:rsidRPr="00351B54" w:rsidRDefault="00565212" w:rsidP="00855DB6">
      <w:pPr>
        <w:jc w:val="both"/>
        <w:rPr>
          <w:rFonts w:ascii="Arial" w:hAnsi="Arial" w:cs="Arial"/>
          <w:lang w:val="en-ID"/>
        </w:rPr>
      </w:pPr>
    </w:p>
    <w:p w14:paraId="12CD1D65" w14:textId="3ED1141A" w:rsidR="00565212" w:rsidRDefault="00482422" w:rsidP="00565212">
      <w:pPr>
        <w:jc w:val="both"/>
        <w:rPr>
          <w:rFonts w:ascii="Arial" w:hAnsi="Arial" w:cs="Arial"/>
          <w:lang w:val="en-ID"/>
        </w:rPr>
      </w:pPr>
      <w:bookmarkStart w:id="6" w:name="_Hlk198563040"/>
      <w:r w:rsidRPr="00482422">
        <w:rPr>
          <w:rFonts w:ascii="Arial" w:hAnsi="Arial" w:cs="Arial"/>
          <w:lang w:val="en-ID"/>
        </w:rPr>
        <w:t>In 3-week-old culture, MS media without BAP was able to form more roots than WPM media without BAP</w:t>
      </w:r>
      <w:r w:rsidR="00797899">
        <w:rPr>
          <w:rFonts w:ascii="Arial" w:hAnsi="Arial" w:cs="Arial"/>
          <w:lang w:val="en-ID"/>
        </w:rPr>
        <w:t xml:space="preserve"> </w:t>
      </w:r>
      <w:r w:rsidR="00797899" w:rsidRPr="00797899">
        <w:rPr>
          <w:rFonts w:ascii="Arial" w:hAnsi="Arial" w:cs="Arial"/>
          <w:lang w:val="en-ID"/>
        </w:rPr>
        <w:t>and in 6-week-old cultures the number increased</w:t>
      </w:r>
      <w:r w:rsidR="00797899">
        <w:rPr>
          <w:rFonts w:ascii="Arial" w:hAnsi="Arial" w:cs="Arial"/>
          <w:lang w:val="en-ID"/>
        </w:rPr>
        <w:t xml:space="preserve"> </w:t>
      </w:r>
      <w:r w:rsidR="00797899" w:rsidRPr="009D1F9F">
        <w:rPr>
          <w:rFonts w:ascii="Arial" w:hAnsi="Arial" w:cs="Arial"/>
          <w:lang w:val="en-ID"/>
        </w:rPr>
        <w:t>(Fig</w:t>
      </w:r>
      <w:r w:rsidR="00797899">
        <w:rPr>
          <w:rFonts w:ascii="Arial" w:hAnsi="Arial" w:cs="Arial"/>
          <w:lang w:val="en-ID"/>
        </w:rPr>
        <w:t>.</w:t>
      </w:r>
      <w:r w:rsidR="00797899" w:rsidRPr="009D1F9F">
        <w:rPr>
          <w:rFonts w:ascii="Arial" w:hAnsi="Arial" w:cs="Arial"/>
          <w:lang w:val="en-ID"/>
        </w:rPr>
        <w:t xml:space="preserve"> 1C)</w:t>
      </w:r>
      <w:r w:rsidRPr="00482422">
        <w:rPr>
          <w:rFonts w:ascii="Arial" w:hAnsi="Arial" w:cs="Arial"/>
          <w:lang w:val="en-ID"/>
        </w:rPr>
        <w:t>. This shows that endogenous hormone levels are sufficient to induce root</w:t>
      </w:r>
      <w:r w:rsidR="00904ADA">
        <w:rPr>
          <w:rFonts w:ascii="Arial" w:hAnsi="Arial" w:cs="Arial"/>
          <w:lang w:val="en-ID"/>
        </w:rPr>
        <w:t xml:space="preserve"> formation</w:t>
      </w:r>
      <w:r w:rsidRPr="00482422">
        <w:rPr>
          <w:rFonts w:ascii="Arial" w:hAnsi="Arial" w:cs="Arial"/>
          <w:lang w:val="en-ID"/>
        </w:rPr>
        <w:t xml:space="preserve">. </w:t>
      </w:r>
      <w:r w:rsidR="00904ADA" w:rsidRPr="00904ADA">
        <w:rPr>
          <w:rFonts w:ascii="Arial" w:hAnsi="Arial" w:cs="Arial"/>
          <w:lang w:val="en-ID"/>
        </w:rPr>
        <w:t xml:space="preserve">However, the addition of exogenous BAP at a concentration of 0.5 - 2 mg/l seems to make the hormone ratio needed for root initiation inappropriate so that root formation does not occur. </w:t>
      </w:r>
      <w:r w:rsidR="00797899" w:rsidRPr="00797899">
        <w:rPr>
          <w:rFonts w:ascii="Arial" w:hAnsi="Arial" w:cs="Arial"/>
          <w:lang w:val="en-ID"/>
        </w:rPr>
        <w:t xml:space="preserve">In the 6-week-old culture, shoots on all </w:t>
      </w:r>
      <w:r w:rsidR="00797899">
        <w:rPr>
          <w:rFonts w:ascii="Arial" w:hAnsi="Arial" w:cs="Arial"/>
          <w:lang w:val="en-ID"/>
        </w:rPr>
        <w:t xml:space="preserve">MS and WPM </w:t>
      </w:r>
      <w:r w:rsidR="00797899" w:rsidRPr="00797899">
        <w:rPr>
          <w:rFonts w:ascii="Arial" w:hAnsi="Arial" w:cs="Arial"/>
          <w:lang w:val="en-ID"/>
        </w:rPr>
        <w:t>shoot induction media with the addition of BAP began to appear to form roots in small amounts</w:t>
      </w:r>
      <w:r w:rsidR="00797899">
        <w:rPr>
          <w:rFonts w:ascii="Arial" w:hAnsi="Arial" w:cs="Arial"/>
          <w:lang w:val="en-ID"/>
        </w:rPr>
        <w:t xml:space="preserve"> of 2,76 and 1,64 respectively</w:t>
      </w:r>
      <w:r w:rsidR="00565212" w:rsidRPr="009D1F9F">
        <w:rPr>
          <w:rFonts w:ascii="Arial" w:hAnsi="Arial" w:cs="Arial"/>
          <w:lang w:val="en-ID"/>
        </w:rPr>
        <w:t xml:space="preserve">. Meanwhile, in explants originating from 4-week-old </w:t>
      </w:r>
      <w:r w:rsidR="00565212">
        <w:rPr>
          <w:rFonts w:ascii="Arial" w:hAnsi="Arial" w:cs="Arial"/>
          <w:lang w:val="en-ID"/>
        </w:rPr>
        <w:t>seedling</w:t>
      </w:r>
      <w:r w:rsidR="00565212" w:rsidRPr="009D1F9F">
        <w:rPr>
          <w:rFonts w:ascii="Arial" w:hAnsi="Arial" w:cs="Arial"/>
          <w:lang w:val="en-ID"/>
        </w:rPr>
        <w:t xml:space="preserve">s, roots were only produced on media without the addition of BAP and WPM media + 0.5 </w:t>
      </w:r>
      <w:r w:rsidR="00565212">
        <w:rPr>
          <w:rFonts w:ascii="Arial" w:hAnsi="Arial" w:cs="Arial"/>
          <w:lang w:val="en-ID"/>
        </w:rPr>
        <w:t xml:space="preserve">mg/l </w:t>
      </w:r>
      <w:r w:rsidR="00565212" w:rsidRPr="009D1F9F">
        <w:rPr>
          <w:rFonts w:ascii="Arial" w:hAnsi="Arial" w:cs="Arial"/>
          <w:lang w:val="en-ID"/>
        </w:rPr>
        <w:t>BAP with an average number of roots of 0.08 (data not shown).</w:t>
      </w:r>
    </w:p>
    <w:p w14:paraId="61ED6B87" w14:textId="5BC35F6A" w:rsidR="00565212" w:rsidRPr="00A57087" w:rsidRDefault="0024582B" w:rsidP="00565212">
      <w:pPr>
        <w:spacing w:after="160"/>
        <w:jc w:val="both"/>
        <w:rPr>
          <w:rFonts w:ascii="Arial" w:hAnsi="Arial" w:cs="Arial"/>
          <w:lang w:val="en-ID"/>
        </w:rPr>
      </w:pPr>
      <w:r w:rsidRPr="0024582B">
        <w:rPr>
          <w:rFonts w:ascii="Arial" w:hAnsi="Arial" w:cs="Arial"/>
          <w:lang w:val="en-ID"/>
        </w:rPr>
        <w:t xml:space="preserve">Apart from several Ficus species such as </w:t>
      </w:r>
      <w:r w:rsidRPr="008F2FD0">
        <w:rPr>
          <w:rFonts w:ascii="Arial" w:hAnsi="Arial" w:cs="Arial"/>
          <w:i/>
          <w:iCs/>
          <w:lang w:val="en-ID"/>
        </w:rPr>
        <w:t>F. religiosa</w:t>
      </w:r>
      <w:r>
        <w:rPr>
          <w:rFonts w:ascii="Arial" w:hAnsi="Arial" w:cs="Arial"/>
          <w:lang w:val="en-ID"/>
        </w:rPr>
        <w:t xml:space="preserve"> </w:t>
      </w:r>
      <w:r>
        <w:rPr>
          <w:rFonts w:ascii="Arial" w:hAnsi="Arial" w:cs="Arial"/>
          <w:lang w:val="en-ID"/>
        </w:rPr>
        <w:fldChar w:fldCharType="begin" w:fldLock="1"/>
      </w:r>
      <w:r w:rsidR="001E61FF">
        <w:rPr>
          <w:rFonts w:ascii="Arial" w:hAnsi="Arial" w:cs="Arial"/>
          <w:lang w:val="en-ID"/>
        </w:rPr>
        <w:instrText>ADDIN CSL_CITATION {"citationItems":[{"id":"ITEM-1","itemData":{"DOI":"10.1007/s12892-018-0024-0","ISSN":"20058276","abstract":"The aim of this study is to introduce the suitable protocol for indirect regeneration from seedling-derived leaf segment of Ficus religiosa. The leaf explant successfully produced callus on MS medium containing various concentrations of auxin in combination with BAP. The maximum callus induction (100%) was achieved in MS medium containing 0.5 mg/l 2,4-D plus 0.05 mg/l BAP and MS medium containing 1.5 mg/l NAA plus 0.15 mg/l BAP as well. MS medium consisting of 2,4-D produced yellow-brownish and friable callus (type I) while the yellowish and compact calli (type II) were obtained in MS medium consisting of NAA. On the other hand, MS medium supplemented with IBA formed greenish and compact calli (type Ш). The regeneration rate in type II callus was less than the type I, and there was no shoot induction observed on type Ш calli. MS medium supplemented with 1.5 mg/l BAP in combination with 0.15 mg/l IBA had the highest regeneration frequency (100%) and maximum shoot numbers (5.16) as well as shoot length (2.56 cm) in type I callus. A maximum of 93.33% root induction was observed in MS medium supplemented with 2.0 mg/l IBA plus 0.1mg/l NAA. The plantlets were successfully transferred to the greenhouse. This system could be utilized for large-scale multiplication of Ficus religiosa.","author":[{"dropping-particle":"","family":"Hesami","given":"Mohsen","non-dropping-particle":"","parse-names":false,"suffix":""},{"dropping-particle":"","family":"Daneshvar","given":"Mohammad Hosein","non-dropping-particle":"","parse-names":false,"suffix":""}],"container-title":"Journal of Crop Science and Biotechnology","id":"ITEM-1","issue":"2","issued":{"date-parts":[["2018"]]},"page":"129-136","title":"Indirect Organogenesis through Seedling-Derived Leaf Segments of Ficus Religiosa - a Multipurpose Woody Medicinal Plant","type":"article-journal","volume":"21"},"uris":["http://www.mendeley.com/documents/?uuid=333fef51-a96a-4eca-a37b-4ecb0d619dfa"]},{"id":"ITEM-2","itemData":{"DOI":"10.1007/s13205-013-0175-8","ISBN":"1320501301758","ISSN":"21905738","abstract":"A high-frequency, season-independent, in vitro regeneration of Ficusreligiosa was developed, followed by comparative acetylcholinesterase inhibitory (AChEI) activity assay of the in vitro raised and conventionally grown plants. The use of AChEI activity is the most accepted strategy for the treatment of Alzheimer disease. Fully expanded, mature leaves were cut into different segments to initiate the cultures. The middle section of the leaf in vertical orientation with cut portion inserted inside the medium was found most suitable for direct shoot regeneration. Leaf explants responded with nearly consistent frequency (60–66.67 %) throughout the year. To obtain high frequency response with enhanced shoot multiplication rate, 32 plant growth regulator regimes were screened amongst which benzylaminopurine at 5.0 mg/l was found most suitable, yielding 100 % response and maximum number of shoots per explant (7.93); same concentration was also most supportive for repeated multiplication (6.53 shoots). The quality of the shoots and multiplication rate could be significantly enhanced (24.35 shoots) when adenine sulphate, glutamine and phloroglucinol, in an optimised concentration, were additionally supplemented. The clonal nature of the micropropagated plants was confirmed by random amplified polymorphic DNA analysis. A comparative analysis of AChEI activity was carried out amongst the methanolic extracts of stem segments of the mother plant, randomly selected seedlings of different age (4 and 6 months old) of the same mother plant and randomly selected micropropagated plants of different age (3 and 6 months age). The mother plant sample showed effective AChEI activity, with IC50 of 66.46 μg/ml while seedlings, of different age groups, performed poorly (6-month-old seedlings, Se-16M, yielded IC50 of 20,538.46 μg/ml, while two randomly selected 4 months’ aged seedlings, Se-24M and Se-34M exhibited IC50 of 19,341.03 and 24,281.70 μg/ml). On the other hand, various micropropagated plants, 2 of 3 months (MiP-13M, MiP-23M) and 2 of 6 months (MiP-36M and MiP-46M) age behaved like the mother plant, exhibiting IC50 values of 71.87, 72.91, 67.65 and 69.65 μg/ml, respectively.","author":[{"dropping-particle":"","family":"Siwach","given":"Priyanka","non-dropping-particle":"","parse-names":false,"suffix":""},{"dropping-particle":"","family":"Gill","given":"Anita Rani","non-dropping-particle":"","parse-names":false,"suffix":""}],"container-title":"3 Biotech","id":"ITEM-2","issue":"5","issued":{"date-parts":[["2014"]]},"page":"477-491","title":"Micropropagation of Ficus religiosa L. via leaf explants and comparative evaluation of acetylcholinesterase inhibitory activity in the micropropagated and conventionally grown plants","type":"article-journal","volume":"4"},"uris":["http://www.mendeley.com/documents/?uuid=c65ccccf-07fe-4d46-be64-ce53d173f3a6"]}],"mendeley":{"formattedCitation":"(10,20)","plainTextFormattedCitation":"(10,20)","previouslyFormattedCitation":"(10,20)"},"properties":{"noteIndex":0},"schema":"https://github.com/citation-style-language/schema/raw/master/csl-citation.json"}</w:instrText>
      </w:r>
      <w:r>
        <w:rPr>
          <w:rFonts w:ascii="Arial" w:hAnsi="Arial" w:cs="Arial"/>
          <w:lang w:val="en-ID"/>
        </w:rPr>
        <w:fldChar w:fldCharType="separate"/>
      </w:r>
      <w:r w:rsidR="001039A5" w:rsidRPr="001039A5">
        <w:rPr>
          <w:rFonts w:ascii="Arial" w:hAnsi="Arial" w:cs="Arial"/>
          <w:noProof/>
          <w:lang w:val="en-ID"/>
        </w:rPr>
        <w:t>(10,20)</w:t>
      </w:r>
      <w:r>
        <w:rPr>
          <w:rFonts w:ascii="Arial" w:hAnsi="Arial" w:cs="Arial"/>
          <w:lang w:val="en-ID"/>
        </w:rPr>
        <w:fldChar w:fldCharType="end"/>
      </w:r>
      <w:r w:rsidRPr="0024582B">
        <w:rPr>
          <w:rFonts w:ascii="Arial" w:hAnsi="Arial" w:cs="Arial"/>
          <w:lang w:val="en-ID"/>
        </w:rPr>
        <w:t xml:space="preserve">, </w:t>
      </w:r>
      <w:r w:rsidRPr="008F2FD0">
        <w:rPr>
          <w:rFonts w:ascii="Arial" w:hAnsi="Arial" w:cs="Arial"/>
          <w:i/>
          <w:iCs/>
          <w:lang w:val="en-ID"/>
        </w:rPr>
        <w:t>F. carica</w:t>
      </w:r>
      <w:r>
        <w:rPr>
          <w:rFonts w:ascii="Arial" w:hAnsi="Arial" w:cs="Arial"/>
          <w:lang w:val="en-ID"/>
        </w:rPr>
        <w:t xml:space="preserve"> </w:t>
      </w:r>
      <w:r>
        <w:rPr>
          <w:rFonts w:ascii="Arial" w:hAnsi="Arial" w:cs="Arial"/>
          <w:lang w:val="en-ID"/>
        </w:rPr>
        <w:fldChar w:fldCharType="begin" w:fldLock="1"/>
      </w:r>
      <w:r w:rsidR="001E61FF">
        <w:rPr>
          <w:rFonts w:ascii="Arial" w:hAnsi="Arial" w:cs="Arial"/>
          <w:lang w:val="en-ID"/>
        </w:rPr>
        <w:instrText>ADDIN CSL_CITATION {"citationItems":[{"id":"ITEM-1","itemData":{"DOI":"10.1016/j.bcab.2021.102225","ISSN":"18788181","abstract":"Fig (Ficus carica L.) is from the Moraceae family and is rich in essential nutrients, natural fiber and vitamins. The Golden Orphan cultivar is a yellow fig that is sweet, firm and can thrive in tropical climates. Current conventional propagation methods for the multiplication of plant stocks were found to be less efficient in producing healthy plant stocks. Micropropagation offers an alternative in the production of plant stocks resembling the quality of mother plants. The current study aims to fine tune the micropropagation protocol of the Golden Orphan cultivar for efficient production of plant stocks. Sterile nodal bud explants were subjected to different media treatments, carbon source and combinations of auxin and cytokinin. Rooting of explants was induced in auxin and rooted explants were acclimatized in cocopeat. The optimal basal medium for shoot elongation was Murashige and Skoog (MS) Medium, whereas 20 g/L sucrose resulted in the highest shoot length (2.00 ± 0.22 cm) facilitating the production of nodal segments for subsequent multiplication. The highest shoot induction (4.15 ± 0.43 shoots/explant) was observed in the treatment of 0.8 mg/L 6-Benzylaminopurine (BAP), whereas the combination of 0.8 mg/L BAP and 0.5 mg/L indole-3-acetic acid (IAA) resulted in the highest shoot length (2.23 ± 0.09 cm). Treatment of 0.4 mg/L indole-3-butyric acid (IBA) produced the optimal percentage of rooting (83.33%) whereas acclimatization with cocopeat resulted in maximum survival rate. The present study has successfully optimised the crucial aspects of micropropagation for the Golden Orphan cultivar suitable for rapid plant stock production.","author":[{"dropping-particle":"","family":"Sriskanda","given":"Dahmendra","non-dropping-particle":"","parse-names":false,"suffix":""},{"dropping-particle":"","family":"Liew","given":"Yoon Xuan","non-dropping-particle":"","parse-names":false,"suffix":""},{"dropping-particle":"","family":"Khor","given":"Soo Ping","non-dropping-particle":"","parse-names":false,"suffix":""},{"dropping-particle":"","family":"Merican","given":"Faradina","non-dropping-particle":"","parse-names":false,"suffix":""},{"dropping-particle":"","family":"Subramaniam","given":"Sreeramanan","non-dropping-particle":"","parse-names":false,"suffix":""},{"dropping-particle":"","family":"Chew","given":"Bee Lynn","non-dropping-particle":"","parse-names":false,"suffix":""}],"container-title":"Biocatalysis and Agricultural Biotechnology","id":"ITEM-1","issue":"November","issued":{"date-parts":[["2021"]]},"page":"102225","publisher":"Elsevier Ltd","title":"An efficient micropropagation protocol for Ficus carica cv. Golden Orphan suitable for mass propagation","type":"article-journal","volume":"38"},"uris":["http://www.mendeley.com/documents/?uuid=96775d23-9400-4a93-b0f3-0662b4b024c6"]},{"id":"ITEM-2","itemData":{"DOI":"10.26480/mjsa.01.2020.26.28","ISSN":"25212931","author":[{"dropping-particle":"","family":"Azhar","given":"Nur Atikah","non-dropping-particle":"","parse-names":false,"suffix":""},{"dropping-particle":"","family":"Zainuddin","given":"Zarina","non-dropping-particle":"","parse-names":false,"suffix":""}],"container-title":"Malaysian Journal of Sustainable Agriculture","id":"ITEM-2","issue":"1","issued":{"date-parts":[["2020"]]},"page":"26-28","title":"Tissue culture of Ficus carica Variety BTM-6","type":"article-journal","volume":"4"},"uris":["http://www.mendeley.com/documents/?uuid=64ef7edc-ce62-486f-8ac5-bf7005839323"]}],"mendeley":{"formattedCitation":"(4,16)","plainTextFormattedCitation":"(4,16)","previouslyFormattedCitation":"(4,16)"},"properties":{"noteIndex":0},"schema":"https://github.com/citation-style-language/schema/raw/master/csl-citation.json"}</w:instrText>
      </w:r>
      <w:r>
        <w:rPr>
          <w:rFonts w:ascii="Arial" w:hAnsi="Arial" w:cs="Arial"/>
          <w:lang w:val="en-ID"/>
        </w:rPr>
        <w:fldChar w:fldCharType="separate"/>
      </w:r>
      <w:r w:rsidR="001039A5" w:rsidRPr="001039A5">
        <w:rPr>
          <w:rFonts w:ascii="Arial" w:hAnsi="Arial" w:cs="Arial"/>
          <w:noProof/>
          <w:lang w:val="en-ID"/>
        </w:rPr>
        <w:t>(4,16)</w:t>
      </w:r>
      <w:r>
        <w:rPr>
          <w:rFonts w:ascii="Arial" w:hAnsi="Arial" w:cs="Arial"/>
          <w:lang w:val="en-ID"/>
        </w:rPr>
        <w:fldChar w:fldCharType="end"/>
      </w:r>
      <w:r w:rsidRPr="001039A5">
        <w:rPr>
          <w:rFonts w:ascii="Arial" w:hAnsi="Arial" w:cs="Arial"/>
          <w:lang w:val="en-ID"/>
        </w:rPr>
        <w:t xml:space="preserve">, and </w:t>
      </w:r>
      <w:r w:rsidRPr="008F2FD0">
        <w:rPr>
          <w:rFonts w:ascii="Arial" w:hAnsi="Arial" w:cs="Arial"/>
          <w:i/>
          <w:iCs/>
          <w:lang w:val="en-ID"/>
        </w:rPr>
        <w:t xml:space="preserve">F. </w:t>
      </w:r>
      <w:proofErr w:type="spellStart"/>
      <w:r w:rsidRPr="008F2FD0">
        <w:rPr>
          <w:rFonts w:ascii="Arial" w:hAnsi="Arial" w:cs="Arial"/>
          <w:i/>
          <w:iCs/>
          <w:lang w:val="en-ID"/>
        </w:rPr>
        <w:t>tikoua</w:t>
      </w:r>
      <w:proofErr w:type="spellEnd"/>
      <w:r w:rsidRPr="001039A5">
        <w:rPr>
          <w:rFonts w:ascii="Arial" w:hAnsi="Arial" w:cs="Arial"/>
          <w:lang w:val="en-ID"/>
        </w:rPr>
        <w:t xml:space="preserve"> </w:t>
      </w:r>
      <w:r>
        <w:rPr>
          <w:rFonts w:ascii="Arial" w:hAnsi="Arial" w:cs="Arial"/>
          <w:lang w:val="en-ID"/>
        </w:rPr>
        <w:fldChar w:fldCharType="begin" w:fldLock="1"/>
      </w:r>
      <w:r w:rsidR="001E61FF">
        <w:rPr>
          <w:rFonts w:ascii="Arial" w:hAnsi="Arial" w:cs="Arial"/>
          <w:lang w:val="en-ID"/>
        </w:rPr>
        <w:instrText>ADDIN CSL_CITATION {"citationItems":[{"id":"ITEM-1","itemData":{"DOI":"10.1007/s11627-024-10414-3","ISSN":"14752689","abstract":"Ficus tikoua Bureau is an ecologically functional perennial vine that belongs to the Moraceae family. Tissue culture is a common method for the rapid propagation of plants and is suitable for the rapid propagation of F. tikoua. The objective of the current study was to evaluate the process of F. tikoua organogenesis in vitro utilizing stem explants. An efficient tissue culture propagation method was developed by manipulating several plant growth regulators (PGRs) and their proportions, as well as evaluating alternative medium options for specific phases of differentiation. Explants were cultured on MS medium, supplemented with various thidiazuron (TDZ) concentrations with 6-benzylaminopurine (BA) and naphthaleneacetic acid (NAA), to investigate their efficacy during in vitro shoot organogenesis. The results demonstrated that the combination of 0.5 mg L−1 BA, 1.0 mg L−1 NAA, and 1.0 mg L−1 TDZ was the most effective for callus formation (91.1%) and that the combination of 2.0 mg L−1 BA and 0.5 mg L−1 TDZ was the most suited for adventitious shoot induction (61.11%). The medium supplemented with 1.0 mg L−1 BA, 1.0 mg L−1 NAA, and 0.5 mg L−1 TDZ yielded the highest bud multiplication number with a 6.05 proliferation factor. The cultured shoots rooted easily on half-strength MS medium containing 1.0 mg L−1 IBA and 0.1 mg L−1 NAA (68.52%). The subsequent regenerated plants were grown in a mixture of garden soil, perlite, and vermiculite in a ratio of 2:1:1, resulting in a survival rate of 86.17%.","author":[{"dropping-particle":"","family":"Li","given":"Xufei","non-dropping-particle":"","parse-names":false,"suffix":""},{"dropping-particle":"","family":"Li","given":"Qianxia","non-dropping-particle":"","parse-names":false,"suffix":""},{"dropping-particle":"","family":"Cui","given":"Ying","non-dropping-particle":"","parse-names":false,"suffix":""},{"dropping-particle":"","family":"Liu","given":"Tongfei","non-dropping-particle":"","parse-names":false,"suffix":""},{"dropping-particle":"","family":"Zhang","given":"Yanni","non-dropping-particle":"","parse-names":false,"suffix":""}],"container-title":"In Vitro Cellular and Developmental Biology - Plant","id":"ITEM-1","issue":"2","issued":{"date-parts":[["2024"]]},"page":"194-201","publisher":"Springer US","title":"Establishment of tissue culture regeneration system of Ficus tikoua","type":"article-journal","volume":"60"},"uris":["http://www.mendeley.com/documents/?uuid=cf4b1940-edf4-49b9-8a06-f67d92045c40"]}],"mendeley":{"formattedCitation":"(21)","plainTextFormattedCitation":"(21)","previouslyFormattedCitation":"(21)"},"properties":{"noteIndex":0},"schema":"https://github.com/citation-style-language/schema/raw/master/csl-citation.json"}</w:instrText>
      </w:r>
      <w:r>
        <w:rPr>
          <w:rFonts w:ascii="Arial" w:hAnsi="Arial" w:cs="Arial"/>
          <w:lang w:val="en-ID"/>
        </w:rPr>
        <w:fldChar w:fldCharType="separate"/>
      </w:r>
      <w:r w:rsidR="001039A5" w:rsidRPr="001039A5">
        <w:rPr>
          <w:rFonts w:ascii="Arial" w:hAnsi="Arial" w:cs="Arial"/>
          <w:noProof/>
          <w:lang w:val="en-ID"/>
        </w:rPr>
        <w:t>(21)</w:t>
      </w:r>
      <w:r>
        <w:rPr>
          <w:rFonts w:ascii="Arial" w:hAnsi="Arial" w:cs="Arial"/>
          <w:lang w:val="en-ID"/>
        </w:rPr>
        <w:fldChar w:fldCharType="end"/>
      </w:r>
      <w:r w:rsidRPr="001039A5">
        <w:rPr>
          <w:rFonts w:ascii="Arial" w:hAnsi="Arial" w:cs="Arial"/>
          <w:lang w:val="en-ID"/>
        </w:rPr>
        <w:t xml:space="preserve">, BAP is also widely used in other forest plant species </w:t>
      </w:r>
      <w:r w:rsidR="00565212" w:rsidRPr="001039A5">
        <w:rPr>
          <w:rFonts w:ascii="Arial" w:hAnsi="Arial" w:cs="Arial"/>
          <w:lang w:val="en-ID"/>
        </w:rPr>
        <w:t>including shoot multiplication in bamboo</w:t>
      </w:r>
      <w:r w:rsidR="00846360" w:rsidRPr="001039A5">
        <w:rPr>
          <w:rFonts w:ascii="Arial" w:hAnsi="Arial" w:cs="Arial"/>
          <w:lang w:val="en-ID"/>
        </w:rPr>
        <w:t xml:space="preserve"> </w:t>
      </w:r>
      <w:r w:rsidR="00846360">
        <w:rPr>
          <w:rFonts w:ascii="Arial" w:hAnsi="Arial" w:cs="Arial"/>
          <w:lang w:val="en-ID"/>
        </w:rPr>
        <w:fldChar w:fldCharType="begin" w:fldLock="1"/>
      </w:r>
      <w:r w:rsidR="004E3048">
        <w:rPr>
          <w:rFonts w:ascii="Arial" w:hAnsi="Arial" w:cs="Arial"/>
          <w:lang w:val="en-ID"/>
        </w:rPr>
        <w:instrText>ADDIN CSL_CITATION {"citationItems":[{"id":"ITEM-1","itemData":{"ISSN":"2349-8242","abstract":"The present experiment was laid out in completely randomized design with 10 different treatments and 3 replications. The 10 different treatments involves use of different concentrations of cytokinin 6-banzylaminopurine (BAP) in Murashinge and skoog media ranging from 0 to 9 mg/lt. The experiment conducted successfully established the in vitro culture of nodal explant of green bamboo Bambusa Balcooa. The sterilization protocol was also successful to avoid contamination. Use of bavisitin, tween 20 and ethanol is enough for disinfection of explant. It was observed that the BAP concatenation of 4mg/lt and 5 mg/lt is best for initiation of shoot bud i.e. breaking dormancy of shoot bud compared to all other treatments. Moreover it was observed that BAP concentration 4mg/lt induces most number of shoots per explant. This treatment T5 is also useful for increasing shoot length and number of leaves per explant after 21 days cycle.","author":[{"dropping-particle":"","family":"Chavan","given":"NS","non-dropping-particle":"","parse-names":false,"suffix":""},{"dropping-particle":"","family":"Kale","given":"SS","non-dropping-particle":"","parse-names":false,"suffix":""},{"dropping-particle":"","family":"Deshmukh","given":"VS","non-dropping-particle":"","parse-names":false,"suffix":""}],"container-title":"~ 161 ~ The Pharma Innovation Journal","id":"ITEM-1","issue":"9","issued":{"date-parts":[["2021"]]},"page":"161-166","title":"Effect of different concentrations of BAP on In vitro shoot multiplication of bamboo","type":"article-journal","volume":"10"},"uris":["http://www.mendeley.com/documents/?uuid=c569b119-c996-409a-9070-ff65ee7fd572"]}],"mendeley":{"formattedCitation":"(30)","plainTextFormattedCitation":"(30)","previouslyFormattedCitation":"(29)"},"properties":{"noteIndex":0},"schema":"https://github.com/citation-style-language/schema/raw/master/csl-citation.json"}</w:instrText>
      </w:r>
      <w:r w:rsidR="00846360">
        <w:rPr>
          <w:rFonts w:ascii="Arial" w:hAnsi="Arial" w:cs="Arial"/>
          <w:lang w:val="en-ID"/>
        </w:rPr>
        <w:fldChar w:fldCharType="separate"/>
      </w:r>
      <w:r w:rsidR="004E3048" w:rsidRPr="004E3048">
        <w:rPr>
          <w:rFonts w:ascii="Arial" w:hAnsi="Arial" w:cs="Arial"/>
          <w:noProof/>
          <w:lang w:val="en-ID"/>
        </w:rPr>
        <w:t>(30)</w:t>
      </w:r>
      <w:r w:rsidR="00846360">
        <w:rPr>
          <w:rFonts w:ascii="Arial" w:hAnsi="Arial" w:cs="Arial"/>
          <w:lang w:val="en-ID"/>
        </w:rPr>
        <w:fldChar w:fldCharType="end"/>
      </w:r>
      <w:r w:rsidR="00565212" w:rsidRPr="009D1F9F">
        <w:rPr>
          <w:rFonts w:ascii="Arial" w:hAnsi="Arial" w:cs="Arial"/>
          <w:lang w:val="en-ID"/>
        </w:rPr>
        <w:t xml:space="preserve">, shoot induction of </w:t>
      </w:r>
      <w:r w:rsidR="00565212" w:rsidRPr="009D1F9F">
        <w:rPr>
          <w:rFonts w:ascii="Arial" w:hAnsi="Arial" w:cs="Arial"/>
          <w:i/>
          <w:iCs/>
          <w:lang w:val="en-ID"/>
        </w:rPr>
        <w:t xml:space="preserve">Quercus </w:t>
      </w:r>
      <w:proofErr w:type="spellStart"/>
      <w:r w:rsidR="00565212" w:rsidRPr="009D1F9F">
        <w:rPr>
          <w:rFonts w:ascii="Arial" w:hAnsi="Arial" w:cs="Arial"/>
          <w:i/>
          <w:iCs/>
          <w:lang w:val="en-ID"/>
        </w:rPr>
        <w:t>robur</w:t>
      </w:r>
      <w:proofErr w:type="spellEnd"/>
      <w:r w:rsidR="00565212" w:rsidRPr="009D1F9F">
        <w:rPr>
          <w:rFonts w:ascii="Arial" w:hAnsi="Arial" w:cs="Arial"/>
          <w:lang w:val="en-ID"/>
        </w:rPr>
        <w:t xml:space="preserve"> </w:t>
      </w:r>
      <w:r w:rsidR="00846360">
        <w:rPr>
          <w:rFonts w:ascii="Arial" w:hAnsi="Arial" w:cs="Arial"/>
          <w:lang w:val="en-ID"/>
        </w:rPr>
        <w:fldChar w:fldCharType="begin" w:fldLock="1"/>
      </w:r>
      <w:r w:rsidR="004E3048">
        <w:rPr>
          <w:rFonts w:ascii="Arial" w:hAnsi="Arial" w:cs="Arial"/>
          <w:lang w:val="en-ID"/>
        </w:rPr>
        <w:instrText>ADDIN CSL_CITATION {"citationItems":[{"id":"ITEM-1","itemData":{"DOI":"10.1007/s11240-022-02339-9","ISBN":"0123456789","ISSN":"15735044","abstract":"For many woody species, such as Quercus robur, cytokinins in the culture medium are required to maintain in vitro plant material. Among synthetic cytokinins, 6-benzylaminopurine (BAP) and kinetin (KIN) are the most frequently used. In addition to inducing shoots, cytokinins can cause morphophysiological disorders. Therefore, we aimed to investigate the anatomical, biochemical, and physiological alterations and profiles of Q. robur shoots exposed to two cytokinins, applied alone and in combination. Shoots previously established in vitro were transferred to WPM culture media supplemented with BAP at concentrations of 0, 1.25, and 3.50 µM combined with KIN at concentrations of 0, 0.62, and 1.25 µM totaling 9 treatments. Anatomical, physiological, and biochemical analyses were performed after 40 days of culture. BAP induced the formation of new buds with anatomically underdeveloped leaves; induced shoot-tip necrosis, which is considered a response to the inefficient transport of water and nutrients; reduced the thickness of the cell walls of phloem fibers; and decreased the content of phenolic compounds and photosynthetic pigments. These responses were less pronounced with co-exposure to KIN. In contrast, KIN alone stimulated a larger area of secondary xylem and more lignified cell walls. BAP can induce shoots with underdeveloped anatomical and biochemical characteristics. Shoots that grew with KIN alone had stem and leaf anatomical characteristics, indicating greater commitment to cellular differentiation than proliferation. When both cytokinins are combined, KIN can partially mitigate the deleterious effects of BAP on in vitro growth.","author":[{"dropping-particle":"","family":"Martins","given":"João Paulo Rodrigues","non-dropping-particle":"","parse-names":false,"suffix":""},{"dropping-particle":"","family":"Wawrzyniak","given":"Mikołaj Krzysztof","non-dropping-particle":"","parse-names":false,"suffix":""},{"dropping-particle":"","family":"Ley-López","given":"Juan Manuel","non-dropping-particle":"","parse-names":false,"suffix":""},{"dropping-particle":"","family":"Kalemba","given":"Ewa Marzena","non-dropping-particle":"","parse-names":false,"suffix":""},{"dropping-particle":"","family":"Mendes","given":"Marcel Merlo","non-dropping-particle":"","parse-names":false,"suffix":""},{"dropping-particle":"","family":"Chmielarz","given":"Paweł","non-dropping-particle":"","parse-names":false,"suffix":""}],"container-title":"Plant Cell, Tissue and Organ Culture","id":"ITEM-1","issue":"1","issued":{"date-parts":[["2022"]]},"page":"149-164","publisher":"Springer Netherlands","title":"6-Benzylaminopurine and kinetin modulations during in vitro propagation of Quercus robur (L.): an assessment of anatomical, biochemical, and physiological profiling of shoots","type":"article-journal","volume":"151"},"uris":["http://www.mendeley.com/documents/?uuid=a365373e-9a93-4494-a078-0c265e33e1c7"]}],"mendeley":{"formattedCitation":"(31)","plainTextFormattedCitation":"(31)","previouslyFormattedCitation":"(30)"},"properties":{"noteIndex":0},"schema":"https://github.com/citation-style-language/schema/raw/master/csl-citation.json"}</w:instrText>
      </w:r>
      <w:r w:rsidR="00846360">
        <w:rPr>
          <w:rFonts w:ascii="Arial" w:hAnsi="Arial" w:cs="Arial"/>
          <w:lang w:val="en-ID"/>
        </w:rPr>
        <w:fldChar w:fldCharType="separate"/>
      </w:r>
      <w:r w:rsidR="004E3048" w:rsidRPr="004E3048">
        <w:rPr>
          <w:rFonts w:ascii="Arial" w:hAnsi="Arial" w:cs="Arial"/>
          <w:noProof/>
          <w:lang w:val="en-ID"/>
        </w:rPr>
        <w:t>(31)</w:t>
      </w:r>
      <w:r w:rsidR="00846360">
        <w:rPr>
          <w:rFonts w:ascii="Arial" w:hAnsi="Arial" w:cs="Arial"/>
          <w:lang w:val="en-ID"/>
        </w:rPr>
        <w:fldChar w:fldCharType="end"/>
      </w:r>
      <w:r w:rsidR="00565212" w:rsidRPr="00855DB6">
        <w:rPr>
          <w:rFonts w:ascii="Arial" w:hAnsi="Arial" w:cs="Arial"/>
          <w:lang w:val="sv-SE"/>
        </w:rPr>
        <w:fldChar w:fldCharType="begin" w:fldLock="1"/>
      </w:r>
      <w:r w:rsidR="004E3048">
        <w:rPr>
          <w:rFonts w:ascii="Arial" w:hAnsi="Arial" w:cs="Arial"/>
          <w:lang w:val="en-ID"/>
        </w:rPr>
        <w:instrText>ADDIN CSL_CITATION {"citationItems":[{"id":"ITEM-1","itemData":{"DOI":"10.1007/s11240-022-02339-9","ISBN":"0123456789","ISSN":"15735044","abstract":"For many woody species, such as Quercus robur, cytokinins in the culture medium are required to maintain in vitro plant material. Among synthetic cytokinins, 6-benzylaminopurine (BAP) and kinetin (KIN) are the most frequently used. In addition to inducing shoots, cytokinins can cause morphophysiological disorders. Therefore, we aimed to investigate the anatomical, biochemical, and physiological alterations and profiles of Q. robur shoots exposed to two cytokinins, applied alone and in combination. Shoots previously established in vitro were transferred to WPM culture media supplemented with BAP at concentrations of 0, 1.25, and 3.50 µM combined with KIN at concentrations of 0, 0.62, and 1.25 µM totaling 9 treatments. Anatomical, physiological, and biochemical analyses were performed after 40 days of culture. BAP induced the formation of new buds with anatomically underdeveloped leaves; induced shoot-tip necrosis, which is considered a response to the inefficient transport of water and nutrients; reduced the thickness of the cell walls of phloem fibers; and decreased the content of phenolic compounds and photosynthetic pigments. These responses were less pronounced with co-exposure to KIN. In contrast, KIN alone stimulated a larger area of secondary xylem and more lignified cell walls. BAP can induce shoots with underdeveloped anatomical and biochemical characteristics. Shoots that grew with KIN alone had stem and leaf anatomical characteristics, indicating greater commitment to cellular differentiation than proliferation. When both cytokinins are combined, KIN can partially mitigate the deleterious effects of BAP on in vitro growth.","author":[{"dropping-particle":"","family":"Martins","given":"João Paulo Rodrigues","non-dropping-particle":"","parse-names":false,"suffix":""},{"dropping-particle":"","family":"Wawrzyniak","given":"Mikołaj Krzysztof","non-dropping-particle":"","parse-names":false,"suffix":""},{"dropping-particle":"","family":"Ley-López","given":"Juan Manuel","non-dropping-particle":"","parse-names":false,"suffix":""},{"dropping-particle":"","family":"Kalemba","given":"Ewa Marzena","non-dropping-particle":"","parse-names":false,"suffix":""},{"dropping-particle":"","family":"Mendes","given":"Marcel Merlo","non-dropping-particle":"","parse-names":false,"suffix":""},{"dropping-particle":"","family":"Chmielarz","given":"Paweł","non-dropping-particle":"","parse-names":false,"suffix":""}],"container-title":"Plant Cell, Tissue and Organ Culture","id":"ITEM-1","issue":"1","issued":{"date-parts":[["2022"]]},"page":"149-164","publisher":"Springer Netherlands","title":"6-Benzylaminopurine and kinetin modulations during in vitro propagation of Quercus robur (L.): an assessment of anatomical, biochemical, and physiological profiling of shoots","type":"article-journal","volume":"151"},"uris":["http://www.mendeley.com/documents/?uuid=a365373e-9a93-4494-a078-0c265e33e1c7"]}],"mendeley":{"formattedCitation":"(31)","manualFormatting":"[27]","plainTextFormattedCitation":"(31)","previouslyFormattedCitation":"(30)"},"properties":{"noteIndex":0},"schema":"https://github.com/citation-style-language/schema/raw/master/csl-citation.json"}</w:instrText>
      </w:r>
      <w:r w:rsidR="00565212" w:rsidRPr="00855DB6">
        <w:rPr>
          <w:rFonts w:ascii="Arial" w:hAnsi="Arial" w:cs="Arial"/>
          <w:lang w:val="sv-SE"/>
        </w:rPr>
        <w:fldChar w:fldCharType="separate"/>
      </w:r>
      <w:r w:rsidR="00565212">
        <w:rPr>
          <w:rFonts w:ascii="Arial" w:hAnsi="Arial" w:cs="Arial"/>
          <w:noProof/>
          <w:lang w:val="en-ID"/>
        </w:rPr>
        <w:t>[</w:t>
      </w:r>
      <w:r w:rsidR="00565212" w:rsidRPr="00A57087">
        <w:rPr>
          <w:rFonts w:ascii="Arial" w:hAnsi="Arial" w:cs="Arial"/>
          <w:noProof/>
          <w:lang w:val="en-ID"/>
        </w:rPr>
        <w:t>27</w:t>
      </w:r>
      <w:r w:rsidR="00565212">
        <w:rPr>
          <w:rFonts w:ascii="Arial" w:hAnsi="Arial" w:cs="Arial"/>
          <w:noProof/>
          <w:lang w:val="en-ID"/>
        </w:rPr>
        <w:t>]</w:t>
      </w:r>
      <w:r w:rsidR="00565212" w:rsidRPr="00855DB6">
        <w:rPr>
          <w:rFonts w:ascii="Arial" w:hAnsi="Arial" w:cs="Arial"/>
          <w:lang w:val="sv-SE"/>
        </w:rPr>
        <w:fldChar w:fldCharType="end"/>
      </w:r>
      <w:r w:rsidR="00565212" w:rsidRPr="009D1F9F">
        <w:rPr>
          <w:rFonts w:ascii="Arial" w:hAnsi="Arial" w:cs="Arial"/>
          <w:lang w:val="en-ID"/>
        </w:rPr>
        <w:t xml:space="preserve">, in vitro shoot induction of petiole explants of </w:t>
      </w:r>
      <w:proofErr w:type="spellStart"/>
      <w:r w:rsidR="00565212" w:rsidRPr="009D1F9F">
        <w:rPr>
          <w:rFonts w:ascii="Arial" w:hAnsi="Arial" w:cs="Arial"/>
          <w:lang w:val="en-ID"/>
        </w:rPr>
        <w:t>tembesu</w:t>
      </w:r>
      <w:proofErr w:type="spellEnd"/>
      <w:r w:rsidR="00565212" w:rsidRPr="009D1F9F">
        <w:rPr>
          <w:rFonts w:ascii="Arial" w:hAnsi="Arial" w:cs="Arial"/>
          <w:lang w:val="en-ID"/>
        </w:rPr>
        <w:t xml:space="preserve"> (</w:t>
      </w:r>
      <w:proofErr w:type="spellStart"/>
      <w:r w:rsidR="00565212" w:rsidRPr="009D1F9F">
        <w:rPr>
          <w:rFonts w:ascii="Arial" w:hAnsi="Arial" w:cs="Arial"/>
          <w:i/>
          <w:iCs/>
          <w:lang w:val="en-ID"/>
        </w:rPr>
        <w:t>Fagraea</w:t>
      </w:r>
      <w:proofErr w:type="spellEnd"/>
      <w:r w:rsidR="00565212" w:rsidRPr="009D1F9F">
        <w:rPr>
          <w:rFonts w:ascii="Arial" w:hAnsi="Arial" w:cs="Arial"/>
          <w:i/>
          <w:iCs/>
          <w:lang w:val="en-ID"/>
        </w:rPr>
        <w:t xml:space="preserve"> fragrans</w:t>
      </w:r>
      <w:r w:rsidR="00565212" w:rsidRPr="009D1F9F">
        <w:rPr>
          <w:rFonts w:ascii="Arial" w:hAnsi="Arial" w:cs="Arial"/>
          <w:lang w:val="en-ID"/>
        </w:rPr>
        <w:t xml:space="preserve"> </w:t>
      </w:r>
      <w:proofErr w:type="spellStart"/>
      <w:r w:rsidR="00565212" w:rsidRPr="009D1F9F">
        <w:rPr>
          <w:rFonts w:ascii="Arial" w:hAnsi="Arial" w:cs="Arial"/>
          <w:lang w:val="en-ID"/>
        </w:rPr>
        <w:t>Roxb</w:t>
      </w:r>
      <w:proofErr w:type="spellEnd"/>
      <w:r w:rsidR="00565212" w:rsidRPr="009D1F9F">
        <w:rPr>
          <w:rFonts w:ascii="Arial" w:hAnsi="Arial" w:cs="Arial"/>
          <w:lang w:val="en-ID"/>
        </w:rPr>
        <w:t>)</w:t>
      </w:r>
      <w:r w:rsidR="00846360">
        <w:rPr>
          <w:rFonts w:ascii="Arial" w:hAnsi="Arial" w:cs="Arial"/>
          <w:lang w:val="en-ID"/>
        </w:rPr>
        <w:t xml:space="preserve"> </w:t>
      </w:r>
      <w:r w:rsidR="00846360">
        <w:rPr>
          <w:rFonts w:ascii="Arial" w:hAnsi="Arial" w:cs="Arial"/>
          <w:lang w:val="en-ID"/>
        </w:rPr>
        <w:fldChar w:fldCharType="begin" w:fldLock="1"/>
      </w:r>
      <w:r w:rsidR="004E3048">
        <w:rPr>
          <w:rFonts w:ascii="Arial" w:hAnsi="Arial" w:cs="Arial"/>
          <w:lang w:val="en-ID"/>
        </w:rPr>
        <w:instrText>ADDIN CSL_CITATION {"citationItems":[{"id":"ITEM-1","itemData":{"ISSN":"1829-8346","abstract":"Tembesu (Fagraea fragrans Roxb) is a valuable woody plant from the Loganiaceae family, utilized in construction and furniture production. Unfortunately, the tembesu population continues to decline due to excessive logging, forest fires, and a lack of cultivation efforts. Planting through seeds takes a long time, making in vitro propagation an attractive alternative. This research aims to evaluate the effect of 6-benzylaminopurine (BAP) in inducing shoots and determine the optimal BAP concentration on tembesu petiole explants in vitro. A completely randomized design (CRD) with six treatment levels (0, 0.5, 1, 1.5, 2, and 2.5 mg/L BAP) and five replications was employed. Despite a 10% shoot formation rate for each treatment, the optimal BAP concentration for callus formation was found to be 0.5 mg/L, with the highest percentage reaching 70%. The results indicate that adding different concentrations of BAP to the Murashige &amp; Skoog (MS) medium was ineffective in inducing shoots in tembesu petiole explants. Therefore, further research and the development of more sophisticated in vitro propagation techniques are necessary to enhance the success of shoot induction in tembesu. It is hoped that this research will serve as a foundation and motivation for subsequent in-depth studies on the in vitro propagation of tembesu, supporting the conservation and development of this plant.","author":[{"dropping-particle":"","family":"Isda","given":"Mayta Novaliza","non-dropping-particle":"","parse-names":false,"suffix":""},{"dropping-particle":"","family":"Afrilla","given":"Riche","non-dropping-particle":"","parse-names":false,"suffix":""}],"container-title":"Jurnal Ilmiah Pertanian","id":"ITEM-1","issue":"3","issued":{"date-parts":[["2023"]]},"page":"209-218","title":"Shoot induction from petiole explants of tembesu (Fagraea fragrans Roxb) with in vitro addition of 6-benzylaminopurine","type":"article-journal","volume":"20"},"uris":["http://www.mendeley.com/documents/?uuid=b3f47e29-49df-4d00-b320-8d0e9813b88e"]}],"mendeley":{"formattedCitation":"(32)","plainTextFormattedCitation":"(32)","previouslyFormattedCitation":"(31)"},"properties":{"noteIndex":0},"schema":"https://github.com/citation-style-language/schema/raw/master/csl-citation.json"}</w:instrText>
      </w:r>
      <w:r w:rsidR="00846360">
        <w:rPr>
          <w:rFonts w:ascii="Arial" w:hAnsi="Arial" w:cs="Arial"/>
          <w:lang w:val="en-ID"/>
        </w:rPr>
        <w:fldChar w:fldCharType="separate"/>
      </w:r>
      <w:r w:rsidR="004E3048" w:rsidRPr="004E3048">
        <w:rPr>
          <w:rFonts w:ascii="Arial" w:hAnsi="Arial" w:cs="Arial"/>
          <w:noProof/>
          <w:lang w:val="en-ID"/>
        </w:rPr>
        <w:t>(32)</w:t>
      </w:r>
      <w:r w:rsidR="00846360">
        <w:rPr>
          <w:rFonts w:ascii="Arial" w:hAnsi="Arial" w:cs="Arial"/>
          <w:lang w:val="en-ID"/>
        </w:rPr>
        <w:fldChar w:fldCharType="end"/>
      </w:r>
      <w:r w:rsidR="00565212" w:rsidRPr="009D1F9F">
        <w:rPr>
          <w:rFonts w:ascii="Arial" w:hAnsi="Arial" w:cs="Arial"/>
          <w:lang w:val="en-ID"/>
        </w:rPr>
        <w:t xml:space="preserve"> and shoot induction of the legume plant </w:t>
      </w:r>
      <w:proofErr w:type="spellStart"/>
      <w:r w:rsidR="00565212" w:rsidRPr="005D06DB">
        <w:rPr>
          <w:rFonts w:ascii="Arial" w:hAnsi="Arial" w:cs="Arial"/>
          <w:i/>
          <w:iCs/>
          <w:lang w:val="en-ID"/>
        </w:rPr>
        <w:t>Pongamia</w:t>
      </w:r>
      <w:proofErr w:type="spellEnd"/>
      <w:r w:rsidR="00565212" w:rsidRPr="005D06DB">
        <w:rPr>
          <w:rFonts w:ascii="Arial" w:hAnsi="Arial" w:cs="Arial"/>
          <w:i/>
          <w:iCs/>
          <w:lang w:val="en-ID"/>
        </w:rPr>
        <w:t xml:space="preserve"> pinnata</w:t>
      </w:r>
      <w:r w:rsidR="00565212" w:rsidRPr="009D1F9F">
        <w:rPr>
          <w:rFonts w:ascii="Arial" w:hAnsi="Arial" w:cs="Arial"/>
          <w:lang w:val="en-ID"/>
        </w:rPr>
        <w:t xml:space="preserve"> which has potential as biofuel</w:t>
      </w:r>
      <w:r w:rsidR="00565212" w:rsidRPr="009D1F9F">
        <w:rPr>
          <w:rFonts w:ascii="Aptos" w:eastAsia="Aptos" w:hAnsi="Aptos"/>
          <w:kern w:val="2"/>
          <w:sz w:val="22"/>
          <w:szCs w:val="22"/>
          <w:lang w:val="en-ID"/>
          <w14:ligatures w14:val="standardContextual"/>
        </w:rPr>
        <w:t xml:space="preserve"> </w:t>
      </w:r>
      <w:r w:rsidR="00846360">
        <w:rPr>
          <w:rFonts w:ascii="Aptos" w:eastAsia="Aptos" w:hAnsi="Aptos"/>
          <w:kern w:val="2"/>
          <w:sz w:val="22"/>
          <w:szCs w:val="22"/>
          <w:lang w:val="en-ID"/>
          <w14:ligatures w14:val="standardContextual"/>
        </w:rPr>
        <w:fldChar w:fldCharType="begin" w:fldLock="1"/>
      </w:r>
      <w:r w:rsidR="004E3048">
        <w:rPr>
          <w:rFonts w:ascii="Aptos" w:eastAsia="Aptos" w:hAnsi="Aptos"/>
          <w:kern w:val="2"/>
          <w:sz w:val="22"/>
          <w:szCs w:val="22"/>
          <w:lang w:val="en-ID"/>
          <w14:ligatures w14:val="standardContextual"/>
        </w:rPr>
        <w:instrText>ADDIN CSL_CITATION {"citationItems":[{"id":"ITEM-1","itemData":{"DOI":"10.5511/plantbiotechnology.18.0711a","ISSN":"13476114","abstract":"Pongamia pinnata is a legume plant which has great potential to be used as a biofuel feedstock. Conventional propagation of P. pinnata was found to be inefficient for mass propagation. Employing plant tissue culture techniques for micropropagation and further plant improvement of P. pinnata will be the right path to fulfill future challenges in biofuel production. This study aimed to establish a plant regeneration system for potential micropropagation and genetic manipulation of P. pinnata in future. In vitro nodal explants were used and Woody Plant Medium (WPM) containing 30 µM 6-benzylaminopurine (BAP) and 1 mM phloroglucinol (PG) was able to induce higher frequency of multiple shoot buds compared to other media investigated in this study. For shoot regeneration study, WPM containing 15 µM of zeatin and 1 mM PG was able to induce longer shoots while rooting of the regenerated shoots was enhanced by WPM supplemented with indole-3-butyric acid (IBA) in combination with silver thiosulphate (STS). A simple and effective acclimatisation protocol was established with very high survival frequency of regenerated plantlets. Root nodulation of the successfully acclimatised plants was also observed. In short, multiple shoot buds were successfully induced, regenerated and rooted in vitro. The rooted plantlets were successfully acclimatised and grown healthily. It was concluded that a successful plant regeneration protocol of P. pinnata was achieved for potential application in micropropagation and genetic manipulation.","author":[{"dropping-particle":"","family":"Tan","given":"Si Nan","non-dropping-particle":"","parse-names":false,"suffix":""},{"dropping-particle":"","family":"Tee","given":"Chong Siang","non-dropping-particle":"","parse-names":false,"suffix":""},{"dropping-particle":"","family":"Wong","given":"Hann Ling","non-dropping-particle":"","parse-names":false,"suffix":""}],"container-title":"Plant Biotechnology","id":"ITEM-1","issue":"4","issued":{"date-parts":[["2018"]]},"page":"325-334","title":"Multiple shoot bud induction and plant regeneration studies of pongamia pinnata","type":"article-journal","volume":"35"},"uris":["http://www.mendeley.com/documents/?uuid=5d86f444-eccf-428c-a71f-4c25c1f70c87"]}],"mendeley":{"formattedCitation":"(33)","plainTextFormattedCitation":"(33)","previouslyFormattedCitation":"(32)"},"properties":{"noteIndex":0},"schema":"https://github.com/citation-style-language/schema/raw/master/csl-citation.json"}</w:instrText>
      </w:r>
      <w:r w:rsidR="00846360">
        <w:rPr>
          <w:rFonts w:ascii="Aptos" w:eastAsia="Aptos" w:hAnsi="Aptos"/>
          <w:kern w:val="2"/>
          <w:sz w:val="22"/>
          <w:szCs w:val="22"/>
          <w:lang w:val="en-ID"/>
          <w14:ligatures w14:val="standardContextual"/>
        </w:rPr>
        <w:fldChar w:fldCharType="separate"/>
      </w:r>
      <w:r w:rsidR="004E3048" w:rsidRPr="004E3048">
        <w:rPr>
          <w:rFonts w:ascii="Aptos" w:eastAsia="Aptos" w:hAnsi="Aptos"/>
          <w:noProof/>
          <w:kern w:val="2"/>
          <w:sz w:val="22"/>
          <w:szCs w:val="22"/>
          <w:lang w:val="en-ID"/>
          <w14:ligatures w14:val="standardContextual"/>
        </w:rPr>
        <w:t>(33)</w:t>
      </w:r>
      <w:r w:rsidR="00846360">
        <w:rPr>
          <w:rFonts w:ascii="Aptos" w:eastAsia="Aptos" w:hAnsi="Aptos"/>
          <w:kern w:val="2"/>
          <w:sz w:val="22"/>
          <w:szCs w:val="22"/>
          <w:lang w:val="en-ID"/>
          <w14:ligatures w14:val="standardContextual"/>
        </w:rPr>
        <w:fldChar w:fldCharType="end"/>
      </w:r>
      <w:r w:rsidR="00565212" w:rsidRPr="00A57087">
        <w:rPr>
          <w:rFonts w:ascii="Arial" w:hAnsi="Arial" w:cs="Arial"/>
          <w:lang w:val="en-ID"/>
        </w:rPr>
        <w:t xml:space="preserve">.  </w:t>
      </w:r>
    </w:p>
    <w:p w14:paraId="301C185B" w14:textId="77777777" w:rsidR="00855DB6" w:rsidRPr="00351B54" w:rsidRDefault="00855DB6" w:rsidP="00855DB6">
      <w:pPr>
        <w:jc w:val="both"/>
        <w:rPr>
          <w:rFonts w:ascii="Arial" w:hAnsi="Arial" w:cs="Arial"/>
          <w:lang w:val="en-ID"/>
        </w:rPr>
      </w:pPr>
    </w:p>
    <w:p w14:paraId="0AE512E6" w14:textId="44626645" w:rsidR="00855DB6" w:rsidRDefault="00855DB6" w:rsidP="00855DB6">
      <w:pPr>
        <w:jc w:val="both"/>
        <w:rPr>
          <w:rFonts w:ascii="Arial" w:hAnsi="Arial" w:cs="Arial"/>
          <w:b/>
          <w:bCs/>
          <w:sz w:val="22"/>
          <w:szCs w:val="22"/>
          <w:lang w:val="en-ID"/>
        </w:rPr>
      </w:pPr>
      <w:r w:rsidRPr="00B1036F">
        <w:rPr>
          <w:rFonts w:ascii="Arial" w:hAnsi="Arial" w:cs="Arial"/>
          <w:b/>
          <w:bCs/>
          <w:sz w:val="22"/>
          <w:szCs w:val="22"/>
          <w:lang w:val="en-ID"/>
        </w:rPr>
        <w:t xml:space="preserve">3.3 </w:t>
      </w:r>
      <w:r w:rsidR="00B1036F" w:rsidRPr="00B1036F">
        <w:rPr>
          <w:rFonts w:ascii="Arial" w:hAnsi="Arial" w:cs="Arial"/>
          <w:b/>
          <w:bCs/>
          <w:sz w:val="22"/>
          <w:szCs w:val="22"/>
          <w:lang w:val="en-ID"/>
        </w:rPr>
        <w:t>Root induction and acclimatization</w:t>
      </w:r>
    </w:p>
    <w:p w14:paraId="0EF1BB16" w14:textId="77777777" w:rsidR="00D00071" w:rsidRPr="00B1036F" w:rsidRDefault="00D00071" w:rsidP="00855DB6">
      <w:pPr>
        <w:jc w:val="both"/>
        <w:rPr>
          <w:rFonts w:ascii="Arial" w:hAnsi="Arial" w:cs="Arial"/>
          <w:b/>
          <w:bCs/>
          <w:sz w:val="22"/>
          <w:szCs w:val="22"/>
          <w:lang w:val="en-ID"/>
        </w:rPr>
      </w:pPr>
    </w:p>
    <w:p w14:paraId="1112C777" w14:textId="711DE4C9" w:rsidR="00855DB6" w:rsidRPr="00FC36E4" w:rsidRDefault="00B479BB" w:rsidP="00D00071">
      <w:pPr>
        <w:jc w:val="both"/>
        <w:rPr>
          <w:rFonts w:ascii="Arial" w:hAnsi="Arial" w:cs="Arial"/>
          <w:lang w:val="en-ID"/>
        </w:rPr>
      </w:pPr>
      <w:r w:rsidRPr="00B479BB">
        <w:rPr>
          <w:rFonts w:ascii="Arial" w:hAnsi="Arial" w:cs="Arial"/>
          <w:lang w:val="en-ID"/>
        </w:rPr>
        <w:t>Shoots that have formed roots on the shoot induction medium (</w:t>
      </w:r>
      <w:r>
        <w:rPr>
          <w:rFonts w:ascii="Arial" w:hAnsi="Arial" w:cs="Arial"/>
          <w:lang w:val="en-ID"/>
        </w:rPr>
        <w:t>w</w:t>
      </w:r>
      <w:r w:rsidRPr="00B479BB">
        <w:rPr>
          <w:rFonts w:ascii="Arial" w:hAnsi="Arial" w:cs="Arial"/>
          <w:lang w:val="en-ID"/>
        </w:rPr>
        <w:t xml:space="preserve">ithout the addition of BAP) can be directly transferred to the acclimatization medium. But </w:t>
      </w:r>
      <w:r w:rsidR="0020561B">
        <w:rPr>
          <w:rFonts w:ascii="Arial" w:hAnsi="Arial" w:cs="Arial"/>
          <w:lang w:val="en-ID"/>
        </w:rPr>
        <w:t xml:space="preserve">root formed in </w:t>
      </w:r>
      <w:r>
        <w:rPr>
          <w:rFonts w:ascii="Arial" w:hAnsi="Arial" w:cs="Arial"/>
          <w:lang w:val="en-ID"/>
        </w:rPr>
        <w:t xml:space="preserve">all </w:t>
      </w:r>
      <w:r w:rsidR="00302923">
        <w:rPr>
          <w:rFonts w:ascii="Arial" w:hAnsi="Arial" w:cs="Arial"/>
          <w:lang w:val="en-ID"/>
        </w:rPr>
        <w:t>shoots</w:t>
      </w:r>
      <w:r>
        <w:rPr>
          <w:rFonts w:ascii="Arial" w:hAnsi="Arial" w:cs="Arial"/>
          <w:lang w:val="en-ID"/>
        </w:rPr>
        <w:t xml:space="preserve"> that planted in MS/WPM media + BAP </w:t>
      </w:r>
      <w:r w:rsidRPr="00B479BB">
        <w:rPr>
          <w:rFonts w:ascii="Arial" w:hAnsi="Arial" w:cs="Arial"/>
          <w:lang w:val="en-ID"/>
        </w:rPr>
        <w:t>were not morphologically sturdy and ready to support the growth of the plantlets.</w:t>
      </w:r>
      <w:r>
        <w:rPr>
          <w:rFonts w:ascii="Arial" w:hAnsi="Arial" w:cs="Arial"/>
          <w:lang w:val="en-ID"/>
        </w:rPr>
        <w:t xml:space="preserve"> </w:t>
      </w:r>
      <w:r w:rsidR="00B1036F" w:rsidRPr="00B1036F">
        <w:rPr>
          <w:rFonts w:ascii="Arial" w:hAnsi="Arial" w:cs="Arial"/>
          <w:lang w:val="en-ID"/>
        </w:rPr>
        <w:t xml:space="preserve">Therefore, </w:t>
      </w:r>
      <w:r w:rsidR="0020561B">
        <w:rPr>
          <w:rFonts w:ascii="Arial" w:hAnsi="Arial" w:cs="Arial"/>
          <w:lang w:val="en-ID"/>
        </w:rPr>
        <w:t>th</w:t>
      </w:r>
      <w:r w:rsidR="009E37F4">
        <w:rPr>
          <w:rFonts w:ascii="Arial" w:hAnsi="Arial" w:cs="Arial"/>
          <w:lang w:val="en-ID"/>
        </w:rPr>
        <w:t>ese</w:t>
      </w:r>
      <w:r w:rsidR="0020561B">
        <w:rPr>
          <w:rFonts w:ascii="Arial" w:hAnsi="Arial" w:cs="Arial"/>
          <w:lang w:val="en-ID"/>
        </w:rPr>
        <w:t xml:space="preserve"> shoots were </w:t>
      </w:r>
      <w:proofErr w:type="spellStart"/>
      <w:r w:rsidR="00B1036F" w:rsidRPr="00B1036F">
        <w:rPr>
          <w:rFonts w:ascii="Arial" w:hAnsi="Arial" w:cs="Arial"/>
          <w:lang w:val="en-ID"/>
        </w:rPr>
        <w:t>subculture</w:t>
      </w:r>
      <w:r w:rsidR="0020561B">
        <w:rPr>
          <w:rFonts w:ascii="Arial" w:hAnsi="Arial" w:cs="Arial"/>
          <w:lang w:val="en-ID"/>
        </w:rPr>
        <w:t>d</w:t>
      </w:r>
      <w:proofErr w:type="spellEnd"/>
      <w:r w:rsidR="00B1036F" w:rsidRPr="00B1036F">
        <w:rPr>
          <w:rFonts w:ascii="Arial" w:hAnsi="Arial" w:cs="Arial"/>
          <w:lang w:val="en-ID"/>
        </w:rPr>
        <w:t xml:space="preserve"> on the rooting media before </w:t>
      </w:r>
      <w:r w:rsidR="00B1036F" w:rsidRPr="00B1036F">
        <w:rPr>
          <w:rFonts w:ascii="Arial" w:hAnsi="Arial" w:cs="Arial"/>
          <w:lang w:val="en-ID"/>
        </w:rPr>
        <w:lastRenderedPageBreak/>
        <w:t xml:space="preserve">being transferred to the acclimatization stage. </w:t>
      </w:r>
      <w:r w:rsidR="009E37F4" w:rsidRPr="009E37F4">
        <w:rPr>
          <w:rFonts w:ascii="Arial" w:hAnsi="Arial" w:cs="Arial"/>
          <w:lang w:val="en-ID"/>
        </w:rPr>
        <w:t xml:space="preserve">WPM media with and without the addition of NAA produced a </w:t>
      </w:r>
      <w:r w:rsidR="003027D0">
        <w:rPr>
          <w:rFonts w:ascii="Arial" w:hAnsi="Arial" w:cs="Arial"/>
          <w:lang w:val="en-ID"/>
        </w:rPr>
        <w:t>high</w:t>
      </w:r>
      <w:r w:rsidR="003027D0" w:rsidRPr="009E37F4">
        <w:rPr>
          <w:rFonts w:ascii="Arial" w:hAnsi="Arial" w:cs="Arial"/>
          <w:lang w:val="en-ID"/>
        </w:rPr>
        <w:t>er</w:t>
      </w:r>
      <w:r w:rsidR="009E37F4" w:rsidRPr="009E37F4">
        <w:rPr>
          <w:rFonts w:ascii="Arial" w:hAnsi="Arial" w:cs="Arial"/>
          <w:lang w:val="en-ID"/>
        </w:rPr>
        <w:t xml:space="preserve"> </w:t>
      </w:r>
      <w:r w:rsidR="00D75EFD">
        <w:rPr>
          <w:rFonts w:ascii="Arial" w:hAnsi="Arial" w:cs="Arial"/>
          <w:lang w:val="en-ID"/>
        </w:rPr>
        <w:t>rooting frequency</w:t>
      </w:r>
      <w:r w:rsidR="00590BEA">
        <w:rPr>
          <w:rFonts w:ascii="Arial" w:hAnsi="Arial" w:cs="Arial"/>
          <w:lang w:val="en-ID"/>
        </w:rPr>
        <w:t xml:space="preserve"> </w:t>
      </w:r>
      <w:r w:rsidR="009E37F4" w:rsidRPr="009E37F4">
        <w:rPr>
          <w:rFonts w:ascii="Arial" w:hAnsi="Arial" w:cs="Arial"/>
          <w:lang w:val="en-ID"/>
        </w:rPr>
        <w:t xml:space="preserve">and </w:t>
      </w:r>
      <w:r w:rsidR="00D75EFD" w:rsidRPr="009E37F4">
        <w:rPr>
          <w:rFonts w:ascii="Arial" w:hAnsi="Arial" w:cs="Arial"/>
          <w:lang w:val="en-ID"/>
        </w:rPr>
        <w:t>root</w:t>
      </w:r>
      <w:r w:rsidR="00D75EFD">
        <w:rPr>
          <w:rFonts w:ascii="Arial" w:hAnsi="Arial" w:cs="Arial"/>
          <w:lang w:val="en-ID"/>
        </w:rPr>
        <w:t xml:space="preserve"> </w:t>
      </w:r>
      <w:r w:rsidR="009E37F4" w:rsidRPr="009E37F4">
        <w:rPr>
          <w:rFonts w:ascii="Arial" w:hAnsi="Arial" w:cs="Arial"/>
          <w:lang w:val="en-ID"/>
        </w:rPr>
        <w:t>number per shoot compared to MS media.</w:t>
      </w:r>
      <w:r w:rsidR="003027D0">
        <w:rPr>
          <w:rFonts w:ascii="Arial" w:hAnsi="Arial" w:cs="Arial"/>
          <w:lang w:val="en-ID"/>
        </w:rPr>
        <w:t xml:space="preserve"> </w:t>
      </w:r>
      <w:r w:rsidR="00B1036F" w:rsidRPr="00B1036F">
        <w:rPr>
          <w:rFonts w:ascii="Arial" w:hAnsi="Arial" w:cs="Arial"/>
          <w:lang w:val="en-ID"/>
        </w:rPr>
        <w:t>WPM bas</w:t>
      </w:r>
      <w:r>
        <w:rPr>
          <w:rFonts w:ascii="Arial" w:hAnsi="Arial" w:cs="Arial"/>
          <w:lang w:val="en-ID"/>
        </w:rPr>
        <w:t>al</w:t>
      </w:r>
      <w:r w:rsidR="00B1036F" w:rsidRPr="00B1036F">
        <w:rPr>
          <w:rFonts w:ascii="Arial" w:hAnsi="Arial" w:cs="Arial"/>
          <w:lang w:val="en-ID"/>
        </w:rPr>
        <w:t xml:space="preserve"> media </w:t>
      </w:r>
      <w:r>
        <w:rPr>
          <w:rFonts w:ascii="Arial" w:hAnsi="Arial" w:cs="Arial"/>
          <w:lang w:val="en-ID"/>
        </w:rPr>
        <w:t>+</w:t>
      </w:r>
      <w:r w:rsidR="00B1036F" w:rsidRPr="00B1036F">
        <w:rPr>
          <w:rFonts w:ascii="Arial" w:hAnsi="Arial" w:cs="Arial"/>
          <w:lang w:val="en-ID"/>
        </w:rPr>
        <w:t xml:space="preserve"> 0.1 mg/l NAA </w:t>
      </w:r>
      <w:r w:rsidR="00302923">
        <w:rPr>
          <w:rFonts w:ascii="Arial" w:hAnsi="Arial" w:cs="Arial"/>
          <w:lang w:val="en-ID"/>
        </w:rPr>
        <w:t>induced the highest percentage of root formation (</w:t>
      </w:r>
      <w:r w:rsidR="00B1036F" w:rsidRPr="00B1036F">
        <w:rPr>
          <w:rFonts w:ascii="Arial" w:hAnsi="Arial" w:cs="Arial"/>
          <w:lang w:val="en-ID"/>
        </w:rPr>
        <w:t>70%</w:t>
      </w:r>
      <w:proofErr w:type="gramStart"/>
      <w:r w:rsidR="00302923">
        <w:rPr>
          <w:rFonts w:ascii="Arial" w:hAnsi="Arial" w:cs="Arial"/>
          <w:lang w:val="en-ID"/>
        </w:rPr>
        <w:t>)</w:t>
      </w:r>
      <w:proofErr w:type="gramEnd"/>
      <w:r w:rsidR="00302923">
        <w:rPr>
          <w:rFonts w:ascii="Arial" w:hAnsi="Arial" w:cs="Arial"/>
          <w:lang w:val="en-ID"/>
        </w:rPr>
        <w:t xml:space="preserve"> </w:t>
      </w:r>
      <w:r w:rsidR="00B1036F" w:rsidRPr="00B1036F">
        <w:rPr>
          <w:rFonts w:ascii="Arial" w:hAnsi="Arial" w:cs="Arial"/>
          <w:lang w:val="en-ID"/>
        </w:rPr>
        <w:t xml:space="preserve">but the root emergence time was the longest (7.26 days) (Table 3). </w:t>
      </w:r>
      <w:r w:rsidR="00590BEA" w:rsidRPr="00590BEA">
        <w:rPr>
          <w:rFonts w:ascii="Arial" w:hAnsi="Arial" w:cs="Arial"/>
          <w:lang w:val="en-ID"/>
        </w:rPr>
        <w:t xml:space="preserve">This media also </w:t>
      </w:r>
      <w:r w:rsidR="00B1036F" w:rsidRPr="00590BEA">
        <w:rPr>
          <w:rFonts w:ascii="Arial" w:hAnsi="Arial" w:cs="Arial"/>
          <w:lang w:val="en-ID"/>
        </w:rPr>
        <w:t xml:space="preserve">produced </w:t>
      </w:r>
      <w:r w:rsidR="00590BEA" w:rsidRPr="00590BEA">
        <w:rPr>
          <w:rFonts w:ascii="Arial" w:hAnsi="Arial" w:cs="Arial"/>
          <w:lang w:val="en-ID"/>
        </w:rPr>
        <w:t xml:space="preserve">significantly </w:t>
      </w:r>
      <w:r w:rsidR="00B1036F" w:rsidRPr="00590BEA">
        <w:rPr>
          <w:rFonts w:ascii="Arial" w:hAnsi="Arial" w:cs="Arial"/>
          <w:lang w:val="en-ID"/>
        </w:rPr>
        <w:t xml:space="preserve">the </w:t>
      </w:r>
      <w:r w:rsidR="00590BEA" w:rsidRPr="00590BEA">
        <w:rPr>
          <w:rFonts w:ascii="Arial" w:hAnsi="Arial" w:cs="Arial"/>
          <w:lang w:val="en-ID"/>
        </w:rPr>
        <w:t>high</w:t>
      </w:r>
      <w:r w:rsidR="00B1036F" w:rsidRPr="00590BEA">
        <w:rPr>
          <w:rFonts w:ascii="Arial" w:hAnsi="Arial" w:cs="Arial"/>
          <w:lang w:val="en-ID"/>
        </w:rPr>
        <w:t>est number of roots</w:t>
      </w:r>
      <w:r w:rsidR="00590BEA" w:rsidRPr="00590BEA">
        <w:rPr>
          <w:rFonts w:ascii="Arial" w:hAnsi="Arial" w:cs="Arial"/>
          <w:lang w:val="en-ID"/>
        </w:rPr>
        <w:t xml:space="preserve"> (</w:t>
      </w:r>
      <w:r w:rsidR="00B1036F" w:rsidRPr="00590BEA">
        <w:rPr>
          <w:rFonts w:ascii="Arial" w:hAnsi="Arial" w:cs="Arial"/>
          <w:lang w:val="en-ID"/>
        </w:rPr>
        <w:t>3.50</w:t>
      </w:r>
      <w:r w:rsidR="00590BEA" w:rsidRPr="00590BEA">
        <w:rPr>
          <w:rFonts w:ascii="Arial" w:hAnsi="Arial" w:cs="Arial"/>
          <w:lang w:val="en-ID"/>
        </w:rPr>
        <w:t>)</w:t>
      </w:r>
      <w:r w:rsidR="00B1036F" w:rsidRPr="00590BEA">
        <w:rPr>
          <w:rFonts w:ascii="Arial" w:hAnsi="Arial" w:cs="Arial"/>
          <w:lang w:val="en-ID"/>
        </w:rPr>
        <w:t>.</w:t>
      </w:r>
      <w:r w:rsidR="00B1036F" w:rsidRPr="00B1036F">
        <w:rPr>
          <w:rFonts w:ascii="Arial" w:hAnsi="Arial" w:cs="Arial"/>
          <w:lang w:val="en-ID"/>
        </w:rPr>
        <w:t xml:space="preserve"> </w:t>
      </w:r>
      <w:r w:rsidR="003027D0" w:rsidRPr="003027D0">
        <w:rPr>
          <w:rFonts w:ascii="Arial" w:hAnsi="Arial" w:cs="Arial"/>
          <w:lang w:val="en-ID"/>
        </w:rPr>
        <w:t xml:space="preserve">The effect of 0.1 mg/l NAA on this rooting medium also occurred in </w:t>
      </w:r>
      <w:r w:rsidR="003027D0" w:rsidRPr="003027D0">
        <w:rPr>
          <w:rFonts w:ascii="Arial" w:hAnsi="Arial" w:cs="Arial"/>
          <w:i/>
          <w:iCs/>
          <w:lang w:val="en-ID"/>
        </w:rPr>
        <w:t>F</w:t>
      </w:r>
      <w:r w:rsidR="003027D0">
        <w:rPr>
          <w:rFonts w:ascii="Arial" w:hAnsi="Arial" w:cs="Arial"/>
          <w:i/>
          <w:iCs/>
          <w:lang w:val="en-ID"/>
        </w:rPr>
        <w:t>.</w:t>
      </w:r>
      <w:r w:rsidR="003027D0" w:rsidRPr="003027D0">
        <w:rPr>
          <w:rFonts w:ascii="Arial" w:hAnsi="Arial" w:cs="Arial"/>
          <w:i/>
          <w:iCs/>
          <w:lang w:val="en-ID"/>
        </w:rPr>
        <w:t xml:space="preserve"> religiosa</w:t>
      </w:r>
      <w:r w:rsidR="003027D0" w:rsidRPr="003027D0">
        <w:rPr>
          <w:rFonts w:ascii="Arial" w:hAnsi="Arial" w:cs="Arial"/>
          <w:lang w:val="en-ID"/>
        </w:rPr>
        <w:t xml:space="preserve"> shoots</w:t>
      </w:r>
      <w:r w:rsidR="008F2FD0">
        <w:rPr>
          <w:rFonts w:ascii="Arial" w:hAnsi="Arial" w:cs="Arial"/>
          <w:lang w:val="en-ID"/>
        </w:rPr>
        <w:t xml:space="preserve"> </w:t>
      </w:r>
      <w:r w:rsidR="003027D0">
        <w:rPr>
          <w:rFonts w:ascii="Arial" w:hAnsi="Arial" w:cs="Arial"/>
          <w:lang w:val="en-ID"/>
        </w:rPr>
        <w:fldChar w:fldCharType="begin" w:fldLock="1"/>
      </w:r>
      <w:r w:rsidR="001E61FF">
        <w:rPr>
          <w:rFonts w:ascii="Arial" w:hAnsi="Arial" w:cs="Arial"/>
          <w:lang w:val="en-ID"/>
        </w:rPr>
        <w:instrText>ADDIN CSL_CITATION {"citationItems":[{"id":"ITEM-1","itemData":{"DOI":"10.1007/s12892-018-0024-0","ISSN":"20058276","abstract":"The aim of this study is to introduce the suitable protocol for indirect regeneration from seedling-derived leaf segment of Ficus religiosa. The leaf explant successfully produced callus on MS medium containing various concentrations of auxin in combination with BAP. The maximum callus induction (100%) was achieved in MS medium containing 0.5 mg/l 2,4-D plus 0.05 mg/l BAP and MS medium containing 1.5 mg/l NAA plus 0.15 mg/l BAP as well. MS medium consisting of 2,4-D produced yellow-brownish and friable callus (type I) while the yellowish and compact calli (type II) were obtained in MS medium consisting of NAA. On the other hand, MS medium supplemented with IBA formed greenish and compact calli (type Ш). The regeneration rate in type II callus was less than the type I, and there was no shoot induction observed on type Ш calli. MS medium supplemented with 1.5 mg/l BAP in combination with 0.15 mg/l IBA had the highest regeneration frequency (100%) and maximum shoot numbers (5.16) as well as shoot length (2.56 cm) in type I callus. A maximum of 93.33% root induction was observed in MS medium supplemented with 2.0 mg/l IBA plus 0.1mg/l NAA. The plantlets were successfully transferred to the greenhouse. This system could be utilized for large-scale multiplication of Ficus religiosa.","author":[{"dropping-particle":"","family":"Hesami","given":"Mohsen","non-dropping-particle":"","parse-names":false,"suffix":""},{"dropping-particle":"","family":"Daneshvar","given":"Mohammad Hosein","non-dropping-particle":"","parse-names":false,"suffix":""}],"container-title":"Journal of Crop Science and Biotechnology","id":"ITEM-1","issue":"2","issued":{"date-parts":[["2018"]]},"page":"129-136","title":"Indirect Organogenesis through Seedling-Derived Leaf Segments of Ficus Religiosa - a Multipurpose Woody Medicinal Plant","type":"article-journal","volume":"21"},"uris":["http://www.mendeley.com/documents/?uuid=333fef51-a96a-4eca-a37b-4ecb0d619dfa"]}],"mendeley":{"formattedCitation":"(10)","plainTextFormattedCitation":"(10)","previouslyFormattedCitation":"(10)"},"properties":{"noteIndex":0},"schema":"https://github.com/citation-style-language/schema/raw/master/csl-citation.json"}</w:instrText>
      </w:r>
      <w:r w:rsidR="003027D0">
        <w:rPr>
          <w:rFonts w:ascii="Arial" w:hAnsi="Arial" w:cs="Arial"/>
          <w:lang w:val="en-ID"/>
        </w:rPr>
        <w:fldChar w:fldCharType="separate"/>
      </w:r>
      <w:r w:rsidR="001039A5" w:rsidRPr="001039A5">
        <w:rPr>
          <w:rFonts w:ascii="Arial" w:hAnsi="Arial" w:cs="Arial"/>
          <w:noProof/>
          <w:lang w:val="en-ID"/>
        </w:rPr>
        <w:t>(10)</w:t>
      </w:r>
      <w:r w:rsidR="003027D0">
        <w:rPr>
          <w:rFonts w:ascii="Arial" w:hAnsi="Arial" w:cs="Arial"/>
          <w:lang w:val="en-ID"/>
        </w:rPr>
        <w:fldChar w:fldCharType="end"/>
      </w:r>
      <w:r w:rsidR="003027D0">
        <w:rPr>
          <w:rFonts w:ascii="Arial" w:hAnsi="Arial" w:cs="Arial"/>
          <w:lang w:val="en-ID"/>
        </w:rPr>
        <w:t xml:space="preserve">. </w:t>
      </w:r>
      <w:r w:rsidR="00B1036F" w:rsidRPr="00B1036F">
        <w:rPr>
          <w:rFonts w:ascii="Arial" w:hAnsi="Arial" w:cs="Arial"/>
          <w:lang w:val="en-ID"/>
        </w:rPr>
        <w:t>NAA is commonly added to root induction media either singly or in combination with other hormones.</w:t>
      </w:r>
      <w:r w:rsidR="00B1036F">
        <w:rPr>
          <w:rFonts w:ascii="Arial" w:hAnsi="Arial" w:cs="Arial"/>
          <w:lang w:val="en-ID"/>
        </w:rPr>
        <w:t xml:space="preserve"> </w:t>
      </w:r>
      <w:r w:rsidR="00D75EFD">
        <w:rPr>
          <w:rFonts w:ascii="Arial" w:hAnsi="Arial" w:cs="Arial"/>
          <w:lang w:val="en-ID"/>
        </w:rPr>
        <w:t xml:space="preserve">However the presence of NAA </w:t>
      </w:r>
      <w:r w:rsidR="00D75EFD" w:rsidRPr="00D75EFD">
        <w:rPr>
          <w:rFonts w:ascii="Arial" w:hAnsi="Arial" w:cs="Arial"/>
          <w:lang w:val="en-ID"/>
        </w:rPr>
        <w:t>resulted in abnormalities namely callus proliferation spontaneously on the explants</w:t>
      </w:r>
      <w:r w:rsidR="00D75EFD">
        <w:rPr>
          <w:rFonts w:ascii="Arial" w:hAnsi="Arial" w:cs="Arial"/>
          <w:lang w:val="en-ID"/>
        </w:rPr>
        <w:t xml:space="preserve"> of </w:t>
      </w:r>
      <w:r w:rsidR="00D75EFD" w:rsidRPr="00D75EFD">
        <w:rPr>
          <w:rFonts w:ascii="Arial" w:hAnsi="Arial" w:cs="Arial"/>
          <w:i/>
          <w:iCs/>
          <w:lang w:val="en-ID"/>
        </w:rPr>
        <w:t>F. carica</w:t>
      </w:r>
      <w:r w:rsidR="00D75EFD">
        <w:rPr>
          <w:rFonts w:ascii="Arial" w:hAnsi="Arial" w:cs="Arial"/>
          <w:lang w:val="en-ID"/>
        </w:rPr>
        <w:t xml:space="preserve"> </w:t>
      </w:r>
      <w:r w:rsidR="00D75EFD">
        <w:rPr>
          <w:rFonts w:ascii="Arial" w:hAnsi="Arial" w:cs="Arial"/>
          <w:lang w:val="en-ID"/>
        </w:rPr>
        <w:fldChar w:fldCharType="begin" w:fldLock="1"/>
      </w:r>
      <w:r w:rsidR="001E61FF">
        <w:rPr>
          <w:rFonts w:ascii="Arial" w:hAnsi="Arial" w:cs="Arial"/>
          <w:lang w:val="en-ID"/>
        </w:rPr>
        <w:instrText>ADDIN CSL_CITATION {"citationItems":[{"id":"ITEM-1","itemData":{"DOI":"10.1016/j.bcab.2021.102225","ISSN":"18788181","abstract":"Fig (Ficus carica L.) is from the Moraceae family and is rich in essential nutrients, natural fiber and vitamins. The Golden Orphan cultivar is a yellow fig that is sweet, firm and can thrive in tropical climates. Current conventional propagation methods for the multiplication of plant stocks were found to be less efficient in producing healthy plant stocks. Micropropagation offers an alternative in the production of plant stocks resembling the quality of mother plants. The current study aims to fine tune the micropropagation protocol of the Golden Orphan cultivar for efficient production of plant stocks. Sterile nodal bud explants were subjected to different media treatments, carbon source and combinations of auxin and cytokinin. Rooting of explants was induced in auxin and rooted explants were acclimatized in cocopeat. The optimal basal medium for shoot elongation was Murashige and Skoog (MS) Medium, whereas 20 g/L sucrose resulted in the highest shoot length (2.00 ± 0.22 cm) facilitating the production of nodal segments for subsequent multiplication. The highest shoot induction (4.15 ± 0.43 shoots/explant) was observed in the treatment of 0.8 mg/L 6-Benzylaminopurine (BAP), whereas the combination of 0.8 mg/L BAP and 0.5 mg/L indole-3-acetic acid (IAA) resulted in the highest shoot length (2.23 ± 0.09 cm). Treatment of 0.4 mg/L indole-3-butyric acid (IBA) produced the optimal percentage of rooting (83.33%) whereas acclimatization with cocopeat resulted in maximum survival rate. The present study has successfully optimised the crucial aspects of micropropagation for the Golden Orphan cultivar suitable for rapid plant stock production.","author":[{"dropping-particle":"","family":"Sriskanda","given":"Dahmendra","non-dropping-particle":"","parse-names":false,"suffix":""},{"dropping-particle":"","family":"Liew","given":"Yoon Xuan","non-dropping-particle":"","parse-names":false,"suffix":""},{"dropping-particle":"","family":"Khor","given":"Soo Ping","non-dropping-particle":"","parse-names":false,"suffix":""},{"dropping-particle":"","family":"Merican","given":"Faradina","non-dropping-particle":"","parse-names":false,"suffix":""},{"dropping-particle":"","family":"Subramaniam","given":"Sreeramanan","non-dropping-particle":"","parse-names":false,"suffix":""},{"dropping-particle":"","family":"Chew","given":"Bee Lynn","non-dropping-particle":"","parse-names":false,"suffix":""}],"container-title":"Biocatalysis and Agricultural Biotechnology","id":"ITEM-1","issue":"November","issued":{"date-parts":[["2021"]]},"page":"102225","publisher":"Elsevier Ltd","title":"An efficient micropropagation protocol for Ficus carica cv. Golden Orphan suitable for mass propagation","type":"article-journal","volume":"38"},"uris":["http://www.mendeley.com/documents/?uuid=96775d23-9400-4a93-b0f3-0662b4b024c6"]}],"mendeley":{"formattedCitation":"(16)","plainTextFormattedCitation":"(16)","previouslyFormattedCitation":"(16)"},"properties":{"noteIndex":0},"schema":"https://github.com/citation-style-language/schema/raw/master/csl-citation.json"}</w:instrText>
      </w:r>
      <w:r w:rsidR="00D75EFD">
        <w:rPr>
          <w:rFonts w:ascii="Arial" w:hAnsi="Arial" w:cs="Arial"/>
          <w:lang w:val="en-ID"/>
        </w:rPr>
        <w:fldChar w:fldCharType="separate"/>
      </w:r>
      <w:r w:rsidR="001039A5" w:rsidRPr="001039A5">
        <w:rPr>
          <w:rFonts w:ascii="Arial" w:hAnsi="Arial" w:cs="Arial"/>
          <w:noProof/>
          <w:lang w:val="en-ID"/>
        </w:rPr>
        <w:t>(16)</w:t>
      </w:r>
      <w:r w:rsidR="00D75EFD">
        <w:rPr>
          <w:rFonts w:ascii="Arial" w:hAnsi="Arial" w:cs="Arial"/>
          <w:lang w:val="en-ID"/>
        </w:rPr>
        <w:fldChar w:fldCharType="end"/>
      </w:r>
      <w:r w:rsidR="00D75EFD">
        <w:rPr>
          <w:rFonts w:ascii="Arial" w:hAnsi="Arial" w:cs="Arial"/>
          <w:lang w:val="en-ID"/>
        </w:rPr>
        <w:t xml:space="preserve">. </w:t>
      </w:r>
      <w:r w:rsidR="00B1036F" w:rsidRPr="00B1036F">
        <w:rPr>
          <w:rFonts w:ascii="Arial" w:hAnsi="Arial" w:cs="Arial"/>
          <w:lang w:val="en-ID"/>
        </w:rPr>
        <w:t xml:space="preserve">The addition of NAA is also widely applied to the rooting media of </w:t>
      </w:r>
      <w:r w:rsidR="00771257">
        <w:rPr>
          <w:rFonts w:ascii="Arial" w:hAnsi="Arial" w:cs="Arial"/>
          <w:lang w:val="en-ID"/>
        </w:rPr>
        <w:t xml:space="preserve">other </w:t>
      </w:r>
      <w:r w:rsidR="00B1036F" w:rsidRPr="00B1036F">
        <w:rPr>
          <w:rFonts w:ascii="Arial" w:hAnsi="Arial" w:cs="Arial"/>
          <w:lang w:val="en-ID"/>
        </w:rPr>
        <w:t xml:space="preserve">woody plants, such as </w:t>
      </w:r>
      <w:r w:rsidR="00855DB6" w:rsidRPr="00B1036F">
        <w:rPr>
          <w:rFonts w:ascii="Arial" w:hAnsi="Arial" w:cs="Arial"/>
          <w:i/>
          <w:iCs/>
          <w:lang w:val="en-ID"/>
        </w:rPr>
        <w:t>Myrtus communis</w:t>
      </w:r>
      <w:r w:rsidR="00855DB6" w:rsidRPr="00B1036F">
        <w:rPr>
          <w:rFonts w:ascii="Arial" w:hAnsi="Arial" w:cs="Arial"/>
          <w:lang w:val="en-ID"/>
        </w:rPr>
        <w:t xml:space="preserve"> L.</w:t>
      </w:r>
      <w:r w:rsidR="00862B27">
        <w:rPr>
          <w:rFonts w:ascii="Arial" w:hAnsi="Arial" w:cs="Arial"/>
          <w:lang w:val="en-ID"/>
        </w:rPr>
        <w:t xml:space="preserve"> </w:t>
      </w:r>
      <w:r w:rsidR="00862B27">
        <w:rPr>
          <w:rFonts w:ascii="Arial" w:hAnsi="Arial" w:cs="Arial"/>
          <w:lang w:val="en-ID"/>
        </w:rPr>
        <w:fldChar w:fldCharType="begin" w:fldLock="1"/>
      </w:r>
      <w:r w:rsidR="004E3048">
        <w:rPr>
          <w:rFonts w:ascii="Arial" w:hAnsi="Arial" w:cs="Arial"/>
          <w:lang w:val="en-ID"/>
        </w:rPr>
        <w:instrText>ADDIN CSL_CITATION {"citationItems":[{"id":"ITEM-1","itemData":{"DOI":"10.25125/agriculture-journal-ijoear-oct-2017-22","abstract":"Myrtle (Myrtus communis L.) is a small tree shrub of the family Myrtace, grown naturally of the Mediterranean area. Myrtle is very important as an antiseptic, anti-inflammatory and hypoglycemic agent. Turkey has great genetic resources for myrtle. Propagation of myrtle genotypes is significant issue. Plant tissue culture techniques offer fast and reliable micropropagation for many plant species. Different media content could be used for micropropagation in in vitro condition. The aim of the present study is to determinate of effects of different media on micropropagation and rooting in myrtle. For this purpose, Murashige and Skoog (MS), Rugini Olive Medium (OM) and Woody Plant Medium (WPM) media were used for micropropagation and rooting experiments. All media were supplemented with 1 mg l-1 BA for micropropagation, 1 mg l-1 IBA for rooting. The rate of micropropagation and plant length, rooting rate, numbers of root and root length were determined. Rooted with well-developed shoots transferred to plastic pots containing autoclaved peat and perlite (1:1, v/v). The potted plants were placed in a greenhouse. Acclimatized plants were compared after eight weeks. Means were separated by analysis of variance and the LSD test was performed to examine significant differences. Based on the result, the best medium was detected WPM on micropropagation rate (6.75 per plant), and then MS (4.20 per plant), OM (3.70 per plant). According to rooting data the highest rooting rate was calculated in WPM with 100%, rooting rate in OM and MS media was detected 70% and 50%, respectively.","author":[{"dropping-particle":"","family":"Şimşek","given":"Özhan","non-dropping-particle":"","parse-names":false,"suffix":""},{"dropping-particle":"","family":"Biçen","given":"Belgin","non-dropping-particle":"","parse-names":false,"suffix":""},{"dropping-particle":"","family":"Dönmez","given":"Dicle","non-dropping-particle":"","parse-names":false,"suffix":""},{"dropping-particle":"","family":"Aka Kaçar","given":"Yıldız","non-dropping-particle":"","parse-names":false,"suffix":""}],"container-title":"International Journal of Environmental and Agriculture Research","id":"ITEM-1","issue":"10","issued":{"date-parts":[["2017"]]},"page":"54-59","title":"Effects of Different Media on Micropropagation and Rooting of Myrtle (Myrtus communis L.) in In Vitro Conditions","type":"article-journal","volume":"3"},"uris":["http://www.mendeley.com/documents/?uuid=09e4a4f5-86db-4645-bb68-50f0ac78022d"]}],"mendeley":{"formattedCitation":"(34)","plainTextFormattedCitation":"(34)","previouslyFormattedCitation":"(33)"},"properties":{"noteIndex":0},"schema":"https://github.com/citation-style-language/schema/raw/master/csl-citation.json"}</w:instrText>
      </w:r>
      <w:r w:rsidR="00862B27">
        <w:rPr>
          <w:rFonts w:ascii="Arial" w:hAnsi="Arial" w:cs="Arial"/>
          <w:lang w:val="en-ID"/>
        </w:rPr>
        <w:fldChar w:fldCharType="separate"/>
      </w:r>
      <w:r w:rsidR="004E3048" w:rsidRPr="004E3048">
        <w:rPr>
          <w:rFonts w:ascii="Arial" w:hAnsi="Arial" w:cs="Arial"/>
          <w:noProof/>
          <w:lang w:val="en-ID"/>
        </w:rPr>
        <w:t>(34)</w:t>
      </w:r>
      <w:r w:rsidR="00862B27">
        <w:rPr>
          <w:rFonts w:ascii="Arial" w:hAnsi="Arial" w:cs="Arial"/>
          <w:lang w:val="en-ID"/>
        </w:rPr>
        <w:fldChar w:fldCharType="end"/>
      </w:r>
      <w:r w:rsidR="00855DB6" w:rsidRPr="00B1036F">
        <w:rPr>
          <w:rFonts w:ascii="Arial" w:hAnsi="Arial" w:cs="Arial"/>
          <w:lang w:val="en-ID"/>
        </w:rPr>
        <w:t xml:space="preserve">, Pear </w:t>
      </w:r>
      <w:proofErr w:type="spellStart"/>
      <w:r w:rsidR="00855DB6" w:rsidRPr="00B1036F">
        <w:rPr>
          <w:rFonts w:ascii="Arial" w:hAnsi="Arial" w:cs="Arial"/>
          <w:lang w:val="en-ID"/>
        </w:rPr>
        <w:t>Microshoots</w:t>
      </w:r>
      <w:proofErr w:type="spellEnd"/>
      <w:r w:rsidR="00855DB6" w:rsidRPr="00B1036F">
        <w:rPr>
          <w:rFonts w:ascii="Arial" w:hAnsi="Arial" w:cs="Arial"/>
          <w:lang w:val="en-ID"/>
        </w:rPr>
        <w:t xml:space="preserve"> (Pyrus spp.</w:t>
      </w:r>
      <w:r w:rsidR="00A57087">
        <w:rPr>
          <w:rFonts w:ascii="Arial" w:hAnsi="Arial" w:cs="Arial"/>
          <w:lang w:val="en-ID"/>
        </w:rPr>
        <w:t>)</w:t>
      </w:r>
      <w:r w:rsidR="00862B27">
        <w:rPr>
          <w:rFonts w:ascii="Arial" w:hAnsi="Arial" w:cs="Arial"/>
          <w:lang w:val="en-ID"/>
        </w:rPr>
        <w:fldChar w:fldCharType="begin" w:fldLock="1"/>
      </w:r>
      <w:r w:rsidR="004E3048">
        <w:rPr>
          <w:rFonts w:ascii="Arial" w:hAnsi="Arial" w:cs="Arial"/>
          <w:lang w:val="en-ID"/>
        </w:rPr>
        <w:instrText>ADDIN CSL_CITATION {"citationItems":[{"id":"ITEM-1","itemData":{"DOI":"10.3390/plants13141904","ISSN":"22237747","abstract":"Extensive research has been conducted on the in vitro mass propagation of pear (Pyrus spp.) trees through vegetative propagation, demonstrating high efficiency in shoot multiplication across various pear species. However, the low in vitro rooting rates remain a significant barrier to the practical application and commercialization of mass propagation. This study aims to determine the favorable conditions for inducing root formation in the in vitro microshoots of Pyrus genotypes. The base of the microshoots was exposed to a high concentration (2 mg L−1) of auxins (a combination of IBA and NAA) for initial root induction at the moment when callus formation begins. The microshoots were then transferred to an R1 medium (1/2 MS with 30 g L−1 sucrose without PGRs) to promote root development. This method successfully induced rooting in three European pear varieties, one Asian pear variety, and a European–Asian hybrid, resulting in rooting rates of 66.7%, 87.2%, and 100% for the European pear (P. communis), 60% for the Asian pear (P. pyrifolia), and 83.3% for the hybrid pear (P. pyrifolia × P. communis) with an average of 25 days. In contrast, the control group (MS medium) exhibited rooting rates of 0–13.3% after 60 days of culture. These findings will enhance in vitro root induction for various pear varieties and support the mass propagation and acclimatization of pear. The in vitro root induction method developed in this study has the potential for global commercial application in pear cultivation.","author":[{"dropping-particle":"","family":"Song","given":"Jae Young","non-dropping-particle":"","parse-names":false,"suffix":""},{"dropping-particle":"","family":"Bae","given":"Jinjoo","non-dropping-particle":"","parse-names":false,"suffix":""},{"dropping-particle":"","family":"Lee","given":"Young Yi","non-dropping-particle":"","parse-names":false,"suffix":""},{"dropping-particle":"","family":"Han","given":"Ji Won","non-dropping-particle":"","parse-names":false,"suffix":""},{"dropping-particle":"","family":"Lee","given":"Ye Ji","non-dropping-particle":"","parse-names":false,"suffix":""},{"dropping-particle":"","family":"Nam","given":"Sung Hee","non-dropping-particle":"","parse-names":false,"suffix":""},{"dropping-particle":"","family":"Lee","given":"Ho Sun","non-dropping-particle":"","parse-names":false,"suffix":""},{"dropping-particle":"","family":"Kim","given":"Seok Cheol","non-dropping-particle":"","parse-names":false,"suffix":""},{"dropping-particle":"","family":"Kim","given":"Se Hee","non-dropping-particle":"","parse-names":false,"suffix":""},{"dropping-particle":"","family":"Yun","given":"Byeong Hyeon","non-dropping-particle":"","parse-names":false,"suffix":""}],"container-title":"Plants","id":"ITEM-1","issue":"14","issued":{"date-parts":[["2024"]]},"title":"High-Efficiency In Vitro Root Induction in Pear Microshoots (Pyrus spp.)","type":"article-journal","volume":"13"},"uris":["http://www.mendeley.com/documents/?uuid=fc6a1895-0fa4-498f-a8a7-e4babd413bb6"]}],"mendeley":{"formattedCitation":"(35)","plainTextFormattedCitation":"(35)","previouslyFormattedCitation":"(34)"},"properties":{"noteIndex":0},"schema":"https://github.com/citation-style-language/schema/raw/master/csl-citation.json"}</w:instrText>
      </w:r>
      <w:r w:rsidR="00862B27">
        <w:rPr>
          <w:rFonts w:ascii="Arial" w:hAnsi="Arial" w:cs="Arial"/>
          <w:lang w:val="en-ID"/>
        </w:rPr>
        <w:fldChar w:fldCharType="separate"/>
      </w:r>
      <w:r w:rsidR="004E3048" w:rsidRPr="004E3048">
        <w:rPr>
          <w:rFonts w:ascii="Arial" w:hAnsi="Arial" w:cs="Arial"/>
          <w:noProof/>
          <w:lang w:val="en-ID"/>
        </w:rPr>
        <w:t>(35)</w:t>
      </w:r>
      <w:r w:rsidR="00862B27">
        <w:rPr>
          <w:rFonts w:ascii="Arial" w:hAnsi="Arial" w:cs="Arial"/>
          <w:lang w:val="en-ID"/>
        </w:rPr>
        <w:fldChar w:fldCharType="end"/>
      </w:r>
      <w:r w:rsidR="00855DB6" w:rsidRPr="00FC36E4">
        <w:rPr>
          <w:rFonts w:ascii="Arial" w:hAnsi="Arial" w:cs="Arial"/>
          <w:lang w:val="en-ID"/>
        </w:rPr>
        <w:t xml:space="preserve">, </w:t>
      </w:r>
      <w:r w:rsidR="00AF5D06">
        <w:rPr>
          <w:rFonts w:ascii="Arial" w:hAnsi="Arial" w:cs="Arial"/>
          <w:lang w:val="en-ID"/>
        </w:rPr>
        <w:t>and</w:t>
      </w:r>
      <w:r w:rsidR="00855DB6" w:rsidRPr="00FC36E4">
        <w:rPr>
          <w:rFonts w:ascii="Arial" w:hAnsi="Arial" w:cs="Arial"/>
          <w:lang w:val="en-ID"/>
        </w:rPr>
        <w:t xml:space="preserve"> endangered ornamental tree species (</w:t>
      </w:r>
      <w:r w:rsidR="00855DB6" w:rsidRPr="00FC36E4">
        <w:rPr>
          <w:rFonts w:ascii="Arial" w:hAnsi="Arial" w:cs="Arial"/>
          <w:i/>
          <w:iCs/>
          <w:lang w:val="en-ID"/>
        </w:rPr>
        <w:t xml:space="preserve">Magnolia </w:t>
      </w:r>
      <w:proofErr w:type="spellStart"/>
      <w:r w:rsidR="00855DB6" w:rsidRPr="00FC36E4">
        <w:rPr>
          <w:rFonts w:ascii="Arial" w:hAnsi="Arial" w:cs="Arial"/>
          <w:i/>
          <w:iCs/>
          <w:lang w:val="en-ID"/>
        </w:rPr>
        <w:t>sirindhorniae</w:t>
      </w:r>
      <w:proofErr w:type="spellEnd"/>
      <w:r w:rsidR="00855DB6" w:rsidRPr="00FC36E4">
        <w:rPr>
          <w:rFonts w:ascii="Arial" w:hAnsi="Arial" w:cs="Arial"/>
          <w:lang w:val="en-ID"/>
        </w:rPr>
        <w:t xml:space="preserve"> Noot. &amp; </w:t>
      </w:r>
      <w:proofErr w:type="spellStart"/>
      <w:r w:rsidR="00855DB6" w:rsidRPr="00FC36E4">
        <w:rPr>
          <w:rFonts w:ascii="Arial" w:hAnsi="Arial" w:cs="Arial"/>
          <w:lang w:val="en-ID"/>
        </w:rPr>
        <w:t>Chalermglin</w:t>
      </w:r>
      <w:proofErr w:type="spellEnd"/>
      <w:r w:rsidR="00855DB6" w:rsidRPr="00FC36E4">
        <w:rPr>
          <w:rFonts w:ascii="Arial" w:hAnsi="Arial" w:cs="Arial"/>
          <w:lang w:val="en-ID"/>
        </w:rPr>
        <w:t xml:space="preserve">) </w:t>
      </w:r>
      <w:r w:rsidR="00862B27">
        <w:rPr>
          <w:rFonts w:ascii="Arial" w:hAnsi="Arial" w:cs="Arial"/>
          <w:lang w:val="en-ID"/>
        </w:rPr>
        <w:fldChar w:fldCharType="begin" w:fldLock="1"/>
      </w:r>
      <w:r w:rsidR="004E3048">
        <w:rPr>
          <w:rFonts w:ascii="Arial" w:hAnsi="Arial" w:cs="Arial"/>
          <w:lang w:val="en-ID"/>
        </w:rPr>
        <w:instrText>ADDIN CSL_CITATION {"citationItems":[{"id":"ITEM-1","itemData":{"DOI":"10.1038/s41598-019-46050-w","ISSN":"20452322","PMID":"31270420","abstract":"Magnolia sirindhorniae Noot. &amp; Chalermglin is an endangered species with high ornamental and commercial value that needs to be urgently protected and judiciously commercialized. In this study, a protocol for efficient regeneration of this species is standardized. The lateral buds of the M. sirindhorniae plant were used as an explant. Half-strength Murashige and Skoog (MS) medium supplemented with 2.0 mg/L 6-benzyladenine (BA), 0.1 mg/L α-naphthaleneacetic acid (NAA), and 2.0 mg/L gibberellic acid (GA3) was found to be the optimal medium for shoot induction. The maximum shoot multiplication rate (310%) was obtained on Douglas-fir cotyledon revised medium (DCR) fortified with 0.2 mg/L BA, 0.01 mg/L NAA, and additives. The half-strength DCR medium supplemented with 0.5 mg/L NAA and 0.5 mg/L indole-3-butyric acid (IBA) supported the maximum rate (85.0%) of in vitro root induction. After a simple acclimatization process, the survival rate of plantlets in a substrate mixture of sterile perlite and peat soil (1:3; v/v) was 90.2%. DNA markers were used for assessment of genetic uniformity, confirming the genetic uniformity and stability of regenerated plants of M. sirindhorniae. Thus, the described protocol can safely be applied for large scale propagation of this imperative plant.","author":[{"dropping-particle":"","family":"Cui","given":"Yuanyuan","non-dropping-particle":"","parse-names":false,"suffix":""},{"dropping-particle":"","family":"Deng","given":"Yanwen","non-dropping-particle":"","parse-names":false,"suffix":""},{"dropping-particle":"","family":"Zheng","given":"Keyuan","non-dropping-particle":"","parse-names":false,"suffix":""},{"dropping-particle":"","family":"Hu","given":"Xiaomin","non-dropping-particle":"","parse-names":false,"suffix":""},{"dropping-particle":"","family":"Zhu","given":"Mulan","non-dropping-particle":"","parse-names":false,"suffix":""},{"dropping-particle":"","family":"Deng","given":"Xiaomei","non-dropping-particle":"","parse-names":false,"suffix":""},{"dropping-particle":"","family":"Xi","given":"Ruchun","non-dropping-particle":"","parse-names":false,"suffix":""}],"container-title":"Scientific Reports","id":"ITEM-1","issue":"1","issued":{"date-parts":[["2019"]]},"page":"1-10","title":"An efficient micropropagation protocol for an endangered ornamental tree species (Magnolia sirindhorniae Noot. &amp; Chalermglin) and assessment of genetic uniformity through DNA markers","type":"article-journal","volume":"9"},"uris":["http://www.mendeley.com/documents/?uuid=4daca4fb-b94a-44db-9b6e-c7b921bfb709"]}],"mendeley":{"formattedCitation":"(36)","plainTextFormattedCitation":"(36)","previouslyFormattedCitation":"(35)"},"properties":{"noteIndex":0},"schema":"https://github.com/citation-style-language/schema/raw/master/csl-citation.json"}</w:instrText>
      </w:r>
      <w:r w:rsidR="00862B27">
        <w:rPr>
          <w:rFonts w:ascii="Arial" w:hAnsi="Arial" w:cs="Arial"/>
          <w:lang w:val="en-ID"/>
        </w:rPr>
        <w:fldChar w:fldCharType="separate"/>
      </w:r>
      <w:r w:rsidR="004E3048" w:rsidRPr="004E3048">
        <w:rPr>
          <w:rFonts w:ascii="Arial" w:hAnsi="Arial" w:cs="Arial"/>
          <w:noProof/>
          <w:lang w:val="en-ID"/>
        </w:rPr>
        <w:t>(36)</w:t>
      </w:r>
      <w:r w:rsidR="00862B27">
        <w:rPr>
          <w:rFonts w:ascii="Arial" w:hAnsi="Arial" w:cs="Arial"/>
          <w:lang w:val="en-ID"/>
        </w:rPr>
        <w:fldChar w:fldCharType="end"/>
      </w:r>
      <w:r w:rsidR="00855DB6" w:rsidRPr="00FC36E4">
        <w:rPr>
          <w:rFonts w:ascii="Arial" w:hAnsi="Arial" w:cs="Arial"/>
          <w:lang w:val="en-ID"/>
        </w:rPr>
        <w:t>.</w:t>
      </w:r>
    </w:p>
    <w:bookmarkEnd w:id="6"/>
    <w:p w14:paraId="7AE515A9" w14:textId="77777777" w:rsidR="00B1036F" w:rsidRPr="00FC36E4" w:rsidRDefault="00B1036F" w:rsidP="00B87CF1">
      <w:pPr>
        <w:jc w:val="both"/>
        <w:rPr>
          <w:rFonts w:ascii="Arial" w:hAnsi="Arial" w:cs="Arial"/>
          <w:b/>
          <w:bCs/>
          <w:lang w:val="en-ID"/>
        </w:rPr>
      </w:pPr>
    </w:p>
    <w:p w14:paraId="09E616A4" w14:textId="62C4EA0E" w:rsidR="00855DB6" w:rsidRPr="00A57087" w:rsidRDefault="00855DB6" w:rsidP="003D42FC">
      <w:pPr>
        <w:spacing w:after="240"/>
        <w:jc w:val="both"/>
        <w:rPr>
          <w:rFonts w:ascii="Arial" w:hAnsi="Arial" w:cs="Arial"/>
          <w:b/>
          <w:bCs/>
          <w:lang w:val="en-ID"/>
        </w:rPr>
      </w:pPr>
      <w:r w:rsidRPr="00A57087">
        <w:rPr>
          <w:rFonts w:ascii="Arial" w:hAnsi="Arial" w:cs="Arial"/>
          <w:b/>
          <w:bCs/>
          <w:lang w:val="en-ID"/>
        </w:rPr>
        <w:t xml:space="preserve">Table 3. </w:t>
      </w:r>
      <w:r w:rsidR="009C0873">
        <w:rPr>
          <w:rFonts w:ascii="Arial" w:hAnsi="Arial" w:cs="Arial"/>
          <w:b/>
          <w:bCs/>
          <w:lang w:val="en-ID"/>
        </w:rPr>
        <w:t>Effect of NAA in different basal media on r</w:t>
      </w:r>
      <w:r w:rsidR="00725F2F" w:rsidRPr="00A57087">
        <w:rPr>
          <w:rFonts w:ascii="Arial" w:hAnsi="Arial" w:cs="Arial"/>
          <w:b/>
          <w:bCs/>
          <w:color w:val="000000"/>
          <w:lang w:val="en-ID" w:eastAsia="en-ID"/>
        </w:rPr>
        <w:t xml:space="preserve">oot </w:t>
      </w:r>
      <w:r w:rsidR="009C0873">
        <w:rPr>
          <w:rFonts w:ascii="Arial" w:hAnsi="Arial" w:cs="Arial"/>
          <w:b/>
          <w:bCs/>
          <w:color w:val="000000"/>
          <w:lang w:val="en-ID" w:eastAsia="en-ID"/>
        </w:rPr>
        <w:t xml:space="preserve">induction in regenerated shoot of </w:t>
      </w:r>
      <w:r w:rsidR="009C0873" w:rsidRPr="009C0873">
        <w:rPr>
          <w:rFonts w:ascii="Arial" w:hAnsi="Arial" w:cs="Arial"/>
          <w:b/>
          <w:bCs/>
          <w:i/>
          <w:iCs/>
          <w:color w:val="000000"/>
          <w:lang w:val="en-ID" w:eastAsia="en-ID"/>
        </w:rPr>
        <w:t>F. racemosa</w:t>
      </w:r>
    </w:p>
    <w:tbl>
      <w:tblPr>
        <w:tblW w:w="8222" w:type="dxa"/>
        <w:tblLook w:val="04A0" w:firstRow="1" w:lastRow="0" w:firstColumn="1" w:lastColumn="0" w:noHBand="0" w:noVBand="1"/>
      </w:tblPr>
      <w:tblGrid>
        <w:gridCol w:w="2127"/>
        <w:gridCol w:w="2693"/>
        <w:gridCol w:w="1559"/>
        <w:gridCol w:w="1843"/>
      </w:tblGrid>
      <w:tr w:rsidR="00855DB6" w:rsidRPr="00855DB6" w14:paraId="449A30B9" w14:textId="77777777" w:rsidTr="00725F2F">
        <w:trPr>
          <w:trHeight w:val="535"/>
        </w:trPr>
        <w:tc>
          <w:tcPr>
            <w:tcW w:w="2127" w:type="dxa"/>
            <w:tcBorders>
              <w:top w:val="single" w:sz="6" w:space="0" w:color="auto"/>
              <w:left w:val="nil"/>
              <w:bottom w:val="single" w:sz="6" w:space="0" w:color="auto"/>
              <w:right w:val="nil"/>
            </w:tcBorders>
            <w:shd w:val="clear" w:color="auto" w:fill="auto"/>
            <w:hideMark/>
          </w:tcPr>
          <w:p w14:paraId="5AFF4700" w14:textId="4C0EB064" w:rsidR="00855DB6" w:rsidRPr="00725F2F" w:rsidRDefault="003F49D4" w:rsidP="00AA4D54">
            <w:pPr>
              <w:jc w:val="center"/>
              <w:rPr>
                <w:rFonts w:ascii="Arial" w:hAnsi="Arial" w:cs="Arial"/>
                <w:b/>
                <w:bCs/>
                <w:lang w:val="en-ID" w:eastAsia="en-ID"/>
              </w:rPr>
            </w:pPr>
            <w:r w:rsidRPr="00725F2F">
              <w:rPr>
                <w:rFonts w:ascii="Arial" w:hAnsi="Arial" w:cs="Arial"/>
                <w:b/>
                <w:bCs/>
                <w:lang w:val="en-ID" w:eastAsia="en-ID"/>
              </w:rPr>
              <w:t>Media</w:t>
            </w:r>
          </w:p>
        </w:tc>
        <w:tc>
          <w:tcPr>
            <w:tcW w:w="2693" w:type="dxa"/>
            <w:tcBorders>
              <w:top w:val="single" w:sz="6" w:space="0" w:color="auto"/>
              <w:left w:val="nil"/>
              <w:bottom w:val="single" w:sz="6" w:space="0" w:color="auto"/>
              <w:right w:val="nil"/>
            </w:tcBorders>
            <w:shd w:val="clear" w:color="auto" w:fill="auto"/>
            <w:hideMark/>
          </w:tcPr>
          <w:p w14:paraId="0E53B866" w14:textId="4C22E17C" w:rsidR="00855DB6" w:rsidRPr="00725F2F" w:rsidRDefault="00D75EFD" w:rsidP="00AA4D54">
            <w:pPr>
              <w:jc w:val="center"/>
              <w:rPr>
                <w:rFonts w:ascii="Arial" w:hAnsi="Arial" w:cs="Arial"/>
                <w:b/>
                <w:bCs/>
                <w:color w:val="000000"/>
                <w:lang w:val="en-ID" w:eastAsia="en-ID"/>
              </w:rPr>
            </w:pPr>
            <w:r>
              <w:rPr>
                <w:rFonts w:ascii="Arial" w:hAnsi="Arial" w:cs="Arial"/>
                <w:b/>
                <w:bCs/>
                <w:color w:val="000000"/>
                <w:lang w:val="en-ID" w:eastAsia="en-ID"/>
              </w:rPr>
              <w:t>Rooting frequency</w:t>
            </w:r>
            <w:r w:rsidR="003F49D4" w:rsidRPr="00725F2F">
              <w:rPr>
                <w:rFonts w:ascii="Arial" w:hAnsi="Arial" w:cs="Arial"/>
                <w:b/>
                <w:bCs/>
                <w:color w:val="000000"/>
                <w:lang w:val="en-ID" w:eastAsia="en-ID"/>
              </w:rPr>
              <w:t xml:space="preserve"> </w:t>
            </w:r>
            <w:r w:rsidR="00855DB6" w:rsidRPr="00725F2F">
              <w:rPr>
                <w:rFonts w:ascii="Arial" w:hAnsi="Arial" w:cs="Arial"/>
                <w:b/>
                <w:bCs/>
                <w:color w:val="000000"/>
                <w:lang w:val="en-ID" w:eastAsia="en-ID"/>
              </w:rPr>
              <w:t>(%)</w:t>
            </w:r>
          </w:p>
        </w:tc>
        <w:tc>
          <w:tcPr>
            <w:tcW w:w="1559" w:type="dxa"/>
            <w:tcBorders>
              <w:top w:val="single" w:sz="6" w:space="0" w:color="auto"/>
              <w:left w:val="nil"/>
              <w:bottom w:val="single" w:sz="6" w:space="0" w:color="auto"/>
              <w:right w:val="nil"/>
            </w:tcBorders>
            <w:shd w:val="clear" w:color="auto" w:fill="auto"/>
            <w:hideMark/>
          </w:tcPr>
          <w:p w14:paraId="3CD5DC06" w14:textId="1E904D95" w:rsidR="00855DB6" w:rsidRPr="00725F2F" w:rsidRDefault="003F49D4" w:rsidP="00AA4D54">
            <w:pPr>
              <w:jc w:val="center"/>
              <w:rPr>
                <w:rFonts w:ascii="Arial" w:hAnsi="Arial" w:cs="Arial"/>
                <w:b/>
                <w:bCs/>
                <w:color w:val="000000"/>
                <w:lang w:val="en-ID" w:eastAsia="en-ID"/>
              </w:rPr>
            </w:pPr>
            <w:r w:rsidRPr="00725F2F">
              <w:rPr>
                <w:rFonts w:ascii="Arial" w:hAnsi="Arial" w:cs="Arial"/>
                <w:b/>
                <w:bCs/>
                <w:color w:val="000000"/>
                <w:lang w:val="en-ID" w:eastAsia="en-ID"/>
              </w:rPr>
              <w:t>Root number</w:t>
            </w:r>
            <w:r w:rsidR="00D75EFD">
              <w:rPr>
                <w:rFonts w:ascii="Arial" w:hAnsi="Arial" w:cs="Arial"/>
                <w:b/>
                <w:bCs/>
                <w:color w:val="000000"/>
                <w:lang w:val="en-ID" w:eastAsia="en-ID"/>
              </w:rPr>
              <w:t xml:space="preserve"> per shoot</w:t>
            </w:r>
          </w:p>
        </w:tc>
        <w:tc>
          <w:tcPr>
            <w:tcW w:w="1843" w:type="dxa"/>
            <w:tcBorders>
              <w:top w:val="single" w:sz="6" w:space="0" w:color="auto"/>
              <w:left w:val="nil"/>
              <w:bottom w:val="single" w:sz="6" w:space="0" w:color="auto"/>
              <w:right w:val="nil"/>
            </w:tcBorders>
            <w:shd w:val="clear" w:color="auto" w:fill="auto"/>
            <w:hideMark/>
          </w:tcPr>
          <w:p w14:paraId="7366AA25" w14:textId="43D90BEE" w:rsidR="00855DB6" w:rsidRPr="00725F2F" w:rsidRDefault="00AA4D54" w:rsidP="00AA4D54">
            <w:pPr>
              <w:jc w:val="center"/>
              <w:rPr>
                <w:rFonts w:ascii="Arial" w:hAnsi="Arial" w:cs="Arial"/>
                <w:b/>
                <w:bCs/>
                <w:color w:val="000000"/>
                <w:lang w:val="en-ID" w:eastAsia="en-ID"/>
              </w:rPr>
            </w:pPr>
            <w:r w:rsidRPr="00725F2F">
              <w:rPr>
                <w:rFonts w:ascii="Arial" w:hAnsi="Arial" w:cs="Arial"/>
                <w:b/>
                <w:bCs/>
                <w:color w:val="000000"/>
                <w:lang w:val="en-ID" w:eastAsia="en-ID"/>
              </w:rPr>
              <w:t>Root emergence time (days)</w:t>
            </w:r>
          </w:p>
        </w:tc>
      </w:tr>
      <w:tr w:rsidR="00855DB6" w:rsidRPr="00855DB6" w14:paraId="38D3D81D" w14:textId="77777777" w:rsidTr="00725F2F">
        <w:trPr>
          <w:trHeight w:val="260"/>
        </w:trPr>
        <w:tc>
          <w:tcPr>
            <w:tcW w:w="2127" w:type="dxa"/>
            <w:tcBorders>
              <w:top w:val="single" w:sz="6" w:space="0" w:color="auto"/>
              <w:left w:val="nil"/>
              <w:bottom w:val="nil"/>
              <w:right w:val="nil"/>
            </w:tcBorders>
            <w:shd w:val="clear" w:color="auto" w:fill="auto"/>
            <w:noWrap/>
            <w:vAlign w:val="bottom"/>
            <w:hideMark/>
          </w:tcPr>
          <w:p w14:paraId="6A4BF69B"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MS</w:t>
            </w:r>
          </w:p>
        </w:tc>
        <w:tc>
          <w:tcPr>
            <w:tcW w:w="2693" w:type="dxa"/>
            <w:tcBorders>
              <w:top w:val="single" w:sz="6" w:space="0" w:color="auto"/>
              <w:left w:val="nil"/>
              <w:bottom w:val="nil"/>
              <w:right w:val="nil"/>
            </w:tcBorders>
            <w:shd w:val="clear" w:color="auto" w:fill="auto"/>
            <w:noWrap/>
            <w:vAlign w:val="bottom"/>
            <w:hideMark/>
          </w:tcPr>
          <w:p w14:paraId="7F408A7F"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26,0a</w:t>
            </w:r>
          </w:p>
        </w:tc>
        <w:tc>
          <w:tcPr>
            <w:tcW w:w="1559" w:type="dxa"/>
            <w:tcBorders>
              <w:top w:val="single" w:sz="6" w:space="0" w:color="auto"/>
              <w:left w:val="nil"/>
              <w:bottom w:val="nil"/>
              <w:right w:val="nil"/>
            </w:tcBorders>
            <w:shd w:val="clear" w:color="auto" w:fill="auto"/>
            <w:noWrap/>
            <w:vAlign w:val="bottom"/>
            <w:hideMark/>
          </w:tcPr>
          <w:p w14:paraId="6A0E2372"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0,64a</w:t>
            </w:r>
          </w:p>
        </w:tc>
        <w:tc>
          <w:tcPr>
            <w:tcW w:w="1843" w:type="dxa"/>
            <w:tcBorders>
              <w:top w:val="single" w:sz="6" w:space="0" w:color="auto"/>
              <w:left w:val="nil"/>
              <w:bottom w:val="nil"/>
              <w:right w:val="nil"/>
            </w:tcBorders>
            <w:shd w:val="clear" w:color="auto" w:fill="auto"/>
            <w:noWrap/>
            <w:vAlign w:val="center"/>
            <w:hideMark/>
          </w:tcPr>
          <w:p w14:paraId="3B72A940"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2,68a</w:t>
            </w:r>
          </w:p>
        </w:tc>
      </w:tr>
      <w:tr w:rsidR="00855DB6" w:rsidRPr="00855DB6" w14:paraId="081D1AC6" w14:textId="77777777" w:rsidTr="003E51B7">
        <w:trPr>
          <w:trHeight w:val="260"/>
        </w:trPr>
        <w:tc>
          <w:tcPr>
            <w:tcW w:w="2127" w:type="dxa"/>
            <w:tcBorders>
              <w:top w:val="single" w:sz="4" w:space="0" w:color="auto"/>
              <w:left w:val="nil"/>
              <w:bottom w:val="nil"/>
              <w:right w:val="nil"/>
            </w:tcBorders>
            <w:shd w:val="clear" w:color="auto" w:fill="auto"/>
            <w:noWrap/>
            <w:vAlign w:val="bottom"/>
          </w:tcPr>
          <w:p w14:paraId="32169E89" w14:textId="7E6E7D0F"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MS + N</w:t>
            </w:r>
            <w:r w:rsidR="00CA33BE">
              <w:rPr>
                <w:rFonts w:ascii="Arial" w:hAnsi="Arial" w:cs="Arial"/>
                <w:color w:val="000000"/>
                <w:lang w:val="en-ID" w:eastAsia="en-ID"/>
              </w:rPr>
              <w:t>AA</w:t>
            </w:r>
            <w:r w:rsidR="00AA4D54">
              <w:rPr>
                <w:rFonts w:ascii="Arial" w:hAnsi="Arial" w:cs="Arial"/>
                <w:color w:val="000000"/>
                <w:lang w:val="en-ID" w:eastAsia="en-ID"/>
              </w:rPr>
              <w:t xml:space="preserve"> 0.1 mg/l</w:t>
            </w:r>
          </w:p>
        </w:tc>
        <w:tc>
          <w:tcPr>
            <w:tcW w:w="2693" w:type="dxa"/>
            <w:tcBorders>
              <w:top w:val="single" w:sz="4" w:space="0" w:color="auto"/>
              <w:left w:val="nil"/>
              <w:bottom w:val="nil"/>
              <w:right w:val="nil"/>
            </w:tcBorders>
            <w:shd w:val="clear" w:color="auto" w:fill="auto"/>
            <w:noWrap/>
            <w:vAlign w:val="bottom"/>
          </w:tcPr>
          <w:p w14:paraId="28CCCAFB"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32,0ab</w:t>
            </w:r>
          </w:p>
        </w:tc>
        <w:tc>
          <w:tcPr>
            <w:tcW w:w="1559" w:type="dxa"/>
            <w:tcBorders>
              <w:top w:val="single" w:sz="4" w:space="0" w:color="auto"/>
              <w:left w:val="nil"/>
              <w:bottom w:val="nil"/>
              <w:right w:val="nil"/>
            </w:tcBorders>
            <w:shd w:val="clear" w:color="auto" w:fill="auto"/>
            <w:noWrap/>
            <w:vAlign w:val="bottom"/>
          </w:tcPr>
          <w:p w14:paraId="5393D786"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1,08a</w:t>
            </w:r>
          </w:p>
        </w:tc>
        <w:tc>
          <w:tcPr>
            <w:tcW w:w="1843" w:type="dxa"/>
            <w:tcBorders>
              <w:top w:val="single" w:sz="4" w:space="0" w:color="auto"/>
              <w:left w:val="nil"/>
              <w:bottom w:val="nil"/>
              <w:right w:val="nil"/>
            </w:tcBorders>
            <w:shd w:val="clear" w:color="auto" w:fill="auto"/>
            <w:noWrap/>
            <w:vAlign w:val="center"/>
          </w:tcPr>
          <w:p w14:paraId="69C00F70"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3,54ab</w:t>
            </w:r>
          </w:p>
        </w:tc>
      </w:tr>
      <w:tr w:rsidR="00855DB6" w:rsidRPr="00855DB6" w14:paraId="70D0526F" w14:textId="77777777" w:rsidTr="00725F2F">
        <w:trPr>
          <w:trHeight w:val="260"/>
        </w:trPr>
        <w:tc>
          <w:tcPr>
            <w:tcW w:w="2127" w:type="dxa"/>
            <w:tcBorders>
              <w:top w:val="nil"/>
              <w:left w:val="nil"/>
              <w:right w:val="nil"/>
            </w:tcBorders>
            <w:shd w:val="clear" w:color="auto" w:fill="auto"/>
            <w:noWrap/>
            <w:vAlign w:val="bottom"/>
            <w:hideMark/>
          </w:tcPr>
          <w:p w14:paraId="5F98E4A9"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WPM</w:t>
            </w:r>
          </w:p>
        </w:tc>
        <w:tc>
          <w:tcPr>
            <w:tcW w:w="2693" w:type="dxa"/>
            <w:tcBorders>
              <w:top w:val="nil"/>
              <w:left w:val="nil"/>
              <w:right w:val="nil"/>
            </w:tcBorders>
            <w:shd w:val="clear" w:color="auto" w:fill="auto"/>
            <w:noWrap/>
            <w:vAlign w:val="bottom"/>
            <w:hideMark/>
          </w:tcPr>
          <w:p w14:paraId="07891338"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44,0b</w:t>
            </w:r>
          </w:p>
        </w:tc>
        <w:tc>
          <w:tcPr>
            <w:tcW w:w="1559" w:type="dxa"/>
            <w:tcBorders>
              <w:top w:val="nil"/>
              <w:left w:val="nil"/>
              <w:right w:val="nil"/>
            </w:tcBorders>
            <w:shd w:val="clear" w:color="auto" w:fill="auto"/>
            <w:noWrap/>
            <w:vAlign w:val="bottom"/>
            <w:hideMark/>
          </w:tcPr>
          <w:p w14:paraId="30B30D6F"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1,62a</w:t>
            </w:r>
          </w:p>
        </w:tc>
        <w:tc>
          <w:tcPr>
            <w:tcW w:w="1843" w:type="dxa"/>
            <w:tcBorders>
              <w:top w:val="nil"/>
              <w:left w:val="nil"/>
              <w:right w:val="nil"/>
            </w:tcBorders>
            <w:shd w:val="clear" w:color="auto" w:fill="auto"/>
            <w:noWrap/>
            <w:vAlign w:val="center"/>
            <w:hideMark/>
          </w:tcPr>
          <w:p w14:paraId="601716BE"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4,52b</w:t>
            </w:r>
          </w:p>
        </w:tc>
      </w:tr>
      <w:tr w:rsidR="00855DB6" w:rsidRPr="00855DB6" w14:paraId="53F16323" w14:textId="77777777" w:rsidTr="00725F2F">
        <w:trPr>
          <w:trHeight w:val="260"/>
        </w:trPr>
        <w:tc>
          <w:tcPr>
            <w:tcW w:w="2127" w:type="dxa"/>
            <w:tcBorders>
              <w:top w:val="nil"/>
              <w:left w:val="nil"/>
              <w:bottom w:val="single" w:sz="6" w:space="0" w:color="auto"/>
              <w:right w:val="nil"/>
            </w:tcBorders>
            <w:shd w:val="clear" w:color="auto" w:fill="auto"/>
            <w:noWrap/>
            <w:vAlign w:val="bottom"/>
            <w:hideMark/>
          </w:tcPr>
          <w:p w14:paraId="02F75D3F" w14:textId="10C769D0"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WPM + N</w:t>
            </w:r>
            <w:r w:rsidR="00CA33BE">
              <w:rPr>
                <w:rFonts w:ascii="Arial" w:hAnsi="Arial" w:cs="Arial"/>
                <w:color w:val="000000"/>
                <w:lang w:val="en-ID" w:eastAsia="en-ID"/>
              </w:rPr>
              <w:t>AA</w:t>
            </w:r>
            <w:r w:rsidR="00AA4D54">
              <w:rPr>
                <w:rFonts w:ascii="Arial" w:hAnsi="Arial" w:cs="Arial"/>
                <w:color w:val="000000"/>
                <w:lang w:val="en-ID" w:eastAsia="en-ID"/>
              </w:rPr>
              <w:t xml:space="preserve"> 0.1 mg/l</w:t>
            </w:r>
          </w:p>
        </w:tc>
        <w:tc>
          <w:tcPr>
            <w:tcW w:w="2693" w:type="dxa"/>
            <w:tcBorders>
              <w:top w:val="nil"/>
              <w:left w:val="nil"/>
              <w:bottom w:val="single" w:sz="6" w:space="0" w:color="auto"/>
              <w:right w:val="nil"/>
            </w:tcBorders>
            <w:shd w:val="clear" w:color="auto" w:fill="auto"/>
            <w:noWrap/>
            <w:vAlign w:val="bottom"/>
            <w:hideMark/>
          </w:tcPr>
          <w:p w14:paraId="66C0E32C"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70,0b</w:t>
            </w:r>
          </w:p>
        </w:tc>
        <w:tc>
          <w:tcPr>
            <w:tcW w:w="1559" w:type="dxa"/>
            <w:tcBorders>
              <w:top w:val="nil"/>
              <w:left w:val="nil"/>
              <w:bottom w:val="single" w:sz="6" w:space="0" w:color="auto"/>
              <w:right w:val="nil"/>
            </w:tcBorders>
            <w:shd w:val="clear" w:color="auto" w:fill="auto"/>
            <w:noWrap/>
            <w:vAlign w:val="bottom"/>
            <w:hideMark/>
          </w:tcPr>
          <w:p w14:paraId="10D7EC0D"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3,50b</w:t>
            </w:r>
          </w:p>
        </w:tc>
        <w:tc>
          <w:tcPr>
            <w:tcW w:w="1843" w:type="dxa"/>
            <w:tcBorders>
              <w:top w:val="nil"/>
              <w:left w:val="nil"/>
              <w:bottom w:val="single" w:sz="6" w:space="0" w:color="auto"/>
              <w:right w:val="nil"/>
            </w:tcBorders>
            <w:shd w:val="clear" w:color="auto" w:fill="auto"/>
            <w:noWrap/>
            <w:vAlign w:val="center"/>
            <w:hideMark/>
          </w:tcPr>
          <w:p w14:paraId="468769C4" w14:textId="77777777" w:rsidR="00855DB6" w:rsidRPr="00855DB6" w:rsidRDefault="00855DB6" w:rsidP="00855DB6">
            <w:pPr>
              <w:jc w:val="right"/>
              <w:rPr>
                <w:rFonts w:ascii="Arial" w:hAnsi="Arial" w:cs="Arial"/>
                <w:color w:val="000000"/>
                <w:lang w:val="en-ID" w:eastAsia="en-ID"/>
              </w:rPr>
            </w:pPr>
            <w:r w:rsidRPr="00855DB6">
              <w:rPr>
                <w:rFonts w:ascii="Arial" w:hAnsi="Arial" w:cs="Arial"/>
                <w:color w:val="000000"/>
                <w:lang w:val="en-ID" w:eastAsia="en-ID"/>
              </w:rPr>
              <w:t>7,26b</w:t>
            </w:r>
          </w:p>
        </w:tc>
      </w:tr>
    </w:tbl>
    <w:p w14:paraId="6E7514DF" w14:textId="77777777" w:rsidR="00855DB6" w:rsidRDefault="00855DB6" w:rsidP="00855DB6">
      <w:pPr>
        <w:jc w:val="both"/>
        <w:rPr>
          <w:rFonts w:ascii="Arial" w:hAnsi="Arial" w:cs="Arial"/>
          <w:lang w:val="sv-SE"/>
        </w:rPr>
      </w:pPr>
    </w:p>
    <w:p w14:paraId="6D1D5B8C" w14:textId="21250BB3" w:rsidR="00F25C62" w:rsidRDefault="00594B73" w:rsidP="00855DB6">
      <w:pPr>
        <w:jc w:val="both"/>
        <w:rPr>
          <w:rFonts w:ascii="Arial" w:hAnsi="Arial" w:cs="Arial"/>
          <w:lang w:val="en-ID"/>
        </w:rPr>
      </w:pPr>
      <w:bookmarkStart w:id="7" w:name="_Hlk198563060"/>
      <w:r w:rsidRPr="00594B73">
        <w:rPr>
          <w:rFonts w:ascii="Arial" w:hAnsi="Arial" w:cs="Arial"/>
          <w:lang w:val="en-ID"/>
        </w:rPr>
        <w:t>Two weeks after subculture into rooting media, the plants were transferred to trays containing acclimatization media</w:t>
      </w:r>
      <w:r>
        <w:rPr>
          <w:rFonts w:ascii="Arial" w:hAnsi="Arial" w:cs="Arial"/>
          <w:lang w:val="en-ID"/>
        </w:rPr>
        <w:t>.</w:t>
      </w:r>
      <w:r w:rsidR="00B87CF1" w:rsidRPr="00B87CF1">
        <w:rPr>
          <w:rFonts w:ascii="Arial" w:hAnsi="Arial" w:cs="Arial"/>
          <w:lang w:val="en-ID"/>
        </w:rPr>
        <w:t xml:space="preserve"> </w:t>
      </w:r>
      <w:r w:rsidRPr="00594B73">
        <w:rPr>
          <w:rFonts w:ascii="Arial" w:hAnsi="Arial" w:cs="Arial"/>
          <w:lang w:val="en-ID"/>
        </w:rPr>
        <w:t>After two weeks in the acclimatization media, the plant</w:t>
      </w:r>
      <w:r>
        <w:rPr>
          <w:rFonts w:ascii="Arial" w:hAnsi="Arial" w:cs="Arial"/>
          <w:lang w:val="en-ID"/>
        </w:rPr>
        <w:t>let</w:t>
      </w:r>
      <w:r w:rsidRPr="00594B73">
        <w:rPr>
          <w:rFonts w:ascii="Arial" w:hAnsi="Arial" w:cs="Arial"/>
          <w:lang w:val="en-ID"/>
        </w:rPr>
        <w:t>s showed a survival rate of more than 95%</w:t>
      </w:r>
      <w:r>
        <w:rPr>
          <w:rFonts w:ascii="Arial" w:hAnsi="Arial" w:cs="Arial"/>
          <w:lang w:val="en-ID"/>
        </w:rPr>
        <w:t xml:space="preserve"> </w:t>
      </w:r>
      <w:r w:rsidR="00B87CF1" w:rsidRPr="000C010F">
        <w:rPr>
          <w:rFonts w:ascii="Arial" w:hAnsi="Arial" w:cs="Arial"/>
          <w:lang w:val="en-ID"/>
        </w:rPr>
        <w:t xml:space="preserve">(Fig. 1D). </w:t>
      </w:r>
      <w:r w:rsidR="0007511D">
        <w:rPr>
          <w:rFonts w:ascii="Arial" w:hAnsi="Arial" w:cs="Arial"/>
          <w:lang w:val="en-ID"/>
        </w:rPr>
        <w:t>E</w:t>
      </w:r>
      <w:r w:rsidR="0007511D" w:rsidRPr="00F25C62">
        <w:rPr>
          <w:rFonts w:ascii="Arial" w:hAnsi="Arial" w:cs="Arial"/>
          <w:lang w:val="en-ID"/>
        </w:rPr>
        <w:t xml:space="preserve">ach individual plant grows and develops into a vigorous plant </w:t>
      </w:r>
      <w:r w:rsidR="0007511D">
        <w:rPr>
          <w:rFonts w:ascii="Arial" w:hAnsi="Arial" w:cs="Arial"/>
          <w:lang w:val="en-ID"/>
        </w:rPr>
        <w:t>a</w:t>
      </w:r>
      <w:r w:rsidR="00F25C62" w:rsidRPr="00F25C62">
        <w:rPr>
          <w:rFonts w:ascii="Arial" w:hAnsi="Arial" w:cs="Arial"/>
          <w:lang w:val="en-ID"/>
        </w:rPr>
        <w:t>fter being transferred to a polybag</w:t>
      </w:r>
      <w:r w:rsidR="00F25C62">
        <w:rPr>
          <w:rFonts w:ascii="Arial" w:hAnsi="Arial" w:cs="Arial"/>
          <w:lang w:val="en-ID"/>
        </w:rPr>
        <w:t xml:space="preserve"> </w:t>
      </w:r>
      <w:r w:rsidR="00F25C62" w:rsidRPr="000C010F">
        <w:rPr>
          <w:rFonts w:ascii="Arial" w:hAnsi="Arial" w:cs="Arial"/>
          <w:lang w:val="en-ID"/>
        </w:rPr>
        <w:t>(Fig. 1E)</w:t>
      </w:r>
      <w:r w:rsidR="0007511D">
        <w:rPr>
          <w:rFonts w:ascii="Arial" w:hAnsi="Arial" w:cs="Arial"/>
          <w:lang w:val="en-ID"/>
        </w:rPr>
        <w:t>.</w:t>
      </w:r>
      <w:r w:rsidR="00F25C62" w:rsidRPr="00F25C62">
        <w:rPr>
          <w:rFonts w:ascii="Arial" w:hAnsi="Arial" w:cs="Arial"/>
          <w:lang w:val="en-ID"/>
        </w:rPr>
        <w:t xml:space="preserve"> </w:t>
      </w:r>
      <w:r w:rsidR="00B87CF1" w:rsidRPr="000C010F">
        <w:rPr>
          <w:rFonts w:ascii="Arial" w:hAnsi="Arial" w:cs="Arial"/>
          <w:lang w:val="en-ID"/>
        </w:rPr>
        <w:t xml:space="preserve">In this study, in vitro propagation of </w:t>
      </w:r>
      <w:r w:rsidR="00B87CF1" w:rsidRPr="00095BE0">
        <w:rPr>
          <w:rFonts w:ascii="Arial" w:hAnsi="Arial" w:cs="Arial"/>
          <w:i/>
          <w:iCs/>
          <w:lang w:val="en-ID"/>
        </w:rPr>
        <w:t>F. racemosa</w:t>
      </w:r>
      <w:r w:rsidR="00B87CF1" w:rsidRPr="000C010F">
        <w:rPr>
          <w:rFonts w:ascii="Arial" w:hAnsi="Arial" w:cs="Arial"/>
          <w:lang w:val="en-ID"/>
        </w:rPr>
        <w:t xml:space="preserve"> was able to produce plant regeneration in large </w:t>
      </w:r>
      <w:r w:rsidR="00095BE0">
        <w:rPr>
          <w:rFonts w:ascii="Arial" w:hAnsi="Arial" w:cs="Arial"/>
          <w:lang w:val="en-ID"/>
        </w:rPr>
        <w:t>number</w:t>
      </w:r>
      <w:r w:rsidR="00B87CF1" w:rsidRPr="000C010F">
        <w:rPr>
          <w:rFonts w:ascii="Arial" w:hAnsi="Arial" w:cs="Arial"/>
          <w:lang w:val="en-ID"/>
        </w:rPr>
        <w:t xml:space="preserve"> (Fig. 1F). </w:t>
      </w:r>
    </w:p>
    <w:p w14:paraId="1CAEA314" w14:textId="233A173C" w:rsidR="00855DB6" w:rsidRDefault="00B87CF1" w:rsidP="00855DB6">
      <w:pPr>
        <w:jc w:val="both"/>
        <w:rPr>
          <w:rFonts w:ascii="Arial" w:hAnsi="Arial" w:cs="Arial"/>
          <w:lang w:val="en-ID"/>
        </w:rPr>
      </w:pPr>
      <w:r w:rsidRPr="000C010F">
        <w:rPr>
          <w:rFonts w:ascii="Arial" w:hAnsi="Arial" w:cs="Arial"/>
          <w:lang w:val="en-ID"/>
        </w:rPr>
        <w:t xml:space="preserve">This in vitro method is much more efficient than the conventional method which also uses seeds as propagation material (Table 4). </w:t>
      </w:r>
      <w:r w:rsidR="00273185" w:rsidRPr="00273185">
        <w:rPr>
          <w:rFonts w:ascii="Arial" w:hAnsi="Arial" w:cs="Arial"/>
          <w:lang w:val="en-ID"/>
        </w:rPr>
        <w:t xml:space="preserve">With the in vitro method, seeds can initiate germination </w:t>
      </w:r>
      <w:r w:rsidR="00273185">
        <w:rPr>
          <w:rFonts w:ascii="Arial" w:hAnsi="Arial" w:cs="Arial"/>
          <w:lang w:val="en-ID"/>
        </w:rPr>
        <w:t xml:space="preserve">at </w:t>
      </w:r>
      <w:r w:rsidR="00273185" w:rsidRPr="00273185">
        <w:rPr>
          <w:rFonts w:ascii="Arial" w:hAnsi="Arial" w:cs="Arial"/>
          <w:lang w:val="en-ID"/>
        </w:rPr>
        <w:t>3 days after planting with a germination rate of more than 95%</w:t>
      </w:r>
      <w:r w:rsidR="00273185">
        <w:rPr>
          <w:rFonts w:ascii="Arial" w:hAnsi="Arial" w:cs="Arial"/>
          <w:lang w:val="en-ID"/>
        </w:rPr>
        <w:t xml:space="preserve">. </w:t>
      </w:r>
      <w:r w:rsidR="00D81772" w:rsidRPr="00D81772">
        <w:rPr>
          <w:rFonts w:ascii="Arial" w:hAnsi="Arial" w:cs="Arial"/>
          <w:lang w:val="en-ID"/>
        </w:rPr>
        <w:t>The micropropagation technique applied in this study was able to produce plants with a survival rate of more than 95%, which will be very helpful in providing see</w:t>
      </w:r>
      <w:r w:rsidR="00D81772">
        <w:rPr>
          <w:rFonts w:ascii="Arial" w:hAnsi="Arial" w:cs="Arial"/>
          <w:lang w:val="en-ID"/>
        </w:rPr>
        <w:t>dling</w:t>
      </w:r>
      <w:r w:rsidR="00D81772" w:rsidRPr="00D81772">
        <w:rPr>
          <w:rFonts w:ascii="Arial" w:hAnsi="Arial" w:cs="Arial"/>
          <w:lang w:val="en-ID"/>
        </w:rPr>
        <w:t>s for conservation purposes.</w:t>
      </w:r>
      <w:r w:rsidR="00D81772">
        <w:rPr>
          <w:rFonts w:ascii="Arial" w:hAnsi="Arial" w:cs="Arial"/>
          <w:lang w:val="en-ID"/>
        </w:rPr>
        <w:t xml:space="preserve"> </w:t>
      </w:r>
      <w:r w:rsidRPr="00B87CF1">
        <w:rPr>
          <w:rFonts w:ascii="Arial" w:hAnsi="Arial" w:cs="Arial"/>
          <w:lang w:val="en-ID"/>
        </w:rPr>
        <w:t>This proves that the in vitro method is more promising than the conventional method.</w:t>
      </w:r>
    </w:p>
    <w:bookmarkEnd w:id="7"/>
    <w:p w14:paraId="6774D65E" w14:textId="77777777" w:rsidR="00B87CF1" w:rsidRPr="00B87CF1" w:rsidRDefault="00B87CF1" w:rsidP="00855DB6">
      <w:pPr>
        <w:jc w:val="both"/>
        <w:rPr>
          <w:rFonts w:ascii="Arial" w:hAnsi="Arial" w:cs="Arial"/>
          <w:b/>
          <w:bCs/>
          <w:lang w:val="en-ID"/>
        </w:rPr>
      </w:pPr>
    </w:p>
    <w:p w14:paraId="3A035B12" w14:textId="2C68DDB2" w:rsidR="003D42FC" w:rsidRPr="000F375A" w:rsidRDefault="00855DB6" w:rsidP="00855DB6">
      <w:pPr>
        <w:jc w:val="both"/>
        <w:rPr>
          <w:rFonts w:ascii="Arial" w:hAnsi="Arial" w:cs="Arial"/>
          <w:b/>
          <w:bCs/>
          <w:lang w:val="en-ID"/>
        </w:rPr>
      </w:pPr>
      <w:r w:rsidRPr="007C36D2">
        <w:rPr>
          <w:rFonts w:ascii="Arial" w:hAnsi="Arial" w:cs="Arial"/>
          <w:b/>
          <w:bCs/>
          <w:lang w:val="en-ID"/>
        </w:rPr>
        <w:t>Tabl</w:t>
      </w:r>
      <w:r w:rsidR="003D42FC" w:rsidRPr="007C36D2">
        <w:rPr>
          <w:rFonts w:ascii="Arial" w:hAnsi="Arial" w:cs="Arial"/>
          <w:b/>
          <w:bCs/>
          <w:lang w:val="en-ID"/>
        </w:rPr>
        <w:t>e</w:t>
      </w:r>
      <w:r w:rsidRPr="007C36D2">
        <w:rPr>
          <w:rFonts w:ascii="Arial" w:hAnsi="Arial" w:cs="Arial"/>
          <w:b/>
          <w:bCs/>
          <w:lang w:val="en-ID"/>
        </w:rPr>
        <w:t xml:space="preserve"> 4. </w:t>
      </w:r>
      <w:r w:rsidR="00F776A1">
        <w:rPr>
          <w:rFonts w:ascii="Arial" w:hAnsi="Arial" w:cs="Arial"/>
          <w:b/>
          <w:bCs/>
          <w:lang w:val="en-ID"/>
        </w:rPr>
        <w:t>I</w:t>
      </w:r>
      <w:r w:rsidR="00F776A1" w:rsidRPr="000F375A">
        <w:rPr>
          <w:rFonts w:ascii="Arial" w:hAnsi="Arial" w:cs="Arial"/>
          <w:b/>
          <w:bCs/>
          <w:lang w:val="en-ID"/>
        </w:rPr>
        <w:t>n vitro and conventional</w:t>
      </w:r>
      <w:r w:rsidR="00F776A1">
        <w:rPr>
          <w:rFonts w:ascii="Arial" w:hAnsi="Arial" w:cs="Arial"/>
          <w:b/>
          <w:bCs/>
          <w:lang w:val="en-ID"/>
        </w:rPr>
        <w:t xml:space="preserve"> p</w:t>
      </w:r>
      <w:r w:rsidR="000F375A" w:rsidRPr="000F375A">
        <w:rPr>
          <w:rFonts w:ascii="Arial" w:hAnsi="Arial" w:cs="Arial"/>
          <w:b/>
          <w:bCs/>
          <w:lang w:val="en-ID"/>
        </w:rPr>
        <w:t xml:space="preserve">ropagation of </w:t>
      </w:r>
      <w:r w:rsidR="000F375A" w:rsidRPr="000F375A">
        <w:rPr>
          <w:rFonts w:ascii="Arial" w:hAnsi="Arial" w:cs="Arial"/>
          <w:b/>
          <w:bCs/>
          <w:i/>
          <w:iCs/>
          <w:lang w:val="en-ID"/>
        </w:rPr>
        <w:t>F</w:t>
      </w:r>
      <w:r w:rsidR="000F375A">
        <w:rPr>
          <w:rFonts w:ascii="Arial" w:hAnsi="Arial" w:cs="Arial"/>
          <w:b/>
          <w:bCs/>
          <w:i/>
          <w:iCs/>
          <w:lang w:val="en-ID"/>
        </w:rPr>
        <w:t>.</w:t>
      </w:r>
      <w:r w:rsidR="000F375A" w:rsidRPr="000F375A">
        <w:rPr>
          <w:rFonts w:ascii="Arial" w:hAnsi="Arial" w:cs="Arial"/>
          <w:b/>
          <w:bCs/>
          <w:i/>
          <w:iCs/>
          <w:lang w:val="en-ID"/>
        </w:rPr>
        <w:t xml:space="preserve"> racemosa</w:t>
      </w:r>
      <w:r w:rsidR="000F375A" w:rsidRPr="000F375A">
        <w:rPr>
          <w:rFonts w:ascii="Arial" w:hAnsi="Arial" w:cs="Arial"/>
          <w:b/>
          <w:bCs/>
          <w:lang w:val="en-ID"/>
        </w:rPr>
        <w:t xml:space="preserve"> </w:t>
      </w:r>
    </w:p>
    <w:tbl>
      <w:tblPr>
        <w:tblW w:w="8222" w:type="dxa"/>
        <w:tblLook w:val="04A0" w:firstRow="1" w:lastRow="0" w:firstColumn="1" w:lastColumn="0" w:noHBand="0" w:noVBand="1"/>
      </w:tblPr>
      <w:tblGrid>
        <w:gridCol w:w="1701"/>
        <w:gridCol w:w="3119"/>
        <w:gridCol w:w="3402"/>
      </w:tblGrid>
      <w:tr w:rsidR="00855DB6" w:rsidRPr="00855DB6" w14:paraId="780D0F72" w14:textId="77777777" w:rsidTr="00E93005">
        <w:trPr>
          <w:trHeight w:val="260"/>
        </w:trPr>
        <w:tc>
          <w:tcPr>
            <w:tcW w:w="1701" w:type="dxa"/>
            <w:tcBorders>
              <w:top w:val="single" w:sz="6" w:space="0" w:color="auto"/>
              <w:left w:val="nil"/>
              <w:bottom w:val="single" w:sz="6" w:space="0" w:color="auto"/>
              <w:right w:val="nil"/>
            </w:tcBorders>
            <w:shd w:val="clear" w:color="auto" w:fill="auto"/>
            <w:noWrap/>
            <w:vAlign w:val="bottom"/>
            <w:hideMark/>
          </w:tcPr>
          <w:p w14:paraId="56D497A4" w14:textId="77777777" w:rsidR="00855DB6" w:rsidRPr="000F375A" w:rsidRDefault="00855DB6" w:rsidP="00855DB6">
            <w:pPr>
              <w:rPr>
                <w:rFonts w:ascii="Times New Roman" w:hAnsi="Times New Roman"/>
                <w:lang w:val="en-ID" w:eastAsia="en-ID"/>
              </w:rPr>
            </w:pPr>
          </w:p>
        </w:tc>
        <w:tc>
          <w:tcPr>
            <w:tcW w:w="3119" w:type="dxa"/>
            <w:tcBorders>
              <w:top w:val="single" w:sz="6" w:space="0" w:color="auto"/>
              <w:left w:val="nil"/>
              <w:bottom w:val="single" w:sz="6" w:space="0" w:color="auto"/>
              <w:right w:val="nil"/>
            </w:tcBorders>
            <w:shd w:val="clear" w:color="auto" w:fill="auto"/>
            <w:noWrap/>
            <w:hideMark/>
          </w:tcPr>
          <w:p w14:paraId="34CA48B8" w14:textId="5C5B589E" w:rsidR="00855DB6" w:rsidRPr="000F375A" w:rsidRDefault="00771DF7" w:rsidP="00855DB6">
            <w:pPr>
              <w:jc w:val="center"/>
              <w:rPr>
                <w:rFonts w:ascii="Arial" w:hAnsi="Arial" w:cs="Arial"/>
                <w:b/>
                <w:bCs/>
                <w:color w:val="000000"/>
                <w:lang w:val="en-ID" w:eastAsia="en-ID"/>
              </w:rPr>
            </w:pPr>
            <w:r>
              <w:rPr>
                <w:rFonts w:ascii="Arial" w:hAnsi="Arial" w:cs="Arial"/>
                <w:b/>
                <w:bCs/>
                <w:color w:val="000000"/>
                <w:lang w:val="en-ID" w:eastAsia="en-ID"/>
              </w:rPr>
              <w:t>In vitro culture</w:t>
            </w:r>
          </w:p>
        </w:tc>
        <w:tc>
          <w:tcPr>
            <w:tcW w:w="3402" w:type="dxa"/>
            <w:tcBorders>
              <w:top w:val="single" w:sz="6" w:space="0" w:color="auto"/>
              <w:left w:val="nil"/>
              <w:bottom w:val="single" w:sz="6" w:space="0" w:color="auto"/>
              <w:right w:val="nil"/>
            </w:tcBorders>
            <w:shd w:val="clear" w:color="auto" w:fill="auto"/>
            <w:noWrap/>
            <w:hideMark/>
          </w:tcPr>
          <w:p w14:paraId="4F548206" w14:textId="01FD5E58" w:rsidR="00855DB6" w:rsidRPr="000F375A" w:rsidRDefault="00855DB6" w:rsidP="00855DB6">
            <w:pPr>
              <w:rPr>
                <w:rFonts w:ascii="Arial" w:hAnsi="Arial" w:cs="Arial"/>
                <w:b/>
                <w:bCs/>
                <w:color w:val="000000"/>
                <w:lang w:val="en-ID" w:eastAsia="en-ID"/>
              </w:rPr>
            </w:pPr>
            <w:r w:rsidRPr="000F375A">
              <w:rPr>
                <w:rFonts w:ascii="Arial" w:hAnsi="Arial" w:cs="Arial"/>
                <w:b/>
                <w:bCs/>
                <w:color w:val="000000"/>
                <w:lang w:val="en-ID" w:eastAsia="en-ID"/>
              </w:rPr>
              <w:t>Conventional Propagation by seeds</w:t>
            </w:r>
            <w:r w:rsidR="00771DF7" w:rsidRPr="00771DF7">
              <w:rPr>
                <w:rFonts w:ascii="Arial" w:hAnsi="Arial" w:cs="Arial"/>
                <w:b/>
                <w:bCs/>
                <w:color w:val="000000"/>
                <w:vertAlign w:val="superscript"/>
                <w:lang w:val="en-ID" w:eastAsia="en-ID"/>
              </w:rPr>
              <w:t>*)</w:t>
            </w:r>
          </w:p>
        </w:tc>
      </w:tr>
      <w:tr w:rsidR="00855DB6" w:rsidRPr="00855DB6" w14:paraId="7E550B50" w14:textId="77777777" w:rsidTr="00E93005">
        <w:trPr>
          <w:trHeight w:val="250"/>
        </w:trPr>
        <w:tc>
          <w:tcPr>
            <w:tcW w:w="1701" w:type="dxa"/>
            <w:tcBorders>
              <w:top w:val="single" w:sz="6" w:space="0" w:color="auto"/>
              <w:left w:val="nil"/>
              <w:bottom w:val="nil"/>
              <w:right w:val="nil"/>
            </w:tcBorders>
            <w:shd w:val="clear" w:color="auto" w:fill="auto"/>
            <w:hideMark/>
          </w:tcPr>
          <w:p w14:paraId="28167E81" w14:textId="77777777"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Germination: </w:t>
            </w:r>
          </w:p>
        </w:tc>
        <w:tc>
          <w:tcPr>
            <w:tcW w:w="3119" w:type="dxa"/>
            <w:tcBorders>
              <w:top w:val="single" w:sz="6" w:space="0" w:color="auto"/>
              <w:left w:val="nil"/>
              <w:bottom w:val="nil"/>
              <w:right w:val="nil"/>
            </w:tcBorders>
            <w:shd w:val="clear" w:color="auto" w:fill="auto"/>
            <w:noWrap/>
            <w:hideMark/>
          </w:tcPr>
          <w:p w14:paraId="01FFD889" w14:textId="0CECDB35" w:rsidR="00855DB6" w:rsidRPr="00855DB6" w:rsidRDefault="00855DB6" w:rsidP="00855DB6">
            <w:pPr>
              <w:rPr>
                <w:rFonts w:ascii="Arial" w:hAnsi="Arial" w:cs="Arial"/>
                <w:color w:val="000000"/>
                <w:lang w:val="sv-SE" w:eastAsia="en-ID"/>
              </w:rPr>
            </w:pPr>
            <w:r w:rsidRPr="00855DB6">
              <w:rPr>
                <w:rFonts w:ascii="Arial" w:hAnsi="Arial" w:cs="Arial"/>
                <w:color w:val="000000"/>
                <w:lang w:val="sv-SE" w:eastAsia="en-ID"/>
              </w:rPr>
              <w:t xml:space="preserve">&gt;95% </w:t>
            </w:r>
            <w:r w:rsidR="00771DF7" w:rsidRPr="00771DF7">
              <w:rPr>
                <w:rFonts w:ascii="Arial" w:hAnsi="Arial" w:cs="Arial"/>
                <w:color w:val="000000"/>
                <w:lang w:val="sv-SE" w:eastAsia="en-ID"/>
              </w:rPr>
              <w:t>on in vitro agar media</w:t>
            </w:r>
          </w:p>
        </w:tc>
        <w:tc>
          <w:tcPr>
            <w:tcW w:w="3402" w:type="dxa"/>
            <w:tcBorders>
              <w:top w:val="single" w:sz="6" w:space="0" w:color="auto"/>
              <w:left w:val="nil"/>
              <w:bottom w:val="nil"/>
              <w:right w:val="nil"/>
            </w:tcBorders>
            <w:shd w:val="clear" w:color="auto" w:fill="auto"/>
            <w:noWrap/>
            <w:vAlign w:val="bottom"/>
            <w:hideMark/>
          </w:tcPr>
          <w:p w14:paraId="352C6C16" w14:textId="64F04EDD" w:rsidR="00FE729A" w:rsidRPr="00FE729A" w:rsidRDefault="00855DB6" w:rsidP="00FE729A">
            <w:pPr>
              <w:pStyle w:val="ListParagraph"/>
              <w:numPr>
                <w:ilvl w:val="0"/>
                <w:numId w:val="32"/>
              </w:numPr>
              <w:ind w:left="177" w:hanging="177"/>
              <w:rPr>
                <w:rFonts w:ascii="Arial" w:hAnsi="Arial" w:cs="Arial"/>
                <w:color w:val="000000"/>
                <w:lang w:val="en-ID" w:eastAsia="en-ID"/>
              </w:rPr>
            </w:pPr>
            <w:r w:rsidRPr="00FE729A">
              <w:rPr>
                <w:rFonts w:ascii="Arial" w:hAnsi="Arial" w:cs="Arial"/>
                <w:color w:val="000000"/>
                <w:lang w:val="en-ID" w:eastAsia="en-ID"/>
              </w:rPr>
              <w:t>11%</w:t>
            </w:r>
            <w:r w:rsidR="00FE729A">
              <w:rPr>
                <w:rFonts w:ascii="Arial" w:hAnsi="Arial" w:cs="Arial"/>
                <w:color w:val="000000"/>
                <w:lang w:val="en-ID" w:eastAsia="en-ID"/>
              </w:rPr>
              <w:t xml:space="preserve">: </w:t>
            </w:r>
            <w:r w:rsidRPr="00FE729A">
              <w:rPr>
                <w:rFonts w:ascii="Arial" w:hAnsi="Arial" w:cs="Arial"/>
                <w:color w:val="000000"/>
                <w:lang w:val="en-ID" w:eastAsia="en-ID"/>
              </w:rPr>
              <w:t xml:space="preserve">pre-soaked in 10 hot water for 10 minutes </w:t>
            </w:r>
          </w:p>
          <w:p w14:paraId="4F229FB0" w14:textId="720E65E0" w:rsidR="00855DB6" w:rsidRPr="00FE729A" w:rsidRDefault="00FE729A" w:rsidP="00FE729A">
            <w:pPr>
              <w:pStyle w:val="ListParagraph"/>
              <w:numPr>
                <w:ilvl w:val="0"/>
                <w:numId w:val="32"/>
              </w:numPr>
              <w:ind w:left="177" w:hanging="177"/>
              <w:rPr>
                <w:rFonts w:ascii="Arial" w:hAnsi="Arial" w:cs="Arial"/>
                <w:color w:val="000000"/>
                <w:lang w:val="en-ID" w:eastAsia="en-ID"/>
              </w:rPr>
            </w:pPr>
            <w:r w:rsidRPr="00FE729A">
              <w:rPr>
                <w:rFonts w:ascii="Arial" w:hAnsi="Arial" w:cs="Arial"/>
                <w:color w:val="000000"/>
                <w:lang w:val="en-ID" w:eastAsia="en-ID"/>
              </w:rPr>
              <w:t>5%</w:t>
            </w:r>
            <w:r>
              <w:rPr>
                <w:rFonts w:ascii="Arial" w:hAnsi="Arial" w:cs="Arial"/>
                <w:color w:val="000000"/>
                <w:lang w:val="en-ID" w:eastAsia="en-ID"/>
              </w:rPr>
              <w:t>:</w:t>
            </w:r>
            <w:r w:rsidRPr="00FE729A">
              <w:rPr>
                <w:rFonts w:ascii="Arial" w:hAnsi="Arial" w:cs="Arial"/>
                <w:color w:val="000000"/>
                <w:lang w:val="en-ID" w:eastAsia="en-ID"/>
              </w:rPr>
              <w:t xml:space="preserve"> </w:t>
            </w:r>
            <w:r>
              <w:rPr>
                <w:rFonts w:ascii="Arial" w:hAnsi="Arial" w:cs="Arial"/>
                <w:color w:val="000000"/>
                <w:lang w:val="en-ID" w:eastAsia="en-ID"/>
              </w:rPr>
              <w:t>w</w:t>
            </w:r>
            <w:r w:rsidR="00855DB6" w:rsidRPr="00FE729A">
              <w:rPr>
                <w:rFonts w:ascii="Arial" w:hAnsi="Arial" w:cs="Arial"/>
                <w:color w:val="000000"/>
                <w:lang w:val="en-ID" w:eastAsia="en-ID"/>
              </w:rPr>
              <w:t xml:space="preserve">ithout soaking </w:t>
            </w:r>
          </w:p>
        </w:tc>
      </w:tr>
      <w:tr w:rsidR="00855DB6" w:rsidRPr="00855DB6" w14:paraId="02788BE4" w14:textId="77777777" w:rsidTr="008A4742">
        <w:trPr>
          <w:trHeight w:val="250"/>
        </w:trPr>
        <w:tc>
          <w:tcPr>
            <w:tcW w:w="1701" w:type="dxa"/>
            <w:tcBorders>
              <w:top w:val="nil"/>
              <w:left w:val="nil"/>
              <w:right w:val="nil"/>
            </w:tcBorders>
            <w:shd w:val="clear" w:color="auto" w:fill="auto"/>
            <w:hideMark/>
          </w:tcPr>
          <w:p w14:paraId="1F9FEDE2" w14:textId="77777777"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 xml:space="preserve">Germination Time: </w:t>
            </w:r>
          </w:p>
        </w:tc>
        <w:tc>
          <w:tcPr>
            <w:tcW w:w="3119" w:type="dxa"/>
            <w:tcBorders>
              <w:top w:val="nil"/>
              <w:left w:val="nil"/>
              <w:right w:val="nil"/>
            </w:tcBorders>
            <w:shd w:val="clear" w:color="auto" w:fill="auto"/>
            <w:noWrap/>
            <w:hideMark/>
          </w:tcPr>
          <w:p w14:paraId="5575A748" w14:textId="67B72379"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 xml:space="preserve">3 </w:t>
            </w:r>
            <w:r w:rsidR="00771DF7">
              <w:rPr>
                <w:rFonts w:ascii="Arial" w:hAnsi="Arial" w:cs="Arial"/>
                <w:color w:val="000000"/>
                <w:lang w:val="en-ID" w:eastAsia="en-ID"/>
              </w:rPr>
              <w:t>days</w:t>
            </w:r>
          </w:p>
        </w:tc>
        <w:tc>
          <w:tcPr>
            <w:tcW w:w="3402" w:type="dxa"/>
            <w:tcBorders>
              <w:top w:val="nil"/>
              <w:left w:val="nil"/>
              <w:right w:val="nil"/>
            </w:tcBorders>
            <w:shd w:val="clear" w:color="auto" w:fill="auto"/>
            <w:noWrap/>
            <w:hideMark/>
          </w:tcPr>
          <w:p w14:paraId="1D9F4721" w14:textId="64803B66"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10-15 days if kept damp in sunlight</w:t>
            </w:r>
          </w:p>
        </w:tc>
      </w:tr>
      <w:tr w:rsidR="00855DB6" w:rsidRPr="00FE729A" w14:paraId="09AE6234" w14:textId="77777777" w:rsidTr="007D3048">
        <w:trPr>
          <w:trHeight w:val="568"/>
        </w:trPr>
        <w:tc>
          <w:tcPr>
            <w:tcW w:w="1701" w:type="dxa"/>
            <w:tcBorders>
              <w:top w:val="nil"/>
              <w:left w:val="nil"/>
              <w:right w:val="nil"/>
            </w:tcBorders>
            <w:shd w:val="clear" w:color="auto" w:fill="auto"/>
            <w:hideMark/>
          </w:tcPr>
          <w:p w14:paraId="659B6791" w14:textId="7AF37859"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 xml:space="preserve">Growth in polybags: </w:t>
            </w:r>
          </w:p>
        </w:tc>
        <w:tc>
          <w:tcPr>
            <w:tcW w:w="3119" w:type="dxa"/>
            <w:tcBorders>
              <w:top w:val="nil"/>
              <w:left w:val="nil"/>
              <w:right w:val="nil"/>
            </w:tcBorders>
            <w:shd w:val="clear" w:color="auto" w:fill="auto"/>
            <w:hideMark/>
          </w:tcPr>
          <w:p w14:paraId="5134BCDF" w14:textId="77777777" w:rsidR="00771DF7" w:rsidRPr="00771DF7" w:rsidRDefault="00771DF7" w:rsidP="00771DF7">
            <w:pPr>
              <w:rPr>
                <w:rFonts w:ascii="Arial" w:hAnsi="Arial" w:cs="Arial"/>
                <w:color w:val="000000"/>
                <w:lang w:val="en-ID" w:eastAsia="en-ID"/>
              </w:rPr>
            </w:pPr>
            <w:r w:rsidRPr="00771DF7">
              <w:rPr>
                <w:rFonts w:ascii="Arial" w:hAnsi="Arial" w:cs="Arial"/>
                <w:color w:val="000000"/>
                <w:lang w:val="en-ID" w:eastAsia="en-ID"/>
              </w:rPr>
              <w:t>3 months after being removed from the culture bottle or 7 months since in vitro seed germination:</w:t>
            </w:r>
          </w:p>
          <w:p w14:paraId="6F3E9784" w14:textId="77777777" w:rsidR="00771DF7" w:rsidRPr="00771DF7" w:rsidRDefault="00771DF7" w:rsidP="00771DF7">
            <w:pPr>
              <w:pStyle w:val="ListParagraph"/>
              <w:numPr>
                <w:ilvl w:val="0"/>
                <w:numId w:val="31"/>
              </w:numPr>
              <w:ind w:left="174" w:hanging="174"/>
              <w:rPr>
                <w:rFonts w:ascii="Arial" w:hAnsi="Arial" w:cs="Arial"/>
                <w:color w:val="000000"/>
                <w:lang w:val="en-ID" w:eastAsia="en-ID"/>
              </w:rPr>
            </w:pPr>
            <w:r w:rsidRPr="00771DF7">
              <w:rPr>
                <w:rFonts w:ascii="Arial" w:hAnsi="Arial" w:cs="Arial"/>
                <w:color w:val="000000"/>
                <w:lang w:val="en-ID" w:eastAsia="en-ID"/>
              </w:rPr>
              <w:t>height 15 - 35 cm</w:t>
            </w:r>
          </w:p>
          <w:p w14:paraId="15E1194C" w14:textId="4F47A15B" w:rsidR="00855DB6" w:rsidRPr="00771DF7" w:rsidRDefault="00771DF7" w:rsidP="00771DF7">
            <w:pPr>
              <w:pStyle w:val="ListParagraph"/>
              <w:numPr>
                <w:ilvl w:val="0"/>
                <w:numId w:val="31"/>
              </w:numPr>
              <w:ind w:left="174" w:hanging="174"/>
              <w:rPr>
                <w:rFonts w:ascii="Arial" w:hAnsi="Arial" w:cs="Arial"/>
                <w:color w:val="000000"/>
                <w:lang w:val="en-ID" w:eastAsia="en-ID"/>
              </w:rPr>
            </w:pPr>
            <w:r w:rsidRPr="00771DF7">
              <w:rPr>
                <w:rFonts w:ascii="Arial" w:hAnsi="Arial" w:cs="Arial"/>
                <w:color w:val="000000"/>
                <w:lang w:val="en-ID" w:eastAsia="en-ID"/>
              </w:rPr>
              <w:t>number of leaves 13 - 20</w:t>
            </w:r>
          </w:p>
        </w:tc>
        <w:tc>
          <w:tcPr>
            <w:tcW w:w="3402" w:type="dxa"/>
            <w:tcBorders>
              <w:top w:val="nil"/>
              <w:left w:val="nil"/>
              <w:right w:val="nil"/>
            </w:tcBorders>
            <w:shd w:val="clear" w:color="auto" w:fill="auto"/>
            <w:noWrap/>
            <w:hideMark/>
          </w:tcPr>
          <w:p w14:paraId="77942723" w14:textId="51CD08DC"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 xml:space="preserve">after 11 months </w:t>
            </w:r>
            <w:r w:rsidR="00FE729A">
              <w:rPr>
                <w:rFonts w:cs="Helvetica"/>
                <w:color w:val="000000"/>
                <w:lang w:val="en-ID" w:eastAsia="en-ID"/>
              </w:rPr>
              <w:t>→</w:t>
            </w:r>
            <w:r w:rsidR="00FE729A">
              <w:rPr>
                <w:rFonts w:ascii="Arial" w:hAnsi="Arial" w:cs="Arial"/>
                <w:color w:val="000000"/>
                <w:lang w:val="en-ID" w:eastAsia="en-ID"/>
              </w:rPr>
              <w:t xml:space="preserve"> </w:t>
            </w:r>
            <w:r w:rsidRPr="00855DB6">
              <w:rPr>
                <w:rFonts w:ascii="Arial" w:hAnsi="Arial" w:cs="Arial"/>
                <w:color w:val="000000"/>
                <w:lang w:val="en-ID" w:eastAsia="en-ID"/>
              </w:rPr>
              <w:t>ready for planting out</w:t>
            </w:r>
          </w:p>
        </w:tc>
      </w:tr>
      <w:tr w:rsidR="00855DB6" w:rsidRPr="00855DB6" w14:paraId="447FC48D" w14:textId="77777777" w:rsidTr="00E93005">
        <w:trPr>
          <w:trHeight w:val="282"/>
        </w:trPr>
        <w:tc>
          <w:tcPr>
            <w:tcW w:w="1701" w:type="dxa"/>
            <w:tcBorders>
              <w:top w:val="nil"/>
              <w:left w:val="nil"/>
              <w:bottom w:val="single" w:sz="6" w:space="0" w:color="auto"/>
              <w:right w:val="nil"/>
            </w:tcBorders>
            <w:shd w:val="clear" w:color="auto" w:fill="auto"/>
          </w:tcPr>
          <w:p w14:paraId="01FA1B5E" w14:textId="77777777" w:rsidR="00855DB6" w:rsidRPr="00855DB6" w:rsidRDefault="00855DB6" w:rsidP="00855DB6">
            <w:pPr>
              <w:rPr>
                <w:rFonts w:ascii="Arial" w:hAnsi="Arial" w:cs="Arial"/>
                <w:color w:val="111111"/>
                <w:lang w:val="en-ID" w:eastAsia="en-ID"/>
              </w:rPr>
            </w:pPr>
            <w:r w:rsidRPr="00855DB6">
              <w:rPr>
                <w:rFonts w:ascii="Arial" w:hAnsi="Arial" w:cs="Arial"/>
                <w:color w:val="111111"/>
                <w:lang w:val="en-ID" w:eastAsia="en-ID"/>
              </w:rPr>
              <w:t xml:space="preserve">Plant survival </w:t>
            </w:r>
          </w:p>
        </w:tc>
        <w:tc>
          <w:tcPr>
            <w:tcW w:w="3119" w:type="dxa"/>
            <w:tcBorders>
              <w:top w:val="nil"/>
              <w:left w:val="nil"/>
              <w:bottom w:val="single" w:sz="6" w:space="0" w:color="auto"/>
              <w:right w:val="nil"/>
            </w:tcBorders>
            <w:shd w:val="clear" w:color="auto" w:fill="auto"/>
          </w:tcPr>
          <w:p w14:paraId="72F89AA5" w14:textId="77777777" w:rsidR="00855DB6" w:rsidRPr="00855DB6" w:rsidRDefault="00855DB6" w:rsidP="00855DB6">
            <w:pPr>
              <w:rPr>
                <w:rFonts w:ascii="Arial" w:hAnsi="Arial" w:cs="Arial"/>
                <w:color w:val="000000"/>
                <w:lang w:val="sv-SE" w:eastAsia="en-ID"/>
              </w:rPr>
            </w:pPr>
            <w:r w:rsidRPr="00855DB6">
              <w:rPr>
                <w:rFonts w:ascii="Arial" w:hAnsi="Arial" w:cs="Arial"/>
                <w:color w:val="000000"/>
                <w:lang w:val="sv-SE" w:eastAsia="en-ID"/>
              </w:rPr>
              <w:t>100%</w:t>
            </w:r>
          </w:p>
        </w:tc>
        <w:tc>
          <w:tcPr>
            <w:tcW w:w="3402" w:type="dxa"/>
            <w:tcBorders>
              <w:top w:val="nil"/>
              <w:left w:val="nil"/>
              <w:bottom w:val="single" w:sz="6" w:space="0" w:color="auto"/>
              <w:right w:val="nil"/>
            </w:tcBorders>
            <w:shd w:val="clear" w:color="auto" w:fill="auto"/>
            <w:noWrap/>
          </w:tcPr>
          <w:p w14:paraId="4651A04F" w14:textId="77777777" w:rsidR="00855DB6" w:rsidRPr="00855DB6" w:rsidRDefault="00855DB6" w:rsidP="00855DB6">
            <w:pPr>
              <w:rPr>
                <w:rFonts w:ascii="Arial" w:hAnsi="Arial" w:cs="Arial"/>
                <w:color w:val="000000"/>
                <w:lang w:val="en-ID" w:eastAsia="en-ID"/>
              </w:rPr>
            </w:pPr>
            <w:r w:rsidRPr="00855DB6">
              <w:rPr>
                <w:rFonts w:ascii="Arial" w:hAnsi="Arial" w:cs="Arial"/>
                <w:color w:val="000000"/>
                <w:lang w:val="en-ID" w:eastAsia="en-ID"/>
              </w:rPr>
              <w:t>No data available</w:t>
            </w:r>
          </w:p>
        </w:tc>
      </w:tr>
    </w:tbl>
    <w:p w14:paraId="74A4247E" w14:textId="27FABCD0" w:rsidR="00855DB6" w:rsidRDefault="00771DF7" w:rsidP="00855DB6">
      <w:pPr>
        <w:jc w:val="both"/>
        <w:rPr>
          <w:rFonts w:ascii="Arial" w:hAnsi="Arial" w:cs="Arial"/>
          <w:lang w:val="en-ID"/>
        </w:rPr>
      </w:pPr>
      <w:r w:rsidRPr="00771DF7">
        <w:rPr>
          <w:rFonts w:ascii="Arial" w:hAnsi="Arial" w:cs="Arial"/>
          <w:vertAlign w:val="superscript"/>
          <w:lang w:val="en-ID"/>
        </w:rPr>
        <w:t>*)</w:t>
      </w:r>
      <w:r w:rsidR="001011B4">
        <w:rPr>
          <w:rFonts w:ascii="Arial" w:hAnsi="Arial" w:cs="Arial"/>
          <w:lang w:val="en-ID"/>
        </w:rPr>
        <w:fldChar w:fldCharType="begin" w:fldLock="1"/>
      </w:r>
      <w:r w:rsidR="001E61FF">
        <w:rPr>
          <w:rFonts w:ascii="Arial" w:hAnsi="Arial" w:cs="Arial"/>
          <w:lang w:val="en-ID"/>
        </w:rPr>
        <w:instrText>ADDIN CSL_CITATION {"citationItems":[{"id":"ITEM-1","itemData":{"ISBN":"0484265822","ISSN":"09760504","abstract":"The four Ficus species, viz. Ficus racemosa Linn. (Cluster fig), Ficus microcarpa Linn.f. (Chinese or Malayan banyan), Ficus religiosa Linn. (Peepal tree) and Ficus benghalensis Linn. (Banyan tree) belonging to the 'Nalpamara' group of medicinal trees possess immense medicinal values. The barks of these four Ficus species make a unique formulation to cure various uterine problems in women. Germination percentages of seeds of F. racemosa, F. microcarpa, F. religiosa and F. benghalensis are reported to be 5.0, 2.3, 27.7 and 82.0%, respectively. Therefore, studies were undertaken to standardise and compare various propagation methods for these species. Various seed treatments showed improvement in germination percentage. In F. racemosa and F. microcarpa there was drastic decrease in seed viability after six months. In F. religiosa viability started declining only after 12 months whereas F. benghalensis seeds retained satisfactory germination even after 18 months. Studies on vegetative propagation showed that all the four species showed poor rooting of stem cuttings. The percentage success of rooting was 10-12% in F. racemosa and F. religiosa and 18-20% in F. microcarpa and F. benghalensis. Air layering was found very successful in all the four species and the percentage success achieved was 80-90%. In F. racemosa success rate during May-June was only 40% whereas it was 90% during August-September.","author":[{"dropping-particle":"","family":"Mathew","given":"Gracy","non-dropping-particle":"","parse-names":false,"suffix":""},{"dropping-particle":"","family":"Skaria","given":"Baby P.","non-dropping-particle":"","parse-names":false,"suffix":""},{"dropping-particle":"","family":"Joseph","given":"Ancy","non-dropping-particle":"","parse-names":false,"suffix":""}],"container-title":"Indian Journal of Natural Products and Resources","id":"ITEM-1","issue":"1","issued":{"date-parts":[["2011"]]},"page":"88-96","title":"Standardization of conventional propagation techniques for four medicinal species of genus Ficus Linn","type":"article-journal","volume":"2"},"uris":["http://www.mendeley.com/documents/?uuid=1d6aa774-96fd-4458-92c0-b9abef554321"]}],"mendeley":{"formattedCitation":"(23)","plainTextFormattedCitation":"(23)","previouslyFormattedCitation":"(23)"},"properties":{"noteIndex":0},"schema":"https://github.com/citation-style-language/schema/raw/master/csl-citation.json"}</w:instrText>
      </w:r>
      <w:r w:rsidR="001011B4">
        <w:rPr>
          <w:rFonts w:ascii="Arial" w:hAnsi="Arial" w:cs="Arial"/>
          <w:lang w:val="en-ID"/>
        </w:rPr>
        <w:fldChar w:fldCharType="separate"/>
      </w:r>
      <w:r w:rsidR="001039A5" w:rsidRPr="001039A5">
        <w:rPr>
          <w:rFonts w:ascii="Arial" w:hAnsi="Arial" w:cs="Arial"/>
          <w:noProof/>
          <w:lang w:val="en-ID"/>
        </w:rPr>
        <w:t>(23)</w:t>
      </w:r>
      <w:r w:rsidR="001011B4">
        <w:rPr>
          <w:rFonts w:ascii="Arial" w:hAnsi="Arial" w:cs="Arial"/>
          <w:lang w:val="en-ID"/>
        </w:rPr>
        <w:fldChar w:fldCharType="end"/>
      </w:r>
    </w:p>
    <w:p w14:paraId="481327E2" w14:textId="77777777" w:rsidR="00771DF7" w:rsidRPr="00855DB6" w:rsidRDefault="00771DF7" w:rsidP="00855DB6">
      <w:pPr>
        <w:jc w:val="both"/>
        <w:rPr>
          <w:rFonts w:ascii="Arial" w:hAnsi="Arial" w:cs="Arial"/>
          <w:lang w:val="en-ID"/>
        </w:rPr>
      </w:pPr>
    </w:p>
    <w:p w14:paraId="5818FCB8" w14:textId="0E1C1914" w:rsidR="00855DB6" w:rsidRPr="000F375A" w:rsidRDefault="00CF4B1D" w:rsidP="00855DB6">
      <w:pPr>
        <w:jc w:val="both"/>
        <w:rPr>
          <w:rFonts w:ascii="Arial" w:hAnsi="Arial" w:cs="Arial"/>
          <w:lang w:val="en-ID"/>
        </w:rPr>
      </w:pPr>
      <w:bookmarkStart w:id="8" w:name="_Hlk198563074"/>
      <w:r w:rsidRPr="000969A3">
        <w:rPr>
          <w:rFonts w:ascii="Arial" w:hAnsi="Arial" w:cs="Arial"/>
          <w:lang w:val="en-ID"/>
        </w:rPr>
        <w:lastRenderedPageBreak/>
        <w:t>T</w:t>
      </w:r>
      <w:r w:rsidR="000F375A" w:rsidRPr="000969A3">
        <w:rPr>
          <w:rFonts w:ascii="Arial" w:hAnsi="Arial" w:cs="Arial"/>
          <w:lang w:val="en-ID"/>
        </w:rPr>
        <w:t>his study</w:t>
      </w:r>
      <w:r w:rsidRPr="000969A3">
        <w:rPr>
          <w:rFonts w:ascii="Arial" w:hAnsi="Arial" w:cs="Arial"/>
          <w:lang w:val="en-ID"/>
        </w:rPr>
        <w:t xml:space="preserve"> shows that</w:t>
      </w:r>
      <w:r w:rsidR="000F375A" w:rsidRPr="000F375A">
        <w:rPr>
          <w:rFonts w:ascii="Arial" w:hAnsi="Arial" w:cs="Arial"/>
          <w:lang w:val="en-ID"/>
        </w:rPr>
        <w:t xml:space="preserve"> cotyledon</w:t>
      </w:r>
      <w:r>
        <w:rPr>
          <w:rFonts w:ascii="Arial" w:hAnsi="Arial" w:cs="Arial"/>
          <w:lang w:val="en-ID"/>
        </w:rPr>
        <w:t>ary</w:t>
      </w:r>
      <w:r w:rsidR="000F375A" w:rsidRPr="000F375A">
        <w:rPr>
          <w:rFonts w:ascii="Arial" w:hAnsi="Arial" w:cs="Arial"/>
          <w:lang w:val="en-ID"/>
        </w:rPr>
        <w:t xml:space="preserve"> node explants </w:t>
      </w:r>
      <w:r>
        <w:rPr>
          <w:rFonts w:ascii="Arial" w:hAnsi="Arial" w:cs="Arial"/>
          <w:lang w:val="en-ID"/>
        </w:rPr>
        <w:t xml:space="preserve">derived </w:t>
      </w:r>
      <w:r w:rsidR="000F375A" w:rsidRPr="000F375A">
        <w:rPr>
          <w:rFonts w:ascii="Arial" w:hAnsi="Arial" w:cs="Arial"/>
          <w:lang w:val="en-ID"/>
        </w:rPr>
        <w:t xml:space="preserve">from in vitro </w:t>
      </w:r>
      <w:r w:rsidR="00771DF7" w:rsidRPr="00771DF7">
        <w:rPr>
          <w:rFonts w:ascii="Arial" w:hAnsi="Arial" w:cs="Arial"/>
          <w:i/>
          <w:iCs/>
          <w:lang w:val="en-ID"/>
        </w:rPr>
        <w:t>F</w:t>
      </w:r>
      <w:r w:rsidR="000F375A" w:rsidRPr="00771DF7">
        <w:rPr>
          <w:rFonts w:ascii="Arial" w:hAnsi="Arial" w:cs="Arial"/>
          <w:i/>
          <w:iCs/>
          <w:lang w:val="en-ID"/>
        </w:rPr>
        <w:t>. racemosa</w:t>
      </w:r>
      <w:r w:rsidR="000F375A" w:rsidRPr="000F375A">
        <w:rPr>
          <w:rFonts w:ascii="Arial" w:hAnsi="Arial" w:cs="Arial"/>
          <w:lang w:val="en-ID"/>
        </w:rPr>
        <w:t xml:space="preserve"> seedlings </w:t>
      </w:r>
      <w:r w:rsidR="000719EE">
        <w:rPr>
          <w:rFonts w:ascii="Arial" w:hAnsi="Arial" w:cs="Arial"/>
          <w:lang w:val="en-ID"/>
        </w:rPr>
        <w:t xml:space="preserve">had high </w:t>
      </w:r>
      <w:r w:rsidR="00FE729A">
        <w:rPr>
          <w:rFonts w:ascii="Arial" w:hAnsi="Arial" w:cs="Arial"/>
          <w:lang w:val="en-ID"/>
        </w:rPr>
        <w:t xml:space="preserve">shoot </w:t>
      </w:r>
      <w:r w:rsidR="000719EE">
        <w:rPr>
          <w:rFonts w:ascii="Arial" w:hAnsi="Arial" w:cs="Arial"/>
          <w:lang w:val="en-ID"/>
        </w:rPr>
        <w:t>regeneration capability</w:t>
      </w:r>
      <w:r w:rsidR="000F375A" w:rsidRPr="000F375A">
        <w:rPr>
          <w:rFonts w:ascii="Arial" w:hAnsi="Arial" w:cs="Arial"/>
          <w:lang w:val="en-ID"/>
        </w:rPr>
        <w:t xml:space="preserve"> in both MS and WPM base media.</w:t>
      </w:r>
      <w:r w:rsidR="00FE729A">
        <w:rPr>
          <w:rFonts w:ascii="Arial" w:hAnsi="Arial" w:cs="Arial"/>
          <w:lang w:val="en-ID"/>
        </w:rPr>
        <w:t xml:space="preserve"> However, WPM media supplemented by NAA 0,1 mg/l more appropriate for root formation.</w:t>
      </w:r>
      <w:r w:rsidR="000F375A" w:rsidRPr="000F375A">
        <w:rPr>
          <w:rFonts w:ascii="Arial" w:hAnsi="Arial" w:cs="Arial"/>
          <w:lang w:val="en-ID"/>
        </w:rPr>
        <w:t xml:space="preserve"> Murashige and Skoog media, which have high nitrogen content in the form of nitrate and ammonium, are plant regeneration media that are widely used for dicots and monocots</w:t>
      </w:r>
      <w:r w:rsidR="00855DB6" w:rsidRPr="000F375A">
        <w:rPr>
          <w:rFonts w:ascii="Arial" w:hAnsi="Arial" w:cs="Arial"/>
          <w:lang w:val="en-ID"/>
        </w:rPr>
        <w:t xml:space="preserve"> </w:t>
      </w:r>
      <w:r w:rsidR="00862B27">
        <w:rPr>
          <w:rFonts w:ascii="Arial" w:hAnsi="Arial" w:cs="Arial"/>
          <w:lang w:val="en-ID"/>
        </w:rPr>
        <w:fldChar w:fldCharType="begin" w:fldLock="1"/>
      </w:r>
      <w:r w:rsidR="004E3048">
        <w:rPr>
          <w:rFonts w:ascii="Arial" w:hAnsi="Arial" w:cs="Arial"/>
          <w:lang w:val="en-ID"/>
        </w:rPr>
        <w:instrText>ADDIN CSL_CITATION {"citationItems":[{"id":"ITEM-1","itemData":{"DOI":"10.1007/s11627-019-09983-5","ISSN":"14752689","abstract":"This review presents an overview of the culture media and practices used in plant tissue culture and developmental biology. The compositions of the most commonly used basal media, especially Murashige and Skoog (MS) and modified MS (MMS), Gamborg’s B5 medium and B5 modifications, Woody Plant Medium (WPM), and Driver and Kuniyuki Woody plant medium (DKW) are discussed, along with typical basal medium manipulations to elicit and support various developmental responses. The most commonly used plant growth regulators and their applications to promote various developmental responses are examined, along with a presentation of the classical phytohormone developmental models for organogenesis and somatic embryogenesis. Elaborated developmental models for both organogenesis and somatic embryogenesis, with emphasis on discrete developmental steps, occasional need for multiple manipulations in culture to achieve a single developmental step, and identification of responsive tissue types in mixed cultures are explored. It is hoped that the information presented here will lead to a deeper understanding of basic tissue culture responses and will assist the reader in the decision-making process by identifying appropriate media and culture conditions for a particular species or application, or by providing a suitable starting point, should further customization be required.","author":[{"dropping-particle":"","family":"Phillips","given":"Gregory C.","non-dropping-particle":"","parse-names":false,"suffix":""},{"dropping-particle":"","family":"Garda","given":"Martina","non-dropping-particle":"","parse-names":false,"suffix":""}],"container-title":"In Vitro Cellular and Developmental Biology - Plant","id":"ITEM-1","issue":"3","issued":{"date-parts":[["2019"]]},"page":"242-257","publisher":"In Vitro Cellular &amp; Developmental Biology - Plant","title":"Plant tissue culture media and practices: an overview","type":"article-journal","volume":"55"},"uris":["http://www.mendeley.com/documents/?uuid=2bfb4a4a-b146-404c-80ed-486c52297696"]}],"mendeley":{"formattedCitation":"(37)","plainTextFormattedCitation":"(37)","previouslyFormattedCitation":"(36)"},"properties":{"noteIndex":0},"schema":"https://github.com/citation-style-language/schema/raw/master/csl-citation.json"}</w:instrText>
      </w:r>
      <w:r w:rsidR="00862B27">
        <w:rPr>
          <w:rFonts w:ascii="Arial" w:hAnsi="Arial" w:cs="Arial"/>
          <w:lang w:val="en-ID"/>
        </w:rPr>
        <w:fldChar w:fldCharType="separate"/>
      </w:r>
      <w:r w:rsidR="004E3048" w:rsidRPr="004E3048">
        <w:rPr>
          <w:rFonts w:ascii="Arial" w:hAnsi="Arial" w:cs="Arial"/>
          <w:noProof/>
          <w:lang w:val="en-ID"/>
        </w:rPr>
        <w:t>(37)</w:t>
      </w:r>
      <w:r w:rsidR="00862B27">
        <w:rPr>
          <w:rFonts w:ascii="Arial" w:hAnsi="Arial" w:cs="Arial"/>
          <w:lang w:val="en-ID"/>
        </w:rPr>
        <w:fldChar w:fldCharType="end"/>
      </w:r>
      <w:r w:rsidR="00855DB6" w:rsidRPr="000F375A">
        <w:rPr>
          <w:rFonts w:ascii="Arial" w:hAnsi="Arial" w:cs="Arial"/>
          <w:lang w:val="en-ID"/>
        </w:rPr>
        <w:t xml:space="preserve">. </w:t>
      </w:r>
      <w:r w:rsidR="000F375A">
        <w:rPr>
          <w:rFonts w:ascii="Arial" w:hAnsi="Arial" w:cs="Arial"/>
          <w:lang w:val="en-ID"/>
        </w:rPr>
        <w:t>WPM</w:t>
      </w:r>
      <w:r w:rsidR="000F375A" w:rsidRPr="000F375A">
        <w:rPr>
          <w:rFonts w:ascii="Arial" w:hAnsi="Arial" w:cs="Arial"/>
          <w:lang w:val="en-ID"/>
        </w:rPr>
        <w:t xml:space="preserve"> media is a ba</w:t>
      </w:r>
      <w:r w:rsidR="000719EE">
        <w:rPr>
          <w:rFonts w:ascii="Arial" w:hAnsi="Arial" w:cs="Arial"/>
          <w:lang w:val="en-ID"/>
        </w:rPr>
        <w:t>sal</w:t>
      </w:r>
      <w:r w:rsidR="000F375A" w:rsidRPr="000F375A">
        <w:rPr>
          <w:rFonts w:ascii="Arial" w:hAnsi="Arial" w:cs="Arial"/>
          <w:lang w:val="en-ID"/>
        </w:rPr>
        <w:t xml:space="preserve"> medium for woody plants that generally contains fewer macronutrient salts when compared to </w:t>
      </w:r>
      <w:r w:rsidR="000F375A">
        <w:rPr>
          <w:rFonts w:ascii="Arial" w:hAnsi="Arial" w:cs="Arial"/>
          <w:lang w:val="en-ID"/>
        </w:rPr>
        <w:t>MS</w:t>
      </w:r>
      <w:r w:rsidR="000F375A" w:rsidRPr="000F375A">
        <w:rPr>
          <w:rFonts w:ascii="Arial" w:hAnsi="Arial" w:cs="Arial"/>
          <w:lang w:val="en-ID"/>
        </w:rPr>
        <w:t xml:space="preserve"> media</w:t>
      </w:r>
      <w:r w:rsidR="00862B27">
        <w:rPr>
          <w:rFonts w:ascii="Arial" w:hAnsi="Arial" w:cs="Arial"/>
          <w:lang w:val="en-ID"/>
        </w:rPr>
        <w:t xml:space="preserve"> </w:t>
      </w:r>
      <w:r w:rsidR="00862B27">
        <w:rPr>
          <w:rFonts w:ascii="Arial" w:hAnsi="Arial" w:cs="Arial"/>
          <w:lang w:val="en-ID"/>
        </w:rPr>
        <w:fldChar w:fldCharType="begin" w:fldLock="1"/>
      </w:r>
      <w:r w:rsidR="004E3048">
        <w:rPr>
          <w:rFonts w:ascii="Arial" w:hAnsi="Arial" w:cs="Arial"/>
          <w:lang w:val="en-ID"/>
        </w:rPr>
        <w:instrText>ADDIN CSL_CITATION {"citationItems":[{"id":"ITEM-1","itemData":{"DOI":"10.1007/s11627-019-09983-5","ISSN":"14752689","abstract":"This review presents an overview of the culture media and practices used in plant tissue culture and developmental biology. The compositions of the most commonly used basal media, especially Murashige and Skoog (MS) and modified MS (MMS), Gamborg’s B5 medium and B5 modifications, Woody Plant Medium (WPM), and Driver and Kuniyuki Woody plant medium (DKW) are discussed, along with typical basal medium manipulations to elicit and support various developmental responses. The most commonly used plant growth regulators and their applications to promote various developmental responses are examined, along with a presentation of the classical phytohormone developmental models for organogenesis and somatic embryogenesis. Elaborated developmental models for both organogenesis and somatic embryogenesis, with emphasis on discrete developmental steps, occasional need for multiple manipulations in culture to achieve a single developmental step, and identification of responsive tissue types in mixed cultures are explored. It is hoped that the information presented here will lead to a deeper understanding of basic tissue culture responses and will assist the reader in the decision-making process by identifying appropriate media and culture conditions for a particular species or application, or by providing a suitable starting point, should further customization be required.","author":[{"dropping-particle":"","family":"Phillips","given":"Gregory C.","non-dropping-particle":"","parse-names":false,"suffix":""},{"dropping-particle":"","family":"Garda","given":"Martina","non-dropping-particle":"","parse-names":false,"suffix":""}],"container-title":"In Vitro Cellular and Developmental Biology - Plant","id":"ITEM-1","issue":"3","issued":{"date-parts":[["2019"]]},"page":"242-257","publisher":"In Vitro Cellular &amp; Developmental Biology - Plant","title":"Plant tissue culture media and practices: an overview","type":"article-journal","volume":"55"},"uris":["http://www.mendeley.com/documents/?uuid=2bfb4a4a-b146-404c-80ed-486c52297696"]}],"mendeley":{"formattedCitation":"(37)","plainTextFormattedCitation":"(37)","previouslyFormattedCitation":"(36)"},"properties":{"noteIndex":0},"schema":"https://github.com/citation-style-language/schema/raw/master/csl-citation.json"}</w:instrText>
      </w:r>
      <w:r w:rsidR="00862B27">
        <w:rPr>
          <w:rFonts w:ascii="Arial" w:hAnsi="Arial" w:cs="Arial"/>
          <w:lang w:val="en-ID"/>
        </w:rPr>
        <w:fldChar w:fldCharType="separate"/>
      </w:r>
      <w:r w:rsidR="004E3048" w:rsidRPr="004E3048">
        <w:rPr>
          <w:rFonts w:ascii="Arial" w:hAnsi="Arial" w:cs="Arial"/>
          <w:noProof/>
          <w:lang w:val="en-ID"/>
        </w:rPr>
        <w:t>(37)</w:t>
      </w:r>
      <w:r w:rsidR="00862B27">
        <w:rPr>
          <w:rFonts w:ascii="Arial" w:hAnsi="Arial" w:cs="Arial"/>
          <w:lang w:val="en-ID"/>
        </w:rPr>
        <w:fldChar w:fldCharType="end"/>
      </w:r>
      <w:r w:rsidR="00855DB6" w:rsidRPr="000F375A">
        <w:rPr>
          <w:rFonts w:ascii="Arial" w:hAnsi="Arial" w:cs="Arial"/>
          <w:lang w:val="en-ID"/>
        </w:rPr>
        <w:t xml:space="preserve">. </w:t>
      </w:r>
      <w:r w:rsidR="004A2CF2" w:rsidRPr="004A2CF2">
        <w:rPr>
          <w:rFonts w:ascii="Arial" w:hAnsi="Arial" w:cs="Arial"/>
          <w:lang w:val="en-ID"/>
        </w:rPr>
        <w:t xml:space="preserve">This study shows that MS and WPM media have the potential to support </w:t>
      </w:r>
      <w:r w:rsidR="004A2CF2" w:rsidRPr="004A2CF2">
        <w:rPr>
          <w:rFonts w:ascii="Arial" w:hAnsi="Arial" w:cs="Arial"/>
          <w:i/>
          <w:iCs/>
          <w:lang w:val="en-ID"/>
        </w:rPr>
        <w:t>F. racemosa</w:t>
      </w:r>
      <w:r w:rsidR="004A2CF2" w:rsidRPr="004A2CF2">
        <w:rPr>
          <w:rFonts w:ascii="Arial" w:hAnsi="Arial" w:cs="Arial"/>
          <w:lang w:val="en-ID"/>
        </w:rPr>
        <w:t xml:space="preserve"> micropropagation in both shoot multiplication and plantlet regeneration</w:t>
      </w:r>
      <w:r w:rsidR="004A2CF2">
        <w:rPr>
          <w:rFonts w:ascii="Arial" w:hAnsi="Arial" w:cs="Arial"/>
          <w:lang w:val="en-ID"/>
        </w:rPr>
        <w:t xml:space="preserve"> which</w:t>
      </w:r>
      <w:r w:rsidR="000F375A" w:rsidRPr="000F375A">
        <w:rPr>
          <w:rFonts w:ascii="Arial" w:hAnsi="Arial" w:cs="Arial"/>
          <w:lang w:val="en-ID"/>
        </w:rPr>
        <w:t xml:space="preserve"> provides great opportunities for the provision of forest plant seedlings on a large scale as an effort to support conservation.</w:t>
      </w:r>
    </w:p>
    <w:bookmarkEnd w:id="8"/>
    <w:p w14:paraId="2A8DDA37" w14:textId="77777777" w:rsidR="000F375A" w:rsidRDefault="000F375A" w:rsidP="00441B6F">
      <w:pPr>
        <w:pStyle w:val="ConcHead"/>
        <w:spacing w:after="0"/>
        <w:jc w:val="both"/>
        <w:rPr>
          <w:rFonts w:ascii="Arial" w:hAnsi="Arial" w:cs="Arial"/>
          <w:lang w:val="en-ID"/>
        </w:rPr>
      </w:pPr>
    </w:p>
    <w:p w14:paraId="66A196B8" w14:textId="4B983DF6" w:rsidR="00B01FCD" w:rsidRPr="005745A6" w:rsidRDefault="00000F8F" w:rsidP="00441B6F">
      <w:pPr>
        <w:pStyle w:val="ConcHead"/>
        <w:spacing w:after="0"/>
        <w:jc w:val="both"/>
        <w:rPr>
          <w:rFonts w:ascii="Arial" w:hAnsi="Arial" w:cs="Arial"/>
          <w:lang w:val="en-ID"/>
        </w:rPr>
      </w:pPr>
      <w:r w:rsidRPr="005745A6">
        <w:rPr>
          <w:rFonts w:ascii="Arial" w:hAnsi="Arial" w:cs="Arial"/>
          <w:lang w:val="en-ID"/>
        </w:rPr>
        <w:t xml:space="preserve">4. </w:t>
      </w:r>
      <w:r w:rsidR="00B01FCD" w:rsidRPr="005745A6">
        <w:rPr>
          <w:rFonts w:ascii="Arial" w:hAnsi="Arial" w:cs="Arial"/>
          <w:lang w:val="en-ID"/>
        </w:rPr>
        <w:t>Conclusion</w:t>
      </w:r>
    </w:p>
    <w:p w14:paraId="6020098D" w14:textId="77777777" w:rsidR="00790ADA" w:rsidRPr="005745A6" w:rsidRDefault="00790ADA" w:rsidP="00441B6F">
      <w:pPr>
        <w:pStyle w:val="ConcHead"/>
        <w:spacing w:after="0"/>
        <w:jc w:val="both"/>
        <w:rPr>
          <w:rFonts w:ascii="Arial" w:hAnsi="Arial" w:cs="Arial"/>
          <w:lang w:val="en-ID"/>
        </w:rPr>
      </w:pPr>
    </w:p>
    <w:p w14:paraId="5C0A6E3A" w14:textId="406D5B98" w:rsidR="00790ADA" w:rsidRDefault="004C3BE2" w:rsidP="00441B6F">
      <w:pPr>
        <w:pStyle w:val="Body"/>
        <w:spacing w:after="0"/>
        <w:rPr>
          <w:rFonts w:ascii="Arial" w:hAnsi="Arial" w:cs="Arial"/>
          <w:lang w:val="en-ID"/>
        </w:rPr>
      </w:pPr>
      <w:r w:rsidRPr="004C3BE2">
        <w:rPr>
          <w:rFonts w:ascii="Arial" w:hAnsi="Arial" w:cs="Arial"/>
          <w:lang w:val="en-ID"/>
        </w:rPr>
        <w:t xml:space="preserve">High germination rate of </w:t>
      </w:r>
      <w:r w:rsidRPr="004C3BE2">
        <w:rPr>
          <w:rFonts w:ascii="Arial" w:hAnsi="Arial" w:cs="Arial"/>
          <w:i/>
          <w:iCs/>
          <w:lang w:val="en-ID"/>
        </w:rPr>
        <w:t>F racemosa</w:t>
      </w:r>
      <w:r w:rsidRPr="004C3BE2">
        <w:rPr>
          <w:rFonts w:ascii="Arial" w:hAnsi="Arial" w:cs="Arial"/>
          <w:lang w:val="en-ID"/>
        </w:rPr>
        <w:t xml:space="preserve"> seeds is an alternative solution to overcome the constraints in conventional propagation.</w:t>
      </w:r>
      <w:r>
        <w:rPr>
          <w:rFonts w:ascii="Arial" w:hAnsi="Arial" w:cs="Arial"/>
          <w:lang w:val="en-ID"/>
        </w:rPr>
        <w:t xml:space="preserve"> </w:t>
      </w:r>
      <w:r w:rsidR="00091C44" w:rsidRPr="00091C44">
        <w:rPr>
          <w:rFonts w:ascii="Arial" w:hAnsi="Arial" w:cs="Arial"/>
          <w:lang w:val="en-ID"/>
        </w:rPr>
        <w:t xml:space="preserve">Cotyledonary node explants of F. racemosa from in vitro seedlings </w:t>
      </w:r>
      <w:r w:rsidR="00091C44">
        <w:rPr>
          <w:rFonts w:ascii="Arial" w:hAnsi="Arial" w:cs="Arial"/>
          <w:lang w:val="en-ID"/>
        </w:rPr>
        <w:t>w</w:t>
      </w:r>
      <w:r w:rsidR="00091C44" w:rsidRPr="00091C44">
        <w:rPr>
          <w:rFonts w:ascii="Arial" w:hAnsi="Arial" w:cs="Arial"/>
          <w:lang w:val="en-ID"/>
        </w:rPr>
        <w:t>hich had high regeneration capacity on MS and WPM basal medium is promising strategy for shoot multiplication</w:t>
      </w:r>
      <w:r w:rsidR="005745A6" w:rsidRPr="005745A6">
        <w:rPr>
          <w:rFonts w:ascii="Arial" w:hAnsi="Arial" w:cs="Arial"/>
          <w:lang w:val="en-ID"/>
        </w:rPr>
        <w:t xml:space="preserve">. The high survival rate of </w:t>
      </w:r>
      <w:r w:rsidR="005745A6" w:rsidRPr="005745A6">
        <w:rPr>
          <w:rFonts w:ascii="Arial" w:hAnsi="Arial" w:cs="Arial"/>
          <w:i/>
          <w:iCs/>
          <w:lang w:val="en-ID"/>
        </w:rPr>
        <w:t>F. racemosa</w:t>
      </w:r>
      <w:r w:rsidR="005745A6" w:rsidRPr="005745A6">
        <w:rPr>
          <w:rFonts w:ascii="Arial" w:hAnsi="Arial" w:cs="Arial"/>
          <w:lang w:val="en-ID"/>
        </w:rPr>
        <w:t xml:space="preserve"> plantlets from in vitro regeneration </w:t>
      </w:r>
      <w:r w:rsidR="00091C44">
        <w:rPr>
          <w:rFonts w:ascii="Arial" w:hAnsi="Arial" w:cs="Arial"/>
          <w:lang w:val="en-ID"/>
        </w:rPr>
        <w:t xml:space="preserve">system </w:t>
      </w:r>
      <w:r w:rsidR="005745A6" w:rsidRPr="005745A6">
        <w:rPr>
          <w:rFonts w:ascii="Arial" w:hAnsi="Arial" w:cs="Arial"/>
          <w:lang w:val="en-ID"/>
        </w:rPr>
        <w:t>is useful for providing seedlings that support ecological potential in spring conservation.</w:t>
      </w:r>
    </w:p>
    <w:p w14:paraId="0E31ECA3" w14:textId="77777777" w:rsidR="005745A6" w:rsidRPr="005745A6" w:rsidRDefault="005745A6" w:rsidP="00441B6F">
      <w:pPr>
        <w:pStyle w:val="Body"/>
        <w:spacing w:after="0"/>
        <w:rPr>
          <w:rFonts w:ascii="Arial" w:hAnsi="Arial" w:cs="Arial"/>
          <w:lang w:val="en-ID"/>
        </w:rPr>
      </w:pPr>
    </w:p>
    <w:p w14:paraId="71DE23EE" w14:textId="77777777" w:rsidR="0036299F" w:rsidRPr="007270B5" w:rsidRDefault="0036299F" w:rsidP="00441B6F">
      <w:pPr>
        <w:pStyle w:val="AcknHead"/>
        <w:spacing w:after="0"/>
        <w:jc w:val="both"/>
        <w:rPr>
          <w:rFonts w:ascii="Arial" w:hAnsi="Arial" w:cs="Arial"/>
          <w:szCs w:val="22"/>
        </w:rPr>
      </w:pPr>
      <w:r w:rsidRPr="007270B5">
        <w:rPr>
          <w:rFonts w:ascii="Arial" w:hAnsi="Arial" w:cs="Arial"/>
          <w:szCs w:val="22"/>
        </w:rPr>
        <w:t>DISCLAIMER (ARTIFICIAL INTELLIGENCE)</w:t>
      </w:r>
    </w:p>
    <w:p w14:paraId="04829CE1" w14:textId="77777777" w:rsidR="003F49D4" w:rsidRDefault="003F49D4" w:rsidP="00441B6F">
      <w:pPr>
        <w:pStyle w:val="AcknHead"/>
        <w:spacing w:after="0"/>
        <w:jc w:val="both"/>
        <w:rPr>
          <w:rFonts w:ascii="Arial" w:hAnsi="Arial" w:cs="Arial"/>
          <w:b w:val="0"/>
          <w:bCs/>
          <w:caps w:val="0"/>
          <w:sz w:val="20"/>
        </w:rPr>
      </w:pPr>
    </w:p>
    <w:p w14:paraId="3180F46C" w14:textId="23F18B88" w:rsidR="0036299F" w:rsidRPr="007270B5" w:rsidRDefault="0036299F" w:rsidP="00441B6F">
      <w:pPr>
        <w:pStyle w:val="AcknHead"/>
        <w:spacing w:after="0"/>
        <w:jc w:val="both"/>
        <w:rPr>
          <w:rFonts w:ascii="Arial" w:hAnsi="Arial" w:cs="Arial"/>
          <w:b w:val="0"/>
          <w:bCs/>
          <w:sz w:val="20"/>
        </w:rPr>
      </w:pPr>
      <w:r w:rsidRPr="007270B5">
        <w:rPr>
          <w:rFonts w:ascii="Arial" w:hAnsi="Arial" w:cs="Arial"/>
          <w:b w:val="0"/>
          <w:bCs/>
          <w:caps w:val="0"/>
          <w:sz w:val="20"/>
        </w:rPr>
        <w:t>Author(</w:t>
      </w:r>
      <w:r w:rsidR="00037431">
        <w:rPr>
          <w:rFonts w:ascii="Arial" w:hAnsi="Arial" w:cs="Arial"/>
          <w:b w:val="0"/>
          <w:bCs/>
          <w:caps w:val="0"/>
          <w:sz w:val="20"/>
        </w:rPr>
        <w:t>s</w:t>
      </w:r>
      <w:r w:rsidRPr="007270B5">
        <w:rPr>
          <w:rFonts w:ascii="Arial" w:hAnsi="Arial" w:cs="Arial"/>
          <w:b w:val="0"/>
          <w:bCs/>
          <w:caps w:val="0"/>
          <w:sz w:val="20"/>
        </w:rPr>
        <w:t xml:space="preserve">)  hereby  </w:t>
      </w:r>
      <w:r w:rsidR="00771DF7" w:rsidRPr="007270B5">
        <w:rPr>
          <w:rFonts w:ascii="Arial" w:hAnsi="Arial" w:cs="Arial"/>
          <w:b w:val="0"/>
          <w:bCs/>
          <w:caps w:val="0"/>
          <w:sz w:val="20"/>
        </w:rPr>
        <w:t>declares</w:t>
      </w:r>
      <w:r w:rsidRPr="007270B5">
        <w:rPr>
          <w:rFonts w:ascii="Arial" w:hAnsi="Arial" w:cs="Arial"/>
          <w:b w:val="0"/>
          <w:bCs/>
          <w:caps w:val="0"/>
          <w:sz w:val="20"/>
        </w:rPr>
        <w:t xml:space="preserve">  that  N</w:t>
      </w:r>
      <w:r w:rsidR="00107EDF" w:rsidRPr="007270B5">
        <w:rPr>
          <w:rFonts w:ascii="Arial" w:hAnsi="Arial" w:cs="Arial"/>
          <w:b w:val="0"/>
          <w:bCs/>
          <w:caps w:val="0"/>
          <w:sz w:val="20"/>
        </w:rPr>
        <w:t>O</w:t>
      </w:r>
      <w:r w:rsidRPr="007270B5">
        <w:rPr>
          <w:rFonts w:ascii="Arial" w:hAnsi="Arial" w:cs="Arial"/>
          <w:b w:val="0"/>
          <w:bCs/>
          <w:caps w:val="0"/>
          <w:sz w:val="20"/>
        </w:rPr>
        <w:t xml:space="preserve">  generative  AI technologies  such  as  Large  Language  Models (ChatGPT,   Copilot,   Etc.)   and   text-to-image generators have been used during the  writing or editing of this manuscript.</w:t>
      </w:r>
    </w:p>
    <w:p w14:paraId="58065B01" w14:textId="77777777" w:rsidR="0036299F" w:rsidRDefault="0036299F" w:rsidP="00441B6F">
      <w:pPr>
        <w:pStyle w:val="AcknHead"/>
        <w:spacing w:after="0"/>
        <w:jc w:val="both"/>
        <w:rPr>
          <w:rFonts w:ascii="Arial" w:hAnsi="Arial" w:cs="Arial"/>
        </w:rPr>
      </w:pPr>
    </w:p>
    <w:p w14:paraId="405DF48E" w14:textId="0683AAA8" w:rsidR="00790ADA" w:rsidRDefault="00B01FCD" w:rsidP="00441B6F">
      <w:pPr>
        <w:pStyle w:val="ReferHead"/>
        <w:spacing w:after="0"/>
        <w:jc w:val="both"/>
        <w:rPr>
          <w:rFonts w:ascii="Arial" w:hAnsi="Arial" w:cs="Arial"/>
        </w:rPr>
      </w:pPr>
      <w:r w:rsidRPr="00FB3A86">
        <w:rPr>
          <w:rFonts w:ascii="Arial" w:hAnsi="Arial" w:cs="Arial"/>
        </w:rPr>
        <w:t>References</w:t>
      </w:r>
    </w:p>
    <w:p w14:paraId="3CC444D0" w14:textId="77777777" w:rsidR="00AF0C84" w:rsidRPr="00AF0C84" w:rsidRDefault="00AF0C84" w:rsidP="00AF0C84">
      <w:pPr>
        <w:jc w:val="both"/>
        <w:rPr>
          <w:rFonts w:ascii="Arial" w:hAnsi="Arial" w:cs="Arial"/>
          <w:lang w:val="en-ID"/>
        </w:rPr>
      </w:pPr>
    </w:p>
    <w:bookmarkStart w:id="9" w:name="_Hlk198564837"/>
    <w:p w14:paraId="5090A612"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hAnsi="Arial" w:cs="Arial"/>
          <w:lang w:val="en-ID"/>
        </w:rPr>
        <w:fldChar w:fldCharType="begin" w:fldLock="1"/>
      </w:r>
      <w:r w:rsidRPr="00AF0C84">
        <w:rPr>
          <w:rFonts w:ascii="Arial" w:hAnsi="Arial" w:cs="Arial"/>
          <w:lang w:val="en-ID"/>
        </w:rPr>
        <w:instrText xml:space="preserve">ADDIN Mendeley Bibliography CSL_BIBLIOGRAPHY </w:instrText>
      </w:r>
      <w:r w:rsidRPr="00AF0C84">
        <w:rPr>
          <w:rFonts w:ascii="Arial" w:hAnsi="Arial" w:cs="Arial"/>
          <w:lang w:val="en-ID"/>
        </w:rPr>
        <w:fldChar w:fldCharType="separate"/>
      </w:r>
      <w:r w:rsidRPr="00AF0C84">
        <w:rPr>
          <w:rFonts w:ascii="Arial" w:eastAsia="Aptos" w:hAnsi="Arial" w:cs="Arial"/>
          <w:noProof/>
          <w:szCs w:val="22"/>
          <w:lang w:val="en-ID"/>
          <w14:ligatures w14:val="standardContextual"/>
        </w:rPr>
        <w:t>1.</w:t>
      </w:r>
      <w:r w:rsidRPr="00AF0C84">
        <w:rPr>
          <w:rFonts w:ascii="Arial" w:eastAsia="Aptos" w:hAnsi="Arial" w:cs="Arial"/>
          <w:noProof/>
          <w:szCs w:val="22"/>
          <w:lang w:val="en-ID"/>
          <w14:ligatures w14:val="standardContextual"/>
        </w:rPr>
        <w:tab/>
        <w:t xml:space="preserve">Angio MH, Irawanto R. Data Collection on Local Indonesian Fruit Types from Purwodadi Botanical Garden Collection. Jambura Edu Biosf J. 2019;1(2):41–6. </w:t>
      </w:r>
    </w:p>
    <w:p w14:paraId="583FD774"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w:t>
      </w:r>
      <w:r w:rsidRPr="00AF0C84">
        <w:rPr>
          <w:rFonts w:ascii="Arial" w:eastAsia="Aptos" w:hAnsi="Arial" w:cs="Arial"/>
          <w:noProof/>
          <w:szCs w:val="22"/>
          <w:lang w:val="en-ID"/>
          <w14:ligatures w14:val="standardContextual"/>
        </w:rPr>
        <w:tab/>
        <w:t xml:space="preserve">Amboupe D, Hartana A, Purwanto Y. Ethnobotanical Study of Food Plant in Bentong Community from Barru Regency, South Sulawesi-Indonesia. Media Konserv. 2019;24(3):278–86. </w:t>
      </w:r>
    </w:p>
    <w:p w14:paraId="243971F5"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w:t>
      </w:r>
      <w:r w:rsidRPr="00AF0C84">
        <w:rPr>
          <w:rFonts w:ascii="Arial" w:eastAsia="Aptos" w:hAnsi="Arial" w:cs="Arial"/>
          <w:noProof/>
          <w:szCs w:val="22"/>
          <w:lang w:val="en-ID"/>
          <w14:ligatures w14:val="standardContextual"/>
        </w:rPr>
        <w:tab/>
        <w:t xml:space="preserve">Murti K, Kumar U, Kiran D, Kaushik M. Formulation and Evaluation of Ficus benghalensis and Ficus racemosa Aquoues Extracts. 2013. p. 219–23. </w:t>
      </w:r>
    </w:p>
    <w:p w14:paraId="4AD57E4C"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4.</w:t>
      </w:r>
      <w:r w:rsidRPr="00AF0C84">
        <w:rPr>
          <w:rFonts w:ascii="Arial" w:eastAsia="Aptos" w:hAnsi="Arial" w:cs="Arial"/>
          <w:noProof/>
          <w:szCs w:val="22"/>
          <w:lang w:val="en-ID"/>
          <w14:ligatures w14:val="standardContextual"/>
        </w:rPr>
        <w:tab/>
        <w:t xml:space="preserve">Azhar NA, Zainuddin Z. Tissue culture of </w:t>
      </w:r>
      <w:r w:rsidRPr="00AF0C84">
        <w:rPr>
          <w:rFonts w:ascii="Arial" w:eastAsia="Aptos" w:hAnsi="Arial" w:cs="Arial"/>
          <w:i/>
          <w:iCs/>
          <w:noProof/>
          <w:szCs w:val="22"/>
          <w:lang w:val="en-ID"/>
          <w14:ligatures w14:val="standardContextual"/>
        </w:rPr>
        <w:t>Ficus carica</w:t>
      </w:r>
      <w:r w:rsidRPr="00AF0C84">
        <w:rPr>
          <w:rFonts w:ascii="Arial" w:eastAsia="Aptos" w:hAnsi="Arial" w:cs="Arial"/>
          <w:noProof/>
          <w:szCs w:val="22"/>
          <w:lang w:val="en-ID"/>
          <w14:ligatures w14:val="standardContextual"/>
        </w:rPr>
        <w:t xml:space="preserve"> Variety BTM-6. Malaysian J Sustain Agric. 2020;4(1):26–8. </w:t>
      </w:r>
    </w:p>
    <w:p w14:paraId="7B5B0F95"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5.</w:t>
      </w:r>
      <w:r w:rsidRPr="00AF0C84">
        <w:rPr>
          <w:rFonts w:ascii="Arial" w:eastAsia="Aptos" w:hAnsi="Arial" w:cs="Arial"/>
          <w:noProof/>
          <w:szCs w:val="22"/>
          <w:lang w:val="en-ID"/>
          <w14:ligatures w14:val="standardContextual"/>
        </w:rPr>
        <w:tab/>
        <w:t xml:space="preserve">Sahoo R, Behera S. Exploring the Therapeutic Potential of </w:t>
      </w:r>
      <w:r w:rsidRPr="00AF0C84">
        <w:rPr>
          <w:rFonts w:ascii="Arial" w:eastAsia="Aptos" w:hAnsi="Arial" w:cs="Arial"/>
          <w:i/>
          <w:iCs/>
          <w:noProof/>
          <w:szCs w:val="22"/>
          <w:lang w:val="en-ID"/>
          <w14:ligatures w14:val="standardContextual"/>
        </w:rPr>
        <w:t>Ficus racemosa</w:t>
      </w:r>
      <w:r w:rsidRPr="00AF0C84">
        <w:rPr>
          <w:rFonts w:ascii="Arial" w:eastAsia="Aptos" w:hAnsi="Arial" w:cs="Arial"/>
          <w:noProof/>
          <w:szCs w:val="22"/>
          <w:lang w:val="en-ID"/>
          <w14:ligatures w14:val="standardContextual"/>
        </w:rPr>
        <w:t xml:space="preserve">: A Comprehensive Re-view. Int J Pharm Sci Rev Res. 2024;84(4):92–9. </w:t>
      </w:r>
    </w:p>
    <w:p w14:paraId="6F71CF7F"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6.</w:t>
      </w:r>
      <w:r w:rsidRPr="00AF0C84">
        <w:rPr>
          <w:rFonts w:ascii="Arial" w:eastAsia="Aptos" w:hAnsi="Arial" w:cs="Arial"/>
          <w:noProof/>
          <w:szCs w:val="22"/>
          <w:lang w:val="en-ID"/>
          <w14:ligatures w14:val="standardContextual"/>
        </w:rPr>
        <w:tab/>
        <w:t xml:space="preserve">Zaharah P, Noriko N, Pambudi A. Analysis of </w:t>
      </w:r>
      <w:r w:rsidRPr="00AF0C84">
        <w:rPr>
          <w:rFonts w:ascii="Arial" w:eastAsia="Aptos" w:hAnsi="Arial" w:cs="Arial"/>
          <w:i/>
          <w:iCs/>
          <w:noProof/>
          <w:szCs w:val="22"/>
          <w:lang w:val="en-ID"/>
          <w14:ligatures w14:val="standardContextual"/>
        </w:rPr>
        <w:t>Ficus racemosa</w:t>
      </w:r>
      <w:r w:rsidRPr="00AF0C84">
        <w:rPr>
          <w:rFonts w:ascii="Arial" w:eastAsia="Aptos" w:hAnsi="Arial" w:cs="Arial"/>
          <w:noProof/>
          <w:szCs w:val="22"/>
          <w:lang w:val="en-ID"/>
          <w14:ligatures w14:val="standardContextual"/>
        </w:rPr>
        <w:t xml:space="preserve"> L. Vegetation on the Ciliwung Riverbanks in Pangadegan Area, South Jakarta. Bioma. 2017;12(2):74. </w:t>
      </w:r>
    </w:p>
    <w:p w14:paraId="7C322B73"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7.</w:t>
      </w:r>
      <w:r w:rsidRPr="00AF0C84">
        <w:rPr>
          <w:rFonts w:ascii="Arial" w:eastAsia="Aptos" w:hAnsi="Arial" w:cs="Arial"/>
          <w:noProof/>
          <w:szCs w:val="22"/>
          <w:lang w:val="en-ID"/>
          <w14:ligatures w14:val="standardContextual"/>
        </w:rPr>
        <w:tab/>
        <w:t xml:space="preserve">Soejono S. Composition of Trees Grown Surrounding Water Springs at Two Areas in Purwosari Pasuruan, East Java. J Trop Life Sci. 2012;2(3):110–8. </w:t>
      </w:r>
    </w:p>
    <w:p w14:paraId="2BB9E5C5"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8.</w:t>
      </w:r>
      <w:r w:rsidRPr="00AF0C84">
        <w:rPr>
          <w:rFonts w:ascii="Arial" w:eastAsia="Aptos" w:hAnsi="Arial" w:cs="Arial"/>
          <w:noProof/>
          <w:szCs w:val="22"/>
          <w:lang w:val="en-ID"/>
          <w14:ligatures w14:val="standardContextual"/>
        </w:rPr>
        <w:tab/>
        <w:t xml:space="preserve">Ulfah M. Morphological study of local plant species with water storage potential: Water conservation in Karangmanggis, Boja, Kendal, Central Java. 2015;1:418–22. </w:t>
      </w:r>
    </w:p>
    <w:p w14:paraId="15B08E4F"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9.</w:t>
      </w:r>
      <w:r w:rsidRPr="00AF0C84">
        <w:rPr>
          <w:rFonts w:ascii="Arial" w:eastAsia="Aptos" w:hAnsi="Arial" w:cs="Arial"/>
          <w:noProof/>
          <w:szCs w:val="22"/>
          <w:lang w:val="en-ID"/>
          <w14:ligatures w14:val="standardContextual"/>
        </w:rPr>
        <w:tab/>
        <w:t xml:space="preserve">Aji T, Sutriyono, Qudratullah MF, Gunawan WI. Ficus sp. Local for Water Conservation in the Merapi Tourism Area. J Bakti Saintek. 2022;6(2):59–65. </w:t>
      </w:r>
    </w:p>
    <w:p w14:paraId="31503B13"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10.</w:t>
      </w:r>
      <w:r w:rsidRPr="00AF0C84">
        <w:rPr>
          <w:rFonts w:ascii="Arial" w:eastAsia="Aptos" w:hAnsi="Arial" w:cs="Arial"/>
          <w:noProof/>
          <w:szCs w:val="22"/>
          <w:lang w:val="en-ID"/>
          <w14:ligatures w14:val="standardContextual"/>
        </w:rPr>
        <w:tab/>
        <w:t xml:space="preserve">Hesami M, Daneshvar MH. Indirect Organogenesis through Seedling-Derived Leaf Segments of </w:t>
      </w:r>
      <w:r w:rsidRPr="00AF0C84">
        <w:rPr>
          <w:rFonts w:ascii="Arial" w:eastAsia="Aptos" w:hAnsi="Arial" w:cs="Arial"/>
          <w:i/>
          <w:iCs/>
          <w:noProof/>
          <w:szCs w:val="22"/>
          <w:lang w:val="en-ID"/>
          <w14:ligatures w14:val="standardContextual"/>
        </w:rPr>
        <w:t>Ficus Religiosa</w:t>
      </w:r>
      <w:r w:rsidRPr="00AF0C84">
        <w:rPr>
          <w:rFonts w:ascii="Arial" w:eastAsia="Aptos" w:hAnsi="Arial" w:cs="Arial"/>
          <w:noProof/>
          <w:szCs w:val="22"/>
          <w:lang w:val="en-ID"/>
          <w14:ligatures w14:val="standardContextual"/>
        </w:rPr>
        <w:t xml:space="preserve"> - a Multipurpose Woody Medicinal Plant. J Crop Sci Biotechnol. 2018;21(2):129–36. </w:t>
      </w:r>
    </w:p>
    <w:p w14:paraId="6DF72197"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11.</w:t>
      </w:r>
      <w:r w:rsidRPr="00AF0C84">
        <w:rPr>
          <w:rFonts w:ascii="Arial" w:eastAsia="Aptos" w:hAnsi="Arial" w:cs="Arial"/>
          <w:noProof/>
          <w:szCs w:val="22"/>
          <w:lang w:val="en-ID"/>
          <w14:ligatures w14:val="standardContextual"/>
        </w:rPr>
        <w:tab/>
        <w:t>Bayoudh C, Haouala F, Mars M. Micropropagation and In Vitro Sanitation of Fig (</w:t>
      </w:r>
      <w:r w:rsidRPr="00AF0C84">
        <w:rPr>
          <w:rFonts w:ascii="Arial" w:eastAsia="Aptos" w:hAnsi="Arial" w:cs="Arial"/>
          <w:i/>
          <w:iCs/>
          <w:noProof/>
          <w:szCs w:val="22"/>
          <w:lang w:val="en-ID"/>
          <w14:ligatures w14:val="standardContextual"/>
        </w:rPr>
        <w:t>Ficus carica</w:t>
      </w:r>
      <w:r w:rsidRPr="00AF0C84">
        <w:rPr>
          <w:rFonts w:ascii="Arial" w:eastAsia="Aptos" w:hAnsi="Arial" w:cs="Arial"/>
          <w:noProof/>
          <w:szCs w:val="22"/>
          <w:lang w:val="en-ID"/>
          <w14:ligatures w14:val="standardContextual"/>
        </w:rPr>
        <w:t xml:space="preserve"> L.)—a Review. Russ J Plant Physiol. 2024;71(4). </w:t>
      </w:r>
    </w:p>
    <w:p w14:paraId="3CD087F4"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12.</w:t>
      </w:r>
      <w:r w:rsidRPr="00AF0C84">
        <w:rPr>
          <w:rFonts w:ascii="Arial" w:eastAsia="Aptos" w:hAnsi="Arial" w:cs="Arial"/>
          <w:noProof/>
          <w:szCs w:val="22"/>
          <w:lang w:val="en-ID"/>
          <w14:ligatures w14:val="standardContextual"/>
        </w:rPr>
        <w:tab/>
        <w:t xml:space="preserve">Günver G, Ertan E. Günver, G., &amp; Ertan, E. (1998). A Study on The Propagation of Figs </w:t>
      </w:r>
      <w:r w:rsidRPr="00AF0C84">
        <w:rPr>
          <w:rFonts w:ascii="Arial" w:eastAsia="Aptos" w:hAnsi="Arial" w:cs="Arial"/>
          <w:noProof/>
          <w:szCs w:val="22"/>
          <w:lang w:val="en-ID"/>
          <w14:ligatures w14:val="standardContextual"/>
        </w:rPr>
        <w:lastRenderedPageBreak/>
        <w:t xml:space="preserve">by The Tissue Culture Techniques. Acta Hortic. 1998;169–72. </w:t>
      </w:r>
    </w:p>
    <w:p w14:paraId="26FC7D46"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13.</w:t>
      </w:r>
      <w:r w:rsidRPr="00AF0C84">
        <w:rPr>
          <w:rFonts w:ascii="Arial" w:eastAsia="Aptos" w:hAnsi="Arial" w:cs="Arial"/>
          <w:noProof/>
          <w:szCs w:val="22"/>
          <w:lang w:val="en-ID"/>
          <w14:ligatures w14:val="standardContextual"/>
        </w:rPr>
        <w:tab/>
        <w:t xml:space="preserve">Muriithi LM, Rangan TS, Waite BH. In vitro propagation of fig through shoot tip culture. HortScience. 1982;17:86–7. </w:t>
      </w:r>
    </w:p>
    <w:p w14:paraId="3F5EB3E8"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14.</w:t>
      </w:r>
      <w:r w:rsidRPr="00AF0C84">
        <w:rPr>
          <w:rFonts w:ascii="Arial" w:eastAsia="Aptos" w:hAnsi="Arial" w:cs="Arial"/>
          <w:noProof/>
          <w:szCs w:val="22"/>
          <w:lang w:val="en-ID"/>
          <w14:ligatures w14:val="standardContextual"/>
        </w:rPr>
        <w:tab/>
        <w:t xml:space="preserve">Demiralay A, Yalçin-Mendi Y, Aka-Kaçar Y, Çetiner S. In Vitro Propagation of </w:t>
      </w:r>
      <w:r w:rsidRPr="00AF0C84">
        <w:rPr>
          <w:rFonts w:ascii="Arial" w:eastAsia="Aptos" w:hAnsi="Arial" w:cs="Arial"/>
          <w:i/>
          <w:iCs/>
          <w:noProof/>
          <w:szCs w:val="22"/>
          <w:lang w:val="en-ID"/>
          <w14:ligatures w14:val="standardContextual"/>
        </w:rPr>
        <w:t>Ficus carica</w:t>
      </w:r>
      <w:r w:rsidRPr="00AF0C84">
        <w:rPr>
          <w:rFonts w:ascii="Arial" w:eastAsia="Aptos" w:hAnsi="Arial" w:cs="Arial"/>
          <w:noProof/>
          <w:szCs w:val="22"/>
          <w:lang w:val="en-ID"/>
          <w14:ligatures w14:val="standardContextual"/>
        </w:rPr>
        <w:t xml:space="preserve"> L. Var. Bursa Siyahi through Meristem Culture. Acta Hortic. 1998;165–7. </w:t>
      </w:r>
    </w:p>
    <w:p w14:paraId="2F289E14"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15.</w:t>
      </w:r>
      <w:r w:rsidRPr="00AF0C84">
        <w:rPr>
          <w:rFonts w:ascii="Arial" w:eastAsia="Aptos" w:hAnsi="Arial" w:cs="Arial"/>
          <w:noProof/>
          <w:szCs w:val="22"/>
          <w:lang w:val="en-ID"/>
          <w14:ligatures w14:val="standardContextual"/>
        </w:rPr>
        <w:tab/>
        <w:t>Parab AR, Chew BL, Yeow LC, Subramaniam S. Organogenesis on apical buds in common fig (</w:t>
      </w:r>
      <w:r w:rsidRPr="00AF0C84">
        <w:rPr>
          <w:rFonts w:ascii="Arial" w:eastAsia="Aptos" w:hAnsi="Arial" w:cs="Arial"/>
          <w:i/>
          <w:iCs/>
          <w:noProof/>
          <w:szCs w:val="22"/>
          <w:lang w:val="en-ID"/>
          <w14:ligatures w14:val="standardContextual"/>
        </w:rPr>
        <w:t>Ficus carica</w:t>
      </w:r>
      <w:r w:rsidRPr="00AF0C84">
        <w:rPr>
          <w:rFonts w:ascii="Arial" w:eastAsia="Aptos" w:hAnsi="Arial" w:cs="Arial"/>
          <w:noProof/>
          <w:szCs w:val="22"/>
          <w:lang w:val="en-ID"/>
          <w14:ligatures w14:val="standardContextual"/>
        </w:rPr>
        <w:t>) var. Black Jack. Electron J Biotechnol [Internet]. 2021;54:69–76. Available from: https://doi.org/10.1016/j.ejbt.2021.10.001</w:t>
      </w:r>
    </w:p>
    <w:p w14:paraId="44453417"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16.</w:t>
      </w:r>
      <w:r w:rsidRPr="00AF0C84">
        <w:rPr>
          <w:rFonts w:ascii="Arial" w:eastAsia="Aptos" w:hAnsi="Arial" w:cs="Arial"/>
          <w:noProof/>
          <w:szCs w:val="22"/>
          <w:lang w:val="en-ID"/>
          <w14:ligatures w14:val="standardContextual"/>
        </w:rPr>
        <w:tab/>
        <w:t xml:space="preserve">Sriskanda D, Liew YX, Khor SP, Merican F, Subramaniam S, Chew BL. An efficient micropropagation protocol for </w:t>
      </w:r>
      <w:r w:rsidRPr="00AF0C84">
        <w:rPr>
          <w:rFonts w:ascii="Arial" w:eastAsia="Aptos" w:hAnsi="Arial" w:cs="Arial"/>
          <w:i/>
          <w:iCs/>
          <w:noProof/>
          <w:szCs w:val="22"/>
          <w:lang w:val="en-ID"/>
          <w14:ligatures w14:val="standardContextual"/>
        </w:rPr>
        <w:t>Ficus carica</w:t>
      </w:r>
      <w:r w:rsidRPr="00AF0C84">
        <w:rPr>
          <w:rFonts w:ascii="Arial" w:eastAsia="Aptos" w:hAnsi="Arial" w:cs="Arial"/>
          <w:noProof/>
          <w:szCs w:val="22"/>
          <w:lang w:val="en-ID"/>
          <w14:ligatures w14:val="standardContextual"/>
        </w:rPr>
        <w:t xml:space="preserve"> cv. Golden Orphan suitable for mass propagation. Biocatal Agric Biotechnol [Internet]. 2021;38(November):102225. Available from: https://doi.org/10.1016/j.bcab.2021.102225</w:t>
      </w:r>
    </w:p>
    <w:p w14:paraId="2DEC337E"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17.</w:t>
      </w:r>
      <w:r w:rsidRPr="00AF0C84">
        <w:rPr>
          <w:rFonts w:ascii="Arial" w:eastAsia="Aptos" w:hAnsi="Arial" w:cs="Arial"/>
          <w:noProof/>
          <w:szCs w:val="22"/>
          <w:lang w:val="en-ID"/>
          <w14:ligatures w14:val="standardContextual"/>
        </w:rPr>
        <w:tab/>
        <w:t xml:space="preserve">Chan Hong E, Lynn CB, Subramaniam S. Development of plantlet regeneration pathway using in vitro leaf of </w:t>
      </w:r>
      <w:r w:rsidRPr="00AF0C84">
        <w:rPr>
          <w:rFonts w:ascii="Arial" w:eastAsia="Aptos" w:hAnsi="Arial" w:cs="Arial"/>
          <w:i/>
          <w:iCs/>
          <w:noProof/>
          <w:szCs w:val="22"/>
          <w:lang w:val="en-ID"/>
          <w14:ligatures w14:val="standardContextual"/>
        </w:rPr>
        <w:t>Ficus carica</w:t>
      </w:r>
      <w:r w:rsidRPr="00AF0C84">
        <w:rPr>
          <w:rFonts w:ascii="Arial" w:eastAsia="Aptos" w:hAnsi="Arial" w:cs="Arial"/>
          <w:noProof/>
          <w:szCs w:val="22"/>
          <w:lang w:val="en-ID"/>
          <w14:ligatures w14:val="standardContextual"/>
        </w:rPr>
        <w:t xml:space="preserve"> L. cv. Panachee supported with histological analysis. Biocatal Agric Biotechnol [Internet]. 2020;27(June):101697. Available from: https://doi.org/10.1016/j.bcab.2020.101697</w:t>
      </w:r>
    </w:p>
    <w:p w14:paraId="59803A25"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18.</w:t>
      </w:r>
      <w:r w:rsidRPr="00AF0C84">
        <w:rPr>
          <w:rFonts w:ascii="Arial" w:eastAsia="Aptos" w:hAnsi="Arial" w:cs="Arial"/>
          <w:noProof/>
          <w:szCs w:val="22"/>
          <w:lang w:val="en-ID"/>
          <w14:ligatures w14:val="standardContextual"/>
        </w:rPr>
        <w:tab/>
        <w:t>Gu X, He J, He H, Wang Y, Fan Z, Zhao D, et al. Efficient regeneration and genetic transformation of fig (</w:t>
      </w:r>
      <w:r w:rsidRPr="00AF0C84">
        <w:rPr>
          <w:rFonts w:ascii="Arial" w:eastAsia="Aptos" w:hAnsi="Arial" w:cs="Arial"/>
          <w:i/>
          <w:iCs/>
          <w:noProof/>
          <w:szCs w:val="22"/>
          <w:lang w:val="en-ID"/>
          <w14:ligatures w14:val="standardContextual"/>
        </w:rPr>
        <w:t>Ficus carica</w:t>
      </w:r>
      <w:r w:rsidRPr="00AF0C84">
        <w:rPr>
          <w:rFonts w:ascii="Arial" w:eastAsia="Aptos" w:hAnsi="Arial" w:cs="Arial"/>
          <w:noProof/>
          <w:szCs w:val="22"/>
          <w:lang w:val="en-ID"/>
          <w14:ligatures w14:val="standardContextual"/>
        </w:rPr>
        <w:t>) from stem thin cell layer explants. Hortic Plant J [Internet]. 2025; Available from: https://www.sciencedirect.com/science/article/pii/S2468014125000317?ref=cra_js_challenge&amp;fr=RR-1</w:t>
      </w:r>
    </w:p>
    <w:p w14:paraId="27438153"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19.</w:t>
      </w:r>
      <w:r w:rsidRPr="00AF0C84">
        <w:rPr>
          <w:rFonts w:ascii="Arial" w:eastAsia="Aptos" w:hAnsi="Arial" w:cs="Arial"/>
          <w:noProof/>
          <w:szCs w:val="22"/>
          <w:lang w:val="en-ID"/>
          <w14:ligatures w14:val="standardContextual"/>
        </w:rPr>
        <w:tab/>
        <w:t xml:space="preserve">Delgado-Paredes GE, Rojas-Idrogo C, Esquerre-Ibañez B, Vásquez-Díaz C, Zuñe-Da Silva F, Kuethe JR. Micropropagation and Germplasm Conservation of </w:t>
      </w:r>
      <w:r w:rsidRPr="00AF0C84">
        <w:rPr>
          <w:rFonts w:ascii="Arial" w:eastAsia="Aptos" w:hAnsi="Arial" w:cs="Arial"/>
          <w:i/>
          <w:iCs/>
          <w:noProof/>
          <w:szCs w:val="22"/>
          <w:lang w:val="en-ID"/>
          <w14:ligatures w14:val="standardContextual"/>
        </w:rPr>
        <w:t>Ficus americana</w:t>
      </w:r>
      <w:r w:rsidRPr="00AF0C84">
        <w:rPr>
          <w:rFonts w:ascii="Arial" w:eastAsia="Aptos" w:hAnsi="Arial" w:cs="Arial"/>
          <w:noProof/>
          <w:szCs w:val="22"/>
          <w:lang w:val="en-ID"/>
          <w14:ligatures w14:val="standardContextual"/>
        </w:rPr>
        <w:t xml:space="preserve"> Aubl. and </w:t>
      </w:r>
      <w:r w:rsidRPr="00AF0C84">
        <w:rPr>
          <w:rFonts w:ascii="Arial" w:eastAsia="Aptos" w:hAnsi="Arial" w:cs="Arial"/>
          <w:i/>
          <w:iCs/>
          <w:noProof/>
          <w:szCs w:val="22"/>
          <w:lang w:val="en-ID"/>
          <w14:ligatures w14:val="standardContextual"/>
        </w:rPr>
        <w:t>F. obtusifolia</w:t>
      </w:r>
      <w:r w:rsidRPr="00AF0C84">
        <w:rPr>
          <w:rFonts w:ascii="Arial" w:eastAsia="Aptos" w:hAnsi="Arial" w:cs="Arial"/>
          <w:noProof/>
          <w:szCs w:val="22"/>
          <w:lang w:val="en-ID"/>
          <w14:ligatures w14:val="standardContextual"/>
        </w:rPr>
        <w:t xml:space="preserve"> Kunth from Lambayeque (Peru). Colomb For. 2023;26(1):92–108. </w:t>
      </w:r>
    </w:p>
    <w:p w14:paraId="63C5057F"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20.</w:t>
      </w:r>
      <w:r w:rsidRPr="00AF0C84">
        <w:rPr>
          <w:rFonts w:ascii="Arial" w:eastAsia="Aptos" w:hAnsi="Arial" w:cs="Arial"/>
          <w:noProof/>
          <w:szCs w:val="22"/>
          <w:lang w:val="en-ID"/>
          <w14:ligatures w14:val="standardContextual"/>
        </w:rPr>
        <w:tab/>
        <w:t xml:space="preserve">Siwach P, Gill AR. Micropropagation of </w:t>
      </w:r>
      <w:r w:rsidRPr="00AF0C84">
        <w:rPr>
          <w:rFonts w:ascii="Arial" w:eastAsia="Aptos" w:hAnsi="Arial" w:cs="Arial"/>
          <w:i/>
          <w:iCs/>
          <w:noProof/>
          <w:szCs w:val="22"/>
          <w:lang w:val="en-ID"/>
          <w14:ligatures w14:val="standardContextual"/>
        </w:rPr>
        <w:t>Ficus religiosa</w:t>
      </w:r>
      <w:r w:rsidRPr="00AF0C84">
        <w:rPr>
          <w:rFonts w:ascii="Arial" w:eastAsia="Aptos" w:hAnsi="Arial" w:cs="Arial"/>
          <w:noProof/>
          <w:szCs w:val="22"/>
          <w:lang w:val="en-ID"/>
          <w14:ligatures w14:val="standardContextual"/>
        </w:rPr>
        <w:t xml:space="preserve"> L. via leaf explants and comparative evaluation of acetylcholinesterase inhibitory activity in the micropropagated and conventionally grown plants. 3 Biotech. 2014;4(5):477–91. </w:t>
      </w:r>
    </w:p>
    <w:p w14:paraId="1870C9C2"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21.</w:t>
      </w:r>
      <w:r w:rsidRPr="00AF0C84">
        <w:rPr>
          <w:rFonts w:ascii="Arial" w:eastAsia="Aptos" w:hAnsi="Arial" w:cs="Arial"/>
          <w:noProof/>
          <w:szCs w:val="22"/>
          <w:lang w:val="en-ID"/>
          <w14:ligatures w14:val="standardContextual"/>
        </w:rPr>
        <w:tab/>
        <w:t xml:space="preserve">Li X, Li Q, Cui Y, Liu T, Zhang Y. Establishment of tissue culture regeneration system of </w:t>
      </w:r>
      <w:r w:rsidRPr="00AF0C84">
        <w:rPr>
          <w:rFonts w:ascii="Arial" w:eastAsia="Aptos" w:hAnsi="Arial" w:cs="Arial"/>
          <w:i/>
          <w:iCs/>
          <w:noProof/>
          <w:szCs w:val="22"/>
          <w:lang w:val="en-ID"/>
          <w14:ligatures w14:val="standardContextual"/>
        </w:rPr>
        <w:t>Ficus tikoua</w:t>
      </w:r>
      <w:r w:rsidRPr="00AF0C84">
        <w:rPr>
          <w:rFonts w:ascii="Arial" w:eastAsia="Aptos" w:hAnsi="Arial" w:cs="Arial"/>
          <w:noProof/>
          <w:szCs w:val="22"/>
          <w:lang w:val="en-ID"/>
          <w14:ligatures w14:val="standardContextual"/>
        </w:rPr>
        <w:t>. Vitr Cell Dev Biol - Plant [Internet]. 2024;60(2):194–201. Available from: https://doi.org/10.1007/s11627-024-10414-3</w:t>
      </w:r>
    </w:p>
    <w:p w14:paraId="39F8CB2E"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22.</w:t>
      </w:r>
      <w:r w:rsidRPr="00AF0C84">
        <w:rPr>
          <w:rFonts w:ascii="Arial" w:eastAsia="Aptos" w:hAnsi="Arial" w:cs="Arial"/>
          <w:noProof/>
          <w:szCs w:val="22"/>
          <w:lang w:val="en-ID"/>
          <w14:ligatures w14:val="standardContextual"/>
        </w:rPr>
        <w:tab/>
        <w:t xml:space="preserve">Qi W, Tinnenbroek-Capel IEM, Schaart JG, Huang B, Cheng J, Visser RGF, et al. Regeneration and transformation of </w:t>
      </w:r>
      <w:r w:rsidRPr="00AF0C84">
        <w:rPr>
          <w:rFonts w:ascii="Arial" w:eastAsia="Aptos" w:hAnsi="Arial" w:cs="Arial"/>
          <w:i/>
          <w:iCs/>
          <w:noProof/>
          <w:szCs w:val="22"/>
          <w:lang w:val="en-ID"/>
          <w14:ligatures w14:val="standardContextual"/>
        </w:rPr>
        <w:t>Crambe abyssinica</w:t>
      </w:r>
      <w:r w:rsidRPr="00AF0C84">
        <w:rPr>
          <w:rFonts w:ascii="Arial" w:eastAsia="Aptos" w:hAnsi="Arial" w:cs="Arial"/>
          <w:noProof/>
          <w:szCs w:val="22"/>
          <w:lang w:val="en-ID"/>
          <w14:ligatures w14:val="standardContextual"/>
        </w:rPr>
        <w:t xml:space="preserve">. BMC Plant Biol. 2014;14(1):1–12. </w:t>
      </w:r>
    </w:p>
    <w:p w14:paraId="189763ED"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23.</w:t>
      </w:r>
      <w:r w:rsidRPr="00AF0C84">
        <w:rPr>
          <w:rFonts w:ascii="Arial" w:eastAsia="Aptos" w:hAnsi="Arial" w:cs="Arial"/>
          <w:noProof/>
          <w:szCs w:val="22"/>
          <w:lang w:val="en-ID"/>
          <w14:ligatures w14:val="standardContextual"/>
        </w:rPr>
        <w:tab/>
        <w:t xml:space="preserve">Mathew G, Skaria BP, Joseph A. Standardization of conventional propagation techniques for four medicinal species of genus Ficus Linn. Indian J Nat Prod Resour. 2011;2(1):88–96. </w:t>
      </w:r>
    </w:p>
    <w:p w14:paraId="02E14821"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24.</w:t>
      </w:r>
      <w:r w:rsidRPr="00AF0C84">
        <w:rPr>
          <w:rFonts w:ascii="Arial" w:eastAsia="Aptos" w:hAnsi="Arial" w:cs="Arial"/>
          <w:noProof/>
          <w:szCs w:val="22"/>
          <w:lang w:val="en-ID"/>
          <w14:ligatures w14:val="standardContextual"/>
        </w:rPr>
        <w:tab/>
        <w:t xml:space="preserve">Ghaleb W, Ahmed LQ, Wagner MH, Eprinchard-Ciesla A, Olivares-Rodríguez WE, Perrot C, et al. The Concepts of Seed Germination Rate and Germinability: A Re-Evaluation for Cool-Season Grasses. Agronomy. 2022;12(6). </w:t>
      </w:r>
    </w:p>
    <w:p w14:paraId="1798C2FA"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25.</w:t>
      </w:r>
      <w:r w:rsidRPr="00AF0C84">
        <w:rPr>
          <w:rFonts w:ascii="Arial" w:eastAsia="Aptos" w:hAnsi="Arial" w:cs="Arial"/>
          <w:noProof/>
          <w:szCs w:val="22"/>
          <w:lang w:val="en-ID"/>
          <w14:ligatures w14:val="standardContextual"/>
        </w:rPr>
        <w:tab/>
        <w:t xml:space="preserve">Mazumdar P, Basu A, Paul A, Mahanta C, Sahoo L. Age and orientation of the cotyledonary leaf explants determine the efficiency of de novo plant regeneration and </w:t>
      </w:r>
      <w:r w:rsidRPr="00AF0C84">
        <w:rPr>
          <w:rFonts w:ascii="Arial" w:eastAsia="Aptos" w:hAnsi="Arial" w:cs="Arial"/>
          <w:i/>
          <w:iCs/>
          <w:noProof/>
          <w:szCs w:val="22"/>
          <w:lang w:val="en-ID"/>
          <w14:ligatures w14:val="standardContextual"/>
        </w:rPr>
        <w:t>Agrobacterium tumefaciens</w:t>
      </w:r>
      <w:r w:rsidRPr="00AF0C84">
        <w:rPr>
          <w:rFonts w:ascii="Arial" w:eastAsia="Aptos" w:hAnsi="Arial" w:cs="Arial"/>
          <w:noProof/>
          <w:szCs w:val="22"/>
          <w:lang w:val="en-ID"/>
          <w14:ligatures w14:val="standardContextual"/>
        </w:rPr>
        <w:t xml:space="preserve">-mediated transformation in Jatropha curcas L. South African J Bot. 2010;76(2):337–44. </w:t>
      </w:r>
    </w:p>
    <w:p w14:paraId="5A7CB202"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sv-SE"/>
          <w14:ligatures w14:val="standardContextual"/>
        </w:rPr>
      </w:pPr>
      <w:r w:rsidRPr="00AF0C84">
        <w:rPr>
          <w:rFonts w:ascii="Arial" w:eastAsia="Aptos" w:hAnsi="Arial" w:cs="Arial"/>
          <w:noProof/>
          <w:szCs w:val="22"/>
          <w:lang w:val="en-ID"/>
          <w14:ligatures w14:val="standardContextual"/>
        </w:rPr>
        <w:t>26.</w:t>
      </w:r>
      <w:r w:rsidRPr="00AF0C84">
        <w:rPr>
          <w:rFonts w:ascii="Arial" w:eastAsia="Aptos" w:hAnsi="Arial" w:cs="Arial"/>
          <w:noProof/>
          <w:szCs w:val="22"/>
          <w:lang w:val="en-ID"/>
          <w14:ligatures w14:val="standardContextual"/>
        </w:rPr>
        <w:tab/>
        <w:t xml:space="preserve">Thomas TD. Thidiazuron induced multiple shoot induction and plant regeneration from cotyledonary explants of mulberry. </w:t>
      </w:r>
      <w:r w:rsidRPr="00AF0C84">
        <w:rPr>
          <w:rFonts w:ascii="Arial" w:eastAsia="Aptos" w:hAnsi="Arial" w:cs="Arial"/>
          <w:noProof/>
          <w:szCs w:val="22"/>
          <w:lang w:val="sv-SE"/>
          <w14:ligatures w14:val="standardContextual"/>
        </w:rPr>
        <w:t xml:space="preserve">Biol Plant. 2003;46(4):529–33. </w:t>
      </w:r>
    </w:p>
    <w:p w14:paraId="7CC5E89D"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sv-SE"/>
          <w14:ligatures w14:val="standardContextual"/>
        </w:rPr>
        <w:t>27.</w:t>
      </w:r>
      <w:r w:rsidRPr="00AF0C84">
        <w:rPr>
          <w:rFonts w:ascii="Arial" w:eastAsia="Aptos" w:hAnsi="Arial" w:cs="Arial"/>
          <w:noProof/>
          <w:szCs w:val="22"/>
          <w:lang w:val="sv-SE"/>
          <w14:ligatures w14:val="standardContextual"/>
        </w:rPr>
        <w:tab/>
        <w:t xml:space="preserve">Prakash DP, Deepali BS, Ramachandra YL, Anand L, Hanur VS. </w:t>
      </w:r>
      <w:r w:rsidRPr="00AF0C84">
        <w:rPr>
          <w:rFonts w:ascii="Arial" w:eastAsia="Aptos" w:hAnsi="Arial" w:cs="Arial"/>
          <w:noProof/>
          <w:szCs w:val="22"/>
          <w:lang w:val="en-ID"/>
          <w14:ligatures w14:val="standardContextual"/>
        </w:rPr>
        <w:t xml:space="preserve">Effect of Age and Size of Hypocotyl Explant on in vitro Shoot Regeneration in Eggplant. J Hortic Sci. 2012;7(2):203–5. </w:t>
      </w:r>
    </w:p>
    <w:p w14:paraId="4F79D2D5"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28.</w:t>
      </w:r>
      <w:r w:rsidRPr="00AF0C84">
        <w:rPr>
          <w:rFonts w:ascii="Arial" w:eastAsia="Aptos" w:hAnsi="Arial" w:cs="Arial"/>
          <w:noProof/>
          <w:szCs w:val="22"/>
          <w:lang w:val="en-ID"/>
          <w14:ligatures w14:val="standardContextual"/>
        </w:rPr>
        <w:tab/>
        <w:t xml:space="preserve">Roh KH, Kwak BK, Kim JB, Lee KR, Kim HU, Kim SH, et al. Effects of different types and ages of explants and cytokinins on shoot regeneration in </w:t>
      </w:r>
      <w:r w:rsidRPr="00AF0C84">
        <w:rPr>
          <w:rFonts w:ascii="Arial" w:eastAsia="Aptos" w:hAnsi="Arial" w:cs="Arial"/>
          <w:i/>
          <w:iCs/>
          <w:noProof/>
          <w:szCs w:val="22"/>
          <w:lang w:val="en-ID"/>
          <w14:ligatures w14:val="standardContextual"/>
        </w:rPr>
        <w:t>Brassica juncea</w:t>
      </w:r>
      <w:r w:rsidRPr="00AF0C84">
        <w:rPr>
          <w:rFonts w:ascii="Arial" w:eastAsia="Aptos" w:hAnsi="Arial" w:cs="Arial"/>
          <w:noProof/>
          <w:szCs w:val="22"/>
          <w:lang w:val="en-ID"/>
          <w14:ligatures w14:val="standardContextual"/>
        </w:rPr>
        <w:t xml:space="preserve"> L. J Plant Biotechnol. 2013;40(2):72–8. </w:t>
      </w:r>
    </w:p>
    <w:p w14:paraId="0F9A22B4"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29.</w:t>
      </w:r>
      <w:r w:rsidRPr="00AF0C84">
        <w:rPr>
          <w:rFonts w:ascii="Arial" w:eastAsia="Aptos" w:hAnsi="Arial" w:cs="Arial"/>
          <w:noProof/>
          <w:szCs w:val="22"/>
          <w:lang w:val="en-ID"/>
          <w14:ligatures w14:val="standardContextual"/>
        </w:rPr>
        <w:tab/>
        <w:t xml:space="preserve">Shahinozzaman M, Faruq MO, Ferdous MM, Azad MAK, Amin MN. Direct Organogenesis and Plant Regeneration from Cotyledons of a Multipurpose Tree, </w:t>
      </w:r>
      <w:r w:rsidRPr="00AF0C84">
        <w:rPr>
          <w:rFonts w:ascii="Arial" w:eastAsia="Aptos" w:hAnsi="Arial" w:cs="Arial"/>
          <w:i/>
          <w:iCs/>
          <w:noProof/>
          <w:szCs w:val="22"/>
          <w:lang w:val="en-ID"/>
          <w14:ligatures w14:val="standardContextual"/>
        </w:rPr>
        <w:t xml:space="preserve">Acacia </w:t>
      </w:r>
      <w:r w:rsidRPr="00AF0C84">
        <w:rPr>
          <w:rFonts w:ascii="Arial" w:eastAsia="Aptos" w:hAnsi="Arial" w:cs="Arial"/>
          <w:i/>
          <w:iCs/>
          <w:noProof/>
          <w:szCs w:val="22"/>
          <w:lang w:val="en-ID"/>
          <w14:ligatures w14:val="standardContextual"/>
        </w:rPr>
        <w:lastRenderedPageBreak/>
        <w:t>mangium</w:t>
      </w:r>
      <w:r w:rsidRPr="00AF0C84">
        <w:rPr>
          <w:rFonts w:ascii="Arial" w:eastAsia="Aptos" w:hAnsi="Arial" w:cs="Arial"/>
          <w:noProof/>
          <w:szCs w:val="22"/>
          <w:lang w:val="en-ID"/>
          <w14:ligatures w14:val="standardContextual"/>
        </w:rPr>
        <w:t xml:space="preserve"> Willd. Curr Trends Biotechnol Pharm. 2013;7(1):511–7. </w:t>
      </w:r>
    </w:p>
    <w:p w14:paraId="27320765"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30.</w:t>
      </w:r>
      <w:r w:rsidRPr="00AF0C84">
        <w:rPr>
          <w:rFonts w:ascii="Arial" w:eastAsia="Aptos" w:hAnsi="Arial" w:cs="Arial"/>
          <w:noProof/>
          <w:szCs w:val="22"/>
          <w:lang w:val="en-ID"/>
          <w14:ligatures w14:val="standardContextual"/>
        </w:rPr>
        <w:tab/>
        <w:t>Chavan N, Kale S, Deshmukh V. Effect of different concentrations of BAP on In vitro shoot multiplication of bamboo. ~ 161 ~ Pharma Innov J [Internet]. 2021;10(9):161–6. Available from: http://www.thepharmajournal.com</w:t>
      </w:r>
    </w:p>
    <w:p w14:paraId="4552636A"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31.</w:t>
      </w:r>
      <w:r w:rsidRPr="00AF0C84">
        <w:rPr>
          <w:rFonts w:ascii="Arial" w:eastAsia="Aptos" w:hAnsi="Arial" w:cs="Arial"/>
          <w:noProof/>
          <w:szCs w:val="22"/>
          <w:lang w:val="en-ID"/>
          <w14:ligatures w14:val="standardContextual"/>
        </w:rPr>
        <w:tab/>
        <w:t xml:space="preserve">Martins JPR, Wawrzyniak MK, Ley-López JM, Kalemba EM, Mendes MM, Chmielarz P. 6-Benzylaminopurine and kinetin modulations during in vitro propagation of </w:t>
      </w:r>
      <w:r w:rsidRPr="00AF0C84">
        <w:rPr>
          <w:rFonts w:ascii="Arial" w:eastAsia="Aptos" w:hAnsi="Arial" w:cs="Arial"/>
          <w:i/>
          <w:iCs/>
          <w:noProof/>
          <w:szCs w:val="22"/>
          <w:lang w:val="en-ID"/>
          <w14:ligatures w14:val="standardContextual"/>
        </w:rPr>
        <w:t>Quercus robur</w:t>
      </w:r>
      <w:r w:rsidRPr="00AF0C84">
        <w:rPr>
          <w:rFonts w:ascii="Arial" w:eastAsia="Aptos" w:hAnsi="Arial" w:cs="Arial"/>
          <w:noProof/>
          <w:szCs w:val="22"/>
          <w:lang w:val="en-ID"/>
          <w14:ligatures w14:val="standardContextual"/>
        </w:rPr>
        <w:t xml:space="preserve"> (L.): an assessment of anatomical, biochemical, and physiological profiling of shoots. Plant Cell Tissue Organ Cult [Internet]. 2022;151(1):149–64. Available from: https://doi.org/10.1007/s11240-022-02339-9</w:t>
      </w:r>
    </w:p>
    <w:p w14:paraId="04BCBC6B"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32.</w:t>
      </w:r>
      <w:r w:rsidRPr="00AF0C84">
        <w:rPr>
          <w:rFonts w:ascii="Arial" w:eastAsia="Aptos" w:hAnsi="Arial" w:cs="Arial"/>
          <w:noProof/>
          <w:szCs w:val="22"/>
          <w:lang w:val="en-ID"/>
          <w14:ligatures w14:val="standardContextual"/>
        </w:rPr>
        <w:tab/>
      </w:r>
      <w:r w:rsidRPr="00AF0C84">
        <w:rPr>
          <w:rFonts w:ascii="Arial" w:eastAsia="Aptos" w:hAnsi="Arial" w:cs="Arial"/>
          <w:noProof/>
          <w:szCs w:val="22"/>
          <w:highlight w:val="yellow"/>
          <w:lang w:val="en-ID"/>
          <w14:ligatures w14:val="standardContextual"/>
        </w:rPr>
        <w:t>Isda MN, Afrilla R. Shoot induction from petiole explants of tembesu (</w:t>
      </w:r>
      <w:r w:rsidRPr="00AF0C84">
        <w:rPr>
          <w:rFonts w:ascii="Arial" w:eastAsia="Aptos" w:hAnsi="Arial" w:cs="Arial"/>
          <w:i/>
          <w:iCs/>
          <w:noProof/>
          <w:szCs w:val="22"/>
          <w:highlight w:val="yellow"/>
          <w:lang w:val="en-ID"/>
          <w14:ligatures w14:val="standardContextual"/>
        </w:rPr>
        <w:t>Fagraea fragrans</w:t>
      </w:r>
      <w:r w:rsidRPr="00AF0C84">
        <w:rPr>
          <w:rFonts w:ascii="Arial" w:eastAsia="Aptos" w:hAnsi="Arial" w:cs="Arial"/>
          <w:noProof/>
          <w:szCs w:val="22"/>
          <w:highlight w:val="yellow"/>
          <w:lang w:val="en-ID"/>
          <w14:ligatures w14:val="standardContextual"/>
        </w:rPr>
        <w:t xml:space="preserve"> Roxb) with in vitro addition of 6-benzylaminopurine. J Ilm Pertan. 2023;20(3):209–18.</w:t>
      </w:r>
      <w:r w:rsidRPr="00AF0C84">
        <w:rPr>
          <w:rFonts w:ascii="Arial" w:eastAsia="Aptos" w:hAnsi="Arial" w:cs="Arial"/>
          <w:noProof/>
          <w:szCs w:val="22"/>
          <w:lang w:val="en-ID"/>
          <w14:ligatures w14:val="standardContextual"/>
        </w:rPr>
        <w:t xml:space="preserve"> </w:t>
      </w:r>
    </w:p>
    <w:p w14:paraId="5794FF5B"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33.</w:t>
      </w:r>
      <w:r w:rsidRPr="00AF0C84">
        <w:rPr>
          <w:rFonts w:ascii="Arial" w:eastAsia="Aptos" w:hAnsi="Arial" w:cs="Arial"/>
          <w:noProof/>
          <w:szCs w:val="22"/>
          <w:lang w:val="en-ID"/>
          <w14:ligatures w14:val="standardContextual"/>
        </w:rPr>
        <w:tab/>
        <w:t xml:space="preserve">Tan SN, Tee CS, Wong HL. Multiple shoot bud induction and plant regeneration studies of Pongamia pinnata. Plant Biotechnol. 2018;35(4):325–34. </w:t>
      </w:r>
    </w:p>
    <w:p w14:paraId="0A151F87"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34.</w:t>
      </w:r>
      <w:r w:rsidRPr="00AF0C84">
        <w:rPr>
          <w:rFonts w:ascii="Arial" w:eastAsia="Aptos" w:hAnsi="Arial" w:cs="Arial"/>
          <w:noProof/>
          <w:szCs w:val="22"/>
          <w:lang w:val="en-ID"/>
          <w14:ligatures w14:val="standardContextual"/>
        </w:rPr>
        <w:tab/>
        <w:t>Şimşek Ö, Biçen B, Dönmez D, Aka Kaçar Y. Effects of Different Media on Micropropagation and Rooting of Myrtle (</w:t>
      </w:r>
      <w:r w:rsidRPr="00AF0C84">
        <w:rPr>
          <w:rFonts w:ascii="Arial" w:eastAsia="Aptos" w:hAnsi="Arial" w:cs="Arial"/>
          <w:i/>
          <w:iCs/>
          <w:noProof/>
          <w:szCs w:val="22"/>
          <w:lang w:val="en-ID"/>
          <w14:ligatures w14:val="standardContextual"/>
        </w:rPr>
        <w:t>Myrtus communis</w:t>
      </w:r>
      <w:r w:rsidRPr="00AF0C84">
        <w:rPr>
          <w:rFonts w:ascii="Arial" w:eastAsia="Aptos" w:hAnsi="Arial" w:cs="Arial"/>
          <w:noProof/>
          <w:szCs w:val="22"/>
          <w:lang w:val="en-ID"/>
          <w14:ligatures w14:val="standardContextual"/>
        </w:rPr>
        <w:t xml:space="preserve"> L.) in In Vitro Conditions. Int J Environ Agric Res. 2017;3(10):54–9. </w:t>
      </w:r>
    </w:p>
    <w:p w14:paraId="67672CDF"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35.</w:t>
      </w:r>
      <w:r w:rsidRPr="00AF0C84">
        <w:rPr>
          <w:rFonts w:ascii="Arial" w:eastAsia="Aptos" w:hAnsi="Arial" w:cs="Arial"/>
          <w:noProof/>
          <w:szCs w:val="22"/>
          <w:lang w:val="en-ID"/>
          <w14:ligatures w14:val="standardContextual"/>
        </w:rPr>
        <w:tab/>
        <w:t xml:space="preserve">Song JY, Bae J, Lee YY, Han JW, Lee YJ, Nam SH, et al. High-Efficiency In Vitro Root Induction in Pear Microshoots (Pyrus spp.). Plants. 2024;13(14). </w:t>
      </w:r>
    </w:p>
    <w:p w14:paraId="7C315501"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szCs w:val="22"/>
          <w:lang w:val="en-ID"/>
          <w14:ligatures w14:val="standardContextual"/>
        </w:rPr>
      </w:pPr>
      <w:r w:rsidRPr="00AF0C84">
        <w:rPr>
          <w:rFonts w:ascii="Arial" w:eastAsia="Aptos" w:hAnsi="Arial" w:cs="Arial"/>
          <w:noProof/>
          <w:szCs w:val="22"/>
          <w:lang w:val="en-ID"/>
          <w14:ligatures w14:val="standardContextual"/>
        </w:rPr>
        <w:t>36.</w:t>
      </w:r>
      <w:r w:rsidRPr="00AF0C84">
        <w:rPr>
          <w:rFonts w:ascii="Arial" w:eastAsia="Aptos" w:hAnsi="Arial" w:cs="Arial"/>
          <w:noProof/>
          <w:szCs w:val="22"/>
          <w:lang w:val="en-ID"/>
          <w14:ligatures w14:val="standardContextual"/>
        </w:rPr>
        <w:tab/>
        <w:t>Cui Y, Deng Y, Zheng K, Hu X, Zhu M, Deng X, et al. An efficient micropropagation protocol for an endangered ornamental tree species (</w:t>
      </w:r>
      <w:r w:rsidRPr="00AF0C84">
        <w:rPr>
          <w:rFonts w:ascii="Arial" w:eastAsia="Aptos" w:hAnsi="Arial" w:cs="Arial"/>
          <w:i/>
          <w:iCs/>
          <w:noProof/>
          <w:szCs w:val="22"/>
          <w:lang w:val="en-ID"/>
          <w14:ligatures w14:val="standardContextual"/>
        </w:rPr>
        <w:t>Magnolia sirindhorniae</w:t>
      </w:r>
      <w:r w:rsidRPr="00AF0C84">
        <w:rPr>
          <w:rFonts w:ascii="Arial" w:eastAsia="Aptos" w:hAnsi="Arial" w:cs="Arial"/>
          <w:noProof/>
          <w:szCs w:val="22"/>
          <w:lang w:val="en-ID"/>
          <w14:ligatures w14:val="standardContextual"/>
        </w:rPr>
        <w:t xml:space="preserve"> Noot. &amp; Chalermglin) and assessment of genetic uniformity through DNA markers. Sci Rep. 2019;9(1):1–10. </w:t>
      </w:r>
    </w:p>
    <w:p w14:paraId="0B96FA15" w14:textId="77777777" w:rsidR="00AF0C84" w:rsidRPr="00AF0C84" w:rsidRDefault="00AF0C84" w:rsidP="004359D0">
      <w:pPr>
        <w:widowControl w:val="0"/>
        <w:autoSpaceDE w:val="0"/>
        <w:autoSpaceDN w:val="0"/>
        <w:adjustRightInd w:val="0"/>
        <w:ind w:left="426" w:hanging="426"/>
        <w:jc w:val="both"/>
        <w:rPr>
          <w:rFonts w:ascii="Arial" w:eastAsia="Aptos" w:hAnsi="Arial" w:cs="Arial"/>
          <w:noProof/>
          <w:kern w:val="2"/>
          <w:szCs w:val="22"/>
          <w:lang w:val="en-ID"/>
          <w14:ligatures w14:val="standardContextual"/>
        </w:rPr>
      </w:pPr>
      <w:r w:rsidRPr="00AF0C84">
        <w:rPr>
          <w:rFonts w:ascii="Arial" w:eastAsia="Aptos" w:hAnsi="Arial" w:cs="Arial"/>
          <w:noProof/>
          <w:szCs w:val="22"/>
          <w:lang w:val="en-ID"/>
          <w14:ligatures w14:val="standardContextual"/>
        </w:rPr>
        <w:t>37.</w:t>
      </w:r>
      <w:r w:rsidRPr="00AF0C84">
        <w:rPr>
          <w:rFonts w:ascii="Arial" w:eastAsia="Aptos" w:hAnsi="Arial" w:cs="Arial"/>
          <w:noProof/>
          <w:szCs w:val="22"/>
          <w:lang w:val="en-ID"/>
          <w14:ligatures w14:val="standardContextual"/>
        </w:rPr>
        <w:tab/>
        <w:t xml:space="preserve">Phillips GC, Garda M. Plant tissue culture media and practices: an Overview. Vitr Cell Dev Biol - Plant. 2019;55(3):242–57. </w:t>
      </w:r>
    </w:p>
    <w:p w14:paraId="2798B796" w14:textId="3A04AEB4" w:rsidR="00AF0C84" w:rsidRDefault="00AF0C84" w:rsidP="004359D0">
      <w:pPr>
        <w:pStyle w:val="ReferHead"/>
        <w:spacing w:after="0"/>
        <w:ind w:left="426" w:hanging="426"/>
        <w:jc w:val="both"/>
        <w:rPr>
          <w:rFonts w:ascii="Arial" w:hAnsi="Arial" w:cs="Arial"/>
        </w:rPr>
      </w:pPr>
      <w:r w:rsidRPr="00AF0C84">
        <w:rPr>
          <w:rFonts w:ascii="Arial" w:hAnsi="Arial" w:cs="Arial"/>
          <w:b w:val="0"/>
          <w:caps w:val="0"/>
          <w:sz w:val="20"/>
          <w:lang w:val="en-ID"/>
        </w:rPr>
        <w:fldChar w:fldCharType="end"/>
      </w:r>
      <w:bookmarkEnd w:id="9"/>
    </w:p>
    <w:sectPr w:rsidR="00AF0C84" w:rsidSect="00601E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28F9" w14:textId="77777777" w:rsidR="00A957E6" w:rsidRDefault="00A957E6" w:rsidP="00C37E61">
      <w:r>
        <w:separator/>
      </w:r>
    </w:p>
  </w:endnote>
  <w:endnote w:type="continuationSeparator" w:id="0">
    <w:p w14:paraId="3EA355A9" w14:textId="77777777" w:rsidR="00A957E6" w:rsidRDefault="00A957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F62F" w14:textId="77777777" w:rsidR="00A957E6" w:rsidRDefault="00A957E6" w:rsidP="00C37E61">
      <w:r>
        <w:separator/>
      </w:r>
    </w:p>
  </w:footnote>
  <w:footnote w:type="continuationSeparator" w:id="0">
    <w:p w14:paraId="7B0A14B7" w14:textId="77777777" w:rsidR="00A957E6" w:rsidRDefault="00A957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EB3A" w14:textId="473E2A64" w:rsidR="00E51903" w:rsidRDefault="00000000">
    <w:pPr>
      <w:pStyle w:val="Header"/>
    </w:pPr>
    <w:r>
      <w:rPr>
        <w:noProof/>
      </w:rPr>
      <w:pict w14:anchorId="70354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5664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2728" w14:textId="1EB914AB" w:rsidR="00E51903" w:rsidRDefault="00000000">
    <w:pPr>
      <w:pStyle w:val="Header"/>
    </w:pPr>
    <w:r>
      <w:rPr>
        <w:noProof/>
      </w:rPr>
      <w:pict w14:anchorId="0B142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5664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1BBD" w14:textId="7739E17D" w:rsidR="00296529" w:rsidRPr="00296529" w:rsidRDefault="00000000" w:rsidP="00296529">
    <w:pPr>
      <w:ind w:left="2160"/>
      <w:jc w:val="center"/>
      <w:rPr>
        <w:rFonts w:ascii="Times New Roman" w:eastAsia="Calibri" w:hAnsi="Times New Roman"/>
        <w:i/>
        <w:sz w:val="18"/>
        <w:szCs w:val="22"/>
      </w:rPr>
    </w:pPr>
    <w:r>
      <w:rPr>
        <w:noProof/>
      </w:rPr>
      <w:pict w14:anchorId="79D1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5664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0EEB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46EEA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F69A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BF569E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ECF0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CD71F9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F125E"/>
    <w:multiLevelType w:val="hybridMultilevel"/>
    <w:tmpl w:val="BE181A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992E2D"/>
    <w:multiLevelType w:val="hybridMultilevel"/>
    <w:tmpl w:val="54ACBB1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6467830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46753306">
    <w:abstractNumId w:val="17"/>
  </w:num>
  <w:num w:numId="3" w16cid:durableId="700672647">
    <w:abstractNumId w:val="25"/>
  </w:num>
  <w:num w:numId="4" w16cid:durableId="6039270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00016435">
    <w:abstractNumId w:val="9"/>
  </w:num>
  <w:num w:numId="6" w16cid:durableId="1648506855">
    <w:abstractNumId w:val="8"/>
  </w:num>
  <w:num w:numId="7" w16cid:durableId="1195776833">
    <w:abstractNumId w:val="2"/>
  </w:num>
  <w:num w:numId="8" w16cid:durableId="446775369">
    <w:abstractNumId w:val="14"/>
  </w:num>
  <w:num w:numId="9" w16cid:durableId="1282418718">
    <w:abstractNumId w:val="27"/>
  </w:num>
  <w:num w:numId="10" w16cid:durableId="1962303088">
    <w:abstractNumId w:val="3"/>
  </w:num>
  <w:num w:numId="11" w16cid:durableId="1972008751">
    <w:abstractNumId w:val="20"/>
  </w:num>
  <w:num w:numId="12" w16cid:durableId="964459855">
    <w:abstractNumId w:val="5"/>
  </w:num>
  <w:num w:numId="13" w16cid:durableId="1000280614">
    <w:abstractNumId w:val="19"/>
  </w:num>
  <w:num w:numId="14" w16cid:durableId="1319655767">
    <w:abstractNumId w:val="10"/>
  </w:num>
  <w:num w:numId="15" w16cid:durableId="1252202467">
    <w:abstractNumId w:val="23"/>
  </w:num>
  <w:num w:numId="16" w16cid:durableId="1911230651">
    <w:abstractNumId w:val="7"/>
  </w:num>
  <w:num w:numId="17" w16cid:durableId="639530818">
    <w:abstractNumId w:val="24"/>
  </w:num>
  <w:num w:numId="18" w16cid:durableId="1015613319">
    <w:abstractNumId w:val="16"/>
  </w:num>
  <w:num w:numId="19" w16cid:durableId="1772241783">
    <w:abstractNumId w:val="30"/>
  </w:num>
  <w:num w:numId="20" w16cid:durableId="1803383165">
    <w:abstractNumId w:val="13"/>
  </w:num>
  <w:num w:numId="21" w16cid:durableId="835807996">
    <w:abstractNumId w:val="11"/>
  </w:num>
  <w:num w:numId="22" w16cid:durableId="1500848288">
    <w:abstractNumId w:val="15"/>
  </w:num>
  <w:num w:numId="23" w16cid:durableId="1267276684">
    <w:abstractNumId w:val="21"/>
  </w:num>
  <w:num w:numId="24" w16cid:durableId="1785540916">
    <w:abstractNumId w:val="28"/>
  </w:num>
  <w:num w:numId="25" w16cid:durableId="2030910950">
    <w:abstractNumId w:val="6"/>
  </w:num>
  <w:num w:numId="26" w16cid:durableId="1241210441">
    <w:abstractNumId w:val="18"/>
  </w:num>
  <w:num w:numId="27" w16cid:durableId="921064968">
    <w:abstractNumId w:val="22"/>
  </w:num>
  <w:num w:numId="28" w16cid:durableId="962808457">
    <w:abstractNumId w:val="29"/>
  </w:num>
  <w:num w:numId="29" w16cid:durableId="1803225492">
    <w:abstractNumId w:val="26"/>
  </w:num>
  <w:num w:numId="30" w16cid:durableId="2132938696">
    <w:abstractNumId w:val="12"/>
  </w:num>
  <w:num w:numId="31" w16cid:durableId="271978076">
    <w:abstractNumId w:val="1"/>
  </w:num>
  <w:num w:numId="32" w16cid:durableId="283537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212"/>
    <w:rsid w:val="000217E5"/>
    <w:rsid w:val="000266F3"/>
    <w:rsid w:val="00027EE3"/>
    <w:rsid w:val="00030174"/>
    <w:rsid w:val="00031329"/>
    <w:rsid w:val="000346F1"/>
    <w:rsid w:val="00037431"/>
    <w:rsid w:val="0004579C"/>
    <w:rsid w:val="000469CB"/>
    <w:rsid w:val="00062643"/>
    <w:rsid w:val="00063731"/>
    <w:rsid w:val="000719EE"/>
    <w:rsid w:val="0007511D"/>
    <w:rsid w:val="0007603B"/>
    <w:rsid w:val="00086616"/>
    <w:rsid w:val="00090B4A"/>
    <w:rsid w:val="00091C44"/>
    <w:rsid w:val="00095BE0"/>
    <w:rsid w:val="000969A3"/>
    <w:rsid w:val="000973B4"/>
    <w:rsid w:val="000A47FA"/>
    <w:rsid w:val="000A56CF"/>
    <w:rsid w:val="000A65D3"/>
    <w:rsid w:val="000B1E33"/>
    <w:rsid w:val="000C010F"/>
    <w:rsid w:val="000C4440"/>
    <w:rsid w:val="000C68B6"/>
    <w:rsid w:val="000D689F"/>
    <w:rsid w:val="000E4B81"/>
    <w:rsid w:val="000E7B7B"/>
    <w:rsid w:val="000E7D62"/>
    <w:rsid w:val="000F375A"/>
    <w:rsid w:val="000F600D"/>
    <w:rsid w:val="000F7706"/>
    <w:rsid w:val="000F7D64"/>
    <w:rsid w:val="001011B4"/>
    <w:rsid w:val="00103357"/>
    <w:rsid w:val="001039A5"/>
    <w:rsid w:val="00103CC6"/>
    <w:rsid w:val="001043F2"/>
    <w:rsid w:val="001046D6"/>
    <w:rsid w:val="00105765"/>
    <w:rsid w:val="0010779A"/>
    <w:rsid w:val="00107EDF"/>
    <w:rsid w:val="0011168E"/>
    <w:rsid w:val="00115E62"/>
    <w:rsid w:val="00122803"/>
    <w:rsid w:val="00123C9F"/>
    <w:rsid w:val="00126190"/>
    <w:rsid w:val="00127352"/>
    <w:rsid w:val="00130200"/>
    <w:rsid w:val="00130F17"/>
    <w:rsid w:val="001320BF"/>
    <w:rsid w:val="00132C37"/>
    <w:rsid w:val="0013481A"/>
    <w:rsid w:val="001351A0"/>
    <w:rsid w:val="00136479"/>
    <w:rsid w:val="00163BC4"/>
    <w:rsid w:val="00166F4C"/>
    <w:rsid w:val="001815AD"/>
    <w:rsid w:val="00191062"/>
    <w:rsid w:val="00192B72"/>
    <w:rsid w:val="001A290C"/>
    <w:rsid w:val="001A29D8"/>
    <w:rsid w:val="001A5CAA"/>
    <w:rsid w:val="001B0427"/>
    <w:rsid w:val="001B52FD"/>
    <w:rsid w:val="001B6F57"/>
    <w:rsid w:val="001D3A51"/>
    <w:rsid w:val="001E10D2"/>
    <w:rsid w:val="001E25B4"/>
    <w:rsid w:val="001E44FE"/>
    <w:rsid w:val="001E61FF"/>
    <w:rsid w:val="001E7010"/>
    <w:rsid w:val="00200595"/>
    <w:rsid w:val="00202A5F"/>
    <w:rsid w:val="00203B66"/>
    <w:rsid w:val="00204835"/>
    <w:rsid w:val="0020561B"/>
    <w:rsid w:val="002105E0"/>
    <w:rsid w:val="00214D24"/>
    <w:rsid w:val="0023187C"/>
    <w:rsid w:val="00231920"/>
    <w:rsid w:val="0023195C"/>
    <w:rsid w:val="0024282C"/>
    <w:rsid w:val="0024582B"/>
    <w:rsid w:val="002460DC"/>
    <w:rsid w:val="00250985"/>
    <w:rsid w:val="002556F6"/>
    <w:rsid w:val="002617D5"/>
    <w:rsid w:val="00264FB2"/>
    <w:rsid w:val="0027204A"/>
    <w:rsid w:val="00273185"/>
    <w:rsid w:val="00274D73"/>
    <w:rsid w:val="00283105"/>
    <w:rsid w:val="00284C4C"/>
    <w:rsid w:val="00296293"/>
    <w:rsid w:val="00296529"/>
    <w:rsid w:val="002971D7"/>
    <w:rsid w:val="002A2688"/>
    <w:rsid w:val="002A3DD7"/>
    <w:rsid w:val="002A4E57"/>
    <w:rsid w:val="002A6106"/>
    <w:rsid w:val="002B03AC"/>
    <w:rsid w:val="002B110D"/>
    <w:rsid w:val="002B27FB"/>
    <w:rsid w:val="002B685A"/>
    <w:rsid w:val="002C57D2"/>
    <w:rsid w:val="002D3A3A"/>
    <w:rsid w:val="002D6585"/>
    <w:rsid w:val="002E0D56"/>
    <w:rsid w:val="002E526C"/>
    <w:rsid w:val="002F547D"/>
    <w:rsid w:val="003027D0"/>
    <w:rsid w:val="00302923"/>
    <w:rsid w:val="00306551"/>
    <w:rsid w:val="003132BA"/>
    <w:rsid w:val="00314739"/>
    <w:rsid w:val="00315186"/>
    <w:rsid w:val="0032488C"/>
    <w:rsid w:val="00327884"/>
    <w:rsid w:val="0033343E"/>
    <w:rsid w:val="00336497"/>
    <w:rsid w:val="0034375A"/>
    <w:rsid w:val="00344396"/>
    <w:rsid w:val="003512C2"/>
    <w:rsid w:val="00351B54"/>
    <w:rsid w:val="0035236C"/>
    <w:rsid w:val="0036299F"/>
    <w:rsid w:val="003701B5"/>
    <w:rsid w:val="00370C26"/>
    <w:rsid w:val="00371FB6"/>
    <w:rsid w:val="003763C1"/>
    <w:rsid w:val="00376BBE"/>
    <w:rsid w:val="00380944"/>
    <w:rsid w:val="0038234C"/>
    <w:rsid w:val="0039224F"/>
    <w:rsid w:val="00392735"/>
    <w:rsid w:val="00394670"/>
    <w:rsid w:val="003A43A4"/>
    <w:rsid w:val="003A7E18"/>
    <w:rsid w:val="003C4C86"/>
    <w:rsid w:val="003C6258"/>
    <w:rsid w:val="003D42FC"/>
    <w:rsid w:val="003E276D"/>
    <w:rsid w:val="003E2904"/>
    <w:rsid w:val="003E3182"/>
    <w:rsid w:val="003E51B7"/>
    <w:rsid w:val="003F2382"/>
    <w:rsid w:val="003F49D4"/>
    <w:rsid w:val="003F724F"/>
    <w:rsid w:val="00401927"/>
    <w:rsid w:val="0041027F"/>
    <w:rsid w:val="00412475"/>
    <w:rsid w:val="00423789"/>
    <w:rsid w:val="00425DAE"/>
    <w:rsid w:val="00433DF8"/>
    <w:rsid w:val="0043553D"/>
    <w:rsid w:val="00435965"/>
    <w:rsid w:val="004359D0"/>
    <w:rsid w:val="00440AFE"/>
    <w:rsid w:val="00440F43"/>
    <w:rsid w:val="00441B6F"/>
    <w:rsid w:val="004425C5"/>
    <w:rsid w:val="00443701"/>
    <w:rsid w:val="00446221"/>
    <w:rsid w:val="00450E62"/>
    <w:rsid w:val="00450FE2"/>
    <w:rsid w:val="004539DB"/>
    <w:rsid w:val="004648D7"/>
    <w:rsid w:val="00466528"/>
    <w:rsid w:val="00471A80"/>
    <w:rsid w:val="0047491B"/>
    <w:rsid w:val="00481ECB"/>
    <w:rsid w:val="00482422"/>
    <w:rsid w:val="00482E44"/>
    <w:rsid w:val="00483DFD"/>
    <w:rsid w:val="004A160C"/>
    <w:rsid w:val="004A2CF2"/>
    <w:rsid w:val="004A47F7"/>
    <w:rsid w:val="004B5056"/>
    <w:rsid w:val="004C3BE2"/>
    <w:rsid w:val="004D305E"/>
    <w:rsid w:val="004D4277"/>
    <w:rsid w:val="004E3048"/>
    <w:rsid w:val="004E5CFE"/>
    <w:rsid w:val="0050065D"/>
    <w:rsid w:val="00502516"/>
    <w:rsid w:val="00505F06"/>
    <w:rsid w:val="00506828"/>
    <w:rsid w:val="00510A05"/>
    <w:rsid w:val="00521E00"/>
    <w:rsid w:val="00523A22"/>
    <w:rsid w:val="0053022A"/>
    <w:rsid w:val="0053056E"/>
    <w:rsid w:val="00554415"/>
    <w:rsid w:val="00554FDA"/>
    <w:rsid w:val="0056432D"/>
    <w:rsid w:val="00565212"/>
    <w:rsid w:val="005745A6"/>
    <w:rsid w:val="005846EA"/>
    <w:rsid w:val="00590243"/>
    <w:rsid w:val="00590BEA"/>
    <w:rsid w:val="00594440"/>
    <w:rsid w:val="00594B73"/>
    <w:rsid w:val="005C784C"/>
    <w:rsid w:val="005D06DB"/>
    <w:rsid w:val="005D17F6"/>
    <w:rsid w:val="005D287C"/>
    <w:rsid w:val="005E5539"/>
    <w:rsid w:val="005F122A"/>
    <w:rsid w:val="005F1EC6"/>
    <w:rsid w:val="00601E20"/>
    <w:rsid w:val="00602BF5"/>
    <w:rsid w:val="006179BD"/>
    <w:rsid w:val="00617FDD"/>
    <w:rsid w:val="0063052A"/>
    <w:rsid w:val="00630723"/>
    <w:rsid w:val="00633614"/>
    <w:rsid w:val="00633F68"/>
    <w:rsid w:val="00636EB2"/>
    <w:rsid w:val="006375B8"/>
    <w:rsid w:val="0066510A"/>
    <w:rsid w:val="00667D12"/>
    <w:rsid w:val="00673F9F"/>
    <w:rsid w:val="0067517B"/>
    <w:rsid w:val="006816B3"/>
    <w:rsid w:val="00682772"/>
    <w:rsid w:val="00686953"/>
    <w:rsid w:val="00687DEA"/>
    <w:rsid w:val="00687E67"/>
    <w:rsid w:val="00693C34"/>
    <w:rsid w:val="00696539"/>
    <w:rsid w:val="006967F7"/>
    <w:rsid w:val="00697479"/>
    <w:rsid w:val="006A250C"/>
    <w:rsid w:val="006A63E1"/>
    <w:rsid w:val="006A7660"/>
    <w:rsid w:val="006A7AB3"/>
    <w:rsid w:val="006B21D3"/>
    <w:rsid w:val="006B57D0"/>
    <w:rsid w:val="006D30FF"/>
    <w:rsid w:val="006D6940"/>
    <w:rsid w:val="006F11EC"/>
    <w:rsid w:val="006F7511"/>
    <w:rsid w:val="0070082C"/>
    <w:rsid w:val="0071212F"/>
    <w:rsid w:val="0072087B"/>
    <w:rsid w:val="00724BB8"/>
    <w:rsid w:val="00724E5E"/>
    <w:rsid w:val="00725F2F"/>
    <w:rsid w:val="007270B5"/>
    <w:rsid w:val="007273E8"/>
    <w:rsid w:val="00727F52"/>
    <w:rsid w:val="007369E6"/>
    <w:rsid w:val="00746E59"/>
    <w:rsid w:val="00750E5E"/>
    <w:rsid w:val="00752C38"/>
    <w:rsid w:val="0075373B"/>
    <w:rsid w:val="00754B92"/>
    <w:rsid w:val="00754C9A"/>
    <w:rsid w:val="0075599A"/>
    <w:rsid w:val="00761D52"/>
    <w:rsid w:val="00762AD5"/>
    <w:rsid w:val="00771257"/>
    <w:rsid w:val="00771DF7"/>
    <w:rsid w:val="0077749E"/>
    <w:rsid w:val="00782368"/>
    <w:rsid w:val="00790ADA"/>
    <w:rsid w:val="00796FB5"/>
    <w:rsid w:val="00797899"/>
    <w:rsid w:val="007A286A"/>
    <w:rsid w:val="007A5F8C"/>
    <w:rsid w:val="007B586B"/>
    <w:rsid w:val="007B7B4F"/>
    <w:rsid w:val="007C0B96"/>
    <w:rsid w:val="007C36D2"/>
    <w:rsid w:val="007C745D"/>
    <w:rsid w:val="007D2288"/>
    <w:rsid w:val="007D3048"/>
    <w:rsid w:val="007D6152"/>
    <w:rsid w:val="007E088F"/>
    <w:rsid w:val="007E5E53"/>
    <w:rsid w:val="007F7B32"/>
    <w:rsid w:val="007F7F5B"/>
    <w:rsid w:val="00804BC2"/>
    <w:rsid w:val="0081431A"/>
    <w:rsid w:val="0083216F"/>
    <w:rsid w:val="00833E04"/>
    <w:rsid w:val="00834692"/>
    <w:rsid w:val="008348F9"/>
    <w:rsid w:val="00835724"/>
    <w:rsid w:val="008427B4"/>
    <w:rsid w:val="00846360"/>
    <w:rsid w:val="00855DB6"/>
    <w:rsid w:val="00860000"/>
    <w:rsid w:val="00862B27"/>
    <w:rsid w:val="00863BD3"/>
    <w:rsid w:val="00866D66"/>
    <w:rsid w:val="008671C6"/>
    <w:rsid w:val="00875803"/>
    <w:rsid w:val="00897390"/>
    <w:rsid w:val="008A419B"/>
    <w:rsid w:val="008A4742"/>
    <w:rsid w:val="008A6218"/>
    <w:rsid w:val="008B0AB0"/>
    <w:rsid w:val="008B459E"/>
    <w:rsid w:val="008C5EBF"/>
    <w:rsid w:val="008C7DBC"/>
    <w:rsid w:val="008D04A2"/>
    <w:rsid w:val="008D7992"/>
    <w:rsid w:val="008E13AE"/>
    <w:rsid w:val="008E1506"/>
    <w:rsid w:val="008E1E35"/>
    <w:rsid w:val="008E710C"/>
    <w:rsid w:val="008F2FD0"/>
    <w:rsid w:val="008F69D6"/>
    <w:rsid w:val="00902823"/>
    <w:rsid w:val="00903E15"/>
    <w:rsid w:val="00904ADA"/>
    <w:rsid w:val="009110FD"/>
    <w:rsid w:val="00911318"/>
    <w:rsid w:val="00915CA6"/>
    <w:rsid w:val="0092335E"/>
    <w:rsid w:val="00924FE0"/>
    <w:rsid w:val="00927834"/>
    <w:rsid w:val="009308FF"/>
    <w:rsid w:val="0093240D"/>
    <w:rsid w:val="00932DC1"/>
    <w:rsid w:val="009333CD"/>
    <w:rsid w:val="00943269"/>
    <w:rsid w:val="009500A6"/>
    <w:rsid w:val="009547F3"/>
    <w:rsid w:val="00957C18"/>
    <w:rsid w:val="009610EF"/>
    <w:rsid w:val="009659BA"/>
    <w:rsid w:val="009672A6"/>
    <w:rsid w:val="0097598E"/>
    <w:rsid w:val="00977C57"/>
    <w:rsid w:val="00983040"/>
    <w:rsid w:val="0098436C"/>
    <w:rsid w:val="009A356F"/>
    <w:rsid w:val="009B3FB9"/>
    <w:rsid w:val="009C0873"/>
    <w:rsid w:val="009C0E4C"/>
    <w:rsid w:val="009C2465"/>
    <w:rsid w:val="009D1F9F"/>
    <w:rsid w:val="009D35A0"/>
    <w:rsid w:val="009D7EB7"/>
    <w:rsid w:val="009E048A"/>
    <w:rsid w:val="009E08E9"/>
    <w:rsid w:val="009E37F4"/>
    <w:rsid w:val="009E3DB9"/>
    <w:rsid w:val="009E5529"/>
    <w:rsid w:val="009E6E35"/>
    <w:rsid w:val="009F0EDA"/>
    <w:rsid w:val="009F1A00"/>
    <w:rsid w:val="009F439A"/>
    <w:rsid w:val="009F70D6"/>
    <w:rsid w:val="00A00EB0"/>
    <w:rsid w:val="00A0192B"/>
    <w:rsid w:val="00A03B96"/>
    <w:rsid w:val="00A05B19"/>
    <w:rsid w:val="00A068B5"/>
    <w:rsid w:val="00A1134E"/>
    <w:rsid w:val="00A24E7E"/>
    <w:rsid w:val="00A258C3"/>
    <w:rsid w:val="00A347C0"/>
    <w:rsid w:val="00A3570A"/>
    <w:rsid w:val="00A51431"/>
    <w:rsid w:val="00A539AD"/>
    <w:rsid w:val="00A57087"/>
    <w:rsid w:val="00A636DB"/>
    <w:rsid w:val="00A666B5"/>
    <w:rsid w:val="00A8022F"/>
    <w:rsid w:val="00A83207"/>
    <w:rsid w:val="00A94063"/>
    <w:rsid w:val="00A957E6"/>
    <w:rsid w:val="00AA19E7"/>
    <w:rsid w:val="00AA2485"/>
    <w:rsid w:val="00AA4D54"/>
    <w:rsid w:val="00AA6219"/>
    <w:rsid w:val="00AA74E0"/>
    <w:rsid w:val="00AB1A73"/>
    <w:rsid w:val="00AB703F"/>
    <w:rsid w:val="00AC6BB8"/>
    <w:rsid w:val="00AD5BCA"/>
    <w:rsid w:val="00AE008F"/>
    <w:rsid w:val="00AE5E94"/>
    <w:rsid w:val="00AE7616"/>
    <w:rsid w:val="00AF0C84"/>
    <w:rsid w:val="00AF1DB3"/>
    <w:rsid w:val="00AF5D06"/>
    <w:rsid w:val="00B01FCD"/>
    <w:rsid w:val="00B074B1"/>
    <w:rsid w:val="00B1036F"/>
    <w:rsid w:val="00B132F9"/>
    <w:rsid w:val="00B1776C"/>
    <w:rsid w:val="00B17784"/>
    <w:rsid w:val="00B3348A"/>
    <w:rsid w:val="00B344C7"/>
    <w:rsid w:val="00B34937"/>
    <w:rsid w:val="00B479BB"/>
    <w:rsid w:val="00B50CAB"/>
    <w:rsid w:val="00B52896"/>
    <w:rsid w:val="00B56704"/>
    <w:rsid w:val="00B73324"/>
    <w:rsid w:val="00B73C2D"/>
    <w:rsid w:val="00B83AEF"/>
    <w:rsid w:val="00B87CF1"/>
    <w:rsid w:val="00B95236"/>
    <w:rsid w:val="00B96BD9"/>
    <w:rsid w:val="00BA1B01"/>
    <w:rsid w:val="00BA2641"/>
    <w:rsid w:val="00BA4955"/>
    <w:rsid w:val="00BA736B"/>
    <w:rsid w:val="00BB37AA"/>
    <w:rsid w:val="00BC420B"/>
    <w:rsid w:val="00BC53A0"/>
    <w:rsid w:val="00BD06A8"/>
    <w:rsid w:val="00BD236E"/>
    <w:rsid w:val="00BD2CD6"/>
    <w:rsid w:val="00BE3541"/>
    <w:rsid w:val="00BE62AD"/>
    <w:rsid w:val="00BF121F"/>
    <w:rsid w:val="00BF1F80"/>
    <w:rsid w:val="00BF27E3"/>
    <w:rsid w:val="00BF2D79"/>
    <w:rsid w:val="00C03BA4"/>
    <w:rsid w:val="00C04466"/>
    <w:rsid w:val="00C105D0"/>
    <w:rsid w:val="00C1281B"/>
    <w:rsid w:val="00C166EF"/>
    <w:rsid w:val="00C17EB0"/>
    <w:rsid w:val="00C268A3"/>
    <w:rsid w:val="00C27F5F"/>
    <w:rsid w:val="00C30A0F"/>
    <w:rsid w:val="00C339F2"/>
    <w:rsid w:val="00C37E61"/>
    <w:rsid w:val="00C70F1B"/>
    <w:rsid w:val="00C71A47"/>
    <w:rsid w:val="00C71F9B"/>
    <w:rsid w:val="00C7464C"/>
    <w:rsid w:val="00C85588"/>
    <w:rsid w:val="00C86C41"/>
    <w:rsid w:val="00CA32D5"/>
    <w:rsid w:val="00CA33BE"/>
    <w:rsid w:val="00CA4DB9"/>
    <w:rsid w:val="00CC5EAE"/>
    <w:rsid w:val="00CD6755"/>
    <w:rsid w:val="00CD6856"/>
    <w:rsid w:val="00CD7702"/>
    <w:rsid w:val="00CE0089"/>
    <w:rsid w:val="00CE793C"/>
    <w:rsid w:val="00CF4B1D"/>
    <w:rsid w:val="00D00071"/>
    <w:rsid w:val="00D112EC"/>
    <w:rsid w:val="00D11A77"/>
    <w:rsid w:val="00D17288"/>
    <w:rsid w:val="00D173F1"/>
    <w:rsid w:val="00D21BB5"/>
    <w:rsid w:val="00D21FAE"/>
    <w:rsid w:val="00D24F96"/>
    <w:rsid w:val="00D2544A"/>
    <w:rsid w:val="00D3245A"/>
    <w:rsid w:val="00D37BFE"/>
    <w:rsid w:val="00D440B9"/>
    <w:rsid w:val="00D46AAC"/>
    <w:rsid w:val="00D607E2"/>
    <w:rsid w:val="00D66699"/>
    <w:rsid w:val="00D73F88"/>
    <w:rsid w:val="00D75EFD"/>
    <w:rsid w:val="00D81772"/>
    <w:rsid w:val="00D8295D"/>
    <w:rsid w:val="00D93704"/>
    <w:rsid w:val="00DA5C89"/>
    <w:rsid w:val="00DB6EC3"/>
    <w:rsid w:val="00DC2A65"/>
    <w:rsid w:val="00DE15F0"/>
    <w:rsid w:val="00DE5663"/>
    <w:rsid w:val="00DE78AA"/>
    <w:rsid w:val="00DE78F1"/>
    <w:rsid w:val="00DF06ED"/>
    <w:rsid w:val="00DF2837"/>
    <w:rsid w:val="00DF2EEB"/>
    <w:rsid w:val="00DF5224"/>
    <w:rsid w:val="00DF7A71"/>
    <w:rsid w:val="00E00FE8"/>
    <w:rsid w:val="00E053D0"/>
    <w:rsid w:val="00E057FD"/>
    <w:rsid w:val="00E11E18"/>
    <w:rsid w:val="00E14631"/>
    <w:rsid w:val="00E15994"/>
    <w:rsid w:val="00E21D92"/>
    <w:rsid w:val="00E224F4"/>
    <w:rsid w:val="00E2291B"/>
    <w:rsid w:val="00E23098"/>
    <w:rsid w:val="00E3114E"/>
    <w:rsid w:val="00E319CB"/>
    <w:rsid w:val="00E31A70"/>
    <w:rsid w:val="00E35B02"/>
    <w:rsid w:val="00E437B7"/>
    <w:rsid w:val="00E47705"/>
    <w:rsid w:val="00E513F5"/>
    <w:rsid w:val="00E51903"/>
    <w:rsid w:val="00E60662"/>
    <w:rsid w:val="00E60844"/>
    <w:rsid w:val="00E6151F"/>
    <w:rsid w:val="00E623B3"/>
    <w:rsid w:val="00E66496"/>
    <w:rsid w:val="00E66B35"/>
    <w:rsid w:val="00E66E10"/>
    <w:rsid w:val="00E72898"/>
    <w:rsid w:val="00E7518F"/>
    <w:rsid w:val="00E769F6"/>
    <w:rsid w:val="00E8407C"/>
    <w:rsid w:val="00E84F3C"/>
    <w:rsid w:val="00E93005"/>
    <w:rsid w:val="00EA012C"/>
    <w:rsid w:val="00EA7F9A"/>
    <w:rsid w:val="00ED0288"/>
    <w:rsid w:val="00EE52CB"/>
    <w:rsid w:val="00EF0D56"/>
    <w:rsid w:val="00EF581D"/>
    <w:rsid w:val="00EF7FD8"/>
    <w:rsid w:val="00F06F59"/>
    <w:rsid w:val="00F17988"/>
    <w:rsid w:val="00F22917"/>
    <w:rsid w:val="00F25C62"/>
    <w:rsid w:val="00F33C52"/>
    <w:rsid w:val="00F349E8"/>
    <w:rsid w:val="00F3521B"/>
    <w:rsid w:val="00F469F0"/>
    <w:rsid w:val="00F46B93"/>
    <w:rsid w:val="00F53273"/>
    <w:rsid w:val="00F54C5D"/>
    <w:rsid w:val="00F63100"/>
    <w:rsid w:val="00F755E4"/>
    <w:rsid w:val="00F776A1"/>
    <w:rsid w:val="00F77B31"/>
    <w:rsid w:val="00F77D02"/>
    <w:rsid w:val="00F861B5"/>
    <w:rsid w:val="00F87CA2"/>
    <w:rsid w:val="00F95813"/>
    <w:rsid w:val="00FA5CD7"/>
    <w:rsid w:val="00FB1E81"/>
    <w:rsid w:val="00FB3A86"/>
    <w:rsid w:val="00FC36E4"/>
    <w:rsid w:val="00FD36C8"/>
    <w:rsid w:val="00FD4A72"/>
    <w:rsid w:val="00FE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DC51"/>
  <w15:docId w15:val="{2E04DC71-DC3B-4AFF-9AA7-B4F43415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5643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rsid w:val="00F77B31"/>
    <w:pPr>
      <w:spacing w:after="120"/>
    </w:pPr>
  </w:style>
  <w:style w:type="character" w:customStyle="1" w:styleId="BodyTextChar">
    <w:name w:val="Body Text Char"/>
    <w:basedOn w:val="DefaultParagraphFont"/>
    <w:link w:val="BodyText"/>
    <w:rsid w:val="00F77B31"/>
    <w:rPr>
      <w:rFonts w:ascii="Helvetica" w:hAnsi="Helvetica"/>
    </w:rPr>
  </w:style>
  <w:style w:type="paragraph" w:styleId="ListParagraph">
    <w:name w:val="List Paragraph"/>
    <w:basedOn w:val="Normal"/>
    <w:uiPriority w:val="34"/>
    <w:qFormat/>
    <w:rsid w:val="00771DF7"/>
    <w:pPr>
      <w:ind w:left="720"/>
      <w:contextualSpacing/>
    </w:pPr>
  </w:style>
  <w:style w:type="character" w:styleId="UnresolvedMention">
    <w:name w:val="Unresolved Mention"/>
    <w:basedOn w:val="DefaultParagraphFont"/>
    <w:uiPriority w:val="99"/>
    <w:semiHidden/>
    <w:unhideWhenUsed/>
    <w:rsid w:val="003E51B7"/>
    <w:rPr>
      <w:color w:val="605E5C"/>
      <w:shd w:val="clear" w:color="auto" w:fill="E1DFDD"/>
    </w:rPr>
  </w:style>
  <w:style w:type="character" w:customStyle="1" w:styleId="Heading1Char">
    <w:name w:val="Heading 1 Char"/>
    <w:basedOn w:val="DefaultParagraphFont"/>
    <w:link w:val="Heading1"/>
    <w:uiPriority w:val="9"/>
    <w:rsid w:val="00F349E8"/>
    <w:rPr>
      <w:rFonts w:ascii="Arial" w:hAnsi="Arial"/>
      <w:b/>
      <w:kern w:val="28"/>
      <w:sz w:val="28"/>
    </w:rPr>
  </w:style>
  <w:style w:type="character" w:customStyle="1" w:styleId="Heading9Char">
    <w:name w:val="Heading 9 Char"/>
    <w:basedOn w:val="DefaultParagraphFont"/>
    <w:link w:val="Heading9"/>
    <w:uiPriority w:val="9"/>
    <w:semiHidden/>
    <w:rsid w:val="0056432D"/>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7938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307680">
      <w:bodyDiv w:val="1"/>
      <w:marLeft w:val="0"/>
      <w:marRight w:val="0"/>
      <w:marTop w:val="0"/>
      <w:marBottom w:val="0"/>
      <w:divBdr>
        <w:top w:val="none" w:sz="0" w:space="0" w:color="auto"/>
        <w:left w:val="none" w:sz="0" w:space="0" w:color="auto"/>
        <w:bottom w:val="none" w:sz="0" w:space="0" w:color="auto"/>
        <w:right w:val="none" w:sz="0" w:space="0" w:color="auto"/>
      </w:divBdr>
    </w:div>
    <w:div w:id="4037217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515591">
      <w:bodyDiv w:val="1"/>
      <w:marLeft w:val="0"/>
      <w:marRight w:val="0"/>
      <w:marTop w:val="0"/>
      <w:marBottom w:val="0"/>
      <w:divBdr>
        <w:top w:val="none" w:sz="0" w:space="0" w:color="auto"/>
        <w:left w:val="none" w:sz="0" w:space="0" w:color="auto"/>
        <w:bottom w:val="none" w:sz="0" w:space="0" w:color="auto"/>
        <w:right w:val="none" w:sz="0" w:space="0" w:color="auto"/>
      </w:divBdr>
    </w:div>
    <w:div w:id="105238336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10427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453634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7F798C-6768-4835-A6EF-106E1A632E62}">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3A0C-732B-451D-B744-146CAAEE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1533</TotalTime>
  <Pages>10</Pages>
  <Words>23758</Words>
  <Characters>135424</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158865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Retno Mastuti</cp:lastModifiedBy>
  <cp:revision>77</cp:revision>
  <cp:lastPrinted>1999-07-06T11:00:00Z</cp:lastPrinted>
  <dcterms:created xsi:type="dcterms:W3CDTF">2025-05-16T04:51:00Z</dcterms:created>
  <dcterms:modified xsi:type="dcterms:W3CDTF">2025-05-19T13:27:00Z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https://csl.mendeley.com/styles/489185471/apa-2-skripsiDB-2024</vt:lpwstr>
  </property>
  <property fmtid="{D5CDD505-2E9C-101B-9397-08002B2CF9AE}" pid="19" name="Mendeley Recent Style Name 8_1">
    <vt:lpwstr>Ref.Style-SkripsiDBUB2024b</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b5aab9ce-1375-3e82-abf3-177a8db9ef35</vt:lpwstr>
  </property>
  <property fmtid="{D5CDD505-2E9C-101B-9397-08002B2CF9AE}" pid="24" name="Mendeley Citation Style_1">
    <vt:lpwstr>http://www.zotero.org/styles/vancouver</vt:lpwstr>
  </property>
</Properties>
</file>