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75464" w14:textId="77777777" w:rsidR="00754C9A" w:rsidRDefault="00754C9A" w:rsidP="00441B6F">
      <w:pPr>
        <w:pStyle w:val="Title"/>
        <w:spacing w:after="0"/>
        <w:jc w:val="both"/>
        <w:rPr>
          <w:rFonts w:ascii="Arial" w:hAnsi="Arial" w:cs="Arial"/>
        </w:rPr>
      </w:pPr>
    </w:p>
    <w:p w14:paraId="33ED41BE" w14:textId="77777777" w:rsidR="009B54E0" w:rsidRPr="009B54E0" w:rsidRDefault="009B54E0" w:rsidP="009B54E0">
      <w:pPr>
        <w:pStyle w:val="Author"/>
        <w:spacing w:line="240" w:lineRule="auto"/>
        <w:jc w:val="both"/>
        <w:rPr>
          <w:rFonts w:ascii="Arial" w:hAnsi="Arial" w:cs="Arial"/>
          <w:bCs/>
          <w:iCs/>
          <w:kern w:val="28"/>
          <w:sz w:val="36"/>
          <w:lang w:val="en-GB"/>
        </w:rPr>
      </w:pPr>
      <w:r w:rsidRPr="009B54E0">
        <w:rPr>
          <w:rFonts w:ascii="Arial" w:hAnsi="Arial" w:cs="Arial"/>
          <w:bCs/>
          <w:iCs/>
          <w:kern w:val="28"/>
          <w:sz w:val="36"/>
          <w:lang w:val="en-GB"/>
        </w:rPr>
        <w:t>Evaluation of Wideband Channel Characteristics and Path-Loss Models for 5G Macro-Cell Networks in Nigeria</w:t>
      </w:r>
    </w:p>
    <w:p w14:paraId="2FFFDF74" w14:textId="77777777" w:rsidR="00A258C3" w:rsidRPr="00790ADA" w:rsidRDefault="00A258C3" w:rsidP="00441B6F">
      <w:pPr>
        <w:pStyle w:val="Author"/>
        <w:spacing w:line="240" w:lineRule="auto"/>
        <w:jc w:val="both"/>
        <w:rPr>
          <w:rFonts w:ascii="Arial" w:hAnsi="Arial" w:cs="Arial"/>
          <w:sz w:val="36"/>
        </w:rPr>
      </w:pPr>
    </w:p>
    <w:p w14:paraId="4050CF50" w14:textId="77777777" w:rsidR="002C57D2" w:rsidRPr="00FB3A86" w:rsidRDefault="002C57D2" w:rsidP="00441B6F">
      <w:pPr>
        <w:pStyle w:val="Affiliation"/>
        <w:spacing w:after="0" w:line="240" w:lineRule="auto"/>
        <w:jc w:val="both"/>
        <w:rPr>
          <w:rFonts w:ascii="Arial" w:hAnsi="Arial" w:cs="Arial"/>
        </w:rPr>
      </w:pPr>
    </w:p>
    <w:p w14:paraId="772E1417" w14:textId="77777777" w:rsidR="00B01FCD" w:rsidRPr="00FB3A86" w:rsidRDefault="00000000"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6E805C8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DC5A301"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20B1F8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12EEF8A" w14:textId="77777777" w:rsidTr="001E44FE">
        <w:tc>
          <w:tcPr>
            <w:tcW w:w="9576" w:type="dxa"/>
            <w:shd w:val="clear" w:color="auto" w:fill="F2F2F2"/>
          </w:tcPr>
          <w:p w14:paraId="5FC5406E" w14:textId="77777777" w:rsidR="009B54E0" w:rsidRPr="009B54E0" w:rsidRDefault="009B54E0" w:rsidP="009B54E0">
            <w:pPr>
              <w:pStyle w:val="Body"/>
              <w:spacing w:after="0"/>
              <w:rPr>
                <w:rFonts w:ascii="Arial" w:eastAsia="Calibri" w:hAnsi="Arial" w:cs="Arial"/>
                <w:szCs w:val="22"/>
                <w:lang w:val="en-GB"/>
              </w:rPr>
            </w:pPr>
            <w:r w:rsidRPr="009B54E0">
              <w:rPr>
                <w:rFonts w:ascii="Arial" w:eastAsia="Calibri" w:hAnsi="Arial" w:cs="Arial"/>
                <w:szCs w:val="22"/>
                <w:lang w:val="en-GB"/>
              </w:rPr>
              <w:t>This study evaluates the performance of wideband channels and path-loss models in 5G macro-cell deployments across diverse terrains in Abuja, with a particular emphasis on urban and rural areas. The study uses a standardised empirical model to investigate the effect of mobility, environmental conditions, and propagation scenarios on signal quality. Extensive field measurements were performed utilising drive tests, spectrum analysers, and 5G-enabled user equipment to analyse characteristics such as signal-to-noise ratio (SNR), delay spread, Doppler spread, and route loss at various mobility speeds and ambient conditions. The findings show that mobility severely reduces signal quality in urban contexts, with RSSI declining from -91.35 dBm at 30 km/h to -114.29 dBm at 100 km/h. SNR decreased appropriately, whereas delay spread rose considerably owing to multipath effects.  Rural areas, while less blocked, nonetheless showed significant route loss and interference, with Doppler spread staying reasonably steady. The 3GPP TR 38.901 wideband channel model was used to simulate propagation in several deployment conditions, which confirmed field findings. Comparisons of clear and moist meteorological circumstances demonstrated the susceptibility of 5G signals to environmental variations. The study emphasises the need of specialised path-loss models and adaptive network design in improving 5G performance across different Nigerian terrains. It gives vital insights for maximising coverage, minimising interference, and maintaining reliable connection, helping to efficient 5G implementation plans in Sub-Saharan Africa.</w:t>
            </w:r>
          </w:p>
          <w:p w14:paraId="2D459341" w14:textId="77777777" w:rsidR="00505F06" w:rsidRPr="00BA1B01" w:rsidRDefault="00505F06" w:rsidP="00441B6F">
            <w:pPr>
              <w:pStyle w:val="Body"/>
              <w:spacing w:after="0"/>
              <w:rPr>
                <w:rFonts w:ascii="Arial" w:eastAsia="Calibri" w:hAnsi="Arial" w:cs="Arial"/>
                <w:szCs w:val="22"/>
              </w:rPr>
            </w:pPr>
          </w:p>
        </w:tc>
      </w:tr>
    </w:tbl>
    <w:p w14:paraId="60A8738C" w14:textId="77777777" w:rsidR="00636EB2" w:rsidRDefault="00636EB2" w:rsidP="00441B6F">
      <w:pPr>
        <w:pStyle w:val="Body"/>
        <w:spacing w:after="0"/>
        <w:rPr>
          <w:rFonts w:ascii="Arial" w:hAnsi="Arial" w:cs="Arial"/>
          <w:i/>
        </w:rPr>
      </w:pPr>
    </w:p>
    <w:p w14:paraId="3965A9B6" w14:textId="77777777" w:rsidR="0024282C" w:rsidRPr="009B54E0" w:rsidRDefault="00A24E7E" w:rsidP="009B54E0">
      <w:pPr>
        <w:pStyle w:val="Body"/>
        <w:rPr>
          <w:rFonts w:ascii="Arial" w:hAnsi="Arial" w:cs="Arial"/>
          <w:i/>
        </w:rPr>
      </w:pPr>
      <w:r>
        <w:rPr>
          <w:rFonts w:ascii="Arial" w:hAnsi="Arial" w:cs="Arial"/>
          <w:i/>
        </w:rPr>
        <w:t xml:space="preserve">Keywords: </w:t>
      </w:r>
      <w:r w:rsidR="009B54E0" w:rsidRPr="009B54E0">
        <w:rPr>
          <w:rFonts w:ascii="Arial" w:hAnsi="Arial" w:cs="Arial"/>
          <w:i/>
          <w:lang w:val="en-GB"/>
        </w:rPr>
        <w:t xml:space="preserve">5G Networks, Wideband Channel, Path Loss </w:t>
      </w:r>
      <w:proofErr w:type="spellStart"/>
      <w:r w:rsidR="009B54E0" w:rsidRPr="009B54E0">
        <w:rPr>
          <w:rFonts w:ascii="Arial" w:hAnsi="Arial" w:cs="Arial"/>
          <w:i/>
          <w:lang w:val="en-GB"/>
        </w:rPr>
        <w:t>Modeling</w:t>
      </w:r>
      <w:proofErr w:type="spellEnd"/>
      <w:r w:rsidR="009B54E0" w:rsidRPr="009B54E0">
        <w:rPr>
          <w:rFonts w:ascii="Arial" w:hAnsi="Arial" w:cs="Arial"/>
          <w:i/>
          <w:lang w:val="en-GB"/>
        </w:rPr>
        <w:t>, Signal Quality, Drive Test Analysis</w:t>
      </w:r>
    </w:p>
    <w:p w14:paraId="0C2C7B85" w14:textId="77777777" w:rsidR="00505F06" w:rsidRPr="00A24E7E" w:rsidRDefault="00505F06" w:rsidP="00441B6F">
      <w:pPr>
        <w:pStyle w:val="Body"/>
        <w:spacing w:after="0"/>
        <w:rPr>
          <w:rFonts w:ascii="Arial" w:hAnsi="Arial" w:cs="Arial"/>
          <w:i/>
        </w:rPr>
      </w:pPr>
    </w:p>
    <w:p w14:paraId="218B4CF9"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814B403" w14:textId="77777777" w:rsidR="009B54E0" w:rsidRPr="009B54E0" w:rsidRDefault="009B54E0" w:rsidP="009B54E0">
      <w:pPr>
        <w:pStyle w:val="Body"/>
        <w:spacing w:after="0"/>
        <w:rPr>
          <w:rFonts w:ascii="Arial" w:hAnsi="Arial" w:cs="Arial"/>
          <w:lang w:val="en-GB"/>
        </w:rPr>
      </w:pPr>
      <w:r w:rsidRPr="009B54E0">
        <w:rPr>
          <w:rFonts w:ascii="Arial" w:hAnsi="Arial" w:cs="Arial"/>
        </w:rPr>
        <w:t xml:space="preserve">In telecommunication, a wideband channel refers to a communication channel that has a broad frequency bandwidth available for transmitting signals. It is characterized by a wide range of frequencies allocated for data transmission, allowing for the transfer of a large amount of information at high speeds. Wideband channels are essential for various telecommunication applications </w:t>
      </w:r>
      <w:r w:rsidRPr="009B54E0">
        <w:rPr>
          <w:rFonts w:ascii="Arial" w:hAnsi="Arial" w:cs="Arial"/>
        </w:rPr>
        <w:fldChar w:fldCharType="begin" w:fldLock="1"/>
      </w:r>
      <w:r w:rsidRPr="009B54E0">
        <w:rPr>
          <w:rFonts w:ascii="Arial" w:hAnsi="Arial" w:cs="Arial"/>
        </w:rPr>
        <w:instrText xml:space="preserve">ADDIN CSL_CITATION {"citationItems":[{"id":"ITEM-1","itemData":{"DOI":"10.1007/s41870-023-01210-0","ISBN":"0123456789","ISSN":"2511-2112","author":[{"dropping-particle":"","family":"Shakir","given":"Zaenab","non-dropping-particle":"","parse-names":false,"suffix":""},{"dropping-particle":"","family":"Mjhool","given":"Ahmed Yaseen","non-dropping-particle":"","parse-names":false,"suffix":""},{"dropping-particle":"","family":"Al-thaedan","given":"Abbas","non-dropping-particle":"","parse-names":false,"suffix":""},{"dropping-particle":"","family":"Al-sabbagh","given":"Ali","non-dropping-particle":"","parse-names":false,"suffix":""},{"dropping-particle":"","family":"Alsabah","given":"Ruaa","non-dropping-particle":"","parse-names":false,"suffix":""}],"container-title":"International Journal of Information Technology","id":"ITEM-1","issue":"March","issued":{"date-parts":[["2023"]]},"publisher":"Springer Nature Singapore","title":"Key performance indicators analysis for 4 G </w:instrText>
      </w:r>
      <w:r w:rsidRPr="009B54E0">
        <w:rPr>
          <w:rFonts w:ascii="Cambria Math" w:hAnsi="Cambria Math" w:cs="Cambria Math"/>
        </w:rPr>
        <w:instrText>‑</w:instrText>
      </w:r>
      <w:r w:rsidRPr="009B54E0">
        <w:rPr>
          <w:rFonts w:ascii="Arial" w:hAnsi="Arial" w:cs="Arial"/>
        </w:rPr>
        <w:instrText xml:space="preserve"> LTE cellular networks based on real measurements","type":"article-journal"},"uris":["http://www.mendeley.com/documents/?uuid=116fcab9-492b-414d-bb0d-88d849c968fd"]},{"id":"ITEM-2","itemData":{"DOI":"10.5171/2013.794626","author":[{"dropping-particle":"","family":"Farid","given":"Farnaz","non-dropping-particle":"","parse-names":false,"suffix":""},{"dropping-particle":"","family":"Shahrestani","given":"Seyed","non-dropping-particle":"","parse-names":false,"suffix":""},{"dropping-particle":"","family":"Ruan","given":"Chun","non-dropping-particle":"","parse-names":false,"suffix":""}],"container-title":"Communications of the IBIMA","id":"ITEM-2","issue":"September","issued":{"date-parts":[["2013"]]},"page":"1-15","title":"Quality of Service Concerns in Wireless and Cellular Networks","type":"article-journal"},"uris":["http://www.mendeley.com/documents/?uuid=3bf69b48-e214-4787-989c-82f74c79375c"]}],"mendeley":{"formattedCitation":"(Farid et al., 2013; Shakir et al., 2023)","plainTextFormattedCitation":"(Farid et al., 2013; Shakir et al., 2023)","previouslyFormattedCitation":"(Farid et al., 2013; Shakir et al., 2023)"},"properties":{"noteIndex":0},"schema":"https://github.com/citation-style-language/schema/raw/master/csl-citation.json"}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(Farid et al., 2013; Shakir et al., 2023)</w:t>
      </w:r>
      <w:r w:rsidRPr="009B54E0">
        <w:rPr>
          <w:rFonts w:ascii="Arial" w:hAnsi="Arial" w:cs="Arial"/>
        </w:rPr>
        <w:fldChar w:fldCharType="end"/>
      </w:r>
      <w:r w:rsidRPr="009B54E0">
        <w:rPr>
          <w:rFonts w:ascii="Arial" w:hAnsi="Arial" w:cs="Arial"/>
        </w:rPr>
        <w:t>. They are used in wireless cellular networks, satellite communications, broadband internet connections, and other high-speed data transfer systems (</w:t>
      </w:r>
      <w:proofErr w:type="spellStart"/>
      <w:r w:rsidRPr="009B54E0">
        <w:rPr>
          <w:rFonts w:ascii="Arial" w:hAnsi="Arial" w:cs="Arial"/>
        </w:rPr>
        <w:t>Zhimwang</w:t>
      </w:r>
      <w:proofErr w:type="spellEnd"/>
      <w:r w:rsidRPr="009B54E0">
        <w:rPr>
          <w:rFonts w:ascii="Arial" w:hAnsi="Arial" w:cs="Arial"/>
        </w:rPr>
        <w:t xml:space="preserve"> et al., 2023). Wideband channels in telecommunication systems provide the necessary bandwidth to support high-speed data transmission, enabling the delivery of a wide range of communication services</w:t>
      </w:r>
      <w:r w:rsidRPr="009B54E0">
        <w:rPr>
          <w:rFonts w:ascii="Arial" w:hAnsi="Arial" w:cs="Arial"/>
          <w:lang w:val="en-GB"/>
        </w:rPr>
        <w:t xml:space="preserve"> (Ma et al., 2019; </w:t>
      </w:r>
      <w:proofErr w:type="spellStart"/>
      <w:r w:rsidRPr="009B54E0">
        <w:rPr>
          <w:rFonts w:ascii="Arial" w:hAnsi="Arial" w:cs="Arial"/>
          <w:lang w:val="en-GB"/>
        </w:rPr>
        <w:t>Rajatheva</w:t>
      </w:r>
      <w:proofErr w:type="spellEnd"/>
      <w:r w:rsidRPr="009B54E0">
        <w:rPr>
          <w:rFonts w:ascii="Arial" w:hAnsi="Arial" w:cs="Arial"/>
          <w:lang w:val="en-GB"/>
        </w:rPr>
        <w:t xml:space="preserve"> et al., 2020)</w:t>
      </w:r>
      <w:r w:rsidRPr="009B54E0">
        <w:rPr>
          <w:rFonts w:ascii="Arial" w:hAnsi="Arial" w:cs="Arial"/>
        </w:rPr>
        <w:t xml:space="preserve">. They facilitate the efficient transfer of large volumes of data and play a crucial role in meeting the increasing demand for bandwidth-intensive applications and services in modern telecommunication networks </w:t>
      </w:r>
      <w:r w:rsidRPr="009B54E0">
        <w:rPr>
          <w:rFonts w:ascii="Arial" w:hAnsi="Arial" w:cs="Arial"/>
          <w:lang w:val="en-GB"/>
        </w:rPr>
        <w:t xml:space="preserve">(Qiu et al., 2005; </w:t>
      </w:r>
      <w:proofErr w:type="spellStart"/>
      <w:r w:rsidRPr="009B54E0">
        <w:rPr>
          <w:rFonts w:ascii="Arial" w:hAnsi="Arial" w:cs="Arial"/>
          <w:lang w:val="en-GB"/>
        </w:rPr>
        <w:t>Siriwongpairat</w:t>
      </w:r>
      <w:proofErr w:type="spellEnd"/>
      <w:r w:rsidRPr="009B54E0">
        <w:rPr>
          <w:rFonts w:ascii="Arial" w:hAnsi="Arial" w:cs="Arial"/>
          <w:lang w:val="en-GB"/>
        </w:rPr>
        <w:t xml:space="preserve"> and Liu 2007). </w:t>
      </w:r>
      <w:r w:rsidRPr="009B54E0">
        <w:rPr>
          <w:rFonts w:ascii="Arial" w:hAnsi="Arial" w:cs="Arial"/>
        </w:rPr>
        <w:t xml:space="preserve">In a 5G mobile network, a wideband channel refers to the wireless communication channel that carries the signals between the transmitter (base </w:t>
      </w:r>
      <w:r w:rsidRPr="009B54E0">
        <w:rPr>
          <w:rFonts w:ascii="Arial" w:hAnsi="Arial" w:cs="Arial"/>
        </w:rPr>
        <w:lastRenderedPageBreak/>
        <w:t xml:space="preserve">station) and the receiver (GSM, Computer) over a wide frequency bandwidth. It encompasses the transmission medium and the physical environment through which the signals propagate </w:t>
      </w:r>
      <w:r w:rsidRPr="009B54E0">
        <w:rPr>
          <w:rFonts w:ascii="Arial" w:hAnsi="Arial" w:cs="Arial"/>
        </w:rPr>
        <w:fldChar w:fldCharType="begin" w:fldLock="1"/>
      </w:r>
      <w:r w:rsidRPr="009B54E0">
        <w:rPr>
          <w:rFonts w:ascii="Arial" w:hAnsi="Arial" w:cs="Arial"/>
        </w:rPr>
        <w:instrText>ADDIN CSL_CITATION {"citationItems":[{"id":"ITEM-1","itemData":{"DOI":"10.1109/ICCICCT.2016.7987986","ISBN":"9781509052400","abstract":"This paper considers the possibility of increasing data transmission rates of remote sensing satellite radio downlink up to 1 Gbps and further by designing a communication system in K-band. The results of link budget estimation and radio link capacity are presented with regard to such limitation factors as the allowed power of a satellite transmitter and the quality factor of a ground receiving station. The capability of achieving the data rates of 1-2 Gbps is shown possible in K-band although the propagation losses are great. The possible ways of further data rate increasing are recommended.","author":[{"dropping-particle":"","family":"Tikhomirov","given":"Andrey","non-dropping-particle":"","parse-names":false,"suffix":""},{"dropping-particle":"","family":"Omelyanchuk","given":"Elena","non-dropping-particle":"","parse-names":false,"suffix":""},{"dropping-particle":"","family":"Semenova","given":"Anastasia","non-dropping-particle":"","parse-names":false,"suffix":""}],"container-title":"2016 International Conference on Control Instrumentation Communication and Computational Technologies, ICCICCT 2016","id":"ITEM-1","issue":"14","issued":{"date-parts":[["2017"]]},"page":"420-424","title":"Link budget estimation for ultra high speed radio downlink for prospective remote sensing systems","type":"article-journal"},"uris":["http://www.mendeley.com/documents/?uuid=a3ee9aa3-9e1a-4186-8250-b5ba4df5362e"]},{"id":"ITEM-2","itemData":{"ISBN":"9789606766640","author":[{"dropping-particle":"","family":"Hamad-ameen","given":"Jalal Jamal","non-dropping-particle":"","parse-names":false,"suffix":""}],"container-title":"7th WSEAS Int. Conf. on TELECOMMUNICATIONS and INFORMATICS (TELE-INFO '08), Istanbul, Turkey","id":"ITEM-2","issued":{"date-parts":[["2008"]]},"title":"Frequency planning in GSM mobile Frequency Planning in GSM Mobile","type":"article-journal"},"uris":["http://www.mendeley.com/documents/?uuid=5b362363-f236-4768-98c4-47e8b0152eba"]}],"mendeley":{"formattedCitation":"(Hamad-ameen, 2008; Tikhomirov et al., 2017)","plainTextFormattedCitation":"(Hamad-ameen, 2008; Tikhomirov et al., 2017)","previouslyFormattedCitation":"(Hamad-ameen, 2008; Tikhomirov et al., 2017)"},"properties":{"noteIndex":0},"schema":"https://github.com/citation-style-language/schema/raw/master/csl-citation.json"}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(Hamad-ameen, 2008; Tikhomirov et al., 2017)</w:t>
      </w:r>
      <w:r w:rsidRPr="009B54E0">
        <w:rPr>
          <w:rFonts w:ascii="Arial" w:hAnsi="Arial" w:cs="Arial"/>
        </w:rPr>
        <w:fldChar w:fldCharType="end"/>
      </w:r>
      <w:r w:rsidRPr="009B54E0">
        <w:rPr>
          <w:rFonts w:ascii="Arial" w:hAnsi="Arial" w:cs="Arial"/>
        </w:rPr>
        <w:t>.</w:t>
      </w:r>
    </w:p>
    <w:p w14:paraId="4D4AC2D6" w14:textId="77777777" w:rsidR="009B54E0" w:rsidRPr="009B54E0" w:rsidRDefault="009B54E0" w:rsidP="009B54E0">
      <w:pPr>
        <w:pStyle w:val="Body"/>
        <w:spacing w:after="0"/>
        <w:rPr>
          <w:rFonts w:ascii="Arial" w:hAnsi="Arial" w:cs="Arial"/>
          <w:lang w:val="en-GB"/>
        </w:rPr>
      </w:pPr>
      <w:r w:rsidRPr="009B54E0">
        <w:rPr>
          <w:rFonts w:ascii="Arial" w:hAnsi="Arial" w:cs="Arial"/>
        </w:rPr>
        <w:t xml:space="preserve">Path-loss modeling is essential for predicting the signal attenuation between the transmitter and receiver in wireless communication systems </w:t>
      </w:r>
      <w:r w:rsidRPr="009B54E0">
        <w:rPr>
          <w:rFonts w:ascii="Arial" w:hAnsi="Arial" w:cs="Arial"/>
          <w:lang w:val="en-GB"/>
        </w:rPr>
        <w:t>(Zakaria et al., 2021)</w:t>
      </w:r>
      <w:r w:rsidRPr="009B54E0">
        <w:rPr>
          <w:rFonts w:ascii="Arial" w:hAnsi="Arial" w:cs="Arial"/>
        </w:rPr>
        <w:t xml:space="preserve">. In the context of 5G networks, accurate path-loss modeling is imperative for optimizing network coverage, capacity planning, and resource allocation. Path-loss models incorporate factors such as distance, frequency, antenna heights, terrain, and building morphology to estimate the signal attenuation in urban environments </w:t>
      </w:r>
      <w:r w:rsidRPr="009B54E0">
        <w:rPr>
          <w:rFonts w:ascii="Arial" w:hAnsi="Arial" w:cs="Arial"/>
          <w:lang w:val="en-GB"/>
        </w:rPr>
        <w:t>(Popoola et al., 2019; Oladimeji et al., 2022)</w:t>
      </w:r>
      <w:r w:rsidRPr="009B54E0">
        <w:rPr>
          <w:rFonts w:ascii="Arial" w:hAnsi="Arial" w:cs="Arial"/>
        </w:rPr>
        <w:t xml:space="preserve">. By developing customized path-loss models tailored to the characteristics of the urban micro-cell environment of Nigeria, researchers can enhance the accuracy of coverage predictions and network planning for 5G deployments </w:t>
      </w:r>
      <w:r w:rsidRPr="009B54E0">
        <w:rPr>
          <w:rFonts w:ascii="Arial" w:hAnsi="Arial" w:cs="Arial"/>
        </w:rPr>
        <w:fldChar w:fldCharType="begin" w:fldLock="1"/>
      </w:r>
      <w:r w:rsidRPr="009B54E0">
        <w:rPr>
          <w:rFonts w:ascii="Arial" w:hAnsi="Arial" w:cs="Arial"/>
        </w:rPr>
        <w:instrText>ADDIN CSL_CITATION {"citationItems":[{"id":"ITEM-1","itemData":{"DOI":"10.1002/2018RS006536","ISSN":"0048-6604","abstract":"A modified indoor path loss prediction model is presented, namely, effective wall loss model. The modified model is compared to other indoor path loss prediction models using simulation data and real</w:instrText>
      </w:r>
      <w:r w:rsidRPr="009B54E0">
        <w:rPr>
          <w:rFonts w:ascii="Cambria Math" w:hAnsi="Cambria Math" w:cs="Cambria Math"/>
        </w:rPr>
        <w:instrText>‐</w:instrText>
      </w:r>
      <w:r w:rsidRPr="009B54E0">
        <w:rPr>
          <w:rFonts w:ascii="Arial" w:hAnsi="Arial" w:cs="Arial"/>
        </w:rPr>
        <w:instrText>time measurements. Different operating frequencies and antenna polarizations are considered to verify the observations. In the simulation part, effective wall loss model shows the best performance among other models as it outperforms 2 times the dual</w:instrText>
      </w:r>
      <w:r w:rsidRPr="009B54E0">
        <w:rPr>
          <w:rFonts w:ascii="Cambria Math" w:hAnsi="Cambria Math" w:cs="Cambria Math"/>
        </w:rPr>
        <w:instrText>‐</w:instrText>
      </w:r>
      <w:r w:rsidRPr="009B54E0">
        <w:rPr>
          <w:rFonts w:ascii="Arial" w:hAnsi="Arial" w:cs="Arial"/>
        </w:rPr>
        <w:instrText>slope model, which is the second best performance. Similar observations were recorded from the experimental results. Linear attenuation and one</w:instrText>
      </w:r>
      <w:r w:rsidRPr="009B54E0">
        <w:rPr>
          <w:rFonts w:ascii="Cambria Math" w:hAnsi="Cambria Math" w:cs="Cambria Math"/>
        </w:rPr>
        <w:instrText>‐</w:instrText>
      </w:r>
      <w:r w:rsidRPr="009B54E0">
        <w:rPr>
          <w:rFonts w:ascii="Arial" w:hAnsi="Arial" w:cs="Arial"/>
        </w:rPr>
        <w:instrText>slope models have similar behavior, the two models parameters show dependency on operating frequency and antenna polarization.","author":[{"dropping-particle":"","family":"Obeidat","given":"H. A.","non-dropping-particle":"","parse-names":false,"suffix":""},{"dropping-particle":"","family":"Asif","given":"R.","non-dropping-particle":"","parse-names":false,"suffix":""},{"dropping-particle":"","family":"Ali","given":"N. T.","non-dropping-particle":"","parse-names":false,"suffix":""},{"dropping-particle":"","family":"Dama","given":"Y. A.","non-dropping-particle":"","parse-names":false,"suffix":""},{"dropping-particle":"","family":"Obeidat","given":"O. A.","non-dropping-particle":"","parse-names":false,"suffix":""},{"dropping-particle":"","family":"Jones","given":"S. M. R.","non-dropping-particle":"","parse-names":false,"suffix":""},{"dropping-particle":"","family":"Shuaieb","given":"W. S.","non-dropping-particle":"","parse-names":false,"suffix":""},{"dropping-particle":"","family":"Al</w:instrText>
      </w:r>
      <w:r w:rsidRPr="009B54E0">
        <w:rPr>
          <w:rFonts w:ascii="Cambria Math" w:hAnsi="Cambria Math" w:cs="Cambria Math"/>
        </w:rPr>
        <w:instrText>‐</w:instrText>
      </w:r>
      <w:r w:rsidRPr="009B54E0">
        <w:rPr>
          <w:rFonts w:ascii="Arial" w:hAnsi="Arial" w:cs="Arial"/>
        </w:rPr>
        <w:instrText>Sadoon","given":"M. A.","non-dropping-particle":"","parse-names":false,"suffix":""},{"dropping-particle":"","family":"Hameed","given":"K. W.","non-dropping-particle":"","parse-names":false,"suffix":""},{"dropping-particle":"","family":"Alabdullah","given":"A. A.","non-dropping-particle":"","parse-names":false,"suffix":""},{"dropping-particle":"","family":"Abd</w:instrText>
      </w:r>
      <w:r w:rsidRPr="009B54E0">
        <w:rPr>
          <w:rFonts w:ascii="Cambria Math" w:hAnsi="Cambria Math" w:cs="Cambria Math"/>
        </w:rPr>
        <w:instrText>‐</w:instrText>
      </w:r>
      <w:r w:rsidRPr="009B54E0">
        <w:rPr>
          <w:rFonts w:ascii="Arial" w:hAnsi="Arial" w:cs="Arial"/>
        </w:rPr>
        <w:instrText>Alhameed","given":"R. A.","non-dropping-particle":"","parse-names":false,"suffix":""}],"container-title":"Radio Science","id":"ITEM-1","issue":"4","issued":{"date-parts":[["2018","4","20"]]},"page":"544-564","title":"An Indoor Path Loss Prediction Model Using Wall Correction Factors for Wireless Local Area Network and 5G Indoor Networks","type":"article-journal","volume":"53"},"uris":["http://www.mendeley.com/documents/?uuid=542984ef-206d-4869-9819-d1216639e8df"]},{"id":"ITEM-2","itemData":{"author":[{"dropping-particle":"","family":"Thomas","given":"Timothy A","non-dropping-particle":"","parse-names":false,"suffix":""},{"dropping-particle":"","family":"Rybakowski","given":"Marcin","non-dropping-particle":"","parse-names":false,"suffix":""},{"dropping-particle":"","family":"Sun","given":"Shu","non-dropping-particle":"","parse-names":false,"suffix":""},{"dropping-particle":"","family":"Rappaport","given":"Theodore S","non-dropping-particle":"","parse-names":false,"suffix":""},{"dropping-particle":"","family":"Nguyen","given":"Huan","non-dropping-particle":"","parse-names":false,"suffix":""},{"dropping-particle":"","family":"Kovács","given":"István Z","non-dropping-particle":"","parse-names":false,"suffix":""}],"id":"ITEM-2","issued":{"date-parts":[["0"]]},"title":"A Prediction Study of Path Loss Models from 2-73 . 5 GHz in an Urban-Macro Environment","type":"article-journal"},"uris":["http://www.mendeley.com/documents/?uuid=4cf54038-8bdb-4465-b876-3bdbfc11f3fc"]},{"id":"ITEM-3","itemData":{"DOI":"10.1016/j.heliyon.2022.e11581","ISSN":"2405-8440","author":[{"dropping-particle":"","family":"Oladimeji","given":"Tolulope T","non-dropping-particle":"","parse-names":false,"suffix":""},{"dropping-particle":"","family":"Kumar","given":"Pradeep","non-dropping-particle":"","parse-names":false,"suffix":""},{"dropping-particle":"","family":"Oyie","given":"Nicholas O","non-dropping-particle":"","parse-names":false,"suffix":""}],"container-title":"Heliyon","id":"ITEM-3","issue":"March","issued":{"date-parts":[["2022"]]},"page":"e11581","publisher":"The Author(s)","title":"Heliyon Propagation path loss prediction modelling in enclosed environments for 5G networks : A review","type":"article-journal","volume":"8"},"uris":["http://www.mendeley.com/documents/?uuid=49fb49bc-fe12-49d0-a0d5-8e4eb1473034"]}],"mendeley":{"formattedCitation":"(Obeidat et al., 2018; Oladimeji et al., 2022; Thomas et al., n.d.)","manualFormatting":"(Obeidat et al., 2018; Oladimeji et al., 2022; Thomas et al., 2023)","plainTextFormattedCitation":"(Obeidat et al., 2018; Oladimeji et al., 2022; Thomas et al., n.d.)","previouslyFormattedCitation":"(Obeidat et al., 2018; Oladimeji et al., 2022; Thomas et al., n.d.)"},"properties":{"noteIndex":0},"schema":"https://github.com/citation-style-language/schema/raw/master/csl-citation.json"}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(Obeidat et al., 2018; Oladimeji et al., 2022; Thomas et al., 2023)</w:t>
      </w:r>
      <w:r w:rsidRPr="009B54E0">
        <w:rPr>
          <w:rFonts w:ascii="Arial" w:hAnsi="Arial" w:cs="Arial"/>
        </w:rPr>
        <w:fldChar w:fldCharType="end"/>
      </w:r>
    </w:p>
    <w:p w14:paraId="48216D60"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5G wireless technology introduces several transformative features that enable advanced communication and connectivity as shown in Figure 1. With significantly higher data rates, 5G offers ultra-fast download and upload speeds, revolutionizing how we consume and share content. The ultra-low latency of 5G ensures near real-time communication, making applications like autonomous vehicles and remote surgeries a reality. Another standout feature is the ability to support massive device connectivity, allowing for the seamless connection of a vast number of devices, from smartphones and IoT devices to smart cities and industrial automation (</w:t>
      </w:r>
      <w:proofErr w:type="spellStart"/>
      <w:r w:rsidRPr="009B54E0">
        <w:rPr>
          <w:rFonts w:ascii="Arial" w:hAnsi="Arial" w:cs="Arial"/>
          <w:lang w:val="en-GB"/>
        </w:rPr>
        <w:t>Elmezughi</w:t>
      </w:r>
      <w:proofErr w:type="spellEnd"/>
      <w:r w:rsidRPr="009B54E0">
        <w:rPr>
          <w:rFonts w:ascii="Arial" w:hAnsi="Arial" w:cs="Arial"/>
          <w:lang w:val="en-GB"/>
        </w:rPr>
        <w:t xml:space="preserve"> and </w:t>
      </w:r>
      <w:proofErr w:type="spellStart"/>
      <w:r w:rsidRPr="009B54E0">
        <w:rPr>
          <w:rFonts w:ascii="Arial" w:hAnsi="Arial" w:cs="Arial"/>
          <w:lang w:val="en-GB"/>
        </w:rPr>
        <w:t>Afullo</w:t>
      </w:r>
      <w:proofErr w:type="spellEnd"/>
      <w:r w:rsidRPr="009B54E0">
        <w:rPr>
          <w:rFonts w:ascii="Arial" w:hAnsi="Arial" w:cs="Arial"/>
          <w:lang w:val="en-GB"/>
        </w:rPr>
        <w:t xml:space="preserve">, 2021). Furthermore, 5G provides enhanced network reliability and energy efficiency, making it a game-changer for mission-critical applications and sustainable infrastructure. Overall, 5G wireless technology offers unparalleled speed, responsiveness, and scalability, paving the way for innovative applications and services across various industries. 5G wireless technology brings several salient features that set it apart from previous generations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{"citationItems":[{"id":"ITEM-1","itemData":{"DOI":"10.1017/CBO9781316417744","ISBN":"9781316417744","abstract":"Written by leading experts in 5G research, this book is a comprehensive overview of the current state of 5G. Covering everything from the most likely use cases, spectrum aspects, and a wide range of technology options to potential 5G system architectures, it is an indispensable reference for academics and professionals involved in wireless and mobile communications. Global research efforts are summarised, and key component technologies including D2D, mm-wave communications, massive MIMO, coordinated multi-point, wireless network coding, interference management and spectrum issues are described and explained. The significance of 5G for the automotive, building, energy, and manufacturing economic sectors is addressed, as is the relationship between IoT, machine type communications, and cyber-physical systems. This essential resource equips you with a solid insight into the nature, impact and opportunities of 5G. Covers technologies such as massive MIMO, device-to-device communications, mm-wave communications, wireless network coding and performance evaluation The first consolidated overview of 5G Features authoritative explanations by leading researchers.","author":[{"dropping-particle":"","family":"Osseiran","given":"Afif","non-dropping-particle":"","parse-names":false,"suffix":""},{"dropping-particle":"","family":"Monserrat","given":"Jose F.","non-dropping-particle":"","parse-names":false,"suffix":""},{"dropping-particle":"","family":"Marsch","given":"Patrick","non-dropping-particle":"","parse-names":false,"suffix":""}],"container-title":"5G Mobile and Wireless Communications Technology","id":"ITEM-1","issued":{"date-parts":[["2016"]]},"number-of-pages":"1-406","title":"5G mobile and wireless communications technology","type":"book"},"uris":["http://www.mendeley.com/documents/?uuid=fa3b14e3-67cd-4103-a1fb-f27354957f0c"]}],"mendeley":{"formattedCitation":"(Osseiran et al., 2016)","plainTextFormattedCitation":"(Osseiran et al., 2016)","previouslyFormattedCitation":"(Osseiran et al., 2016)"},"properties":{"noteIndex":0},"schema":"https://github.com/citation-style-language/schema/raw/master/csl-citation.json"}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(Osseiran et al., 2016)</w:t>
      </w:r>
      <w:r w:rsidRPr="009B54E0">
        <w:rPr>
          <w:rFonts w:ascii="Arial" w:hAnsi="Arial" w:cs="Arial"/>
        </w:rPr>
        <w:fldChar w:fldCharType="end"/>
      </w:r>
      <w:r w:rsidRPr="009B54E0">
        <w:rPr>
          <w:rFonts w:ascii="Arial" w:hAnsi="Arial" w:cs="Arial"/>
          <w:lang w:val="en-GB"/>
        </w:rPr>
        <w:t>.</w:t>
      </w:r>
    </w:p>
    <w:p w14:paraId="456DC95A" w14:textId="77777777" w:rsidR="009B54E0" w:rsidRPr="009B54E0" w:rsidRDefault="009B54E0" w:rsidP="009B54E0">
      <w:pPr>
        <w:pStyle w:val="Body"/>
        <w:spacing w:after="0"/>
        <w:rPr>
          <w:rFonts w:ascii="Arial" w:hAnsi="Arial" w:cs="Arial"/>
          <w:lang w:val="en-GB"/>
        </w:rPr>
      </w:pPr>
      <w:r w:rsidRPr="009B54E0">
        <w:rPr>
          <w:rFonts w:ascii="Arial" w:hAnsi="Arial" w:cs="Arial"/>
          <w:noProof/>
          <w:lang w:val="en-GB" w:eastAsia="en-GB"/>
        </w:rPr>
        <w:drawing>
          <wp:inline distT="0" distB="0" distL="0" distR="0" wp14:anchorId="4D6B6DBB" wp14:editId="2D5D76FA">
            <wp:extent cx="3773510" cy="228224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79087" cy="2285621"/>
                    </a:xfrm>
                    <a:prstGeom prst="rect">
                      <a:avLst/>
                    </a:prstGeom>
                  </pic:spPr>
                </pic:pic>
              </a:graphicData>
            </a:graphic>
          </wp:inline>
        </w:drawing>
      </w:r>
    </w:p>
    <w:p w14:paraId="1FD2547E"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Figure 1: 5G Features</w:t>
      </w:r>
    </w:p>
    <w:p w14:paraId="63003499"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Higher data rates: </w:t>
      </w:r>
      <w:r w:rsidRPr="009B54E0">
        <w:rPr>
          <w:rFonts w:ascii="Arial" w:hAnsi="Arial" w:cs="Arial"/>
          <w:lang w:val="en-GB"/>
        </w:rPr>
        <w:t>5G offers significantly higher data rates compared to its predecessors. It can provide peak data rates of up to 10 Gbps, enabling faster downloads, streaming, and real-time communication (Nuriev et al., 2024).</w:t>
      </w:r>
    </w:p>
    <w:p w14:paraId="19EEAEB8"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Lower latency: </w:t>
      </w:r>
      <w:r w:rsidRPr="009B54E0">
        <w:rPr>
          <w:rFonts w:ascii="Arial" w:hAnsi="Arial" w:cs="Arial"/>
          <w:lang w:val="en-GB"/>
        </w:rPr>
        <w:t>5G aims to deliver ultra-low latency, reducing the time it takes for data to travel between devices and the network. It offers latency as low as 1 millisecond (</w:t>
      </w:r>
      <w:proofErr w:type="spellStart"/>
      <w:r w:rsidRPr="009B54E0">
        <w:rPr>
          <w:rFonts w:ascii="Arial" w:hAnsi="Arial" w:cs="Arial"/>
          <w:lang w:val="en-GB"/>
        </w:rPr>
        <w:t>ms</w:t>
      </w:r>
      <w:proofErr w:type="spellEnd"/>
      <w:r w:rsidRPr="009B54E0">
        <w:rPr>
          <w:rFonts w:ascii="Arial" w:hAnsi="Arial" w:cs="Arial"/>
          <w:lang w:val="en-GB"/>
        </w:rPr>
        <w:t>), which is crucial for real-time applications like autonomous vehicles, remote surgery, and augmented/virtual reality (Nuriev et al., 2024).</w:t>
      </w:r>
    </w:p>
    <w:p w14:paraId="74B19A37"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Massive device connectivity: </w:t>
      </w:r>
      <w:r w:rsidRPr="009B54E0">
        <w:rPr>
          <w:rFonts w:ascii="Arial" w:hAnsi="Arial" w:cs="Arial"/>
          <w:lang w:val="en-GB"/>
        </w:rPr>
        <w:t>5G is designed to support a massive number of connected devices. It offers higher device density and capacity, allowing for seamless connectivity and efficient management of Internet of Things (IoT) devices and smart city infrastructure.</w:t>
      </w:r>
    </w:p>
    <w:p w14:paraId="5C7613DC"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lastRenderedPageBreak/>
        <w:t xml:space="preserve">Enhanced network capacity: </w:t>
      </w:r>
      <w:r w:rsidRPr="009B54E0">
        <w:rPr>
          <w:rFonts w:ascii="Arial" w:hAnsi="Arial" w:cs="Arial"/>
          <w:lang w:val="en-GB"/>
        </w:rPr>
        <w:t xml:space="preserve">5G addresses the increasing demand for network capacity by utilizing advanced technologies like </w:t>
      </w:r>
      <w:proofErr w:type="spellStart"/>
      <w:r w:rsidRPr="009B54E0">
        <w:rPr>
          <w:rFonts w:ascii="Arial" w:hAnsi="Arial" w:cs="Arial"/>
          <w:lang w:val="en-GB"/>
        </w:rPr>
        <w:t>millimeter</w:t>
      </w:r>
      <w:proofErr w:type="spellEnd"/>
      <w:r w:rsidRPr="009B54E0">
        <w:rPr>
          <w:rFonts w:ascii="Arial" w:hAnsi="Arial" w:cs="Arial"/>
          <w:lang w:val="en-GB"/>
        </w:rPr>
        <w:t>-wave (</w:t>
      </w:r>
      <w:proofErr w:type="spellStart"/>
      <w:r w:rsidRPr="009B54E0">
        <w:rPr>
          <w:rFonts w:ascii="Arial" w:hAnsi="Arial" w:cs="Arial"/>
          <w:lang w:val="en-GB"/>
        </w:rPr>
        <w:t>mmWave</w:t>
      </w:r>
      <w:proofErr w:type="spellEnd"/>
      <w:r w:rsidRPr="009B54E0">
        <w:rPr>
          <w:rFonts w:ascii="Arial" w:hAnsi="Arial" w:cs="Arial"/>
          <w:lang w:val="en-GB"/>
        </w:rPr>
        <w:t>) frequencies, massive MIMO, and beamforming. These technologies enable higher network capacity to accommodate more devices and data traffic.</w:t>
      </w:r>
    </w:p>
    <w:p w14:paraId="38E4BDB5"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Network slicing: </w:t>
      </w:r>
      <w:r w:rsidRPr="009B54E0">
        <w:rPr>
          <w:rFonts w:ascii="Arial" w:hAnsi="Arial" w:cs="Arial"/>
          <w:lang w:val="en-GB"/>
        </w:rPr>
        <w:t>5G introduces network slicing, which allows the network infrastructure to be partitioned into multiple virtual networks. Each network slice can be customized to meet the specific requirements of different applications, services, or industries, ensuring optimal performance, security, and resource allocation.</w:t>
      </w:r>
    </w:p>
    <w:p w14:paraId="3A4E99F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Improved energy efficiency: </w:t>
      </w:r>
      <w:r w:rsidRPr="009B54E0">
        <w:rPr>
          <w:rFonts w:ascii="Arial" w:hAnsi="Arial" w:cs="Arial"/>
          <w:lang w:val="en-GB"/>
        </w:rPr>
        <w:t xml:space="preserve">5G incorporates energy-saving mechanisms, such as sleep modes and optimized </w:t>
      </w:r>
      <w:proofErr w:type="spellStart"/>
      <w:r w:rsidRPr="009B54E0">
        <w:rPr>
          <w:rFonts w:ascii="Arial" w:hAnsi="Arial" w:cs="Arial"/>
          <w:lang w:val="en-GB"/>
        </w:rPr>
        <w:t>signaling</w:t>
      </w:r>
      <w:proofErr w:type="spellEnd"/>
      <w:r w:rsidRPr="009B54E0">
        <w:rPr>
          <w:rFonts w:ascii="Arial" w:hAnsi="Arial" w:cs="Arial"/>
          <w:lang w:val="en-GB"/>
        </w:rPr>
        <w:t xml:space="preserve"> procedures, to improve overall network energy efficiency. This is crucial for supporting the proliferation of IoT devices and reducing the environmental impact of wireless networks (</w:t>
      </w:r>
      <w:proofErr w:type="spellStart"/>
      <w:r w:rsidRPr="009B54E0">
        <w:rPr>
          <w:rFonts w:ascii="Arial" w:hAnsi="Arial" w:cs="Arial"/>
          <w:lang w:val="en-GB"/>
        </w:rPr>
        <w:t>Odida</w:t>
      </w:r>
      <w:proofErr w:type="spellEnd"/>
      <w:r w:rsidRPr="009B54E0">
        <w:rPr>
          <w:rFonts w:ascii="Arial" w:hAnsi="Arial" w:cs="Arial"/>
          <w:lang w:val="en-GB"/>
        </w:rPr>
        <w:t>, 2024).</w:t>
      </w:r>
    </w:p>
    <w:p w14:paraId="7475E1C3"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Edge computing: </w:t>
      </w:r>
      <w:r w:rsidRPr="009B54E0">
        <w:rPr>
          <w:rFonts w:ascii="Arial" w:hAnsi="Arial" w:cs="Arial"/>
          <w:lang w:val="en-GB"/>
        </w:rPr>
        <w:t xml:space="preserve">5G architecture leverages edge computing capabilities, bringing computing resources closer to the network edge. This enables faster processing, reduced latency, and improved reliability for applications that require real-time data analysis and low-latency responsiveness. </w:t>
      </w:r>
    </w:p>
    <w:p w14:paraId="6962DCCA" w14:textId="77777777" w:rsidR="009B54E0" w:rsidRPr="009B54E0" w:rsidRDefault="009B54E0" w:rsidP="009B54E0">
      <w:pPr>
        <w:pStyle w:val="Body"/>
        <w:numPr>
          <w:ilvl w:val="0"/>
          <w:numId w:val="31"/>
        </w:numPr>
        <w:spacing w:after="0"/>
        <w:rPr>
          <w:rFonts w:ascii="Arial" w:hAnsi="Arial" w:cs="Arial"/>
          <w:lang w:val="en-GB"/>
        </w:rPr>
      </w:pPr>
      <w:r w:rsidRPr="009B54E0">
        <w:rPr>
          <w:rFonts w:ascii="Arial" w:hAnsi="Arial" w:cs="Arial"/>
          <w:b/>
          <w:bCs/>
          <w:lang w:val="en-GB"/>
        </w:rPr>
        <w:t xml:space="preserve">Enhanced security: </w:t>
      </w:r>
      <w:r w:rsidRPr="009B54E0">
        <w:rPr>
          <w:rFonts w:ascii="Arial" w:hAnsi="Arial" w:cs="Arial"/>
          <w:lang w:val="en-GB"/>
        </w:rPr>
        <w:t>5G focuses on enhancing network security with features like stronger encryption, improved authentication methods, and network slicing isolation. It aims to provide a more secure and reliable communication environment, especially as the number of connected devices and potential vulnerabilities increase (Salman et al., 2023).</w:t>
      </w:r>
    </w:p>
    <w:p w14:paraId="10BD2167"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A macro-cell network is a large-scale wireless communication system designed to offer comprehensive coverage and connection across huge geographical areas, such as urban, suburban, and rural settings (Zerihun, 2019; </w:t>
      </w:r>
      <w:proofErr w:type="spellStart"/>
      <w:r w:rsidRPr="009B54E0">
        <w:rPr>
          <w:rFonts w:ascii="Arial" w:hAnsi="Arial" w:cs="Arial"/>
          <w:lang w:val="en-GB"/>
        </w:rPr>
        <w:t>Borralho</w:t>
      </w:r>
      <w:proofErr w:type="spellEnd"/>
      <w:r w:rsidRPr="009B54E0">
        <w:rPr>
          <w:rFonts w:ascii="Arial" w:hAnsi="Arial" w:cs="Arial"/>
          <w:lang w:val="en-GB"/>
        </w:rPr>
        <w:t xml:space="preserve"> et al., 2021). Macro-cells are often deployed via high-power base stations (BS) with enormous antennas installed on towers, roofs, or specialised poles. These cells use transmission power levels ranging from 20W to 40W, with coverage ranging from 1 km to 30 km depending on environmental conditions (Rappaport et al., 2019).</w:t>
      </w:r>
    </w:p>
    <w:p w14:paraId="42B73519"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In 5G networks, macro-cells are critical to enabling seamless mobile broadband services, voice communications, and enormous Internet of Things (IoT) connections (Alsharif et al., 2017). They offer backbone communication to mobile devices and serve as a key hub in the hierarchical cellular network structure, collaborating with smaller cells such as micro-cells, pico-cells, and femtocells. Macro-cells operate at </w:t>
      </w:r>
      <w:r w:rsidRPr="009B54E0">
        <w:rPr>
          <w:rFonts w:ascii="Arial" w:hAnsi="Arial" w:cs="Arial"/>
          <w:bCs/>
          <w:lang w:val="en-GB"/>
        </w:rPr>
        <w:t>high-power levels (typically 20W–40W) and cover distances of 1-30 km</w:t>
      </w:r>
      <w:r w:rsidRPr="009B54E0">
        <w:rPr>
          <w:rFonts w:ascii="Arial" w:hAnsi="Arial" w:cs="Arial"/>
          <w:lang w:val="en-GB"/>
        </w:rPr>
        <w:t xml:space="preserve">, making them ideal for providing cellular services over vast areas (Heath and Lozano 2018; 3GPP, 2020). Due to their </w:t>
      </w:r>
      <w:r w:rsidRPr="009B54E0">
        <w:rPr>
          <w:rFonts w:ascii="Arial" w:hAnsi="Arial" w:cs="Arial"/>
          <w:bCs/>
          <w:lang w:val="en-GB"/>
        </w:rPr>
        <w:t>high elevation</w:t>
      </w:r>
      <w:r w:rsidRPr="009B54E0">
        <w:rPr>
          <w:rFonts w:ascii="Arial" w:hAnsi="Arial" w:cs="Arial"/>
          <w:lang w:val="en-GB"/>
        </w:rPr>
        <w:t>, they minimize shadowing and improve line-of-sight (</w:t>
      </w:r>
      <w:proofErr w:type="spellStart"/>
      <w:r w:rsidRPr="009B54E0">
        <w:rPr>
          <w:rFonts w:ascii="Arial" w:hAnsi="Arial" w:cs="Arial"/>
          <w:lang w:val="en-GB"/>
        </w:rPr>
        <w:t>LoS</w:t>
      </w:r>
      <w:proofErr w:type="spellEnd"/>
      <w:r w:rsidRPr="009B54E0">
        <w:rPr>
          <w:rFonts w:ascii="Arial" w:hAnsi="Arial" w:cs="Arial"/>
          <w:lang w:val="en-GB"/>
        </w:rPr>
        <w:t xml:space="preserve">) coverage. Macro-cells can </w:t>
      </w:r>
      <w:r w:rsidRPr="009B54E0">
        <w:rPr>
          <w:rFonts w:ascii="Arial" w:hAnsi="Arial" w:cs="Arial"/>
          <w:bCs/>
          <w:lang w:val="en-GB"/>
        </w:rPr>
        <w:t>simultaneously support multiple radio access technologies (RATs)</w:t>
      </w:r>
      <w:r w:rsidRPr="009B54E0">
        <w:rPr>
          <w:rFonts w:ascii="Arial" w:hAnsi="Arial" w:cs="Arial"/>
          <w:lang w:val="en-GB"/>
        </w:rPr>
        <w:t xml:space="preserve">, ensuring backward compatibility with older networks (3G, 4G LTE) while enabling advanced 5G capabilities. A </w:t>
      </w:r>
      <w:r w:rsidRPr="009B54E0">
        <w:rPr>
          <w:rFonts w:ascii="Arial" w:hAnsi="Arial" w:cs="Arial"/>
          <w:bCs/>
          <w:lang w:val="en-GB"/>
        </w:rPr>
        <w:t>5G macro-cell network</w:t>
      </w:r>
      <w:r w:rsidRPr="009B54E0">
        <w:rPr>
          <w:rFonts w:ascii="Arial" w:hAnsi="Arial" w:cs="Arial"/>
          <w:lang w:val="en-GB"/>
        </w:rPr>
        <w:t xml:space="preserve"> consists of various interconnected components that facilitate efficient communication. </w:t>
      </w:r>
    </w:p>
    <w:p w14:paraId="097CE145" w14:textId="77777777" w:rsidR="009B54E0" w:rsidRPr="009B54E0" w:rsidRDefault="009B54E0" w:rsidP="009B54E0">
      <w:pPr>
        <w:pStyle w:val="Body"/>
        <w:spacing w:after="0"/>
        <w:rPr>
          <w:rFonts w:ascii="Arial" w:hAnsi="Arial" w:cs="Arial"/>
          <w:lang w:val="en-GB"/>
        </w:rPr>
      </w:pPr>
      <w:r w:rsidRPr="009B54E0">
        <w:rPr>
          <w:rFonts w:ascii="Arial" w:hAnsi="Arial" w:cs="Arial"/>
          <w:noProof/>
          <w:lang w:val="en-GB" w:eastAsia="en-GB"/>
        </w:rPr>
        <w:lastRenderedPageBreak/>
        <w:drawing>
          <wp:inline distT="0" distB="0" distL="0" distR="0" wp14:anchorId="75AA18B4" wp14:editId="1982A0F6">
            <wp:extent cx="4258674" cy="2611501"/>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56394" cy="2610103"/>
                    </a:xfrm>
                    <a:prstGeom prst="rect">
                      <a:avLst/>
                    </a:prstGeom>
                  </pic:spPr>
                </pic:pic>
              </a:graphicData>
            </a:graphic>
          </wp:inline>
        </w:drawing>
      </w:r>
    </w:p>
    <w:p w14:paraId="16DAB7BC" w14:textId="77777777" w:rsidR="009B54E0" w:rsidRPr="009B54E0" w:rsidRDefault="009B54E0" w:rsidP="009B54E0">
      <w:pPr>
        <w:pStyle w:val="Body"/>
        <w:spacing w:after="0"/>
        <w:rPr>
          <w:rFonts w:ascii="Arial" w:hAnsi="Arial" w:cs="Arial"/>
        </w:rPr>
      </w:pPr>
      <w:r w:rsidRPr="009B54E0">
        <w:rPr>
          <w:rFonts w:ascii="Arial" w:hAnsi="Arial" w:cs="Arial"/>
        </w:rPr>
        <w:t xml:space="preserve">Figure 2: Cell Range </w:t>
      </w:r>
      <w:r w:rsidRPr="009B54E0">
        <w:rPr>
          <w:rFonts w:ascii="Arial" w:hAnsi="Arial" w:cs="Arial"/>
        </w:rPr>
        <w:fldChar w:fldCharType="begin" w:fldLock="1"/>
      </w:r>
      <w:r w:rsidRPr="009B54E0">
        <w:rPr>
          <w:rFonts w:ascii="Arial" w:hAnsi="Arial" w:cs="Arial"/>
        </w:rPr>
        <w:instrText>ADDIN CSL_CITATION {"citationItems":[{"id":"ITEM-1","itemData":{"author":[{"dropping-particle":"","family":"Casillas","given":"Robert James","non-dropping-particle":"","parse-names":false,"suffix":""},{"dropping-particle":"","family":"Touchette","given":"Bennett","non-dropping-particle":"","parse-names":false,"suffix":""},{"dropping-particle":"","family":"Tawalbeh","given":"Lo","non-dropping-particle":"","parse-names":false,"suffix":""},{"dropping-particle":"","family":"Muheidat","given":"Fadi","non-dropping-particle":"","parse-names":false,"suffix":""}],"id":"ITEM-1","issue":"January","issued":{"date-parts":[["2020"]]},"title":"5G Technology Architecture : Network Implementation , Challenges and Visibility","type":"article-journal"},"uris":["http://www.mendeley.com/documents/?uuid=fddfa2e9-5086-4630-ad63-d43ffeaeb510"]}],"mendeley":{"formattedCitation":"(Casillas et al., 2020)","plainTextFormattedCitation":"(Casillas et al., 2020)","previouslyFormattedCitation":"(Casillas et al., 2020)"},"properties":{"noteIndex":0},"schema":"https://github.com/citation-style-language/schema/raw/master/csl-citation.json"}</w:instrText>
      </w:r>
      <w:r w:rsidRPr="009B54E0">
        <w:rPr>
          <w:rFonts w:ascii="Arial" w:hAnsi="Arial" w:cs="Arial"/>
        </w:rPr>
        <w:fldChar w:fldCharType="separate"/>
      </w:r>
      <w:r w:rsidRPr="009B54E0">
        <w:rPr>
          <w:rFonts w:ascii="Arial" w:hAnsi="Arial" w:cs="Arial"/>
        </w:rPr>
        <w:t>(Casillas et al., 2020)</w:t>
      </w:r>
      <w:r w:rsidRPr="009B54E0">
        <w:rPr>
          <w:rFonts w:ascii="Arial" w:hAnsi="Arial" w:cs="Arial"/>
        </w:rPr>
        <w:fldChar w:fldCharType="end"/>
      </w:r>
    </w:p>
    <w:p w14:paraId="5FC76C74"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Small cells, also sometimes referred to as micro or Pico cells as shown in Figure 2, typically have a smaller base station and limited number or just a single antenna and are deployed in urban environments to provide the bandwidth, latency and connection density needed. These small cells also fill in areas where the </w:t>
      </w:r>
      <w:proofErr w:type="spellStart"/>
      <w:r w:rsidRPr="009B54E0">
        <w:rPr>
          <w:rFonts w:ascii="Arial" w:hAnsi="Arial" w:cs="Arial"/>
          <w:lang w:val="en-GB"/>
        </w:rPr>
        <w:t>macrocell</w:t>
      </w:r>
      <w:proofErr w:type="spellEnd"/>
      <w:r w:rsidRPr="009B54E0">
        <w:rPr>
          <w:rFonts w:ascii="Arial" w:hAnsi="Arial" w:cs="Arial"/>
          <w:lang w:val="en-GB"/>
        </w:rPr>
        <w:t xml:space="preserve"> signal may be impeded by buildings or other signal obstructions as the highest frequency bands have the highest bandwidth, there is a challenge to provide the highest data rates inside offices, residential building and malls because the building may absorb the high frequency radio waves. </w:t>
      </w:r>
    </w:p>
    <w:p w14:paraId="00989116" w14:textId="77777777" w:rsidR="009B54E0" w:rsidRPr="009B54E0" w:rsidRDefault="009B54E0" w:rsidP="009B54E0">
      <w:pPr>
        <w:pStyle w:val="Body"/>
        <w:spacing w:after="0"/>
        <w:rPr>
          <w:rFonts w:ascii="Arial" w:hAnsi="Arial" w:cs="Arial"/>
          <w:b/>
        </w:rPr>
      </w:pPr>
      <w:r w:rsidRPr="009B54E0">
        <w:rPr>
          <w:rFonts w:ascii="Arial" w:hAnsi="Arial" w:cs="Arial"/>
          <w:b/>
        </w:rPr>
        <w:t>PATHLOSS MODELING</w:t>
      </w:r>
    </w:p>
    <w:p w14:paraId="78029E87"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Radio transmission in mobile communication system often takes place over irregular terrain. Different path loss empirical models have been proposed and classified based on terrain, operating frequency range, mobile generation, and technologies. In recently published work, path loss models are mainly developed based on experimental data to fit a particular scenario or environment. The received signal power decay rate variations with distance follow the free-space propagation law with a path-loss exponent of about 1.9–2.2 With directional antennas. A number of propagation models are available to predict path loss over different types of terrain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10.1016/j.prime.2023.100106","ISSN":"2772-6711","author":[{"dropping-particle":"","family":"Ali","given":"Asma","non-dropping-particle":"","parse-names":false,"suffix":""},{"dropping-particle":"","family":"Islam","given":"Rafiqul","non-dropping-particle":"","parse-names":false,"suffix":""}],"container-title":"e-Prime - Advances in Electrical Engineering, Electronics and Energy","id":"ITEM-1","issue":"March","issued":{"date-parts":[["2023"]]},"page":"100106","publisher":"Elsevier Ltd","title":"Path loss models for outdoor environment-with a focus on rain attenuation impact on short-range millimeter-wave links e-Prime - Advances in Electrical Engineering , Electronics and Energy Path loss models for outdoor environment — with a focus on rain att","type":"article-journal","volume":"3"},"uris":["http://www.mendeley.com/documents/?uuid=7747d342-666e-4633-a66e-7b4e0da3b9f6"]},{"id":"ITEM-2","itemData":{"author":[{"dropping-particle":"","family":"Zhang","given":"Ke","non-dropping-particle":"","parse-names":false,"suffix":""},{"dropping-particle":"","family":"Zhang","given":"Ruonan","non-dropping-particle":"","parse-names":false,"suffix":""},{"dropping-particle":"","family":"Wu","given":"Jiang","non-dropping-particle":"","parse-names":false,"suffix":""},{"dropping-particle":"","family":"Jiang","given":"Yi","non-dropping-particle":"","parse-names":false,"suffix":""},{"dropping-particle":"","family":"Tang","given":"Xiao","non-dropping-particle":"","parse-names":false,"suffix":""}],"id":"ITEM-2","issued":{"date-parts":[["0"]]},"page":"1-5","publisher":"IEEE","title":"Measurement and Modeling of Path Loss and Channel Capacity Analysis for 5G UMa Scenario","type":"article-journal"},"uris":["http://www.mendeley.com/documents/?uuid=9d1d1fc5-2c2c-4be4-aa7c-4dd408bfc321"]}],"mendeley":{"formattedCitation":"(Ali &amp; Islam, 2023; K. Zhang et al., n.d.)","plainTextFormattedCitation":"(Ali &amp; Islam, 2023; K. Zhang et al., n.d.)","previouslyFormattedCitation":"(Ali &amp; Islam, 2023; K. Zhang et al., n.d.)"},"properties":{"noteIndex":0},"schema":"https://github.com/citation-style-language/schema/raw/master/csl-citation.json"}</w:instrText>
      </w:r>
      <w:r w:rsidRPr="009B54E0">
        <w:rPr>
          <w:rFonts w:ascii="Arial" w:hAnsi="Arial" w:cs="Arial"/>
          <w:lang w:val="en-GB"/>
        </w:rPr>
        <w:fldChar w:fldCharType="separate"/>
      </w:r>
      <w:r w:rsidR="00AE52F2">
        <w:rPr>
          <w:rFonts w:ascii="Arial" w:hAnsi="Arial" w:cs="Arial"/>
          <w:lang w:val="en-GB"/>
        </w:rPr>
        <w:t>( Zhang et al., 2019</w:t>
      </w:r>
      <w:r w:rsidRPr="009B54E0">
        <w:rPr>
          <w:rFonts w:ascii="Arial" w:hAnsi="Arial" w:cs="Arial"/>
          <w:lang w:val="en-GB"/>
        </w:rPr>
        <w:t>)</w:t>
      </w:r>
      <w:r w:rsidRPr="009B54E0">
        <w:rPr>
          <w:rFonts w:ascii="Arial" w:hAnsi="Arial" w:cs="Arial"/>
        </w:rPr>
        <w:fldChar w:fldCharType="end"/>
      </w:r>
    </w:p>
    <w:p w14:paraId="1788A153"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Hata Model </w:t>
      </w:r>
    </w:p>
    <w:p w14:paraId="6FA1AAF7"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Hata Model is an empirical formulation of graphical path loss data provided by Okumura model. The Hata model gives prediction of the median path loss. The standard formula for urban area is</w:t>
      </w:r>
    </w:p>
    <w:p w14:paraId="2828C051" w14:textId="77777777" w:rsidR="009B54E0" w:rsidRPr="009B54E0" w:rsidRDefault="00000000" w:rsidP="009B54E0">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d>
              <m:dPr>
                <m:ctrlPr>
                  <w:rPr>
                    <w:rFonts w:ascii="Cambria Math" w:hAnsi="Cambria Math" w:cs="Arial"/>
                    <w:i/>
                    <w:lang w:val="en-GB"/>
                  </w:rPr>
                </m:ctrlPr>
              </m:dPr>
              <m:e>
                <m:r>
                  <w:rPr>
                    <w:rFonts w:ascii="Cambria Math" w:hAnsi="Cambria Math" w:cs="Arial"/>
                    <w:lang w:val="en-GB"/>
                  </w:rPr>
                  <m:t>urban</m:t>
                </m:r>
              </m:e>
            </m:d>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=69.55+26.16</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-13.82</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+(44.9-6.55</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r>
          <w:rPr>
            <w:rFonts w:ascii="Cambria Math" w:hAnsi="Cambria Math" w:cs="Arial"/>
            <w:lang w:val="en-GB"/>
          </w:rPr>
          <m:t>(d)</m:t>
        </m:r>
      </m:oMath>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t>(1)</w:t>
      </w:r>
    </w:p>
    <w:p w14:paraId="3E669D32"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Where f</w:t>
      </w:r>
      <w:r w:rsidRPr="009B54E0">
        <w:rPr>
          <w:rFonts w:ascii="Arial" w:hAnsi="Arial" w:cs="Arial"/>
          <w:vertAlign w:val="subscript"/>
          <w:lang w:val="en-GB"/>
        </w:rPr>
        <w:t>c</w:t>
      </w:r>
      <w:r w:rsidRPr="009B54E0">
        <w:rPr>
          <w:rFonts w:ascii="Arial" w:hAnsi="Arial" w:cs="Arial"/>
          <w:lang w:val="en-GB"/>
        </w:rPr>
        <w:t xml:space="preserve"> in MHz and for frequency range of 150MHz to 1500 MHz, </w:t>
      </w:r>
      <w:proofErr w:type="spellStart"/>
      <w:r w:rsidRPr="009B54E0">
        <w:rPr>
          <w:rFonts w:ascii="Arial" w:hAnsi="Arial" w:cs="Arial"/>
          <w:lang w:val="en-GB"/>
        </w:rPr>
        <w:t>h</w:t>
      </w:r>
      <w:r w:rsidRPr="009B54E0">
        <w:rPr>
          <w:rFonts w:ascii="Arial" w:hAnsi="Arial" w:cs="Arial"/>
          <w:vertAlign w:val="subscript"/>
          <w:lang w:val="en-GB"/>
        </w:rPr>
        <w:t>b</w:t>
      </w:r>
      <w:proofErr w:type="spellEnd"/>
      <w:r w:rsidRPr="009B54E0">
        <w:rPr>
          <w:rFonts w:ascii="Arial" w:hAnsi="Arial" w:cs="Arial"/>
          <w:lang w:val="en-GB"/>
        </w:rPr>
        <w:t xml:space="preserve"> is the Base Station (BTS) effective transmitter antenna height in meter ranging from, h</w:t>
      </w:r>
      <w:r w:rsidRPr="009B54E0">
        <w:rPr>
          <w:rFonts w:ascii="Arial" w:hAnsi="Arial" w:cs="Arial"/>
          <w:vertAlign w:val="subscript"/>
          <w:lang w:val="en-GB"/>
        </w:rPr>
        <w:t>m</w:t>
      </w:r>
      <w:r w:rsidRPr="009B54E0">
        <w:rPr>
          <w:rFonts w:ascii="Arial" w:hAnsi="Arial" w:cs="Arial"/>
          <w:lang w:val="en-GB"/>
        </w:rPr>
        <w:t xml:space="preserve"> is the effective mobile receiver antenna height in meter ranging from 1m to 10m, d is the distance between Base Station (Bs) and the Mobile Station (Ms) in </w:t>
      </w:r>
      <w:proofErr w:type="spellStart"/>
      <w:r w:rsidRPr="009B54E0">
        <w:rPr>
          <w:rFonts w:ascii="Arial" w:hAnsi="Arial" w:cs="Arial"/>
          <w:lang w:val="en-GB"/>
        </w:rPr>
        <w:t>Kilometers</w:t>
      </w:r>
      <w:proofErr w:type="spellEnd"/>
      <w:r w:rsidRPr="009B54E0">
        <w:rPr>
          <w:rFonts w:ascii="Arial" w:hAnsi="Arial" w:cs="Arial"/>
          <w:lang w:val="en-GB"/>
        </w:rPr>
        <w:t>. a(h</w:t>
      </w:r>
      <w:r w:rsidRPr="009B54E0">
        <w:rPr>
          <w:rFonts w:ascii="Arial" w:hAnsi="Arial" w:cs="Arial"/>
          <w:vertAlign w:val="subscript"/>
          <w:lang w:val="en-GB"/>
        </w:rPr>
        <w:t>m</w:t>
      </w:r>
      <w:r w:rsidRPr="009B54E0">
        <w:rPr>
          <w:rFonts w:ascii="Arial" w:hAnsi="Arial" w:cs="Arial"/>
          <w:lang w:val="en-GB"/>
        </w:rPr>
        <w:t xml:space="preserve">) is the correction factor for effective Ms antenna height which is a function of the size of the coverage area. For a small to medium size city, the mobile antenna correction factor is given by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{"citationItems":[{"id":"ITEM-1","itemData":{"DOI":"10.1029/2019RS006924","ISSN":"0048-6604","abstract":"The International Telecommunications Union Radiocommunication Sector (ITU</w:instrText>
      </w:r>
      <w:r w:rsidRPr="009B54E0">
        <w:rPr>
          <w:rFonts w:ascii="Cambria Math" w:hAnsi="Cambria Math" w:cs="Cambria Math"/>
          <w:lang w:val="en-GB"/>
        </w:rPr>
        <w:instrText>‐</w:instrText>
      </w:r>
      <w:r w:rsidRPr="009B54E0">
        <w:rPr>
          <w:rFonts w:ascii="Arial" w:hAnsi="Arial" w:cs="Arial"/>
          <w:lang w:val="en-GB"/>
        </w:rPr>
        <w:instrText>R) Study Group 3 identified the need for a number of radio channel models in anticipation of the World Radiocommunications Conference in 2019 when the frequency allocation for 5G will be discussed. In response to the call for propagation path loss models, members of the study group carried out measurements in the frequency bands between 0.8 GHz up to 73 GHz in urban low</w:instrText>
      </w:r>
      <w:r w:rsidRPr="009B54E0">
        <w:rPr>
          <w:rFonts w:ascii="Cambria Math" w:hAnsi="Cambria Math" w:cs="Cambria Math"/>
          <w:lang w:val="en-GB"/>
        </w:rPr>
        <w:instrText>‐</w:instrText>
      </w:r>
      <w:r w:rsidRPr="009B54E0">
        <w:rPr>
          <w:rFonts w:ascii="Arial" w:hAnsi="Arial" w:cs="Arial"/>
          <w:lang w:val="en-GB"/>
        </w:rPr>
        <w:instrText>rise and urban high</w:instrText>
      </w:r>
      <w:r w:rsidRPr="009B54E0">
        <w:rPr>
          <w:rFonts w:ascii="Cambria Math" w:hAnsi="Cambria Math" w:cs="Cambria Math"/>
          <w:lang w:val="en-GB"/>
        </w:rPr>
        <w:instrText>‐</w:instrText>
      </w:r>
      <w:r w:rsidRPr="009B54E0">
        <w:rPr>
          <w:rFonts w:ascii="Arial" w:hAnsi="Arial" w:cs="Arial"/>
          <w:lang w:val="en-GB"/>
        </w:rPr>
        <w:instrText>rise as well as suburban environments. The data were subsequently merged to generate site general path loss models. The paper presents an overview of the radio channel measurements, the measured environments, the data analysis, and the approach for the derivation of the path loss model adopted in Recommendation ITU</w:instrText>
      </w:r>
      <w:r w:rsidRPr="009B54E0">
        <w:rPr>
          <w:rFonts w:ascii="Cambria Math" w:hAnsi="Cambria Math" w:cs="Cambria Math"/>
          <w:lang w:val="en-GB"/>
        </w:rPr>
        <w:instrText>‐</w:instrText>
      </w:r>
      <w:r w:rsidRPr="009B54E0">
        <w:rPr>
          <w:rFonts w:ascii="Arial" w:hAnsi="Arial" w:cs="Arial"/>
          <w:lang w:val="en-GB"/>
        </w:rPr>
        <w:instrText>R P.1411</w:instrText>
      </w:r>
      <w:r w:rsidRPr="009B54E0">
        <w:rPr>
          <w:rFonts w:ascii="Cambria Math" w:hAnsi="Cambria Math" w:cs="Cambria Math"/>
          <w:lang w:val="en-GB"/>
        </w:rPr>
        <w:instrText>‐</w:instrText>
      </w:r>
      <w:r w:rsidRPr="009B54E0">
        <w:rPr>
          <w:rFonts w:ascii="Arial" w:hAnsi="Arial" w:cs="Arial"/>
          <w:lang w:val="en-GB"/>
        </w:rPr>
        <w:instrText>10 (2019</w:instrText>
      </w:r>
      <w:r w:rsidRPr="009B54E0">
        <w:rPr>
          <w:rFonts w:ascii="Cambria Math" w:hAnsi="Cambria Math" w:cs="Cambria Math"/>
          <w:lang w:val="en-GB"/>
        </w:rPr>
        <w:instrText>‐</w:instrText>
      </w:r>
      <w:r w:rsidRPr="009B54E0">
        <w:rPr>
          <w:rFonts w:ascii="Arial" w:hAnsi="Arial" w:cs="Arial"/>
          <w:lang w:val="en-GB"/>
        </w:rPr>
        <w:instrText>08).","author":[{"dropping-particle":"","family":"Salous","given":"S","non-dropping-particle":"","parse-names":false,"suffix":""},{"dropping-particle":"","family":"Lee","given":"J","non-dropping-particle":"","parse-names":false,"suffix":""},{"dropping-particle":"","family":"Kim","given":"M D","non-dropping-particle":"","parse-names":false,"suffix":""},{"dropping-particle":"","family":"Sasaki","given":"M","non-dropping-particle":"","parse-names":false,"suffix":""},{"dropping-particle":"","family":"Yamada","given":"W","non-dropping-particle":"","parse-names":false,"suffix":""},{"dropping-particle":"","family":"Raimundo","given":"X","non-dropping-particle":"","parse-names":false,"suffix":""},{"dropping-particle":"","family":"Cheema","given":"A A","non-dropping-particle":"","parse-names":false,"suffix":""}],"container-title":"Radio Science","id":"ITEM-1","issue":"1","issued":{"date-parts":[["2020","1","20"]]},"page":"1-12","title":"Radio propagation measurements and modeling for standardization of the site general path loss model in International Telecommunications Union recommendations for 5G wireless networks","type":"article-journal","volume":"55"},"uris":["http://www.mendeley.com/documents/?uuid=6fe79bd1-4a9c-4aa9-afe4-095ca28be8f0"]}],"mendeley":{"formattedCitation":"(Salous et al., 2020)","plainTextFormattedCitation":"(Salous et al., 2020)","previouslyFormattedCitation":"(Salous et al., 2020)"},"properties":{"noteIndex":0},"schema":"https://github.com/citation-style-language/schema/raw/master/csl-citation.json"}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(Salous et al., 2020)</w:t>
      </w:r>
      <w:r w:rsidRPr="009B54E0">
        <w:rPr>
          <w:rFonts w:ascii="Arial" w:hAnsi="Arial" w:cs="Arial"/>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2"/>
        <w:gridCol w:w="552"/>
      </w:tblGrid>
      <w:tr w:rsidR="009B54E0" w:rsidRPr="009B54E0" w14:paraId="7DF328BE" w14:textId="77777777" w:rsidTr="00924E2E">
        <w:tc>
          <w:tcPr>
            <w:tcW w:w="8330" w:type="dxa"/>
          </w:tcPr>
          <w:p w14:paraId="01A962BB"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GB" w:eastAsia="en-GB"/>
              </w:rPr>
              <w:drawing>
                <wp:inline distT="0" distB="0" distL="0" distR="0" wp14:anchorId="4365C2AD" wp14:editId="31EA415D">
                  <wp:extent cx="3133259" cy="3900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34690" cy="390237"/>
                          </a:xfrm>
                          <a:prstGeom prst="rect">
                            <a:avLst/>
                          </a:prstGeom>
                        </pic:spPr>
                      </pic:pic>
                    </a:graphicData>
                  </a:graphic>
                </wp:inline>
              </w:drawing>
            </w:r>
          </w:p>
        </w:tc>
        <w:tc>
          <w:tcPr>
            <w:tcW w:w="567" w:type="dxa"/>
          </w:tcPr>
          <w:p w14:paraId="5A3D520F" w14:textId="77777777" w:rsidR="00924E2E" w:rsidRDefault="00924E2E" w:rsidP="009B54E0">
            <w:pPr>
              <w:pStyle w:val="Body"/>
              <w:spacing w:after="0"/>
              <w:rPr>
                <w:rFonts w:ascii="Arial" w:hAnsi="Arial" w:cs="Arial"/>
                <w:sz w:val="20"/>
                <w:lang w:val="en-GB"/>
              </w:rPr>
            </w:pPr>
          </w:p>
          <w:p w14:paraId="7D81F724"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(2)</w:t>
            </w:r>
          </w:p>
        </w:tc>
      </w:tr>
    </w:tbl>
    <w:p w14:paraId="746F0D3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To obtain the path loss in suburban area, equation (1) is modified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3"/>
        <w:gridCol w:w="551"/>
      </w:tblGrid>
      <w:tr w:rsidR="009B54E0" w:rsidRPr="009B54E0" w14:paraId="0E16FBF1" w14:textId="77777777" w:rsidTr="00924E2E">
        <w:tc>
          <w:tcPr>
            <w:tcW w:w="8330" w:type="dxa"/>
          </w:tcPr>
          <w:p w14:paraId="635ACB20"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GB" w:eastAsia="en-GB"/>
              </w:rPr>
              <w:drawing>
                <wp:inline distT="0" distB="0" distL="0" distR="0" wp14:anchorId="02DA5073" wp14:editId="0C4D0015">
                  <wp:extent cx="3273936" cy="35103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75638" cy="351217"/>
                          </a:xfrm>
                          <a:prstGeom prst="rect">
                            <a:avLst/>
                          </a:prstGeom>
                        </pic:spPr>
                      </pic:pic>
                    </a:graphicData>
                  </a:graphic>
                </wp:inline>
              </w:drawing>
            </w:r>
          </w:p>
        </w:tc>
        <w:tc>
          <w:tcPr>
            <w:tcW w:w="567" w:type="dxa"/>
          </w:tcPr>
          <w:p w14:paraId="2D2F63DE"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(3)</w:t>
            </w:r>
          </w:p>
        </w:tc>
      </w:tr>
    </w:tbl>
    <w:p w14:paraId="22CBFA2F"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lastRenderedPageBreak/>
        <w:t xml:space="preserve">The predication of Hata model compares very closely with the original Okumura model as long as d exceeds 1km. This model is suitable for large cell system, but not personal communication systems (PCS) which have cells of the 1km radius </w:t>
      </w:r>
    </w:p>
    <w:p w14:paraId="0649A84E"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Cost-231 Hata Model </w:t>
      </w:r>
    </w:p>
    <w:p w14:paraId="52CA79E6"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The European Cooperative for Scientific and Technical research (EURO-COST) formed the COST-231 working committee to develop an extended version of the Hata model.  Cost-231 proposed path loss model is </w:t>
      </w:r>
    </w:p>
    <w:p w14:paraId="3CB343EC" w14:textId="77777777" w:rsidR="009B54E0" w:rsidRPr="009B54E0" w:rsidRDefault="00000000" w:rsidP="009B54E0">
      <w:pPr>
        <w:pStyle w:val="Body"/>
        <w:spacing w:after="0"/>
        <w:rPr>
          <w:rFonts w:ascii="Arial" w:hAnsi="Arial" w:cs="Arial"/>
          <w:lang w:val="en-GB"/>
        </w:rPr>
      </w:pPr>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d>
              <m:dPr>
                <m:ctrlPr>
                  <w:rPr>
                    <w:rFonts w:ascii="Cambria Math" w:hAnsi="Cambria Math" w:cs="Arial"/>
                    <w:i/>
                    <w:lang w:val="en-GB"/>
                  </w:rPr>
                </m:ctrlPr>
              </m:dPr>
              <m:e>
                <m:r>
                  <w:rPr>
                    <w:rFonts w:ascii="Cambria Math" w:hAnsi="Cambria Math" w:cs="Arial"/>
                    <w:lang w:val="en-GB"/>
                  </w:rPr>
                  <m:t>urban</m:t>
                </m:r>
              </m:e>
            </m:d>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=46.3+33.9</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-13.82</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44.9-6.55</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d>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r>
              <w:rPr>
                <w:rFonts w:ascii="Cambria Math" w:hAnsi="Cambria Math" w:cs="Arial"/>
                <w:lang w:val="en-GB"/>
              </w:rPr>
              <m:t>d</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C</m:t>
            </m:r>
          </m:e>
          <m:sub>
            <m:r>
              <w:rPr>
                <w:rFonts w:ascii="Cambria Math" w:hAnsi="Cambria Math" w:cs="Arial"/>
                <w:lang w:val="en-GB"/>
              </w:rPr>
              <m:t>m</m:t>
            </m:r>
          </m:sub>
        </m:sSub>
      </m:oMath>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r>
      <w:r w:rsidR="009B54E0" w:rsidRPr="009B54E0">
        <w:rPr>
          <w:rFonts w:ascii="Arial" w:hAnsi="Arial" w:cs="Arial"/>
          <w:lang w:val="en-GB"/>
        </w:rPr>
        <w:tab/>
        <w:t>(3)</w:t>
      </w:r>
    </w:p>
    <w:p w14:paraId="444186A2"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w:t>
      </w:r>
      <m:oMath>
        <m:r>
          <w:rPr>
            <w:rFonts w:ascii="Cambria Math" w:hAnsi="Cambria Math" w:cs="Arial"/>
            <w:lang w:val="en-GB"/>
          </w:rPr>
          <m:t>a</m:t>
        </m:r>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1.1</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-0.7</m:t>
            </m:r>
          </m:e>
        </m:d>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r>
          <w:rPr>
            <w:rFonts w:ascii="Cambria Math" w:hAnsi="Cambria Math" w:cs="Arial"/>
            <w:lang w:val="en-GB"/>
          </w:rPr>
          <m:t>-</m:t>
        </m:r>
        <m:d>
          <m:dPr>
            <m:ctrlPr>
              <w:rPr>
                <w:rFonts w:ascii="Cambria Math" w:hAnsi="Cambria Math" w:cs="Arial"/>
                <w:i/>
                <w:lang w:val="en-GB"/>
              </w:rPr>
            </m:ctrlPr>
          </m:dPr>
          <m:e>
            <m:r>
              <w:rPr>
                <w:rFonts w:ascii="Cambria Math" w:hAnsi="Cambria Math" w:cs="Arial"/>
                <w:lang w:val="en-GB"/>
              </w:rPr>
              <m:t>1.56</m:t>
            </m:r>
            <m:sSub>
              <m:sSubPr>
                <m:ctrlPr>
                  <w:rPr>
                    <w:rFonts w:ascii="Cambria Math" w:hAnsi="Cambria Math" w:cs="Arial"/>
                    <w:i/>
                    <w:lang w:val="en-GB"/>
                  </w:rPr>
                </m:ctrlPr>
              </m:sSubPr>
              <m:e>
                <m:r>
                  <w:rPr>
                    <w:rFonts w:ascii="Cambria Math" w:hAnsi="Cambria Math" w:cs="Arial"/>
                    <w:lang w:val="en-GB"/>
                  </w:rPr>
                  <m:t>log</m:t>
                </m:r>
              </m:e>
              <m:sub>
                <m:r>
                  <w:rPr>
                    <w:rFonts w:ascii="Cambria Math" w:hAnsi="Cambria Math" w:cs="Arial"/>
                    <w:lang w:val="en-GB"/>
                  </w:rPr>
                  <m:t>10</m:t>
                </m:r>
              </m:sub>
            </m:sSub>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f</m:t>
                    </m:r>
                  </m:e>
                  <m:sub>
                    <m:r>
                      <w:rPr>
                        <w:rFonts w:ascii="Cambria Math" w:hAnsi="Cambria Math" w:cs="Arial"/>
                        <w:lang w:val="en-GB"/>
                      </w:rPr>
                      <m:t>c</m:t>
                    </m:r>
                  </m:sub>
                </m:sSub>
              </m:e>
            </m:d>
            <m:r>
              <w:rPr>
                <w:rFonts w:ascii="Cambria Math" w:hAnsi="Cambria Math" w:cs="Arial"/>
                <w:lang w:val="en-GB"/>
              </w:rPr>
              <m:t>-0.8</m:t>
            </m:r>
          </m:e>
        </m:d>
        <m:r>
          <w:rPr>
            <w:rFonts w:ascii="Cambria Math" w:hAnsi="Cambria Math" w:cs="Arial"/>
            <w:lang w:val="en-GB"/>
          </w:rPr>
          <m:t xml:space="preserve">  dB</m:t>
        </m:r>
      </m:oMath>
      <w:r w:rsidRPr="009B54E0">
        <w:rPr>
          <w:rFonts w:ascii="Arial" w:hAnsi="Arial" w:cs="Arial"/>
          <w:lang w:val="en-GB"/>
        </w:rPr>
        <w:tab/>
        <w:t>(4)</w:t>
      </w:r>
    </w:p>
    <w:p w14:paraId="20D6BCC9"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C</w:t>
      </w:r>
      <w:r w:rsidRPr="009B54E0">
        <w:rPr>
          <w:rFonts w:ascii="Arial" w:hAnsi="Arial" w:cs="Arial"/>
          <w:vertAlign w:val="subscript"/>
          <w:lang w:val="en-GB"/>
        </w:rPr>
        <w:t>m</w:t>
      </w:r>
      <w:r w:rsidRPr="009B54E0">
        <w:rPr>
          <w:rFonts w:ascii="Arial" w:hAnsi="Arial" w:cs="Arial"/>
          <w:lang w:val="en-GB"/>
        </w:rPr>
        <w:t xml:space="preserve"> = 3dB for Metropolitan areas while for suburban areas C</w:t>
      </w:r>
      <w:r w:rsidRPr="009B54E0">
        <w:rPr>
          <w:rFonts w:ascii="Arial" w:hAnsi="Arial" w:cs="Arial"/>
          <w:vertAlign w:val="subscript"/>
          <w:lang w:val="en-GB"/>
        </w:rPr>
        <w:t>m</w:t>
      </w:r>
      <w:r w:rsidRPr="009B54E0">
        <w:rPr>
          <w:rFonts w:ascii="Arial" w:hAnsi="Arial" w:cs="Arial"/>
          <w:lang w:val="en-GB"/>
        </w:rPr>
        <w:t xml:space="preserve"> = 0</w:t>
      </w:r>
    </w:p>
    <w:p w14:paraId="69152CE1"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The Cost-231 extension of the Hata model is restricted to the following range of parameters, f</w:t>
      </w:r>
      <w:r w:rsidRPr="009B54E0">
        <w:rPr>
          <w:rFonts w:ascii="Arial" w:hAnsi="Arial" w:cs="Arial"/>
          <w:vertAlign w:val="subscript"/>
          <w:lang w:val="en-GB"/>
        </w:rPr>
        <w:t>c</w:t>
      </w:r>
      <w:r w:rsidRPr="009B54E0">
        <w:rPr>
          <w:rFonts w:ascii="Arial" w:hAnsi="Arial" w:cs="Arial"/>
          <w:lang w:val="en-GB"/>
        </w:rPr>
        <w:t xml:space="preserve"> is 1500 MHz to 2000 MHz, </w:t>
      </w:r>
      <w:proofErr w:type="spellStart"/>
      <w:r w:rsidRPr="009B54E0">
        <w:rPr>
          <w:rFonts w:ascii="Arial" w:hAnsi="Arial" w:cs="Arial"/>
          <w:lang w:val="en-GB"/>
        </w:rPr>
        <w:t>h</w:t>
      </w:r>
      <w:r w:rsidRPr="009B54E0">
        <w:rPr>
          <w:rFonts w:ascii="Arial" w:hAnsi="Arial" w:cs="Arial"/>
          <w:vertAlign w:val="subscript"/>
          <w:lang w:val="en-GB"/>
        </w:rPr>
        <w:t>b</w:t>
      </w:r>
      <w:proofErr w:type="spellEnd"/>
      <w:r w:rsidRPr="009B54E0">
        <w:rPr>
          <w:rFonts w:ascii="Arial" w:hAnsi="Arial" w:cs="Arial"/>
          <w:lang w:val="en-GB"/>
        </w:rPr>
        <w:t xml:space="preserve"> is 30m to 200m, h</w:t>
      </w:r>
      <w:r w:rsidRPr="009B54E0">
        <w:rPr>
          <w:rFonts w:ascii="Arial" w:hAnsi="Arial" w:cs="Arial"/>
          <w:vertAlign w:val="subscript"/>
          <w:lang w:val="en-GB"/>
        </w:rPr>
        <w:t>m</w:t>
      </w:r>
      <w:r w:rsidRPr="009B54E0">
        <w:rPr>
          <w:rFonts w:ascii="Arial" w:hAnsi="Arial" w:cs="Arial"/>
          <w:lang w:val="en-GB"/>
        </w:rPr>
        <w:t xml:space="preserve"> is 1m to 10m and d is 1km to 20km.</w:t>
      </w:r>
    </w:p>
    <w:p w14:paraId="6C67A6FA"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ITU-R Path loss Model </w:t>
      </w:r>
    </w:p>
    <w:p w14:paraId="5F7DAC98"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The ITU-R model is to be used for the outdoor to indoor and pedestrian (microcell) in urban and suburban environment. The path loss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9"/>
        <w:gridCol w:w="555"/>
      </w:tblGrid>
      <w:tr w:rsidR="009B54E0" w:rsidRPr="009B54E0" w14:paraId="5C990C81" w14:textId="77777777" w:rsidTr="00924E2E">
        <w:tc>
          <w:tcPr>
            <w:tcW w:w="8330" w:type="dxa"/>
          </w:tcPr>
          <w:p w14:paraId="73533315" w14:textId="77777777" w:rsidR="009B54E0" w:rsidRPr="009B54E0" w:rsidRDefault="009B54E0" w:rsidP="009B54E0">
            <w:pPr>
              <w:pStyle w:val="Body"/>
              <w:spacing w:after="0"/>
              <w:rPr>
                <w:rFonts w:ascii="Arial" w:hAnsi="Arial" w:cs="Arial"/>
                <w:sz w:val="20"/>
                <w:lang w:val="en-GB"/>
              </w:rPr>
            </w:pPr>
            <w:r w:rsidRPr="009B54E0">
              <w:rPr>
                <w:rFonts w:ascii="Arial" w:hAnsi="Arial" w:cs="Arial"/>
                <w:noProof/>
                <w:lang w:val="en-GB" w:eastAsia="en-GB"/>
              </w:rPr>
              <w:drawing>
                <wp:inline distT="0" distB="0" distL="0" distR="0" wp14:anchorId="0108D0DE" wp14:editId="4A4197B3">
                  <wp:extent cx="2487424" cy="36167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92831" cy="362460"/>
                          </a:xfrm>
                          <a:prstGeom prst="rect">
                            <a:avLst/>
                          </a:prstGeom>
                        </pic:spPr>
                      </pic:pic>
                    </a:graphicData>
                  </a:graphic>
                </wp:inline>
              </w:drawing>
            </w:r>
          </w:p>
        </w:tc>
        <w:tc>
          <w:tcPr>
            <w:tcW w:w="567" w:type="dxa"/>
          </w:tcPr>
          <w:p w14:paraId="59DBB419" w14:textId="77777777" w:rsidR="009B54E0" w:rsidRPr="009B54E0" w:rsidRDefault="009B54E0" w:rsidP="009B54E0">
            <w:pPr>
              <w:pStyle w:val="Body"/>
              <w:spacing w:after="0"/>
              <w:rPr>
                <w:rFonts w:ascii="Arial" w:hAnsi="Arial" w:cs="Arial"/>
                <w:sz w:val="20"/>
                <w:lang w:val="en-GB"/>
              </w:rPr>
            </w:pPr>
            <w:r w:rsidRPr="009B54E0">
              <w:rPr>
                <w:rFonts w:ascii="Arial" w:hAnsi="Arial" w:cs="Arial"/>
                <w:sz w:val="20"/>
                <w:lang w:val="en-GB"/>
              </w:rPr>
              <w:t>(5)</w:t>
            </w:r>
          </w:p>
        </w:tc>
      </w:tr>
    </w:tbl>
    <w:p w14:paraId="7681A081"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d is the distance between the base station and the mobile unit in km, fc is the frequency to 2000 MHz, L in no circumstances to be less than free space loss. The model is for Non-Line of Sight (NLOS) case only and describes worst condition deviation of 10dB for outdoor users </w:t>
      </w:r>
      <w:r w:rsidRPr="009B54E0">
        <w:rPr>
          <w:rFonts w:ascii="Arial" w:hAnsi="Arial" w:cs="Arial"/>
          <w:lang w:val="en-GB"/>
        </w:rPr>
        <w:fldChar w:fldCharType="begin" w:fldLock="1"/>
      </w:r>
      <w:r w:rsidRPr="009B54E0">
        <w:rPr>
          <w:rFonts w:ascii="Arial" w:hAnsi="Arial" w:cs="Arial"/>
          <w:lang w:val="en-GB"/>
        </w:rPr>
        <w:instrText>ADDIN CSL_CITATION {"citationItems":[{"id":"ITEM-1","itemData":{"DOI":"10.1029/2019RS006924","ISSN":"0048-6604","abstract":"The International Telecommunications Union Radiocommunication Sector (ITU</w:instrText>
      </w:r>
      <w:r w:rsidRPr="009B54E0">
        <w:rPr>
          <w:rFonts w:ascii="Cambria Math" w:hAnsi="Cambria Math" w:cs="Cambria Math"/>
          <w:lang w:val="en-GB"/>
        </w:rPr>
        <w:instrText>‐</w:instrText>
      </w:r>
      <w:r w:rsidRPr="009B54E0">
        <w:rPr>
          <w:rFonts w:ascii="Arial" w:hAnsi="Arial" w:cs="Arial"/>
          <w:lang w:val="en-GB"/>
        </w:rPr>
        <w:instrText>R) Study Group 3 identified the need for a number of radio channel models in anticipation of the World Radiocommunications Conference in 2019 when the frequency allocation for 5G will be discussed. In response to the call for propagation path loss models, members of the study group carried out measurements in the frequency bands between 0.8 GHz up to 73 GHz in urban low</w:instrText>
      </w:r>
      <w:r w:rsidRPr="009B54E0">
        <w:rPr>
          <w:rFonts w:ascii="Cambria Math" w:hAnsi="Cambria Math" w:cs="Cambria Math"/>
          <w:lang w:val="en-GB"/>
        </w:rPr>
        <w:instrText>‐</w:instrText>
      </w:r>
      <w:r w:rsidRPr="009B54E0">
        <w:rPr>
          <w:rFonts w:ascii="Arial" w:hAnsi="Arial" w:cs="Arial"/>
          <w:lang w:val="en-GB"/>
        </w:rPr>
        <w:instrText>rise and urban high</w:instrText>
      </w:r>
      <w:r w:rsidRPr="009B54E0">
        <w:rPr>
          <w:rFonts w:ascii="Cambria Math" w:hAnsi="Cambria Math" w:cs="Cambria Math"/>
          <w:lang w:val="en-GB"/>
        </w:rPr>
        <w:instrText>‐</w:instrText>
      </w:r>
      <w:r w:rsidRPr="009B54E0">
        <w:rPr>
          <w:rFonts w:ascii="Arial" w:hAnsi="Arial" w:cs="Arial"/>
          <w:lang w:val="en-GB"/>
        </w:rPr>
        <w:instrText>rise as well as suburban environments. The data were subsequently merged to generate site general path loss models. The paper presents an overview of the radio channel measurements, the measured environments, the data analysis, and the approach for the derivation of the path loss model adopted in Recommendation ITU</w:instrText>
      </w:r>
      <w:r w:rsidRPr="009B54E0">
        <w:rPr>
          <w:rFonts w:ascii="Cambria Math" w:hAnsi="Cambria Math" w:cs="Cambria Math"/>
          <w:lang w:val="en-GB"/>
        </w:rPr>
        <w:instrText>‐</w:instrText>
      </w:r>
      <w:r w:rsidRPr="009B54E0">
        <w:rPr>
          <w:rFonts w:ascii="Arial" w:hAnsi="Arial" w:cs="Arial"/>
          <w:lang w:val="en-GB"/>
        </w:rPr>
        <w:instrText>R P.1411</w:instrText>
      </w:r>
      <w:r w:rsidRPr="009B54E0">
        <w:rPr>
          <w:rFonts w:ascii="Cambria Math" w:hAnsi="Cambria Math" w:cs="Cambria Math"/>
          <w:lang w:val="en-GB"/>
        </w:rPr>
        <w:instrText>‐</w:instrText>
      </w:r>
      <w:r w:rsidRPr="009B54E0">
        <w:rPr>
          <w:rFonts w:ascii="Arial" w:hAnsi="Arial" w:cs="Arial"/>
          <w:lang w:val="en-GB"/>
        </w:rPr>
        <w:instrText>10 (2019</w:instrText>
      </w:r>
      <w:r w:rsidRPr="009B54E0">
        <w:rPr>
          <w:rFonts w:ascii="Cambria Math" w:hAnsi="Cambria Math" w:cs="Cambria Math"/>
          <w:lang w:val="en-GB"/>
        </w:rPr>
        <w:instrText>‐</w:instrText>
      </w:r>
      <w:r w:rsidRPr="009B54E0">
        <w:rPr>
          <w:rFonts w:ascii="Arial" w:hAnsi="Arial" w:cs="Arial"/>
          <w:lang w:val="en-GB"/>
        </w:rPr>
        <w:instrText>08).","author":[{"dropping-particle":"","family":"Salous","given":"S","non-dropping-particle":"","parse-names":false,"suffix":""},{"dropping-particle":"","family":"Lee","given":"J","non-dropping-particle":"","parse-names":false,"suffix":""},{"dropping-particle":"","family":"Kim","given":"M D","non-dropping-particle":"","parse-names":false,"suffix":""},{"dropping-particle":"","family":"Sasaki","given":"M","non-dropping-particle":"","parse-names":false,"suffix":""},{"dropping-particle":"","family":"Yamada","given":"W","non-dropping-particle":"","parse-names":false,"suffix":""},{"dropping-particle":"","family":"Raimundo","given":"X","non-dropping-particle":"","parse-names":false,"suffix":""},{"dropping-particle":"","family":"Cheema","given":"A A","non-dropping-particle":"","parse-names":false,"suffix":""}],"container-title":"Radio Science","id":"ITEM-1","issue":"1","issued":{"date-parts":[["2020","1","20"]]},"page":"1-12","title":"Radio propagation measurements and modeling for standardization of the site general path loss model in International Telecommunications Union recommendations for 5G wireless networks","type":"article-journal","volume":"55"},"uris":["http://www.mendeley.com/documents/?uuid=6fe79bd1-4a9c-4aa9-afe4-095ca28be8f0"]},{"id":"ITEM-2","itemData":{"DOI":"10.1002/2018RS006536","ISSN":"0048-6604","abstract":"A modified indoor path loss prediction model is presented, namely, effective wall loss model. The modified model is compared to other indoor path loss prediction models using simulation data and real</w:instrText>
      </w:r>
      <w:r w:rsidRPr="009B54E0">
        <w:rPr>
          <w:rFonts w:ascii="Cambria Math" w:hAnsi="Cambria Math" w:cs="Cambria Math"/>
          <w:lang w:val="en-GB"/>
        </w:rPr>
        <w:instrText>‐</w:instrText>
      </w:r>
      <w:r w:rsidRPr="009B54E0">
        <w:rPr>
          <w:rFonts w:ascii="Arial" w:hAnsi="Arial" w:cs="Arial"/>
          <w:lang w:val="en-GB"/>
        </w:rPr>
        <w:instrText>time measurements. Different operating frequencies and antenna polarizations are considered to verify the observations. In the simulation part, effective wall loss model shows the best performance among other models as it outperforms 2 times the dual</w:instrText>
      </w:r>
      <w:r w:rsidRPr="009B54E0">
        <w:rPr>
          <w:rFonts w:ascii="Cambria Math" w:hAnsi="Cambria Math" w:cs="Cambria Math"/>
          <w:lang w:val="en-GB"/>
        </w:rPr>
        <w:instrText>‐</w:instrText>
      </w:r>
      <w:r w:rsidRPr="009B54E0">
        <w:rPr>
          <w:rFonts w:ascii="Arial" w:hAnsi="Arial" w:cs="Arial"/>
          <w:lang w:val="en-GB"/>
        </w:rPr>
        <w:instrText>slope model, which is the second best performance. Similar observations were recorded from the experimental results. Linear attenuation and one</w:instrText>
      </w:r>
      <w:r w:rsidRPr="009B54E0">
        <w:rPr>
          <w:rFonts w:ascii="Cambria Math" w:hAnsi="Cambria Math" w:cs="Cambria Math"/>
          <w:lang w:val="en-GB"/>
        </w:rPr>
        <w:instrText>‐</w:instrText>
      </w:r>
      <w:r w:rsidRPr="009B54E0">
        <w:rPr>
          <w:rFonts w:ascii="Arial" w:hAnsi="Arial" w:cs="Arial"/>
          <w:lang w:val="en-GB"/>
        </w:rPr>
        <w:instrText>slope models have similar behavior, the two models parameters show dependency on operating frequency and antenna polarization.","author":[{"dropping-particle":"","family":"Obeidat","given":"H. A.","non-dropping-particle":"","parse-names":false,"suffix":""},{"dropping-particle":"","family":"Asif","given":"R.","non-dropping-particle":"","parse-names":false,"suffix":""},{"dropping-particle":"","family":"Ali","given":"N. T.","non-dropping-particle":"","parse-names":false,"suffix":""},{"dropping-particle":"","family":"Dama","given":"Y. A.","non-dropping-particle":"","parse-names":false,"suffix":""},{"dropping-particle":"","family":"Obeidat","given":"O. A.","non-dropping-particle":"","parse-names":false,"suffix":""},{"dropping-particle":"","family":"Jones","given":"S. M. R.","non-dropping-particle":"","parse-names":false,"suffix":""},{"dropping-particle":"","family":"Shuaieb","given":"W. S.","non-dropping-particle":"","parse-names":false,"suffix":""},{"dropping-particle":"","family":"Al</w:instrText>
      </w:r>
      <w:r w:rsidRPr="009B54E0">
        <w:rPr>
          <w:rFonts w:ascii="Cambria Math" w:hAnsi="Cambria Math" w:cs="Cambria Math"/>
          <w:lang w:val="en-GB"/>
        </w:rPr>
        <w:instrText>‐</w:instrText>
      </w:r>
      <w:r w:rsidRPr="009B54E0">
        <w:rPr>
          <w:rFonts w:ascii="Arial" w:hAnsi="Arial" w:cs="Arial"/>
          <w:lang w:val="en-GB"/>
        </w:rPr>
        <w:instrText>Sadoon","given":"M. A.","non-dropping-particle":"","parse-names":false,"suffix":""},{"dropping-particle":"","family":"Hameed","given":"K. W.","non-dropping-particle":"","parse-names":false,"suffix":""},{"dropping-particle":"","family":"Alabdullah","given":"A. A.","non-dropping-particle":"","parse-names":false,"suffix":""},{"dropping-particle":"","family":"Abd</w:instrText>
      </w:r>
      <w:r w:rsidRPr="009B54E0">
        <w:rPr>
          <w:rFonts w:ascii="Cambria Math" w:hAnsi="Cambria Math" w:cs="Cambria Math"/>
          <w:lang w:val="en-GB"/>
        </w:rPr>
        <w:instrText>‐</w:instrText>
      </w:r>
      <w:r w:rsidRPr="009B54E0">
        <w:rPr>
          <w:rFonts w:ascii="Arial" w:hAnsi="Arial" w:cs="Arial"/>
          <w:lang w:val="en-GB"/>
        </w:rPr>
        <w:instrText>Alhameed","given":"R. A.","non-dropping-particle":"","parse-names":false,"suffix":""}],"container-title":"Radio Science","id":"ITEM-2","issue":"4","issued":{"date-parts":[["2018","4","20"]]},"page":"544-564","title":"An Indoor Path Loss Prediction Model Using Wall Correction Factors for Wireless Local Area Network and 5G Indoor Networks","type":"article-journal","volume":"53"},"uris":["http://www.mendeley.com/documents/?uuid=542984ef-206d-4869-9819-d1216639e8df"]}],"mendeley":{"formattedCitation":"(Obeidat et al., 2018; Salous et al., 2020)","plainTextFormattedCitation":"(Obeidat et al., 2018; Salous et al., 2020)"},"properties":{"noteIndex":0},"schema":"https://github.com/citation-style-language/schema/raw/master/csl-citation.json"}</w:instrText>
      </w:r>
      <w:r w:rsidRPr="009B54E0">
        <w:rPr>
          <w:rFonts w:ascii="Arial" w:hAnsi="Arial" w:cs="Arial"/>
          <w:lang w:val="en-GB"/>
        </w:rPr>
        <w:fldChar w:fldCharType="separate"/>
      </w:r>
      <w:r w:rsidRPr="009B54E0">
        <w:rPr>
          <w:rFonts w:ascii="Arial" w:hAnsi="Arial" w:cs="Arial"/>
          <w:lang w:val="en-GB"/>
        </w:rPr>
        <w:t>(Obeidat et al., 2018; Salous et al., 2020)</w:t>
      </w:r>
      <w:r w:rsidRPr="009B54E0">
        <w:rPr>
          <w:rFonts w:ascii="Arial" w:hAnsi="Arial" w:cs="Arial"/>
        </w:rPr>
        <w:fldChar w:fldCharType="end"/>
      </w:r>
    </w:p>
    <w:p w14:paraId="65F7676D" w14:textId="77777777" w:rsidR="009B54E0" w:rsidRPr="009B54E0" w:rsidRDefault="009B54E0" w:rsidP="009B54E0">
      <w:pPr>
        <w:pStyle w:val="Body"/>
        <w:spacing w:after="0"/>
        <w:rPr>
          <w:rFonts w:ascii="Arial" w:hAnsi="Arial" w:cs="Arial"/>
          <w:lang w:val="en-GB"/>
        </w:rPr>
      </w:pPr>
      <w:r w:rsidRPr="009B54E0">
        <w:rPr>
          <w:rFonts w:ascii="Arial" w:hAnsi="Arial" w:cs="Arial"/>
          <w:b/>
          <w:bCs/>
          <w:lang w:val="en-GB"/>
        </w:rPr>
        <w:t xml:space="preserve">ERICSSON Model </w:t>
      </w:r>
    </w:p>
    <w:p w14:paraId="5F47B675"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Model 9999 is the Ericsson's implementation of Hata model. In this model parameter is possible according to propagation environment. The path loss PL is given as</w:t>
      </w:r>
    </w:p>
    <w:p w14:paraId="5D2F9BFD" w14:textId="77777777" w:rsidR="009B54E0" w:rsidRPr="009B54E0" w:rsidRDefault="00000000" w:rsidP="009B54E0">
      <w:pPr>
        <w:pStyle w:val="Body"/>
        <w:spacing w:after="0"/>
        <w:rPr>
          <w:rFonts w:ascii="Arial" w:hAnsi="Arial" w:cs="Arial"/>
          <w:lang w:val="en-GB"/>
        </w:rPr>
      </w:pPr>
      <m:oMathPara>
        <m:oMath>
          <m:sSub>
            <m:sSubPr>
              <m:ctrlPr>
                <w:rPr>
                  <w:rFonts w:ascii="Cambria Math" w:hAnsi="Cambria Math" w:cs="Arial"/>
                  <w:i/>
                  <w:lang w:val="en-GB"/>
                </w:rPr>
              </m:ctrlPr>
            </m:sSubPr>
            <m:e>
              <m:r>
                <w:rPr>
                  <w:rFonts w:ascii="Cambria Math" w:hAnsi="Cambria Math" w:cs="Arial"/>
                  <w:lang w:val="en-GB"/>
                </w:rPr>
                <m:t>P</m:t>
              </m:r>
            </m:e>
            <m:sub>
              <m:r>
                <w:rPr>
                  <w:rFonts w:ascii="Cambria Math" w:hAnsi="Cambria Math" w:cs="Arial"/>
                  <w:lang w:val="en-GB"/>
                </w:rPr>
                <m:t>L</m:t>
              </m:r>
            </m:sub>
          </m:sSub>
          <m:d>
            <m:dPr>
              <m:ctrlPr>
                <w:rPr>
                  <w:rFonts w:ascii="Cambria Math" w:hAnsi="Cambria Math" w:cs="Arial"/>
                  <w:i/>
                  <w:lang w:val="en-GB"/>
                </w:rPr>
              </m:ctrlPr>
            </m:dPr>
            <m:e>
              <m:r>
                <w:rPr>
                  <w:rFonts w:ascii="Cambria Math" w:hAnsi="Cambria Math" w:cs="Arial"/>
                  <w:lang w:val="en-GB"/>
                </w:rPr>
                <m:t>dB</m:t>
              </m:r>
            </m:e>
          </m:d>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0</m:t>
              </m:r>
            </m:sub>
          </m:sSub>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1</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d</m:t>
                  </m:r>
                </m:e>
              </m:d>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2</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func>
          <m:r>
            <w:rPr>
              <w:rFonts w:ascii="Cambria Math" w:hAnsi="Cambria Math" w:cs="Arial"/>
              <w:lang w:val="en-GB"/>
            </w:rPr>
            <m:t>+</m:t>
          </m:r>
          <m:sSub>
            <m:sSubPr>
              <m:ctrlPr>
                <w:rPr>
                  <w:rFonts w:ascii="Cambria Math" w:hAnsi="Cambria Math" w:cs="Arial"/>
                  <w:i/>
                  <w:lang w:val="en-GB"/>
                </w:rPr>
              </m:ctrlPr>
            </m:sSubPr>
            <m:e>
              <m:r>
                <w:rPr>
                  <w:rFonts w:ascii="Cambria Math" w:hAnsi="Cambria Math" w:cs="Arial"/>
                  <w:lang w:val="en-GB"/>
                </w:rPr>
                <m:t>a</m:t>
              </m:r>
            </m:e>
            <m:sub>
              <m:r>
                <w:rPr>
                  <w:rFonts w:ascii="Cambria Math" w:hAnsi="Cambria Math" w:cs="Arial"/>
                  <w:lang w:val="en-GB"/>
                </w:rPr>
                <m:t>3</m:t>
              </m:r>
            </m:sub>
          </m:sSub>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b</m:t>
                      </m:r>
                    </m:sub>
                  </m:sSub>
                </m:e>
              </m:d>
            </m:e>
          </m:func>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d</m:t>
                  </m:r>
                </m:e>
              </m:d>
            </m:e>
          </m:func>
          <m:r>
            <w:rPr>
              <w:rFonts w:ascii="Cambria Math" w:hAnsi="Cambria Math" w:cs="Arial"/>
              <w:lang w:val="en-GB"/>
            </w:rPr>
            <m:t>-3.2(</m:t>
          </m:r>
          <m:func>
            <m:funcPr>
              <m:ctrlPr>
                <w:rPr>
                  <w:rFonts w:ascii="Cambria Math" w:hAnsi="Cambria Math" w:cs="Arial"/>
                  <w:lang w:val="en-GB"/>
                </w:rPr>
              </m:ctrlPr>
            </m:funcPr>
            <m:fName>
              <m:r>
                <m:rPr>
                  <m:sty m:val="p"/>
                </m:rPr>
                <w:rPr>
                  <w:rFonts w:ascii="Cambria Math" w:hAnsi="Cambria Math" w:cs="Arial"/>
                  <w:lang w:val="en-GB"/>
                </w:rPr>
                <m:t>log</m:t>
              </m:r>
              <m:ctrlPr>
                <w:rPr>
                  <w:rFonts w:ascii="Cambria Math" w:hAnsi="Cambria Math" w:cs="Arial"/>
                  <w:i/>
                  <w:lang w:val="en-GB"/>
                </w:rPr>
              </m:ctrlPr>
            </m:fName>
            <m:e>
              <m:d>
                <m:dPr>
                  <m:ctrlPr>
                    <w:rPr>
                      <w:rFonts w:ascii="Cambria Math" w:hAnsi="Cambria Math" w:cs="Arial"/>
                      <w:i/>
                      <w:lang w:val="en-GB"/>
                    </w:rPr>
                  </m:ctrlPr>
                </m:dPr>
                <m:e>
                  <m:r>
                    <w:rPr>
                      <w:rFonts w:ascii="Cambria Math" w:hAnsi="Cambria Math" w:cs="Arial"/>
                      <w:lang w:val="en-GB"/>
                    </w:rPr>
                    <m:t>11.75</m:t>
                  </m:r>
                  <m:sSub>
                    <m:sSubPr>
                      <m:ctrlPr>
                        <w:rPr>
                          <w:rFonts w:ascii="Cambria Math" w:hAnsi="Cambria Math" w:cs="Arial"/>
                          <w:i/>
                          <w:lang w:val="en-GB"/>
                        </w:rPr>
                      </m:ctrlPr>
                    </m:sSubPr>
                    <m:e>
                      <m:r>
                        <w:rPr>
                          <w:rFonts w:ascii="Cambria Math" w:hAnsi="Cambria Math" w:cs="Arial"/>
                          <w:lang w:val="en-GB"/>
                        </w:rPr>
                        <m:t>h</m:t>
                      </m:r>
                    </m:e>
                    <m:sub>
                      <m:r>
                        <w:rPr>
                          <w:rFonts w:ascii="Cambria Math" w:hAnsi="Cambria Math" w:cs="Arial"/>
                          <w:lang w:val="en-GB"/>
                        </w:rPr>
                        <m:t>m</m:t>
                      </m:r>
                    </m:sub>
                  </m:sSub>
                </m:e>
              </m:d>
            </m:e>
          </m:func>
          <m:sSup>
            <m:sSupPr>
              <m:ctrlPr>
                <w:rPr>
                  <w:rFonts w:ascii="Cambria Math" w:hAnsi="Cambria Math" w:cs="Arial"/>
                  <w:i/>
                  <w:lang w:val="en-GB"/>
                </w:rPr>
              </m:ctrlPr>
            </m:sSupPr>
            <m:e>
              <m:r>
                <w:rPr>
                  <w:rFonts w:ascii="Cambria Math" w:hAnsi="Cambria Math" w:cs="Arial"/>
                  <w:lang w:val="en-GB"/>
                </w:rPr>
                <m:t>)</m:t>
              </m:r>
            </m:e>
            <m:sup>
              <m:r>
                <w:rPr>
                  <w:rFonts w:ascii="Cambria Math" w:hAnsi="Cambria Math" w:cs="Arial"/>
                  <w:lang w:val="en-GB"/>
                </w:rPr>
                <m:t>2</m:t>
              </m:r>
            </m:sup>
          </m:sSup>
          <m:r>
            <w:rPr>
              <w:rFonts w:ascii="Cambria Math" w:hAnsi="Cambria Math" w:cs="Arial"/>
              <w:lang w:val="en-GB"/>
            </w:rPr>
            <m:t>+g(f)</m:t>
          </m:r>
        </m:oMath>
      </m:oMathPara>
    </w:p>
    <w:p w14:paraId="068031EC" w14:textId="77777777" w:rsidR="009B54E0" w:rsidRPr="009B54E0" w:rsidRDefault="009B54E0" w:rsidP="009B54E0">
      <w:pPr>
        <w:pStyle w:val="Body"/>
        <w:spacing w:after="0"/>
        <w:rPr>
          <w:rFonts w:ascii="Arial" w:hAnsi="Arial" w:cs="Arial"/>
          <w:lang w:val="en-GB"/>
        </w:rPr>
      </w:pPr>
      <w:r w:rsidRPr="009B54E0">
        <w:rPr>
          <w:rFonts w:ascii="Arial" w:hAnsi="Arial" w:cs="Arial"/>
          <w:lang w:val="en-GB"/>
        </w:rPr>
        <w:t xml:space="preserve">Where </w:t>
      </w:r>
      <m:oMath>
        <m:r>
          <w:rPr>
            <w:rFonts w:ascii="Cambria Math" w:hAnsi="Cambria Math" w:cs="Arial"/>
            <w:lang w:val="en-GB"/>
          </w:rPr>
          <m:t>g</m:t>
        </m:r>
        <m:d>
          <m:dPr>
            <m:ctrlPr>
              <w:rPr>
                <w:rFonts w:ascii="Cambria Math" w:hAnsi="Cambria Math" w:cs="Arial"/>
                <w:i/>
                <w:lang w:val="en-GB"/>
              </w:rPr>
            </m:ctrlPr>
          </m:dPr>
          <m:e>
            <m:r>
              <w:rPr>
                <w:rFonts w:ascii="Cambria Math" w:hAnsi="Cambria Math" w:cs="Arial"/>
                <w:lang w:val="en-GB"/>
              </w:rPr>
              <m:t>f</m:t>
            </m:r>
          </m:e>
        </m:d>
        <m:r>
          <w:rPr>
            <w:rFonts w:ascii="Cambria Math" w:hAnsi="Cambria Math" w:cs="Arial"/>
            <w:lang w:val="en-GB"/>
          </w:rPr>
          <m:t>=44.49</m:t>
        </m:r>
        <m:func>
          <m:funcPr>
            <m:ctrlPr>
              <w:rPr>
                <w:rFonts w:ascii="Cambria Math" w:hAnsi="Cambria Math" w:cs="Arial"/>
                <w:lang w:val="en-GB"/>
              </w:rPr>
            </m:ctrlPr>
          </m:funcPr>
          <m:fName>
            <m:r>
              <m:rPr>
                <m:sty m:val="p"/>
              </m:rPr>
              <w:rPr>
                <w:rFonts w:ascii="Cambria Math" w:hAnsi="Cambria Math" w:cs="Arial"/>
                <w:lang w:val="en-GB"/>
              </w:rPr>
              <m:t>log</m:t>
            </m:r>
          </m:fName>
          <m:e>
            <m:d>
              <m:dPr>
                <m:ctrlPr>
                  <w:rPr>
                    <w:rFonts w:ascii="Cambria Math" w:hAnsi="Cambria Math" w:cs="Arial"/>
                    <w:i/>
                    <w:lang w:val="en-GB"/>
                  </w:rPr>
                </m:ctrlPr>
              </m:dPr>
              <m:e>
                <m:r>
                  <w:rPr>
                    <w:rFonts w:ascii="Cambria Math" w:hAnsi="Cambria Math" w:cs="Arial"/>
                    <w:lang w:val="en-GB"/>
                  </w:rPr>
                  <m:t>f</m:t>
                </m:r>
              </m:e>
            </m:d>
          </m:e>
        </m:func>
        <m:r>
          <w:rPr>
            <w:rFonts w:ascii="Cambria Math" w:hAnsi="Cambria Math" w:cs="Arial"/>
            <w:lang w:val="en-GB"/>
          </w:rPr>
          <m:t>-4.78(</m:t>
        </m:r>
        <m:r>
          <m:rPr>
            <m:sty m:val="p"/>
          </m:rPr>
          <w:rPr>
            <w:rFonts w:ascii="Cambria Math" w:hAnsi="Cambria Math" w:cs="Arial"/>
            <w:lang w:val="en-GB"/>
          </w:rPr>
          <m:t>log⁡</m:t>
        </m:r>
        <m:r>
          <w:rPr>
            <w:rFonts w:ascii="Cambria Math" w:hAnsi="Cambria Math" w:cs="Arial"/>
            <w:lang w:val="en-GB"/>
          </w:rPr>
          <m:t>(f)</m:t>
        </m:r>
        <m:sSup>
          <m:sSupPr>
            <m:ctrlPr>
              <w:rPr>
                <w:rFonts w:ascii="Cambria Math" w:hAnsi="Cambria Math" w:cs="Arial"/>
                <w:i/>
                <w:lang w:val="en-GB"/>
              </w:rPr>
            </m:ctrlPr>
          </m:sSupPr>
          <m:e>
            <m:r>
              <w:rPr>
                <w:rFonts w:ascii="Cambria Math" w:hAnsi="Cambria Math" w:cs="Arial"/>
                <w:lang w:val="en-GB"/>
              </w:rPr>
              <m:t>)</m:t>
            </m:r>
          </m:e>
          <m:sup>
            <m:r>
              <w:rPr>
                <w:rFonts w:ascii="Cambria Math" w:hAnsi="Cambria Math" w:cs="Arial"/>
                <w:lang w:val="en-GB"/>
              </w:rPr>
              <m:t>2</m:t>
            </m:r>
          </m:sup>
        </m:sSup>
      </m:oMath>
      <w:r w:rsidRPr="009B54E0">
        <w:rPr>
          <w:rFonts w:ascii="Arial" w:hAnsi="Arial" w:cs="Arial"/>
          <w:lang w:val="en-GB"/>
        </w:rPr>
        <w:tab/>
      </w:r>
      <w:r w:rsidRPr="009B54E0">
        <w:rPr>
          <w:rFonts w:ascii="Arial" w:hAnsi="Arial" w:cs="Arial"/>
          <w:lang w:val="en-GB"/>
        </w:rPr>
        <w:tab/>
      </w:r>
      <w:r w:rsidRPr="009B54E0">
        <w:rPr>
          <w:rFonts w:ascii="Arial" w:hAnsi="Arial" w:cs="Arial"/>
          <w:lang w:val="en-GB"/>
        </w:rPr>
        <w:tab/>
      </w:r>
      <w:r w:rsidRPr="009B54E0">
        <w:rPr>
          <w:rFonts w:ascii="Arial" w:hAnsi="Arial" w:cs="Arial"/>
          <w:lang w:val="en-GB"/>
        </w:rPr>
        <w:tab/>
        <w:t>(6)</w:t>
      </w:r>
    </w:p>
    <w:p w14:paraId="7F07EB9E" w14:textId="77777777" w:rsidR="00790ADA" w:rsidRPr="00FB3A86" w:rsidRDefault="009B54E0" w:rsidP="009B54E0">
      <w:pPr>
        <w:pStyle w:val="Body"/>
        <w:spacing w:after="0"/>
        <w:rPr>
          <w:rFonts w:ascii="Arial" w:hAnsi="Arial" w:cs="Arial"/>
        </w:rPr>
      </w:pPr>
      <w:r w:rsidRPr="009B54E0">
        <w:rPr>
          <w:rFonts w:ascii="Arial" w:hAnsi="Arial" w:cs="Arial"/>
          <w:lang w:val="en-GB"/>
        </w:rPr>
        <w:t xml:space="preserve">The parameters </w:t>
      </w:r>
      <w:proofErr w:type="spellStart"/>
      <w:proofErr w:type="gramStart"/>
      <w:r w:rsidRPr="009B54E0">
        <w:rPr>
          <w:rFonts w:ascii="Arial" w:hAnsi="Arial" w:cs="Arial"/>
          <w:lang w:val="en-GB"/>
        </w:rPr>
        <w:t>a</w:t>
      </w:r>
      <w:r w:rsidRPr="009B54E0">
        <w:rPr>
          <w:rFonts w:ascii="Arial" w:hAnsi="Arial" w:cs="Arial"/>
          <w:vertAlign w:val="subscript"/>
          <w:lang w:val="en-GB"/>
        </w:rPr>
        <w:t>o</w:t>
      </w:r>
      <w:proofErr w:type="spellEnd"/>
      <w:r w:rsidRPr="009B54E0">
        <w:rPr>
          <w:rFonts w:ascii="Arial" w:hAnsi="Arial" w:cs="Arial"/>
          <w:lang w:val="en-GB"/>
        </w:rPr>
        <w:t xml:space="preserve"> ,</w:t>
      </w:r>
      <w:proofErr w:type="gramEnd"/>
      <w:r w:rsidRPr="009B54E0">
        <w:rPr>
          <w:rFonts w:ascii="Arial" w:hAnsi="Arial" w:cs="Arial"/>
          <w:lang w:val="en-GB"/>
        </w:rPr>
        <w:t xml:space="preserve"> a</w:t>
      </w:r>
      <w:r w:rsidRPr="009B54E0">
        <w:rPr>
          <w:rFonts w:ascii="Arial" w:hAnsi="Arial" w:cs="Arial"/>
          <w:vertAlign w:val="subscript"/>
          <w:lang w:val="en-GB"/>
        </w:rPr>
        <w:t>1</w:t>
      </w:r>
      <w:r w:rsidRPr="009B54E0">
        <w:rPr>
          <w:rFonts w:ascii="Arial" w:hAnsi="Arial" w:cs="Arial"/>
          <w:lang w:val="en-GB"/>
        </w:rPr>
        <w:t xml:space="preserve"> , a</w:t>
      </w:r>
      <w:r w:rsidRPr="009B54E0">
        <w:rPr>
          <w:rFonts w:ascii="Arial" w:hAnsi="Arial" w:cs="Arial"/>
          <w:vertAlign w:val="subscript"/>
          <w:lang w:val="en-GB"/>
        </w:rPr>
        <w:t>2</w:t>
      </w:r>
      <w:r w:rsidRPr="009B54E0">
        <w:rPr>
          <w:rFonts w:ascii="Arial" w:hAnsi="Arial" w:cs="Arial"/>
          <w:lang w:val="en-GB"/>
        </w:rPr>
        <w:t xml:space="preserve"> and a</w:t>
      </w:r>
      <w:r w:rsidRPr="009B54E0">
        <w:rPr>
          <w:rFonts w:ascii="Arial" w:hAnsi="Arial" w:cs="Arial"/>
          <w:vertAlign w:val="subscript"/>
          <w:lang w:val="en-GB"/>
        </w:rPr>
        <w:t>3</w:t>
      </w:r>
      <w:r w:rsidRPr="009B54E0">
        <w:rPr>
          <w:rFonts w:ascii="Arial" w:hAnsi="Arial" w:cs="Arial"/>
          <w:lang w:val="en-GB"/>
        </w:rPr>
        <w:t xml:space="preserve"> are constants, and can be change for better fitting specific propagation conditions. Default values are </w:t>
      </w:r>
      <w:proofErr w:type="spellStart"/>
      <w:r w:rsidRPr="009B54E0">
        <w:rPr>
          <w:rFonts w:ascii="Arial" w:hAnsi="Arial" w:cs="Arial"/>
          <w:lang w:val="en-GB"/>
        </w:rPr>
        <w:t>a</w:t>
      </w:r>
      <w:r w:rsidRPr="009B54E0">
        <w:rPr>
          <w:rFonts w:ascii="Arial" w:hAnsi="Arial" w:cs="Arial"/>
          <w:vertAlign w:val="subscript"/>
          <w:lang w:val="en-GB"/>
        </w:rPr>
        <w:t>o</w:t>
      </w:r>
      <w:proofErr w:type="spellEnd"/>
      <w:r w:rsidRPr="009B54E0">
        <w:rPr>
          <w:rFonts w:ascii="Arial" w:hAnsi="Arial" w:cs="Arial"/>
          <w:lang w:val="en-GB"/>
        </w:rPr>
        <w:t xml:space="preserve"> = 36.2, a</w:t>
      </w:r>
      <w:r w:rsidRPr="009B54E0">
        <w:rPr>
          <w:rFonts w:ascii="Arial" w:hAnsi="Arial" w:cs="Arial"/>
          <w:vertAlign w:val="subscript"/>
          <w:lang w:val="en-GB"/>
        </w:rPr>
        <w:t>1</w:t>
      </w:r>
      <w:r w:rsidRPr="009B54E0">
        <w:rPr>
          <w:rFonts w:ascii="Arial" w:hAnsi="Arial" w:cs="Arial"/>
          <w:lang w:val="en-GB"/>
        </w:rPr>
        <w:t>=30.2, a</w:t>
      </w:r>
      <w:r w:rsidRPr="009B54E0">
        <w:rPr>
          <w:rFonts w:ascii="Arial" w:hAnsi="Arial" w:cs="Arial"/>
          <w:vertAlign w:val="subscript"/>
          <w:lang w:val="en-GB"/>
        </w:rPr>
        <w:t>2</w:t>
      </w:r>
      <w:r w:rsidRPr="009B54E0">
        <w:rPr>
          <w:rFonts w:ascii="Arial" w:hAnsi="Arial" w:cs="Arial"/>
          <w:lang w:val="en-GB"/>
        </w:rPr>
        <w:t>=-12, and a</w:t>
      </w:r>
      <w:r w:rsidRPr="009B54E0">
        <w:rPr>
          <w:rFonts w:ascii="Arial" w:hAnsi="Arial" w:cs="Arial"/>
          <w:vertAlign w:val="subscript"/>
          <w:lang w:val="en-GB"/>
        </w:rPr>
        <w:t>3</w:t>
      </w:r>
      <w:r w:rsidRPr="009B54E0">
        <w:rPr>
          <w:rFonts w:ascii="Arial" w:hAnsi="Arial" w:cs="Arial"/>
          <w:lang w:val="en-GB"/>
        </w:rPr>
        <w:t>=0.4</w:t>
      </w:r>
    </w:p>
    <w:p w14:paraId="6DE71823"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595EDC6" w14:textId="77777777" w:rsidR="00924E2E" w:rsidRPr="00924E2E" w:rsidRDefault="00924E2E" w:rsidP="00924E2E">
      <w:pPr>
        <w:pStyle w:val="Body"/>
        <w:spacing w:after="0"/>
        <w:rPr>
          <w:rFonts w:ascii="Arial" w:hAnsi="Arial" w:cs="Arial"/>
          <w:b/>
        </w:rPr>
      </w:pPr>
      <w:r w:rsidRPr="00924E2E">
        <w:rPr>
          <w:rFonts w:ascii="Arial" w:hAnsi="Arial" w:cs="Arial"/>
          <w:b/>
        </w:rPr>
        <w:t>Experimental Site</w:t>
      </w:r>
    </w:p>
    <w:p w14:paraId="73CFB6E5" w14:textId="77777777" w:rsidR="00924E2E" w:rsidRPr="00924E2E" w:rsidRDefault="00924E2E" w:rsidP="00924E2E">
      <w:pPr>
        <w:pStyle w:val="Body"/>
        <w:spacing w:after="0"/>
        <w:rPr>
          <w:rFonts w:ascii="Arial" w:hAnsi="Arial" w:cs="Arial"/>
        </w:rPr>
      </w:pPr>
      <w:r w:rsidRPr="00924E2E">
        <w:rPr>
          <w:rFonts w:ascii="Arial" w:hAnsi="Arial" w:cs="Arial"/>
          <w:lang w:val="en-GB"/>
        </w:rPr>
        <w:t>The research was conducted across several areas in Abuja, Nigeria. These areas were randomly chosen to capture a variety of environmental factors and geographical features, ranging from densely populated urban centres to sparsely populated suburban and rural regions. This is to assess how different geographic and demographic conditions affect the performance of a 5G network in terms of signal strength, signal-to-noise ratio (SNR), multi-path fading, delay spread, interference, and overall network reliability</w:t>
      </w:r>
    </w:p>
    <w:p w14:paraId="02A85399" w14:textId="77777777" w:rsidR="00924E2E" w:rsidRPr="00924E2E" w:rsidRDefault="00924E2E" w:rsidP="00924E2E">
      <w:pPr>
        <w:pStyle w:val="Body"/>
        <w:spacing w:after="0"/>
        <w:rPr>
          <w:rFonts w:ascii="Arial" w:hAnsi="Arial" w:cs="Arial"/>
          <w:lang w:val="en-GB"/>
        </w:rPr>
      </w:pPr>
      <w:r w:rsidRPr="00924E2E">
        <w:rPr>
          <w:rFonts w:ascii="Arial" w:hAnsi="Arial" w:cs="Arial"/>
          <w:noProof/>
          <w:lang w:val="en-GB" w:eastAsia="en-GB"/>
        </w:rPr>
        <w:lastRenderedPageBreak/>
        <w:drawing>
          <wp:inline distT="0" distB="0" distL="0" distR="0" wp14:anchorId="51658E6A" wp14:editId="4015557F">
            <wp:extent cx="5622947" cy="2442663"/>
            <wp:effectExtent l="0" t="0" r="0" b="0"/>
            <wp:docPr id="20" name="Picture 20" descr="C:\Users\Hp\AppData\Local\Packages\Microsoft.Windows.Photos_8wekyb3d8bbwe\TempState\ShareServiceTempFolder\study area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Microsoft.Windows.Photos_8wekyb3d8bbwe\TempState\ShareServiceTempFolder\study area 3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6487" cy="2444201"/>
                    </a:xfrm>
                    <a:prstGeom prst="rect">
                      <a:avLst/>
                    </a:prstGeom>
                    <a:noFill/>
                    <a:ln>
                      <a:noFill/>
                    </a:ln>
                  </pic:spPr>
                </pic:pic>
              </a:graphicData>
            </a:graphic>
          </wp:inline>
        </w:drawing>
      </w:r>
    </w:p>
    <w:p w14:paraId="0E9BD759"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Figure 3. Environmental Set-up of the Experimental Site</w:t>
      </w:r>
    </w:p>
    <w:p w14:paraId="0BA11EBF" w14:textId="77777777" w:rsidR="00924E2E" w:rsidRPr="00924E2E" w:rsidRDefault="00924E2E" w:rsidP="00924E2E">
      <w:pPr>
        <w:pStyle w:val="Body"/>
        <w:spacing w:after="0"/>
        <w:rPr>
          <w:rFonts w:ascii="Arial" w:hAnsi="Arial" w:cs="Arial"/>
          <w:b/>
          <w:lang w:val="en-GB"/>
        </w:rPr>
      </w:pPr>
      <w:r w:rsidRPr="00924E2E">
        <w:rPr>
          <w:rFonts w:ascii="Arial" w:hAnsi="Arial" w:cs="Arial"/>
          <w:b/>
          <w:lang w:val="en-GB"/>
        </w:rPr>
        <w:t xml:space="preserve">Equipment Used </w:t>
      </w:r>
    </w:p>
    <w:p w14:paraId="3F252C5A"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Spectrum Analyzer:</w:t>
      </w:r>
      <w:r w:rsidRPr="00924E2E">
        <w:rPr>
          <w:rFonts w:ascii="Arial" w:hAnsi="Arial" w:cs="Arial"/>
          <w:lang w:val="en-GB"/>
        </w:rPr>
        <w:t xml:space="preserve"> A spectrum </w:t>
      </w:r>
      <w:proofErr w:type="spellStart"/>
      <w:r w:rsidRPr="00924E2E">
        <w:rPr>
          <w:rFonts w:ascii="Arial" w:hAnsi="Arial" w:cs="Arial"/>
          <w:lang w:val="en-GB"/>
        </w:rPr>
        <w:t>analyzer</w:t>
      </w:r>
      <w:proofErr w:type="spellEnd"/>
      <w:r w:rsidRPr="00924E2E">
        <w:rPr>
          <w:rFonts w:ascii="Arial" w:hAnsi="Arial" w:cs="Arial"/>
          <w:lang w:val="en-GB"/>
        </w:rPr>
        <w:t xml:space="preserve"> was used to measure the strength of electromagnetic signals. In this research, it was employed to observe and detect any interference or signal distortion. The device scans a wide frequency range and provides real-time information about the power level of the signal.</w:t>
      </w:r>
    </w:p>
    <w:p w14:paraId="10233D8F"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Drive Test Equipment (DT Equipment)</w:t>
      </w:r>
      <w:r w:rsidRPr="00924E2E">
        <w:rPr>
          <w:rFonts w:ascii="Arial" w:hAnsi="Arial" w:cs="Arial"/>
          <w:lang w:val="en-GB"/>
        </w:rPr>
        <w:t>: Drive test equipment was used to collect network performance data in real-world conditions by driving through the research areas. This equipment typically includes mobile handsets, GPS systems, and software that records signal strength, coverage, and network quality. It measures several parameters such as Received Signal Strength Indicator (RSSI), Signal-to-Noise Ratio (SNR), and call drop rates during motion.</w:t>
      </w:r>
    </w:p>
    <w:p w14:paraId="32FD47A7"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5G Mobile Handset/UE (User Equipment):</w:t>
      </w:r>
      <w:r w:rsidRPr="00924E2E">
        <w:rPr>
          <w:rFonts w:ascii="Arial" w:hAnsi="Arial" w:cs="Arial"/>
          <w:lang w:val="en-GB"/>
        </w:rPr>
        <w:t xml:space="preserve"> A 5G-enabled mobile handset was used to assess the actual user experience on the network, measuring parameters such as throughput, latency, call drop rate, and error rates. The mobile handset interacts directly with the 5G network and records the performance metrics experienced during calls or data transfers.</w:t>
      </w:r>
    </w:p>
    <w:p w14:paraId="39B2AE0E" w14:textId="77777777" w:rsidR="00924E2E" w:rsidRPr="00924E2E" w:rsidRDefault="00924E2E" w:rsidP="00924E2E">
      <w:pPr>
        <w:pStyle w:val="Body"/>
        <w:numPr>
          <w:ilvl w:val="0"/>
          <w:numId w:val="32"/>
        </w:numPr>
        <w:spacing w:after="0"/>
        <w:rPr>
          <w:rFonts w:ascii="Arial" w:hAnsi="Arial" w:cs="Arial"/>
          <w:lang w:val="en-GB"/>
        </w:rPr>
      </w:pPr>
      <w:r w:rsidRPr="00924E2E">
        <w:rPr>
          <w:rFonts w:ascii="Arial" w:hAnsi="Arial" w:cs="Arial"/>
          <w:b/>
          <w:lang w:val="en-GB"/>
        </w:rPr>
        <w:t>Power Meter</w:t>
      </w:r>
      <w:r w:rsidRPr="00924E2E">
        <w:rPr>
          <w:rFonts w:ascii="Arial" w:hAnsi="Arial" w:cs="Arial"/>
          <w:lang w:val="en-GB"/>
        </w:rPr>
        <w:t>: A power meter was used to measure the transmit power and the received power of the 5G signals at various points throughout the test areas. The power meter records the strength of the signal being transmitted and received in dBm (decibels relative to one milliwatt).</w:t>
      </w:r>
    </w:p>
    <w:p w14:paraId="16CC2781" w14:textId="77777777" w:rsidR="00924E2E" w:rsidRPr="00924E2E" w:rsidRDefault="00924E2E" w:rsidP="00924E2E">
      <w:pPr>
        <w:pStyle w:val="Body"/>
        <w:spacing w:after="0"/>
        <w:rPr>
          <w:rFonts w:ascii="Arial" w:hAnsi="Arial" w:cs="Arial"/>
          <w:b/>
          <w:lang w:val="en-GB"/>
        </w:rPr>
      </w:pPr>
      <w:r w:rsidRPr="00924E2E">
        <w:rPr>
          <w:rFonts w:ascii="Arial" w:hAnsi="Arial" w:cs="Arial"/>
          <w:b/>
          <w:lang w:val="en-GB"/>
        </w:rPr>
        <w:t>Wideband Channel Model for 5G Networks</w:t>
      </w:r>
    </w:p>
    <w:p w14:paraId="3114403A"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The </w:t>
      </w:r>
      <w:r w:rsidRPr="00924E2E">
        <w:rPr>
          <w:rFonts w:ascii="Arial" w:hAnsi="Arial" w:cs="Arial"/>
          <w:bCs/>
          <w:lang w:val="en-GB"/>
        </w:rPr>
        <w:t>3rd Generation Partnership Project (3GPP) TR 38.901</w:t>
      </w:r>
      <w:r w:rsidRPr="00924E2E">
        <w:rPr>
          <w:rFonts w:ascii="Arial" w:hAnsi="Arial" w:cs="Arial"/>
          <w:lang w:val="en-GB"/>
        </w:rPr>
        <w:t xml:space="preserve"> was adopted for this study which is a standardized channel model designed for evaluating and simulating </w:t>
      </w:r>
      <w:r w:rsidRPr="00924E2E">
        <w:rPr>
          <w:rFonts w:ascii="Arial" w:hAnsi="Arial" w:cs="Arial"/>
          <w:bCs/>
          <w:lang w:val="en-GB"/>
        </w:rPr>
        <w:t>5G radio propagation</w:t>
      </w:r>
      <w:r w:rsidRPr="00924E2E">
        <w:rPr>
          <w:rFonts w:ascii="Arial" w:hAnsi="Arial" w:cs="Arial"/>
          <w:lang w:val="en-GB"/>
        </w:rPr>
        <w:t xml:space="preserve"> across different frequency bands ranging from </w:t>
      </w:r>
      <w:r w:rsidRPr="00924E2E">
        <w:rPr>
          <w:rFonts w:ascii="Arial" w:hAnsi="Arial" w:cs="Arial"/>
          <w:bCs/>
          <w:lang w:val="en-GB"/>
        </w:rPr>
        <w:t>0.5 GHz to 100 GHz</w:t>
      </w:r>
      <w:r w:rsidRPr="00924E2E">
        <w:rPr>
          <w:rFonts w:ascii="Arial" w:hAnsi="Arial" w:cs="Arial"/>
          <w:lang w:val="en-GB"/>
        </w:rPr>
        <w:t xml:space="preserve">. It provides a comprehensive framework for </w:t>
      </w:r>
      <w:proofErr w:type="spellStart"/>
      <w:r w:rsidRPr="00924E2E">
        <w:rPr>
          <w:rFonts w:ascii="Arial" w:hAnsi="Arial" w:cs="Arial"/>
          <w:lang w:val="en-GB"/>
        </w:rPr>
        <w:t>analyzing</w:t>
      </w:r>
      <w:proofErr w:type="spellEnd"/>
      <w:r w:rsidRPr="00924E2E">
        <w:rPr>
          <w:rFonts w:ascii="Arial" w:hAnsi="Arial" w:cs="Arial"/>
          <w:lang w:val="en-GB"/>
        </w:rPr>
        <w:t xml:space="preserve"> radio wave propagation in </w:t>
      </w:r>
      <w:r w:rsidRPr="00924E2E">
        <w:rPr>
          <w:rFonts w:ascii="Arial" w:hAnsi="Arial" w:cs="Arial"/>
          <w:bCs/>
          <w:lang w:val="en-GB"/>
        </w:rPr>
        <w:t>urban, suburban, and rural environments</w:t>
      </w:r>
      <w:r w:rsidRPr="00924E2E">
        <w:rPr>
          <w:rFonts w:ascii="Arial" w:hAnsi="Arial" w:cs="Arial"/>
          <w:lang w:val="en-GB"/>
        </w:rPr>
        <w:t xml:space="preserve">, addressing the unique challenges associated with </w:t>
      </w:r>
      <w:r w:rsidRPr="00924E2E">
        <w:rPr>
          <w:rFonts w:ascii="Arial" w:hAnsi="Arial" w:cs="Arial"/>
          <w:bCs/>
          <w:lang w:val="en-GB"/>
        </w:rPr>
        <w:t xml:space="preserve">massive MIMO, beamforming, </w:t>
      </w:r>
      <w:proofErr w:type="spellStart"/>
      <w:r w:rsidRPr="00924E2E">
        <w:rPr>
          <w:rFonts w:ascii="Arial" w:hAnsi="Arial" w:cs="Arial"/>
          <w:bCs/>
          <w:lang w:val="en-GB"/>
        </w:rPr>
        <w:t>mmWave</w:t>
      </w:r>
      <w:proofErr w:type="spellEnd"/>
      <w:r w:rsidRPr="00924E2E">
        <w:rPr>
          <w:rFonts w:ascii="Arial" w:hAnsi="Arial" w:cs="Arial"/>
          <w:bCs/>
          <w:lang w:val="en-GB"/>
        </w:rPr>
        <w:t xml:space="preserve"> communications, and frequency-selective fading</w:t>
      </w:r>
      <w:r w:rsidRPr="00924E2E">
        <w:rPr>
          <w:rFonts w:ascii="Arial" w:hAnsi="Arial" w:cs="Arial"/>
          <w:lang w:val="en-GB"/>
        </w:rPr>
        <w:t xml:space="preserve"> (3GPP, 2020). The </w:t>
      </w:r>
      <w:r w:rsidRPr="00924E2E">
        <w:rPr>
          <w:rFonts w:ascii="Arial" w:hAnsi="Arial" w:cs="Arial"/>
          <w:bCs/>
          <w:lang w:val="en-GB"/>
        </w:rPr>
        <w:t>TR 38.901 channel model</w:t>
      </w:r>
      <w:r w:rsidRPr="00924E2E">
        <w:rPr>
          <w:rFonts w:ascii="Arial" w:hAnsi="Arial" w:cs="Arial"/>
          <w:lang w:val="en-GB"/>
        </w:rPr>
        <w:t xml:space="preserve"> is widely used for system-level simulations in </w:t>
      </w:r>
      <w:r w:rsidRPr="00924E2E">
        <w:rPr>
          <w:rFonts w:ascii="Arial" w:hAnsi="Arial" w:cs="Arial"/>
          <w:bCs/>
          <w:lang w:val="en-GB"/>
        </w:rPr>
        <w:t>5G New Radio (NR)</w:t>
      </w:r>
      <w:r w:rsidRPr="00924E2E">
        <w:rPr>
          <w:rFonts w:ascii="Arial" w:hAnsi="Arial" w:cs="Arial"/>
          <w:lang w:val="en-GB"/>
        </w:rPr>
        <w:t xml:space="preserve"> networks and supports </w:t>
      </w:r>
      <w:r w:rsidRPr="00924E2E">
        <w:rPr>
          <w:rFonts w:ascii="Arial" w:hAnsi="Arial" w:cs="Arial"/>
          <w:bCs/>
          <w:lang w:val="en-GB"/>
        </w:rPr>
        <w:t>both Line-of-Sight (</w:t>
      </w:r>
      <w:proofErr w:type="spellStart"/>
      <w:r w:rsidRPr="00924E2E">
        <w:rPr>
          <w:rFonts w:ascii="Arial" w:hAnsi="Arial" w:cs="Arial"/>
          <w:bCs/>
          <w:lang w:val="en-GB"/>
        </w:rPr>
        <w:t>LoS</w:t>
      </w:r>
      <w:proofErr w:type="spellEnd"/>
      <w:r w:rsidRPr="00924E2E">
        <w:rPr>
          <w:rFonts w:ascii="Arial" w:hAnsi="Arial" w:cs="Arial"/>
          <w:bCs/>
          <w:lang w:val="en-GB"/>
        </w:rPr>
        <w:t>) and Non-Line-of-Sight (</w:t>
      </w:r>
      <w:proofErr w:type="spellStart"/>
      <w:r w:rsidRPr="00924E2E">
        <w:rPr>
          <w:rFonts w:ascii="Arial" w:hAnsi="Arial" w:cs="Arial"/>
          <w:bCs/>
          <w:lang w:val="en-GB"/>
        </w:rPr>
        <w:t>NLoS</w:t>
      </w:r>
      <w:proofErr w:type="spellEnd"/>
      <w:r w:rsidRPr="00924E2E">
        <w:rPr>
          <w:rFonts w:ascii="Arial" w:hAnsi="Arial" w:cs="Arial"/>
          <w:bCs/>
          <w:lang w:val="en-GB"/>
        </w:rPr>
        <w:t>) conditions</w:t>
      </w:r>
      <w:r w:rsidRPr="00924E2E">
        <w:rPr>
          <w:rFonts w:ascii="Arial" w:hAnsi="Arial" w:cs="Arial"/>
          <w:lang w:val="en-GB"/>
        </w:rPr>
        <w:t>, making it essential for evaluating network performance under realistic scenarios as indicated in Table 1.</w:t>
      </w:r>
    </w:p>
    <w:p w14:paraId="70F0CC08" w14:textId="77777777" w:rsidR="00924E2E" w:rsidRPr="00924E2E" w:rsidRDefault="00924E2E" w:rsidP="00924E2E">
      <w:pPr>
        <w:pStyle w:val="Body"/>
        <w:spacing w:after="0"/>
        <w:rPr>
          <w:rFonts w:ascii="Arial" w:hAnsi="Arial" w:cs="Arial"/>
          <w:b/>
          <w:bCs/>
          <w:lang w:val="en-GB"/>
        </w:rPr>
      </w:pPr>
      <w:r w:rsidRPr="00924E2E">
        <w:rPr>
          <w:rFonts w:ascii="Arial" w:hAnsi="Arial" w:cs="Arial"/>
          <w:b/>
          <w:bCs/>
          <w:lang w:val="en-GB"/>
        </w:rPr>
        <w:t>Table 1: Propagation Scenarios in TR 38.901</w:t>
      </w:r>
    </w:p>
    <w:tbl>
      <w:tblPr>
        <w:tblStyle w:val="TableGrid"/>
        <w:tblW w:w="0" w:type="auto"/>
        <w:tblLook w:val="04A0" w:firstRow="1" w:lastRow="0" w:firstColumn="1" w:lastColumn="0" w:noHBand="0" w:noVBand="1"/>
      </w:tblPr>
      <w:tblGrid>
        <w:gridCol w:w="1747"/>
        <w:gridCol w:w="6677"/>
      </w:tblGrid>
      <w:tr w:rsidR="00924E2E" w:rsidRPr="00924E2E" w14:paraId="04EDCD11" w14:textId="77777777" w:rsidTr="00924E2E">
        <w:tc>
          <w:tcPr>
            <w:tcW w:w="0" w:type="auto"/>
            <w:hideMark/>
          </w:tcPr>
          <w:p w14:paraId="60D03C60" w14:textId="77777777" w:rsidR="00924E2E" w:rsidRPr="00924E2E" w:rsidRDefault="00924E2E" w:rsidP="00924E2E">
            <w:pPr>
              <w:pStyle w:val="Body"/>
              <w:spacing w:after="0"/>
              <w:rPr>
                <w:rFonts w:ascii="Arial" w:hAnsi="Arial" w:cs="Arial"/>
                <w:b/>
                <w:bCs/>
                <w:sz w:val="20"/>
                <w:lang w:val="en-GB"/>
              </w:rPr>
            </w:pPr>
            <w:r w:rsidRPr="00924E2E">
              <w:rPr>
                <w:rFonts w:ascii="Arial" w:hAnsi="Arial" w:cs="Arial"/>
                <w:b/>
                <w:bCs/>
                <w:sz w:val="20"/>
                <w:lang w:val="en-GB"/>
              </w:rPr>
              <w:t>Scenario</w:t>
            </w:r>
          </w:p>
        </w:tc>
        <w:tc>
          <w:tcPr>
            <w:tcW w:w="0" w:type="auto"/>
            <w:hideMark/>
          </w:tcPr>
          <w:p w14:paraId="2FA91740" w14:textId="77777777" w:rsidR="00924E2E" w:rsidRPr="00924E2E" w:rsidRDefault="00924E2E" w:rsidP="00924E2E">
            <w:pPr>
              <w:pStyle w:val="Body"/>
              <w:spacing w:after="0"/>
              <w:rPr>
                <w:rFonts w:ascii="Arial" w:hAnsi="Arial" w:cs="Arial"/>
                <w:b/>
                <w:bCs/>
                <w:sz w:val="20"/>
                <w:lang w:val="en-GB"/>
              </w:rPr>
            </w:pPr>
            <w:r w:rsidRPr="00924E2E">
              <w:rPr>
                <w:rFonts w:ascii="Arial" w:hAnsi="Arial" w:cs="Arial"/>
                <w:b/>
                <w:bCs/>
                <w:sz w:val="20"/>
                <w:lang w:val="en-GB"/>
              </w:rPr>
              <w:t>Description</w:t>
            </w:r>
          </w:p>
        </w:tc>
      </w:tr>
      <w:tr w:rsidR="00924E2E" w:rsidRPr="00924E2E" w14:paraId="2C1942B0" w14:textId="77777777" w:rsidTr="00924E2E">
        <w:tc>
          <w:tcPr>
            <w:tcW w:w="0" w:type="auto"/>
            <w:hideMark/>
          </w:tcPr>
          <w:p w14:paraId="31E0BE59"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Urban Macro (</w:t>
            </w:r>
            <w:proofErr w:type="spellStart"/>
            <w:r w:rsidRPr="00924E2E">
              <w:rPr>
                <w:rFonts w:ascii="Arial" w:hAnsi="Arial" w:cs="Arial"/>
                <w:b/>
                <w:bCs/>
                <w:sz w:val="20"/>
                <w:lang w:val="en-GB"/>
              </w:rPr>
              <w:t>UMa</w:t>
            </w:r>
            <w:proofErr w:type="spellEnd"/>
            <w:r w:rsidRPr="00924E2E">
              <w:rPr>
                <w:rFonts w:ascii="Arial" w:hAnsi="Arial" w:cs="Arial"/>
                <w:b/>
                <w:bCs/>
                <w:sz w:val="20"/>
                <w:lang w:val="en-GB"/>
              </w:rPr>
              <w:t>)</w:t>
            </w:r>
          </w:p>
        </w:tc>
        <w:tc>
          <w:tcPr>
            <w:tcW w:w="0" w:type="auto"/>
            <w:hideMark/>
          </w:tcPr>
          <w:p w14:paraId="15F32684"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Used for large-scale outdoor deployments in cities, with high base station (BS) antennas (&gt;25 m).</w:t>
            </w:r>
          </w:p>
        </w:tc>
      </w:tr>
      <w:tr w:rsidR="00924E2E" w:rsidRPr="00924E2E" w14:paraId="78DF687F" w14:textId="77777777" w:rsidTr="00924E2E">
        <w:tc>
          <w:tcPr>
            <w:tcW w:w="0" w:type="auto"/>
            <w:hideMark/>
          </w:tcPr>
          <w:p w14:paraId="60201E45"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lastRenderedPageBreak/>
              <w:t>Urban Micro (</w:t>
            </w:r>
            <w:proofErr w:type="spellStart"/>
            <w:r w:rsidRPr="00924E2E">
              <w:rPr>
                <w:rFonts w:ascii="Arial" w:hAnsi="Arial" w:cs="Arial"/>
                <w:b/>
                <w:bCs/>
                <w:sz w:val="20"/>
                <w:lang w:val="en-GB"/>
              </w:rPr>
              <w:t>UMi</w:t>
            </w:r>
            <w:proofErr w:type="spellEnd"/>
            <w:r w:rsidRPr="00924E2E">
              <w:rPr>
                <w:rFonts w:ascii="Arial" w:hAnsi="Arial" w:cs="Arial"/>
                <w:b/>
                <w:bCs/>
                <w:sz w:val="20"/>
                <w:lang w:val="en-GB"/>
              </w:rPr>
              <w:t>)</w:t>
            </w:r>
          </w:p>
        </w:tc>
        <w:tc>
          <w:tcPr>
            <w:tcW w:w="0" w:type="auto"/>
            <w:hideMark/>
          </w:tcPr>
          <w:p w14:paraId="4B363015"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Represents dense urban environments with street-level BS deployments and smaller cell coverage.</w:t>
            </w:r>
          </w:p>
        </w:tc>
      </w:tr>
      <w:tr w:rsidR="00924E2E" w:rsidRPr="00924E2E" w14:paraId="0ED1E5F6" w14:textId="77777777" w:rsidTr="00924E2E">
        <w:tc>
          <w:tcPr>
            <w:tcW w:w="0" w:type="auto"/>
            <w:hideMark/>
          </w:tcPr>
          <w:p w14:paraId="2DB8CC4B"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Indoor Office</w:t>
            </w:r>
          </w:p>
        </w:tc>
        <w:tc>
          <w:tcPr>
            <w:tcW w:w="0" w:type="auto"/>
            <w:hideMark/>
          </w:tcPr>
          <w:p w14:paraId="25823256"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Models signal propagation inside office buildings, accounting for walls and furniture.</w:t>
            </w:r>
          </w:p>
        </w:tc>
      </w:tr>
      <w:tr w:rsidR="00924E2E" w:rsidRPr="00924E2E" w14:paraId="5DA573F8" w14:textId="77777777" w:rsidTr="00924E2E">
        <w:tc>
          <w:tcPr>
            <w:tcW w:w="0" w:type="auto"/>
            <w:hideMark/>
          </w:tcPr>
          <w:p w14:paraId="256FC43E"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Indoor Factory</w:t>
            </w:r>
          </w:p>
        </w:tc>
        <w:tc>
          <w:tcPr>
            <w:tcW w:w="0" w:type="auto"/>
            <w:hideMark/>
          </w:tcPr>
          <w:p w14:paraId="4BC84900"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Simulates industrial environments with machinery and equipment affecting wave propagation.</w:t>
            </w:r>
          </w:p>
        </w:tc>
      </w:tr>
      <w:tr w:rsidR="00924E2E" w:rsidRPr="00924E2E" w14:paraId="3DC566FB" w14:textId="77777777" w:rsidTr="00924E2E">
        <w:tc>
          <w:tcPr>
            <w:tcW w:w="0" w:type="auto"/>
            <w:hideMark/>
          </w:tcPr>
          <w:p w14:paraId="2F5ECB4F" w14:textId="77777777" w:rsidR="00924E2E" w:rsidRPr="00924E2E" w:rsidRDefault="00924E2E" w:rsidP="00924E2E">
            <w:pPr>
              <w:pStyle w:val="Body"/>
              <w:spacing w:after="0"/>
              <w:rPr>
                <w:rFonts w:ascii="Arial" w:hAnsi="Arial" w:cs="Arial"/>
                <w:sz w:val="20"/>
                <w:lang w:val="en-GB"/>
              </w:rPr>
            </w:pPr>
            <w:r w:rsidRPr="00924E2E">
              <w:rPr>
                <w:rFonts w:ascii="Arial" w:hAnsi="Arial" w:cs="Arial"/>
                <w:b/>
                <w:bCs/>
                <w:sz w:val="20"/>
                <w:lang w:val="en-GB"/>
              </w:rPr>
              <w:t>Rural Macro (</w:t>
            </w:r>
            <w:proofErr w:type="spellStart"/>
            <w:r w:rsidRPr="00924E2E">
              <w:rPr>
                <w:rFonts w:ascii="Arial" w:hAnsi="Arial" w:cs="Arial"/>
                <w:b/>
                <w:bCs/>
                <w:sz w:val="20"/>
                <w:lang w:val="en-GB"/>
              </w:rPr>
              <w:t>RMa</w:t>
            </w:r>
            <w:proofErr w:type="spellEnd"/>
            <w:r w:rsidRPr="00924E2E">
              <w:rPr>
                <w:rFonts w:ascii="Arial" w:hAnsi="Arial" w:cs="Arial"/>
                <w:b/>
                <w:bCs/>
                <w:sz w:val="20"/>
                <w:lang w:val="en-GB"/>
              </w:rPr>
              <w:t>)</w:t>
            </w:r>
          </w:p>
        </w:tc>
        <w:tc>
          <w:tcPr>
            <w:tcW w:w="0" w:type="auto"/>
            <w:hideMark/>
          </w:tcPr>
          <w:p w14:paraId="62AA63D9"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Represents long-distance coverage in sparsely populated rural areas.</w:t>
            </w:r>
          </w:p>
        </w:tc>
      </w:tr>
    </w:tbl>
    <w:p w14:paraId="590C7B48"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The model defines different </w:t>
      </w:r>
      <w:r w:rsidRPr="00924E2E">
        <w:rPr>
          <w:rFonts w:ascii="Arial" w:hAnsi="Arial" w:cs="Arial"/>
          <w:bCs/>
          <w:lang w:val="en-GB"/>
        </w:rPr>
        <w:t>propagation environments</w:t>
      </w:r>
      <w:r w:rsidRPr="00924E2E">
        <w:rPr>
          <w:rFonts w:ascii="Arial" w:hAnsi="Arial" w:cs="Arial"/>
          <w:lang w:val="en-GB"/>
        </w:rPr>
        <w:t xml:space="preserve"> to accurately simulate real-world 5G deployments. Each scenario includes specific </w:t>
      </w:r>
      <w:r w:rsidRPr="00924E2E">
        <w:rPr>
          <w:rFonts w:ascii="Arial" w:hAnsi="Arial" w:cs="Arial"/>
          <w:bCs/>
          <w:lang w:val="en-GB"/>
        </w:rPr>
        <w:t>path loss models, shadowing parameters, and multipath fading effects</w:t>
      </w:r>
      <w:r w:rsidRPr="00924E2E">
        <w:rPr>
          <w:rFonts w:ascii="Arial" w:hAnsi="Arial" w:cs="Arial"/>
          <w:lang w:val="en-GB"/>
        </w:rPr>
        <w:t xml:space="preserve"> to ensure accurate predictions of signal behaviour.</w:t>
      </w:r>
    </w:p>
    <w:p w14:paraId="4EE259AA" w14:textId="77777777" w:rsidR="00924E2E" w:rsidRPr="00924E2E" w:rsidRDefault="00924E2E" w:rsidP="00924E2E">
      <w:pPr>
        <w:pStyle w:val="Body"/>
        <w:rPr>
          <w:rFonts w:ascii="Arial" w:hAnsi="Arial" w:cs="Arial"/>
          <w:lang w:val="en-GB"/>
        </w:rPr>
      </w:pPr>
      <w:r w:rsidRPr="00924E2E">
        <w:rPr>
          <w:rFonts w:ascii="Arial" w:hAnsi="Arial" w:cs="Arial"/>
          <w:lang w:val="en-GB"/>
        </w:rPr>
        <w:t xml:space="preserve">For urban macro-cell deployments, the </w:t>
      </w:r>
      <w:r w:rsidRPr="00924E2E">
        <w:rPr>
          <w:rFonts w:ascii="Arial" w:hAnsi="Arial" w:cs="Arial"/>
          <w:bCs/>
          <w:lang w:val="en-GB"/>
        </w:rPr>
        <w:t>path loss (PL) in dB</w:t>
      </w:r>
      <w:r w:rsidRPr="00924E2E">
        <w:rPr>
          <w:rFonts w:ascii="Arial" w:hAnsi="Arial" w:cs="Arial"/>
          <w:lang w:val="en-GB"/>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9"/>
        <w:gridCol w:w="555"/>
      </w:tblGrid>
      <w:tr w:rsidR="00924E2E" w:rsidRPr="00924E2E" w14:paraId="3324F4A1" w14:textId="77777777" w:rsidTr="00924E2E">
        <w:tc>
          <w:tcPr>
            <w:tcW w:w="8330" w:type="dxa"/>
          </w:tcPr>
          <w:p w14:paraId="5C96A6CC" w14:textId="77777777" w:rsidR="00924E2E" w:rsidRPr="00924E2E" w:rsidRDefault="00924E2E" w:rsidP="00924E2E">
            <w:pPr>
              <w:pStyle w:val="Body"/>
              <w:spacing w:after="0"/>
              <w:rPr>
                <w:rFonts w:ascii="Arial" w:hAnsi="Arial" w:cs="Arial"/>
                <w:sz w:val="20"/>
                <w:lang w:val="en-GB"/>
              </w:rPr>
            </w:pPr>
            <w:r w:rsidRPr="00924E2E">
              <w:rPr>
                <w:rFonts w:ascii="Arial" w:hAnsi="Arial" w:cs="Arial"/>
                <w:noProof/>
                <w:lang w:val="en-GB" w:eastAsia="en-GB"/>
              </w:rPr>
              <w:drawing>
                <wp:inline distT="0" distB="0" distL="0" distR="0" wp14:anchorId="0D7DAC93" wp14:editId="2952492A">
                  <wp:extent cx="2596129" cy="4160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13071" cy="418761"/>
                          </a:xfrm>
                          <a:prstGeom prst="rect">
                            <a:avLst/>
                          </a:prstGeom>
                        </pic:spPr>
                      </pic:pic>
                    </a:graphicData>
                  </a:graphic>
                </wp:inline>
              </w:drawing>
            </w:r>
          </w:p>
        </w:tc>
        <w:tc>
          <w:tcPr>
            <w:tcW w:w="567" w:type="dxa"/>
          </w:tcPr>
          <w:p w14:paraId="1A89CA5C"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(7)</w:t>
            </w:r>
          </w:p>
        </w:tc>
      </w:tr>
    </w:tbl>
    <w:p w14:paraId="2BC989B9" w14:textId="77777777" w:rsidR="00924E2E" w:rsidRPr="00924E2E" w:rsidRDefault="00924E2E" w:rsidP="00924E2E">
      <w:pPr>
        <w:pStyle w:val="Body"/>
        <w:spacing w:after="0"/>
        <w:rPr>
          <w:rFonts w:ascii="Arial" w:hAnsi="Arial" w:cs="Arial"/>
        </w:rPr>
      </w:pPr>
      <w:r w:rsidRPr="00924E2E">
        <w:rPr>
          <w:rFonts w:ascii="Arial" w:hAnsi="Arial" w:cs="Arial"/>
          <w:lang w:val="en-GB"/>
        </w:rPr>
        <w:t>where:</w:t>
      </w:r>
      <w:r w:rsidRPr="00924E2E">
        <w:rPr>
          <w:rFonts w:ascii="Arial" w:hAnsi="Arial" w:cs="Arial"/>
        </w:rPr>
        <w:t xml:space="preserve"> </w:t>
      </w:r>
      <w:r w:rsidRPr="00924E2E">
        <w:rPr>
          <w:rFonts w:ascii="Arial" w:hAnsi="Arial" w:cs="Arial"/>
          <w:lang w:val="en-GB"/>
        </w:rPr>
        <w:t xml:space="preserve">d = Distance between transmitter and receiver (meters) </w:t>
      </w:r>
      <w:proofErr w:type="gramStart"/>
      <w:r w:rsidRPr="00924E2E">
        <w:rPr>
          <w:rFonts w:ascii="Arial" w:hAnsi="Arial" w:cs="Arial"/>
          <w:lang w:val="en-GB"/>
        </w:rPr>
        <w:t xml:space="preserve">and </w:t>
      </w:r>
      <w:r w:rsidRPr="00924E2E">
        <w:rPr>
          <w:rFonts w:ascii="Arial" w:hAnsi="Arial" w:cs="Arial"/>
        </w:rPr>
        <w:t xml:space="preserve"> </w:t>
      </w:r>
      <w:r w:rsidRPr="00924E2E">
        <w:rPr>
          <w:rFonts w:ascii="Arial" w:hAnsi="Arial" w:cs="Arial"/>
          <w:lang w:val="en-GB"/>
        </w:rPr>
        <w:t>f</w:t>
      </w:r>
      <w:proofErr w:type="gramEnd"/>
      <w:r w:rsidRPr="00924E2E">
        <w:rPr>
          <w:rFonts w:ascii="Arial" w:hAnsi="Arial" w:cs="Arial"/>
          <w:lang w:val="en-GB"/>
        </w:rPr>
        <w:t xml:space="preserve"> = Carrier frequency (GHz).</w:t>
      </w:r>
    </w:p>
    <w:p w14:paraId="6DB551C0" w14:textId="77777777" w:rsidR="00924E2E" w:rsidRPr="00924E2E" w:rsidRDefault="00924E2E" w:rsidP="00924E2E">
      <w:pPr>
        <w:pStyle w:val="Body"/>
        <w:rPr>
          <w:rFonts w:ascii="Arial" w:hAnsi="Arial" w:cs="Arial"/>
          <w:lang w:val="en-GB"/>
        </w:rPr>
      </w:pPr>
      <w:r w:rsidRPr="00924E2E">
        <w:rPr>
          <w:rFonts w:ascii="Arial" w:hAnsi="Arial" w:cs="Arial"/>
          <w:bCs/>
          <w:lang w:val="en-GB"/>
        </w:rPr>
        <w:t>For Non-Line-of-Sight (</w:t>
      </w:r>
      <w:proofErr w:type="spellStart"/>
      <w:r w:rsidRPr="00924E2E">
        <w:rPr>
          <w:rFonts w:ascii="Arial" w:hAnsi="Arial" w:cs="Arial"/>
          <w:bCs/>
          <w:lang w:val="en-GB"/>
        </w:rPr>
        <w:t>NLoS</w:t>
      </w:r>
      <w:proofErr w:type="spellEnd"/>
      <w:r w:rsidRPr="00924E2E">
        <w:rPr>
          <w:rFonts w:ascii="Arial" w:hAnsi="Arial" w:cs="Arial"/>
          <w:bCs/>
          <w:lang w:val="en-GB"/>
        </w:rPr>
        <w:t>) propagation</w:t>
      </w:r>
      <w:r w:rsidRPr="00924E2E">
        <w:rPr>
          <w:rFonts w:ascii="Arial" w:hAnsi="Arial" w:cs="Arial"/>
          <w:lang w:val="en-GB"/>
        </w:rPr>
        <w:t>, an additional correction factor is applied: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7"/>
        <w:gridCol w:w="557"/>
      </w:tblGrid>
      <w:tr w:rsidR="00924E2E" w:rsidRPr="00924E2E" w14:paraId="3460C28B" w14:textId="77777777" w:rsidTr="00924E2E">
        <w:tc>
          <w:tcPr>
            <w:tcW w:w="8330" w:type="dxa"/>
          </w:tcPr>
          <w:p w14:paraId="600E20E5" w14:textId="77777777" w:rsidR="00924E2E" w:rsidRPr="00924E2E" w:rsidRDefault="00924E2E" w:rsidP="00924E2E">
            <w:pPr>
              <w:pStyle w:val="Body"/>
              <w:spacing w:after="0"/>
              <w:rPr>
                <w:rFonts w:ascii="Arial" w:hAnsi="Arial" w:cs="Arial"/>
                <w:sz w:val="20"/>
                <w:lang w:val="en-GB"/>
              </w:rPr>
            </w:pPr>
            <w:r w:rsidRPr="00924E2E">
              <w:rPr>
                <w:rFonts w:ascii="Arial" w:hAnsi="Arial" w:cs="Arial"/>
                <w:noProof/>
                <w:lang w:val="en-GB" w:eastAsia="en-GB"/>
              </w:rPr>
              <w:drawing>
                <wp:inline distT="0" distB="0" distL="0" distR="0" wp14:anchorId="54CD87DB" wp14:editId="6BE1ADDA">
                  <wp:extent cx="1995055" cy="38510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7367" cy="385550"/>
                          </a:xfrm>
                          <a:prstGeom prst="rect">
                            <a:avLst/>
                          </a:prstGeom>
                        </pic:spPr>
                      </pic:pic>
                    </a:graphicData>
                  </a:graphic>
                </wp:inline>
              </w:drawing>
            </w:r>
          </w:p>
        </w:tc>
        <w:tc>
          <w:tcPr>
            <w:tcW w:w="567" w:type="dxa"/>
          </w:tcPr>
          <w:p w14:paraId="1910CBA2"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(8)</w:t>
            </w:r>
          </w:p>
        </w:tc>
      </w:tr>
    </w:tbl>
    <w:p w14:paraId="7F142D47"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where PL′ is another empirical formula considering environmental obstructions.</w:t>
      </w:r>
    </w:p>
    <w:p w14:paraId="4419F461" w14:textId="77777777" w:rsidR="00924E2E" w:rsidRPr="00924E2E" w:rsidRDefault="00924E2E" w:rsidP="00924E2E">
      <w:pPr>
        <w:pStyle w:val="Body"/>
        <w:rPr>
          <w:rFonts w:ascii="Arial" w:hAnsi="Arial" w:cs="Arial"/>
          <w:lang w:val="en-GB"/>
        </w:rPr>
      </w:pPr>
      <w:r w:rsidRPr="00924E2E">
        <w:rPr>
          <w:rFonts w:ascii="Arial" w:hAnsi="Arial" w:cs="Arial"/>
          <w:bCs/>
          <w:lang w:val="en-GB"/>
        </w:rPr>
        <w:t>Rural Macro (</w:t>
      </w:r>
      <w:proofErr w:type="spellStart"/>
      <w:r w:rsidRPr="00924E2E">
        <w:rPr>
          <w:rFonts w:ascii="Arial" w:hAnsi="Arial" w:cs="Arial"/>
          <w:bCs/>
          <w:lang w:val="en-GB"/>
        </w:rPr>
        <w:t>RMa</w:t>
      </w:r>
      <w:proofErr w:type="spellEnd"/>
      <w:r w:rsidRPr="00924E2E">
        <w:rPr>
          <w:rFonts w:ascii="Arial" w:hAnsi="Arial" w:cs="Arial"/>
          <w:bCs/>
          <w:lang w:val="en-GB"/>
        </w:rPr>
        <w:t xml:space="preserve">) Path Loss Model </w:t>
      </w:r>
      <w:r w:rsidRPr="00924E2E">
        <w:rPr>
          <w:rFonts w:ascii="Arial" w:hAnsi="Arial" w:cs="Arial"/>
          <w:lang w:val="en-GB"/>
        </w:rPr>
        <w:t>with minimal obstructions is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0"/>
        <w:gridCol w:w="554"/>
      </w:tblGrid>
      <w:tr w:rsidR="00924E2E" w:rsidRPr="00924E2E" w14:paraId="773B5D42" w14:textId="77777777" w:rsidTr="00924E2E">
        <w:tc>
          <w:tcPr>
            <w:tcW w:w="8330" w:type="dxa"/>
          </w:tcPr>
          <w:p w14:paraId="32C1032F" w14:textId="77777777" w:rsidR="00924E2E" w:rsidRPr="00924E2E" w:rsidRDefault="00924E2E" w:rsidP="00924E2E">
            <w:pPr>
              <w:pStyle w:val="Body"/>
              <w:spacing w:after="0"/>
              <w:rPr>
                <w:rFonts w:ascii="Arial" w:hAnsi="Arial" w:cs="Arial"/>
                <w:sz w:val="20"/>
                <w:lang w:val="en-GB"/>
              </w:rPr>
            </w:pPr>
            <w:r w:rsidRPr="00924E2E">
              <w:rPr>
                <w:rFonts w:ascii="Arial" w:hAnsi="Arial" w:cs="Arial"/>
                <w:bCs/>
                <w:noProof/>
                <w:lang w:val="en-GB" w:eastAsia="en-GB"/>
              </w:rPr>
              <w:drawing>
                <wp:inline distT="0" distB="0" distL="0" distR="0" wp14:anchorId="4BD78778" wp14:editId="2674E96D">
                  <wp:extent cx="2787961" cy="3811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7200" cy="383756"/>
                          </a:xfrm>
                          <a:prstGeom prst="rect">
                            <a:avLst/>
                          </a:prstGeom>
                        </pic:spPr>
                      </pic:pic>
                    </a:graphicData>
                  </a:graphic>
                </wp:inline>
              </w:drawing>
            </w:r>
          </w:p>
        </w:tc>
        <w:tc>
          <w:tcPr>
            <w:tcW w:w="567" w:type="dxa"/>
          </w:tcPr>
          <w:p w14:paraId="31A3E2AA" w14:textId="77777777" w:rsidR="00924E2E" w:rsidRPr="00924E2E" w:rsidRDefault="00924E2E" w:rsidP="00924E2E">
            <w:pPr>
              <w:pStyle w:val="Body"/>
              <w:spacing w:after="0"/>
              <w:rPr>
                <w:rFonts w:ascii="Arial" w:hAnsi="Arial" w:cs="Arial"/>
                <w:sz w:val="20"/>
                <w:lang w:val="en-GB"/>
              </w:rPr>
            </w:pPr>
            <w:r w:rsidRPr="00924E2E">
              <w:rPr>
                <w:rFonts w:ascii="Arial" w:hAnsi="Arial" w:cs="Arial"/>
                <w:sz w:val="20"/>
                <w:lang w:val="en-GB"/>
              </w:rPr>
              <w:t>(9)</w:t>
            </w:r>
          </w:p>
        </w:tc>
      </w:tr>
    </w:tbl>
    <w:p w14:paraId="3B75B473" w14:textId="77777777" w:rsidR="00924E2E" w:rsidRPr="00924E2E" w:rsidRDefault="00924E2E" w:rsidP="00924E2E">
      <w:pPr>
        <w:pStyle w:val="Body"/>
        <w:spacing w:after="0"/>
        <w:rPr>
          <w:rFonts w:ascii="Arial" w:hAnsi="Arial" w:cs="Arial"/>
          <w:bCs/>
          <w:lang w:val="en-GB"/>
        </w:rPr>
      </w:pPr>
      <w:r w:rsidRPr="00924E2E">
        <w:rPr>
          <w:rFonts w:ascii="Arial" w:hAnsi="Arial" w:cs="Arial"/>
          <w:lang w:val="en-GB"/>
        </w:rPr>
        <w:t>This model considers the lower attenuation effects of open terrains.</w:t>
      </w:r>
    </w:p>
    <w:p w14:paraId="2D9862D7" w14:textId="77777777" w:rsidR="00790ADA" w:rsidRPr="00FB3A86" w:rsidRDefault="00790ADA" w:rsidP="00441B6F">
      <w:pPr>
        <w:pStyle w:val="Body"/>
        <w:spacing w:after="0"/>
        <w:rPr>
          <w:rFonts w:ascii="Arial" w:hAnsi="Arial" w:cs="Arial"/>
        </w:rPr>
      </w:pPr>
    </w:p>
    <w:p w14:paraId="4A149B6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399F12C" w14:textId="77777777" w:rsidR="00790ADA" w:rsidRPr="00FB3A86" w:rsidRDefault="00790ADA" w:rsidP="00441B6F">
      <w:pPr>
        <w:pStyle w:val="Head1"/>
        <w:spacing w:after="0"/>
        <w:jc w:val="both"/>
        <w:rPr>
          <w:rFonts w:ascii="Arial" w:hAnsi="Arial" w:cs="Arial"/>
        </w:rPr>
      </w:pPr>
    </w:p>
    <w:p w14:paraId="13C5CE0C" w14:textId="77777777" w:rsidR="00924E2E" w:rsidRPr="00924E2E" w:rsidRDefault="00924E2E" w:rsidP="00924E2E">
      <w:pPr>
        <w:pStyle w:val="Body"/>
        <w:spacing w:after="0"/>
        <w:rPr>
          <w:rFonts w:ascii="Arial" w:hAnsi="Arial" w:cs="Arial"/>
        </w:rPr>
      </w:pPr>
      <w:r w:rsidRPr="00924E2E">
        <w:rPr>
          <w:rFonts w:ascii="Arial" w:hAnsi="Arial" w:cs="Arial"/>
        </w:rPr>
        <w:t xml:space="preserve">Table 2: Impact of Mobility on 5G Network in Urban Environment </w:t>
      </w:r>
    </w:p>
    <w:tbl>
      <w:tblPr>
        <w:tblStyle w:val="LightShading"/>
        <w:tblW w:w="7975" w:type="dxa"/>
        <w:tblLook w:val="04A0" w:firstRow="1" w:lastRow="0" w:firstColumn="1" w:lastColumn="0" w:noHBand="0" w:noVBand="1"/>
      </w:tblPr>
      <w:tblGrid>
        <w:gridCol w:w="1241"/>
        <w:gridCol w:w="1241"/>
        <w:gridCol w:w="1241"/>
        <w:gridCol w:w="1384"/>
        <w:gridCol w:w="1343"/>
        <w:gridCol w:w="1525"/>
      </w:tblGrid>
      <w:tr w:rsidR="00924E2E" w:rsidRPr="00924E2E" w14:paraId="667474C6" w14:textId="77777777" w:rsidTr="00924E2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67E6A84" w14:textId="77777777" w:rsidR="00924E2E" w:rsidRPr="00924E2E" w:rsidRDefault="00924E2E" w:rsidP="00924E2E">
            <w:pPr>
              <w:pStyle w:val="Body"/>
              <w:spacing w:after="0"/>
              <w:rPr>
                <w:rFonts w:ascii="Arial" w:hAnsi="Arial" w:cs="Arial"/>
                <w:lang w:val="en-GB"/>
              </w:rPr>
            </w:pPr>
            <w:r w:rsidRPr="00924E2E">
              <w:rPr>
                <w:rFonts w:ascii="Arial" w:hAnsi="Arial" w:cs="Arial"/>
                <w:b w:val="0"/>
                <w:lang w:val="en-GB"/>
              </w:rPr>
              <w:t>Speed (km/h)</w:t>
            </w:r>
          </w:p>
        </w:tc>
        <w:tc>
          <w:tcPr>
            <w:tcW w:w="1241" w:type="dxa"/>
            <w:noWrap/>
            <w:hideMark/>
          </w:tcPr>
          <w:p w14:paraId="5AC920B8"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RSSI (dBm)</w:t>
            </w:r>
          </w:p>
        </w:tc>
        <w:tc>
          <w:tcPr>
            <w:tcW w:w="1241" w:type="dxa"/>
            <w:noWrap/>
            <w:hideMark/>
          </w:tcPr>
          <w:p w14:paraId="70F919B8"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SNR (dB)</w:t>
            </w:r>
          </w:p>
        </w:tc>
        <w:tc>
          <w:tcPr>
            <w:tcW w:w="1384" w:type="dxa"/>
            <w:noWrap/>
            <w:hideMark/>
          </w:tcPr>
          <w:p w14:paraId="1F5C90BF" w14:textId="77777777" w:rsidR="00924E2E" w:rsidRPr="00924E2E" w:rsidRDefault="00B55198"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b w:val="0"/>
                <w:lang w:val="en-GB"/>
              </w:rPr>
              <w:t>Delay-</w:t>
            </w:r>
            <w:r w:rsidR="00924E2E" w:rsidRPr="00924E2E">
              <w:rPr>
                <w:rFonts w:ascii="Arial" w:hAnsi="Arial" w:cs="Arial"/>
                <w:b w:val="0"/>
                <w:lang w:val="en-GB"/>
              </w:rPr>
              <w:t>Spread (ns)</w:t>
            </w:r>
          </w:p>
        </w:tc>
        <w:tc>
          <w:tcPr>
            <w:tcW w:w="1343" w:type="dxa"/>
            <w:noWrap/>
            <w:hideMark/>
          </w:tcPr>
          <w:p w14:paraId="3D29AE41" w14:textId="77777777" w:rsidR="00924E2E" w:rsidRPr="00924E2E" w:rsidRDefault="00B55198"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b w:val="0"/>
                <w:lang w:val="en-GB"/>
              </w:rPr>
              <w:t>Transmit-</w:t>
            </w:r>
            <w:r w:rsidR="00924E2E" w:rsidRPr="00924E2E">
              <w:rPr>
                <w:rFonts w:ascii="Arial" w:hAnsi="Arial" w:cs="Arial"/>
                <w:b w:val="0"/>
                <w:lang w:val="en-GB"/>
              </w:rPr>
              <w:t>Power (dBm)</w:t>
            </w:r>
          </w:p>
        </w:tc>
        <w:tc>
          <w:tcPr>
            <w:tcW w:w="1525" w:type="dxa"/>
            <w:noWrap/>
            <w:hideMark/>
          </w:tcPr>
          <w:p w14:paraId="030EB64E" w14:textId="77777777" w:rsidR="00924E2E" w:rsidRPr="00924E2E" w:rsidRDefault="00924E2E"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b w:val="0"/>
                <w:lang w:val="en-GB"/>
              </w:rPr>
              <w:t>Frequency (GHz)</w:t>
            </w:r>
          </w:p>
        </w:tc>
      </w:tr>
      <w:tr w:rsidR="00924E2E" w:rsidRPr="00924E2E" w14:paraId="3B88B720"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1CB0B0BE"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30</w:t>
            </w:r>
          </w:p>
        </w:tc>
        <w:tc>
          <w:tcPr>
            <w:tcW w:w="1241" w:type="dxa"/>
            <w:noWrap/>
            <w:hideMark/>
          </w:tcPr>
          <w:p w14:paraId="41792737"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-91.35</w:t>
            </w:r>
          </w:p>
        </w:tc>
        <w:tc>
          <w:tcPr>
            <w:tcW w:w="1241" w:type="dxa"/>
            <w:noWrap/>
            <w:hideMark/>
          </w:tcPr>
          <w:p w14:paraId="5FE239AD"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45.19</w:t>
            </w:r>
          </w:p>
        </w:tc>
        <w:tc>
          <w:tcPr>
            <w:tcW w:w="1384" w:type="dxa"/>
            <w:noWrap/>
            <w:hideMark/>
          </w:tcPr>
          <w:p w14:paraId="04CB93BE"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127.11</w:t>
            </w:r>
          </w:p>
        </w:tc>
        <w:tc>
          <w:tcPr>
            <w:tcW w:w="1343" w:type="dxa"/>
            <w:noWrap/>
            <w:hideMark/>
          </w:tcPr>
          <w:p w14:paraId="10EF9719"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528460F7"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6263B112"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06E626D6"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40</w:t>
            </w:r>
          </w:p>
        </w:tc>
        <w:tc>
          <w:tcPr>
            <w:tcW w:w="1241" w:type="dxa"/>
            <w:noWrap/>
            <w:hideMark/>
          </w:tcPr>
          <w:p w14:paraId="466C9BE9"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-96.58</w:t>
            </w:r>
          </w:p>
        </w:tc>
        <w:tc>
          <w:tcPr>
            <w:tcW w:w="1241" w:type="dxa"/>
            <w:noWrap/>
            <w:hideMark/>
          </w:tcPr>
          <w:p w14:paraId="4FA60E03"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44.19</w:t>
            </w:r>
          </w:p>
        </w:tc>
        <w:tc>
          <w:tcPr>
            <w:tcW w:w="1384" w:type="dxa"/>
            <w:noWrap/>
            <w:hideMark/>
          </w:tcPr>
          <w:p w14:paraId="30747729"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625.95</w:t>
            </w:r>
          </w:p>
        </w:tc>
        <w:tc>
          <w:tcPr>
            <w:tcW w:w="1343" w:type="dxa"/>
            <w:noWrap/>
            <w:hideMark/>
          </w:tcPr>
          <w:p w14:paraId="7F0C3336"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12159E39"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38CF5509"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58CDA81"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50</w:t>
            </w:r>
          </w:p>
        </w:tc>
        <w:tc>
          <w:tcPr>
            <w:tcW w:w="1241" w:type="dxa"/>
            <w:noWrap/>
            <w:hideMark/>
          </w:tcPr>
          <w:p w14:paraId="27A74DF9"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-95.07</w:t>
            </w:r>
          </w:p>
        </w:tc>
        <w:tc>
          <w:tcPr>
            <w:tcW w:w="1241" w:type="dxa"/>
            <w:noWrap/>
            <w:hideMark/>
          </w:tcPr>
          <w:p w14:paraId="58670B65"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43.52</w:t>
            </w:r>
          </w:p>
        </w:tc>
        <w:tc>
          <w:tcPr>
            <w:tcW w:w="1384" w:type="dxa"/>
            <w:noWrap/>
            <w:hideMark/>
          </w:tcPr>
          <w:p w14:paraId="042CF58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948.42</w:t>
            </w:r>
          </w:p>
        </w:tc>
        <w:tc>
          <w:tcPr>
            <w:tcW w:w="1343" w:type="dxa"/>
            <w:noWrap/>
            <w:hideMark/>
          </w:tcPr>
          <w:p w14:paraId="4BD46C6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2F505B67"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168CBD21"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04FE1337"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60</w:t>
            </w:r>
          </w:p>
        </w:tc>
        <w:tc>
          <w:tcPr>
            <w:tcW w:w="1241" w:type="dxa"/>
            <w:noWrap/>
            <w:hideMark/>
          </w:tcPr>
          <w:p w14:paraId="2233C966"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-96.535</w:t>
            </w:r>
          </w:p>
        </w:tc>
        <w:tc>
          <w:tcPr>
            <w:tcW w:w="1241" w:type="dxa"/>
            <w:noWrap/>
            <w:hideMark/>
          </w:tcPr>
          <w:p w14:paraId="37C20C2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41.69</w:t>
            </w:r>
          </w:p>
        </w:tc>
        <w:tc>
          <w:tcPr>
            <w:tcW w:w="1384" w:type="dxa"/>
            <w:noWrap/>
            <w:hideMark/>
          </w:tcPr>
          <w:p w14:paraId="2A59BDB7"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1131.96</w:t>
            </w:r>
          </w:p>
        </w:tc>
        <w:tc>
          <w:tcPr>
            <w:tcW w:w="1343" w:type="dxa"/>
            <w:noWrap/>
            <w:hideMark/>
          </w:tcPr>
          <w:p w14:paraId="4FCFE521"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7596000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1314FF38"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30405CB4"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70</w:t>
            </w:r>
          </w:p>
        </w:tc>
        <w:tc>
          <w:tcPr>
            <w:tcW w:w="1241" w:type="dxa"/>
            <w:noWrap/>
            <w:hideMark/>
          </w:tcPr>
          <w:p w14:paraId="30312455"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-101.36</w:t>
            </w:r>
          </w:p>
        </w:tc>
        <w:tc>
          <w:tcPr>
            <w:tcW w:w="1241" w:type="dxa"/>
            <w:noWrap/>
            <w:hideMark/>
          </w:tcPr>
          <w:p w14:paraId="684B9A8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38.27</w:t>
            </w:r>
          </w:p>
        </w:tc>
        <w:tc>
          <w:tcPr>
            <w:tcW w:w="1384" w:type="dxa"/>
            <w:noWrap/>
            <w:hideMark/>
          </w:tcPr>
          <w:p w14:paraId="37744273"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1150.69</w:t>
            </w:r>
          </w:p>
        </w:tc>
        <w:tc>
          <w:tcPr>
            <w:tcW w:w="1343" w:type="dxa"/>
            <w:noWrap/>
            <w:hideMark/>
          </w:tcPr>
          <w:p w14:paraId="022616F7"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0A4BA56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2CDB56DC"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278FC48D"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80</w:t>
            </w:r>
          </w:p>
        </w:tc>
        <w:tc>
          <w:tcPr>
            <w:tcW w:w="1241" w:type="dxa"/>
            <w:noWrap/>
            <w:hideMark/>
          </w:tcPr>
          <w:p w14:paraId="51742F2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-105.59</w:t>
            </w:r>
          </w:p>
        </w:tc>
        <w:tc>
          <w:tcPr>
            <w:tcW w:w="1241" w:type="dxa"/>
            <w:noWrap/>
            <w:hideMark/>
          </w:tcPr>
          <w:p w14:paraId="71429A4A"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34.13</w:t>
            </w:r>
          </w:p>
        </w:tc>
        <w:tc>
          <w:tcPr>
            <w:tcW w:w="1384" w:type="dxa"/>
            <w:noWrap/>
            <w:hideMark/>
          </w:tcPr>
          <w:p w14:paraId="2325EF3D"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1288.028</w:t>
            </w:r>
          </w:p>
        </w:tc>
        <w:tc>
          <w:tcPr>
            <w:tcW w:w="1343" w:type="dxa"/>
            <w:noWrap/>
            <w:hideMark/>
          </w:tcPr>
          <w:p w14:paraId="0157AF6F"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1BF1F89D"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4B540774" w14:textId="77777777" w:rsidTr="00924E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75A00142"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90</w:t>
            </w:r>
          </w:p>
        </w:tc>
        <w:tc>
          <w:tcPr>
            <w:tcW w:w="1241" w:type="dxa"/>
            <w:noWrap/>
            <w:hideMark/>
          </w:tcPr>
          <w:p w14:paraId="165D468A"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-108.47</w:t>
            </w:r>
          </w:p>
        </w:tc>
        <w:tc>
          <w:tcPr>
            <w:tcW w:w="1241" w:type="dxa"/>
            <w:noWrap/>
            <w:hideMark/>
          </w:tcPr>
          <w:p w14:paraId="1367DA40"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29.63</w:t>
            </w:r>
          </w:p>
        </w:tc>
        <w:tc>
          <w:tcPr>
            <w:tcW w:w="1384" w:type="dxa"/>
            <w:noWrap/>
            <w:hideMark/>
          </w:tcPr>
          <w:p w14:paraId="122C92F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1302.12</w:t>
            </w:r>
          </w:p>
        </w:tc>
        <w:tc>
          <w:tcPr>
            <w:tcW w:w="1343" w:type="dxa"/>
            <w:noWrap/>
            <w:hideMark/>
          </w:tcPr>
          <w:p w14:paraId="530F76D5"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134EA671"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3.5</w:t>
            </w:r>
          </w:p>
        </w:tc>
      </w:tr>
      <w:tr w:rsidR="00924E2E" w:rsidRPr="00924E2E" w14:paraId="10EA1B52" w14:textId="77777777" w:rsidTr="00924E2E">
        <w:trPr>
          <w:trHeight w:val="325"/>
        </w:trPr>
        <w:tc>
          <w:tcPr>
            <w:cnfStyle w:val="001000000000" w:firstRow="0" w:lastRow="0" w:firstColumn="1" w:lastColumn="0" w:oddVBand="0" w:evenVBand="0" w:oddHBand="0" w:evenHBand="0" w:firstRowFirstColumn="0" w:firstRowLastColumn="0" w:lastRowFirstColumn="0" w:lastRowLastColumn="0"/>
            <w:tcW w:w="1241" w:type="dxa"/>
            <w:noWrap/>
            <w:hideMark/>
          </w:tcPr>
          <w:p w14:paraId="71AED523"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100</w:t>
            </w:r>
          </w:p>
        </w:tc>
        <w:tc>
          <w:tcPr>
            <w:tcW w:w="1241" w:type="dxa"/>
            <w:noWrap/>
            <w:hideMark/>
          </w:tcPr>
          <w:p w14:paraId="5B33A469"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-114.29</w:t>
            </w:r>
          </w:p>
        </w:tc>
        <w:tc>
          <w:tcPr>
            <w:tcW w:w="1241" w:type="dxa"/>
            <w:noWrap/>
            <w:hideMark/>
          </w:tcPr>
          <w:p w14:paraId="6737445B"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20.09</w:t>
            </w:r>
          </w:p>
        </w:tc>
        <w:tc>
          <w:tcPr>
            <w:tcW w:w="1384" w:type="dxa"/>
            <w:noWrap/>
            <w:hideMark/>
          </w:tcPr>
          <w:p w14:paraId="4E464CB2"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1425.14</w:t>
            </w:r>
          </w:p>
        </w:tc>
        <w:tc>
          <w:tcPr>
            <w:tcW w:w="1343" w:type="dxa"/>
            <w:noWrap/>
            <w:hideMark/>
          </w:tcPr>
          <w:p w14:paraId="79F9293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20</w:t>
            </w:r>
          </w:p>
        </w:tc>
        <w:tc>
          <w:tcPr>
            <w:tcW w:w="1525" w:type="dxa"/>
            <w:noWrap/>
            <w:hideMark/>
          </w:tcPr>
          <w:p w14:paraId="66B034E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3.5</w:t>
            </w:r>
          </w:p>
        </w:tc>
      </w:tr>
    </w:tbl>
    <w:p w14:paraId="0026E25F" w14:textId="77777777" w:rsidR="00924E2E" w:rsidRPr="00924E2E" w:rsidRDefault="00924E2E" w:rsidP="00924E2E">
      <w:pPr>
        <w:pStyle w:val="Body"/>
        <w:spacing w:after="0"/>
        <w:rPr>
          <w:rFonts w:ascii="Arial" w:hAnsi="Arial" w:cs="Arial"/>
        </w:rPr>
      </w:pPr>
    </w:p>
    <w:p w14:paraId="6EC71839" w14:textId="77777777" w:rsidR="00924E2E" w:rsidRPr="00924E2E" w:rsidRDefault="00924E2E" w:rsidP="00924E2E">
      <w:pPr>
        <w:pStyle w:val="Body"/>
        <w:spacing w:after="0"/>
        <w:rPr>
          <w:rFonts w:ascii="Arial" w:hAnsi="Arial" w:cs="Arial"/>
        </w:rPr>
      </w:pPr>
      <w:r w:rsidRPr="00924E2E">
        <w:rPr>
          <w:rFonts w:ascii="Arial" w:hAnsi="Arial" w:cs="Arial"/>
        </w:rPr>
        <w:t xml:space="preserve">Table 2 provides the wideband channel characteristics of the 5G network in an urban environment under varying mobility conditions (speeds ranging from 30 km/h to 100 km/h). The parameters analyzed include RSSI, SNR, and Delay Spread at a fixed transmission frequency of 3.5 GHz and a constant transmit power of 20 dBm. As mobility increases </w:t>
      </w:r>
      <w:r w:rsidRPr="00924E2E">
        <w:rPr>
          <w:rFonts w:ascii="Arial" w:hAnsi="Arial" w:cs="Arial"/>
        </w:rPr>
        <w:lastRenderedPageBreak/>
        <w:t xml:space="preserve">(speed rises), RSSI consistently decreases from -91.35 dBm at 30 km/h to -114.29 dBm at 100 km/h. This behavior aligns with the expectation that higher speeds lead to increased path loss and signal attenuation in urban environments, where obstacles such as buildings cause more frequent signal blockages. At higher speeds, signals experience more interruptions as the mobile device rapidly moves through zones of varying signal strength. The SNR also decreases as mobility increases, dropping from 45.19 dB at 30 km/h to 20.09 dB at 100 km/h. As speed increases, the combination of higher path loss, multipath effects, and interference causes a reduction in SNR. At higher speeds, the network struggles to maintain a clear signal due to reflections, obstructions, and noise, leading to a higher proportion of noise in the signal. Lower SNR results in poorer signal quality, which can lead to higher error rates, reduced throughput, and increased latency. The ability of the network to deliver high-speed data, especially for applications like video streaming or real-time communications, will degrade. The delay spread increases significantly as speed increases, from 127.11 ns at 30 km/h to 1425.14 ns at 100 km/h. </w:t>
      </w:r>
    </w:p>
    <w:p w14:paraId="66F92802" w14:textId="77777777" w:rsidR="00924E2E" w:rsidRPr="00924E2E" w:rsidRDefault="00924E2E" w:rsidP="00924E2E">
      <w:pPr>
        <w:pStyle w:val="Body"/>
        <w:spacing w:after="0"/>
        <w:rPr>
          <w:rFonts w:ascii="Arial" w:hAnsi="Arial" w:cs="Arial"/>
        </w:rPr>
      </w:pPr>
      <w:r w:rsidRPr="00924E2E">
        <w:rPr>
          <w:rFonts w:ascii="Arial" w:hAnsi="Arial" w:cs="Arial"/>
        </w:rPr>
        <w:t>Delay spread is a measure of multipath propagation, where the transmitted signal arrives at the receiver via multiple paths of different lengths. At higher speeds, the mobile device moves through environments with more reflections and obstructions, resulting in greater variations in the arrival times of the signal components. This increase in delay spread indicates a more significant impact of multipath fading as mobility increases. A higher delay spread leads to inter-symbol interference (ISI), making it harder for the receiver to distinguish between transmitted symbols. This affects the network’s data throughput and may require advanced equalization techniques to mitigate these effects.</w:t>
      </w:r>
    </w:p>
    <w:p w14:paraId="7F80D321" w14:textId="77777777" w:rsidR="00924E2E" w:rsidRPr="00924E2E" w:rsidRDefault="00924E2E" w:rsidP="00924E2E">
      <w:pPr>
        <w:pStyle w:val="Body"/>
        <w:spacing w:after="0"/>
        <w:rPr>
          <w:rFonts w:ascii="Arial" w:hAnsi="Arial" w:cs="Arial"/>
        </w:rPr>
      </w:pPr>
      <w:r w:rsidRPr="00924E2E">
        <w:rPr>
          <w:rFonts w:ascii="Arial" w:hAnsi="Arial" w:cs="Arial"/>
        </w:rPr>
        <w:t xml:space="preserve">Table 3. Drive test evaluation of 5G Network in Rural environments </w:t>
      </w:r>
    </w:p>
    <w:tbl>
      <w:tblPr>
        <w:tblStyle w:val="LightShading"/>
        <w:tblW w:w="8613" w:type="dxa"/>
        <w:tblLook w:val="04A0" w:firstRow="1" w:lastRow="0" w:firstColumn="1" w:lastColumn="0" w:noHBand="0" w:noVBand="1"/>
      </w:tblPr>
      <w:tblGrid>
        <w:gridCol w:w="959"/>
        <w:gridCol w:w="2006"/>
        <w:gridCol w:w="1494"/>
        <w:gridCol w:w="1358"/>
        <w:gridCol w:w="1358"/>
        <w:gridCol w:w="1438"/>
      </w:tblGrid>
      <w:tr w:rsidR="00924E2E" w:rsidRPr="00924E2E" w14:paraId="2D8B6697" w14:textId="77777777" w:rsidTr="00B55198">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0C30833D" w14:textId="77777777" w:rsidR="00924E2E" w:rsidRPr="00924E2E" w:rsidRDefault="00924E2E" w:rsidP="00924E2E">
            <w:pPr>
              <w:pStyle w:val="Body"/>
              <w:spacing w:after="0"/>
              <w:rPr>
                <w:rFonts w:ascii="Arial" w:hAnsi="Arial" w:cs="Arial"/>
                <w:lang w:val="en-GB"/>
              </w:rPr>
            </w:pPr>
            <w:r w:rsidRPr="00924E2E">
              <w:rPr>
                <w:rFonts w:ascii="Arial" w:hAnsi="Arial" w:cs="Arial"/>
                <w:b w:val="0"/>
                <w:lang w:val="en-GB"/>
              </w:rPr>
              <w:t>Speed (km/h)</w:t>
            </w:r>
          </w:p>
        </w:tc>
        <w:tc>
          <w:tcPr>
            <w:tcW w:w="2006" w:type="dxa"/>
            <w:noWrap/>
            <w:hideMark/>
          </w:tcPr>
          <w:p w14:paraId="3C278484" w14:textId="77777777" w:rsidR="00924E2E" w:rsidRPr="00924E2E" w:rsidRDefault="00B55198"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b w:val="0"/>
                <w:lang w:val="en-GB"/>
              </w:rPr>
              <w:t>RSS</w:t>
            </w:r>
            <w:r w:rsidR="00924E2E" w:rsidRPr="00924E2E">
              <w:rPr>
                <w:rFonts w:ascii="Arial" w:hAnsi="Arial" w:cs="Arial"/>
                <w:b w:val="0"/>
                <w:lang w:val="en-GB"/>
              </w:rPr>
              <w:t xml:space="preserve"> (dBm)</w:t>
            </w:r>
          </w:p>
        </w:tc>
        <w:tc>
          <w:tcPr>
            <w:tcW w:w="1494" w:type="dxa"/>
            <w:noWrap/>
            <w:hideMark/>
          </w:tcPr>
          <w:p w14:paraId="53138F1F" w14:textId="77777777" w:rsidR="00924E2E" w:rsidRPr="00924E2E" w:rsidRDefault="00B55198"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b w:val="0"/>
                <w:lang w:val="en-GB"/>
              </w:rPr>
              <w:t>Doppler-</w:t>
            </w:r>
            <w:r w:rsidR="00924E2E" w:rsidRPr="00924E2E">
              <w:rPr>
                <w:rFonts w:ascii="Arial" w:hAnsi="Arial" w:cs="Arial"/>
                <w:b w:val="0"/>
                <w:lang w:val="en-GB"/>
              </w:rPr>
              <w:t>Spread (Hz)</w:t>
            </w:r>
          </w:p>
        </w:tc>
        <w:tc>
          <w:tcPr>
            <w:tcW w:w="1358" w:type="dxa"/>
            <w:noWrap/>
            <w:hideMark/>
          </w:tcPr>
          <w:p w14:paraId="306689EE" w14:textId="77777777" w:rsidR="00924E2E" w:rsidRPr="00924E2E" w:rsidRDefault="00B55198"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b w:val="0"/>
                <w:lang w:val="en-GB"/>
              </w:rPr>
              <w:t>Path-</w:t>
            </w:r>
            <w:r w:rsidR="00924E2E" w:rsidRPr="00924E2E">
              <w:rPr>
                <w:rFonts w:ascii="Arial" w:hAnsi="Arial" w:cs="Arial"/>
                <w:b w:val="0"/>
                <w:lang w:val="en-GB"/>
              </w:rPr>
              <w:t>Loss (dB)</w:t>
            </w:r>
          </w:p>
        </w:tc>
        <w:tc>
          <w:tcPr>
            <w:tcW w:w="1358" w:type="dxa"/>
            <w:noWrap/>
            <w:hideMark/>
          </w:tcPr>
          <w:p w14:paraId="68C637FD" w14:textId="77777777" w:rsidR="00924E2E" w:rsidRPr="00924E2E" w:rsidRDefault="00B55198"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b w:val="0"/>
                <w:lang w:val="en-GB"/>
              </w:rPr>
              <w:t>Delay-</w:t>
            </w:r>
            <w:r w:rsidR="00924E2E" w:rsidRPr="00924E2E">
              <w:rPr>
                <w:rFonts w:ascii="Arial" w:hAnsi="Arial" w:cs="Arial"/>
                <w:b w:val="0"/>
                <w:lang w:val="en-GB"/>
              </w:rPr>
              <w:t>Spread (ns)</w:t>
            </w:r>
          </w:p>
        </w:tc>
        <w:tc>
          <w:tcPr>
            <w:tcW w:w="1438" w:type="dxa"/>
            <w:noWrap/>
            <w:hideMark/>
          </w:tcPr>
          <w:p w14:paraId="175EDE86" w14:textId="77777777" w:rsidR="00924E2E" w:rsidRPr="00924E2E" w:rsidRDefault="00B55198" w:rsidP="00924E2E">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b w:val="0"/>
                <w:lang w:val="en-GB"/>
              </w:rPr>
              <w:t>Interference-</w:t>
            </w:r>
            <w:r w:rsidR="00924E2E" w:rsidRPr="00924E2E">
              <w:rPr>
                <w:rFonts w:ascii="Arial" w:hAnsi="Arial" w:cs="Arial"/>
                <w:b w:val="0"/>
                <w:lang w:val="en-GB"/>
              </w:rPr>
              <w:t>Levels (dBm)</w:t>
            </w:r>
          </w:p>
        </w:tc>
      </w:tr>
      <w:tr w:rsidR="00924E2E" w:rsidRPr="00924E2E" w14:paraId="7F7BA5A7" w14:textId="77777777" w:rsidTr="00B5519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57EB7344"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30</w:t>
            </w:r>
          </w:p>
        </w:tc>
        <w:tc>
          <w:tcPr>
            <w:tcW w:w="2006" w:type="dxa"/>
            <w:noWrap/>
            <w:hideMark/>
          </w:tcPr>
          <w:p w14:paraId="7EB1CB52"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-88.20</w:t>
            </w:r>
          </w:p>
        </w:tc>
        <w:tc>
          <w:tcPr>
            <w:tcW w:w="1494" w:type="dxa"/>
            <w:noWrap/>
            <w:hideMark/>
          </w:tcPr>
          <w:p w14:paraId="05D1FDE8"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800</w:t>
            </w:r>
          </w:p>
        </w:tc>
        <w:tc>
          <w:tcPr>
            <w:tcW w:w="1358" w:type="dxa"/>
            <w:noWrap/>
            <w:hideMark/>
          </w:tcPr>
          <w:p w14:paraId="64065D29"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85.60</w:t>
            </w:r>
          </w:p>
        </w:tc>
        <w:tc>
          <w:tcPr>
            <w:tcW w:w="1358" w:type="dxa"/>
            <w:noWrap/>
            <w:hideMark/>
          </w:tcPr>
          <w:p w14:paraId="6330CA5B"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1200</w:t>
            </w:r>
          </w:p>
        </w:tc>
        <w:tc>
          <w:tcPr>
            <w:tcW w:w="1438" w:type="dxa"/>
            <w:noWrap/>
            <w:hideMark/>
          </w:tcPr>
          <w:p w14:paraId="61CFE471"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-124.10</w:t>
            </w:r>
          </w:p>
        </w:tc>
      </w:tr>
      <w:tr w:rsidR="00924E2E" w:rsidRPr="00924E2E" w14:paraId="010EB306" w14:textId="77777777" w:rsidTr="00B55198">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58EF95E"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40</w:t>
            </w:r>
          </w:p>
        </w:tc>
        <w:tc>
          <w:tcPr>
            <w:tcW w:w="2006" w:type="dxa"/>
            <w:noWrap/>
            <w:hideMark/>
          </w:tcPr>
          <w:p w14:paraId="1901752D"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-80.85</w:t>
            </w:r>
          </w:p>
        </w:tc>
        <w:tc>
          <w:tcPr>
            <w:tcW w:w="1494" w:type="dxa"/>
            <w:noWrap/>
            <w:hideMark/>
          </w:tcPr>
          <w:p w14:paraId="67F8F3A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750</w:t>
            </w:r>
          </w:p>
        </w:tc>
        <w:tc>
          <w:tcPr>
            <w:tcW w:w="1358" w:type="dxa"/>
            <w:noWrap/>
            <w:hideMark/>
          </w:tcPr>
          <w:p w14:paraId="54A7F8E7"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80.90</w:t>
            </w:r>
          </w:p>
        </w:tc>
        <w:tc>
          <w:tcPr>
            <w:tcW w:w="1358" w:type="dxa"/>
            <w:noWrap/>
            <w:hideMark/>
          </w:tcPr>
          <w:p w14:paraId="4B048857"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762</w:t>
            </w:r>
          </w:p>
        </w:tc>
        <w:tc>
          <w:tcPr>
            <w:tcW w:w="1438" w:type="dxa"/>
            <w:noWrap/>
            <w:hideMark/>
          </w:tcPr>
          <w:p w14:paraId="07EF43F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-116.25</w:t>
            </w:r>
          </w:p>
        </w:tc>
      </w:tr>
      <w:tr w:rsidR="00924E2E" w:rsidRPr="00924E2E" w14:paraId="50FC366A" w14:textId="77777777" w:rsidTr="00B5519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2BF69651"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50</w:t>
            </w:r>
          </w:p>
        </w:tc>
        <w:tc>
          <w:tcPr>
            <w:tcW w:w="2006" w:type="dxa"/>
            <w:noWrap/>
            <w:hideMark/>
          </w:tcPr>
          <w:p w14:paraId="2DF1708D"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-84.10</w:t>
            </w:r>
          </w:p>
        </w:tc>
        <w:tc>
          <w:tcPr>
            <w:tcW w:w="1494" w:type="dxa"/>
            <w:noWrap/>
            <w:hideMark/>
          </w:tcPr>
          <w:p w14:paraId="2277AF5F"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750</w:t>
            </w:r>
          </w:p>
        </w:tc>
        <w:tc>
          <w:tcPr>
            <w:tcW w:w="1358" w:type="dxa"/>
            <w:noWrap/>
            <w:hideMark/>
          </w:tcPr>
          <w:p w14:paraId="648F9F0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83.32</w:t>
            </w:r>
          </w:p>
        </w:tc>
        <w:tc>
          <w:tcPr>
            <w:tcW w:w="1358" w:type="dxa"/>
            <w:noWrap/>
            <w:hideMark/>
          </w:tcPr>
          <w:p w14:paraId="74D57526"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1137</w:t>
            </w:r>
          </w:p>
        </w:tc>
        <w:tc>
          <w:tcPr>
            <w:tcW w:w="1438" w:type="dxa"/>
            <w:noWrap/>
            <w:hideMark/>
          </w:tcPr>
          <w:p w14:paraId="3BFC169C"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-118.85</w:t>
            </w:r>
          </w:p>
        </w:tc>
      </w:tr>
      <w:tr w:rsidR="00924E2E" w:rsidRPr="00924E2E" w14:paraId="617B2AAC" w14:textId="77777777" w:rsidTr="00B55198">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76C04EE1"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60</w:t>
            </w:r>
          </w:p>
        </w:tc>
        <w:tc>
          <w:tcPr>
            <w:tcW w:w="2006" w:type="dxa"/>
            <w:noWrap/>
            <w:hideMark/>
          </w:tcPr>
          <w:p w14:paraId="4A9F0DCA"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-83.10</w:t>
            </w:r>
          </w:p>
        </w:tc>
        <w:tc>
          <w:tcPr>
            <w:tcW w:w="1494" w:type="dxa"/>
            <w:noWrap/>
            <w:hideMark/>
          </w:tcPr>
          <w:p w14:paraId="52E0E88E"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816</w:t>
            </w:r>
          </w:p>
        </w:tc>
        <w:tc>
          <w:tcPr>
            <w:tcW w:w="1358" w:type="dxa"/>
            <w:noWrap/>
            <w:hideMark/>
          </w:tcPr>
          <w:p w14:paraId="19467830"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80.37</w:t>
            </w:r>
          </w:p>
        </w:tc>
        <w:tc>
          <w:tcPr>
            <w:tcW w:w="1358" w:type="dxa"/>
            <w:noWrap/>
            <w:hideMark/>
          </w:tcPr>
          <w:p w14:paraId="3F7D92CB"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1233</w:t>
            </w:r>
          </w:p>
        </w:tc>
        <w:tc>
          <w:tcPr>
            <w:tcW w:w="1438" w:type="dxa"/>
            <w:noWrap/>
            <w:hideMark/>
          </w:tcPr>
          <w:p w14:paraId="4F7548EA"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-109.23</w:t>
            </w:r>
          </w:p>
        </w:tc>
      </w:tr>
      <w:tr w:rsidR="00924E2E" w:rsidRPr="00924E2E" w14:paraId="3ED27DC1" w14:textId="77777777" w:rsidTr="00B5519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D20F761"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70</w:t>
            </w:r>
          </w:p>
        </w:tc>
        <w:tc>
          <w:tcPr>
            <w:tcW w:w="2006" w:type="dxa"/>
            <w:noWrap/>
            <w:hideMark/>
          </w:tcPr>
          <w:p w14:paraId="04BF177D"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-86.80</w:t>
            </w:r>
          </w:p>
        </w:tc>
        <w:tc>
          <w:tcPr>
            <w:tcW w:w="1494" w:type="dxa"/>
            <w:noWrap/>
            <w:hideMark/>
          </w:tcPr>
          <w:p w14:paraId="31F4C252"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800</w:t>
            </w:r>
          </w:p>
        </w:tc>
        <w:tc>
          <w:tcPr>
            <w:tcW w:w="1358" w:type="dxa"/>
            <w:noWrap/>
            <w:hideMark/>
          </w:tcPr>
          <w:p w14:paraId="15CF8834"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84.50</w:t>
            </w:r>
          </w:p>
        </w:tc>
        <w:tc>
          <w:tcPr>
            <w:tcW w:w="1358" w:type="dxa"/>
            <w:noWrap/>
            <w:hideMark/>
          </w:tcPr>
          <w:p w14:paraId="55A8E025"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1300</w:t>
            </w:r>
          </w:p>
        </w:tc>
        <w:tc>
          <w:tcPr>
            <w:tcW w:w="1438" w:type="dxa"/>
            <w:noWrap/>
            <w:hideMark/>
          </w:tcPr>
          <w:p w14:paraId="4AABE08E" w14:textId="77777777" w:rsidR="00924E2E" w:rsidRPr="00924E2E" w:rsidRDefault="00924E2E" w:rsidP="00924E2E">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924E2E">
              <w:rPr>
                <w:rFonts w:ascii="Arial" w:hAnsi="Arial" w:cs="Arial"/>
                <w:lang w:val="en-GB"/>
              </w:rPr>
              <w:t>-106.30</w:t>
            </w:r>
          </w:p>
        </w:tc>
      </w:tr>
      <w:tr w:rsidR="00924E2E" w:rsidRPr="00924E2E" w14:paraId="44A834FC" w14:textId="77777777" w:rsidTr="00B55198">
        <w:trPr>
          <w:trHeight w:val="375"/>
        </w:trPr>
        <w:tc>
          <w:tcPr>
            <w:cnfStyle w:val="001000000000" w:firstRow="0" w:lastRow="0" w:firstColumn="1" w:lastColumn="0" w:oddVBand="0" w:evenVBand="0" w:oddHBand="0" w:evenHBand="0" w:firstRowFirstColumn="0" w:firstRowLastColumn="0" w:lastRowFirstColumn="0" w:lastRowLastColumn="0"/>
            <w:tcW w:w="959" w:type="dxa"/>
            <w:noWrap/>
            <w:hideMark/>
          </w:tcPr>
          <w:p w14:paraId="2C2F2A9C" w14:textId="77777777" w:rsidR="00924E2E" w:rsidRPr="00924E2E" w:rsidRDefault="00924E2E" w:rsidP="00924E2E">
            <w:pPr>
              <w:pStyle w:val="Body"/>
              <w:spacing w:after="0"/>
              <w:rPr>
                <w:rFonts w:ascii="Arial" w:hAnsi="Arial" w:cs="Arial"/>
                <w:b w:val="0"/>
                <w:lang w:val="en-GB"/>
              </w:rPr>
            </w:pPr>
            <w:r w:rsidRPr="00924E2E">
              <w:rPr>
                <w:rFonts w:ascii="Arial" w:hAnsi="Arial" w:cs="Arial"/>
                <w:b w:val="0"/>
                <w:lang w:val="en-GB"/>
              </w:rPr>
              <w:t>80</w:t>
            </w:r>
          </w:p>
        </w:tc>
        <w:tc>
          <w:tcPr>
            <w:tcW w:w="2006" w:type="dxa"/>
            <w:noWrap/>
            <w:hideMark/>
          </w:tcPr>
          <w:p w14:paraId="28825FD1"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-85.40</w:t>
            </w:r>
          </w:p>
        </w:tc>
        <w:tc>
          <w:tcPr>
            <w:tcW w:w="1494" w:type="dxa"/>
            <w:noWrap/>
            <w:hideMark/>
          </w:tcPr>
          <w:p w14:paraId="2CA290CC"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950</w:t>
            </w:r>
          </w:p>
        </w:tc>
        <w:tc>
          <w:tcPr>
            <w:tcW w:w="1358" w:type="dxa"/>
            <w:noWrap/>
            <w:hideMark/>
          </w:tcPr>
          <w:p w14:paraId="73999A9A"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81.20</w:t>
            </w:r>
          </w:p>
        </w:tc>
        <w:tc>
          <w:tcPr>
            <w:tcW w:w="1358" w:type="dxa"/>
            <w:noWrap/>
            <w:hideMark/>
          </w:tcPr>
          <w:p w14:paraId="66CD047F"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1500</w:t>
            </w:r>
          </w:p>
        </w:tc>
        <w:tc>
          <w:tcPr>
            <w:tcW w:w="1438" w:type="dxa"/>
            <w:noWrap/>
            <w:hideMark/>
          </w:tcPr>
          <w:p w14:paraId="62327465" w14:textId="77777777" w:rsidR="00924E2E" w:rsidRPr="00924E2E" w:rsidRDefault="00924E2E" w:rsidP="00924E2E">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24E2E">
              <w:rPr>
                <w:rFonts w:ascii="Arial" w:hAnsi="Arial" w:cs="Arial"/>
                <w:lang w:val="en-GB"/>
              </w:rPr>
              <w:t>-114.90</w:t>
            </w:r>
          </w:p>
        </w:tc>
      </w:tr>
    </w:tbl>
    <w:p w14:paraId="04058FC7" w14:textId="77777777" w:rsidR="00924E2E" w:rsidRPr="00924E2E" w:rsidRDefault="00924E2E" w:rsidP="00924E2E">
      <w:pPr>
        <w:pStyle w:val="Body"/>
        <w:spacing w:after="0"/>
        <w:rPr>
          <w:rFonts w:ascii="Arial" w:hAnsi="Arial" w:cs="Arial"/>
        </w:rPr>
      </w:pPr>
    </w:p>
    <w:p w14:paraId="64696BCE"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Table 3 evaluates the 5G network performance in rural areas with speeds ranging from 30 km/h to 80 km/h. It includes metrics such as RSSI, Doppler Spread, Path Loss, Delay Spread, Interference Levels, and information about terrain and obstructions. RSSI values fluctuate between -80.85 dBm and -88.20 dBm, which suggest that the signal strength is fairly weak, even in rural areas with fewer obstructions. This is due to the distance from the base station and specific terrain factors such as trees.</w:t>
      </w:r>
    </w:p>
    <w:p w14:paraId="3B59A59D"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Doppler Spread remains relatively consistent between 750 Hz and 950 Hz, which implies that the mobility factor (speed) does not significantly affect the Doppler shift in rural settings.</w:t>
      </w:r>
    </w:p>
    <w:p w14:paraId="79334176"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 Path Loss ranges from 80.37 dB to 85.60 dB, with higher path loss values indicating greater signal attenuation. Delay Spread ranges from 762 ns to 1500 ns, which reflects potential multi-path effects in these environments due to the terrain features such as trees. Interference Levels vary between -106.30 dBm and -124.10 dBm. These high levels of interference resulted to weak signals, leading to increased interference from noise or other distant base stations.</w:t>
      </w:r>
    </w:p>
    <w:p w14:paraId="3E634C5F" w14:textId="77777777" w:rsidR="00924E2E" w:rsidRPr="00924E2E" w:rsidRDefault="00924E2E" w:rsidP="00924E2E">
      <w:pPr>
        <w:pStyle w:val="Body"/>
        <w:spacing w:after="0"/>
        <w:rPr>
          <w:rFonts w:ascii="Arial" w:hAnsi="Arial" w:cs="Arial"/>
        </w:rPr>
      </w:pPr>
    </w:p>
    <w:p w14:paraId="02759FC6" w14:textId="77777777" w:rsidR="00924E2E" w:rsidRPr="00924E2E" w:rsidRDefault="00924E2E" w:rsidP="00924E2E">
      <w:pPr>
        <w:pStyle w:val="Body"/>
        <w:spacing w:after="0"/>
        <w:rPr>
          <w:rFonts w:ascii="Arial" w:hAnsi="Arial" w:cs="Arial"/>
        </w:rPr>
      </w:pPr>
      <w:r w:rsidRPr="00924E2E">
        <w:rPr>
          <w:rFonts w:ascii="Arial" w:hAnsi="Arial" w:cs="Arial"/>
          <w:noProof/>
          <w:lang w:val="en-GB" w:eastAsia="en-GB"/>
        </w:rPr>
        <w:lastRenderedPageBreak/>
        <w:drawing>
          <wp:inline distT="0" distB="0" distL="0" distR="0" wp14:anchorId="6E2BC479" wp14:editId="201D59E8">
            <wp:extent cx="5564637" cy="3515794"/>
            <wp:effectExtent l="0" t="0" r="0" b="889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7F1870" w14:textId="77777777" w:rsidR="00924E2E" w:rsidRPr="00924E2E" w:rsidRDefault="00924E2E" w:rsidP="00924E2E">
      <w:pPr>
        <w:pStyle w:val="Body"/>
        <w:spacing w:after="0"/>
        <w:rPr>
          <w:rFonts w:ascii="Arial" w:hAnsi="Arial" w:cs="Arial"/>
        </w:rPr>
      </w:pPr>
      <w:proofErr w:type="gramStart"/>
      <w:r w:rsidRPr="00924E2E">
        <w:rPr>
          <w:rFonts w:ascii="Arial" w:hAnsi="Arial" w:cs="Arial"/>
        </w:rPr>
        <w:t>Figure  4</w:t>
      </w:r>
      <w:proofErr w:type="gramEnd"/>
      <w:r w:rsidRPr="00924E2E">
        <w:rPr>
          <w:rFonts w:ascii="Arial" w:hAnsi="Arial" w:cs="Arial"/>
        </w:rPr>
        <w:t>. Comparing Path Loss, RSSL and SNR against distance under clear air condition at South-West direction of the transmitter</w:t>
      </w:r>
    </w:p>
    <w:p w14:paraId="27D972A8" w14:textId="77777777" w:rsidR="00924E2E" w:rsidRPr="00924E2E" w:rsidRDefault="00924E2E" w:rsidP="00924E2E">
      <w:pPr>
        <w:pStyle w:val="Body"/>
        <w:spacing w:after="0"/>
        <w:rPr>
          <w:rFonts w:ascii="Arial" w:hAnsi="Arial" w:cs="Arial"/>
          <w:lang w:val="en-GB"/>
        </w:rPr>
      </w:pPr>
      <w:r w:rsidRPr="00924E2E">
        <w:rPr>
          <w:rFonts w:ascii="Arial" w:hAnsi="Arial" w:cs="Arial"/>
          <w:lang w:val="en-GB"/>
        </w:rPr>
        <w:t xml:space="preserve">Figure 4 Compared Path Loss, RSSL, and SNR against Distance under Clear Air Conditions, This figure shows the inverse relationship between distance and RSSL, SNR and the relationship between distance and path loss. As distance increases, both RSSL and SNR decrease, while path loss increases. This demonstrates how signal quality degrades over distance due to free-space loss. However, in Figure 5, the pathloss and signal loss is more severe due to the impact of precipitation in the atmosphere </w:t>
      </w:r>
    </w:p>
    <w:p w14:paraId="5C106C13" w14:textId="77777777" w:rsidR="00924E2E" w:rsidRPr="00924E2E" w:rsidRDefault="00924E2E" w:rsidP="00924E2E">
      <w:pPr>
        <w:pStyle w:val="Body"/>
        <w:spacing w:after="0"/>
        <w:rPr>
          <w:rFonts w:ascii="Arial" w:hAnsi="Arial" w:cs="Arial"/>
        </w:rPr>
      </w:pPr>
      <w:r w:rsidRPr="00924E2E">
        <w:rPr>
          <w:rFonts w:ascii="Arial" w:hAnsi="Arial" w:cs="Arial"/>
          <w:noProof/>
          <w:lang w:val="en-GB" w:eastAsia="en-GB"/>
        </w:rPr>
        <w:drawing>
          <wp:inline distT="0" distB="0" distL="0" distR="0" wp14:anchorId="210EEE2D" wp14:editId="54D40678">
            <wp:extent cx="4997416" cy="2889895"/>
            <wp:effectExtent l="0" t="0" r="0" b="57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0EF4F5" w14:textId="77777777" w:rsidR="00924E2E" w:rsidRPr="00924E2E" w:rsidRDefault="00924E2E" w:rsidP="00924E2E">
      <w:pPr>
        <w:pStyle w:val="Body"/>
        <w:spacing w:after="0"/>
        <w:rPr>
          <w:rFonts w:ascii="Arial" w:hAnsi="Arial" w:cs="Arial"/>
        </w:rPr>
      </w:pPr>
      <w:r w:rsidRPr="00924E2E">
        <w:rPr>
          <w:rFonts w:ascii="Arial" w:hAnsi="Arial" w:cs="Arial"/>
        </w:rPr>
        <w:lastRenderedPageBreak/>
        <w:t xml:space="preserve">Figure 5. Comparing Path Loss, RSSL, SNR and rainfall rate against distance under wet air condition </w:t>
      </w:r>
    </w:p>
    <w:p w14:paraId="41D855F6" w14:textId="77777777" w:rsidR="00790ADA" w:rsidRDefault="00790ADA" w:rsidP="00441B6F">
      <w:pPr>
        <w:pStyle w:val="Body"/>
        <w:spacing w:after="0"/>
        <w:rPr>
          <w:rFonts w:ascii="Arial" w:hAnsi="Arial" w:cs="Arial"/>
        </w:rPr>
      </w:pPr>
    </w:p>
    <w:p w14:paraId="23669B0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2573603" w14:textId="77777777" w:rsidR="00790ADA" w:rsidRPr="00FB3A86" w:rsidRDefault="00790ADA" w:rsidP="00441B6F">
      <w:pPr>
        <w:pStyle w:val="ConcHead"/>
        <w:spacing w:after="0"/>
        <w:jc w:val="both"/>
        <w:rPr>
          <w:rFonts w:ascii="Arial" w:hAnsi="Arial" w:cs="Arial"/>
        </w:rPr>
      </w:pPr>
    </w:p>
    <w:p w14:paraId="56BFE755" w14:textId="77777777" w:rsidR="00371FB6" w:rsidRPr="002B29AE" w:rsidRDefault="00924E2E" w:rsidP="002B29AE">
      <w:pPr>
        <w:pStyle w:val="Body"/>
        <w:rPr>
          <w:rFonts w:ascii="Arial" w:hAnsi="Arial" w:cs="Arial"/>
          <w:lang w:val="en-GB"/>
        </w:rPr>
      </w:pPr>
      <w:r w:rsidRPr="00924E2E">
        <w:rPr>
          <w:rFonts w:ascii="Arial" w:hAnsi="Arial" w:cs="Arial"/>
          <w:lang w:val="en-GB"/>
        </w:rPr>
        <w:t>The evaluation of wideband channel characteristics and path-loss models in Nigeria's 5G macro-cell networks shows that mobility and environmental factors have a major influence on network performance. Because of the dense blockage and quick shift in signal quality in urban contexts, increased mobility leads in poorer RSSI and SNR, as well as larger delay spread. Rural areas, while less blocked, nonetheless face significant route loss and signal interference. The 3GPP TR 38.901 wideband model closely matches observed data, demonstrating its applicability to Nigerian macro-cell situations. These findings highlight the significance of environment-specific path-loss modelling and robust network planning for effective and resilient 5G deployment.</w:t>
      </w:r>
    </w:p>
    <w:p w14:paraId="1B1A8458"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6353DCFD" w14:textId="77777777" w:rsidR="00371FB6" w:rsidRPr="00371FB6" w:rsidRDefault="00371FB6" w:rsidP="00441B6F">
      <w:pPr>
        <w:pStyle w:val="ReferHead"/>
        <w:spacing w:after="0"/>
        <w:jc w:val="both"/>
        <w:rPr>
          <w:rFonts w:ascii="Arial" w:hAnsi="Arial" w:cs="Arial"/>
          <w:bCs/>
        </w:rPr>
      </w:pPr>
    </w:p>
    <w:p w14:paraId="2351B885" w14:textId="77777777" w:rsidR="00371FB6" w:rsidRPr="00F469F0" w:rsidRDefault="002B29AE" w:rsidP="00441B6F">
      <w:pPr>
        <w:pStyle w:val="ReferHead"/>
        <w:spacing w:after="0"/>
        <w:jc w:val="both"/>
        <w:rPr>
          <w:rFonts w:ascii="Arial" w:hAnsi="Arial" w:cs="Arial"/>
          <w:b w:val="0"/>
          <w:caps w:val="0"/>
          <w:sz w:val="20"/>
          <w:u w:val="single"/>
        </w:rPr>
      </w:pPr>
      <w:r>
        <w:rPr>
          <w:rFonts w:ascii="Arial" w:hAnsi="Arial" w:cs="Arial"/>
          <w:b w:val="0"/>
          <w:caps w:val="0"/>
          <w:sz w:val="20"/>
          <w:u w:val="single"/>
        </w:rPr>
        <w:t>Author OCE</w:t>
      </w:r>
      <w:r w:rsidR="00371FB6" w:rsidRPr="00F469F0">
        <w:rPr>
          <w:rFonts w:ascii="Arial" w:hAnsi="Arial" w:cs="Arial"/>
          <w:b w:val="0"/>
          <w:caps w:val="0"/>
          <w:sz w:val="20"/>
          <w:u w:val="single"/>
        </w:rPr>
        <w:t xml:space="preserve"> designed the study, performed the statistical analysis, wrote the protocol, and</w:t>
      </w:r>
      <w:r w:rsidR="001A29D8" w:rsidRPr="00F469F0">
        <w:rPr>
          <w:rFonts w:ascii="Arial" w:hAnsi="Arial" w:cs="Arial"/>
          <w:b w:val="0"/>
          <w:caps w:val="0"/>
          <w:sz w:val="20"/>
          <w:u w:val="single"/>
        </w:rPr>
        <w:t xml:space="preserve"> </w:t>
      </w:r>
      <w:r w:rsidR="00371FB6" w:rsidRPr="00F469F0">
        <w:rPr>
          <w:rFonts w:ascii="Arial" w:hAnsi="Arial" w:cs="Arial"/>
          <w:b w:val="0"/>
          <w:caps w:val="0"/>
          <w:sz w:val="20"/>
          <w:u w:val="single"/>
        </w:rPr>
        <w:t>wrote the first dr</w:t>
      </w:r>
      <w:r>
        <w:rPr>
          <w:rFonts w:ascii="Arial" w:hAnsi="Arial" w:cs="Arial"/>
          <w:b w:val="0"/>
          <w:caps w:val="0"/>
          <w:sz w:val="20"/>
          <w:u w:val="single"/>
        </w:rPr>
        <w:t>aft of the manuscript. Author OEP and Author ZJT</w:t>
      </w:r>
      <w:r w:rsidR="00371FB6" w:rsidRPr="00F469F0">
        <w:rPr>
          <w:rFonts w:ascii="Arial" w:hAnsi="Arial" w:cs="Arial"/>
          <w:b w:val="0"/>
          <w:caps w:val="0"/>
          <w:sz w:val="20"/>
          <w:u w:val="single"/>
        </w:rPr>
        <w:t xml:space="preserve"> managed the analyses of</w:t>
      </w:r>
      <w:r w:rsidR="001A29D8" w:rsidRPr="00F469F0">
        <w:rPr>
          <w:rFonts w:ascii="Arial" w:hAnsi="Arial" w:cs="Arial"/>
          <w:b w:val="0"/>
          <w:caps w:val="0"/>
          <w:sz w:val="20"/>
          <w:u w:val="single"/>
        </w:rPr>
        <w:t xml:space="preserve"> </w:t>
      </w:r>
      <w:r>
        <w:rPr>
          <w:rFonts w:ascii="Arial" w:hAnsi="Arial" w:cs="Arial"/>
          <w:b w:val="0"/>
          <w:caps w:val="0"/>
          <w:sz w:val="20"/>
          <w:u w:val="single"/>
        </w:rPr>
        <w:t xml:space="preserve">the study and </w:t>
      </w:r>
      <w:r w:rsidR="00371FB6" w:rsidRPr="00F469F0">
        <w:rPr>
          <w:rFonts w:ascii="Arial" w:hAnsi="Arial" w:cs="Arial"/>
          <w:b w:val="0"/>
          <w:caps w:val="0"/>
          <w:sz w:val="20"/>
          <w:u w:val="single"/>
        </w:rPr>
        <w:t>managed the literature searches</w:t>
      </w:r>
      <w:r>
        <w:rPr>
          <w:rFonts w:ascii="Arial" w:hAnsi="Arial" w:cs="Arial"/>
          <w:b w:val="0"/>
          <w:caps w:val="0"/>
          <w:sz w:val="20"/>
          <w:u w:val="single"/>
        </w:rPr>
        <w:t xml:space="preserve">. </w:t>
      </w:r>
      <w:r w:rsidR="00371FB6" w:rsidRPr="00F469F0">
        <w:rPr>
          <w:rFonts w:ascii="Arial" w:hAnsi="Arial" w:cs="Arial"/>
          <w:b w:val="0"/>
          <w:caps w:val="0"/>
          <w:sz w:val="20"/>
          <w:u w:val="single"/>
        </w:rPr>
        <w:t>All authors read and approved the final manuscript.</w:t>
      </w:r>
      <w:r w:rsidR="001A29D8" w:rsidRPr="00F469F0">
        <w:rPr>
          <w:rFonts w:ascii="Arial" w:hAnsi="Arial" w:cs="Arial"/>
          <w:b w:val="0"/>
          <w:caps w:val="0"/>
          <w:sz w:val="20"/>
          <w:u w:val="single"/>
        </w:rPr>
        <w:t>”</w:t>
      </w:r>
    </w:p>
    <w:p w14:paraId="11207B4B" w14:textId="77777777" w:rsidR="00860000" w:rsidRDefault="00860000" w:rsidP="00441B6F">
      <w:pPr>
        <w:pStyle w:val="ReferHead"/>
        <w:spacing w:after="0"/>
        <w:jc w:val="both"/>
        <w:rPr>
          <w:rFonts w:ascii="Arial" w:hAnsi="Arial" w:cs="Arial"/>
        </w:rPr>
      </w:pPr>
    </w:p>
    <w:p w14:paraId="2CE8FEA6"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Disclaimer (Artificial intelligence)</w:t>
      </w:r>
    </w:p>
    <w:p w14:paraId="017DF1B0"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 xml:space="preserve">Option 1: </w:t>
      </w:r>
    </w:p>
    <w:p w14:paraId="57AD9612"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 xml:space="preserve">Author(s) hereby </w:t>
      </w:r>
      <w:proofErr w:type="gramStart"/>
      <w:r w:rsidRPr="00AD6683">
        <w:rPr>
          <w:rFonts w:ascii="Calibri" w:eastAsia="Calibri" w:hAnsi="Calibri"/>
          <w:kern w:val="2"/>
          <w:sz w:val="22"/>
          <w:szCs w:val="22"/>
        </w:rPr>
        <w:t>declare</w:t>
      </w:r>
      <w:proofErr w:type="gramEnd"/>
      <w:r w:rsidRPr="00AD6683">
        <w:rPr>
          <w:rFonts w:ascii="Calibri" w:eastAsia="Calibri" w:hAnsi="Calibri"/>
          <w:kern w:val="2"/>
          <w:sz w:val="22"/>
          <w:szCs w:val="22"/>
        </w:rPr>
        <w:t xml:space="preserve"> that NO generative AI technologies such as Large Language Models (ChatGPT, COPILOT, etc.) and text-to-image generators have been used during the writing or editing of this manuscript. </w:t>
      </w:r>
    </w:p>
    <w:p w14:paraId="39632607"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 xml:space="preserve">Option 2: </w:t>
      </w:r>
    </w:p>
    <w:p w14:paraId="2BB6B8A8"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 xml:space="preserve">Author(s) hereby </w:t>
      </w:r>
      <w:proofErr w:type="gramStart"/>
      <w:r w:rsidRPr="00AD6683">
        <w:rPr>
          <w:rFonts w:ascii="Calibri" w:eastAsia="Calibri" w:hAnsi="Calibri"/>
          <w:kern w:val="2"/>
          <w:sz w:val="22"/>
          <w:szCs w:val="22"/>
        </w:rPr>
        <w:t>declare</w:t>
      </w:r>
      <w:proofErr w:type="gramEnd"/>
      <w:r w:rsidRPr="00AD6683">
        <w:rPr>
          <w:rFonts w:ascii="Calibri" w:eastAsia="Calibri" w:hAnsi="Calibri"/>
          <w:kern w:val="2"/>
          <w:sz w:val="22"/>
          <w:szCs w:val="22"/>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D6BDE8"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Details of the AI usage are given below:</w:t>
      </w:r>
    </w:p>
    <w:p w14:paraId="18401B97"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1.</w:t>
      </w:r>
    </w:p>
    <w:p w14:paraId="6E6F2D12"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2.</w:t>
      </w:r>
    </w:p>
    <w:p w14:paraId="3A20F4BD" w14:textId="77777777" w:rsidR="00AD6683" w:rsidRPr="00AD6683" w:rsidRDefault="00AD6683" w:rsidP="00AD6683">
      <w:pPr>
        <w:spacing w:after="200" w:line="276" w:lineRule="auto"/>
        <w:rPr>
          <w:rFonts w:ascii="Calibri" w:eastAsia="Calibri" w:hAnsi="Calibri"/>
          <w:kern w:val="2"/>
          <w:sz w:val="22"/>
          <w:szCs w:val="22"/>
        </w:rPr>
      </w:pPr>
      <w:r w:rsidRPr="00AD6683">
        <w:rPr>
          <w:rFonts w:ascii="Calibri" w:eastAsia="Calibri" w:hAnsi="Calibri"/>
          <w:kern w:val="2"/>
          <w:sz w:val="22"/>
          <w:szCs w:val="22"/>
        </w:rPr>
        <w:t>3.</w:t>
      </w:r>
    </w:p>
    <w:p w14:paraId="2E6E0826" w14:textId="77777777" w:rsidR="00AD6683" w:rsidRDefault="00AD6683" w:rsidP="00441B6F">
      <w:pPr>
        <w:pStyle w:val="ReferHead"/>
        <w:spacing w:after="0"/>
        <w:jc w:val="both"/>
        <w:rPr>
          <w:rFonts w:ascii="Arial" w:hAnsi="Arial" w:cs="Arial"/>
        </w:rPr>
      </w:pPr>
    </w:p>
    <w:p w14:paraId="2626AFD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5345213" w14:textId="77777777" w:rsidR="00790ADA" w:rsidRPr="00FB3A86" w:rsidRDefault="00790ADA" w:rsidP="00441B6F">
      <w:pPr>
        <w:pStyle w:val="ReferHead"/>
        <w:spacing w:after="0"/>
        <w:jc w:val="both"/>
        <w:rPr>
          <w:rFonts w:ascii="Arial" w:hAnsi="Arial" w:cs="Arial"/>
        </w:rPr>
      </w:pPr>
    </w:p>
    <w:p w14:paraId="333D789F" w14:textId="77777777" w:rsidR="00837DF8" w:rsidRPr="00837DF8" w:rsidRDefault="00837DF8" w:rsidP="00F777E9">
      <w:pPr>
        <w:pStyle w:val="Body"/>
        <w:numPr>
          <w:ilvl w:val="0"/>
          <w:numId w:val="33"/>
        </w:numPr>
        <w:rPr>
          <w:lang w:val="en-GB"/>
        </w:rPr>
      </w:pPr>
      <w:r w:rsidRPr="00837DF8">
        <w:rPr>
          <w:lang w:val="en-GB"/>
        </w:rPr>
        <w:t xml:space="preserve">3GPP (2020). </w:t>
      </w:r>
      <w:r w:rsidRPr="00837DF8">
        <w:rPr>
          <w:i/>
          <w:iCs/>
          <w:lang w:val="en-GB"/>
        </w:rPr>
        <w:t>Study on channel model for frequencies from 0.5 to 100 GHz (TR 38.901)</w:t>
      </w:r>
      <w:r w:rsidRPr="00837DF8">
        <w:rPr>
          <w:lang w:val="en-GB"/>
        </w:rPr>
        <w:t>. 3rd Generation Partnership Project.</w:t>
      </w:r>
    </w:p>
    <w:p w14:paraId="58493DCF" w14:textId="77777777" w:rsidR="00837DF8" w:rsidRPr="00837DF8" w:rsidRDefault="00837DF8" w:rsidP="00F777E9">
      <w:pPr>
        <w:pStyle w:val="Body"/>
        <w:numPr>
          <w:ilvl w:val="0"/>
          <w:numId w:val="33"/>
        </w:numPr>
        <w:rPr>
          <w:lang w:val="en-GB"/>
        </w:rPr>
      </w:pPr>
      <w:r w:rsidRPr="00837DF8">
        <w:rPr>
          <w:lang w:val="en-GB"/>
        </w:rPr>
        <w:t xml:space="preserve">Alsharif, M. H., Kim, J., &amp; Kim, J. H. (2017). Green and sustainable cellular base stations: An overview and future research directions. </w:t>
      </w:r>
      <w:r w:rsidRPr="00837DF8">
        <w:rPr>
          <w:i/>
          <w:iCs/>
          <w:lang w:val="en-GB"/>
        </w:rPr>
        <w:t>Energies</w:t>
      </w:r>
      <w:r w:rsidRPr="00837DF8">
        <w:rPr>
          <w:lang w:val="en-GB"/>
        </w:rPr>
        <w:t xml:space="preserve">, </w:t>
      </w:r>
      <w:r w:rsidRPr="00837DF8">
        <w:rPr>
          <w:i/>
          <w:iCs/>
          <w:lang w:val="en-GB"/>
        </w:rPr>
        <w:t>10</w:t>
      </w:r>
      <w:r w:rsidRPr="00837DF8">
        <w:rPr>
          <w:lang w:val="en-GB"/>
        </w:rPr>
        <w:t>(5), 587</w:t>
      </w:r>
    </w:p>
    <w:p w14:paraId="0CD50412" w14:textId="77777777" w:rsidR="00837DF8" w:rsidRPr="00837DF8" w:rsidRDefault="00837DF8" w:rsidP="00F777E9">
      <w:pPr>
        <w:pStyle w:val="Body"/>
        <w:numPr>
          <w:ilvl w:val="0"/>
          <w:numId w:val="33"/>
        </w:numPr>
        <w:rPr>
          <w:lang w:val="en-GB"/>
        </w:rPr>
      </w:pPr>
      <w:proofErr w:type="spellStart"/>
      <w:r w:rsidRPr="00837DF8">
        <w:rPr>
          <w:lang w:val="en-GB"/>
        </w:rPr>
        <w:t>Borralho</w:t>
      </w:r>
      <w:proofErr w:type="spellEnd"/>
      <w:r w:rsidRPr="00837DF8">
        <w:rPr>
          <w:lang w:val="en-GB"/>
        </w:rPr>
        <w:t xml:space="preserve">, R., Mohamed, A., Quddus, A. U., Vieira, P., &amp; </w:t>
      </w:r>
      <w:proofErr w:type="spellStart"/>
      <w:r w:rsidRPr="00837DF8">
        <w:rPr>
          <w:lang w:val="en-GB"/>
        </w:rPr>
        <w:t>Tafazolli</w:t>
      </w:r>
      <w:proofErr w:type="spellEnd"/>
      <w:r w:rsidRPr="00837DF8">
        <w:rPr>
          <w:lang w:val="en-GB"/>
        </w:rPr>
        <w:t xml:space="preserve">, R. (2021). A survey on coverage enhancement in cellular networks: Challenges and solutions for future deployments. </w:t>
      </w:r>
      <w:r w:rsidRPr="00837DF8">
        <w:rPr>
          <w:i/>
          <w:iCs/>
          <w:lang w:val="en-GB"/>
        </w:rPr>
        <w:t>IEEE Communications Surveys &amp; Tutorials</w:t>
      </w:r>
      <w:r w:rsidRPr="00837DF8">
        <w:rPr>
          <w:lang w:val="en-GB"/>
        </w:rPr>
        <w:t xml:space="preserve">, </w:t>
      </w:r>
      <w:r w:rsidRPr="00837DF8">
        <w:rPr>
          <w:i/>
          <w:iCs/>
          <w:lang w:val="en-GB"/>
        </w:rPr>
        <w:t>23</w:t>
      </w:r>
      <w:r w:rsidRPr="00837DF8">
        <w:rPr>
          <w:lang w:val="en-GB"/>
        </w:rPr>
        <w:t>(2), 1302-1341.</w:t>
      </w:r>
    </w:p>
    <w:p w14:paraId="6309E028" w14:textId="77777777" w:rsidR="00837DF8" w:rsidRPr="00837DF8" w:rsidRDefault="00837DF8" w:rsidP="00F777E9">
      <w:pPr>
        <w:pStyle w:val="Body"/>
        <w:numPr>
          <w:ilvl w:val="0"/>
          <w:numId w:val="33"/>
        </w:numPr>
        <w:rPr>
          <w:lang w:val="en-GB"/>
        </w:rPr>
      </w:pPr>
      <w:proofErr w:type="spellStart"/>
      <w:r w:rsidRPr="00837DF8">
        <w:rPr>
          <w:lang w:val="en-GB"/>
        </w:rPr>
        <w:t>Elmezughi</w:t>
      </w:r>
      <w:proofErr w:type="spellEnd"/>
      <w:r w:rsidRPr="00837DF8">
        <w:rPr>
          <w:lang w:val="en-GB"/>
        </w:rPr>
        <w:t xml:space="preserve">, M. K., &amp; </w:t>
      </w:r>
      <w:proofErr w:type="spellStart"/>
      <w:r w:rsidRPr="00837DF8">
        <w:rPr>
          <w:lang w:val="en-GB"/>
        </w:rPr>
        <w:t>Afullo</w:t>
      </w:r>
      <w:proofErr w:type="spellEnd"/>
      <w:r w:rsidRPr="00837DF8">
        <w:rPr>
          <w:lang w:val="en-GB"/>
        </w:rPr>
        <w:t xml:space="preserve">, T. J. (2021). An efficient approach of improving path loss models for future mobile networks in enclosed indoor environments. </w:t>
      </w:r>
      <w:r w:rsidRPr="00837DF8">
        <w:rPr>
          <w:i/>
          <w:iCs/>
          <w:lang w:val="en-GB"/>
        </w:rPr>
        <w:t>IEEE Access</w:t>
      </w:r>
      <w:r w:rsidRPr="00837DF8">
        <w:rPr>
          <w:lang w:val="en-GB"/>
        </w:rPr>
        <w:t xml:space="preserve">, </w:t>
      </w:r>
      <w:r w:rsidRPr="00837DF8">
        <w:rPr>
          <w:i/>
          <w:iCs/>
          <w:lang w:val="en-GB"/>
        </w:rPr>
        <w:t>9</w:t>
      </w:r>
      <w:r w:rsidRPr="00837DF8">
        <w:rPr>
          <w:lang w:val="en-GB"/>
        </w:rPr>
        <w:t>, 110332-110345.</w:t>
      </w:r>
    </w:p>
    <w:p w14:paraId="0CE95286" w14:textId="77777777" w:rsidR="00837DF8" w:rsidRPr="00837DF8" w:rsidRDefault="00837DF8" w:rsidP="00F777E9">
      <w:pPr>
        <w:pStyle w:val="Body"/>
        <w:numPr>
          <w:ilvl w:val="0"/>
          <w:numId w:val="33"/>
        </w:numPr>
        <w:rPr>
          <w:lang w:val="en-GB"/>
        </w:rPr>
      </w:pPr>
      <w:r w:rsidRPr="00837DF8">
        <w:rPr>
          <w:lang w:val="en-GB"/>
        </w:rPr>
        <w:t>Farid, F., Shahrestani, S., &amp; Ruan, C. (2013). Quality of Service Concerns in Wireless and Cellular Networks. Communications of the IBIMA, September, 1–15. https://doi.org/10.5171/2013.794626</w:t>
      </w:r>
    </w:p>
    <w:p w14:paraId="6E0F990C" w14:textId="77777777" w:rsidR="00837DF8" w:rsidRPr="00837DF8" w:rsidRDefault="00837DF8" w:rsidP="00F777E9">
      <w:pPr>
        <w:pStyle w:val="Body"/>
        <w:numPr>
          <w:ilvl w:val="0"/>
          <w:numId w:val="33"/>
        </w:numPr>
        <w:rPr>
          <w:lang w:val="en-GB"/>
        </w:rPr>
      </w:pPr>
      <w:r w:rsidRPr="00837DF8">
        <w:rPr>
          <w:lang w:val="en-GB"/>
        </w:rPr>
        <w:t>Hamad-ameen, J. J. (2008). Frequency planning in GSM mobile Frequency Planning in GSM Mobile. 7th WSEAS Int. Conf. on TELECOMMUNICATIONS and INFORMATICS (TELE-INFO ’08), Istanbul, Turkey.</w:t>
      </w:r>
    </w:p>
    <w:p w14:paraId="676F4E4E" w14:textId="77777777" w:rsidR="00837DF8" w:rsidRPr="00837DF8" w:rsidRDefault="00837DF8" w:rsidP="00F777E9">
      <w:pPr>
        <w:pStyle w:val="Body"/>
        <w:numPr>
          <w:ilvl w:val="0"/>
          <w:numId w:val="33"/>
        </w:numPr>
        <w:rPr>
          <w:lang w:val="en-GB"/>
        </w:rPr>
      </w:pPr>
      <w:r w:rsidRPr="00837DF8">
        <w:rPr>
          <w:lang w:val="en-GB"/>
        </w:rPr>
        <w:t xml:space="preserve">Heath, R. W., &amp; Lozano, A. (2018). </w:t>
      </w:r>
      <w:r w:rsidRPr="00837DF8">
        <w:rPr>
          <w:i/>
          <w:iCs/>
          <w:lang w:val="en-GB"/>
        </w:rPr>
        <w:t>Foundations of MIMO communication</w:t>
      </w:r>
      <w:r w:rsidRPr="00837DF8">
        <w:rPr>
          <w:lang w:val="en-GB"/>
        </w:rPr>
        <w:t>. Cambridge University Press.</w:t>
      </w:r>
    </w:p>
    <w:p w14:paraId="341BE45F" w14:textId="77777777" w:rsidR="00837DF8" w:rsidRPr="00837DF8" w:rsidRDefault="00837DF8" w:rsidP="00F777E9">
      <w:pPr>
        <w:pStyle w:val="Body"/>
        <w:numPr>
          <w:ilvl w:val="0"/>
          <w:numId w:val="33"/>
        </w:numPr>
        <w:rPr>
          <w:lang w:val="en-GB"/>
        </w:rPr>
      </w:pPr>
      <w:r w:rsidRPr="00837DF8">
        <w:rPr>
          <w:lang w:val="en-GB"/>
        </w:rPr>
        <w:t xml:space="preserve">Ma, Z., Xiao, M., Xiao, Y., Pang, Z., Poor, H. V., &amp; Vucetic, B. (2019). High-reliability and low-latency wireless communication for internet of things: Challenges, fundamentals, and enabling technologies. </w:t>
      </w:r>
      <w:r w:rsidRPr="00837DF8">
        <w:rPr>
          <w:i/>
          <w:iCs/>
          <w:lang w:val="en-GB"/>
        </w:rPr>
        <w:t>IEEE Internet of Things Journal</w:t>
      </w:r>
      <w:r w:rsidRPr="00837DF8">
        <w:rPr>
          <w:lang w:val="en-GB"/>
        </w:rPr>
        <w:t xml:space="preserve">, </w:t>
      </w:r>
      <w:r w:rsidRPr="00837DF8">
        <w:rPr>
          <w:i/>
          <w:iCs/>
          <w:lang w:val="en-GB"/>
        </w:rPr>
        <w:t>6</w:t>
      </w:r>
      <w:r w:rsidRPr="00837DF8">
        <w:rPr>
          <w:lang w:val="en-GB"/>
        </w:rPr>
        <w:t>(5), 7946-7970.</w:t>
      </w:r>
    </w:p>
    <w:p w14:paraId="2D14E8C7" w14:textId="77777777" w:rsidR="00837DF8" w:rsidRPr="00837DF8" w:rsidRDefault="00837DF8" w:rsidP="00F777E9">
      <w:pPr>
        <w:pStyle w:val="Body"/>
        <w:numPr>
          <w:ilvl w:val="0"/>
          <w:numId w:val="33"/>
        </w:numPr>
        <w:rPr>
          <w:lang w:val="en-GB"/>
        </w:rPr>
      </w:pPr>
      <w:r w:rsidRPr="00837DF8">
        <w:rPr>
          <w:lang w:val="en-GB"/>
        </w:rPr>
        <w:t xml:space="preserve">Nuriev, M., </w:t>
      </w:r>
      <w:proofErr w:type="spellStart"/>
      <w:r w:rsidRPr="00837DF8">
        <w:rPr>
          <w:lang w:val="en-GB"/>
        </w:rPr>
        <w:t>Kalyashina</w:t>
      </w:r>
      <w:proofErr w:type="spellEnd"/>
      <w:r w:rsidRPr="00837DF8">
        <w:rPr>
          <w:lang w:val="en-GB"/>
        </w:rPr>
        <w:t xml:space="preserve">, A., Smirnov, Y., </w:t>
      </w:r>
      <w:proofErr w:type="spellStart"/>
      <w:r w:rsidRPr="00837DF8">
        <w:rPr>
          <w:lang w:val="en-GB"/>
        </w:rPr>
        <w:t>Gumerova</w:t>
      </w:r>
      <w:proofErr w:type="spellEnd"/>
      <w:r w:rsidRPr="00837DF8">
        <w:rPr>
          <w:lang w:val="en-GB"/>
        </w:rPr>
        <w:t xml:space="preserve">, G., &amp; Gadzhieva, G. (2024). The 5G revolution transforming connectivity and powering innovations. In </w:t>
      </w:r>
      <w:r w:rsidRPr="00837DF8">
        <w:rPr>
          <w:i/>
          <w:iCs/>
          <w:lang w:val="en-GB"/>
        </w:rPr>
        <w:t>E3S Web of Conferences</w:t>
      </w:r>
      <w:r w:rsidRPr="00837DF8">
        <w:rPr>
          <w:lang w:val="en-GB"/>
        </w:rPr>
        <w:t xml:space="preserve"> (Vol. 515, p. 04008). EDP Sciences.</w:t>
      </w:r>
    </w:p>
    <w:p w14:paraId="1632F316" w14:textId="77777777" w:rsidR="00837DF8" w:rsidRPr="00837DF8" w:rsidRDefault="00837DF8" w:rsidP="00F777E9">
      <w:pPr>
        <w:pStyle w:val="Body"/>
        <w:numPr>
          <w:ilvl w:val="0"/>
          <w:numId w:val="33"/>
        </w:numPr>
        <w:rPr>
          <w:lang w:val="en-GB"/>
        </w:rPr>
      </w:pPr>
      <w:r w:rsidRPr="00837DF8">
        <w:rPr>
          <w:lang w:val="en-GB"/>
        </w:rPr>
        <w:t xml:space="preserve">Obeidat, H. A., Asif, R., Ali, N. T., Dama, Y. A., Obeidat, O. A., Jones, S. M. R., </w:t>
      </w:r>
      <w:proofErr w:type="spellStart"/>
      <w:r w:rsidRPr="00837DF8">
        <w:rPr>
          <w:lang w:val="en-GB"/>
        </w:rPr>
        <w:t>Shuaieb</w:t>
      </w:r>
      <w:proofErr w:type="spellEnd"/>
      <w:r w:rsidRPr="00837DF8">
        <w:rPr>
          <w:lang w:val="en-GB"/>
        </w:rPr>
        <w:t>, W. S., Al</w:t>
      </w:r>
      <w:r w:rsidRPr="00837DF8">
        <w:rPr>
          <w:rFonts w:ascii="Cambria Math" w:hAnsi="Cambria Math" w:cs="Cambria Math"/>
          <w:lang w:val="en-GB"/>
        </w:rPr>
        <w:t>‐</w:t>
      </w:r>
      <w:r w:rsidRPr="00837DF8">
        <w:rPr>
          <w:lang w:val="en-GB"/>
        </w:rPr>
        <w:t xml:space="preserve">Sadoon, M. A., Hameed, K. W., </w:t>
      </w:r>
      <w:proofErr w:type="spellStart"/>
      <w:r w:rsidRPr="00837DF8">
        <w:rPr>
          <w:lang w:val="en-GB"/>
        </w:rPr>
        <w:t>Alabdullah</w:t>
      </w:r>
      <w:proofErr w:type="spellEnd"/>
      <w:r w:rsidRPr="00837DF8">
        <w:rPr>
          <w:lang w:val="en-GB"/>
        </w:rPr>
        <w:t>, A. A., &amp; Abd</w:t>
      </w:r>
      <w:r w:rsidRPr="00837DF8">
        <w:rPr>
          <w:rFonts w:ascii="Cambria Math" w:hAnsi="Cambria Math" w:cs="Cambria Math"/>
          <w:lang w:val="en-GB"/>
        </w:rPr>
        <w:t>‐</w:t>
      </w:r>
      <w:r w:rsidRPr="00837DF8">
        <w:rPr>
          <w:lang w:val="en-GB"/>
        </w:rPr>
        <w:t>Alhameed, R. A. (2018). An Indoor Path Loss Prediction Model Using Wall Correction Factors for Wireless Local Area Network and 5G Indoor Networks. Radio Science, 53(4), 544–564. https://doi.org/10.1002/2018RS006536</w:t>
      </w:r>
    </w:p>
    <w:p w14:paraId="3BA44FD6" w14:textId="77777777" w:rsidR="00837DF8" w:rsidRPr="00837DF8" w:rsidRDefault="00837DF8" w:rsidP="00F777E9">
      <w:pPr>
        <w:pStyle w:val="Body"/>
        <w:numPr>
          <w:ilvl w:val="0"/>
          <w:numId w:val="33"/>
        </w:numPr>
        <w:rPr>
          <w:lang w:val="en-GB"/>
        </w:rPr>
      </w:pPr>
      <w:proofErr w:type="spellStart"/>
      <w:r w:rsidRPr="00837DF8">
        <w:rPr>
          <w:lang w:val="en-GB"/>
        </w:rPr>
        <w:t>Odida</w:t>
      </w:r>
      <w:proofErr w:type="spellEnd"/>
      <w:r w:rsidRPr="00837DF8">
        <w:rPr>
          <w:lang w:val="en-GB"/>
        </w:rPr>
        <w:t xml:space="preserve">, M. O. (2024). The evolution of mobile communication: A comprehensive survey on 5g technology. </w:t>
      </w:r>
      <w:r w:rsidRPr="00837DF8">
        <w:rPr>
          <w:i/>
          <w:iCs/>
          <w:lang w:val="en-GB"/>
        </w:rPr>
        <w:t>Journal of Sensor Networks and Data Communications</w:t>
      </w:r>
      <w:r w:rsidRPr="00837DF8">
        <w:rPr>
          <w:lang w:val="en-GB"/>
        </w:rPr>
        <w:t xml:space="preserve">, </w:t>
      </w:r>
      <w:r w:rsidRPr="00837DF8">
        <w:rPr>
          <w:i/>
          <w:iCs/>
          <w:lang w:val="en-GB"/>
        </w:rPr>
        <w:t>4</w:t>
      </w:r>
      <w:r w:rsidRPr="00837DF8">
        <w:rPr>
          <w:lang w:val="en-GB"/>
        </w:rPr>
        <w:t>(1), 1-11</w:t>
      </w:r>
    </w:p>
    <w:p w14:paraId="29978B1A" w14:textId="77777777" w:rsidR="00837DF8" w:rsidRPr="00837DF8" w:rsidRDefault="00837DF8" w:rsidP="00F777E9">
      <w:pPr>
        <w:pStyle w:val="Body"/>
        <w:numPr>
          <w:ilvl w:val="0"/>
          <w:numId w:val="33"/>
        </w:numPr>
        <w:rPr>
          <w:lang w:val="en-GB"/>
        </w:rPr>
      </w:pPr>
      <w:r w:rsidRPr="00837DF8">
        <w:rPr>
          <w:lang w:val="en-GB"/>
        </w:rPr>
        <w:t xml:space="preserve">Oladimeji, T. T., Kumar, P., &amp; </w:t>
      </w:r>
      <w:proofErr w:type="spellStart"/>
      <w:r w:rsidRPr="00837DF8">
        <w:rPr>
          <w:lang w:val="en-GB"/>
        </w:rPr>
        <w:t>Oyie</w:t>
      </w:r>
      <w:proofErr w:type="spellEnd"/>
      <w:r w:rsidRPr="00837DF8">
        <w:rPr>
          <w:lang w:val="en-GB"/>
        </w:rPr>
        <w:t xml:space="preserve">, N. O. (2022). </w:t>
      </w:r>
      <w:proofErr w:type="spellStart"/>
      <w:r w:rsidRPr="00837DF8">
        <w:rPr>
          <w:lang w:val="en-GB"/>
        </w:rPr>
        <w:t>Heliyon</w:t>
      </w:r>
      <w:proofErr w:type="spellEnd"/>
      <w:r w:rsidRPr="00837DF8">
        <w:rPr>
          <w:lang w:val="en-GB"/>
        </w:rPr>
        <w:t xml:space="preserve"> Propagation path loss prediction modelling in enclosed environments for 5G networks : A review. </w:t>
      </w:r>
      <w:proofErr w:type="spellStart"/>
      <w:r w:rsidRPr="00837DF8">
        <w:rPr>
          <w:lang w:val="en-GB"/>
        </w:rPr>
        <w:t>Heliyon</w:t>
      </w:r>
      <w:proofErr w:type="spellEnd"/>
      <w:r w:rsidRPr="00837DF8">
        <w:rPr>
          <w:lang w:val="en-GB"/>
        </w:rPr>
        <w:t>, 8(March), e11581. https://doi.org/10.1016/j.heliyon.2022.e11581</w:t>
      </w:r>
    </w:p>
    <w:p w14:paraId="35C02D6D" w14:textId="77777777" w:rsidR="00837DF8" w:rsidRPr="00837DF8" w:rsidRDefault="00837DF8" w:rsidP="00F777E9">
      <w:pPr>
        <w:pStyle w:val="Body"/>
        <w:numPr>
          <w:ilvl w:val="0"/>
          <w:numId w:val="33"/>
        </w:numPr>
        <w:rPr>
          <w:lang w:val="en-GB"/>
        </w:rPr>
      </w:pPr>
      <w:r w:rsidRPr="00837DF8">
        <w:rPr>
          <w:lang w:val="en-GB"/>
        </w:rPr>
        <w:lastRenderedPageBreak/>
        <w:t xml:space="preserve">Oladimeji, T. T., Kumar, P., &amp; </w:t>
      </w:r>
      <w:proofErr w:type="spellStart"/>
      <w:r w:rsidRPr="00837DF8">
        <w:rPr>
          <w:lang w:val="en-GB"/>
        </w:rPr>
        <w:t>Oyie</w:t>
      </w:r>
      <w:proofErr w:type="spellEnd"/>
      <w:r w:rsidRPr="00837DF8">
        <w:rPr>
          <w:lang w:val="en-GB"/>
        </w:rPr>
        <w:t xml:space="preserve">, N. O. (2022). Propagation path loss prediction modelling in enclosed environments for 5G networks: A review. </w:t>
      </w:r>
      <w:proofErr w:type="spellStart"/>
      <w:r w:rsidRPr="00837DF8">
        <w:rPr>
          <w:i/>
          <w:iCs/>
          <w:lang w:val="en-GB"/>
        </w:rPr>
        <w:t>Heliyon</w:t>
      </w:r>
      <w:proofErr w:type="spellEnd"/>
      <w:r w:rsidRPr="00837DF8">
        <w:rPr>
          <w:lang w:val="en-GB"/>
        </w:rPr>
        <w:t xml:space="preserve">, </w:t>
      </w:r>
      <w:r w:rsidRPr="00837DF8">
        <w:rPr>
          <w:i/>
          <w:iCs/>
          <w:lang w:val="en-GB"/>
        </w:rPr>
        <w:t>8</w:t>
      </w:r>
      <w:r w:rsidRPr="00837DF8">
        <w:rPr>
          <w:lang w:val="en-GB"/>
        </w:rPr>
        <w:t>(11).</w:t>
      </w:r>
    </w:p>
    <w:p w14:paraId="289B854B" w14:textId="77777777" w:rsidR="00837DF8" w:rsidRPr="00837DF8" w:rsidRDefault="00837DF8" w:rsidP="00F777E9">
      <w:pPr>
        <w:pStyle w:val="Body"/>
        <w:numPr>
          <w:ilvl w:val="0"/>
          <w:numId w:val="33"/>
        </w:numPr>
        <w:rPr>
          <w:lang w:val="en-GB"/>
        </w:rPr>
      </w:pPr>
      <w:proofErr w:type="spellStart"/>
      <w:r w:rsidRPr="00837DF8">
        <w:rPr>
          <w:lang w:val="en-GB"/>
        </w:rPr>
        <w:t>Osseiran</w:t>
      </w:r>
      <w:proofErr w:type="spellEnd"/>
      <w:r w:rsidRPr="00837DF8">
        <w:rPr>
          <w:lang w:val="en-GB"/>
        </w:rPr>
        <w:t>, A., Monserrat, J. F., &amp; Marsch, P. (2016). 5G mobile and wireless communications technology. In 5G Mobile and Wireless Communications Technology. https://doi.org/10.1017/CBO9781316417744</w:t>
      </w:r>
    </w:p>
    <w:p w14:paraId="715547CA" w14:textId="77777777" w:rsidR="00837DF8" w:rsidRPr="00837DF8" w:rsidRDefault="00837DF8" w:rsidP="00F777E9">
      <w:pPr>
        <w:pStyle w:val="Body"/>
        <w:numPr>
          <w:ilvl w:val="0"/>
          <w:numId w:val="33"/>
        </w:numPr>
        <w:rPr>
          <w:lang w:val="en-GB"/>
        </w:rPr>
      </w:pPr>
      <w:r w:rsidRPr="00837DF8">
        <w:rPr>
          <w:lang w:val="en-GB"/>
        </w:rPr>
        <w:t xml:space="preserve">Popoola, S. I., </w:t>
      </w:r>
      <w:proofErr w:type="spellStart"/>
      <w:r w:rsidRPr="00837DF8">
        <w:rPr>
          <w:lang w:val="en-GB"/>
        </w:rPr>
        <w:t>Jefia</w:t>
      </w:r>
      <w:proofErr w:type="spellEnd"/>
      <w:r w:rsidRPr="00837DF8">
        <w:rPr>
          <w:lang w:val="en-GB"/>
        </w:rPr>
        <w:t xml:space="preserve">, A., </w:t>
      </w:r>
      <w:proofErr w:type="spellStart"/>
      <w:r w:rsidRPr="00837DF8">
        <w:rPr>
          <w:lang w:val="en-GB"/>
        </w:rPr>
        <w:t>Atayero</w:t>
      </w:r>
      <w:proofErr w:type="spellEnd"/>
      <w:r w:rsidRPr="00837DF8">
        <w:rPr>
          <w:lang w:val="en-GB"/>
        </w:rPr>
        <w:t xml:space="preserve">, A. A., Kingsley, O., Faruk, N., Oseni, O. F., &amp; </w:t>
      </w:r>
      <w:proofErr w:type="spellStart"/>
      <w:r w:rsidRPr="00837DF8">
        <w:rPr>
          <w:lang w:val="en-GB"/>
        </w:rPr>
        <w:t>Abolade</w:t>
      </w:r>
      <w:proofErr w:type="spellEnd"/>
      <w:r w:rsidRPr="00837DF8">
        <w:rPr>
          <w:lang w:val="en-GB"/>
        </w:rPr>
        <w:t xml:space="preserve">, R. O. (2019). Determination of neural network parameters for path loss prediction in very high frequency wireless channel. </w:t>
      </w:r>
      <w:r w:rsidRPr="00837DF8">
        <w:rPr>
          <w:i/>
          <w:iCs/>
          <w:lang w:val="en-GB"/>
        </w:rPr>
        <w:t>IEEE access</w:t>
      </w:r>
      <w:r w:rsidRPr="00837DF8">
        <w:rPr>
          <w:lang w:val="en-GB"/>
        </w:rPr>
        <w:t xml:space="preserve">, </w:t>
      </w:r>
      <w:r w:rsidRPr="00837DF8">
        <w:rPr>
          <w:i/>
          <w:iCs/>
          <w:lang w:val="en-GB"/>
        </w:rPr>
        <w:t>7</w:t>
      </w:r>
      <w:r w:rsidRPr="00837DF8">
        <w:rPr>
          <w:lang w:val="en-GB"/>
        </w:rPr>
        <w:t>, 150462-150483.</w:t>
      </w:r>
    </w:p>
    <w:p w14:paraId="6FAFFD67" w14:textId="77777777" w:rsidR="00837DF8" w:rsidRPr="00837DF8" w:rsidRDefault="00837DF8" w:rsidP="00F777E9">
      <w:pPr>
        <w:pStyle w:val="Body"/>
        <w:numPr>
          <w:ilvl w:val="0"/>
          <w:numId w:val="33"/>
        </w:numPr>
        <w:rPr>
          <w:lang w:val="en-GB"/>
        </w:rPr>
      </w:pPr>
      <w:r w:rsidRPr="00837DF8">
        <w:rPr>
          <w:lang w:val="en-GB"/>
        </w:rPr>
        <w:t xml:space="preserve">Qiu, R. C., Liu, H., &amp; Shen, X. (2005). Ultra-wideband for multiple access communications. </w:t>
      </w:r>
      <w:r w:rsidRPr="00837DF8">
        <w:rPr>
          <w:i/>
          <w:iCs/>
          <w:lang w:val="en-GB"/>
        </w:rPr>
        <w:t>IEEE Communications Magazine</w:t>
      </w:r>
      <w:r w:rsidRPr="00837DF8">
        <w:rPr>
          <w:lang w:val="en-GB"/>
        </w:rPr>
        <w:t xml:space="preserve">, </w:t>
      </w:r>
      <w:r w:rsidRPr="00837DF8">
        <w:rPr>
          <w:i/>
          <w:iCs/>
          <w:lang w:val="en-GB"/>
        </w:rPr>
        <w:t>43</w:t>
      </w:r>
      <w:r w:rsidRPr="00837DF8">
        <w:rPr>
          <w:lang w:val="en-GB"/>
        </w:rPr>
        <w:t>(2), 80-87.</w:t>
      </w:r>
    </w:p>
    <w:p w14:paraId="4D993D59" w14:textId="77777777" w:rsidR="00837DF8" w:rsidRPr="00837DF8" w:rsidRDefault="00837DF8" w:rsidP="00F777E9">
      <w:pPr>
        <w:pStyle w:val="Body"/>
        <w:numPr>
          <w:ilvl w:val="0"/>
          <w:numId w:val="33"/>
        </w:numPr>
        <w:rPr>
          <w:lang w:val="en-GB"/>
        </w:rPr>
      </w:pPr>
      <w:proofErr w:type="spellStart"/>
      <w:r w:rsidRPr="00837DF8">
        <w:rPr>
          <w:lang w:val="en-GB"/>
        </w:rPr>
        <w:t>Rajatheva</w:t>
      </w:r>
      <w:proofErr w:type="spellEnd"/>
      <w:r w:rsidRPr="00837DF8">
        <w:rPr>
          <w:lang w:val="en-GB"/>
        </w:rPr>
        <w:t xml:space="preserve">, N., Atzeni, I., Bjornson, E., </w:t>
      </w:r>
      <w:proofErr w:type="spellStart"/>
      <w:r w:rsidRPr="00837DF8">
        <w:rPr>
          <w:lang w:val="en-GB"/>
        </w:rPr>
        <w:t>Bourdoux</w:t>
      </w:r>
      <w:proofErr w:type="spellEnd"/>
      <w:r w:rsidRPr="00837DF8">
        <w:rPr>
          <w:lang w:val="en-GB"/>
        </w:rPr>
        <w:t xml:space="preserve">, A., Buzzi, S., Dore, J. B., ... &amp; Xu, W. (2020). White paper on broadband connectivity in 6G. </w:t>
      </w:r>
      <w:proofErr w:type="spellStart"/>
      <w:r w:rsidRPr="00837DF8">
        <w:rPr>
          <w:i/>
          <w:iCs/>
          <w:lang w:val="en-GB"/>
        </w:rPr>
        <w:t>arXiv</w:t>
      </w:r>
      <w:proofErr w:type="spellEnd"/>
      <w:r w:rsidRPr="00837DF8">
        <w:rPr>
          <w:i/>
          <w:iCs/>
          <w:lang w:val="en-GB"/>
        </w:rPr>
        <w:t xml:space="preserve"> preprint arXiv:2004.14247</w:t>
      </w:r>
      <w:r w:rsidRPr="00837DF8">
        <w:rPr>
          <w:lang w:val="en-GB"/>
        </w:rPr>
        <w:t>.</w:t>
      </w:r>
    </w:p>
    <w:p w14:paraId="0AD34C96" w14:textId="77777777" w:rsidR="00837DF8" w:rsidRPr="00837DF8" w:rsidRDefault="00837DF8" w:rsidP="00F777E9">
      <w:pPr>
        <w:pStyle w:val="Body"/>
        <w:numPr>
          <w:ilvl w:val="0"/>
          <w:numId w:val="33"/>
        </w:numPr>
        <w:rPr>
          <w:lang w:val="en-GB"/>
        </w:rPr>
      </w:pPr>
      <w:r w:rsidRPr="00837DF8">
        <w:rPr>
          <w:lang w:val="en-GB"/>
        </w:rPr>
        <w:t xml:space="preserve">Rappaport, T. S., Xing, Y., MacCartney, G. R., &amp; Sun, S. (2019). Propagation and radio system design issues in mobile </w:t>
      </w:r>
      <w:proofErr w:type="spellStart"/>
      <w:r w:rsidRPr="00837DF8">
        <w:rPr>
          <w:lang w:val="en-GB"/>
        </w:rPr>
        <w:t>millimeter</w:t>
      </w:r>
      <w:proofErr w:type="spellEnd"/>
      <w:r w:rsidRPr="00837DF8">
        <w:rPr>
          <w:lang w:val="en-GB"/>
        </w:rPr>
        <w:t xml:space="preserve">-wave systems. </w:t>
      </w:r>
      <w:r w:rsidRPr="00837DF8">
        <w:rPr>
          <w:i/>
          <w:iCs/>
          <w:lang w:val="en-GB"/>
        </w:rPr>
        <w:t>Proceedings of the IEEE, 107</w:t>
      </w:r>
      <w:r w:rsidRPr="00837DF8">
        <w:rPr>
          <w:lang w:val="en-GB"/>
        </w:rPr>
        <w:t>(4), 852-866.</w:t>
      </w:r>
    </w:p>
    <w:p w14:paraId="672DD462" w14:textId="77777777" w:rsidR="00837DF8" w:rsidRPr="00837DF8" w:rsidRDefault="00837DF8" w:rsidP="00F777E9">
      <w:pPr>
        <w:pStyle w:val="Body"/>
        <w:numPr>
          <w:ilvl w:val="0"/>
          <w:numId w:val="33"/>
        </w:numPr>
        <w:rPr>
          <w:lang w:val="en-GB"/>
        </w:rPr>
      </w:pPr>
      <w:r w:rsidRPr="00837DF8">
        <w:rPr>
          <w:lang w:val="en-GB"/>
        </w:rPr>
        <w:t xml:space="preserve">Salman, H. A., </w:t>
      </w:r>
      <w:proofErr w:type="spellStart"/>
      <w:r w:rsidRPr="00837DF8">
        <w:rPr>
          <w:lang w:val="en-GB"/>
        </w:rPr>
        <w:t>Alsajri</w:t>
      </w:r>
      <w:proofErr w:type="spellEnd"/>
      <w:r w:rsidRPr="00837DF8">
        <w:rPr>
          <w:lang w:val="en-GB"/>
        </w:rPr>
        <w:t xml:space="preserve">, A., </w:t>
      </w:r>
      <w:proofErr w:type="spellStart"/>
      <w:r w:rsidRPr="00837DF8">
        <w:rPr>
          <w:lang w:val="en-GB"/>
        </w:rPr>
        <w:t>Kalakech</w:t>
      </w:r>
      <w:proofErr w:type="spellEnd"/>
      <w:r w:rsidRPr="00837DF8">
        <w:rPr>
          <w:lang w:val="en-GB"/>
        </w:rPr>
        <w:t xml:space="preserve">, A., &amp; </w:t>
      </w:r>
      <w:proofErr w:type="spellStart"/>
      <w:r w:rsidRPr="00837DF8">
        <w:rPr>
          <w:lang w:val="en-GB"/>
        </w:rPr>
        <w:t>Steiti</w:t>
      </w:r>
      <w:proofErr w:type="spellEnd"/>
      <w:r w:rsidRPr="00837DF8">
        <w:rPr>
          <w:lang w:val="en-GB"/>
        </w:rPr>
        <w:t xml:space="preserve">, A. (2023). Difference Between 4G and 5G Networks. </w:t>
      </w:r>
      <w:r w:rsidRPr="00837DF8">
        <w:rPr>
          <w:i/>
          <w:iCs/>
          <w:lang w:val="en-GB"/>
        </w:rPr>
        <w:t>Babylonian Journal of Networking</w:t>
      </w:r>
      <w:r w:rsidRPr="00837DF8">
        <w:rPr>
          <w:lang w:val="en-GB"/>
        </w:rPr>
        <w:t xml:space="preserve">, </w:t>
      </w:r>
      <w:r w:rsidRPr="00837DF8">
        <w:rPr>
          <w:i/>
          <w:iCs/>
          <w:lang w:val="en-GB"/>
        </w:rPr>
        <w:t>2023</w:t>
      </w:r>
      <w:r w:rsidRPr="00837DF8">
        <w:rPr>
          <w:lang w:val="en-GB"/>
        </w:rPr>
        <w:t>, 41-54</w:t>
      </w:r>
    </w:p>
    <w:p w14:paraId="64398ECA" w14:textId="77777777" w:rsidR="00837DF8" w:rsidRPr="00837DF8" w:rsidRDefault="00837DF8" w:rsidP="00F777E9">
      <w:pPr>
        <w:pStyle w:val="Body"/>
        <w:numPr>
          <w:ilvl w:val="0"/>
          <w:numId w:val="33"/>
        </w:numPr>
        <w:rPr>
          <w:lang w:val="en-GB"/>
        </w:rPr>
      </w:pPr>
      <w:proofErr w:type="spellStart"/>
      <w:r w:rsidRPr="00837DF8">
        <w:rPr>
          <w:lang w:val="en-GB"/>
        </w:rPr>
        <w:t>Salous</w:t>
      </w:r>
      <w:proofErr w:type="spellEnd"/>
      <w:r w:rsidRPr="00837DF8">
        <w:rPr>
          <w:lang w:val="en-GB"/>
        </w:rPr>
        <w:t xml:space="preserve">, S., Lee, J., Kim, M. D., Sasaki, M., Yamada, W., Raimundo, X., &amp; Cheema, A. A. (2020). Radio propagation measurements and </w:t>
      </w:r>
      <w:proofErr w:type="spellStart"/>
      <w:r w:rsidRPr="00837DF8">
        <w:rPr>
          <w:lang w:val="en-GB"/>
        </w:rPr>
        <w:t>modeling</w:t>
      </w:r>
      <w:proofErr w:type="spellEnd"/>
      <w:r w:rsidRPr="00837DF8">
        <w:rPr>
          <w:lang w:val="en-GB"/>
        </w:rPr>
        <w:t xml:space="preserve"> for standardization of the site general path loss model in International Telecommunications Union recommendations for 5G wireless networks. Radio Science, 55(1), 1–12. https://doi.org/10.1029/2019RS006924</w:t>
      </w:r>
    </w:p>
    <w:p w14:paraId="0F27B766" w14:textId="77777777" w:rsidR="00837DF8" w:rsidRPr="00837DF8" w:rsidRDefault="00837DF8" w:rsidP="00F777E9">
      <w:pPr>
        <w:pStyle w:val="Body"/>
        <w:numPr>
          <w:ilvl w:val="0"/>
          <w:numId w:val="33"/>
        </w:numPr>
        <w:rPr>
          <w:lang w:val="en-GB"/>
        </w:rPr>
      </w:pPr>
      <w:r w:rsidRPr="00837DF8">
        <w:rPr>
          <w:lang w:val="en-GB"/>
        </w:rPr>
        <w:t xml:space="preserve">Shakir, Z., </w:t>
      </w:r>
      <w:proofErr w:type="spellStart"/>
      <w:r w:rsidRPr="00837DF8">
        <w:rPr>
          <w:lang w:val="en-GB"/>
        </w:rPr>
        <w:t>Mjhool</w:t>
      </w:r>
      <w:proofErr w:type="spellEnd"/>
      <w:r w:rsidRPr="00837DF8">
        <w:rPr>
          <w:lang w:val="en-GB"/>
        </w:rPr>
        <w:t>, A. Y., Al-</w:t>
      </w:r>
      <w:proofErr w:type="spellStart"/>
      <w:r w:rsidRPr="00837DF8">
        <w:rPr>
          <w:lang w:val="en-GB"/>
        </w:rPr>
        <w:t>thaedan</w:t>
      </w:r>
      <w:proofErr w:type="spellEnd"/>
      <w:r w:rsidRPr="00837DF8">
        <w:rPr>
          <w:lang w:val="en-GB"/>
        </w:rPr>
        <w:t>, A., Al-</w:t>
      </w:r>
      <w:proofErr w:type="spellStart"/>
      <w:r w:rsidRPr="00837DF8">
        <w:rPr>
          <w:lang w:val="en-GB"/>
        </w:rPr>
        <w:t>sabbagh</w:t>
      </w:r>
      <w:proofErr w:type="spellEnd"/>
      <w:r w:rsidRPr="00837DF8">
        <w:rPr>
          <w:lang w:val="en-GB"/>
        </w:rPr>
        <w:t xml:space="preserve">, A., &amp; </w:t>
      </w:r>
      <w:proofErr w:type="spellStart"/>
      <w:r w:rsidRPr="00837DF8">
        <w:rPr>
          <w:lang w:val="en-GB"/>
        </w:rPr>
        <w:t>Alsabah</w:t>
      </w:r>
      <w:proofErr w:type="spellEnd"/>
      <w:r w:rsidRPr="00837DF8">
        <w:rPr>
          <w:lang w:val="en-GB"/>
        </w:rPr>
        <w:t xml:space="preserve">, R. (2023). Key performance indicators analysis for 4 G </w:t>
      </w:r>
      <w:r w:rsidRPr="00837DF8">
        <w:rPr>
          <w:lang w:val="en-GB"/>
        </w:rPr>
        <w:noBreakHyphen/>
        <w:t xml:space="preserve"> LTE cellular networks based on real measurements. International Journal of Information Technology, March. https://doi.org/10.1007/s41870-023-01210-0</w:t>
      </w:r>
    </w:p>
    <w:p w14:paraId="01B379A2" w14:textId="77777777" w:rsidR="00837DF8" w:rsidRPr="00837DF8" w:rsidRDefault="00837DF8" w:rsidP="00F777E9">
      <w:pPr>
        <w:pStyle w:val="Body"/>
        <w:numPr>
          <w:ilvl w:val="0"/>
          <w:numId w:val="33"/>
        </w:numPr>
        <w:rPr>
          <w:lang w:val="en-GB"/>
        </w:rPr>
      </w:pPr>
      <w:proofErr w:type="spellStart"/>
      <w:r w:rsidRPr="00837DF8">
        <w:rPr>
          <w:lang w:val="en-GB"/>
        </w:rPr>
        <w:t>Siriwongpairat</w:t>
      </w:r>
      <w:proofErr w:type="spellEnd"/>
      <w:r w:rsidRPr="00837DF8">
        <w:rPr>
          <w:lang w:val="en-GB"/>
        </w:rPr>
        <w:t xml:space="preserve">, W. P., &amp; Liu, K. R. (2007). </w:t>
      </w:r>
      <w:r w:rsidRPr="00837DF8">
        <w:rPr>
          <w:i/>
          <w:iCs/>
          <w:lang w:val="en-GB"/>
        </w:rPr>
        <w:t>Ultra-wideband communications systems: multiband OFDM approach</w:t>
      </w:r>
      <w:r w:rsidRPr="00837DF8">
        <w:rPr>
          <w:lang w:val="en-GB"/>
        </w:rPr>
        <w:t>. John Wiley &amp; Sons.</w:t>
      </w:r>
    </w:p>
    <w:p w14:paraId="5D4DEA75" w14:textId="77777777" w:rsidR="00837DF8" w:rsidRPr="00837DF8" w:rsidRDefault="00837DF8" w:rsidP="00F777E9">
      <w:pPr>
        <w:pStyle w:val="Body"/>
        <w:numPr>
          <w:ilvl w:val="0"/>
          <w:numId w:val="33"/>
        </w:numPr>
        <w:rPr>
          <w:lang w:val="en-GB"/>
        </w:rPr>
      </w:pPr>
      <w:r w:rsidRPr="00837DF8">
        <w:rPr>
          <w:lang w:val="en-GB"/>
        </w:rPr>
        <w:t xml:space="preserve">Tikhomirov, A., </w:t>
      </w:r>
      <w:proofErr w:type="spellStart"/>
      <w:r w:rsidRPr="00837DF8">
        <w:rPr>
          <w:lang w:val="en-GB"/>
        </w:rPr>
        <w:t>Omelyanchuk</w:t>
      </w:r>
      <w:proofErr w:type="spellEnd"/>
      <w:r w:rsidRPr="00837DF8">
        <w:rPr>
          <w:lang w:val="en-GB"/>
        </w:rPr>
        <w:t xml:space="preserve">, E., &amp; Semenova, A. (2017). Link budget estimation for </w:t>
      </w:r>
      <w:proofErr w:type="spellStart"/>
      <w:r w:rsidRPr="00837DF8">
        <w:rPr>
          <w:lang w:val="en-GB"/>
        </w:rPr>
        <w:t>ultra high</w:t>
      </w:r>
      <w:proofErr w:type="spellEnd"/>
      <w:r w:rsidRPr="00837DF8">
        <w:rPr>
          <w:lang w:val="en-GB"/>
        </w:rPr>
        <w:t xml:space="preserve"> speed radio downlink for prospective remote sensing systems. 2016 International Conference on Control Instrumentation Communication and Computational Technologies, ICCICCT 2016, 14, 420–424. https://doi.org/10.1109/ICCICCT.2016.7987986</w:t>
      </w:r>
    </w:p>
    <w:p w14:paraId="11286399" w14:textId="77777777" w:rsidR="00837DF8" w:rsidRPr="00837DF8" w:rsidRDefault="00837DF8" w:rsidP="00F777E9">
      <w:pPr>
        <w:pStyle w:val="Body"/>
        <w:numPr>
          <w:ilvl w:val="0"/>
          <w:numId w:val="33"/>
        </w:numPr>
        <w:rPr>
          <w:lang w:val="en-GB"/>
        </w:rPr>
      </w:pPr>
      <w:r w:rsidRPr="00837DF8">
        <w:rPr>
          <w:lang w:val="en-GB"/>
        </w:rPr>
        <w:t xml:space="preserve">Zakaria, Y. A., Hamad, E. K., </w:t>
      </w:r>
      <w:proofErr w:type="spellStart"/>
      <w:r w:rsidRPr="00837DF8">
        <w:rPr>
          <w:lang w:val="en-GB"/>
        </w:rPr>
        <w:t>Elhamid</w:t>
      </w:r>
      <w:proofErr w:type="spellEnd"/>
      <w:r w:rsidRPr="00837DF8">
        <w:rPr>
          <w:lang w:val="en-GB"/>
        </w:rPr>
        <w:t xml:space="preserve">, A. A., &amp; El-Khatib, K. M. (2021). Developed channel propagation models and path loss measurements for wireless communication systems using regression analysis techniques. </w:t>
      </w:r>
      <w:r w:rsidRPr="00837DF8">
        <w:rPr>
          <w:i/>
          <w:iCs/>
          <w:lang w:val="en-GB"/>
        </w:rPr>
        <w:t>Bulletin of the National Research Centre</w:t>
      </w:r>
      <w:r w:rsidRPr="00837DF8">
        <w:rPr>
          <w:lang w:val="en-GB"/>
        </w:rPr>
        <w:t xml:space="preserve">, </w:t>
      </w:r>
      <w:r w:rsidRPr="00837DF8">
        <w:rPr>
          <w:i/>
          <w:iCs/>
          <w:lang w:val="en-GB"/>
        </w:rPr>
        <w:t>45</w:t>
      </w:r>
      <w:r w:rsidRPr="00837DF8">
        <w:rPr>
          <w:lang w:val="en-GB"/>
        </w:rPr>
        <w:t>, 1-11</w:t>
      </w:r>
    </w:p>
    <w:p w14:paraId="5581ADF0" w14:textId="77777777" w:rsidR="00837DF8" w:rsidRPr="00837DF8" w:rsidRDefault="00837DF8" w:rsidP="00F777E9">
      <w:pPr>
        <w:pStyle w:val="Body"/>
        <w:numPr>
          <w:ilvl w:val="0"/>
          <w:numId w:val="33"/>
        </w:numPr>
        <w:rPr>
          <w:lang w:val="en-GB"/>
        </w:rPr>
      </w:pPr>
      <w:r w:rsidRPr="00837DF8">
        <w:rPr>
          <w:lang w:val="en-GB"/>
        </w:rPr>
        <w:t>Zerihun, B. (2019). Performance Analysis of Spectrum Scenarios for Outdoor LTE Small Cell Planning: The Case of Addis Ababa, Ethiopia.</w:t>
      </w:r>
    </w:p>
    <w:p w14:paraId="6AFAA35B" w14:textId="77777777" w:rsidR="00837DF8" w:rsidRPr="00837DF8" w:rsidRDefault="00837DF8" w:rsidP="00F777E9">
      <w:pPr>
        <w:pStyle w:val="Body"/>
        <w:numPr>
          <w:ilvl w:val="0"/>
          <w:numId w:val="33"/>
        </w:numPr>
        <w:rPr>
          <w:lang w:val="en-GB"/>
        </w:rPr>
      </w:pPr>
      <w:r w:rsidRPr="00837DF8">
        <w:rPr>
          <w:lang w:val="en-GB"/>
        </w:rPr>
        <w:lastRenderedPageBreak/>
        <w:t xml:space="preserve">Zhang, J., Dai, L., Han, S., Wang, X., &amp; Tan, J. (2019). On the spectral efficiency of massive MIMO systems with low-resolution ADCs. </w:t>
      </w:r>
      <w:r w:rsidRPr="00837DF8">
        <w:rPr>
          <w:i/>
          <w:iCs/>
          <w:lang w:val="en-GB"/>
        </w:rPr>
        <w:t>IEEE Transactions on Communications, 67</w:t>
      </w:r>
      <w:r w:rsidRPr="00837DF8">
        <w:rPr>
          <w:lang w:val="en-GB"/>
        </w:rPr>
        <w:t>(10), 6735-6749.</w:t>
      </w:r>
    </w:p>
    <w:p w14:paraId="2C59CBBA" w14:textId="77777777" w:rsidR="00D43CFA" w:rsidRPr="00837DF8" w:rsidRDefault="00940AC5" w:rsidP="00F777E9">
      <w:pPr>
        <w:pStyle w:val="Body"/>
        <w:numPr>
          <w:ilvl w:val="0"/>
          <w:numId w:val="33"/>
        </w:numPr>
        <w:rPr>
          <w:lang w:val="en-GB"/>
        </w:rPr>
      </w:pPr>
      <w:proofErr w:type="spellStart"/>
      <w:r w:rsidRPr="00837DF8">
        <w:rPr>
          <w:lang w:val="en-GB"/>
        </w:rPr>
        <w:t>Zhimwang</w:t>
      </w:r>
      <w:proofErr w:type="spellEnd"/>
      <w:r w:rsidRPr="00837DF8">
        <w:rPr>
          <w:lang w:val="en-GB"/>
        </w:rPr>
        <w:t xml:space="preserve"> J.T., E. P. </w:t>
      </w:r>
      <w:proofErr w:type="spellStart"/>
      <w:r w:rsidRPr="00837DF8">
        <w:rPr>
          <w:lang w:val="en-GB"/>
        </w:rPr>
        <w:t>Ogherohwo</w:t>
      </w:r>
      <w:proofErr w:type="spellEnd"/>
      <w:r w:rsidRPr="00837DF8">
        <w:rPr>
          <w:lang w:val="en-GB"/>
        </w:rPr>
        <w:t xml:space="preserve">, A. A. Alonge, A. O. Ezekiel and S. O. Samuel, (2023). Effect of the Variation of Atmospheric Refractive Index on Signal Transmission for Digital Terrestrial Television in Jos, Nigeria, </w:t>
      </w:r>
      <w:r w:rsidRPr="00837DF8">
        <w:rPr>
          <w:i/>
          <w:lang w:val="en-GB"/>
        </w:rPr>
        <w:t>2023 IEEE AFRICON, Nairobi, Kenya</w:t>
      </w:r>
      <w:r w:rsidRPr="00837DF8">
        <w:rPr>
          <w:lang w:val="en-GB"/>
        </w:rPr>
        <w:t>, pp. 1-4, http://dx.doi.org/10.1109/AFRICON55910.2023.10293714</w:t>
      </w:r>
    </w:p>
    <w:p w14:paraId="0BE9672E" w14:textId="77777777" w:rsidR="00790ADA" w:rsidRPr="002C57D2" w:rsidRDefault="00790ADA" w:rsidP="00441B6F">
      <w:pPr>
        <w:pStyle w:val="Body"/>
        <w:spacing w:after="0"/>
        <w:rPr>
          <w:rFonts w:ascii="Arial" w:hAnsi="Arial" w:cs="Arial"/>
        </w:rPr>
      </w:pPr>
    </w:p>
    <w:p w14:paraId="14280390" w14:textId="77777777" w:rsidR="004D4277" w:rsidRPr="00FB3A86" w:rsidRDefault="004D4277" w:rsidP="00441B6F">
      <w:pPr>
        <w:pStyle w:val="Appendix"/>
        <w:spacing w:after="0"/>
        <w:jc w:val="both"/>
        <w:rPr>
          <w:rFonts w:ascii="Arial" w:hAnsi="Arial" w:cs="Arial"/>
          <w:b w:val="0"/>
        </w:rPr>
        <w:sectPr w:rsidR="004D4277" w:rsidRPr="00FB3A86" w:rsidSect="000B1E33">
          <w:footerReference w:type="default" r:id="rId21"/>
          <w:type w:val="continuous"/>
          <w:pgSz w:w="12240" w:h="15840"/>
          <w:pgMar w:top="1440" w:right="2016" w:bottom="2016" w:left="2016" w:header="720" w:footer="1123" w:gutter="0"/>
          <w:lnNumType w:countBy="1" w:restart="continuous"/>
          <w:cols w:space="720"/>
          <w:docGrid w:linePitch="272"/>
        </w:sectPr>
      </w:pPr>
    </w:p>
    <w:p w14:paraId="5E1D7976"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2B03C" w14:textId="77777777" w:rsidR="001A40CF" w:rsidRDefault="001A40CF" w:rsidP="00C37E61">
      <w:r>
        <w:separator/>
      </w:r>
    </w:p>
  </w:endnote>
  <w:endnote w:type="continuationSeparator" w:id="0">
    <w:p w14:paraId="677EF9EC" w14:textId="77777777" w:rsidR="001A40CF" w:rsidRDefault="001A40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0C50" w14:textId="77777777" w:rsidR="00924E2E" w:rsidRDefault="00924E2E">
    <w:pPr>
      <w:pStyle w:val="Footer"/>
      <w:rPr>
        <w:rFonts w:ascii="Arial" w:hAnsi="Arial" w:cs="Arial"/>
        <w:sz w:val="16"/>
      </w:rPr>
    </w:pPr>
  </w:p>
  <w:p w14:paraId="2E4246D5" w14:textId="77777777" w:rsidR="00924E2E" w:rsidRDefault="00924E2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FA43731" w14:textId="77777777" w:rsidR="00924E2E" w:rsidRDefault="00924E2E">
    <w:pPr>
      <w:pStyle w:val="Footer"/>
      <w:rPr>
        <w:rFonts w:ascii="Arial" w:hAnsi="Arial" w:cs="Arial"/>
        <w:sz w:val="16"/>
      </w:rPr>
    </w:pPr>
  </w:p>
  <w:p w14:paraId="19E6162A" w14:textId="77777777" w:rsidR="00924E2E" w:rsidRPr="009E048A" w:rsidRDefault="00924E2E">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9670" w14:textId="77777777" w:rsidR="00924E2E" w:rsidRPr="00C37E61" w:rsidRDefault="00924E2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A1220" w14:textId="77777777" w:rsidR="001A40CF" w:rsidRDefault="001A40CF" w:rsidP="00C37E61">
      <w:r>
        <w:separator/>
      </w:r>
    </w:p>
  </w:footnote>
  <w:footnote w:type="continuationSeparator" w:id="0">
    <w:p w14:paraId="0AEB24E2" w14:textId="77777777" w:rsidR="001A40CF" w:rsidRDefault="001A40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3D46" w14:textId="77777777" w:rsidR="00924E2E" w:rsidRPr="00296529" w:rsidRDefault="00924E2E" w:rsidP="00296529">
    <w:pPr>
      <w:ind w:left="2160"/>
      <w:jc w:val="center"/>
      <w:rPr>
        <w:rFonts w:ascii="Times New Roman" w:eastAsia="Calibri" w:hAnsi="Times New Roman"/>
        <w:i/>
        <w:sz w:val="18"/>
        <w:szCs w:val="22"/>
      </w:rPr>
    </w:pPr>
  </w:p>
  <w:p w14:paraId="30D29061" w14:textId="77777777" w:rsidR="00924E2E" w:rsidRPr="00296529" w:rsidRDefault="00924E2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8F9ACF0" w14:textId="77777777" w:rsidR="00924E2E" w:rsidRPr="00296529" w:rsidRDefault="00924E2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D6C228B" w14:textId="77777777" w:rsidR="00924E2E" w:rsidRPr="00296529" w:rsidRDefault="00924E2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876008A" w14:textId="77777777" w:rsidR="00924E2E" w:rsidRDefault="00924E2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1FFAA5D" w14:textId="77777777" w:rsidR="00924E2E" w:rsidRDefault="00924E2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83791EC" w14:textId="77777777" w:rsidR="00924E2E" w:rsidRDefault="00924E2E">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F9D2CB0"/>
    <w:multiLevelType w:val="hybridMultilevel"/>
    <w:tmpl w:val="33B03C0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C742BE"/>
    <w:multiLevelType w:val="hybridMultilevel"/>
    <w:tmpl w:val="614E83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527C8F"/>
    <w:multiLevelType w:val="hybridMultilevel"/>
    <w:tmpl w:val="74BA8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660086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99464424">
    <w:abstractNumId w:val="16"/>
  </w:num>
  <w:num w:numId="3" w16cid:durableId="1282494060">
    <w:abstractNumId w:val="25"/>
  </w:num>
  <w:num w:numId="4" w16cid:durableId="159392806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00759545">
    <w:abstractNumId w:val="7"/>
  </w:num>
  <w:num w:numId="6" w16cid:durableId="553587814">
    <w:abstractNumId w:val="6"/>
  </w:num>
  <w:num w:numId="7" w16cid:durableId="1426345740">
    <w:abstractNumId w:val="1"/>
  </w:num>
  <w:num w:numId="8" w16cid:durableId="684750644">
    <w:abstractNumId w:val="12"/>
  </w:num>
  <w:num w:numId="9" w16cid:durableId="830176941">
    <w:abstractNumId w:val="28"/>
  </w:num>
  <w:num w:numId="10" w16cid:durableId="27292434">
    <w:abstractNumId w:val="2"/>
  </w:num>
  <w:num w:numId="11" w16cid:durableId="1860895390">
    <w:abstractNumId w:val="19"/>
  </w:num>
  <w:num w:numId="12" w16cid:durableId="1497571366">
    <w:abstractNumId w:val="3"/>
  </w:num>
  <w:num w:numId="13" w16cid:durableId="1457406597">
    <w:abstractNumId w:val="18"/>
  </w:num>
  <w:num w:numId="14" w16cid:durableId="194542252">
    <w:abstractNumId w:val="8"/>
  </w:num>
  <w:num w:numId="15" w16cid:durableId="1694307871">
    <w:abstractNumId w:val="23"/>
  </w:num>
  <w:num w:numId="16" w16cid:durableId="770735336">
    <w:abstractNumId w:val="5"/>
  </w:num>
  <w:num w:numId="17" w16cid:durableId="846217334">
    <w:abstractNumId w:val="24"/>
  </w:num>
  <w:num w:numId="18" w16cid:durableId="1247110175">
    <w:abstractNumId w:val="14"/>
  </w:num>
  <w:num w:numId="19" w16cid:durableId="1586304259">
    <w:abstractNumId w:val="31"/>
  </w:num>
  <w:num w:numId="20" w16cid:durableId="1197426407">
    <w:abstractNumId w:val="11"/>
  </w:num>
  <w:num w:numId="21" w16cid:durableId="213588954">
    <w:abstractNumId w:val="9"/>
  </w:num>
  <w:num w:numId="22" w16cid:durableId="621572628">
    <w:abstractNumId w:val="13"/>
  </w:num>
  <w:num w:numId="23" w16cid:durableId="1394622641">
    <w:abstractNumId w:val="21"/>
  </w:num>
  <w:num w:numId="24" w16cid:durableId="738401947">
    <w:abstractNumId w:val="29"/>
  </w:num>
  <w:num w:numId="25" w16cid:durableId="871192262">
    <w:abstractNumId w:val="4"/>
  </w:num>
  <w:num w:numId="26" w16cid:durableId="1702197817">
    <w:abstractNumId w:val="17"/>
  </w:num>
  <w:num w:numId="27" w16cid:durableId="1030448005">
    <w:abstractNumId w:val="22"/>
  </w:num>
  <w:num w:numId="28" w16cid:durableId="1064987829">
    <w:abstractNumId w:val="30"/>
  </w:num>
  <w:num w:numId="29" w16cid:durableId="1612124904">
    <w:abstractNumId w:val="27"/>
  </w:num>
  <w:num w:numId="30" w16cid:durableId="342586519">
    <w:abstractNumId w:val="10"/>
  </w:num>
  <w:num w:numId="31" w16cid:durableId="790322829">
    <w:abstractNumId w:val="15"/>
  </w:num>
  <w:num w:numId="32" w16cid:durableId="1447195499">
    <w:abstractNumId w:val="20"/>
  </w:num>
  <w:num w:numId="33" w16cid:durableId="199375009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76AA0"/>
    <w:rsid w:val="001864BA"/>
    <w:rsid w:val="00191062"/>
    <w:rsid w:val="00192B72"/>
    <w:rsid w:val="001A29D8"/>
    <w:rsid w:val="001A40CF"/>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19"/>
    <w:rsid w:val="00284C4C"/>
    <w:rsid w:val="00287E68"/>
    <w:rsid w:val="00296529"/>
    <w:rsid w:val="002B27FB"/>
    <w:rsid w:val="002B29AE"/>
    <w:rsid w:val="002B685A"/>
    <w:rsid w:val="002C46D4"/>
    <w:rsid w:val="002C57D2"/>
    <w:rsid w:val="002E0D56"/>
    <w:rsid w:val="00314C67"/>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1DB1"/>
    <w:rsid w:val="007369E6"/>
    <w:rsid w:val="00746E59"/>
    <w:rsid w:val="00754C9A"/>
    <w:rsid w:val="0075599A"/>
    <w:rsid w:val="00761D52"/>
    <w:rsid w:val="0077749E"/>
    <w:rsid w:val="00790ADA"/>
    <w:rsid w:val="007D2288"/>
    <w:rsid w:val="007E088F"/>
    <w:rsid w:val="007F7B32"/>
    <w:rsid w:val="00804BC2"/>
    <w:rsid w:val="0081431A"/>
    <w:rsid w:val="0083216F"/>
    <w:rsid w:val="00837DF8"/>
    <w:rsid w:val="00860000"/>
    <w:rsid w:val="00863BD3"/>
    <w:rsid w:val="008641ED"/>
    <w:rsid w:val="00866D66"/>
    <w:rsid w:val="008671C6"/>
    <w:rsid w:val="00875803"/>
    <w:rsid w:val="008B459E"/>
    <w:rsid w:val="008E13AE"/>
    <w:rsid w:val="008E1506"/>
    <w:rsid w:val="008E710C"/>
    <w:rsid w:val="008F69D6"/>
    <w:rsid w:val="00902823"/>
    <w:rsid w:val="00915CA6"/>
    <w:rsid w:val="00924E2E"/>
    <w:rsid w:val="00927834"/>
    <w:rsid w:val="00940AC5"/>
    <w:rsid w:val="009500A6"/>
    <w:rsid w:val="00957C18"/>
    <w:rsid w:val="009659BA"/>
    <w:rsid w:val="00983040"/>
    <w:rsid w:val="009B3FB9"/>
    <w:rsid w:val="009B54E0"/>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6683"/>
    <w:rsid w:val="00AE008F"/>
    <w:rsid w:val="00AE52F2"/>
    <w:rsid w:val="00B01FCD"/>
    <w:rsid w:val="00B1776C"/>
    <w:rsid w:val="00B52583"/>
    <w:rsid w:val="00B52896"/>
    <w:rsid w:val="00B55198"/>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27A1"/>
    <w:rsid w:val="00C70F1B"/>
    <w:rsid w:val="00C71A47"/>
    <w:rsid w:val="00C7464C"/>
    <w:rsid w:val="00C85588"/>
    <w:rsid w:val="00CD6755"/>
    <w:rsid w:val="00CD6856"/>
    <w:rsid w:val="00CE0089"/>
    <w:rsid w:val="00CE793C"/>
    <w:rsid w:val="00CF193C"/>
    <w:rsid w:val="00D173F1"/>
    <w:rsid w:val="00D43CFA"/>
    <w:rsid w:val="00D74CB0"/>
    <w:rsid w:val="00D8295D"/>
    <w:rsid w:val="00DC2A65"/>
    <w:rsid w:val="00DD1806"/>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7E9"/>
    <w:rsid w:val="00F77D02"/>
    <w:rsid w:val="00FB3A86"/>
    <w:rsid w:val="00FC0C3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3374B026"/>
  <w15:docId w15:val="{663D5FF0-7613-4372-8500-D143AD8A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ghtShading">
    <w:name w:val="Light Shading"/>
    <w:basedOn w:val="TableNormal"/>
    <w:uiPriority w:val="60"/>
    <w:rsid w:val="00924E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RESEARCH\Opara%20PhD\DATA\New%20folder\Distance%20DAT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RESEARCH\Opara%20PhD\DATA\New%20folder\Distance%20data%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'SW 1'!$AF$17</c:f>
              <c:strCache>
                <c:ptCount val="1"/>
                <c:pt idx="0">
                  <c:v>Path Loss (dB)</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1'!$AG$17:$AQ$17</c:f>
              <c:numCache>
                <c:formatCode>0</c:formatCode>
                <c:ptCount val="11"/>
                <c:pt idx="0">
                  <c:v>58.758630499999995</c:v>
                </c:pt>
                <c:pt idx="1">
                  <c:v>80.894199999999998</c:v>
                </c:pt>
                <c:pt idx="2">
                  <c:v>78.879369875000009</c:v>
                </c:pt>
                <c:pt idx="3">
                  <c:v>89.096956333333324</c:v>
                </c:pt>
                <c:pt idx="4">
                  <c:v>96.960357999999999</c:v>
                </c:pt>
                <c:pt idx="5">
                  <c:v>106.35457975</c:v>
                </c:pt>
                <c:pt idx="6">
                  <c:v>109.595371</c:v>
                </c:pt>
                <c:pt idx="7">
                  <c:v>115.67719683333333</c:v>
                </c:pt>
                <c:pt idx="8">
                  <c:v>120.8651112</c:v>
                </c:pt>
                <c:pt idx="9">
                  <c:v>134.22386833333334</c:v>
                </c:pt>
                <c:pt idx="10">
                  <c:v>134.36717949999999</c:v>
                </c:pt>
              </c:numCache>
            </c:numRef>
          </c:val>
          <c:extLst>
            <c:ext xmlns:c16="http://schemas.microsoft.com/office/drawing/2014/chart" uri="{C3380CC4-5D6E-409C-BE32-E72D297353CC}">
              <c16:uniqueId val="{00000000-58A3-480E-BEA5-70E2505B5ACF}"/>
            </c:ext>
          </c:extLst>
        </c:ser>
        <c:ser>
          <c:idx val="1"/>
          <c:order val="1"/>
          <c:tx>
            <c:strRef>
              <c:f>'SW 1'!$AF$18</c:f>
              <c:strCache>
                <c:ptCount val="1"/>
                <c:pt idx="0">
                  <c:v>RSSL (dBm)</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1'!$AG$18:$AQ$18</c:f>
              <c:numCache>
                <c:formatCode>0</c:formatCode>
                <c:ptCount val="11"/>
                <c:pt idx="0">
                  <c:v>68.6444695</c:v>
                </c:pt>
                <c:pt idx="1">
                  <c:v>46.894199999999998</c:v>
                </c:pt>
                <c:pt idx="2">
                  <c:v>42.106316375000006</c:v>
                </c:pt>
                <c:pt idx="3">
                  <c:v>30.943177000000002</c:v>
                </c:pt>
                <c:pt idx="4">
                  <c:v>20.92434175</c:v>
                </c:pt>
                <c:pt idx="5">
                  <c:v>15.126127749999998</c:v>
                </c:pt>
                <c:pt idx="6">
                  <c:v>12.700768999999999</c:v>
                </c:pt>
                <c:pt idx="7">
                  <c:v>6.1635548333333334</c:v>
                </c:pt>
                <c:pt idx="8">
                  <c:v>7.2806948000000009</c:v>
                </c:pt>
                <c:pt idx="9">
                  <c:v>4.8150083333333331</c:v>
                </c:pt>
                <c:pt idx="10">
                  <c:v>5.4733588333333332</c:v>
                </c:pt>
              </c:numCache>
            </c:numRef>
          </c:val>
          <c:extLst>
            <c:ext xmlns:c16="http://schemas.microsoft.com/office/drawing/2014/chart" uri="{C3380CC4-5D6E-409C-BE32-E72D297353CC}">
              <c16:uniqueId val="{00000001-58A3-480E-BEA5-70E2505B5ACF}"/>
            </c:ext>
          </c:extLst>
        </c:ser>
        <c:ser>
          <c:idx val="2"/>
          <c:order val="2"/>
          <c:tx>
            <c:strRef>
              <c:f>'SW 1'!$AF$19</c:f>
              <c:strCache>
                <c:ptCount val="1"/>
                <c:pt idx="0">
                  <c:v>SNR (dB)</c:v>
                </c:pt>
              </c:strCache>
            </c:strRef>
          </c:tx>
          <c:invertIfNegative val="0"/>
          <c:cat>
            <c:numRef>
              <c:f>'SW 1'!$AG$16:$AQ$16</c:f>
              <c:numCache>
                <c:formatCode>General</c:formatCode>
                <c:ptCount val="11"/>
                <c:pt idx="0">
                  <c:v>200</c:v>
                </c:pt>
                <c:pt idx="1">
                  <c:v>300</c:v>
                </c:pt>
                <c:pt idx="2">
                  <c:v>400</c:v>
                </c:pt>
                <c:pt idx="3">
                  <c:v>500</c:v>
                </c:pt>
                <c:pt idx="4">
                  <c:v>600</c:v>
                </c:pt>
                <c:pt idx="5">
                  <c:v>700</c:v>
                </c:pt>
                <c:pt idx="6">
                  <c:v>800</c:v>
                </c:pt>
                <c:pt idx="7">
                  <c:v>900</c:v>
                </c:pt>
                <c:pt idx="8">
                  <c:v>1000</c:v>
                </c:pt>
                <c:pt idx="9">
                  <c:v>1100</c:v>
                </c:pt>
                <c:pt idx="10">
                  <c:v>1200</c:v>
                </c:pt>
              </c:numCache>
            </c:numRef>
          </c:cat>
          <c:val>
            <c:numRef>
              <c:f>'SW 1'!$AG$19:$AQ$19</c:f>
              <c:numCache>
                <c:formatCode>0</c:formatCode>
                <c:ptCount val="11"/>
                <c:pt idx="0">
                  <c:v>33.099050000000005</c:v>
                </c:pt>
                <c:pt idx="1">
                  <c:v>42.894199999999998</c:v>
                </c:pt>
                <c:pt idx="2">
                  <c:v>31.542362500000003</c:v>
                </c:pt>
                <c:pt idx="3">
                  <c:v>30.625066666666669</c:v>
                </c:pt>
                <c:pt idx="4">
                  <c:v>27.381324999999997</c:v>
                </c:pt>
                <c:pt idx="5">
                  <c:v>24.607599999999998</c:v>
                </c:pt>
                <c:pt idx="6">
                  <c:v>26.242939999999997</c:v>
                </c:pt>
                <c:pt idx="7">
                  <c:v>24.220183333333335</c:v>
                </c:pt>
                <c:pt idx="8">
                  <c:v>24.021499999999996</c:v>
                </c:pt>
                <c:pt idx="9">
                  <c:v>20.289100000000001</c:v>
                </c:pt>
                <c:pt idx="10">
                  <c:v>22.190100000000001</c:v>
                </c:pt>
              </c:numCache>
            </c:numRef>
          </c:val>
          <c:extLst>
            <c:ext xmlns:c16="http://schemas.microsoft.com/office/drawing/2014/chart" uri="{C3380CC4-5D6E-409C-BE32-E72D297353CC}">
              <c16:uniqueId val="{00000002-58A3-480E-BEA5-70E2505B5ACF}"/>
            </c:ext>
          </c:extLst>
        </c:ser>
        <c:dLbls>
          <c:showLegendKey val="0"/>
          <c:showVal val="0"/>
          <c:showCatName val="0"/>
          <c:showSerName val="0"/>
          <c:showPercent val="0"/>
          <c:showBubbleSize val="0"/>
        </c:dLbls>
        <c:gapWidth val="150"/>
        <c:shape val="box"/>
        <c:axId val="342243200"/>
        <c:axId val="342245376"/>
        <c:axId val="0"/>
      </c:bar3DChart>
      <c:catAx>
        <c:axId val="342243200"/>
        <c:scaling>
          <c:orientation val="minMax"/>
        </c:scaling>
        <c:delete val="0"/>
        <c:axPos val="b"/>
        <c:title>
          <c:tx>
            <c:rich>
              <a:bodyPr/>
              <a:lstStyle/>
              <a:p>
                <a:pPr>
                  <a:defRPr/>
                </a:pPr>
                <a:r>
                  <a:rPr lang="en-US"/>
                  <a:t>Distance (m)</a:t>
                </a:r>
              </a:p>
            </c:rich>
          </c:tx>
          <c:overlay val="0"/>
        </c:title>
        <c:numFmt formatCode="General" sourceLinked="1"/>
        <c:majorTickMark val="out"/>
        <c:minorTickMark val="none"/>
        <c:tickLblPos val="nextTo"/>
        <c:crossAx val="342245376"/>
        <c:crosses val="autoZero"/>
        <c:auto val="1"/>
        <c:lblAlgn val="ctr"/>
        <c:lblOffset val="100"/>
        <c:noMultiLvlLbl val="0"/>
      </c:catAx>
      <c:valAx>
        <c:axId val="342245376"/>
        <c:scaling>
          <c:orientation val="minMax"/>
        </c:scaling>
        <c:delete val="0"/>
        <c:axPos val="l"/>
        <c:majorGridlines/>
        <c:title>
          <c:tx>
            <c:rich>
              <a:bodyPr rot="-5400000" vert="horz"/>
              <a:lstStyle/>
              <a:p>
                <a:pPr>
                  <a:defRPr/>
                </a:pPr>
                <a:r>
                  <a:rPr lang="en-US"/>
                  <a:t>PL/RSS/SNR (dB)</a:t>
                </a:r>
              </a:p>
            </c:rich>
          </c:tx>
          <c:overlay val="0"/>
        </c:title>
        <c:numFmt formatCode="0" sourceLinked="1"/>
        <c:majorTickMark val="out"/>
        <c:minorTickMark val="none"/>
        <c:tickLblPos val="nextTo"/>
        <c:crossAx val="34224320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NE!$AD$13</c:f>
              <c:strCache>
                <c:ptCount val="1"/>
                <c:pt idx="0">
                  <c:v>Rainfall Rate (mm/hr)</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NE!$AE$13:$AL$13</c:f>
              <c:numCache>
                <c:formatCode>0</c:formatCode>
                <c:ptCount val="8"/>
                <c:pt idx="0">
                  <c:v>152.482</c:v>
                </c:pt>
                <c:pt idx="1">
                  <c:v>138.86250000000001</c:v>
                </c:pt>
                <c:pt idx="2">
                  <c:v>73.19</c:v>
                </c:pt>
                <c:pt idx="3">
                  <c:v>110.26666666666667</c:v>
                </c:pt>
                <c:pt idx="4">
                  <c:v>109.78285714285713</c:v>
                </c:pt>
                <c:pt idx="5">
                  <c:v>95.747500000000002</c:v>
                </c:pt>
                <c:pt idx="6">
                  <c:v>62.43</c:v>
                </c:pt>
                <c:pt idx="7">
                  <c:v>81.19</c:v>
                </c:pt>
              </c:numCache>
            </c:numRef>
          </c:val>
          <c:extLst>
            <c:ext xmlns:c16="http://schemas.microsoft.com/office/drawing/2014/chart" uri="{C3380CC4-5D6E-409C-BE32-E72D297353CC}">
              <c16:uniqueId val="{00000000-5EC8-4964-8A2C-A3B4B97E3E7A}"/>
            </c:ext>
          </c:extLst>
        </c:ser>
        <c:ser>
          <c:idx val="1"/>
          <c:order val="1"/>
          <c:tx>
            <c:strRef>
              <c:f>NE!$AD$14</c:f>
              <c:strCache>
                <c:ptCount val="1"/>
                <c:pt idx="0">
                  <c:v>Path Loss (dB)</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NE!$AE$14:$AL$14</c:f>
              <c:numCache>
                <c:formatCode>0</c:formatCode>
                <c:ptCount val="8"/>
                <c:pt idx="0">
                  <c:v>91.114000000000004</c:v>
                </c:pt>
                <c:pt idx="1">
                  <c:v>118.21</c:v>
                </c:pt>
                <c:pt idx="2">
                  <c:v>65.290000000000006</c:v>
                </c:pt>
                <c:pt idx="3">
                  <c:v>120.14333333333333</c:v>
                </c:pt>
                <c:pt idx="4">
                  <c:v>120.54714285714286</c:v>
                </c:pt>
                <c:pt idx="5">
                  <c:v>125.22999999999999</c:v>
                </c:pt>
                <c:pt idx="6">
                  <c:v>135.87</c:v>
                </c:pt>
                <c:pt idx="7">
                  <c:v>146.88999999999999</c:v>
                </c:pt>
              </c:numCache>
            </c:numRef>
          </c:val>
          <c:extLst>
            <c:ext xmlns:c16="http://schemas.microsoft.com/office/drawing/2014/chart" uri="{C3380CC4-5D6E-409C-BE32-E72D297353CC}">
              <c16:uniqueId val="{00000001-5EC8-4964-8A2C-A3B4B97E3E7A}"/>
            </c:ext>
          </c:extLst>
        </c:ser>
        <c:ser>
          <c:idx val="3"/>
          <c:order val="3"/>
          <c:tx>
            <c:strRef>
              <c:f>NE!$AD$16</c:f>
              <c:strCache>
                <c:ptCount val="1"/>
                <c:pt idx="0">
                  <c:v>SNR (dB)</c:v>
                </c:pt>
              </c:strCache>
            </c:strRef>
          </c:tx>
          <c:invertIfNegative val="0"/>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NE!$AE$16:$AL$16</c:f>
              <c:numCache>
                <c:formatCode>0</c:formatCode>
                <c:ptCount val="8"/>
                <c:pt idx="0">
                  <c:v>24.937999999999999</c:v>
                </c:pt>
                <c:pt idx="1">
                  <c:v>32.527500000000003</c:v>
                </c:pt>
                <c:pt idx="2">
                  <c:v>55.23</c:v>
                </c:pt>
                <c:pt idx="3">
                  <c:v>20.156666666666666</c:v>
                </c:pt>
                <c:pt idx="4">
                  <c:v>19.518571428571427</c:v>
                </c:pt>
                <c:pt idx="5">
                  <c:v>21.79</c:v>
                </c:pt>
                <c:pt idx="6">
                  <c:v>22.59</c:v>
                </c:pt>
                <c:pt idx="7">
                  <c:v>12.29</c:v>
                </c:pt>
              </c:numCache>
            </c:numRef>
          </c:val>
          <c:extLst>
            <c:ext xmlns:c16="http://schemas.microsoft.com/office/drawing/2014/chart" uri="{C3380CC4-5D6E-409C-BE32-E72D297353CC}">
              <c16:uniqueId val="{00000002-5EC8-4964-8A2C-A3B4B97E3E7A}"/>
            </c:ext>
          </c:extLst>
        </c:ser>
        <c:dLbls>
          <c:showLegendKey val="0"/>
          <c:showVal val="0"/>
          <c:showCatName val="0"/>
          <c:showSerName val="0"/>
          <c:showPercent val="0"/>
          <c:showBubbleSize val="0"/>
        </c:dLbls>
        <c:gapWidth val="150"/>
        <c:axId val="342265216"/>
        <c:axId val="342271488"/>
      </c:barChart>
      <c:lineChart>
        <c:grouping val="standard"/>
        <c:varyColors val="0"/>
        <c:ser>
          <c:idx val="2"/>
          <c:order val="2"/>
          <c:tx>
            <c:strRef>
              <c:f>NE!$AD$15</c:f>
              <c:strCache>
                <c:ptCount val="1"/>
                <c:pt idx="0">
                  <c:v>RSSL (dBm)</c:v>
                </c:pt>
              </c:strCache>
            </c:strRef>
          </c:tx>
          <c:marker>
            <c:symbol val="none"/>
          </c:marker>
          <c:cat>
            <c:numRef>
              <c:f>NE!$AE$12:$AL$12</c:f>
              <c:numCache>
                <c:formatCode>General</c:formatCode>
                <c:ptCount val="8"/>
                <c:pt idx="0">
                  <c:v>100</c:v>
                </c:pt>
                <c:pt idx="1">
                  <c:v>200</c:v>
                </c:pt>
                <c:pt idx="2">
                  <c:v>300</c:v>
                </c:pt>
                <c:pt idx="3">
                  <c:v>400</c:v>
                </c:pt>
                <c:pt idx="4">
                  <c:v>500</c:v>
                </c:pt>
                <c:pt idx="5">
                  <c:v>600</c:v>
                </c:pt>
                <c:pt idx="6">
                  <c:v>700</c:v>
                </c:pt>
                <c:pt idx="7">
                  <c:v>800</c:v>
                </c:pt>
              </c:numCache>
            </c:numRef>
          </c:cat>
          <c:val>
            <c:numRef>
              <c:f>NE!$AE$15:$AL$15</c:f>
              <c:numCache>
                <c:formatCode>0</c:formatCode>
                <c:ptCount val="8"/>
                <c:pt idx="0">
                  <c:v>11.273999999999999</c:v>
                </c:pt>
                <c:pt idx="1">
                  <c:v>15.2075</c:v>
                </c:pt>
                <c:pt idx="2">
                  <c:v>27.69</c:v>
                </c:pt>
                <c:pt idx="3">
                  <c:v>9.8166666666666664</c:v>
                </c:pt>
                <c:pt idx="4">
                  <c:v>9.31</c:v>
                </c:pt>
                <c:pt idx="5">
                  <c:v>13.170000000000002</c:v>
                </c:pt>
                <c:pt idx="6">
                  <c:v>13.68</c:v>
                </c:pt>
                <c:pt idx="7">
                  <c:v>8.02</c:v>
                </c:pt>
              </c:numCache>
            </c:numRef>
          </c:val>
          <c:smooth val="0"/>
          <c:extLst>
            <c:ext xmlns:c16="http://schemas.microsoft.com/office/drawing/2014/chart" uri="{C3380CC4-5D6E-409C-BE32-E72D297353CC}">
              <c16:uniqueId val="{00000003-5EC8-4964-8A2C-A3B4B97E3E7A}"/>
            </c:ext>
          </c:extLst>
        </c:ser>
        <c:dLbls>
          <c:showLegendKey val="0"/>
          <c:showVal val="0"/>
          <c:showCatName val="0"/>
          <c:showSerName val="0"/>
          <c:showPercent val="0"/>
          <c:showBubbleSize val="0"/>
        </c:dLbls>
        <c:marker val="1"/>
        <c:smooth val="0"/>
        <c:axId val="342279680"/>
        <c:axId val="342273408"/>
      </c:lineChart>
      <c:catAx>
        <c:axId val="342265216"/>
        <c:scaling>
          <c:orientation val="minMax"/>
        </c:scaling>
        <c:delete val="0"/>
        <c:axPos val="b"/>
        <c:title>
          <c:tx>
            <c:rich>
              <a:bodyPr/>
              <a:lstStyle/>
              <a:p>
                <a:pPr>
                  <a:defRPr/>
                </a:pPr>
                <a:r>
                  <a:rPr lang="en-US"/>
                  <a:t>Distance (m)</a:t>
                </a:r>
              </a:p>
            </c:rich>
          </c:tx>
          <c:overlay val="0"/>
        </c:title>
        <c:numFmt formatCode="General" sourceLinked="1"/>
        <c:majorTickMark val="out"/>
        <c:minorTickMark val="none"/>
        <c:tickLblPos val="nextTo"/>
        <c:crossAx val="342271488"/>
        <c:crosses val="autoZero"/>
        <c:auto val="1"/>
        <c:lblAlgn val="ctr"/>
        <c:lblOffset val="100"/>
        <c:noMultiLvlLbl val="0"/>
      </c:catAx>
      <c:valAx>
        <c:axId val="342271488"/>
        <c:scaling>
          <c:orientation val="minMax"/>
        </c:scaling>
        <c:delete val="0"/>
        <c:axPos val="l"/>
        <c:majorGridlines/>
        <c:title>
          <c:tx>
            <c:rich>
              <a:bodyPr rot="-5400000" vert="horz"/>
              <a:lstStyle/>
              <a:p>
                <a:pPr>
                  <a:defRPr/>
                </a:pPr>
                <a:r>
                  <a:rPr lang="en-US"/>
                  <a:t>PL(dB)/SNR(dB)/Rainfall Rate(mm/hr)</a:t>
                </a:r>
              </a:p>
            </c:rich>
          </c:tx>
          <c:overlay val="0"/>
        </c:title>
        <c:numFmt formatCode="0" sourceLinked="1"/>
        <c:majorTickMark val="out"/>
        <c:minorTickMark val="none"/>
        <c:tickLblPos val="nextTo"/>
        <c:crossAx val="342265216"/>
        <c:crosses val="autoZero"/>
        <c:crossBetween val="between"/>
      </c:valAx>
      <c:valAx>
        <c:axId val="342273408"/>
        <c:scaling>
          <c:orientation val="minMax"/>
        </c:scaling>
        <c:delete val="0"/>
        <c:axPos val="r"/>
        <c:title>
          <c:tx>
            <c:rich>
              <a:bodyPr rot="-5400000" vert="horz"/>
              <a:lstStyle/>
              <a:p>
                <a:pPr>
                  <a:defRPr/>
                </a:pPr>
                <a:r>
                  <a:rPr lang="en-US"/>
                  <a:t>RSSL (dBm)</a:t>
                </a:r>
              </a:p>
            </c:rich>
          </c:tx>
          <c:overlay val="0"/>
        </c:title>
        <c:numFmt formatCode="0" sourceLinked="1"/>
        <c:majorTickMark val="out"/>
        <c:minorTickMark val="none"/>
        <c:tickLblPos val="nextTo"/>
        <c:crossAx val="342279680"/>
        <c:crosses val="max"/>
        <c:crossBetween val="between"/>
      </c:valAx>
      <c:catAx>
        <c:axId val="342279680"/>
        <c:scaling>
          <c:orientation val="minMax"/>
        </c:scaling>
        <c:delete val="1"/>
        <c:axPos val="b"/>
        <c:numFmt formatCode="General" sourceLinked="1"/>
        <c:majorTickMark val="out"/>
        <c:minorTickMark val="none"/>
        <c:tickLblPos val="nextTo"/>
        <c:crossAx val="342273408"/>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48228-67EA-4FD6-A372-125EB1441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TotalTime>
  <Pages>13</Pages>
  <Words>7874</Words>
  <Characters>44884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52653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15</cp:revision>
  <cp:lastPrinted>1999-07-06T11:00:00Z</cp:lastPrinted>
  <dcterms:created xsi:type="dcterms:W3CDTF">2014-10-25T14:34:00Z</dcterms:created>
  <dcterms:modified xsi:type="dcterms:W3CDTF">2025-03-29T11:44:00Z</dcterms:modified>
</cp:coreProperties>
</file>